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FCFB67" w14:textId="0DAC2774" w:rsidR="004D6470" w:rsidRPr="009E58F7" w:rsidRDefault="004D6470" w:rsidP="00D7256D">
      <w:pPr>
        <w:keepNext/>
        <w:numPr>
          <w:ilvl w:val="0"/>
          <w:numId w:val="1"/>
        </w:numPr>
        <w:tabs>
          <w:tab w:val="clear" w:pos="720"/>
          <w:tab w:val="num" w:pos="567"/>
        </w:tabs>
        <w:overflowPunct w:val="0"/>
        <w:autoSpaceDE w:val="0"/>
        <w:autoSpaceDN w:val="0"/>
        <w:adjustRightInd w:val="0"/>
        <w:spacing w:line="240" w:lineRule="auto"/>
        <w:ind w:left="567" w:hanging="567"/>
        <w:rPr>
          <w:b/>
          <w:color w:val="000000"/>
        </w:rPr>
      </w:pPr>
      <w:bookmarkStart w:id="0" w:name="page35"/>
      <w:bookmarkEnd w:id="0"/>
      <w:r w:rsidRPr="009E58F7">
        <w:rPr>
          <w:b/>
          <w:color w:val="000000"/>
        </w:rPr>
        <w:t>A GYÓGYSZER NEVE</w:t>
      </w:r>
    </w:p>
    <w:p w14:paraId="26454741" w14:textId="77777777" w:rsidR="004D6470" w:rsidRPr="009E58F7" w:rsidRDefault="004D6470" w:rsidP="00D7256D">
      <w:pPr>
        <w:keepNext/>
        <w:autoSpaceDE w:val="0"/>
        <w:autoSpaceDN w:val="0"/>
        <w:adjustRightInd w:val="0"/>
        <w:spacing w:line="240" w:lineRule="auto"/>
      </w:pPr>
    </w:p>
    <w:p w14:paraId="4ACB623A" w14:textId="458F5D6C" w:rsidR="004D6470" w:rsidRPr="009E58F7" w:rsidRDefault="00DC500E" w:rsidP="007070F2">
      <w:pPr>
        <w:keepNext/>
        <w:autoSpaceDE w:val="0"/>
        <w:autoSpaceDN w:val="0"/>
        <w:adjustRightInd w:val="0"/>
        <w:spacing w:line="240" w:lineRule="auto"/>
        <w:ind w:left="4"/>
      </w:pPr>
      <w:r w:rsidRPr="009E58F7">
        <w:rPr>
          <w:color w:val="000000"/>
        </w:rPr>
        <w:t>Bortezomib MSN</w:t>
      </w:r>
      <w:r w:rsidR="004D6470" w:rsidRPr="009E58F7">
        <w:rPr>
          <w:color w:val="000000"/>
        </w:rPr>
        <w:t xml:space="preserve"> 3,5 mg por oldatos injekcióhoz</w:t>
      </w:r>
    </w:p>
    <w:p w14:paraId="77842E33" w14:textId="77777777" w:rsidR="004D6470" w:rsidRPr="009E58F7" w:rsidRDefault="004D6470" w:rsidP="007070F2">
      <w:pPr>
        <w:widowControl w:val="0"/>
        <w:autoSpaceDE w:val="0"/>
        <w:autoSpaceDN w:val="0"/>
        <w:adjustRightInd w:val="0"/>
        <w:spacing w:line="240" w:lineRule="auto"/>
      </w:pPr>
    </w:p>
    <w:p w14:paraId="24ED4048" w14:textId="77777777" w:rsidR="004D6470" w:rsidRPr="009E58F7" w:rsidRDefault="004D6470" w:rsidP="007070F2">
      <w:pPr>
        <w:widowControl w:val="0"/>
        <w:autoSpaceDE w:val="0"/>
        <w:autoSpaceDN w:val="0"/>
        <w:adjustRightInd w:val="0"/>
        <w:spacing w:line="240" w:lineRule="auto"/>
      </w:pPr>
    </w:p>
    <w:p w14:paraId="3CC7D768" w14:textId="20723647" w:rsidR="004D6470" w:rsidRPr="009E58F7" w:rsidRDefault="004D6470" w:rsidP="007070F2">
      <w:pPr>
        <w:keepNext/>
        <w:numPr>
          <w:ilvl w:val="0"/>
          <w:numId w:val="2"/>
        </w:numPr>
        <w:tabs>
          <w:tab w:val="left" w:pos="567"/>
        </w:tabs>
        <w:overflowPunct w:val="0"/>
        <w:autoSpaceDE w:val="0"/>
        <w:autoSpaceDN w:val="0"/>
        <w:adjustRightInd w:val="0"/>
        <w:spacing w:line="240" w:lineRule="auto"/>
        <w:ind w:left="567" w:hanging="567"/>
        <w:rPr>
          <w:b/>
          <w:color w:val="000000"/>
        </w:rPr>
      </w:pPr>
      <w:r w:rsidRPr="009E58F7">
        <w:rPr>
          <w:b/>
          <w:color w:val="000000"/>
        </w:rPr>
        <w:t>MINŐSÉGI ÉS MENNYISÉGI ÖSSZETÉTEL</w:t>
      </w:r>
    </w:p>
    <w:p w14:paraId="599F9509" w14:textId="77777777" w:rsidR="004D6470" w:rsidRPr="009E58F7" w:rsidRDefault="004D6470" w:rsidP="007070F2">
      <w:pPr>
        <w:pStyle w:val="Nincstrkz"/>
        <w:keepNext/>
      </w:pPr>
    </w:p>
    <w:p w14:paraId="5A255575" w14:textId="3895CD8E" w:rsidR="004D6470" w:rsidRPr="009E58F7" w:rsidRDefault="004D6470" w:rsidP="007070F2">
      <w:pPr>
        <w:pStyle w:val="Nincstrkz"/>
        <w:keepNext/>
      </w:pPr>
      <w:r w:rsidRPr="009E58F7">
        <w:rPr>
          <w:color w:val="000000"/>
        </w:rPr>
        <w:t>3,5 mg bortezomib</w:t>
      </w:r>
      <w:r w:rsidR="003F0F42">
        <w:rPr>
          <w:color w:val="000000"/>
        </w:rPr>
        <w:t>ot tartalmaz</w:t>
      </w:r>
      <w:r w:rsidRPr="009E58F7">
        <w:rPr>
          <w:color w:val="000000"/>
        </w:rPr>
        <w:t xml:space="preserve"> (mannit</w:t>
      </w:r>
      <w:r w:rsidR="003F0F42">
        <w:rPr>
          <w:color w:val="000000"/>
        </w:rPr>
        <w:t>-</w:t>
      </w:r>
      <w:r w:rsidRPr="009E58F7">
        <w:rPr>
          <w:color w:val="000000"/>
        </w:rPr>
        <w:t>boronsav</w:t>
      </w:r>
      <w:r w:rsidR="003F0F42">
        <w:rPr>
          <w:color w:val="000000"/>
        </w:rPr>
        <w:t>-</w:t>
      </w:r>
      <w:r w:rsidRPr="009E58F7">
        <w:rPr>
          <w:color w:val="000000"/>
        </w:rPr>
        <w:t>észter formájában) injekciós üvegenként.</w:t>
      </w:r>
    </w:p>
    <w:p w14:paraId="654C4584" w14:textId="77777777" w:rsidR="004D6470" w:rsidRPr="009E58F7" w:rsidRDefault="004D6470" w:rsidP="007070F2">
      <w:pPr>
        <w:pStyle w:val="Nincstrkz"/>
      </w:pPr>
    </w:p>
    <w:p w14:paraId="476C81F8" w14:textId="0B6C1380" w:rsidR="004D4002" w:rsidRPr="009E58F7" w:rsidRDefault="00C5286C" w:rsidP="007070F2">
      <w:pPr>
        <w:spacing w:line="240" w:lineRule="auto"/>
        <w:contextualSpacing/>
      </w:pPr>
      <w:r w:rsidRPr="009E58F7">
        <w:t>A feloldást követően</w:t>
      </w:r>
      <w:r w:rsidR="00D870A5" w:rsidRPr="009E58F7">
        <w:t xml:space="preserve"> a subcutan injekciós oldat 2,5 </w:t>
      </w:r>
      <w:r w:rsidRPr="009E58F7">
        <w:t>mg bortezomibot tartalmaz milliliterenként.</w:t>
      </w:r>
    </w:p>
    <w:p w14:paraId="210F63CD" w14:textId="4C34D916" w:rsidR="004D6470" w:rsidRPr="009E58F7" w:rsidRDefault="00C5286C" w:rsidP="007070F2">
      <w:pPr>
        <w:spacing w:line="240" w:lineRule="auto"/>
        <w:contextualSpacing/>
      </w:pPr>
      <w:r w:rsidRPr="009E58F7">
        <w:t>A</w:t>
      </w:r>
      <w:r w:rsidR="00C80279" w:rsidRPr="009E58F7">
        <w:t xml:space="preserve"> f</w:t>
      </w:r>
      <w:r w:rsidR="00BF6C1F" w:rsidRPr="009E58F7">
        <w:t>eloldást követően az intravénás injekciós oldat 1</w:t>
      </w:r>
      <w:r w:rsidR="00D870A5" w:rsidRPr="009E58F7">
        <w:t> </w:t>
      </w:r>
      <w:r w:rsidR="004D6470" w:rsidRPr="009E58F7">
        <w:t xml:space="preserve">mg bortezomibot tartalmaz </w:t>
      </w:r>
      <w:r w:rsidR="004D6470" w:rsidRPr="009E58F7">
        <w:rPr>
          <w:color w:val="000000"/>
        </w:rPr>
        <w:t>milliliterenként.</w:t>
      </w:r>
    </w:p>
    <w:p w14:paraId="66746232" w14:textId="77777777" w:rsidR="004D6470" w:rsidRPr="009E58F7" w:rsidRDefault="004D6470" w:rsidP="007070F2">
      <w:pPr>
        <w:widowControl w:val="0"/>
        <w:autoSpaceDE w:val="0"/>
        <w:autoSpaceDN w:val="0"/>
        <w:adjustRightInd w:val="0"/>
        <w:spacing w:line="240" w:lineRule="auto"/>
        <w:ind w:left="4"/>
        <w:rPr>
          <w:color w:val="000000"/>
        </w:rPr>
      </w:pPr>
    </w:p>
    <w:p w14:paraId="19E8173F" w14:textId="2278F4B0" w:rsidR="004D6470" w:rsidRPr="009E58F7" w:rsidRDefault="004D6470" w:rsidP="007070F2">
      <w:pPr>
        <w:widowControl w:val="0"/>
        <w:autoSpaceDE w:val="0"/>
        <w:autoSpaceDN w:val="0"/>
        <w:adjustRightInd w:val="0"/>
        <w:spacing w:line="240" w:lineRule="auto"/>
        <w:ind w:left="4"/>
      </w:pPr>
      <w:r w:rsidRPr="009E58F7">
        <w:rPr>
          <w:color w:val="000000"/>
        </w:rPr>
        <w:t>A segédanyagok teljes listáját lásd a 6.1 pontban.</w:t>
      </w:r>
    </w:p>
    <w:p w14:paraId="77D081C2" w14:textId="77777777" w:rsidR="004D6470" w:rsidRPr="009E58F7" w:rsidRDefault="004D6470" w:rsidP="007070F2">
      <w:pPr>
        <w:widowControl w:val="0"/>
        <w:autoSpaceDE w:val="0"/>
        <w:autoSpaceDN w:val="0"/>
        <w:adjustRightInd w:val="0"/>
        <w:spacing w:line="240" w:lineRule="auto"/>
      </w:pPr>
    </w:p>
    <w:p w14:paraId="150EE052" w14:textId="77777777" w:rsidR="004D6470" w:rsidRPr="009E58F7" w:rsidRDefault="004D6470" w:rsidP="007070F2">
      <w:pPr>
        <w:widowControl w:val="0"/>
        <w:autoSpaceDE w:val="0"/>
        <w:autoSpaceDN w:val="0"/>
        <w:adjustRightInd w:val="0"/>
        <w:spacing w:line="240" w:lineRule="auto"/>
      </w:pPr>
    </w:p>
    <w:p w14:paraId="76C0728B" w14:textId="2E453A35" w:rsidR="004D6470" w:rsidRPr="009E58F7" w:rsidRDefault="004D6470" w:rsidP="007070F2">
      <w:pPr>
        <w:keepNext/>
        <w:numPr>
          <w:ilvl w:val="0"/>
          <w:numId w:val="3"/>
        </w:numPr>
        <w:tabs>
          <w:tab w:val="clear" w:pos="720"/>
          <w:tab w:val="num" w:pos="567"/>
        </w:tabs>
        <w:overflowPunct w:val="0"/>
        <w:autoSpaceDE w:val="0"/>
        <w:autoSpaceDN w:val="0"/>
        <w:adjustRightInd w:val="0"/>
        <w:spacing w:line="240" w:lineRule="auto"/>
        <w:ind w:left="567" w:hanging="567"/>
        <w:rPr>
          <w:b/>
          <w:color w:val="000000"/>
        </w:rPr>
      </w:pPr>
      <w:r w:rsidRPr="009E58F7">
        <w:rPr>
          <w:b/>
          <w:color w:val="000000"/>
        </w:rPr>
        <w:t>GYÓGYSZERFORMA</w:t>
      </w:r>
    </w:p>
    <w:p w14:paraId="4FF726A5" w14:textId="77777777" w:rsidR="004D6470" w:rsidRPr="009E58F7" w:rsidRDefault="004D6470" w:rsidP="007070F2">
      <w:pPr>
        <w:keepNext/>
        <w:autoSpaceDE w:val="0"/>
        <w:autoSpaceDN w:val="0"/>
        <w:adjustRightInd w:val="0"/>
        <w:spacing w:line="240" w:lineRule="auto"/>
      </w:pPr>
    </w:p>
    <w:p w14:paraId="5792745D" w14:textId="77777777" w:rsidR="004D6470" w:rsidRPr="009E58F7" w:rsidRDefault="004D6470" w:rsidP="007070F2">
      <w:pPr>
        <w:pStyle w:val="Nincstrkz"/>
      </w:pPr>
      <w:r w:rsidRPr="009E58F7">
        <w:t>Por oldatos injekcióhoz.</w:t>
      </w:r>
    </w:p>
    <w:p w14:paraId="2886E742" w14:textId="65FB9C25" w:rsidR="004D6470" w:rsidRPr="009E58F7" w:rsidRDefault="004D6470" w:rsidP="007070F2">
      <w:pPr>
        <w:pStyle w:val="Nincstrkz"/>
      </w:pPr>
      <w:r w:rsidRPr="009E58F7">
        <w:t>Fehér</w:t>
      </w:r>
      <w:r w:rsidR="003F0F42">
        <w:t xml:space="preserve"> vagy </w:t>
      </w:r>
      <w:r w:rsidRPr="009E58F7">
        <w:t>törtfehér korong vagy por.</w:t>
      </w:r>
    </w:p>
    <w:p w14:paraId="123316CC" w14:textId="77777777" w:rsidR="00BF6C1F" w:rsidRPr="009E58F7" w:rsidRDefault="00BF6C1F" w:rsidP="007070F2">
      <w:pPr>
        <w:widowControl w:val="0"/>
        <w:autoSpaceDE w:val="0"/>
        <w:autoSpaceDN w:val="0"/>
        <w:adjustRightInd w:val="0"/>
        <w:spacing w:line="240" w:lineRule="auto"/>
      </w:pPr>
    </w:p>
    <w:p w14:paraId="4CFE3E7D" w14:textId="77777777" w:rsidR="004D6470" w:rsidRPr="009E58F7" w:rsidRDefault="004D6470" w:rsidP="007070F2">
      <w:pPr>
        <w:widowControl w:val="0"/>
        <w:autoSpaceDE w:val="0"/>
        <w:autoSpaceDN w:val="0"/>
        <w:adjustRightInd w:val="0"/>
        <w:spacing w:line="240" w:lineRule="auto"/>
      </w:pPr>
    </w:p>
    <w:p w14:paraId="50B02BF5" w14:textId="2CB04410" w:rsidR="004D6470" w:rsidRPr="009E58F7" w:rsidRDefault="004D6470" w:rsidP="007070F2">
      <w:pPr>
        <w:keepNext/>
        <w:numPr>
          <w:ilvl w:val="0"/>
          <w:numId w:val="4"/>
        </w:numPr>
        <w:tabs>
          <w:tab w:val="clear" w:pos="720"/>
          <w:tab w:val="num" w:pos="564"/>
        </w:tabs>
        <w:overflowPunct w:val="0"/>
        <w:autoSpaceDE w:val="0"/>
        <w:autoSpaceDN w:val="0"/>
        <w:adjustRightInd w:val="0"/>
        <w:spacing w:line="240" w:lineRule="auto"/>
        <w:ind w:left="564" w:hanging="564"/>
        <w:rPr>
          <w:b/>
          <w:color w:val="000000"/>
        </w:rPr>
      </w:pPr>
      <w:r w:rsidRPr="009E58F7">
        <w:rPr>
          <w:b/>
          <w:color w:val="000000"/>
        </w:rPr>
        <w:t>KLINIKAI JELLEMZŐK</w:t>
      </w:r>
    </w:p>
    <w:p w14:paraId="11933B16" w14:textId="77777777" w:rsidR="004D6470" w:rsidRPr="009E58F7" w:rsidRDefault="004D6470" w:rsidP="007070F2">
      <w:pPr>
        <w:keepNext/>
        <w:tabs>
          <w:tab w:val="num" w:pos="564"/>
        </w:tabs>
        <w:autoSpaceDE w:val="0"/>
        <w:autoSpaceDN w:val="0"/>
        <w:adjustRightInd w:val="0"/>
        <w:spacing w:line="240" w:lineRule="auto"/>
      </w:pPr>
    </w:p>
    <w:p w14:paraId="584E6FBE" w14:textId="0F9FCD57" w:rsidR="004D6470" w:rsidRPr="009E58F7" w:rsidRDefault="004D6470" w:rsidP="007070F2">
      <w:pPr>
        <w:keepNext/>
        <w:numPr>
          <w:ilvl w:val="0"/>
          <w:numId w:val="5"/>
        </w:numPr>
        <w:tabs>
          <w:tab w:val="clear" w:pos="720"/>
          <w:tab w:val="num" w:pos="564"/>
        </w:tabs>
        <w:overflowPunct w:val="0"/>
        <w:autoSpaceDE w:val="0"/>
        <w:autoSpaceDN w:val="0"/>
        <w:adjustRightInd w:val="0"/>
        <w:spacing w:line="240" w:lineRule="auto"/>
        <w:ind w:left="564" w:hanging="564"/>
        <w:rPr>
          <w:b/>
          <w:color w:val="000000"/>
        </w:rPr>
      </w:pPr>
      <w:r w:rsidRPr="009E58F7">
        <w:rPr>
          <w:b/>
          <w:color w:val="000000"/>
        </w:rPr>
        <w:t>Terápiás javallatok</w:t>
      </w:r>
    </w:p>
    <w:p w14:paraId="5421A111" w14:textId="77777777" w:rsidR="004D6470" w:rsidRPr="009E58F7" w:rsidRDefault="004D6470" w:rsidP="007070F2">
      <w:pPr>
        <w:keepNext/>
        <w:autoSpaceDE w:val="0"/>
        <w:autoSpaceDN w:val="0"/>
        <w:adjustRightInd w:val="0"/>
        <w:spacing w:line="240" w:lineRule="auto"/>
      </w:pPr>
    </w:p>
    <w:p w14:paraId="292CE93C" w14:textId="4F351711" w:rsidR="004D6470" w:rsidRPr="009E58F7" w:rsidRDefault="004D6470" w:rsidP="007070F2">
      <w:pPr>
        <w:spacing w:line="240" w:lineRule="auto"/>
        <w:contextualSpacing/>
        <w:rPr>
          <w:rFonts w:eastAsiaTheme="minorHAnsi" w:cstheme="minorBidi"/>
        </w:rPr>
      </w:pPr>
      <w:r w:rsidRPr="009E58F7">
        <w:rPr>
          <w:rFonts w:eastAsiaTheme="minorHAnsi" w:cstheme="minorBidi"/>
        </w:rPr>
        <w:t xml:space="preserve">A </w:t>
      </w:r>
      <w:r w:rsidR="00DC500E" w:rsidRPr="009E58F7">
        <w:rPr>
          <w:rFonts w:eastAsiaTheme="minorHAnsi" w:cstheme="minorBidi"/>
        </w:rPr>
        <w:t>Bortezomib MSN</w:t>
      </w:r>
      <w:r w:rsidRPr="009E58F7">
        <w:rPr>
          <w:rFonts w:eastAsiaTheme="minorHAnsi" w:cstheme="minorBidi"/>
        </w:rPr>
        <w:t xml:space="preserve"> mono</w:t>
      </w:r>
      <w:r w:rsidR="001B7456" w:rsidRPr="009E58F7">
        <w:rPr>
          <w:rFonts w:eastAsiaTheme="minorHAnsi" w:cstheme="minorBidi"/>
        </w:rPr>
        <w:t>terápiában vagy pegilált liposzo</w:t>
      </w:r>
      <w:r w:rsidRPr="009E58F7">
        <w:rPr>
          <w:rFonts w:eastAsiaTheme="minorHAnsi" w:cstheme="minorBidi"/>
        </w:rPr>
        <w:t xml:space="preserve">mális doxorubicinnal vagy dexametazonnal </w:t>
      </w:r>
      <w:r w:rsidRPr="009E58F7">
        <w:t>kombinációban</w:t>
      </w:r>
      <w:r w:rsidRPr="009E58F7">
        <w:rPr>
          <w:rFonts w:eastAsiaTheme="minorHAnsi" w:cstheme="minorBidi"/>
        </w:rPr>
        <w:t xml:space="preserve"> progresszív myeloma multiplex kezelésére</w:t>
      </w:r>
      <w:r w:rsidRPr="009E58F7">
        <w:t xml:space="preserve"> javallott</w:t>
      </w:r>
      <w:r w:rsidRPr="009E58F7">
        <w:rPr>
          <w:rFonts w:eastAsiaTheme="minorHAnsi" w:cstheme="minorBidi"/>
        </w:rPr>
        <w:t xml:space="preserve"> olyan felnőtt betegeknél, akik korábban </w:t>
      </w:r>
      <w:r w:rsidRPr="009E58F7">
        <w:t xml:space="preserve">már </w:t>
      </w:r>
      <w:r w:rsidRPr="009E58F7">
        <w:rPr>
          <w:rFonts w:eastAsiaTheme="minorHAnsi" w:cstheme="minorBidi"/>
        </w:rPr>
        <w:t xml:space="preserve">legalább </w:t>
      </w:r>
      <w:r w:rsidR="00BA6E39" w:rsidRPr="009E58F7">
        <w:t>1 </w:t>
      </w:r>
      <w:r w:rsidRPr="009E58F7">
        <w:t xml:space="preserve">kezelésben </w:t>
      </w:r>
      <w:r w:rsidRPr="009E58F7">
        <w:rPr>
          <w:rFonts w:eastAsiaTheme="minorHAnsi" w:cstheme="minorBidi"/>
        </w:rPr>
        <w:t>részesültek</w:t>
      </w:r>
      <w:r w:rsidRPr="009E58F7">
        <w:t>, és akiknél már végeztek</w:t>
      </w:r>
      <w:r w:rsidRPr="009E58F7">
        <w:rPr>
          <w:rFonts w:eastAsiaTheme="minorHAnsi" w:cstheme="minorBidi"/>
        </w:rPr>
        <w:t xml:space="preserve"> </w:t>
      </w:r>
      <w:r w:rsidRPr="009E58F7">
        <w:t>haemopoeti</w:t>
      </w:r>
      <w:r w:rsidR="00D870A5" w:rsidRPr="009E58F7">
        <w:t>c</w:t>
      </w:r>
      <w:r w:rsidRPr="009E58F7">
        <w:t>us</w:t>
      </w:r>
      <w:r w:rsidRPr="009E58F7">
        <w:rPr>
          <w:rFonts w:eastAsiaTheme="minorHAnsi" w:cstheme="minorBidi"/>
        </w:rPr>
        <w:t xml:space="preserve"> őssejt</w:t>
      </w:r>
      <w:r w:rsidR="003F0F42">
        <w:rPr>
          <w:rFonts w:eastAsiaTheme="minorHAnsi" w:cstheme="minorBidi"/>
        </w:rPr>
        <w:t>-</w:t>
      </w:r>
      <w:r w:rsidR="00C5286C" w:rsidRPr="009E58F7">
        <w:t>transzplantáció</w:t>
      </w:r>
      <w:r w:rsidR="00D870A5" w:rsidRPr="009E58F7">
        <w:t>t</w:t>
      </w:r>
      <w:r w:rsidR="003F1E19" w:rsidRPr="009E58F7">
        <w:t xml:space="preserve"> </w:t>
      </w:r>
      <w:r w:rsidR="003F1E19" w:rsidRPr="009E58F7">
        <w:rPr>
          <w:rFonts w:eastAsiaTheme="minorHAnsi" w:cstheme="minorBidi"/>
        </w:rPr>
        <w:t xml:space="preserve">vagy </w:t>
      </w:r>
      <w:r w:rsidR="003F1E19" w:rsidRPr="009E58F7">
        <w:t>e</w:t>
      </w:r>
      <w:r w:rsidRPr="009E58F7">
        <w:t>rr</w:t>
      </w:r>
      <w:r w:rsidR="003F1E19" w:rsidRPr="009E58F7">
        <w:t>e</w:t>
      </w:r>
      <w:r w:rsidRPr="009E58F7">
        <w:rPr>
          <w:rFonts w:eastAsiaTheme="minorHAnsi" w:cstheme="minorBidi"/>
        </w:rPr>
        <w:t xml:space="preserve"> alkalmatlanok.</w:t>
      </w:r>
    </w:p>
    <w:p w14:paraId="3AFC7764" w14:textId="77777777" w:rsidR="004D6470" w:rsidRPr="009E58F7" w:rsidRDefault="004D6470" w:rsidP="007070F2">
      <w:pPr>
        <w:pStyle w:val="Nincstrkz"/>
      </w:pPr>
    </w:p>
    <w:p w14:paraId="027D13F2" w14:textId="00A2364D" w:rsidR="004D6470" w:rsidRPr="009E58F7" w:rsidRDefault="004D6470" w:rsidP="007070F2">
      <w:pPr>
        <w:spacing w:line="240" w:lineRule="auto"/>
        <w:contextualSpacing/>
        <w:rPr>
          <w:rFonts w:eastAsiaTheme="minorHAnsi" w:cstheme="minorBidi"/>
        </w:rPr>
      </w:pPr>
      <w:r w:rsidRPr="009E58F7">
        <w:rPr>
          <w:rFonts w:eastAsiaTheme="minorHAnsi" w:cstheme="minorBidi"/>
        </w:rPr>
        <w:t xml:space="preserve">A </w:t>
      </w:r>
      <w:r w:rsidR="00DC500E" w:rsidRPr="009E58F7">
        <w:rPr>
          <w:rFonts w:eastAsiaTheme="minorHAnsi" w:cstheme="minorBidi"/>
        </w:rPr>
        <w:t>Bortezomib MSN</w:t>
      </w:r>
      <w:r w:rsidRPr="009E58F7">
        <w:rPr>
          <w:rFonts w:eastAsiaTheme="minorHAnsi" w:cstheme="minorBidi"/>
        </w:rPr>
        <w:t xml:space="preserve"> melfalánnal és prednizonnal kombinációban </w:t>
      </w:r>
      <w:r w:rsidR="00D870A5" w:rsidRPr="009E58F7">
        <w:t>olyan</w:t>
      </w:r>
      <w:r w:rsidR="003F0F42">
        <w:t xml:space="preserve"> </w:t>
      </w:r>
      <w:r w:rsidR="00567DA4" w:rsidRPr="009E58F7">
        <w:rPr>
          <w:rFonts w:eastAsiaTheme="minorHAnsi" w:cstheme="minorBidi"/>
        </w:rPr>
        <w:t>myeloma multiplexben szenvedő</w:t>
      </w:r>
      <w:r w:rsidR="00567DA4" w:rsidRPr="009E58F7">
        <w:t>, korábban nem kezelt felnőtt betegek számára javallott, akik nem alkalmasak a</w:t>
      </w:r>
      <w:r w:rsidR="00567DA4" w:rsidRPr="009E58F7">
        <w:rPr>
          <w:rFonts w:eastAsiaTheme="minorHAnsi" w:cstheme="minorBidi"/>
        </w:rPr>
        <w:t xml:space="preserve"> </w:t>
      </w:r>
      <w:r w:rsidRPr="009E58F7">
        <w:rPr>
          <w:rFonts w:eastAsiaTheme="minorHAnsi" w:cstheme="minorBidi"/>
        </w:rPr>
        <w:t xml:space="preserve">nagy dózisú kemoterápiával kombinált </w:t>
      </w:r>
      <w:r w:rsidR="00C5286C" w:rsidRPr="009E58F7">
        <w:t>haemopoeti</w:t>
      </w:r>
      <w:r w:rsidR="00D870A5" w:rsidRPr="009E58F7">
        <w:t>c</w:t>
      </w:r>
      <w:r w:rsidR="00C5286C" w:rsidRPr="009E58F7">
        <w:t>us</w:t>
      </w:r>
      <w:r w:rsidRPr="009E58F7">
        <w:rPr>
          <w:rFonts w:eastAsiaTheme="minorHAnsi" w:cstheme="minorBidi"/>
        </w:rPr>
        <w:t xml:space="preserve"> őssejt</w:t>
      </w:r>
      <w:r w:rsidR="003F0F42">
        <w:t>-</w:t>
      </w:r>
      <w:r w:rsidRPr="009E58F7">
        <w:rPr>
          <w:rFonts w:eastAsiaTheme="minorHAnsi" w:cstheme="minorBidi"/>
        </w:rPr>
        <w:t>transzplantációra.</w:t>
      </w:r>
    </w:p>
    <w:p w14:paraId="1372CB83" w14:textId="77777777" w:rsidR="004D6470" w:rsidRPr="009E58F7" w:rsidRDefault="004D6470" w:rsidP="007070F2">
      <w:pPr>
        <w:pStyle w:val="Nincstrkz"/>
      </w:pPr>
    </w:p>
    <w:p w14:paraId="35F61498" w14:textId="070C34CA" w:rsidR="004D6470" w:rsidRPr="009E58F7" w:rsidRDefault="004D6470" w:rsidP="007070F2">
      <w:pPr>
        <w:spacing w:line="240" w:lineRule="auto"/>
        <w:contextualSpacing/>
        <w:rPr>
          <w:rFonts w:eastAsiaTheme="minorHAnsi" w:cstheme="minorBidi"/>
        </w:rPr>
      </w:pPr>
      <w:r w:rsidRPr="009E58F7">
        <w:rPr>
          <w:rFonts w:eastAsiaTheme="minorHAnsi" w:cstheme="minorBidi"/>
        </w:rPr>
        <w:t xml:space="preserve">A </w:t>
      </w:r>
      <w:r w:rsidR="00DC500E" w:rsidRPr="009E58F7">
        <w:rPr>
          <w:rFonts w:eastAsiaTheme="minorHAnsi" w:cstheme="minorBidi"/>
        </w:rPr>
        <w:t>Bortezomib MSN</w:t>
      </w:r>
      <w:r w:rsidRPr="009E58F7">
        <w:rPr>
          <w:rFonts w:eastAsiaTheme="minorHAnsi" w:cstheme="minorBidi"/>
        </w:rPr>
        <w:t xml:space="preserve"> dexametazonnal vagy dexametazonnal és talidomiddal </w:t>
      </w:r>
      <w:r w:rsidR="00C5286C" w:rsidRPr="009E58F7">
        <w:t>kombinál</w:t>
      </w:r>
      <w:r w:rsidR="00D870A5" w:rsidRPr="009E58F7">
        <w:t>va</w:t>
      </w:r>
      <w:r w:rsidRPr="009E58F7">
        <w:t xml:space="preserve"> </w:t>
      </w:r>
      <w:r w:rsidRPr="009E58F7">
        <w:rPr>
          <w:rFonts w:eastAsiaTheme="minorHAnsi" w:cstheme="minorBidi"/>
        </w:rPr>
        <w:t xml:space="preserve">olyan myeloma multiplexben szenvedő, korábban nem kezelt </w:t>
      </w:r>
      <w:r w:rsidRPr="009E58F7">
        <w:t>felnőtt betegek</w:t>
      </w:r>
      <w:r w:rsidRPr="009E58F7">
        <w:rPr>
          <w:rFonts w:eastAsiaTheme="minorHAnsi" w:cstheme="minorBidi"/>
        </w:rPr>
        <w:t xml:space="preserve"> indukciós kezelésére javallott, akik </w:t>
      </w:r>
      <w:r w:rsidR="00567DA4" w:rsidRPr="009E58F7">
        <w:t>a</w:t>
      </w:r>
      <w:r w:rsidR="00567DA4" w:rsidRPr="009E58F7">
        <w:rPr>
          <w:rFonts w:eastAsiaTheme="minorHAnsi" w:cstheme="minorBidi"/>
        </w:rPr>
        <w:t xml:space="preserve"> </w:t>
      </w:r>
      <w:r w:rsidRPr="009E58F7">
        <w:rPr>
          <w:rFonts w:eastAsiaTheme="minorHAnsi" w:cstheme="minorBidi"/>
        </w:rPr>
        <w:t xml:space="preserve">nagy dózisú </w:t>
      </w:r>
      <w:r w:rsidR="00C5286C" w:rsidRPr="009E58F7">
        <w:t>kemoterápiával kombinált haemopoeti</w:t>
      </w:r>
      <w:r w:rsidR="00D870A5" w:rsidRPr="009E58F7">
        <w:t>c</w:t>
      </w:r>
      <w:r w:rsidR="00C5286C" w:rsidRPr="009E58F7">
        <w:t>us</w:t>
      </w:r>
      <w:r w:rsidRPr="009E58F7">
        <w:rPr>
          <w:rFonts w:eastAsiaTheme="minorHAnsi" w:cstheme="minorBidi"/>
        </w:rPr>
        <w:t xml:space="preserve"> őssejt</w:t>
      </w:r>
      <w:r w:rsidR="00621E19">
        <w:t>-</w:t>
      </w:r>
      <w:r w:rsidRPr="009E58F7">
        <w:rPr>
          <w:rFonts w:eastAsiaTheme="minorHAnsi" w:cstheme="minorBidi"/>
        </w:rPr>
        <w:t>transzplantációra</w:t>
      </w:r>
      <w:r w:rsidRPr="009E58F7">
        <w:t xml:space="preserve"> alkalmasak</w:t>
      </w:r>
      <w:r w:rsidRPr="009E58F7">
        <w:rPr>
          <w:rFonts w:eastAsiaTheme="minorHAnsi" w:cstheme="minorBidi"/>
        </w:rPr>
        <w:t>.</w:t>
      </w:r>
    </w:p>
    <w:p w14:paraId="3C80D7F2" w14:textId="77777777" w:rsidR="004D6470" w:rsidRPr="009E58F7" w:rsidRDefault="004D6470" w:rsidP="007070F2">
      <w:pPr>
        <w:pStyle w:val="Nincstrkz"/>
      </w:pPr>
    </w:p>
    <w:p w14:paraId="35E938C1" w14:textId="6A09C8F0" w:rsidR="004D6470" w:rsidRPr="009E58F7" w:rsidRDefault="004D6470" w:rsidP="007070F2">
      <w:pPr>
        <w:spacing w:line="240" w:lineRule="auto"/>
        <w:contextualSpacing/>
        <w:rPr>
          <w:rFonts w:eastAsiaTheme="minorHAnsi" w:cstheme="minorBidi"/>
        </w:rPr>
      </w:pPr>
      <w:r w:rsidRPr="009E58F7">
        <w:rPr>
          <w:rFonts w:eastAsiaTheme="minorHAnsi" w:cstheme="minorBidi"/>
        </w:rPr>
        <w:t xml:space="preserve">A </w:t>
      </w:r>
      <w:r w:rsidR="00DC500E" w:rsidRPr="009E58F7">
        <w:rPr>
          <w:rFonts w:eastAsiaTheme="minorHAnsi" w:cstheme="minorBidi"/>
        </w:rPr>
        <w:t>Bortezomib MSN</w:t>
      </w:r>
      <w:r w:rsidRPr="009E58F7">
        <w:rPr>
          <w:rFonts w:eastAsiaTheme="minorHAnsi" w:cstheme="minorBidi"/>
        </w:rPr>
        <w:t xml:space="preserve"> rituximabbal, ciklofoszfamiddal, doxorubicinnel és prednizonnal kombinációban olyan, korábban nem kezelt, köpenysejtes lymphomában </w:t>
      </w:r>
      <w:r w:rsidR="00C5286C" w:rsidRPr="009E58F7">
        <w:t>szenvedő</w:t>
      </w:r>
      <w:r w:rsidRPr="009E58F7">
        <w:t xml:space="preserve"> </w:t>
      </w:r>
      <w:r w:rsidRPr="009E58F7">
        <w:rPr>
          <w:rFonts w:eastAsiaTheme="minorHAnsi" w:cstheme="minorBidi"/>
        </w:rPr>
        <w:t xml:space="preserve">felnőtt betegek kezelésére javallott, akik nem alkalmasak </w:t>
      </w:r>
      <w:r w:rsidR="00C5286C" w:rsidRPr="009E58F7">
        <w:t>haemopoeti</w:t>
      </w:r>
      <w:r w:rsidR="00D870A5" w:rsidRPr="009E58F7">
        <w:t>c</w:t>
      </w:r>
      <w:r w:rsidR="00C5286C" w:rsidRPr="009E58F7">
        <w:t>us</w:t>
      </w:r>
      <w:r w:rsidRPr="009E58F7">
        <w:t xml:space="preserve"> </w:t>
      </w:r>
      <w:r w:rsidRPr="009E58F7">
        <w:rPr>
          <w:rFonts w:eastAsiaTheme="minorHAnsi" w:cstheme="minorBidi"/>
        </w:rPr>
        <w:t>őssejt</w:t>
      </w:r>
      <w:r w:rsidR="003F0F42">
        <w:t>-</w:t>
      </w:r>
      <w:r w:rsidRPr="009E58F7">
        <w:rPr>
          <w:rFonts w:eastAsiaTheme="minorHAnsi" w:cstheme="minorBidi"/>
        </w:rPr>
        <w:t>transzplantációra.</w:t>
      </w:r>
    </w:p>
    <w:p w14:paraId="4F3315C9" w14:textId="77777777" w:rsidR="004D6470" w:rsidRPr="009E58F7" w:rsidRDefault="004D6470" w:rsidP="007070F2">
      <w:pPr>
        <w:widowControl w:val="0"/>
        <w:autoSpaceDE w:val="0"/>
        <w:autoSpaceDN w:val="0"/>
        <w:adjustRightInd w:val="0"/>
        <w:spacing w:line="240" w:lineRule="auto"/>
      </w:pPr>
    </w:p>
    <w:p w14:paraId="75D79968" w14:textId="43E80509" w:rsidR="004D6470" w:rsidRPr="009E58F7" w:rsidRDefault="004D6470" w:rsidP="007070F2">
      <w:pPr>
        <w:keepNext/>
        <w:numPr>
          <w:ilvl w:val="0"/>
          <w:numId w:val="6"/>
        </w:numPr>
        <w:tabs>
          <w:tab w:val="clear" w:pos="720"/>
          <w:tab w:val="num" w:pos="564"/>
        </w:tabs>
        <w:overflowPunct w:val="0"/>
        <w:autoSpaceDE w:val="0"/>
        <w:autoSpaceDN w:val="0"/>
        <w:adjustRightInd w:val="0"/>
        <w:spacing w:line="240" w:lineRule="auto"/>
        <w:ind w:left="561" w:hanging="561"/>
        <w:rPr>
          <w:b/>
          <w:color w:val="000000"/>
        </w:rPr>
      </w:pPr>
      <w:r w:rsidRPr="009E58F7">
        <w:rPr>
          <w:b/>
          <w:color w:val="000000"/>
        </w:rPr>
        <w:t>Adagolás és alkalmazás</w:t>
      </w:r>
    </w:p>
    <w:p w14:paraId="6B251F5E" w14:textId="77777777" w:rsidR="004D6470" w:rsidRPr="009E58F7" w:rsidRDefault="004D6470" w:rsidP="007070F2">
      <w:pPr>
        <w:pStyle w:val="Nincstrkz"/>
        <w:keepNext/>
      </w:pPr>
    </w:p>
    <w:p w14:paraId="0A314B45" w14:textId="7A51DA88" w:rsidR="004D6470" w:rsidRPr="009E58F7" w:rsidRDefault="004D6470" w:rsidP="007070F2">
      <w:pPr>
        <w:spacing w:line="240" w:lineRule="auto"/>
        <w:contextualSpacing/>
      </w:pPr>
      <w:r w:rsidRPr="009E58F7">
        <w:rPr>
          <w:rFonts w:eastAsiaTheme="minorHAnsi"/>
          <w:color w:val="000000"/>
        </w:rPr>
        <w:t xml:space="preserve">A </w:t>
      </w:r>
      <w:r w:rsidR="008B6253" w:rsidRPr="009E58F7">
        <w:t>bortezomib</w:t>
      </w:r>
      <w:r w:rsidR="00FE5B85">
        <w:t>-</w:t>
      </w:r>
      <w:r w:rsidRPr="009E58F7">
        <w:t xml:space="preserve">kezelés </w:t>
      </w:r>
      <w:r w:rsidR="00C5286C" w:rsidRPr="009E58F7">
        <w:t>csak a daganatos betegek kezelésében tapasztalattal rendelkező orvos</w:t>
      </w:r>
      <w:r w:rsidRPr="009E58F7">
        <w:t xml:space="preserve"> felügyelete </w:t>
      </w:r>
      <w:r w:rsidR="00C5286C" w:rsidRPr="009E58F7">
        <w:t>mellett</w:t>
      </w:r>
      <w:r w:rsidRPr="009E58F7">
        <w:t xml:space="preserve"> kezdhető meg</w:t>
      </w:r>
      <w:r w:rsidR="00C5286C" w:rsidRPr="009E58F7">
        <w:t xml:space="preserve">, </w:t>
      </w:r>
      <w:r w:rsidR="00A92DCD" w:rsidRPr="009E58F7">
        <w:t xml:space="preserve">azonban </w:t>
      </w:r>
      <w:r w:rsidR="00C5286C" w:rsidRPr="009E58F7">
        <w:t xml:space="preserve">a </w:t>
      </w:r>
      <w:r w:rsidR="008B6253" w:rsidRPr="009E58F7">
        <w:t>bortezomib</w:t>
      </w:r>
      <w:r w:rsidR="00C5286C" w:rsidRPr="009E58F7">
        <w:t xml:space="preserve"> beadását olyan </w:t>
      </w:r>
      <w:r w:rsidRPr="009E58F7">
        <w:t xml:space="preserve">egészségügyi szakember </w:t>
      </w:r>
      <w:r w:rsidR="00A92DCD" w:rsidRPr="009E58F7">
        <w:t xml:space="preserve">is </w:t>
      </w:r>
      <w:r w:rsidRPr="009E58F7">
        <w:t>végezheti</w:t>
      </w:r>
      <w:r w:rsidR="00C5286C" w:rsidRPr="009E58F7">
        <w:t>, aki járt</w:t>
      </w:r>
      <w:r w:rsidR="00A92DCD" w:rsidRPr="009E58F7">
        <w:t>a</w:t>
      </w:r>
      <w:r w:rsidR="00C5286C" w:rsidRPr="009E58F7">
        <w:t xml:space="preserve">s a kemoterápiás készítmények alkalmazásában. A </w:t>
      </w:r>
      <w:r w:rsidR="008B6253" w:rsidRPr="009E58F7">
        <w:t>bortezomib</w:t>
      </w:r>
      <w:r w:rsidR="00C5286C" w:rsidRPr="009E58F7">
        <w:t xml:space="preserve"> </w:t>
      </w:r>
      <w:r w:rsidR="00A92DCD" w:rsidRPr="009E58F7">
        <w:t xml:space="preserve">feloldását </w:t>
      </w:r>
      <w:r w:rsidR="00C5286C" w:rsidRPr="009E58F7">
        <w:t xml:space="preserve">kizárólag egészségügyi szakember </w:t>
      </w:r>
      <w:r w:rsidR="00A92DCD" w:rsidRPr="009E58F7">
        <w:t>végezheti</w:t>
      </w:r>
      <w:r w:rsidR="00C5286C" w:rsidRPr="009E58F7">
        <w:t xml:space="preserve"> (lásd 6.6</w:t>
      </w:r>
      <w:r w:rsidR="00A92DCD" w:rsidRPr="009E58F7">
        <w:t> </w:t>
      </w:r>
      <w:r w:rsidR="00C5286C" w:rsidRPr="009E58F7">
        <w:t>pont).</w:t>
      </w:r>
    </w:p>
    <w:p w14:paraId="20213BC2" w14:textId="77777777" w:rsidR="004D6470" w:rsidRPr="009E58F7" w:rsidRDefault="004D6470" w:rsidP="007070F2">
      <w:pPr>
        <w:pStyle w:val="Nincstrkz"/>
        <w:rPr>
          <w:color w:val="000000"/>
          <w:u w:val="single"/>
        </w:rPr>
      </w:pPr>
      <w:bookmarkStart w:id="1" w:name="page75"/>
      <w:bookmarkEnd w:id="1"/>
    </w:p>
    <w:p w14:paraId="35FE42F7" w14:textId="3139999B" w:rsidR="004D6470" w:rsidRPr="009E58F7" w:rsidRDefault="004D6470" w:rsidP="007070F2">
      <w:pPr>
        <w:keepNext/>
        <w:spacing w:line="240" w:lineRule="auto"/>
        <w:contextualSpacing/>
        <w:rPr>
          <w:rFonts w:eastAsiaTheme="minorHAnsi"/>
          <w:color w:val="000000"/>
          <w:u w:val="single"/>
        </w:rPr>
      </w:pPr>
      <w:r w:rsidRPr="009E58F7">
        <w:rPr>
          <w:rFonts w:eastAsiaTheme="minorHAnsi"/>
          <w:color w:val="000000"/>
          <w:u w:val="single"/>
        </w:rPr>
        <w:lastRenderedPageBreak/>
        <w:t xml:space="preserve">Adagolás progresszív myeloma multiplex </w:t>
      </w:r>
      <w:r w:rsidR="00C5286C" w:rsidRPr="009E58F7">
        <w:rPr>
          <w:u w:val="single"/>
        </w:rPr>
        <w:t>kezelése esetén</w:t>
      </w:r>
      <w:r w:rsidRPr="009E58F7">
        <w:rPr>
          <w:u w:val="single"/>
        </w:rPr>
        <w:t xml:space="preserve"> </w:t>
      </w:r>
      <w:r w:rsidRPr="009E58F7">
        <w:rPr>
          <w:rFonts w:eastAsiaTheme="minorHAnsi"/>
          <w:color w:val="000000"/>
          <w:u w:val="single"/>
        </w:rPr>
        <w:t>(olyan betegek</w:t>
      </w:r>
      <w:r w:rsidR="00A92DCD" w:rsidRPr="009E58F7">
        <w:rPr>
          <w:color w:val="000000"/>
          <w:u w:val="single"/>
        </w:rPr>
        <w:t xml:space="preserve"> eseté</w:t>
      </w:r>
      <w:r w:rsidRPr="009E58F7">
        <w:rPr>
          <w:color w:val="000000"/>
          <w:u w:val="single"/>
        </w:rPr>
        <w:t>n</w:t>
      </w:r>
      <w:r w:rsidRPr="009E58F7">
        <w:rPr>
          <w:rFonts w:eastAsiaTheme="minorHAnsi"/>
          <w:color w:val="000000"/>
          <w:u w:val="single"/>
        </w:rPr>
        <w:t xml:space="preserve">, akik </w:t>
      </w:r>
      <w:r w:rsidR="003F1E19" w:rsidRPr="009E58F7">
        <w:rPr>
          <w:color w:val="000000"/>
          <w:u w:val="single"/>
        </w:rPr>
        <w:t xml:space="preserve">korábban </w:t>
      </w:r>
      <w:r w:rsidRPr="009E58F7">
        <w:rPr>
          <w:rFonts w:eastAsiaTheme="minorHAnsi"/>
          <w:color w:val="000000"/>
          <w:u w:val="single"/>
        </w:rPr>
        <w:t xml:space="preserve">legalább </w:t>
      </w:r>
      <w:r w:rsidR="00A92DCD" w:rsidRPr="009E58F7">
        <w:rPr>
          <w:rFonts w:eastAsiaTheme="minorHAnsi"/>
          <w:color w:val="000000"/>
          <w:u w:val="single"/>
        </w:rPr>
        <w:t>1 </w:t>
      </w:r>
      <w:r w:rsidRPr="009E58F7">
        <w:rPr>
          <w:rFonts w:eastAsiaTheme="minorHAnsi"/>
          <w:color w:val="000000"/>
          <w:u w:val="single"/>
        </w:rPr>
        <w:t>kezelést kaptak)</w:t>
      </w:r>
    </w:p>
    <w:p w14:paraId="4482A43A" w14:textId="77777777" w:rsidR="00FB0963" w:rsidRPr="009E58F7" w:rsidRDefault="00FB0963" w:rsidP="007070F2">
      <w:pPr>
        <w:keepNext/>
        <w:spacing w:line="240" w:lineRule="auto"/>
        <w:contextualSpacing/>
      </w:pPr>
    </w:p>
    <w:p w14:paraId="7B5D7A48" w14:textId="77777777" w:rsidR="004D6470" w:rsidRPr="009E58F7" w:rsidRDefault="004D6470" w:rsidP="00D968CE">
      <w:pPr>
        <w:keepNext/>
        <w:autoSpaceDE w:val="0"/>
        <w:autoSpaceDN w:val="0"/>
        <w:adjustRightInd w:val="0"/>
        <w:spacing w:line="240" w:lineRule="auto"/>
      </w:pPr>
      <w:r w:rsidRPr="009E58F7">
        <w:rPr>
          <w:i/>
          <w:color w:val="000000"/>
        </w:rPr>
        <w:t>Monoterápia</w:t>
      </w:r>
    </w:p>
    <w:p w14:paraId="4C2907E7" w14:textId="77777777" w:rsidR="004D6470" w:rsidRPr="009E58F7" w:rsidRDefault="004D6470" w:rsidP="003D25C3">
      <w:pPr>
        <w:keepNext/>
        <w:autoSpaceDE w:val="0"/>
        <w:autoSpaceDN w:val="0"/>
        <w:adjustRightInd w:val="0"/>
        <w:spacing w:line="240" w:lineRule="auto"/>
      </w:pPr>
    </w:p>
    <w:p w14:paraId="5D210A8C" w14:textId="7272A1A2" w:rsidR="004D6470" w:rsidRPr="009E58F7" w:rsidRDefault="003F1E19">
      <w:pPr>
        <w:spacing w:line="240" w:lineRule="auto"/>
        <w:contextualSpacing/>
      </w:pPr>
      <w:r w:rsidRPr="009E58F7">
        <w:rPr>
          <w:rFonts w:eastAsiaTheme="minorHAnsi"/>
        </w:rPr>
        <w:t xml:space="preserve">A </w:t>
      </w:r>
      <w:r w:rsidR="008B6253" w:rsidRPr="009E58F7">
        <w:t>bortezomib</w:t>
      </w:r>
      <w:r w:rsidR="00C5286C" w:rsidRPr="009E58F7">
        <w:t xml:space="preserve"> 3,5</w:t>
      </w:r>
      <w:r w:rsidR="00A92DCD" w:rsidRPr="009E58F7">
        <w:t> </w:t>
      </w:r>
      <w:r w:rsidR="00C5286C" w:rsidRPr="009E58F7">
        <w:t>mg por oldatos injekcióhoz beadása</w:t>
      </w:r>
      <w:r w:rsidR="004D6470" w:rsidRPr="009E58F7">
        <w:rPr>
          <w:rFonts w:eastAsiaTheme="minorHAnsi"/>
        </w:rPr>
        <w:t xml:space="preserve"> intravénás vagy subcutan injekcióban </w:t>
      </w:r>
      <w:r w:rsidR="00C5286C" w:rsidRPr="009E58F7">
        <w:t>történik, az</w:t>
      </w:r>
      <w:r w:rsidR="004D6470" w:rsidRPr="009E58F7">
        <w:rPr>
          <w:rFonts w:eastAsiaTheme="minorHAnsi"/>
        </w:rPr>
        <w:t xml:space="preserve"> ajánlott </w:t>
      </w:r>
      <w:r w:rsidR="00A92DCD" w:rsidRPr="009E58F7">
        <w:t>dózis</w:t>
      </w:r>
      <w:r w:rsidR="004D6470" w:rsidRPr="009E58F7">
        <w:t xml:space="preserve"> hetente kétszer</w:t>
      </w:r>
      <w:r w:rsidR="004D6470" w:rsidRPr="009E58F7">
        <w:rPr>
          <w:rFonts w:eastAsiaTheme="minorHAnsi"/>
        </w:rPr>
        <w:t xml:space="preserve"> 1,3</w:t>
      </w:r>
      <w:r w:rsidR="004D6470" w:rsidRPr="009E58F7">
        <w:t> </w:t>
      </w:r>
      <w:r w:rsidR="004D6470" w:rsidRPr="009E58F7">
        <w:rPr>
          <w:rFonts w:eastAsiaTheme="minorHAnsi"/>
        </w:rPr>
        <w:t>mg/testfelület m</w:t>
      </w:r>
      <w:r w:rsidR="004D6470" w:rsidRPr="009E58F7">
        <w:rPr>
          <w:rFonts w:eastAsiaTheme="minorHAnsi"/>
          <w:vertAlign w:val="superscript"/>
        </w:rPr>
        <w:t>2</w:t>
      </w:r>
      <w:r w:rsidR="004D6470" w:rsidRPr="009E58F7">
        <w:t>,</w:t>
      </w:r>
      <w:r w:rsidR="004D6470" w:rsidRPr="009E58F7">
        <w:rPr>
          <w:rFonts w:eastAsiaTheme="minorHAnsi"/>
        </w:rPr>
        <w:t xml:space="preserve"> </w:t>
      </w:r>
      <w:r w:rsidR="003F0F42">
        <w:rPr>
          <w:rFonts w:eastAsiaTheme="minorHAnsi"/>
        </w:rPr>
        <w:t>2 </w:t>
      </w:r>
      <w:r w:rsidR="004D6470" w:rsidRPr="009E58F7">
        <w:rPr>
          <w:rFonts w:eastAsiaTheme="minorHAnsi"/>
        </w:rPr>
        <w:t xml:space="preserve">héten </w:t>
      </w:r>
      <w:r w:rsidR="004D6470" w:rsidRPr="009E58F7">
        <w:t>keresztül,</w:t>
      </w:r>
      <w:r w:rsidR="004D6470" w:rsidRPr="009E58F7">
        <w:rPr>
          <w:rFonts w:eastAsiaTheme="minorHAnsi"/>
        </w:rPr>
        <w:t xml:space="preserve"> egy 21</w:t>
      </w:r>
      <w:r w:rsidR="004D6470" w:rsidRPr="009E58F7">
        <w:t> </w:t>
      </w:r>
      <w:r w:rsidR="004D6470" w:rsidRPr="009E58F7">
        <w:rPr>
          <w:rFonts w:eastAsiaTheme="minorHAnsi"/>
        </w:rPr>
        <w:t>napos kezelési ciklus 1., 4., 8. és 11.</w:t>
      </w:r>
      <w:r w:rsidR="004D6470" w:rsidRPr="009E58F7">
        <w:t> </w:t>
      </w:r>
      <w:r w:rsidR="004D6470" w:rsidRPr="009E58F7">
        <w:rPr>
          <w:rFonts w:eastAsiaTheme="minorHAnsi"/>
        </w:rPr>
        <w:t>napján. Ez a 3</w:t>
      </w:r>
      <w:r w:rsidR="004D6470" w:rsidRPr="009E58F7">
        <w:t> </w:t>
      </w:r>
      <w:r w:rsidR="004D6470" w:rsidRPr="009E58F7">
        <w:rPr>
          <w:rFonts w:eastAsiaTheme="minorHAnsi"/>
        </w:rPr>
        <w:t xml:space="preserve">hetes periódus egy kezelési ciklusnak felel meg. </w:t>
      </w:r>
      <w:bookmarkStart w:id="2" w:name="page36"/>
      <w:bookmarkEnd w:id="2"/>
      <w:r w:rsidR="004D6470" w:rsidRPr="009E58F7">
        <w:t>A betegeknek</w:t>
      </w:r>
      <w:r w:rsidR="004D6470" w:rsidRPr="009E58F7">
        <w:rPr>
          <w:rFonts w:eastAsiaTheme="minorHAnsi"/>
        </w:rPr>
        <w:t xml:space="preserve"> a komplett válasz megerősítését </w:t>
      </w:r>
      <w:r w:rsidR="00C5286C" w:rsidRPr="009E58F7">
        <w:t>követően</w:t>
      </w:r>
      <w:r w:rsidR="00A92DCD" w:rsidRPr="009E58F7">
        <w:t xml:space="preserve"> </w:t>
      </w:r>
      <w:r w:rsidR="004D6470" w:rsidRPr="009E58F7">
        <w:t>ajánlott</w:t>
      </w:r>
      <w:r w:rsidR="004D6470" w:rsidRPr="009E58F7">
        <w:rPr>
          <w:rFonts w:eastAsiaTheme="minorHAnsi"/>
        </w:rPr>
        <w:t xml:space="preserve"> még </w:t>
      </w:r>
      <w:r w:rsidR="00A92DCD" w:rsidRPr="009E58F7">
        <w:t xml:space="preserve">2 ciklus bortezomibot adni. </w:t>
      </w:r>
      <w:r w:rsidR="00C5286C" w:rsidRPr="009E58F7">
        <w:t>Ajánlott továbbá</w:t>
      </w:r>
      <w:r w:rsidR="004D6470" w:rsidRPr="009E58F7">
        <w:rPr>
          <w:rFonts w:eastAsiaTheme="minorHAnsi"/>
        </w:rPr>
        <w:t>, hogy azok a betegek, akik reagáltak a kezelésre, de nem érték el a komplett remissziót, összes</w:t>
      </w:r>
      <w:r w:rsidR="00AD67EC" w:rsidRPr="009E58F7">
        <w:rPr>
          <w:rFonts w:eastAsiaTheme="minorHAnsi"/>
        </w:rPr>
        <w:t>en 8</w:t>
      </w:r>
      <w:r w:rsidR="00AD67EC" w:rsidRPr="009E58F7">
        <w:t> </w:t>
      </w:r>
      <w:r w:rsidR="00AD67EC" w:rsidRPr="009E58F7">
        <w:rPr>
          <w:rFonts w:eastAsiaTheme="minorHAnsi"/>
        </w:rPr>
        <w:t>cikluson át részesüljenek b</w:t>
      </w:r>
      <w:r w:rsidR="004D6470" w:rsidRPr="009E58F7">
        <w:rPr>
          <w:rFonts w:eastAsiaTheme="minorHAnsi"/>
        </w:rPr>
        <w:t>ortezomib</w:t>
      </w:r>
      <w:r w:rsidR="003F0F42">
        <w:t>-</w:t>
      </w:r>
      <w:r w:rsidR="004D6470" w:rsidRPr="009E58F7">
        <w:rPr>
          <w:rFonts w:eastAsiaTheme="minorHAnsi"/>
        </w:rPr>
        <w:t xml:space="preserve">terápiában. A </w:t>
      </w:r>
      <w:r w:rsidR="00AD67EC" w:rsidRPr="009E58F7">
        <w:rPr>
          <w:rFonts w:eastAsiaTheme="minorHAnsi"/>
        </w:rPr>
        <w:t>b</w:t>
      </w:r>
      <w:r w:rsidR="004D6470" w:rsidRPr="009E58F7">
        <w:rPr>
          <w:rFonts w:eastAsiaTheme="minorHAnsi"/>
        </w:rPr>
        <w:t xml:space="preserve">ortezomib egymást követő </w:t>
      </w:r>
      <w:r w:rsidR="004D6470" w:rsidRPr="009E58F7">
        <w:t>dózisai</w:t>
      </w:r>
      <w:r w:rsidR="004D6470" w:rsidRPr="009E58F7">
        <w:rPr>
          <w:rFonts w:eastAsiaTheme="minorHAnsi"/>
        </w:rPr>
        <w:t xml:space="preserve"> között legalább 72</w:t>
      </w:r>
      <w:r w:rsidR="004D6470" w:rsidRPr="009E58F7">
        <w:t> </w:t>
      </w:r>
      <w:r w:rsidR="004D6470" w:rsidRPr="009E58F7">
        <w:rPr>
          <w:rFonts w:eastAsiaTheme="minorHAnsi"/>
        </w:rPr>
        <w:t>órának kell eltelnie.</w:t>
      </w:r>
    </w:p>
    <w:p w14:paraId="579E90B3" w14:textId="77777777" w:rsidR="004D6470" w:rsidRPr="009E58F7" w:rsidRDefault="004D6470">
      <w:pPr>
        <w:widowControl w:val="0"/>
        <w:autoSpaceDE w:val="0"/>
        <w:autoSpaceDN w:val="0"/>
        <w:adjustRightInd w:val="0"/>
        <w:spacing w:line="240" w:lineRule="auto"/>
      </w:pPr>
    </w:p>
    <w:p w14:paraId="7921F5D2" w14:textId="628C662A" w:rsidR="004D6470" w:rsidRPr="009E58F7" w:rsidRDefault="004D6470">
      <w:pPr>
        <w:keepNext/>
        <w:autoSpaceDE w:val="0"/>
        <w:autoSpaceDN w:val="0"/>
        <w:adjustRightInd w:val="0"/>
        <w:spacing w:line="240" w:lineRule="auto"/>
      </w:pPr>
      <w:r w:rsidRPr="009E58F7">
        <w:rPr>
          <w:i/>
          <w:iCs/>
          <w:color w:val="000000"/>
        </w:rPr>
        <w:t>Dózismódosítások</w:t>
      </w:r>
      <w:r w:rsidRPr="009E58F7">
        <w:rPr>
          <w:i/>
          <w:color w:val="000000"/>
        </w:rPr>
        <w:t xml:space="preserve"> a terápia </w:t>
      </w:r>
      <w:r w:rsidRPr="009E58F7">
        <w:rPr>
          <w:i/>
          <w:iCs/>
          <w:color w:val="000000"/>
        </w:rPr>
        <w:t>alatt</w:t>
      </w:r>
      <w:r w:rsidRPr="009E58F7">
        <w:rPr>
          <w:i/>
          <w:color w:val="000000"/>
        </w:rPr>
        <w:t>, illetve a kezelés újrakezdése monoterápiában</w:t>
      </w:r>
    </w:p>
    <w:p w14:paraId="5B2808BB" w14:textId="71C932C7" w:rsidR="00A92DCD" w:rsidRPr="009E58F7" w:rsidRDefault="00A92DCD">
      <w:pPr>
        <w:tabs>
          <w:tab w:val="left" w:pos="622"/>
        </w:tabs>
        <w:spacing w:line="240" w:lineRule="auto"/>
        <w:contextualSpacing/>
      </w:pPr>
      <w:r w:rsidRPr="009E58F7">
        <w:t xml:space="preserve">A </w:t>
      </w:r>
      <w:r w:rsidR="00AD67EC" w:rsidRPr="009E58F7">
        <w:t>b</w:t>
      </w:r>
      <w:r w:rsidR="004D6470" w:rsidRPr="009E58F7">
        <w:t>ortezomib</w:t>
      </w:r>
      <w:r w:rsidR="00FE5B85">
        <w:t>-</w:t>
      </w:r>
      <w:r w:rsidR="004D6470" w:rsidRPr="009E58F7">
        <w:rPr>
          <w:color w:val="000000"/>
        </w:rPr>
        <w:t>kezelést félbe kell szakítani 3</w:t>
      </w:r>
      <w:r w:rsidR="00BD5400">
        <w:rPr>
          <w:color w:val="000000"/>
        </w:rPr>
        <w:t>-</w:t>
      </w:r>
      <w:r w:rsidR="004D6470" w:rsidRPr="009E58F7">
        <w:rPr>
          <w:color w:val="000000"/>
        </w:rPr>
        <w:t>as fokozatú</w:t>
      </w:r>
      <w:r w:rsidR="00AD67EC" w:rsidRPr="009E58F7">
        <w:rPr>
          <w:color w:val="000000"/>
        </w:rPr>
        <w:t>,</w:t>
      </w:r>
      <w:r w:rsidR="004D6470" w:rsidRPr="009E58F7">
        <w:rPr>
          <w:color w:val="000000"/>
        </w:rPr>
        <w:t xml:space="preserve"> nem</w:t>
      </w:r>
      <w:r w:rsidR="00BD5400">
        <w:rPr>
          <w:color w:val="000000"/>
        </w:rPr>
        <w:t xml:space="preserve"> </w:t>
      </w:r>
      <w:r w:rsidR="004D6470" w:rsidRPr="009E58F7">
        <w:rPr>
          <w:color w:val="000000"/>
        </w:rPr>
        <w:t>hematológiai toxicitás, illetve 4</w:t>
      </w:r>
      <w:r w:rsidR="00BD5400">
        <w:rPr>
          <w:color w:val="000000"/>
        </w:rPr>
        <w:t>-</w:t>
      </w:r>
      <w:r w:rsidR="004D6470" w:rsidRPr="009E58F7">
        <w:rPr>
          <w:color w:val="000000"/>
        </w:rPr>
        <w:t xml:space="preserve">es fokozatú hematológiai toxicitás jelentkezésekor, kivéve a </w:t>
      </w:r>
      <w:r w:rsidR="00C5286C" w:rsidRPr="009E58F7">
        <w:t>neuropathia kialakulását</w:t>
      </w:r>
      <w:r w:rsidR="004D6470" w:rsidRPr="009E58F7">
        <w:rPr>
          <w:color w:val="000000"/>
        </w:rPr>
        <w:t xml:space="preserve">, amely az alábbiakban külön </w:t>
      </w:r>
      <w:r w:rsidR="00AD67EC" w:rsidRPr="009E58F7">
        <w:rPr>
          <w:color w:val="000000"/>
        </w:rPr>
        <w:t xml:space="preserve">kerül </w:t>
      </w:r>
      <w:r w:rsidR="004D6470" w:rsidRPr="009E58F7">
        <w:rPr>
          <w:color w:val="000000"/>
        </w:rPr>
        <w:t xml:space="preserve">ismertetésre (lásd még 4.4 pont). </w:t>
      </w:r>
    </w:p>
    <w:p w14:paraId="26E06E7B" w14:textId="70EC4B76" w:rsidR="004D6470" w:rsidRPr="009E58F7" w:rsidRDefault="004D6470">
      <w:pPr>
        <w:spacing w:line="240" w:lineRule="auto"/>
        <w:contextualSpacing/>
      </w:pPr>
      <w:r w:rsidRPr="009E58F7">
        <w:rPr>
          <w:color w:val="000000"/>
        </w:rPr>
        <w:t xml:space="preserve">Amint a </w:t>
      </w:r>
      <w:r w:rsidR="00C5286C" w:rsidRPr="009E58F7">
        <w:t>toxi</w:t>
      </w:r>
      <w:r w:rsidR="00B44BCA" w:rsidRPr="009E58F7">
        <w:t>citá</w:t>
      </w:r>
      <w:r w:rsidR="00C5286C" w:rsidRPr="009E58F7">
        <w:t>s tünete</w:t>
      </w:r>
      <w:r w:rsidR="00B44BCA" w:rsidRPr="009E58F7">
        <w:t>i</w:t>
      </w:r>
      <w:r w:rsidR="00C5286C" w:rsidRPr="009E58F7">
        <w:t xml:space="preserve"> megszűn</w:t>
      </w:r>
      <w:r w:rsidR="00B44BCA" w:rsidRPr="009E58F7">
        <w:t>n</w:t>
      </w:r>
      <w:r w:rsidR="00C5286C" w:rsidRPr="009E58F7">
        <w:t>ek</w:t>
      </w:r>
      <w:r w:rsidRPr="009E58F7">
        <w:rPr>
          <w:color w:val="000000"/>
        </w:rPr>
        <w:t xml:space="preserve">, a </w:t>
      </w:r>
      <w:r w:rsidR="00AD67EC" w:rsidRPr="009E58F7">
        <w:t>b</w:t>
      </w:r>
      <w:r w:rsidRPr="009E58F7">
        <w:t>ortezomib</w:t>
      </w:r>
      <w:r w:rsidR="00FE5B85">
        <w:rPr>
          <w:color w:val="000000"/>
        </w:rPr>
        <w:t>-</w:t>
      </w:r>
      <w:r w:rsidRPr="009E58F7">
        <w:rPr>
          <w:color w:val="000000"/>
        </w:rPr>
        <w:t>kezelést újra lehet indítani 25</w:t>
      </w:r>
      <w:r w:rsidR="00C5286C" w:rsidRPr="009E58F7">
        <w:t>%</w:t>
      </w:r>
      <w:r w:rsidR="00BD5400">
        <w:t>-</w:t>
      </w:r>
      <w:r w:rsidRPr="009E58F7">
        <w:rPr>
          <w:color w:val="000000"/>
        </w:rPr>
        <w:t xml:space="preserve">kal </w:t>
      </w:r>
      <w:r w:rsidR="0071726B" w:rsidRPr="009E58F7">
        <w:rPr>
          <w:color w:val="000000"/>
        </w:rPr>
        <w:t xml:space="preserve">csökkentett dózissal </w:t>
      </w:r>
      <w:r w:rsidRPr="009E58F7">
        <w:rPr>
          <w:color w:val="000000"/>
        </w:rPr>
        <w:t xml:space="preserve">(1,3 mg/testfelület </w:t>
      </w:r>
      <w:r w:rsidRPr="009E58F7">
        <w:t>m</w:t>
      </w:r>
      <w:r w:rsidRPr="009E58F7">
        <w:rPr>
          <w:vertAlign w:val="superscript"/>
        </w:rPr>
        <w:t>2</w:t>
      </w:r>
      <w:r w:rsidR="00BD5400">
        <w:rPr>
          <w:color w:val="000000"/>
        </w:rPr>
        <w:t>-</w:t>
      </w:r>
      <w:r w:rsidRPr="009E58F7">
        <w:rPr>
          <w:color w:val="000000"/>
        </w:rPr>
        <w:t xml:space="preserve">ről 1,0 mg/testfelület </w:t>
      </w:r>
      <w:r w:rsidRPr="009E58F7">
        <w:t>m</w:t>
      </w:r>
      <w:r w:rsidRPr="009E58F7">
        <w:rPr>
          <w:vertAlign w:val="superscript"/>
        </w:rPr>
        <w:t>2</w:t>
      </w:r>
      <w:r w:rsidR="00BD5400">
        <w:rPr>
          <w:color w:val="000000"/>
        </w:rPr>
        <w:t>-</w:t>
      </w:r>
      <w:r w:rsidRPr="009E58F7">
        <w:rPr>
          <w:color w:val="000000"/>
        </w:rPr>
        <w:t xml:space="preserve">re, 1,0 mg/testfelület </w:t>
      </w:r>
      <w:r w:rsidRPr="009E58F7">
        <w:t>m</w:t>
      </w:r>
      <w:r w:rsidRPr="009E58F7">
        <w:rPr>
          <w:vertAlign w:val="superscript"/>
        </w:rPr>
        <w:t>2</w:t>
      </w:r>
      <w:r w:rsidR="00BD5400">
        <w:rPr>
          <w:color w:val="000000"/>
        </w:rPr>
        <w:t>-</w:t>
      </w:r>
      <w:r w:rsidRPr="009E58F7">
        <w:rPr>
          <w:color w:val="000000"/>
        </w:rPr>
        <w:t xml:space="preserve">ről 0,7 mg/testfelület </w:t>
      </w:r>
      <w:r w:rsidRPr="009E58F7">
        <w:t>m</w:t>
      </w:r>
      <w:r w:rsidRPr="009E58F7">
        <w:rPr>
          <w:vertAlign w:val="superscript"/>
        </w:rPr>
        <w:t>2</w:t>
      </w:r>
      <w:r w:rsidR="00BD5400">
        <w:rPr>
          <w:color w:val="000000"/>
        </w:rPr>
        <w:t>-</w:t>
      </w:r>
      <w:r w:rsidRPr="009E58F7">
        <w:rPr>
          <w:color w:val="000000"/>
        </w:rPr>
        <w:t xml:space="preserve">re). Ha a </w:t>
      </w:r>
      <w:r w:rsidR="00C5286C" w:rsidRPr="009E58F7">
        <w:t>toxikus tünetek</w:t>
      </w:r>
      <w:r w:rsidRPr="009E58F7">
        <w:t xml:space="preserve"> nem </w:t>
      </w:r>
      <w:r w:rsidR="00C5286C" w:rsidRPr="009E58F7">
        <w:t>szűnnek</w:t>
      </w:r>
      <w:r w:rsidRPr="009E58F7">
        <w:rPr>
          <w:color w:val="000000"/>
        </w:rPr>
        <w:t xml:space="preserve"> meg, </w:t>
      </w:r>
      <w:r w:rsidR="0071726B" w:rsidRPr="009E58F7">
        <w:rPr>
          <w:color w:val="000000"/>
        </w:rPr>
        <w:t>vagy</w:t>
      </w:r>
      <w:r w:rsidRPr="009E58F7">
        <w:rPr>
          <w:color w:val="000000"/>
        </w:rPr>
        <w:t xml:space="preserve"> a legalacsonyabb dózis alkalmazásakor is visszatérnek, fontolóra kell venni a </w:t>
      </w:r>
      <w:r w:rsidR="0071726B" w:rsidRPr="009E58F7">
        <w:t>b</w:t>
      </w:r>
      <w:r w:rsidRPr="009E58F7">
        <w:t>ortezomib</w:t>
      </w:r>
      <w:r w:rsidR="00FE5B85">
        <w:rPr>
          <w:color w:val="000000"/>
        </w:rPr>
        <w:t>-</w:t>
      </w:r>
      <w:r w:rsidRPr="009E58F7">
        <w:rPr>
          <w:color w:val="000000"/>
        </w:rPr>
        <w:t>kezelés leállítását, kivéve, ha a terápiás előny egyértelműen meghaladja a kockázatot.</w:t>
      </w:r>
    </w:p>
    <w:p w14:paraId="0AFB1B76" w14:textId="77777777" w:rsidR="004D6470" w:rsidRPr="009E58F7" w:rsidRDefault="004D6470">
      <w:pPr>
        <w:widowControl w:val="0"/>
        <w:autoSpaceDE w:val="0"/>
        <w:autoSpaceDN w:val="0"/>
        <w:adjustRightInd w:val="0"/>
        <w:spacing w:line="240" w:lineRule="auto"/>
      </w:pPr>
    </w:p>
    <w:p w14:paraId="5E5928E0" w14:textId="77777777" w:rsidR="004D6470" w:rsidRPr="009E58F7" w:rsidRDefault="004D6470">
      <w:pPr>
        <w:pStyle w:val="Nincstrkz"/>
        <w:keepNext/>
        <w:rPr>
          <w:i/>
        </w:rPr>
      </w:pPr>
      <w:r w:rsidRPr="009E58F7">
        <w:rPr>
          <w:i/>
        </w:rPr>
        <w:t>Neuropathiás fájdalom és/vagy perifériás neuropathia</w:t>
      </w:r>
    </w:p>
    <w:p w14:paraId="4B5D42F8" w14:textId="1277387F" w:rsidR="004B1B37" w:rsidRPr="009E58F7" w:rsidRDefault="00C5286C">
      <w:pPr>
        <w:spacing w:line="240" w:lineRule="auto"/>
        <w:contextualSpacing/>
        <w:rPr>
          <w:i/>
          <w:iCs/>
        </w:rPr>
      </w:pPr>
      <w:r w:rsidRPr="009E58F7">
        <w:t>Azok</w:t>
      </w:r>
      <w:r w:rsidR="00B44BCA" w:rsidRPr="009E58F7">
        <w:t>at</w:t>
      </w:r>
      <w:r w:rsidR="004D6470" w:rsidRPr="009E58F7">
        <w:rPr>
          <w:rFonts w:eastAsiaTheme="minorHAnsi"/>
        </w:rPr>
        <w:t xml:space="preserve"> a </w:t>
      </w:r>
      <w:r w:rsidRPr="009E58F7">
        <w:t>betegek</w:t>
      </w:r>
      <w:r w:rsidR="00B44BCA" w:rsidRPr="009E58F7">
        <w:t>et</w:t>
      </w:r>
      <w:r w:rsidR="004D6470" w:rsidRPr="009E58F7">
        <w:rPr>
          <w:rFonts w:eastAsiaTheme="minorHAnsi"/>
        </w:rPr>
        <w:t>, akiknél a bortezomib</w:t>
      </w:r>
      <w:r w:rsidR="00FE5B85">
        <w:t>-</w:t>
      </w:r>
      <w:r w:rsidR="004D6470" w:rsidRPr="009E58F7">
        <w:rPr>
          <w:rFonts w:eastAsiaTheme="minorHAnsi"/>
        </w:rPr>
        <w:t>kezeléssel összefüggésben neuropathiás fájdalom és/vagy perifériás neuropathia alakult ki, az 1.</w:t>
      </w:r>
      <w:r w:rsidR="00B44BCA" w:rsidRPr="009E58F7">
        <w:rPr>
          <w:rFonts w:eastAsiaTheme="minorHAnsi"/>
        </w:rPr>
        <w:t> </w:t>
      </w:r>
      <w:r w:rsidR="004D6470" w:rsidRPr="009E58F7">
        <w:rPr>
          <w:rFonts w:eastAsiaTheme="minorHAnsi"/>
        </w:rPr>
        <w:t xml:space="preserve">táblázat alapján </w:t>
      </w:r>
      <w:r w:rsidR="0071726B" w:rsidRPr="009E58F7">
        <w:t xml:space="preserve">kell </w:t>
      </w:r>
      <w:r w:rsidR="004D6470" w:rsidRPr="009E58F7">
        <w:t>kezel</w:t>
      </w:r>
      <w:r w:rsidR="0071726B" w:rsidRPr="009E58F7">
        <w:t>ni</w:t>
      </w:r>
      <w:r w:rsidR="004D6470" w:rsidRPr="009E58F7">
        <w:rPr>
          <w:rFonts w:eastAsiaTheme="minorHAnsi"/>
        </w:rPr>
        <w:t xml:space="preserve"> (lásd 4.4</w:t>
      </w:r>
      <w:r w:rsidR="004D6470" w:rsidRPr="009E58F7">
        <w:t> </w:t>
      </w:r>
      <w:r w:rsidR="004D6470" w:rsidRPr="009E58F7">
        <w:rPr>
          <w:rFonts w:eastAsiaTheme="minorHAnsi"/>
        </w:rPr>
        <w:t>pont</w:t>
      </w:r>
      <w:r w:rsidR="004D6470" w:rsidRPr="009E58F7">
        <w:t>). A</w:t>
      </w:r>
      <w:r w:rsidR="004D6470" w:rsidRPr="009E58F7">
        <w:rPr>
          <w:rFonts w:eastAsiaTheme="minorHAnsi"/>
        </w:rPr>
        <w:t xml:space="preserve"> már súlyos neuropathiában </w:t>
      </w:r>
      <w:r w:rsidR="004D6470" w:rsidRPr="009E58F7">
        <w:t>szenvedő betegek</w:t>
      </w:r>
      <w:r w:rsidR="004D6470" w:rsidRPr="009E58F7">
        <w:rPr>
          <w:rFonts w:eastAsiaTheme="minorHAnsi"/>
        </w:rPr>
        <w:t xml:space="preserve"> csak a terápiás előny/kockázat gondos mérlegelése után részesülhetnek </w:t>
      </w:r>
      <w:r w:rsidR="008B6253" w:rsidRPr="009E58F7">
        <w:t>bortezomib</w:t>
      </w:r>
      <w:r w:rsidR="00FE5B85">
        <w:t>-</w:t>
      </w:r>
      <w:r w:rsidR="004D6470" w:rsidRPr="009E58F7">
        <w:rPr>
          <w:rFonts w:eastAsiaTheme="minorHAnsi"/>
        </w:rPr>
        <w:t>kezelésben.</w:t>
      </w:r>
    </w:p>
    <w:p w14:paraId="05E55515" w14:textId="77777777" w:rsidR="004B1B37" w:rsidRPr="009E58F7" w:rsidRDefault="004B1B37">
      <w:pPr>
        <w:spacing w:line="240" w:lineRule="auto"/>
        <w:contextualSpacing/>
      </w:pPr>
    </w:p>
    <w:p w14:paraId="1EDD8553" w14:textId="32AFC6FA" w:rsidR="004D6470" w:rsidRPr="009E58F7" w:rsidRDefault="004B1B37">
      <w:pPr>
        <w:widowControl w:val="0"/>
        <w:autoSpaceDE w:val="0"/>
        <w:autoSpaceDN w:val="0"/>
        <w:adjustRightInd w:val="0"/>
        <w:spacing w:line="240" w:lineRule="auto"/>
      </w:pPr>
      <w:r w:rsidRPr="009E58F7">
        <w:rPr>
          <w:i/>
          <w:iCs/>
        </w:rPr>
        <w:t>1.táblázat</w:t>
      </w:r>
      <w:r w:rsidRPr="009E58F7">
        <w:rPr>
          <w:i/>
          <w:iCs/>
        </w:rPr>
        <w:tab/>
        <w:t>Ajánlott* adagolásmódosítások bortezomib</w:t>
      </w:r>
      <w:r w:rsidR="00FE5B85">
        <w:rPr>
          <w:i/>
          <w:iCs/>
        </w:rPr>
        <w:t>-</w:t>
      </w:r>
      <w:r w:rsidRPr="009E58F7">
        <w:rPr>
          <w:i/>
          <w:iCs/>
        </w:rPr>
        <w:t>kezeléssel összefüggő</w:t>
      </w:r>
      <w:r w:rsidRPr="009E58F7">
        <w:t xml:space="preserve"> </w:t>
      </w:r>
      <w:r w:rsidRPr="009E58F7">
        <w:rPr>
          <w:i/>
          <w:iCs/>
        </w:rPr>
        <w:t>neuropathia esetén:</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94"/>
        <w:gridCol w:w="4820"/>
      </w:tblGrid>
      <w:tr w:rsidR="004D6470" w:rsidRPr="009E58F7" w14:paraId="492F8863" w14:textId="77777777" w:rsidTr="00E64005">
        <w:tc>
          <w:tcPr>
            <w:tcW w:w="4394" w:type="dxa"/>
            <w:shd w:val="clear" w:color="auto" w:fill="auto"/>
          </w:tcPr>
          <w:p w14:paraId="3400EED9" w14:textId="77777777" w:rsidR="004D6470" w:rsidRPr="009E58F7" w:rsidRDefault="004D6470">
            <w:pPr>
              <w:widowControl w:val="0"/>
              <w:overflowPunct w:val="0"/>
              <w:autoSpaceDE w:val="0"/>
              <w:autoSpaceDN w:val="0"/>
              <w:adjustRightInd w:val="0"/>
              <w:spacing w:line="240" w:lineRule="auto"/>
            </w:pPr>
            <w:r w:rsidRPr="009E58F7">
              <w:rPr>
                <w:b/>
                <w:color w:val="000000"/>
              </w:rPr>
              <w:t>A neuropathia súlyossága</w:t>
            </w:r>
          </w:p>
        </w:tc>
        <w:tc>
          <w:tcPr>
            <w:tcW w:w="4820" w:type="dxa"/>
            <w:shd w:val="clear" w:color="auto" w:fill="auto"/>
          </w:tcPr>
          <w:p w14:paraId="22D7BB0C" w14:textId="1C7139DE" w:rsidR="004D6470" w:rsidRPr="009E58F7" w:rsidRDefault="004D6470">
            <w:pPr>
              <w:widowControl w:val="0"/>
              <w:overflowPunct w:val="0"/>
              <w:autoSpaceDE w:val="0"/>
              <w:autoSpaceDN w:val="0"/>
              <w:adjustRightInd w:val="0"/>
              <w:spacing w:line="240" w:lineRule="auto"/>
            </w:pPr>
            <w:r w:rsidRPr="009E58F7">
              <w:rPr>
                <w:b/>
                <w:color w:val="000000"/>
              </w:rPr>
              <w:t>Adagolás</w:t>
            </w:r>
            <w:r w:rsidR="00457CF0" w:rsidRPr="009E58F7">
              <w:rPr>
                <w:b/>
                <w:bCs/>
              </w:rPr>
              <w:t>módosítás</w:t>
            </w:r>
          </w:p>
        </w:tc>
      </w:tr>
      <w:tr w:rsidR="004D6470" w:rsidRPr="009E58F7" w14:paraId="19BA6AED" w14:textId="77777777" w:rsidTr="00E64005">
        <w:tc>
          <w:tcPr>
            <w:tcW w:w="4394" w:type="dxa"/>
            <w:shd w:val="clear" w:color="auto" w:fill="auto"/>
          </w:tcPr>
          <w:p w14:paraId="3F900D50" w14:textId="3EC5B358" w:rsidR="004D6470" w:rsidRPr="009E58F7" w:rsidRDefault="004D6470" w:rsidP="00D7256D">
            <w:pPr>
              <w:widowControl w:val="0"/>
              <w:autoSpaceDE w:val="0"/>
              <w:autoSpaceDN w:val="0"/>
              <w:adjustRightInd w:val="0"/>
              <w:spacing w:line="240" w:lineRule="auto"/>
            </w:pPr>
            <w:r w:rsidRPr="009E58F7">
              <w:rPr>
                <w:color w:val="000000"/>
              </w:rPr>
              <w:t xml:space="preserve">1. fokozat (tünetmentes; mély </w:t>
            </w:r>
            <w:r w:rsidR="009F5A52" w:rsidRPr="009E58F7">
              <w:t>ínreflexek elvesztése</w:t>
            </w:r>
            <w:r w:rsidRPr="009E58F7">
              <w:rPr>
                <w:color w:val="000000"/>
              </w:rPr>
              <w:t xml:space="preserve"> vagy paraesthesia) fájdalom vagy funkcionális zavarok nélkül</w:t>
            </w:r>
          </w:p>
        </w:tc>
        <w:tc>
          <w:tcPr>
            <w:tcW w:w="4820" w:type="dxa"/>
            <w:shd w:val="clear" w:color="auto" w:fill="auto"/>
          </w:tcPr>
          <w:p w14:paraId="145B9D9E" w14:textId="27B2E99E" w:rsidR="004D6470" w:rsidRPr="009E58F7" w:rsidRDefault="004D6470" w:rsidP="00D7256D">
            <w:pPr>
              <w:widowControl w:val="0"/>
              <w:overflowPunct w:val="0"/>
              <w:autoSpaceDE w:val="0"/>
              <w:autoSpaceDN w:val="0"/>
              <w:adjustRightInd w:val="0"/>
              <w:spacing w:line="240" w:lineRule="auto"/>
            </w:pPr>
            <w:r w:rsidRPr="009E58F7">
              <w:rPr>
                <w:color w:val="000000"/>
              </w:rPr>
              <w:t>Nem szükséges</w:t>
            </w:r>
          </w:p>
        </w:tc>
      </w:tr>
      <w:tr w:rsidR="004D6470" w:rsidRPr="009E58F7" w14:paraId="60882225" w14:textId="77777777" w:rsidTr="00E64005">
        <w:tc>
          <w:tcPr>
            <w:tcW w:w="4394" w:type="dxa"/>
            <w:shd w:val="clear" w:color="auto" w:fill="auto"/>
          </w:tcPr>
          <w:p w14:paraId="1FA4C63D" w14:textId="1B8E6FED" w:rsidR="004D6470" w:rsidRPr="009E58F7" w:rsidRDefault="004D6470" w:rsidP="00D7256D">
            <w:pPr>
              <w:widowControl w:val="0"/>
              <w:autoSpaceDE w:val="0"/>
              <w:autoSpaceDN w:val="0"/>
              <w:adjustRightInd w:val="0"/>
              <w:spacing w:line="240" w:lineRule="auto"/>
            </w:pPr>
            <w:r w:rsidRPr="009E58F7">
              <w:rPr>
                <w:color w:val="000000"/>
              </w:rPr>
              <w:t xml:space="preserve">1. fokozat fájdalommal vagy 2. fokozat </w:t>
            </w:r>
            <w:r w:rsidR="00B44BCA" w:rsidRPr="009E58F7">
              <w:rPr>
                <w:color w:val="000000"/>
              </w:rPr>
              <w:t>(</w:t>
            </w:r>
            <w:r w:rsidRPr="009E58F7">
              <w:rPr>
                <w:color w:val="000000"/>
              </w:rPr>
              <w:t xml:space="preserve">közepesen súlyos tünetek; amelyek korlátozzák az eszközöket igénylő napi tevékenységeket (Activities of Daily Living </w:t>
            </w:r>
            <w:r w:rsidR="003F0F42">
              <w:rPr>
                <w:color w:val="000000"/>
              </w:rPr>
              <w:t>[</w:t>
            </w:r>
            <w:r w:rsidRPr="009E58F7">
              <w:rPr>
                <w:color w:val="000000"/>
              </w:rPr>
              <w:t>ADL</w:t>
            </w:r>
            <w:r w:rsidR="003F0F42">
              <w:rPr>
                <w:color w:val="000000"/>
              </w:rPr>
              <w:t>]</w:t>
            </w:r>
            <w:r w:rsidRPr="009E58F7">
              <w:rPr>
                <w:color w:val="000000"/>
              </w:rPr>
              <w:t>**</w:t>
            </w:r>
            <w:r w:rsidR="00B44BCA" w:rsidRPr="009E58F7">
              <w:rPr>
                <w:color w:val="000000"/>
              </w:rPr>
              <w:t>)</w:t>
            </w:r>
          </w:p>
        </w:tc>
        <w:tc>
          <w:tcPr>
            <w:tcW w:w="4820" w:type="dxa"/>
            <w:shd w:val="clear" w:color="auto" w:fill="auto"/>
            <w:vAlign w:val="bottom"/>
          </w:tcPr>
          <w:p w14:paraId="0F55D839" w14:textId="7990C67C" w:rsidR="004D6470" w:rsidRPr="009E58F7" w:rsidRDefault="0059349B" w:rsidP="00602E58">
            <w:pPr>
              <w:spacing w:line="240" w:lineRule="auto"/>
              <w:jc w:val="center"/>
            </w:pPr>
            <w:r w:rsidRPr="009E58F7">
              <w:t>A b</w:t>
            </w:r>
            <w:r w:rsidR="004D6470" w:rsidRPr="009E58F7">
              <w:t xml:space="preserve">ortezomib </w:t>
            </w:r>
            <w:r w:rsidR="00970650" w:rsidRPr="009E58F7">
              <w:t>dózis</w:t>
            </w:r>
            <w:r w:rsidR="004D6470" w:rsidRPr="009E58F7">
              <w:t>át 1,0 mg/m</w:t>
            </w:r>
            <w:r w:rsidR="004D6470" w:rsidRPr="009E58F7">
              <w:rPr>
                <w:vertAlign w:val="superscript"/>
              </w:rPr>
              <w:t>2</w:t>
            </w:r>
            <w:r w:rsidR="00BD5400">
              <w:t>-</w:t>
            </w:r>
            <w:r w:rsidR="004D6470" w:rsidRPr="009E58F7">
              <w:t>re kell csökkenteni</w:t>
            </w:r>
            <w:r w:rsidR="00EF01B4" w:rsidRPr="009E58F7">
              <w:t>,</w:t>
            </w:r>
          </w:p>
          <w:p w14:paraId="6B54AFD0" w14:textId="1F88E8CF" w:rsidR="004D6470" w:rsidRPr="009E58F7" w:rsidRDefault="004D6470" w:rsidP="00602E58">
            <w:pPr>
              <w:spacing w:line="240" w:lineRule="auto"/>
              <w:jc w:val="center"/>
            </w:pPr>
            <w:r w:rsidRPr="009E58F7">
              <w:t>vagy</w:t>
            </w:r>
          </w:p>
          <w:p w14:paraId="2AE9A5BE" w14:textId="421B84D3" w:rsidR="004D6470" w:rsidRPr="009E58F7" w:rsidRDefault="0059349B" w:rsidP="00602E58">
            <w:pPr>
              <w:spacing w:line="240" w:lineRule="auto"/>
              <w:jc w:val="center"/>
            </w:pPr>
            <w:r w:rsidRPr="009E58F7">
              <w:t>a b</w:t>
            </w:r>
            <w:r w:rsidR="004D6470" w:rsidRPr="009E58F7">
              <w:t xml:space="preserve">ortezomib </w:t>
            </w:r>
            <w:r w:rsidR="00970650" w:rsidRPr="009E58F7">
              <w:t>adagolás</w:t>
            </w:r>
            <w:r w:rsidR="004D6470" w:rsidRPr="009E58F7">
              <w:t>i rendjét kell megváltoztatni hetente egyszer 1,3 mg/m</w:t>
            </w:r>
            <w:r w:rsidR="004D6470" w:rsidRPr="009E58F7">
              <w:rPr>
                <w:vertAlign w:val="superscript"/>
              </w:rPr>
              <w:t>2</w:t>
            </w:r>
            <w:r w:rsidR="00BD5400">
              <w:t>-</w:t>
            </w:r>
            <w:r w:rsidR="004D6470" w:rsidRPr="009E58F7">
              <w:t>re.</w:t>
            </w:r>
          </w:p>
        </w:tc>
      </w:tr>
      <w:tr w:rsidR="004D6470" w:rsidRPr="009E58F7" w14:paraId="2CDD3BAC" w14:textId="77777777" w:rsidTr="00E64005">
        <w:tc>
          <w:tcPr>
            <w:tcW w:w="4394" w:type="dxa"/>
            <w:shd w:val="clear" w:color="auto" w:fill="auto"/>
          </w:tcPr>
          <w:p w14:paraId="6192C127" w14:textId="42845973" w:rsidR="004D6470" w:rsidRPr="009E58F7" w:rsidRDefault="004D6470" w:rsidP="00D7256D">
            <w:pPr>
              <w:widowControl w:val="0"/>
              <w:autoSpaceDE w:val="0"/>
              <w:autoSpaceDN w:val="0"/>
              <w:adjustRightInd w:val="0"/>
              <w:spacing w:line="240" w:lineRule="auto"/>
            </w:pPr>
            <w:r w:rsidRPr="009E58F7">
              <w:rPr>
                <w:color w:val="000000"/>
              </w:rPr>
              <w:t xml:space="preserve">2. fokozat fájdalommal vagy 3. fokozat </w:t>
            </w:r>
            <w:r w:rsidR="0059349B" w:rsidRPr="009E58F7">
              <w:rPr>
                <w:color w:val="000000"/>
              </w:rPr>
              <w:t>(</w:t>
            </w:r>
            <w:r w:rsidRPr="009E58F7">
              <w:rPr>
                <w:color w:val="000000"/>
              </w:rPr>
              <w:t xml:space="preserve">súlyos tünetek; amelyek korlátozzák az önellátást biztosító mindennapi tevékenységeket </w:t>
            </w:r>
            <w:r w:rsidR="00B44BCA" w:rsidRPr="009E58F7">
              <w:rPr>
                <w:color w:val="000000"/>
              </w:rPr>
              <w:t>(</w:t>
            </w:r>
            <w:r w:rsidRPr="009E58F7">
              <w:rPr>
                <w:color w:val="000000"/>
              </w:rPr>
              <w:t>ADL</w:t>
            </w:r>
            <w:r w:rsidR="00271D31">
              <w:rPr>
                <w:color w:val="000000"/>
              </w:rPr>
              <w:t xml:space="preserve"> [</w:t>
            </w:r>
            <w:r w:rsidR="00C45F39" w:rsidRPr="009E58F7">
              <w:rPr>
                <w:color w:val="000000"/>
              </w:rPr>
              <w:t>Activities of Daily living</w:t>
            </w:r>
            <w:r w:rsidR="00271D31">
              <w:rPr>
                <w:color w:val="000000"/>
              </w:rPr>
              <w:t>]</w:t>
            </w:r>
            <w:r w:rsidRPr="009E58F7">
              <w:rPr>
                <w:color w:val="000000"/>
              </w:rPr>
              <w:t>***</w:t>
            </w:r>
            <w:r w:rsidR="0059349B" w:rsidRPr="009E58F7">
              <w:rPr>
                <w:color w:val="000000"/>
              </w:rPr>
              <w:t>)</w:t>
            </w:r>
          </w:p>
        </w:tc>
        <w:tc>
          <w:tcPr>
            <w:tcW w:w="4820" w:type="dxa"/>
            <w:shd w:val="clear" w:color="auto" w:fill="auto"/>
          </w:tcPr>
          <w:p w14:paraId="5608DB98" w14:textId="3EFAC66F" w:rsidR="004D6470" w:rsidRPr="009E58F7" w:rsidRDefault="004D6470" w:rsidP="00D7256D">
            <w:pPr>
              <w:widowControl w:val="0"/>
              <w:autoSpaceDE w:val="0"/>
              <w:autoSpaceDN w:val="0"/>
              <w:adjustRightInd w:val="0"/>
              <w:spacing w:line="240" w:lineRule="auto"/>
            </w:pPr>
            <w:r w:rsidRPr="009E58F7">
              <w:rPr>
                <w:color w:val="000000"/>
              </w:rPr>
              <w:t xml:space="preserve">A </w:t>
            </w:r>
            <w:r w:rsidR="0059349B" w:rsidRPr="009E58F7">
              <w:t>bortezomib</w:t>
            </w:r>
            <w:r w:rsidR="00FE5B85">
              <w:t>-</w:t>
            </w:r>
            <w:r w:rsidRPr="009E58F7">
              <w:rPr>
                <w:color w:val="000000"/>
              </w:rPr>
              <w:t xml:space="preserve">kezelést meg kell szakítani </w:t>
            </w:r>
            <w:r w:rsidR="00970650" w:rsidRPr="009E58F7">
              <w:t>a</w:t>
            </w:r>
            <w:r w:rsidR="00B44BCA" w:rsidRPr="009E58F7">
              <w:t xml:space="preserve"> </w:t>
            </w:r>
            <w:r w:rsidR="00970650" w:rsidRPr="009E58F7">
              <w:t>toxikus</w:t>
            </w:r>
            <w:r w:rsidRPr="009E58F7">
              <w:rPr>
                <w:color w:val="000000"/>
              </w:rPr>
              <w:t xml:space="preserve"> tünetek megszűntéig. A toxikus mellékhatások </w:t>
            </w:r>
            <w:r w:rsidR="00970650" w:rsidRPr="009E58F7">
              <w:t>megszűn</w:t>
            </w:r>
            <w:r w:rsidR="0059349B" w:rsidRPr="009E58F7">
              <w:rPr>
                <w:color w:val="000000"/>
              </w:rPr>
              <w:t>ése</w:t>
            </w:r>
            <w:r w:rsidRPr="009E58F7">
              <w:rPr>
                <w:color w:val="000000"/>
              </w:rPr>
              <w:t xml:space="preserve"> után a </w:t>
            </w:r>
            <w:r w:rsidR="0059349B" w:rsidRPr="009E58F7">
              <w:t>bortezomib</w:t>
            </w:r>
            <w:r w:rsidR="00BD5400">
              <w:t>-</w:t>
            </w:r>
            <w:r w:rsidR="00970650" w:rsidRPr="009E58F7">
              <w:t>kezelés újraindítható</w:t>
            </w:r>
            <w:r w:rsidRPr="009E58F7">
              <w:rPr>
                <w:color w:val="000000"/>
              </w:rPr>
              <w:t xml:space="preserve"> hetente egyszer 0,7 mg/testfelület m</w:t>
            </w:r>
            <w:r w:rsidRPr="009E58F7">
              <w:rPr>
                <w:color w:val="000000"/>
                <w:vertAlign w:val="superscript"/>
              </w:rPr>
              <w:t>2</w:t>
            </w:r>
            <w:r w:rsidR="00BD5400">
              <w:rPr>
                <w:color w:val="000000"/>
              </w:rPr>
              <w:t>-</w:t>
            </w:r>
            <w:r w:rsidRPr="009E58F7">
              <w:rPr>
                <w:color w:val="000000"/>
              </w:rPr>
              <w:t>re csökkentett dózissal.</w:t>
            </w:r>
          </w:p>
        </w:tc>
      </w:tr>
      <w:tr w:rsidR="004D6470" w:rsidRPr="009E58F7" w14:paraId="3400FA24" w14:textId="77777777" w:rsidTr="00E64005">
        <w:tc>
          <w:tcPr>
            <w:tcW w:w="4394" w:type="dxa"/>
            <w:shd w:val="clear" w:color="auto" w:fill="auto"/>
          </w:tcPr>
          <w:p w14:paraId="3E470D13" w14:textId="14AB29F2" w:rsidR="004D6470" w:rsidRPr="009E58F7" w:rsidRDefault="004D6470" w:rsidP="00D7256D">
            <w:pPr>
              <w:widowControl w:val="0"/>
              <w:autoSpaceDE w:val="0"/>
              <w:autoSpaceDN w:val="0"/>
              <w:adjustRightInd w:val="0"/>
              <w:spacing w:line="240" w:lineRule="auto"/>
              <w:rPr>
                <w:color w:val="000000"/>
              </w:rPr>
            </w:pPr>
            <w:r w:rsidRPr="009E58F7">
              <w:rPr>
                <w:color w:val="000000"/>
              </w:rPr>
              <w:t>4. fokozat (életveszélyes következmények; azonnali beavatkozást igényel) és/vagy súlyos vegetatív neuropathia</w:t>
            </w:r>
          </w:p>
          <w:p w14:paraId="46CD78B4" w14:textId="77777777" w:rsidR="004D6470" w:rsidRPr="009E58F7" w:rsidRDefault="004D6470" w:rsidP="00D7256D">
            <w:pPr>
              <w:widowControl w:val="0"/>
              <w:autoSpaceDE w:val="0"/>
              <w:autoSpaceDN w:val="0"/>
              <w:adjustRightInd w:val="0"/>
              <w:spacing w:line="240" w:lineRule="auto"/>
            </w:pPr>
          </w:p>
        </w:tc>
        <w:tc>
          <w:tcPr>
            <w:tcW w:w="4820" w:type="dxa"/>
            <w:shd w:val="clear" w:color="auto" w:fill="auto"/>
          </w:tcPr>
          <w:p w14:paraId="539C7352" w14:textId="359B5F26" w:rsidR="004D6470" w:rsidRPr="009E58F7" w:rsidRDefault="004D6470" w:rsidP="007070F2">
            <w:pPr>
              <w:widowControl w:val="0"/>
              <w:overflowPunct w:val="0"/>
              <w:autoSpaceDE w:val="0"/>
              <w:autoSpaceDN w:val="0"/>
              <w:adjustRightInd w:val="0"/>
              <w:spacing w:line="240" w:lineRule="auto"/>
            </w:pPr>
            <w:r w:rsidRPr="009E58F7">
              <w:rPr>
                <w:color w:val="000000"/>
              </w:rPr>
              <w:t xml:space="preserve">A </w:t>
            </w:r>
            <w:r w:rsidR="0059349B" w:rsidRPr="009E58F7">
              <w:t>b</w:t>
            </w:r>
            <w:r w:rsidRPr="009E58F7">
              <w:t>ortezomib</w:t>
            </w:r>
            <w:r w:rsidR="00BD5400">
              <w:t>-</w:t>
            </w:r>
            <w:r w:rsidRPr="009E58F7">
              <w:rPr>
                <w:color w:val="000000"/>
              </w:rPr>
              <w:t>kezelést le kell állítani.</w:t>
            </w:r>
          </w:p>
        </w:tc>
      </w:tr>
    </w:tbl>
    <w:p w14:paraId="2488F964" w14:textId="6A686CDD" w:rsidR="004D6470" w:rsidRPr="009E58F7" w:rsidRDefault="004D6470" w:rsidP="00602E58">
      <w:pPr>
        <w:numPr>
          <w:ilvl w:val="0"/>
          <w:numId w:val="105"/>
        </w:numPr>
        <w:tabs>
          <w:tab w:val="left" w:pos="284"/>
        </w:tabs>
        <w:spacing w:line="240" w:lineRule="auto"/>
        <w:ind w:left="284" w:hanging="284"/>
        <w:contextualSpacing/>
        <w:rPr>
          <w:color w:val="000000"/>
          <w:sz w:val="18"/>
          <w:szCs w:val="18"/>
        </w:rPr>
      </w:pPr>
      <w:r w:rsidRPr="009E58F7">
        <w:rPr>
          <w:color w:val="000000"/>
          <w:sz w:val="18"/>
          <w:szCs w:val="18"/>
        </w:rPr>
        <w:t xml:space="preserve">Myeloma multiplexben szenvedő </w:t>
      </w:r>
      <w:r w:rsidR="00C5286C" w:rsidRPr="009E58F7">
        <w:rPr>
          <w:sz w:val="18"/>
          <w:szCs w:val="18"/>
        </w:rPr>
        <w:t>betegeken</w:t>
      </w:r>
      <w:r w:rsidRPr="009E58F7">
        <w:rPr>
          <w:color w:val="000000"/>
          <w:sz w:val="18"/>
          <w:szCs w:val="18"/>
        </w:rPr>
        <w:t xml:space="preserve"> végzett II</w:t>
      </w:r>
      <w:r w:rsidR="00C5286C" w:rsidRPr="009E58F7">
        <w:rPr>
          <w:sz w:val="18"/>
          <w:szCs w:val="18"/>
        </w:rPr>
        <w:t>.</w:t>
      </w:r>
      <w:r w:rsidRPr="009E58F7">
        <w:rPr>
          <w:color w:val="000000"/>
          <w:sz w:val="18"/>
          <w:szCs w:val="18"/>
        </w:rPr>
        <w:t xml:space="preserve"> és III</w:t>
      </w:r>
      <w:r w:rsidR="00C5286C" w:rsidRPr="009E58F7">
        <w:rPr>
          <w:sz w:val="18"/>
          <w:szCs w:val="18"/>
        </w:rPr>
        <w:t>. fázisú</w:t>
      </w:r>
      <w:r w:rsidRPr="009E58F7">
        <w:rPr>
          <w:sz w:val="18"/>
          <w:szCs w:val="18"/>
        </w:rPr>
        <w:t xml:space="preserve"> </w:t>
      </w:r>
      <w:r w:rsidRPr="009E58F7">
        <w:rPr>
          <w:color w:val="000000"/>
          <w:sz w:val="18"/>
          <w:szCs w:val="18"/>
        </w:rPr>
        <w:t xml:space="preserve">vizsgálatokban és a forgalomba hozatalt követően tapasztalt </w:t>
      </w:r>
      <w:r w:rsidR="00C5286C" w:rsidRPr="009E58F7">
        <w:rPr>
          <w:sz w:val="18"/>
          <w:szCs w:val="18"/>
        </w:rPr>
        <w:t>adagolás</w:t>
      </w:r>
      <w:r w:rsidR="00271D31">
        <w:rPr>
          <w:color w:val="000000"/>
          <w:sz w:val="18"/>
          <w:szCs w:val="18"/>
        </w:rPr>
        <w:t>-</w:t>
      </w:r>
      <w:r w:rsidRPr="009E58F7">
        <w:rPr>
          <w:color w:val="000000"/>
          <w:sz w:val="18"/>
          <w:szCs w:val="18"/>
        </w:rPr>
        <w:t xml:space="preserve">módosítások alapján. A besorolást az NCI Common Toxicity Criteria CTCAE </w:t>
      </w:r>
      <w:r w:rsidR="00C45F39" w:rsidRPr="009E58F7">
        <w:rPr>
          <w:color w:val="000000"/>
          <w:sz w:val="18"/>
          <w:szCs w:val="18"/>
        </w:rPr>
        <w:t xml:space="preserve">(Közös toxicitás kritériumok) </w:t>
      </w:r>
      <w:r w:rsidRPr="009E58F7">
        <w:rPr>
          <w:color w:val="000000"/>
          <w:sz w:val="18"/>
          <w:szCs w:val="18"/>
        </w:rPr>
        <w:t>4.0</w:t>
      </w:r>
      <w:r w:rsidR="00FE5B85">
        <w:rPr>
          <w:color w:val="000000"/>
          <w:sz w:val="18"/>
          <w:szCs w:val="18"/>
        </w:rPr>
        <w:t>-</w:t>
      </w:r>
      <w:r w:rsidRPr="009E58F7">
        <w:rPr>
          <w:color w:val="000000"/>
          <w:sz w:val="18"/>
          <w:szCs w:val="18"/>
        </w:rPr>
        <w:t>es verziója alapján állapították meg.</w:t>
      </w:r>
    </w:p>
    <w:p w14:paraId="35D441A7" w14:textId="06A951A7" w:rsidR="004D6470" w:rsidRPr="009E58F7" w:rsidRDefault="0059349B" w:rsidP="00D7256D">
      <w:pPr>
        <w:widowControl w:val="0"/>
        <w:overflowPunct w:val="0"/>
        <w:autoSpaceDE w:val="0"/>
        <w:autoSpaceDN w:val="0"/>
        <w:adjustRightInd w:val="0"/>
        <w:spacing w:line="240" w:lineRule="auto"/>
        <w:ind w:left="284" w:hanging="284"/>
        <w:rPr>
          <w:color w:val="000000"/>
          <w:sz w:val="18"/>
          <w:szCs w:val="18"/>
        </w:rPr>
      </w:pPr>
      <w:r w:rsidRPr="009E58F7">
        <w:rPr>
          <w:color w:val="000000"/>
          <w:sz w:val="18"/>
          <w:szCs w:val="18"/>
        </w:rPr>
        <w:t>**</w:t>
      </w:r>
      <w:r w:rsidR="004B1B37" w:rsidRPr="009E58F7">
        <w:rPr>
          <w:color w:val="000000"/>
          <w:sz w:val="18"/>
          <w:szCs w:val="18"/>
        </w:rPr>
        <w:tab/>
      </w:r>
      <w:r w:rsidR="004D6470" w:rsidRPr="009E58F7">
        <w:rPr>
          <w:i/>
          <w:color w:val="000000"/>
          <w:sz w:val="18"/>
          <w:szCs w:val="18"/>
        </w:rPr>
        <w:t>Eszközöket igénylő napi tevékenység (Instrumental ADL)</w:t>
      </w:r>
      <w:r w:rsidR="004D6470" w:rsidRPr="009E58F7">
        <w:rPr>
          <w:color w:val="000000"/>
          <w:sz w:val="18"/>
          <w:szCs w:val="18"/>
        </w:rPr>
        <w:t>: vonatkozik ételkészítésre, élelmiszer</w:t>
      </w:r>
      <w:r w:rsidR="003F0F42">
        <w:rPr>
          <w:color w:val="000000"/>
          <w:sz w:val="18"/>
          <w:szCs w:val="18"/>
        </w:rPr>
        <w:t>-</w:t>
      </w:r>
      <w:r w:rsidR="004D6470" w:rsidRPr="009E58F7">
        <w:rPr>
          <w:color w:val="000000"/>
          <w:sz w:val="18"/>
          <w:szCs w:val="18"/>
        </w:rPr>
        <w:t>, vagy ruházat vásárlásra, telefonhasználatra, pénzhasználatra stb.;</w:t>
      </w:r>
    </w:p>
    <w:p w14:paraId="2AE772B8" w14:textId="28AE26C5" w:rsidR="004D6470" w:rsidRPr="009E58F7" w:rsidRDefault="0059349B" w:rsidP="00D7256D">
      <w:pPr>
        <w:widowControl w:val="0"/>
        <w:overflowPunct w:val="0"/>
        <w:autoSpaceDE w:val="0"/>
        <w:autoSpaceDN w:val="0"/>
        <w:adjustRightInd w:val="0"/>
        <w:spacing w:line="240" w:lineRule="auto"/>
        <w:ind w:left="284" w:hanging="284"/>
        <w:rPr>
          <w:color w:val="000000"/>
          <w:sz w:val="18"/>
          <w:szCs w:val="18"/>
        </w:rPr>
      </w:pPr>
      <w:r w:rsidRPr="009E58F7">
        <w:rPr>
          <w:color w:val="000000"/>
          <w:sz w:val="18"/>
          <w:szCs w:val="18"/>
        </w:rPr>
        <w:t>***</w:t>
      </w:r>
      <w:r w:rsidR="004B1B37" w:rsidRPr="009E58F7">
        <w:rPr>
          <w:color w:val="000000"/>
          <w:sz w:val="18"/>
          <w:szCs w:val="18"/>
        </w:rPr>
        <w:tab/>
      </w:r>
      <w:r w:rsidR="004D6470" w:rsidRPr="009E58F7">
        <w:rPr>
          <w:i/>
          <w:color w:val="000000"/>
          <w:sz w:val="18"/>
          <w:szCs w:val="18"/>
        </w:rPr>
        <w:t>Önellátásra vonatkozó mindennapi tevékenység (Self care ADL)</w:t>
      </w:r>
      <w:r w:rsidR="004D6470" w:rsidRPr="009E58F7">
        <w:rPr>
          <w:color w:val="000000"/>
          <w:sz w:val="18"/>
          <w:szCs w:val="18"/>
        </w:rPr>
        <w:t>: vonatkozik fürdésre, felöltözésre és levetkőzésre, önálló étkezésre, WC</w:t>
      </w:r>
      <w:r w:rsidR="00271D31">
        <w:rPr>
          <w:color w:val="000000"/>
          <w:sz w:val="18"/>
          <w:szCs w:val="18"/>
        </w:rPr>
        <w:t>-</w:t>
      </w:r>
      <w:r w:rsidR="004D6470" w:rsidRPr="009E58F7">
        <w:rPr>
          <w:color w:val="000000"/>
          <w:sz w:val="18"/>
          <w:szCs w:val="18"/>
        </w:rPr>
        <w:t>használatra, gyógyszerek bevételé</w:t>
      </w:r>
      <w:r w:rsidR="001B7456" w:rsidRPr="009E58F7">
        <w:rPr>
          <w:color w:val="000000"/>
          <w:sz w:val="18"/>
          <w:szCs w:val="18"/>
        </w:rPr>
        <w:t>re</w:t>
      </w:r>
      <w:r w:rsidR="004D6470" w:rsidRPr="009E58F7">
        <w:rPr>
          <w:color w:val="000000"/>
          <w:sz w:val="18"/>
          <w:szCs w:val="18"/>
        </w:rPr>
        <w:t xml:space="preserve"> és nem ágyhoz kötöttségre.</w:t>
      </w:r>
    </w:p>
    <w:p w14:paraId="0C28C886" w14:textId="77777777" w:rsidR="004D6470" w:rsidRPr="009E58F7" w:rsidRDefault="004D6470" w:rsidP="007070F2">
      <w:pPr>
        <w:widowControl w:val="0"/>
        <w:overflowPunct w:val="0"/>
        <w:autoSpaceDE w:val="0"/>
        <w:autoSpaceDN w:val="0"/>
        <w:adjustRightInd w:val="0"/>
        <w:spacing w:line="240" w:lineRule="auto"/>
        <w:rPr>
          <w:color w:val="000000"/>
        </w:rPr>
      </w:pPr>
    </w:p>
    <w:p w14:paraId="13A181B1" w14:textId="77777777" w:rsidR="004D6470" w:rsidRPr="009E58F7" w:rsidRDefault="004D6470" w:rsidP="007070F2">
      <w:pPr>
        <w:keepNext/>
        <w:autoSpaceDE w:val="0"/>
        <w:autoSpaceDN w:val="0"/>
        <w:adjustRightInd w:val="0"/>
        <w:spacing w:line="240" w:lineRule="auto"/>
        <w:rPr>
          <w:i/>
          <w:color w:val="000000"/>
        </w:rPr>
      </w:pPr>
      <w:r w:rsidRPr="009E58F7">
        <w:rPr>
          <w:i/>
          <w:color w:val="000000"/>
        </w:rPr>
        <w:lastRenderedPageBreak/>
        <w:t>Kombinált kezelés pegilált liposzomális doxorubicinnal</w:t>
      </w:r>
    </w:p>
    <w:p w14:paraId="35F921F1" w14:textId="1FB28879" w:rsidR="004D6470" w:rsidRPr="009E58F7" w:rsidRDefault="004D6470" w:rsidP="00D968CE">
      <w:pPr>
        <w:spacing w:line="240" w:lineRule="auto"/>
        <w:contextualSpacing/>
      </w:pPr>
      <w:r w:rsidRPr="009E58F7">
        <w:rPr>
          <w:rFonts w:eastAsiaTheme="minorHAnsi"/>
        </w:rPr>
        <w:t xml:space="preserve">A bortezomib </w:t>
      </w:r>
      <w:r w:rsidR="00C5286C" w:rsidRPr="009E58F7">
        <w:t>3,5</w:t>
      </w:r>
      <w:r w:rsidR="00271D31">
        <w:t> </w:t>
      </w:r>
      <w:r w:rsidR="00C5286C" w:rsidRPr="009E58F7">
        <w:t xml:space="preserve">mg por oldatos injekcióhoz beadása </w:t>
      </w:r>
      <w:r w:rsidRPr="009E58F7">
        <w:rPr>
          <w:rFonts w:eastAsiaTheme="minorHAnsi"/>
        </w:rPr>
        <w:t xml:space="preserve">intravénás vagy subcutan injekcióban </w:t>
      </w:r>
      <w:r w:rsidR="00C5286C" w:rsidRPr="009E58F7">
        <w:t>történik</w:t>
      </w:r>
      <w:r w:rsidRPr="009E58F7">
        <w:rPr>
          <w:rFonts w:eastAsiaTheme="minorHAnsi"/>
        </w:rPr>
        <w:t xml:space="preserve">, ajánlott </w:t>
      </w:r>
      <w:r w:rsidRPr="009E58F7">
        <w:t>dózisa hetente kétszer</w:t>
      </w:r>
      <w:r w:rsidRPr="009E58F7">
        <w:rPr>
          <w:rFonts w:eastAsiaTheme="minorHAnsi"/>
        </w:rPr>
        <w:t xml:space="preserve"> 1,3</w:t>
      </w:r>
      <w:r w:rsidRPr="009E58F7">
        <w:t> </w:t>
      </w:r>
      <w:r w:rsidRPr="009E58F7">
        <w:rPr>
          <w:rFonts w:eastAsiaTheme="minorHAnsi"/>
        </w:rPr>
        <w:t>mg/testfelület m</w:t>
      </w:r>
      <w:r w:rsidRPr="009E58F7">
        <w:rPr>
          <w:rFonts w:eastAsiaTheme="minorHAnsi"/>
          <w:vertAlign w:val="superscript"/>
        </w:rPr>
        <w:t>2</w:t>
      </w:r>
      <w:r w:rsidRPr="009E58F7">
        <w:rPr>
          <w:rFonts w:eastAsiaTheme="minorHAnsi"/>
        </w:rPr>
        <w:t xml:space="preserve">, </w:t>
      </w:r>
      <w:r w:rsidR="00271D31">
        <w:rPr>
          <w:rFonts w:eastAsiaTheme="minorHAnsi"/>
        </w:rPr>
        <w:t>2 </w:t>
      </w:r>
      <w:r w:rsidRPr="009E58F7">
        <w:rPr>
          <w:rFonts w:eastAsiaTheme="minorHAnsi"/>
        </w:rPr>
        <w:t xml:space="preserve">héten </w:t>
      </w:r>
      <w:r w:rsidR="00C45F39" w:rsidRPr="009E58F7">
        <w:t>keresztül</w:t>
      </w:r>
      <w:r w:rsidRPr="009E58F7">
        <w:rPr>
          <w:rFonts w:eastAsiaTheme="minorHAnsi"/>
        </w:rPr>
        <w:t>, egy 21</w:t>
      </w:r>
      <w:r w:rsidRPr="009E58F7">
        <w:t> </w:t>
      </w:r>
      <w:r w:rsidRPr="009E58F7">
        <w:rPr>
          <w:rFonts w:eastAsiaTheme="minorHAnsi"/>
        </w:rPr>
        <w:t>napos terápiás ciklus 1., 4., 8. és 11. napján. Ez a 3</w:t>
      </w:r>
      <w:r w:rsidRPr="009E58F7">
        <w:t> </w:t>
      </w:r>
      <w:r w:rsidRPr="009E58F7">
        <w:rPr>
          <w:rFonts w:eastAsiaTheme="minorHAnsi"/>
        </w:rPr>
        <w:t xml:space="preserve">hetes periódus egy kezelési ciklusnak felel meg. A bortezomib egymást követő </w:t>
      </w:r>
      <w:r w:rsidRPr="009E58F7">
        <w:t>dózisai</w:t>
      </w:r>
      <w:r w:rsidRPr="009E58F7">
        <w:rPr>
          <w:rFonts w:eastAsiaTheme="minorHAnsi"/>
        </w:rPr>
        <w:t xml:space="preserve"> között legalább 72</w:t>
      </w:r>
      <w:r w:rsidRPr="009E58F7">
        <w:t> </w:t>
      </w:r>
      <w:r w:rsidRPr="009E58F7">
        <w:rPr>
          <w:rFonts w:eastAsiaTheme="minorHAnsi"/>
        </w:rPr>
        <w:t>órának kell eltelnie.</w:t>
      </w:r>
    </w:p>
    <w:p w14:paraId="3197EEB2" w14:textId="1F2A5650" w:rsidR="004D6470" w:rsidRPr="009E58F7" w:rsidRDefault="004D6470" w:rsidP="003D25C3">
      <w:pPr>
        <w:pStyle w:val="Nincstrkz"/>
      </w:pPr>
      <w:r w:rsidRPr="009E58F7">
        <w:t>A pegilált lipos</w:t>
      </w:r>
      <w:r w:rsidR="006716CD" w:rsidRPr="009E58F7">
        <w:t>zomális doxorubicint 30 mg/m²</w:t>
      </w:r>
      <w:r w:rsidRPr="009E58F7">
        <w:t xml:space="preserve"> dózisban, a bortezomib terápiás ciklus 4. napján, 1 órás intravénás infúzióban kell beadni, a bortezomib</w:t>
      </w:r>
      <w:r w:rsidR="00271D31">
        <w:t>-</w:t>
      </w:r>
      <w:r w:rsidRPr="009E58F7">
        <w:t>injekció után.</w:t>
      </w:r>
    </w:p>
    <w:p w14:paraId="0345D3B4" w14:textId="363DF210" w:rsidR="006716CD" w:rsidRPr="009E58F7" w:rsidRDefault="004D6470">
      <w:pPr>
        <w:pStyle w:val="Nincstrkz"/>
      </w:pPr>
      <w:r w:rsidRPr="009E58F7">
        <w:t>Ez a kombinált kezelés legfeljebb 8 ciklusban alkalmazható egészen a</w:t>
      </w:r>
      <w:r w:rsidR="006716CD" w:rsidRPr="009E58F7">
        <w:t>ddig, amíg a</w:t>
      </w:r>
      <w:r w:rsidRPr="009E58F7">
        <w:t xml:space="preserve"> betegség </w:t>
      </w:r>
      <w:r w:rsidR="006716CD" w:rsidRPr="009E58F7">
        <w:t xml:space="preserve">nem </w:t>
      </w:r>
      <w:r w:rsidRPr="009E58F7">
        <w:t>progre</w:t>
      </w:r>
      <w:r w:rsidR="006716CD" w:rsidRPr="009E58F7">
        <w:t>diál</w:t>
      </w:r>
      <w:r w:rsidRPr="009E58F7">
        <w:t xml:space="preserve">, vagy ameddig a beteg a kezelést tolerálja. A </w:t>
      </w:r>
      <w:r w:rsidR="006716CD" w:rsidRPr="009E58F7">
        <w:t xml:space="preserve">komplett válasz első megerősítését követően a </w:t>
      </w:r>
      <w:r w:rsidRPr="009E58F7">
        <w:t>komplett választ elérő betegek</w:t>
      </w:r>
      <w:r w:rsidR="006716CD" w:rsidRPr="009E58F7">
        <w:t>nél</w:t>
      </w:r>
      <w:r w:rsidRPr="009E58F7">
        <w:t xml:space="preserve"> legalább 2 cik</w:t>
      </w:r>
      <w:r w:rsidR="001B7456" w:rsidRPr="009E58F7">
        <w:t>lussal folytathatják a kezelést</w:t>
      </w:r>
      <w:r w:rsidRPr="009E58F7">
        <w:t xml:space="preserve"> akkor is, ha így </w:t>
      </w:r>
      <w:bookmarkStart w:id="3" w:name="page37"/>
      <w:bookmarkEnd w:id="3"/>
      <w:r w:rsidRPr="009E58F7">
        <w:t>8 ciklusnál több kezelés szükséges. Azok a betegek, akiknél a paraproteinszintek 8 ciklust követően tovább csökkennek, szintén addig folytathatják a kezelést, ameddig az tolerálható és ameddig terápiás válasz tapasztalható.</w:t>
      </w:r>
    </w:p>
    <w:p w14:paraId="28D75225" w14:textId="02A4B363" w:rsidR="004D6470" w:rsidRPr="009E58F7" w:rsidRDefault="004D6470">
      <w:pPr>
        <w:pStyle w:val="Nincstrkz"/>
      </w:pPr>
      <w:r w:rsidRPr="009E58F7">
        <w:t>A pegilált liposzomális doxorubicinra vonatkozó további információkat lásd a</w:t>
      </w:r>
      <w:r w:rsidR="006A0FAB" w:rsidRPr="009E58F7">
        <w:t xml:space="preserve"> vonatkozó</w:t>
      </w:r>
      <w:r w:rsidRPr="009E58F7">
        <w:t xml:space="preserve"> alkalmazási előírásban.</w:t>
      </w:r>
    </w:p>
    <w:p w14:paraId="6777204C" w14:textId="77777777" w:rsidR="004D6470" w:rsidRPr="009E58F7" w:rsidRDefault="004D6470">
      <w:pPr>
        <w:widowControl w:val="0"/>
        <w:autoSpaceDE w:val="0"/>
        <w:autoSpaceDN w:val="0"/>
        <w:adjustRightInd w:val="0"/>
        <w:spacing w:line="240" w:lineRule="auto"/>
      </w:pPr>
    </w:p>
    <w:p w14:paraId="601EDFB2" w14:textId="77777777" w:rsidR="004D6470" w:rsidRPr="009E58F7" w:rsidRDefault="004D6470">
      <w:pPr>
        <w:keepNext/>
        <w:autoSpaceDE w:val="0"/>
        <w:autoSpaceDN w:val="0"/>
        <w:adjustRightInd w:val="0"/>
        <w:spacing w:line="240" w:lineRule="auto"/>
      </w:pPr>
      <w:r w:rsidRPr="009E58F7">
        <w:rPr>
          <w:i/>
          <w:color w:val="000000"/>
        </w:rPr>
        <w:t>Kombináció dexametazonnal</w:t>
      </w:r>
    </w:p>
    <w:p w14:paraId="1B789292" w14:textId="0F742A17" w:rsidR="004D6470" w:rsidRPr="009E58F7" w:rsidRDefault="004D6470">
      <w:pPr>
        <w:pStyle w:val="Nincstrkz"/>
      </w:pPr>
      <w:r w:rsidRPr="009E58F7">
        <w:t xml:space="preserve">A bortezomib </w:t>
      </w:r>
      <w:r w:rsidR="00C5286C" w:rsidRPr="009E58F7">
        <w:rPr>
          <w:rFonts w:eastAsia="Times New Roman"/>
        </w:rPr>
        <w:t>3,5</w:t>
      </w:r>
      <w:r w:rsidR="00271D31">
        <w:rPr>
          <w:rFonts w:eastAsia="Times New Roman"/>
        </w:rPr>
        <w:t> </w:t>
      </w:r>
      <w:r w:rsidR="00C5286C" w:rsidRPr="009E58F7">
        <w:rPr>
          <w:rFonts w:eastAsia="Times New Roman"/>
        </w:rPr>
        <w:t xml:space="preserve">mg por oldatos injekcióhoz beadása </w:t>
      </w:r>
      <w:r w:rsidRPr="009E58F7">
        <w:t xml:space="preserve">intravénás vagy subcutan injekcióban </w:t>
      </w:r>
      <w:r w:rsidR="00C5286C" w:rsidRPr="009E58F7">
        <w:rPr>
          <w:rFonts w:eastAsia="Times New Roman"/>
        </w:rPr>
        <w:t xml:space="preserve">történik, </w:t>
      </w:r>
      <w:r w:rsidRPr="009E58F7">
        <w:t>ajánlott dózisa hetente kétszer 1,3 mg/testfelület m</w:t>
      </w:r>
      <w:r w:rsidRPr="009E58F7">
        <w:rPr>
          <w:vertAlign w:val="superscript"/>
        </w:rPr>
        <w:t>2</w:t>
      </w:r>
      <w:r w:rsidR="001B7456" w:rsidRPr="009E58F7">
        <w:t xml:space="preserve"> </w:t>
      </w:r>
      <w:r w:rsidR="00271D31">
        <w:t>2 </w:t>
      </w:r>
      <w:r w:rsidR="001B7456" w:rsidRPr="009E58F7">
        <w:t>héten át</w:t>
      </w:r>
      <w:r w:rsidRPr="009E58F7">
        <w:t xml:space="preserve"> egy 21 napos terápiás ciklus 1., 4., 8. és 11. napján. Ez a 3 hetes periódus egy kezelési ciklusnak felel meg. A bortezomib egymást követő adagjai között legalább 72 órának kell eltelnie.</w:t>
      </w:r>
    </w:p>
    <w:p w14:paraId="7B9BBBE2" w14:textId="60F3109D" w:rsidR="004D6470" w:rsidRPr="009E58F7" w:rsidRDefault="004D6470">
      <w:pPr>
        <w:pStyle w:val="Nincstrkz"/>
      </w:pPr>
      <w:r w:rsidRPr="009E58F7">
        <w:t>A dexametazont 20 mg</w:t>
      </w:r>
      <w:r w:rsidR="00621E19">
        <w:t>-</w:t>
      </w:r>
      <w:r w:rsidRPr="009E58F7">
        <w:t>os adagban szájon át, a bortezomib terápiás ciklus 1., 2., 4., 5., 8., 9., 11. és 12. napján kell beadni.</w:t>
      </w:r>
    </w:p>
    <w:p w14:paraId="2083CCEE" w14:textId="1CFAED06" w:rsidR="004D6470" w:rsidRPr="009E58F7" w:rsidRDefault="004D6470">
      <w:pPr>
        <w:pStyle w:val="Nincstrkz"/>
      </w:pPr>
      <w:r w:rsidRPr="009E58F7">
        <w:t>A</w:t>
      </w:r>
      <w:r w:rsidR="006716CD" w:rsidRPr="009E58F7">
        <w:t>zok a betegek, akik</w:t>
      </w:r>
      <w:r w:rsidR="00F600EC" w:rsidRPr="009E58F7">
        <w:t>nél</w:t>
      </w:r>
      <w:r w:rsidR="006716CD" w:rsidRPr="009E58F7">
        <w:t xml:space="preserve"> a</w:t>
      </w:r>
      <w:r w:rsidRPr="009E58F7">
        <w:t xml:space="preserve"> kombinált terápia 4 kezelési ciklusát követően terápiás válasz </w:t>
      </w:r>
      <w:r w:rsidR="006716CD" w:rsidRPr="009E58F7">
        <w:t>tapasztalható</w:t>
      </w:r>
      <w:r w:rsidR="00F600EC" w:rsidRPr="009E58F7">
        <w:t>,</w:t>
      </w:r>
      <w:r w:rsidRPr="009E58F7">
        <w:t xml:space="preserve"> vagy a</w:t>
      </w:r>
      <w:r w:rsidR="006716CD" w:rsidRPr="009E58F7">
        <w:t>kiknél a</w:t>
      </w:r>
      <w:r w:rsidRPr="009E58F7">
        <w:t xml:space="preserve"> betegség stabil állapot</w:t>
      </w:r>
      <w:r w:rsidR="006716CD" w:rsidRPr="009E58F7">
        <w:t>ba kerül</w:t>
      </w:r>
      <w:r w:rsidR="00F600EC" w:rsidRPr="009E58F7">
        <w:t xml:space="preserve">, tovább kaphatják a </w:t>
      </w:r>
      <w:r w:rsidRPr="009E58F7">
        <w:t>kezelés</w:t>
      </w:r>
      <w:r w:rsidR="00F600EC" w:rsidRPr="009E58F7">
        <w:t>t</w:t>
      </w:r>
      <w:r w:rsidRPr="009E58F7">
        <w:t xml:space="preserve"> ugyane</w:t>
      </w:r>
      <w:r w:rsidR="00F600EC" w:rsidRPr="009E58F7">
        <w:t>bben a</w:t>
      </w:r>
      <w:r w:rsidRPr="009E58F7">
        <w:t xml:space="preserve"> kombináció</w:t>
      </w:r>
      <w:r w:rsidR="00F600EC" w:rsidRPr="009E58F7">
        <w:t>ban</w:t>
      </w:r>
      <w:r w:rsidRPr="009E58F7">
        <w:t xml:space="preserve"> legfeljebb 4 további kezelési ciklus</w:t>
      </w:r>
      <w:r w:rsidR="00F600EC" w:rsidRPr="009E58F7">
        <w:t>on keresztül</w:t>
      </w:r>
      <w:r w:rsidRPr="009E58F7">
        <w:t>.</w:t>
      </w:r>
    </w:p>
    <w:p w14:paraId="7B599BCD" w14:textId="4D7572E7" w:rsidR="004D6470" w:rsidRPr="009E58F7" w:rsidRDefault="004D6470">
      <w:pPr>
        <w:pStyle w:val="Nincstrkz"/>
      </w:pPr>
      <w:r w:rsidRPr="009E58F7">
        <w:t xml:space="preserve">A dexametazonra vonatkozó további információkat lásd a </w:t>
      </w:r>
      <w:r w:rsidR="006A0FAB" w:rsidRPr="009E58F7">
        <w:t>vonatkozó</w:t>
      </w:r>
      <w:r w:rsidRPr="009E58F7">
        <w:t xml:space="preserve"> alkalmazási előírásban.</w:t>
      </w:r>
    </w:p>
    <w:p w14:paraId="37BB0368" w14:textId="77777777" w:rsidR="004D6470" w:rsidRPr="009E58F7" w:rsidRDefault="004D6470">
      <w:pPr>
        <w:widowControl w:val="0"/>
        <w:autoSpaceDE w:val="0"/>
        <w:autoSpaceDN w:val="0"/>
        <w:adjustRightInd w:val="0"/>
        <w:spacing w:line="240" w:lineRule="auto"/>
      </w:pPr>
    </w:p>
    <w:p w14:paraId="1C7E710B" w14:textId="1D2D4D3C" w:rsidR="004D6470" w:rsidRPr="009E58F7" w:rsidRDefault="004D6470">
      <w:pPr>
        <w:spacing w:line="240" w:lineRule="auto"/>
        <w:contextualSpacing/>
      </w:pPr>
      <w:r w:rsidRPr="009E58F7">
        <w:rPr>
          <w:i/>
          <w:iCs/>
          <w:color w:val="000000"/>
        </w:rPr>
        <w:t>Dózismódosítás</w:t>
      </w:r>
      <w:r w:rsidRPr="009E58F7">
        <w:rPr>
          <w:i/>
          <w:color w:val="000000"/>
        </w:rPr>
        <w:t xml:space="preserve"> kombinált </w:t>
      </w:r>
      <w:r w:rsidR="00C5286C" w:rsidRPr="009E58F7">
        <w:rPr>
          <w:i/>
          <w:iCs/>
        </w:rPr>
        <w:t>kezelés esetén,</w:t>
      </w:r>
      <w:r w:rsidRPr="009E58F7">
        <w:rPr>
          <w:i/>
          <w:color w:val="000000"/>
        </w:rPr>
        <w:t xml:space="preserve"> progresszív myeloma multiplexben szenvedő betegeknél</w:t>
      </w:r>
    </w:p>
    <w:p w14:paraId="39C378AE" w14:textId="7A38739D" w:rsidR="004D6470" w:rsidRPr="009E58F7" w:rsidRDefault="004D6470">
      <w:pPr>
        <w:keepNext/>
        <w:overflowPunct w:val="0"/>
        <w:autoSpaceDE w:val="0"/>
        <w:autoSpaceDN w:val="0"/>
        <w:adjustRightInd w:val="0"/>
        <w:spacing w:line="240" w:lineRule="auto"/>
      </w:pPr>
      <w:r w:rsidRPr="009E58F7">
        <w:rPr>
          <w:color w:val="000000"/>
        </w:rPr>
        <w:t xml:space="preserve">Kombinált </w:t>
      </w:r>
      <w:r w:rsidR="00C5286C" w:rsidRPr="009E58F7">
        <w:t>kezelés esetén</w:t>
      </w:r>
      <w:r w:rsidRPr="009E58F7">
        <w:rPr>
          <w:color w:val="000000"/>
        </w:rPr>
        <w:t xml:space="preserve"> a </w:t>
      </w:r>
      <w:r w:rsidRPr="009E58F7">
        <w:rPr>
          <w:rFonts w:eastAsia="TimesNewRoman"/>
        </w:rPr>
        <w:t>bortezomib</w:t>
      </w:r>
      <w:r w:rsidRPr="009E58F7">
        <w:rPr>
          <w:color w:val="000000"/>
        </w:rPr>
        <w:t xml:space="preserve"> dózisának </w:t>
      </w:r>
      <w:r w:rsidR="00C5286C" w:rsidRPr="009E58F7">
        <w:t>módosítása</w:t>
      </w:r>
      <w:r w:rsidRPr="009E58F7">
        <w:rPr>
          <w:color w:val="000000"/>
        </w:rPr>
        <w:t xml:space="preserve">kor a monoterápia esetén fent ismertetett dózismódosítási ajánlásokat kell </w:t>
      </w:r>
      <w:r w:rsidR="00C5286C" w:rsidRPr="009E58F7">
        <w:t>köve</w:t>
      </w:r>
      <w:r w:rsidRPr="009E58F7">
        <w:rPr>
          <w:color w:val="000000"/>
        </w:rPr>
        <w:t>tni.</w:t>
      </w:r>
    </w:p>
    <w:p w14:paraId="1AF98235" w14:textId="77777777" w:rsidR="004D6470" w:rsidRPr="009E58F7" w:rsidRDefault="004D6470">
      <w:pPr>
        <w:widowControl w:val="0"/>
        <w:autoSpaceDE w:val="0"/>
        <w:autoSpaceDN w:val="0"/>
        <w:adjustRightInd w:val="0"/>
        <w:spacing w:line="240" w:lineRule="auto"/>
      </w:pPr>
    </w:p>
    <w:p w14:paraId="4EF53521" w14:textId="767F6DD3" w:rsidR="00494379" w:rsidRPr="009E58F7" w:rsidRDefault="004D6470">
      <w:pPr>
        <w:keepNext/>
        <w:overflowPunct w:val="0"/>
        <w:autoSpaceDE w:val="0"/>
        <w:autoSpaceDN w:val="0"/>
        <w:adjustRightInd w:val="0"/>
        <w:spacing w:line="240" w:lineRule="auto"/>
        <w:rPr>
          <w:color w:val="000000"/>
          <w:u w:val="single"/>
        </w:rPr>
      </w:pPr>
      <w:r w:rsidRPr="009E58F7">
        <w:rPr>
          <w:color w:val="000000"/>
          <w:u w:val="single"/>
        </w:rPr>
        <w:t>Adagolás korábban nem kezelt</w:t>
      </w:r>
      <w:r w:rsidR="00494379" w:rsidRPr="009E58F7">
        <w:rPr>
          <w:color w:val="000000"/>
          <w:u w:val="single"/>
        </w:rPr>
        <w:t>,</w:t>
      </w:r>
      <w:r w:rsidRPr="009E58F7">
        <w:rPr>
          <w:color w:val="000000"/>
          <w:u w:val="single"/>
        </w:rPr>
        <w:t xml:space="preserve"> myeloma multiplexben szenvedő, haemopoeti</w:t>
      </w:r>
      <w:r w:rsidR="00494379" w:rsidRPr="009E58F7">
        <w:rPr>
          <w:color w:val="000000"/>
          <w:u w:val="single"/>
        </w:rPr>
        <w:t>c</w:t>
      </w:r>
      <w:r w:rsidRPr="009E58F7">
        <w:rPr>
          <w:color w:val="000000"/>
          <w:u w:val="single"/>
        </w:rPr>
        <w:t>us őssejt</w:t>
      </w:r>
      <w:r w:rsidR="003F0F42">
        <w:rPr>
          <w:color w:val="000000"/>
          <w:u w:val="single"/>
        </w:rPr>
        <w:t>-</w:t>
      </w:r>
      <w:r w:rsidRPr="009E58F7">
        <w:rPr>
          <w:color w:val="000000"/>
          <w:u w:val="single"/>
        </w:rPr>
        <w:t>transzplantációra nem alkalmas betegeknél</w:t>
      </w:r>
    </w:p>
    <w:p w14:paraId="35F8E931" w14:textId="77777777" w:rsidR="00FB0963" w:rsidRPr="009E58F7" w:rsidRDefault="00FB0963">
      <w:pPr>
        <w:keepNext/>
        <w:overflowPunct w:val="0"/>
        <w:autoSpaceDE w:val="0"/>
        <w:autoSpaceDN w:val="0"/>
        <w:adjustRightInd w:val="0"/>
        <w:spacing w:line="240" w:lineRule="auto"/>
        <w:rPr>
          <w:color w:val="000000"/>
          <w:u w:val="single"/>
        </w:rPr>
      </w:pPr>
    </w:p>
    <w:p w14:paraId="1562153A" w14:textId="60DBAB3D" w:rsidR="004D6470" w:rsidRPr="009E58F7" w:rsidRDefault="004D6470">
      <w:pPr>
        <w:keepNext/>
        <w:autoSpaceDE w:val="0"/>
        <w:autoSpaceDN w:val="0"/>
        <w:adjustRightInd w:val="0"/>
        <w:spacing w:line="240" w:lineRule="auto"/>
      </w:pPr>
      <w:r w:rsidRPr="009E58F7">
        <w:rPr>
          <w:i/>
          <w:color w:val="000000"/>
        </w:rPr>
        <w:t>Melfalánnal és prednizonnal kombinált kezelés</w:t>
      </w:r>
    </w:p>
    <w:p w14:paraId="6ED51128" w14:textId="6007AAA4" w:rsidR="004D6470" w:rsidRPr="009E58F7" w:rsidRDefault="004D6470">
      <w:pPr>
        <w:tabs>
          <w:tab w:val="left" w:pos="627"/>
        </w:tabs>
        <w:spacing w:line="240" w:lineRule="auto"/>
        <w:contextualSpacing/>
      </w:pPr>
      <w:r w:rsidRPr="009E58F7">
        <w:rPr>
          <w:rFonts w:eastAsiaTheme="minorHAnsi"/>
        </w:rPr>
        <w:t xml:space="preserve">A bortezomib </w:t>
      </w:r>
      <w:r w:rsidR="00C5286C" w:rsidRPr="009E58F7">
        <w:t>3,5</w:t>
      </w:r>
      <w:r w:rsidR="00494379" w:rsidRPr="009E58F7">
        <w:t> </w:t>
      </w:r>
      <w:r w:rsidR="00C5286C" w:rsidRPr="009E58F7">
        <w:t>mg por oldatos injekcióhoz készítmény</w:t>
      </w:r>
      <w:r w:rsidR="00494379" w:rsidRPr="009E58F7">
        <w:t xml:space="preserve"> </w:t>
      </w:r>
      <w:r w:rsidR="00F600EC" w:rsidRPr="009E58F7">
        <w:t>beadható</w:t>
      </w:r>
      <w:r w:rsidR="00F600EC" w:rsidRPr="009E58F7">
        <w:rPr>
          <w:rFonts w:eastAsiaTheme="minorHAnsi"/>
        </w:rPr>
        <w:t xml:space="preserve"> </w:t>
      </w:r>
      <w:r w:rsidRPr="009E58F7">
        <w:rPr>
          <w:rFonts w:eastAsiaTheme="minorHAnsi"/>
        </w:rPr>
        <w:t xml:space="preserve">intravénás vagy subcutan </w:t>
      </w:r>
      <w:r w:rsidR="00C5286C" w:rsidRPr="009E58F7">
        <w:t xml:space="preserve">injekció formájában </w:t>
      </w:r>
      <w:r w:rsidR="00494379" w:rsidRPr="009E58F7">
        <w:rPr>
          <w:i/>
        </w:rPr>
        <w:t>per os</w:t>
      </w:r>
      <w:r w:rsidRPr="009E58F7">
        <w:rPr>
          <w:rFonts w:eastAsiaTheme="minorHAnsi"/>
          <w:i/>
        </w:rPr>
        <w:t xml:space="preserve"> </w:t>
      </w:r>
      <w:r w:rsidRPr="009E58F7">
        <w:rPr>
          <w:rFonts w:eastAsiaTheme="minorHAnsi"/>
        </w:rPr>
        <w:t xml:space="preserve">melfalánnal és </w:t>
      </w:r>
      <w:r w:rsidR="00494379" w:rsidRPr="009E58F7">
        <w:rPr>
          <w:i/>
        </w:rPr>
        <w:t>per </w:t>
      </w:r>
      <w:r w:rsidRPr="009E58F7">
        <w:rPr>
          <w:i/>
        </w:rPr>
        <w:t>os</w:t>
      </w:r>
      <w:r w:rsidR="001B7456" w:rsidRPr="009E58F7">
        <w:rPr>
          <w:rFonts w:eastAsiaTheme="minorHAnsi"/>
          <w:i/>
        </w:rPr>
        <w:t xml:space="preserve"> </w:t>
      </w:r>
      <w:r w:rsidR="001B7456" w:rsidRPr="009E58F7">
        <w:rPr>
          <w:rFonts w:eastAsiaTheme="minorHAnsi"/>
        </w:rPr>
        <w:t>prednizonnal kombinációban</w:t>
      </w:r>
      <w:r w:rsidRPr="009E58F7">
        <w:rPr>
          <w:rFonts w:eastAsiaTheme="minorHAnsi"/>
        </w:rPr>
        <w:t xml:space="preserve"> a 2.</w:t>
      </w:r>
      <w:r w:rsidR="00494379" w:rsidRPr="009E58F7">
        <w:t> </w:t>
      </w:r>
      <w:r w:rsidRPr="009E58F7">
        <w:t xml:space="preserve">táblázatnak megfelelően. A kezelési ciklus </w:t>
      </w:r>
      <w:r w:rsidRPr="009E58F7">
        <w:rPr>
          <w:rFonts w:eastAsiaTheme="minorHAnsi"/>
        </w:rPr>
        <w:t>6</w:t>
      </w:r>
      <w:r w:rsidRPr="009E58F7">
        <w:t> </w:t>
      </w:r>
      <w:r w:rsidRPr="009E58F7">
        <w:rPr>
          <w:rFonts w:eastAsiaTheme="minorHAnsi"/>
        </w:rPr>
        <w:t xml:space="preserve">hetes </w:t>
      </w:r>
      <w:r w:rsidR="00F600EC" w:rsidRPr="009E58F7">
        <w:t>periódust</w:t>
      </w:r>
      <w:r w:rsidRPr="009E58F7">
        <w:t xml:space="preserve"> jelent.</w:t>
      </w:r>
      <w:r w:rsidRPr="009E58F7">
        <w:rPr>
          <w:rFonts w:eastAsiaTheme="minorHAnsi"/>
        </w:rPr>
        <w:t xml:space="preserve"> Az 1</w:t>
      </w:r>
      <w:r w:rsidR="00BD5400">
        <w:t>–</w:t>
      </w:r>
      <w:r w:rsidRPr="009E58F7">
        <w:rPr>
          <w:rFonts w:eastAsiaTheme="minorHAnsi"/>
        </w:rPr>
        <w:t xml:space="preserve">4. ciklusban a </w:t>
      </w:r>
      <w:r w:rsidR="008B6253" w:rsidRPr="009E58F7">
        <w:t>bortezomib</w:t>
      </w:r>
      <w:r w:rsidR="00494379" w:rsidRPr="009E58F7">
        <w:t>o</w:t>
      </w:r>
      <w:r w:rsidR="00C5286C" w:rsidRPr="009E58F7">
        <w:t>t</w:t>
      </w:r>
      <w:r w:rsidRPr="009E58F7">
        <w:t xml:space="preserve"> </w:t>
      </w:r>
      <w:r w:rsidRPr="009E58F7">
        <w:rPr>
          <w:rFonts w:eastAsiaTheme="minorHAnsi"/>
        </w:rPr>
        <w:t xml:space="preserve">hetente kétszer </w:t>
      </w:r>
      <w:r w:rsidRPr="009E58F7">
        <w:t>kell alkalmazni</w:t>
      </w:r>
      <w:r w:rsidRPr="009E58F7">
        <w:rPr>
          <w:rFonts w:eastAsiaTheme="minorHAnsi"/>
        </w:rPr>
        <w:t xml:space="preserve"> az 1., 4., 8., 11., 22., 25., 29. és 32. napon. Az 5</w:t>
      </w:r>
      <w:r w:rsidR="00BD5400">
        <w:t>–</w:t>
      </w:r>
      <w:r w:rsidRPr="009E58F7">
        <w:rPr>
          <w:rFonts w:eastAsiaTheme="minorHAnsi"/>
        </w:rPr>
        <w:t xml:space="preserve">9. ciklusban a bortezomib hetente egyszer </w:t>
      </w:r>
      <w:r w:rsidRPr="009E58F7">
        <w:t>alkalmazandó</w:t>
      </w:r>
      <w:r w:rsidRPr="009E58F7">
        <w:rPr>
          <w:rFonts w:eastAsiaTheme="minorHAnsi"/>
        </w:rPr>
        <w:t xml:space="preserve"> az 1., 8., 22. és 29. napon. A bortezomib egymást követő adagjai között legalább 72</w:t>
      </w:r>
      <w:r w:rsidRPr="009E58F7">
        <w:t> </w:t>
      </w:r>
      <w:r w:rsidRPr="009E58F7">
        <w:rPr>
          <w:rFonts w:eastAsiaTheme="minorHAnsi"/>
        </w:rPr>
        <w:t>órának kell eltelnie.</w:t>
      </w:r>
    </w:p>
    <w:p w14:paraId="7F00297B" w14:textId="042234F6" w:rsidR="00A01F35" w:rsidRPr="009E58F7" w:rsidRDefault="00F600EC">
      <w:pPr>
        <w:pStyle w:val="Nincstrkz"/>
      </w:pPr>
      <w:r w:rsidRPr="009E58F7">
        <w:t>Mind a</w:t>
      </w:r>
      <w:r w:rsidR="004D6470" w:rsidRPr="009E58F7">
        <w:t xml:space="preserve"> melfalánt</w:t>
      </w:r>
      <w:r w:rsidRPr="009E58F7">
        <w:t>, mind a</w:t>
      </w:r>
      <w:r w:rsidR="004D6470" w:rsidRPr="009E58F7">
        <w:t xml:space="preserve"> prednizont szájon át kell adni minden bortezomib kezelési ciklus első hetének 1., 2., 3. és 4. napján.</w:t>
      </w:r>
    </w:p>
    <w:p w14:paraId="444460EC" w14:textId="11A52936" w:rsidR="004D6470" w:rsidRPr="009E58F7" w:rsidRDefault="004D6470">
      <w:pPr>
        <w:pStyle w:val="Nincstrkz"/>
      </w:pPr>
      <w:r w:rsidRPr="009E58F7">
        <w:t xml:space="preserve">Ezt a kombinált terápiát </w:t>
      </w:r>
      <w:r w:rsidR="00271D31">
        <w:t>9 </w:t>
      </w:r>
      <w:r w:rsidRPr="009E58F7">
        <w:t>kezelési cikluson keresztül kell alkalmazni</w:t>
      </w:r>
      <w:r w:rsidRPr="009E58F7">
        <w:rPr>
          <w:rFonts w:cs="Times New Roman"/>
        </w:rPr>
        <w:t>.</w:t>
      </w:r>
    </w:p>
    <w:p w14:paraId="0E4726B6" w14:textId="77777777" w:rsidR="004D6470" w:rsidRPr="009E58F7" w:rsidRDefault="004D6470">
      <w:pPr>
        <w:widowControl w:val="0"/>
        <w:autoSpaceDE w:val="0"/>
        <w:autoSpaceDN w:val="0"/>
        <w:adjustRightInd w:val="0"/>
        <w:spacing w:line="240" w:lineRule="auto"/>
      </w:pPr>
    </w:p>
    <w:p w14:paraId="5AA4D9F3" w14:textId="2E0F01C5" w:rsidR="004D6470" w:rsidRPr="009E58F7" w:rsidRDefault="004D6470" w:rsidP="00602E58">
      <w:pPr>
        <w:pStyle w:val="Listaszerbekezds"/>
        <w:keepNext/>
        <w:numPr>
          <w:ilvl w:val="0"/>
          <w:numId w:val="1"/>
        </w:numPr>
        <w:tabs>
          <w:tab w:val="clear" w:pos="720"/>
          <w:tab w:val="num" w:pos="284"/>
        </w:tabs>
        <w:autoSpaceDE w:val="0"/>
        <w:autoSpaceDN w:val="0"/>
        <w:adjustRightInd w:val="0"/>
        <w:spacing w:line="240" w:lineRule="auto"/>
        <w:ind w:hanging="720"/>
        <w:rPr>
          <w:i/>
          <w:color w:val="000000"/>
        </w:rPr>
      </w:pPr>
      <w:r w:rsidRPr="009E58F7">
        <w:rPr>
          <w:i/>
          <w:color w:val="000000"/>
        </w:rPr>
        <w:lastRenderedPageBreak/>
        <w:t>táblázat:</w:t>
      </w:r>
      <w:r w:rsidRPr="009E58F7">
        <w:rPr>
          <w:i/>
          <w:iCs/>
          <w:color w:val="000000"/>
        </w:rPr>
        <w:t xml:space="preserve"> </w:t>
      </w:r>
      <w:r w:rsidRPr="009E58F7">
        <w:rPr>
          <w:i/>
          <w:color w:val="000000"/>
        </w:rPr>
        <w:t xml:space="preserve">A </w:t>
      </w:r>
      <w:r w:rsidRPr="009E58F7">
        <w:rPr>
          <w:rFonts w:eastAsia="TimesNewRoman"/>
          <w:i/>
        </w:rPr>
        <w:t>bortezomib</w:t>
      </w:r>
      <w:r w:rsidRPr="009E58F7">
        <w:rPr>
          <w:i/>
          <w:color w:val="000000"/>
        </w:rPr>
        <w:t xml:space="preserve"> ajánlott adagolása melfalánnal és prednizonnal kombinációban</w:t>
      </w:r>
    </w:p>
    <w:tbl>
      <w:tblPr>
        <w:tblStyle w:val="Rcsostblzat"/>
        <w:tblW w:w="9250" w:type="dxa"/>
        <w:tblInd w:w="-15" w:type="dxa"/>
        <w:tblLayout w:type="fixed"/>
        <w:tblLook w:val="04A0" w:firstRow="1" w:lastRow="0" w:firstColumn="1" w:lastColumn="0" w:noHBand="0" w:noVBand="1"/>
      </w:tblPr>
      <w:tblGrid>
        <w:gridCol w:w="1399"/>
        <w:gridCol w:w="567"/>
        <w:gridCol w:w="567"/>
        <w:gridCol w:w="567"/>
        <w:gridCol w:w="567"/>
        <w:gridCol w:w="567"/>
        <w:gridCol w:w="709"/>
        <w:gridCol w:w="905"/>
        <w:gridCol w:w="654"/>
        <w:gridCol w:w="709"/>
        <w:gridCol w:w="567"/>
        <w:gridCol w:w="567"/>
        <w:gridCol w:w="905"/>
      </w:tblGrid>
      <w:tr w:rsidR="00BB3EAF" w:rsidRPr="009E58F7" w14:paraId="4E715211" w14:textId="77777777" w:rsidTr="00E64005">
        <w:tc>
          <w:tcPr>
            <w:tcW w:w="9250" w:type="dxa"/>
            <w:gridSpan w:val="13"/>
            <w:tcBorders>
              <w:top w:val="single" w:sz="12" w:space="0" w:color="auto"/>
              <w:bottom w:val="single" w:sz="12" w:space="0" w:color="auto"/>
            </w:tcBorders>
          </w:tcPr>
          <w:p w14:paraId="010596A8" w14:textId="212A2FA5" w:rsidR="00494379" w:rsidRPr="009E58F7" w:rsidRDefault="00494379" w:rsidP="00D968CE">
            <w:pPr>
              <w:keepNext/>
              <w:tabs>
                <w:tab w:val="center" w:pos="4974"/>
              </w:tabs>
              <w:jc w:val="both"/>
              <w:rPr>
                <w:sz w:val="18"/>
                <w:szCs w:val="18"/>
              </w:rPr>
            </w:pPr>
            <w:r w:rsidRPr="009E58F7">
              <w:rPr>
                <w:b/>
                <w:sz w:val="18"/>
                <w:szCs w:val="18"/>
              </w:rPr>
              <w:t>Bortezomib hetente kétszer (1</w:t>
            </w:r>
            <w:r w:rsidR="00BD5400">
              <w:rPr>
                <w:b/>
                <w:sz w:val="18"/>
                <w:szCs w:val="18"/>
              </w:rPr>
              <w:t>–</w:t>
            </w:r>
            <w:r w:rsidRPr="009E58F7">
              <w:rPr>
                <w:b/>
                <w:sz w:val="18"/>
                <w:szCs w:val="18"/>
              </w:rPr>
              <w:t>4. ciklus)</w:t>
            </w:r>
          </w:p>
        </w:tc>
      </w:tr>
      <w:tr w:rsidR="00BB3EAF" w:rsidRPr="009E58F7" w14:paraId="4770D061" w14:textId="77777777" w:rsidTr="00E64005">
        <w:tc>
          <w:tcPr>
            <w:tcW w:w="1399" w:type="dxa"/>
            <w:tcBorders>
              <w:top w:val="single" w:sz="12" w:space="0" w:color="auto"/>
            </w:tcBorders>
            <w:vAlign w:val="center"/>
          </w:tcPr>
          <w:p w14:paraId="6C66485E" w14:textId="77777777" w:rsidR="00494379" w:rsidRPr="009E58F7" w:rsidRDefault="00494379" w:rsidP="00D968CE">
            <w:pPr>
              <w:keepNext/>
              <w:tabs>
                <w:tab w:val="center" w:pos="4974"/>
              </w:tabs>
              <w:jc w:val="both"/>
            </w:pPr>
            <w:r w:rsidRPr="009E58F7">
              <w:rPr>
                <w:b/>
              </w:rPr>
              <w:t>Hét</w:t>
            </w:r>
          </w:p>
        </w:tc>
        <w:tc>
          <w:tcPr>
            <w:tcW w:w="2268" w:type="dxa"/>
            <w:gridSpan w:val="4"/>
            <w:tcBorders>
              <w:top w:val="single" w:sz="12" w:space="0" w:color="auto"/>
            </w:tcBorders>
            <w:vAlign w:val="center"/>
          </w:tcPr>
          <w:p w14:paraId="2AF31C8F" w14:textId="611C494B" w:rsidR="00494379" w:rsidRPr="009E58F7" w:rsidRDefault="00494379" w:rsidP="00D968CE">
            <w:pPr>
              <w:keepNext/>
              <w:tabs>
                <w:tab w:val="center" w:pos="4974"/>
              </w:tabs>
              <w:jc w:val="center"/>
              <w:rPr>
                <w:b/>
              </w:rPr>
            </w:pPr>
            <w:r w:rsidRPr="009E58F7">
              <w:rPr>
                <w:b/>
              </w:rPr>
              <w:t>1</w:t>
            </w:r>
            <w:r w:rsidR="00BB3EAF" w:rsidRPr="009E58F7">
              <w:rPr>
                <w:b/>
              </w:rPr>
              <w:t>.</w:t>
            </w:r>
          </w:p>
        </w:tc>
        <w:tc>
          <w:tcPr>
            <w:tcW w:w="1276" w:type="dxa"/>
            <w:gridSpan w:val="2"/>
            <w:tcBorders>
              <w:top w:val="single" w:sz="12" w:space="0" w:color="auto"/>
            </w:tcBorders>
            <w:vAlign w:val="center"/>
          </w:tcPr>
          <w:p w14:paraId="4B9B6EB1" w14:textId="1534BA36" w:rsidR="00494379" w:rsidRPr="009E58F7" w:rsidRDefault="00494379" w:rsidP="00D968CE">
            <w:pPr>
              <w:keepNext/>
              <w:tabs>
                <w:tab w:val="center" w:pos="4974"/>
              </w:tabs>
              <w:jc w:val="center"/>
              <w:rPr>
                <w:b/>
              </w:rPr>
            </w:pPr>
            <w:r w:rsidRPr="009E58F7">
              <w:rPr>
                <w:b/>
              </w:rPr>
              <w:t>2</w:t>
            </w:r>
            <w:r w:rsidR="00BB3EAF" w:rsidRPr="009E58F7">
              <w:rPr>
                <w:b/>
              </w:rPr>
              <w:t>.</w:t>
            </w:r>
          </w:p>
        </w:tc>
        <w:tc>
          <w:tcPr>
            <w:tcW w:w="905" w:type="dxa"/>
            <w:tcBorders>
              <w:top w:val="single" w:sz="12" w:space="0" w:color="auto"/>
            </w:tcBorders>
            <w:vAlign w:val="center"/>
          </w:tcPr>
          <w:p w14:paraId="24F266DA" w14:textId="22D855AD" w:rsidR="00494379" w:rsidRPr="009E58F7" w:rsidRDefault="00494379" w:rsidP="00D968CE">
            <w:pPr>
              <w:keepNext/>
              <w:tabs>
                <w:tab w:val="center" w:pos="4974"/>
              </w:tabs>
              <w:jc w:val="center"/>
              <w:rPr>
                <w:b/>
              </w:rPr>
            </w:pPr>
            <w:r w:rsidRPr="009E58F7">
              <w:rPr>
                <w:b/>
              </w:rPr>
              <w:t>3</w:t>
            </w:r>
            <w:r w:rsidR="00BB3EAF" w:rsidRPr="009E58F7">
              <w:rPr>
                <w:b/>
              </w:rPr>
              <w:t>.</w:t>
            </w:r>
          </w:p>
        </w:tc>
        <w:tc>
          <w:tcPr>
            <w:tcW w:w="1363" w:type="dxa"/>
            <w:gridSpan w:val="2"/>
            <w:tcBorders>
              <w:top w:val="single" w:sz="12" w:space="0" w:color="auto"/>
            </w:tcBorders>
            <w:vAlign w:val="center"/>
          </w:tcPr>
          <w:p w14:paraId="026077EA" w14:textId="605BA031" w:rsidR="00494379" w:rsidRPr="009E58F7" w:rsidRDefault="00494379" w:rsidP="00D968CE">
            <w:pPr>
              <w:keepNext/>
              <w:tabs>
                <w:tab w:val="center" w:pos="4974"/>
              </w:tabs>
              <w:jc w:val="center"/>
              <w:rPr>
                <w:b/>
              </w:rPr>
            </w:pPr>
            <w:r w:rsidRPr="009E58F7">
              <w:rPr>
                <w:b/>
              </w:rPr>
              <w:t>4</w:t>
            </w:r>
            <w:r w:rsidR="00BB3EAF" w:rsidRPr="009E58F7">
              <w:rPr>
                <w:b/>
              </w:rPr>
              <w:t>.</w:t>
            </w:r>
          </w:p>
        </w:tc>
        <w:tc>
          <w:tcPr>
            <w:tcW w:w="1134" w:type="dxa"/>
            <w:gridSpan w:val="2"/>
            <w:tcBorders>
              <w:top w:val="single" w:sz="12" w:space="0" w:color="auto"/>
            </w:tcBorders>
            <w:vAlign w:val="center"/>
          </w:tcPr>
          <w:p w14:paraId="49E500C2" w14:textId="361D698B" w:rsidR="00494379" w:rsidRPr="009E58F7" w:rsidRDefault="00494379" w:rsidP="00D968CE">
            <w:pPr>
              <w:keepNext/>
              <w:tabs>
                <w:tab w:val="center" w:pos="4974"/>
              </w:tabs>
              <w:jc w:val="center"/>
              <w:rPr>
                <w:b/>
              </w:rPr>
            </w:pPr>
            <w:r w:rsidRPr="009E58F7">
              <w:rPr>
                <w:b/>
              </w:rPr>
              <w:t>5</w:t>
            </w:r>
            <w:r w:rsidR="00BB3EAF" w:rsidRPr="009E58F7">
              <w:rPr>
                <w:b/>
              </w:rPr>
              <w:t>.</w:t>
            </w:r>
          </w:p>
        </w:tc>
        <w:tc>
          <w:tcPr>
            <w:tcW w:w="905" w:type="dxa"/>
            <w:tcBorders>
              <w:top w:val="single" w:sz="12" w:space="0" w:color="auto"/>
            </w:tcBorders>
            <w:vAlign w:val="center"/>
          </w:tcPr>
          <w:p w14:paraId="715AE785" w14:textId="2166C8FF" w:rsidR="00494379" w:rsidRPr="009E58F7" w:rsidRDefault="00494379" w:rsidP="00D968CE">
            <w:pPr>
              <w:keepNext/>
              <w:tabs>
                <w:tab w:val="center" w:pos="4974"/>
              </w:tabs>
              <w:jc w:val="center"/>
              <w:rPr>
                <w:b/>
              </w:rPr>
            </w:pPr>
            <w:r w:rsidRPr="009E58F7">
              <w:rPr>
                <w:b/>
              </w:rPr>
              <w:t>6</w:t>
            </w:r>
            <w:r w:rsidR="00BB3EAF" w:rsidRPr="009E58F7">
              <w:rPr>
                <w:b/>
              </w:rPr>
              <w:t>.</w:t>
            </w:r>
          </w:p>
        </w:tc>
      </w:tr>
      <w:tr w:rsidR="00BB3EAF" w:rsidRPr="009E58F7" w14:paraId="7E917C2F" w14:textId="77777777" w:rsidTr="00E64005">
        <w:tc>
          <w:tcPr>
            <w:tcW w:w="1399" w:type="dxa"/>
            <w:vAlign w:val="center"/>
          </w:tcPr>
          <w:p w14:paraId="4DF6E4D7" w14:textId="77777777" w:rsidR="00BB3EAF" w:rsidRPr="009E58F7" w:rsidRDefault="00BB3EAF" w:rsidP="00D968CE">
            <w:pPr>
              <w:keepNext/>
              <w:tabs>
                <w:tab w:val="center" w:pos="4974"/>
              </w:tabs>
              <w:jc w:val="both"/>
            </w:pPr>
            <w:r w:rsidRPr="009E58F7">
              <w:t>Bz</w:t>
            </w:r>
          </w:p>
          <w:p w14:paraId="13B5F083" w14:textId="3BD5A4DB" w:rsidR="00BB3EAF" w:rsidRPr="009E58F7" w:rsidRDefault="00BB3EAF" w:rsidP="00D968CE">
            <w:pPr>
              <w:keepNext/>
              <w:tabs>
                <w:tab w:val="center" w:pos="4974"/>
              </w:tabs>
              <w:jc w:val="both"/>
            </w:pPr>
            <w:r w:rsidRPr="009E58F7">
              <w:t>(1.3 mg/m</w:t>
            </w:r>
            <w:r w:rsidRPr="009E58F7">
              <w:rPr>
                <w:vertAlign w:val="superscript"/>
              </w:rPr>
              <w:t>2</w:t>
            </w:r>
            <w:r w:rsidRPr="009E58F7">
              <w:t>)</w:t>
            </w:r>
          </w:p>
        </w:tc>
        <w:tc>
          <w:tcPr>
            <w:tcW w:w="567" w:type="dxa"/>
            <w:vAlign w:val="center"/>
          </w:tcPr>
          <w:p w14:paraId="45D8945A" w14:textId="53097C2C" w:rsidR="00BB3EAF" w:rsidRPr="009E58F7" w:rsidRDefault="00BB3EAF" w:rsidP="00D968CE">
            <w:pPr>
              <w:keepNext/>
              <w:tabs>
                <w:tab w:val="center" w:pos="4974"/>
              </w:tabs>
              <w:jc w:val="both"/>
            </w:pPr>
            <w:r w:rsidRPr="009E58F7">
              <w:t>1. nap</w:t>
            </w:r>
          </w:p>
        </w:tc>
        <w:tc>
          <w:tcPr>
            <w:tcW w:w="567" w:type="dxa"/>
            <w:vAlign w:val="center"/>
          </w:tcPr>
          <w:p w14:paraId="20C01478" w14:textId="77777777" w:rsidR="00BB3EAF" w:rsidRPr="009E58F7" w:rsidRDefault="00BB3EAF" w:rsidP="00D968CE">
            <w:pPr>
              <w:keepNext/>
              <w:tabs>
                <w:tab w:val="center" w:pos="4974"/>
              </w:tabs>
              <w:jc w:val="both"/>
            </w:pPr>
            <w:r w:rsidRPr="009E58F7">
              <w:t>--</w:t>
            </w:r>
          </w:p>
        </w:tc>
        <w:tc>
          <w:tcPr>
            <w:tcW w:w="567" w:type="dxa"/>
            <w:vAlign w:val="center"/>
          </w:tcPr>
          <w:p w14:paraId="03DDF5EC" w14:textId="77777777" w:rsidR="00BB3EAF" w:rsidRPr="009E58F7" w:rsidRDefault="00BB3EAF" w:rsidP="00D968CE">
            <w:pPr>
              <w:keepNext/>
              <w:tabs>
                <w:tab w:val="center" w:pos="4974"/>
              </w:tabs>
              <w:jc w:val="both"/>
            </w:pPr>
            <w:r w:rsidRPr="009E58F7">
              <w:t>--</w:t>
            </w:r>
          </w:p>
        </w:tc>
        <w:tc>
          <w:tcPr>
            <w:tcW w:w="567" w:type="dxa"/>
          </w:tcPr>
          <w:p w14:paraId="7530064B" w14:textId="2DED98A6" w:rsidR="00BB3EAF" w:rsidRPr="009E58F7" w:rsidRDefault="00BB3EAF" w:rsidP="00D968CE">
            <w:pPr>
              <w:keepNext/>
              <w:tabs>
                <w:tab w:val="center" w:pos="4974"/>
              </w:tabs>
              <w:jc w:val="both"/>
            </w:pPr>
            <w:r w:rsidRPr="009E58F7">
              <w:t>4. nap</w:t>
            </w:r>
          </w:p>
        </w:tc>
        <w:tc>
          <w:tcPr>
            <w:tcW w:w="567" w:type="dxa"/>
          </w:tcPr>
          <w:p w14:paraId="4E6E67DA" w14:textId="0F05EB07" w:rsidR="00BB3EAF" w:rsidRPr="009E58F7" w:rsidRDefault="00BB3EAF" w:rsidP="00D968CE">
            <w:pPr>
              <w:keepNext/>
              <w:tabs>
                <w:tab w:val="center" w:pos="4974"/>
              </w:tabs>
              <w:jc w:val="both"/>
            </w:pPr>
            <w:r w:rsidRPr="009E58F7">
              <w:t>8. nap</w:t>
            </w:r>
          </w:p>
        </w:tc>
        <w:tc>
          <w:tcPr>
            <w:tcW w:w="709" w:type="dxa"/>
          </w:tcPr>
          <w:p w14:paraId="7C92F2BA" w14:textId="71163366" w:rsidR="00BB3EAF" w:rsidRPr="009E58F7" w:rsidRDefault="00BB3EAF" w:rsidP="00D968CE">
            <w:pPr>
              <w:keepNext/>
              <w:tabs>
                <w:tab w:val="center" w:pos="4974"/>
              </w:tabs>
              <w:jc w:val="both"/>
            </w:pPr>
            <w:r w:rsidRPr="009E58F7">
              <w:t>11. nap</w:t>
            </w:r>
          </w:p>
        </w:tc>
        <w:tc>
          <w:tcPr>
            <w:tcW w:w="905" w:type="dxa"/>
            <w:vAlign w:val="center"/>
          </w:tcPr>
          <w:p w14:paraId="2C76D64A" w14:textId="77777777" w:rsidR="00BB3EAF" w:rsidRPr="009E58F7" w:rsidRDefault="00BB3EAF" w:rsidP="00D968CE">
            <w:pPr>
              <w:keepNext/>
              <w:tabs>
                <w:tab w:val="center" w:pos="4974"/>
              </w:tabs>
              <w:jc w:val="both"/>
            </w:pPr>
            <w:r w:rsidRPr="009E58F7">
              <w:t xml:space="preserve">Kezelési </w:t>
            </w:r>
            <w:r w:rsidRPr="009E58F7">
              <w:rPr>
                <w:color w:val="000000"/>
              </w:rPr>
              <w:t>szünet</w:t>
            </w:r>
            <w:r w:rsidRPr="009E58F7">
              <w:t xml:space="preserve"> </w:t>
            </w:r>
          </w:p>
        </w:tc>
        <w:tc>
          <w:tcPr>
            <w:tcW w:w="654" w:type="dxa"/>
          </w:tcPr>
          <w:p w14:paraId="66078D27" w14:textId="7BBEB14F" w:rsidR="00BB3EAF" w:rsidRPr="009E58F7" w:rsidRDefault="00BB3EAF" w:rsidP="00D968CE">
            <w:pPr>
              <w:keepNext/>
              <w:tabs>
                <w:tab w:val="center" w:pos="4974"/>
              </w:tabs>
              <w:jc w:val="both"/>
            </w:pPr>
            <w:r w:rsidRPr="009E58F7">
              <w:t>22. nap</w:t>
            </w:r>
          </w:p>
        </w:tc>
        <w:tc>
          <w:tcPr>
            <w:tcW w:w="709" w:type="dxa"/>
          </w:tcPr>
          <w:p w14:paraId="4ABEFAD1" w14:textId="5DA51B35" w:rsidR="00BB3EAF" w:rsidRPr="009E58F7" w:rsidRDefault="00BB3EAF" w:rsidP="00D968CE">
            <w:pPr>
              <w:keepNext/>
              <w:tabs>
                <w:tab w:val="center" w:pos="4974"/>
              </w:tabs>
              <w:jc w:val="both"/>
            </w:pPr>
            <w:r w:rsidRPr="009E58F7">
              <w:t>25. nap</w:t>
            </w:r>
          </w:p>
        </w:tc>
        <w:tc>
          <w:tcPr>
            <w:tcW w:w="567" w:type="dxa"/>
          </w:tcPr>
          <w:p w14:paraId="1BA9021D" w14:textId="2211B5AB" w:rsidR="00BB3EAF" w:rsidRPr="009E58F7" w:rsidRDefault="00BB3EAF" w:rsidP="00D968CE">
            <w:pPr>
              <w:keepNext/>
              <w:tabs>
                <w:tab w:val="center" w:pos="4974"/>
              </w:tabs>
              <w:jc w:val="both"/>
            </w:pPr>
            <w:r w:rsidRPr="009E58F7">
              <w:t>29. nap</w:t>
            </w:r>
          </w:p>
        </w:tc>
        <w:tc>
          <w:tcPr>
            <w:tcW w:w="567" w:type="dxa"/>
          </w:tcPr>
          <w:p w14:paraId="3DC2D260" w14:textId="1C732CCD" w:rsidR="00BB3EAF" w:rsidRPr="009E58F7" w:rsidRDefault="00BB3EAF" w:rsidP="00D968CE">
            <w:pPr>
              <w:keepNext/>
              <w:tabs>
                <w:tab w:val="center" w:pos="4974"/>
              </w:tabs>
              <w:jc w:val="both"/>
            </w:pPr>
            <w:r w:rsidRPr="009E58F7">
              <w:t>32. nap</w:t>
            </w:r>
          </w:p>
        </w:tc>
        <w:tc>
          <w:tcPr>
            <w:tcW w:w="905" w:type="dxa"/>
            <w:vAlign w:val="center"/>
          </w:tcPr>
          <w:p w14:paraId="760D7D6C" w14:textId="77777777" w:rsidR="00BB3EAF" w:rsidRPr="009E58F7" w:rsidRDefault="00BB3EAF" w:rsidP="00D968CE">
            <w:pPr>
              <w:keepNext/>
              <w:tabs>
                <w:tab w:val="center" w:pos="4974"/>
              </w:tabs>
              <w:jc w:val="both"/>
            </w:pPr>
            <w:r w:rsidRPr="009E58F7">
              <w:t xml:space="preserve">Kezelési </w:t>
            </w:r>
            <w:r w:rsidRPr="009E58F7">
              <w:rPr>
                <w:color w:val="000000"/>
              </w:rPr>
              <w:t>szünet</w:t>
            </w:r>
          </w:p>
        </w:tc>
      </w:tr>
      <w:tr w:rsidR="00BB3EAF" w:rsidRPr="009E58F7" w14:paraId="78F95BCD" w14:textId="77777777" w:rsidTr="00E64005">
        <w:tc>
          <w:tcPr>
            <w:tcW w:w="1399" w:type="dxa"/>
            <w:tcBorders>
              <w:bottom w:val="single" w:sz="12" w:space="0" w:color="auto"/>
            </w:tcBorders>
            <w:vAlign w:val="center"/>
          </w:tcPr>
          <w:p w14:paraId="2E562344" w14:textId="098A797C" w:rsidR="00BB3EAF" w:rsidRPr="009E58F7" w:rsidRDefault="00BB3EAF" w:rsidP="00D968CE">
            <w:pPr>
              <w:keepNext/>
              <w:tabs>
                <w:tab w:val="center" w:pos="4974"/>
              </w:tabs>
              <w:jc w:val="both"/>
            </w:pPr>
            <w:r w:rsidRPr="009E58F7">
              <w:t>M (9 mg/m</w:t>
            </w:r>
            <w:r w:rsidRPr="009E58F7">
              <w:rPr>
                <w:vertAlign w:val="superscript"/>
              </w:rPr>
              <w:t>2</w:t>
            </w:r>
            <w:r w:rsidRPr="009E58F7">
              <w:t>)</w:t>
            </w:r>
          </w:p>
          <w:p w14:paraId="3993BBD9" w14:textId="206348B0" w:rsidR="00BB3EAF" w:rsidRPr="009E58F7" w:rsidRDefault="00BB3EAF" w:rsidP="00D968CE">
            <w:pPr>
              <w:keepNext/>
              <w:tabs>
                <w:tab w:val="center" w:pos="4974"/>
              </w:tabs>
              <w:jc w:val="both"/>
            </w:pPr>
            <w:r w:rsidRPr="009E58F7">
              <w:t>P (60 mg/m</w:t>
            </w:r>
            <w:r w:rsidRPr="009E58F7">
              <w:rPr>
                <w:vertAlign w:val="superscript"/>
              </w:rPr>
              <w:t>2</w:t>
            </w:r>
            <w:r w:rsidRPr="009E58F7">
              <w:t>)</w:t>
            </w:r>
          </w:p>
        </w:tc>
        <w:tc>
          <w:tcPr>
            <w:tcW w:w="567" w:type="dxa"/>
            <w:tcBorders>
              <w:bottom w:val="single" w:sz="12" w:space="0" w:color="auto"/>
            </w:tcBorders>
            <w:vAlign w:val="center"/>
          </w:tcPr>
          <w:p w14:paraId="739A4CFE" w14:textId="1BE85C16" w:rsidR="00BB3EAF" w:rsidRPr="009E58F7" w:rsidRDefault="00BB3EAF" w:rsidP="00D968CE">
            <w:pPr>
              <w:keepNext/>
              <w:tabs>
                <w:tab w:val="center" w:pos="4974"/>
              </w:tabs>
              <w:jc w:val="both"/>
            </w:pPr>
            <w:r w:rsidRPr="009E58F7">
              <w:t>1. nap</w:t>
            </w:r>
          </w:p>
        </w:tc>
        <w:tc>
          <w:tcPr>
            <w:tcW w:w="567" w:type="dxa"/>
            <w:tcBorders>
              <w:bottom w:val="single" w:sz="12" w:space="0" w:color="auto"/>
            </w:tcBorders>
          </w:tcPr>
          <w:p w14:paraId="0188B253" w14:textId="3C216ACB" w:rsidR="00BB3EAF" w:rsidRPr="009E58F7" w:rsidRDefault="00BB3EAF" w:rsidP="00D968CE">
            <w:pPr>
              <w:keepNext/>
              <w:tabs>
                <w:tab w:val="center" w:pos="4974"/>
              </w:tabs>
              <w:jc w:val="both"/>
            </w:pPr>
            <w:r w:rsidRPr="009E58F7">
              <w:t>2. nap</w:t>
            </w:r>
          </w:p>
        </w:tc>
        <w:tc>
          <w:tcPr>
            <w:tcW w:w="567" w:type="dxa"/>
            <w:tcBorders>
              <w:bottom w:val="single" w:sz="12" w:space="0" w:color="auto"/>
            </w:tcBorders>
          </w:tcPr>
          <w:p w14:paraId="742DCBFA" w14:textId="690ACD6D" w:rsidR="00BB3EAF" w:rsidRPr="009E58F7" w:rsidRDefault="00BB3EAF" w:rsidP="00D968CE">
            <w:pPr>
              <w:keepNext/>
              <w:tabs>
                <w:tab w:val="center" w:pos="4974"/>
              </w:tabs>
              <w:jc w:val="both"/>
            </w:pPr>
            <w:r w:rsidRPr="009E58F7">
              <w:t>3. nap</w:t>
            </w:r>
          </w:p>
        </w:tc>
        <w:tc>
          <w:tcPr>
            <w:tcW w:w="567" w:type="dxa"/>
            <w:tcBorders>
              <w:bottom w:val="single" w:sz="12" w:space="0" w:color="auto"/>
            </w:tcBorders>
          </w:tcPr>
          <w:p w14:paraId="1BF72E02" w14:textId="5E77CD13" w:rsidR="00BB3EAF" w:rsidRPr="009E58F7" w:rsidRDefault="00BB3EAF" w:rsidP="00D968CE">
            <w:pPr>
              <w:keepNext/>
              <w:tabs>
                <w:tab w:val="center" w:pos="4974"/>
              </w:tabs>
              <w:jc w:val="both"/>
            </w:pPr>
            <w:r w:rsidRPr="009E58F7">
              <w:t>4. nap</w:t>
            </w:r>
          </w:p>
        </w:tc>
        <w:tc>
          <w:tcPr>
            <w:tcW w:w="567" w:type="dxa"/>
            <w:tcBorders>
              <w:bottom w:val="single" w:sz="12" w:space="0" w:color="auto"/>
            </w:tcBorders>
            <w:vAlign w:val="center"/>
          </w:tcPr>
          <w:p w14:paraId="74ACCF3A" w14:textId="77777777" w:rsidR="00BB3EAF" w:rsidRPr="009E58F7" w:rsidRDefault="00BB3EAF" w:rsidP="00D968CE">
            <w:pPr>
              <w:keepNext/>
              <w:tabs>
                <w:tab w:val="center" w:pos="4974"/>
              </w:tabs>
              <w:jc w:val="both"/>
            </w:pPr>
            <w:r w:rsidRPr="009E58F7">
              <w:t>--</w:t>
            </w:r>
          </w:p>
        </w:tc>
        <w:tc>
          <w:tcPr>
            <w:tcW w:w="709" w:type="dxa"/>
            <w:tcBorders>
              <w:bottom w:val="single" w:sz="12" w:space="0" w:color="auto"/>
            </w:tcBorders>
            <w:vAlign w:val="center"/>
          </w:tcPr>
          <w:p w14:paraId="2496CF5F" w14:textId="77777777" w:rsidR="00BB3EAF" w:rsidRPr="009E58F7" w:rsidRDefault="00BB3EAF" w:rsidP="00D968CE">
            <w:pPr>
              <w:keepNext/>
              <w:tabs>
                <w:tab w:val="center" w:pos="4974"/>
              </w:tabs>
              <w:jc w:val="both"/>
            </w:pPr>
            <w:r w:rsidRPr="009E58F7">
              <w:t>--</w:t>
            </w:r>
          </w:p>
        </w:tc>
        <w:tc>
          <w:tcPr>
            <w:tcW w:w="905" w:type="dxa"/>
            <w:tcBorders>
              <w:bottom w:val="single" w:sz="12" w:space="0" w:color="auto"/>
            </w:tcBorders>
            <w:vAlign w:val="center"/>
          </w:tcPr>
          <w:p w14:paraId="489E272F" w14:textId="77777777" w:rsidR="00BB3EAF" w:rsidRPr="009E58F7" w:rsidRDefault="00BB3EAF" w:rsidP="00D968CE">
            <w:pPr>
              <w:keepNext/>
              <w:tabs>
                <w:tab w:val="center" w:pos="4974"/>
              </w:tabs>
              <w:jc w:val="both"/>
            </w:pPr>
            <w:r w:rsidRPr="009E58F7">
              <w:t xml:space="preserve">Kezelési </w:t>
            </w:r>
            <w:r w:rsidRPr="009E58F7">
              <w:rPr>
                <w:color w:val="000000"/>
              </w:rPr>
              <w:t>szünet</w:t>
            </w:r>
          </w:p>
        </w:tc>
        <w:tc>
          <w:tcPr>
            <w:tcW w:w="654" w:type="dxa"/>
            <w:tcBorders>
              <w:bottom w:val="single" w:sz="12" w:space="0" w:color="auto"/>
            </w:tcBorders>
            <w:vAlign w:val="center"/>
          </w:tcPr>
          <w:p w14:paraId="76520E56" w14:textId="77777777" w:rsidR="00BB3EAF" w:rsidRPr="009E58F7" w:rsidRDefault="00BB3EAF" w:rsidP="00D968CE">
            <w:pPr>
              <w:keepNext/>
              <w:tabs>
                <w:tab w:val="center" w:pos="4974"/>
              </w:tabs>
              <w:jc w:val="both"/>
            </w:pPr>
            <w:r w:rsidRPr="009E58F7">
              <w:t>--</w:t>
            </w:r>
          </w:p>
        </w:tc>
        <w:tc>
          <w:tcPr>
            <w:tcW w:w="709" w:type="dxa"/>
            <w:tcBorders>
              <w:bottom w:val="single" w:sz="12" w:space="0" w:color="auto"/>
            </w:tcBorders>
            <w:vAlign w:val="center"/>
          </w:tcPr>
          <w:p w14:paraId="44FCF865" w14:textId="77777777" w:rsidR="00BB3EAF" w:rsidRPr="009E58F7" w:rsidRDefault="00BB3EAF" w:rsidP="00D968CE">
            <w:pPr>
              <w:keepNext/>
              <w:tabs>
                <w:tab w:val="center" w:pos="4974"/>
              </w:tabs>
              <w:jc w:val="both"/>
            </w:pPr>
            <w:r w:rsidRPr="009E58F7">
              <w:t>--</w:t>
            </w:r>
          </w:p>
        </w:tc>
        <w:tc>
          <w:tcPr>
            <w:tcW w:w="567" w:type="dxa"/>
            <w:tcBorders>
              <w:bottom w:val="single" w:sz="12" w:space="0" w:color="auto"/>
            </w:tcBorders>
            <w:vAlign w:val="center"/>
          </w:tcPr>
          <w:p w14:paraId="37D21DF9" w14:textId="77777777" w:rsidR="00BB3EAF" w:rsidRPr="009E58F7" w:rsidRDefault="00BB3EAF" w:rsidP="00D968CE">
            <w:pPr>
              <w:keepNext/>
              <w:tabs>
                <w:tab w:val="center" w:pos="4974"/>
              </w:tabs>
              <w:jc w:val="both"/>
            </w:pPr>
            <w:r w:rsidRPr="009E58F7">
              <w:t>--</w:t>
            </w:r>
          </w:p>
        </w:tc>
        <w:tc>
          <w:tcPr>
            <w:tcW w:w="567" w:type="dxa"/>
            <w:tcBorders>
              <w:bottom w:val="single" w:sz="12" w:space="0" w:color="auto"/>
            </w:tcBorders>
            <w:vAlign w:val="center"/>
          </w:tcPr>
          <w:p w14:paraId="12D4A6C9" w14:textId="77777777" w:rsidR="00BB3EAF" w:rsidRPr="009E58F7" w:rsidRDefault="00BB3EAF" w:rsidP="00D968CE">
            <w:pPr>
              <w:keepNext/>
              <w:tabs>
                <w:tab w:val="center" w:pos="4974"/>
              </w:tabs>
              <w:jc w:val="both"/>
            </w:pPr>
            <w:r w:rsidRPr="009E58F7">
              <w:t>--</w:t>
            </w:r>
          </w:p>
        </w:tc>
        <w:tc>
          <w:tcPr>
            <w:tcW w:w="905" w:type="dxa"/>
            <w:tcBorders>
              <w:bottom w:val="single" w:sz="12" w:space="0" w:color="auto"/>
            </w:tcBorders>
            <w:vAlign w:val="center"/>
          </w:tcPr>
          <w:p w14:paraId="030F31E2" w14:textId="77777777" w:rsidR="00BB3EAF" w:rsidRPr="009E58F7" w:rsidRDefault="00BB3EAF" w:rsidP="00D968CE">
            <w:pPr>
              <w:keepNext/>
              <w:tabs>
                <w:tab w:val="center" w:pos="4974"/>
              </w:tabs>
              <w:jc w:val="both"/>
            </w:pPr>
            <w:r w:rsidRPr="009E58F7">
              <w:t xml:space="preserve">Kezelési </w:t>
            </w:r>
            <w:r w:rsidRPr="009E58F7">
              <w:rPr>
                <w:color w:val="000000"/>
              </w:rPr>
              <w:t>szünet</w:t>
            </w:r>
          </w:p>
        </w:tc>
      </w:tr>
      <w:tr w:rsidR="00BB3EAF" w:rsidRPr="009E58F7" w14:paraId="70B1DC1F" w14:textId="77777777" w:rsidTr="00E64005">
        <w:tc>
          <w:tcPr>
            <w:tcW w:w="9250" w:type="dxa"/>
            <w:gridSpan w:val="13"/>
            <w:tcBorders>
              <w:top w:val="single" w:sz="12" w:space="0" w:color="auto"/>
              <w:bottom w:val="single" w:sz="12" w:space="0" w:color="auto"/>
            </w:tcBorders>
          </w:tcPr>
          <w:p w14:paraId="1143CA3A" w14:textId="6A728D27" w:rsidR="00494379" w:rsidRPr="009E58F7" w:rsidRDefault="00494379" w:rsidP="00D968CE">
            <w:pPr>
              <w:keepNext/>
              <w:tabs>
                <w:tab w:val="center" w:pos="4974"/>
              </w:tabs>
              <w:jc w:val="both"/>
            </w:pPr>
            <w:r w:rsidRPr="009E58F7">
              <w:rPr>
                <w:b/>
              </w:rPr>
              <w:t>Bortezomib hetente egyszer (1</w:t>
            </w:r>
            <w:r w:rsidR="00BD5400">
              <w:rPr>
                <w:b/>
              </w:rPr>
              <w:t>–</w:t>
            </w:r>
            <w:r w:rsidRPr="009E58F7">
              <w:rPr>
                <w:b/>
              </w:rPr>
              <w:t>4. ciklus)</w:t>
            </w:r>
          </w:p>
        </w:tc>
      </w:tr>
      <w:tr w:rsidR="00BB3EAF" w:rsidRPr="009E58F7" w14:paraId="75BDE2D4" w14:textId="77777777" w:rsidTr="00E64005">
        <w:tc>
          <w:tcPr>
            <w:tcW w:w="1399" w:type="dxa"/>
            <w:tcBorders>
              <w:top w:val="single" w:sz="12" w:space="0" w:color="auto"/>
            </w:tcBorders>
            <w:vAlign w:val="center"/>
          </w:tcPr>
          <w:p w14:paraId="72569548" w14:textId="77777777" w:rsidR="00494379" w:rsidRPr="009E58F7" w:rsidRDefault="00494379" w:rsidP="00D968CE">
            <w:pPr>
              <w:keepNext/>
              <w:tabs>
                <w:tab w:val="center" w:pos="4974"/>
              </w:tabs>
              <w:jc w:val="both"/>
            </w:pPr>
            <w:r w:rsidRPr="009E58F7">
              <w:rPr>
                <w:b/>
              </w:rPr>
              <w:t>Hét</w:t>
            </w:r>
          </w:p>
        </w:tc>
        <w:tc>
          <w:tcPr>
            <w:tcW w:w="2268" w:type="dxa"/>
            <w:gridSpan w:val="4"/>
            <w:tcBorders>
              <w:top w:val="single" w:sz="12" w:space="0" w:color="auto"/>
            </w:tcBorders>
            <w:vAlign w:val="center"/>
          </w:tcPr>
          <w:p w14:paraId="7EA9ED74" w14:textId="6878E5C1" w:rsidR="00494379" w:rsidRPr="009E58F7" w:rsidRDefault="00494379" w:rsidP="00D968CE">
            <w:pPr>
              <w:keepNext/>
              <w:tabs>
                <w:tab w:val="center" w:pos="4974"/>
              </w:tabs>
              <w:jc w:val="center"/>
              <w:rPr>
                <w:b/>
              </w:rPr>
            </w:pPr>
            <w:r w:rsidRPr="009E58F7">
              <w:rPr>
                <w:b/>
              </w:rPr>
              <w:t>1</w:t>
            </w:r>
            <w:r w:rsidR="00BB3EAF" w:rsidRPr="009E58F7">
              <w:rPr>
                <w:b/>
              </w:rPr>
              <w:t>.</w:t>
            </w:r>
          </w:p>
        </w:tc>
        <w:tc>
          <w:tcPr>
            <w:tcW w:w="1276" w:type="dxa"/>
            <w:gridSpan w:val="2"/>
            <w:tcBorders>
              <w:top w:val="single" w:sz="12" w:space="0" w:color="auto"/>
            </w:tcBorders>
            <w:vAlign w:val="center"/>
          </w:tcPr>
          <w:p w14:paraId="5807768C" w14:textId="011314EE" w:rsidR="00494379" w:rsidRPr="009E58F7" w:rsidRDefault="00494379" w:rsidP="00D968CE">
            <w:pPr>
              <w:keepNext/>
              <w:tabs>
                <w:tab w:val="center" w:pos="4974"/>
              </w:tabs>
              <w:jc w:val="center"/>
              <w:rPr>
                <w:b/>
              </w:rPr>
            </w:pPr>
            <w:r w:rsidRPr="009E58F7">
              <w:rPr>
                <w:b/>
              </w:rPr>
              <w:t>2</w:t>
            </w:r>
            <w:r w:rsidR="00BB3EAF" w:rsidRPr="009E58F7">
              <w:rPr>
                <w:b/>
              </w:rPr>
              <w:t>.</w:t>
            </w:r>
          </w:p>
        </w:tc>
        <w:tc>
          <w:tcPr>
            <w:tcW w:w="905" w:type="dxa"/>
            <w:tcBorders>
              <w:top w:val="single" w:sz="12" w:space="0" w:color="auto"/>
            </w:tcBorders>
            <w:vAlign w:val="center"/>
          </w:tcPr>
          <w:p w14:paraId="315BB8FE" w14:textId="54168C95" w:rsidR="00494379" w:rsidRPr="009E58F7" w:rsidRDefault="00494379" w:rsidP="00D968CE">
            <w:pPr>
              <w:keepNext/>
              <w:tabs>
                <w:tab w:val="center" w:pos="4974"/>
              </w:tabs>
              <w:jc w:val="center"/>
              <w:rPr>
                <w:b/>
              </w:rPr>
            </w:pPr>
            <w:r w:rsidRPr="009E58F7">
              <w:rPr>
                <w:b/>
              </w:rPr>
              <w:t>3</w:t>
            </w:r>
            <w:r w:rsidR="00BB3EAF" w:rsidRPr="009E58F7">
              <w:rPr>
                <w:b/>
              </w:rPr>
              <w:t>.</w:t>
            </w:r>
          </w:p>
        </w:tc>
        <w:tc>
          <w:tcPr>
            <w:tcW w:w="1363" w:type="dxa"/>
            <w:gridSpan w:val="2"/>
            <w:tcBorders>
              <w:top w:val="single" w:sz="12" w:space="0" w:color="auto"/>
            </w:tcBorders>
            <w:vAlign w:val="center"/>
          </w:tcPr>
          <w:p w14:paraId="26D4C3D6" w14:textId="001C0AB9" w:rsidR="00494379" w:rsidRPr="009E58F7" w:rsidRDefault="00494379" w:rsidP="00D968CE">
            <w:pPr>
              <w:keepNext/>
              <w:tabs>
                <w:tab w:val="center" w:pos="4974"/>
              </w:tabs>
              <w:jc w:val="center"/>
              <w:rPr>
                <w:b/>
              </w:rPr>
            </w:pPr>
            <w:r w:rsidRPr="009E58F7">
              <w:rPr>
                <w:b/>
              </w:rPr>
              <w:t>4</w:t>
            </w:r>
            <w:r w:rsidR="00BB3EAF" w:rsidRPr="009E58F7">
              <w:rPr>
                <w:b/>
              </w:rPr>
              <w:t>.</w:t>
            </w:r>
          </w:p>
        </w:tc>
        <w:tc>
          <w:tcPr>
            <w:tcW w:w="1134" w:type="dxa"/>
            <w:gridSpan w:val="2"/>
            <w:tcBorders>
              <w:top w:val="single" w:sz="12" w:space="0" w:color="auto"/>
            </w:tcBorders>
            <w:vAlign w:val="center"/>
          </w:tcPr>
          <w:p w14:paraId="4B69C13B" w14:textId="4ED40AF0" w:rsidR="00494379" w:rsidRPr="009E58F7" w:rsidRDefault="00494379" w:rsidP="00D968CE">
            <w:pPr>
              <w:keepNext/>
              <w:tabs>
                <w:tab w:val="center" w:pos="4974"/>
              </w:tabs>
              <w:jc w:val="center"/>
              <w:rPr>
                <w:b/>
              </w:rPr>
            </w:pPr>
            <w:r w:rsidRPr="009E58F7">
              <w:rPr>
                <w:b/>
              </w:rPr>
              <w:t>5</w:t>
            </w:r>
            <w:r w:rsidR="00BB3EAF" w:rsidRPr="009E58F7">
              <w:rPr>
                <w:b/>
              </w:rPr>
              <w:t>.</w:t>
            </w:r>
          </w:p>
        </w:tc>
        <w:tc>
          <w:tcPr>
            <w:tcW w:w="905" w:type="dxa"/>
            <w:tcBorders>
              <w:top w:val="single" w:sz="12" w:space="0" w:color="auto"/>
            </w:tcBorders>
            <w:vAlign w:val="center"/>
          </w:tcPr>
          <w:p w14:paraId="3326E221" w14:textId="37B467B7" w:rsidR="00494379" w:rsidRPr="009E58F7" w:rsidRDefault="00494379" w:rsidP="00D968CE">
            <w:pPr>
              <w:keepNext/>
              <w:tabs>
                <w:tab w:val="center" w:pos="4974"/>
              </w:tabs>
              <w:jc w:val="center"/>
              <w:rPr>
                <w:b/>
              </w:rPr>
            </w:pPr>
            <w:r w:rsidRPr="009E58F7">
              <w:rPr>
                <w:b/>
              </w:rPr>
              <w:t>6</w:t>
            </w:r>
            <w:r w:rsidR="00BB3EAF" w:rsidRPr="009E58F7">
              <w:rPr>
                <w:b/>
              </w:rPr>
              <w:t>.</w:t>
            </w:r>
          </w:p>
        </w:tc>
      </w:tr>
      <w:tr w:rsidR="00BB3EAF" w:rsidRPr="009E58F7" w14:paraId="78625DDF" w14:textId="77777777" w:rsidTr="00E64005">
        <w:tc>
          <w:tcPr>
            <w:tcW w:w="1399" w:type="dxa"/>
            <w:tcBorders>
              <w:bottom w:val="single" w:sz="4" w:space="0" w:color="auto"/>
            </w:tcBorders>
            <w:vAlign w:val="center"/>
          </w:tcPr>
          <w:p w14:paraId="10B3CCDD" w14:textId="77777777" w:rsidR="00BB3EAF" w:rsidRPr="009E58F7" w:rsidRDefault="00BB3EAF" w:rsidP="00D968CE">
            <w:pPr>
              <w:keepNext/>
              <w:tabs>
                <w:tab w:val="center" w:pos="4974"/>
              </w:tabs>
              <w:jc w:val="both"/>
            </w:pPr>
            <w:r w:rsidRPr="009E58F7">
              <w:t>Bz</w:t>
            </w:r>
          </w:p>
          <w:p w14:paraId="5CC6F8D9" w14:textId="5932C158" w:rsidR="00BB3EAF" w:rsidRPr="009E58F7" w:rsidRDefault="00BB3EAF" w:rsidP="00D968CE">
            <w:pPr>
              <w:keepNext/>
              <w:tabs>
                <w:tab w:val="center" w:pos="4974"/>
              </w:tabs>
              <w:jc w:val="both"/>
            </w:pPr>
            <w:r w:rsidRPr="009E58F7">
              <w:t>(1.3 mg/m</w:t>
            </w:r>
            <w:r w:rsidRPr="009E58F7">
              <w:rPr>
                <w:vertAlign w:val="superscript"/>
              </w:rPr>
              <w:t>2</w:t>
            </w:r>
            <w:r w:rsidRPr="009E58F7">
              <w:t>)</w:t>
            </w:r>
          </w:p>
        </w:tc>
        <w:tc>
          <w:tcPr>
            <w:tcW w:w="567" w:type="dxa"/>
            <w:tcBorders>
              <w:bottom w:val="single" w:sz="4" w:space="0" w:color="auto"/>
            </w:tcBorders>
            <w:vAlign w:val="center"/>
          </w:tcPr>
          <w:p w14:paraId="5845905F" w14:textId="0B3038F2" w:rsidR="00BB3EAF" w:rsidRPr="009E58F7" w:rsidRDefault="00BB3EAF" w:rsidP="00D968CE">
            <w:pPr>
              <w:keepNext/>
              <w:tabs>
                <w:tab w:val="center" w:pos="4974"/>
              </w:tabs>
              <w:jc w:val="both"/>
            </w:pPr>
            <w:r w:rsidRPr="009E58F7">
              <w:t>1. nap</w:t>
            </w:r>
          </w:p>
        </w:tc>
        <w:tc>
          <w:tcPr>
            <w:tcW w:w="567" w:type="dxa"/>
            <w:tcBorders>
              <w:bottom w:val="single" w:sz="4" w:space="0" w:color="auto"/>
            </w:tcBorders>
            <w:vAlign w:val="center"/>
          </w:tcPr>
          <w:p w14:paraId="7FC069CB" w14:textId="77777777" w:rsidR="00BB3EAF" w:rsidRPr="009E58F7" w:rsidRDefault="00BB3EAF" w:rsidP="00D968CE">
            <w:pPr>
              <w:keepNext/>
              <w:tabs>
                <w:tab w:val="center" w:pos="4974"/>
              </w:tabs>
              <w:jc w:val="both"/>
            </w:pPr>
            <w:r w:rsidRPr="009E58F7">
              <w:t>--</w:t>
            </w:r>
          </w:p>
        </w:tc>
        <w:tc>
          <w:tcPr>
            <w:tcW w:w="567" w:type="dxa"/>
            <w:tcBorders>
              <w:bottom w:val="single" w:sz="4" w:space="0" w:color="auto"/>
            </w:tcBorders>
            <w:vAlign w:val="center"/>
          </w:tcPr>
          <w:p w14:paraId="13A7966C" w14:textId="77777777" w:rsidR="00BB3EAF" w:rsidRPr="009E58F7" w:rsidRDefault="00BB3EAF" w:rsidP="00D968CE">
            <w:pPr>
              <w:keepNext/>
              <w:tabs>
                <w:tab w:val="center" w:pos="4974"/>
              </w:tabs>
              <w:jc w:val="both"/>
            </w:pPr>
            <w:r w:rsidRPr="009E58F7">
              <w:t>--</w:t>
            </w:r>
          </w:p>
        </w:tc>
        <w:tc>
          <w:tcPr>
            <w:tcW w:w="567" w:type="dxa"/>
            <w:tcBorders>
              <w:bottom w:val="single" w:sz="4" w:space="0" w:color="auto"/>
            </w:tcBorders>
            <w:vAlign w:val="center"/>
          </w:tcPr>
          <w:p w14:paraId="1F426283" w14:textId="77777777" w:rsidR="00BB3EAF" w:rsidRPr="009E58F7" w:rsidRDefault="00BB3EAF" w:rsidP="00D968CE">
            <w:pPr>
              <w:keepNext/>
              <w:tabs>
                <w:tab w:val="center" w:pos="4974"/>
              </w:tabs>
              <w:jc w:val="both"/>
            </w:pPr>
            <w:r w:rsidRPr="009E58F7">
              <w:t>--</w:t>
            </w:r>
          </w:p>
        </w:tc>
        <w:tc>
          <w:tcPr>
            <w:tcW w:w="1276" w:type="dxa"/>
            <w:gridSpan w:val="2"/>
            <w:tcBorders>
              <w:bottom w:val="single" w:sz="4" w:space="0" w:color="auto"/>
            </w:tcBorders>
            <w:vAlign w:val="center"/>
          </w:tcPr>
          <w:p w14:paraId="50C9F4AF" w14:textId="54054593" w:rsidR="00BB3EAF" w:rsidRPr="009E58F7" w:rsidRDefault="00BB3EAF" w:rsidP="00D968CE">
            <w:pPr>
              <w:keepNext/>
              <w:tabs>
                <w:tab w:val="center" w:pos="4974"/>
              </w:tabs>
              <w:jc w:val="both"/>
            </w:pPr>
            <w:r w:rsidRPr="009E58F7">
              <w:t>8. nap</w:t>
            </w:r>
          </w:p>
        </w:tc>
        <w:tc>
          <w:tcPr>
            <w:tcW w:w="905" w:type="dxa"/>
            <w:tcBorders>
              <w:bottom w:val="single" w:sz="4" w:space="0" w:color="auto"/>
            </w:tcBorders>
            <w:vAlign w:val="center"/>
          </w:tcPr>
          <w:p w14:paraId="6EBCC725" w14:textId="77777777" w:rsidR="00BB3EAF" w:rsidRPr="009E58F7" w:rsidRDefault="00BB3EAF" w:rsidP="00D968CE">
            <w:pPr>
              <w:keepNext/>
              <w:tabs>
                <w:tab w:val="center" w:pos="4974"/>
              </w:tabs>
              <w:jc w:val="both"/>
            </w:pPr>
            <w:r w:rsidRPr="009E58F7">
              <w:t xml:space="preserve">Kezelési </w:t>
            </w:r>
            <w:r w:rsidRPr="009E58F7">
              <w:rPr>
                <w:color w:val="000000"/>
              </w:rPr>
              <w:t>szünet</w:t>
            </w:r>
          </w:p>
        </w:tc>
        <w:tc>
          <w:tcPr>
            <w:tcW w:w="1363" w:type="dxa"/>
            <w:gridSpan w:val="2"/>
            <w:tcBorders>
              <w:bottom w:val="single" w:sz="4" w:space="0" w:color="auto"/>
            </w:tcBorders>
          </w:tcPr>
          <w:p w14:paraId="5B30D405" w14:textId="694AF1F1" w:rsidR="00BB3EAF" w:rsidRPr="009E58F7" w:rsidRDefault="00BB3EAF" w:rsidP="00D968CE">
            <w:pPr>
              <w:keepNext/>
              <w:tabs>
                <w:tab w:val="center" w:pos="4974"/>
              </w:tabs>
              <w:jc w:val="both"/>
            </w:pPr>
            <w:r w:rsidRPr="009E58F7">
              <w:t>22. nap</w:t>
            </w:r>
          </w:p>
        </w:tc>
        <w:tc>
          <w:tcPr>
            <w:tcW w:w="1134" w:type="dxa"/>
            <w:gridSpan w:val="2"/>
            <w:tcBorders>
              <w:bottom w:val="single" w:sz="4" w:space="0" w:color="auto"/>
            </w:tcBorders>
          </w:tcPr>
          <w:p w14:paraId="7B42AE23" w14:textId="7B3086B6" w:rsidR="00BB3EAF" w:rsidRPr="009E58F7" w:rsidRDefault="00BB3EAF" w:rsidP="00D968CE">
            <w:pPr>
              <w:keepNext/>
              <w:tabs>
                <w:tab w:val="center" w:pos="4974"/>
              </w:tabs>
              <w:jc w:val="both"/>
            </w:pPr>
            <w:r w:rsidRPr="009E58F7">
              <w:t>29. nap</w:t>
            </w:r>
          </w:p>
        </w:tc>
        <w:tc>
          <w:tcPr>
            <w:tcW w:w="905" w:type="dxa"/>
            <w:tcBorders>
              <w:bottom w:val="single" w:sz="4" w:space="0" w:color="auto"/>
            </w:tcBorders>
            <w:vAlign w:val="center"/>
          </w:tcPr>
          <w:p w14:paraId="481F6B40" w14:textId="77777777" w:rsidR="00BB3EAF" w:rsidRPr="009E58F7" w:rsidRDefault="00BB3EAF" w:rsidP="00D968CE">
            <w:pPr>
              <w:keepNext/>
              <w:tabs>
                <w:tab w:val="center" w:pos="4974"/>
              </w:tabs>
              <w:jc w:val="both"/>
            </w:pPr>
            <w:r w:rsidRPr="009E58F7">
              <w:t xml:space="preserve">Kezelési </w:t>
            </w:r>
            <w:r w:rsidRPr="009E58F7">
              <w:rPr>
                <w:color w:val="000000"/>
              </w:rPr>
              <w:t>szünet</w:t>
            </w:r>
          </w:p>
        </w:tc>
      </w:tr>
      <w:tr w:rsidR="00BB3EAF" w:rsidRPr="009E58F7" w14:paraId="061A80C1" w14:textId="77777777" w:rsidTr="00E64005">
        <w:tc>
          <w:tcPr>
            <w:tcW w:w="1399" w:type="dxa"/>
            <w:tcBorders>
              <w:bottom w:val="single" w:sz="12" w:space="0" w:color="auto"/>
            </w:tcBorders>
            <w:vAlign w:val="center"/>
          </w:tcPr>
          <w:p w14:paraId="70B83C3B" w14:textId="0FACDDFF" w:rsidR="00BB3EAF" w:rsidRPr="009E58F7" w:rsidRDefault="00BB3EAF" w:rsidP="00D968CE">
            <w:pPr>
              <w:keepNext/>
              <w:tabs>
                <w:tab w:val="center" w:pos="4974"/>
              </w:tabs>
              <w:jc w:val="both"/>
            </w:pPr>
            <w:r w:rsidRPr="009E58F7">
              <w:t>M (9 mg/m</w:t>
            </w:r>
            <w:r w:rsidRPr="009E58F7">
              <w:rPr>
                <w:vertAlign w:val="superscript"/>
              </w:rPr>
              <w:t>2</w:t>
            </w:r>
            <w:r w:rsidRPr="009E58F7">
              <w:t>)</w:t>
            </w:r>
          </w:p>
          <w:p w14:paraId="66EB85F6" w14:textId="75CD2612" w:rsidR="00BB3EAF" w:rsidRPr="009E58F7" w:rsidRDefault="00BB3EAF" w:rsidP="00D968CE">
            <w:pPr>
              <w:keepNext/>
              <w:tabs>
                <w:tab w:val="center" w:pos="4974"/>
              </w:tabs>
              <w:jc w:val="both"/>
            </w:pPr>
            <w:r w:rsidRPr="009E58F7">
              <w:t>P (60 mg/m</w:t>
            </w:r>
            <w:r w:rsidRPr="009E58F7">
              <w:rPr>
                <w:vertAlign w:val="superscript"/>
              </w:rPr>
              <w:t>2</w:t>
            </w:r>
            <w:r w:rsidRPr="009E58F7">
              <w:t>)</w:t>
            </w:r>
          </w:p>
        </w:tc>
        <w:tc>
          <w:tcPr>
            <w:tcW w:w="567" w:type="dxa"/>
            <w:tcBorders>
              <w:bottom w:val="single" w:sz="12" w:space="0" w:color="auto"/>
            </w:tcBorders>
            <w:vAlign w:val="center"/>
          </w:tcPr>
          <w:p w14:paraId="747F292C" w14:textId="5A3A87B5" w:rsidR="00BB3EAF" w:rsidRPr="009E58F7" w:rsidRDefault="00BB3EAF" w:rsidP="00D968CE">
            <w:pPr>
              <w:keepNext/>
              <w:tabs>
                <w:tab w:val="center" w:pos="4974"/>
              </w:tabs>
              <w:jc w:val="both"/>
            </w:pPr>
            <w:r w:rsidRPr="009E58F7">
              <w:t>1. nap</w:t>
            </w:r>
          </w:p>
        </w:tc>
        <w:tc>
          <w:tcPr>
            <w:tcW w:w="567" w:type="dxa"/>
            <w:tcBorders>
              <w:bottom w:val="single" w:sz="12" w:space="0" w:color="auto"/>
            </w:tcBorders>
          </w:tcPr>
          <w:p w14:paraId="4D5B7206" w14:textId="12751EAC" w:rsidR="00BB3EAF" w:rsidRPr="009E58F7" w:rsidRDefault="00BB3EAF" w:rsidP="00D968CE">
            <w:pPr>
              <w:keepNext/>
              <w:tabs>
                <w:tab w:val="center" w:pos="4974"/>
              </w:tabs>
              <w:jc w:val="both"/>
            </w:pPr>
            <w:r w:rsidRPr="009E58F7">
              <w:t>2. nap</w:t>
            </w:r>
          </w:p>
        </w:tc>
        <w:tc>
          <w:tcPr>
            <w:tcW w:w="567" w:type="dxa"/>
            <w:tcBorders>
              <w:bottom w:val="single" w:sz="12" w:space="0" w:color="auto"/>
            </w:tcBorders>
          </w:tcPr>
          <w:p w14:paraId="48321F87" w14:textId="32265FE3" w:rsidR="00BB3EAF" w:rsidRPr="009E58F7" w:rsidRDefault="00BB3EAF" w:rsidP="00D968CE">
            <w:pPr>
              <w:keepNext/>
              <w:tabs>
                <w:tab w:val="center" w:pos="4974"/>
              </w:tabs>
              <w:jc w:val="both"/>
            </w:pPr>
            <w:r w:rsidRPr="009E58F7">
              <w:t>3. nap</w:t>
            </w:r>
          </w:p>
        </w:tc>
        <w:tc>
          <w:tcPr>
            <w:tcW w:w="567" w:type="dxa"/>
            <w:tcBorders>
              <w:bottom w:val="single" w:sz="12" w:space="0" w:color="auto"/>
            </w:tcBorders>
          </w:tcPr>
          <w:p w14:paraId="45F06598" w14:textId="0539522C" w:rsidR="00BB3EAF" w:rsidRPr="009E58F7" w:rsidRDefault="00BB3EAF" w:rsidP="00D968CE">
            <w:pPr>
              <w:keepNext/>
              <w:tabs>
                <w:tab w:val="center" w:pos="4974"/>
              </w:tabs>
              <w:jc w:val="both"/>
            </w:pPr>
            <w:r w:rsidRPr="009E58F7">
              <w:t>4. nap</w:t>
            </w:r>
          </w:p>
        </w:tc>
        <w:tc>
          <w:tcPr>
            <w:tcW w:w="1276" w:type="dxa"/>
            <w:gridSpan w:val="2"/>
            <w:tcBorders>
              <w:bottom w:val="single" w:sz="12" w:space="0" w:color="auto"/>
            </w:tcBorders>
            <w:vAlign w:val="center"/>
          </w:tcPr>
          <w:p w14:paraId="3276531C" w14:textId="77777777" w:rsidR="00BB3EAF" w:rsidRPr="009E58F7" w:rsidRDefault="00BB3EAF" w:rsidP="00D968CE">
            <w:pPr>
              <w:keepNext/>
              <w:tabs>
                <w:tab w:val="center" w:pos="4974"/>
              </w:tabs>
              <w:jc w:val="both"/>
            </w:pPr>
            <w:r w:rsidRPr="009E58F7">
              <w:t>--</w:t>
            </w:r>
          </w:p>
        </w:tc>
        <w:tc>
          <w:tcPr>
            <w:tcW w:w="905" w:type="dxa"/>
            <w:tcBorders>
              <w:bottom w:val="single" w:sz="12" w:space="0" w:color="auto"/>
            </w:tcBorders>
            <w:vAlign w:val="center"/>
          </w:tcPr>
          <w:p w14:paraId="005F1951" w14:textId="77777777" w:rsidR="00BB3EAF" w:rsidRPr="009E58F7" w:rsidRDefault="00BB3EAF" w:rsidP="00D968CE">
            <w:pPr>
              <w:keepNext/>
              <w:tabs>
                <w:tab w:val="center" w:pos="4974"/>
              </w:tabs>
              <w:jc w:val="both"/>
            </w:pPr>
            <w:r w:rsidRPr="009E58F7">
              <w:t xml:space="preserve">Kezelési </w:t>
            </w:r>
            <w:r w:rsidRPr="009E58F7">
              <w:rPr>
                <w:color w:val="000000"/>
              </w:rPr>
              <w:t>szünet</w:t>
            </w:r>
          </w:p>
        </w:tc>
        <w:tc>
          <w:tcPr>
            <w:tcW w:w="1363" w:type="dxa"/>
            <w:gridSpan w:val="2"/>
            <w:tcBorders>
              <w:bottom w:val="single" w:sz="12" w:space="0" w:color="auto"/>
            </w:tcBorders>
            <w:vAlign w:val="center"/>
          </w:tcPr>
          <w:p w14:paraId="5B5AD81E" w14:textId="77777777" w:rsidR="00BB3EAF" w:rsidRPr="009E58F7" w:rsidRDefault="00BB3EAF" w:rsidP="00D968CE">
            <w:pPr>
              <w:keepNext/>
              <w:tabs>
                <w:tab w:val="center" w:pos="4974"/>
              </w:tabs>
              <w:jc w:val="both"/>
            </w:pPr>
            <w:r w:rsidRPr="009E58F7">
              <w:t>--</w:t>
            </w:r>
          </w:p>
        </w:tc>
        <w:tc>
          <w:tcPr>
            <w:tcW w:w="1134" w:type="dxa"/>
            <w:gridSpan w:val="2"/>
            <w:tcBorders>
              <w:bottom w:val="single" w:sz="12" w:space="0" w:color="auto"/>
            </w:tcBorders>
            <w:vAlign w:val="center"/>
          </w:tcPr>
          <w:p w14:paraId="4721F0BC" w14:textId="77777777" w:rsidR="00BB3EAF" w:rsidRPr="009E58F7" w:rsidRDefault="00BB3EAF" w:rsidP="00D968CE">
            <w:pPr>
              <w:keepNext/>
              <w:tabs>
                <w:tab w:val="center" w:pos="4974"/>
              </w:tabs>
              <w:jc w:val="both"/>
            </w:pPr>
          </w:p>
        </w:tc>
        <w:tc>
          <w:tcPr>
            <w:tcW w:w="905" w:type="dxa"/>
            <w:tcBorders>
              <w:bottom w:val="single" w:sz="12" w:space="0" w:color="auto"/>
            </w:tcBorders>
            <w:vAlign w:val="center"/>
          </w:tcPr>
          <w:p w14:paraId="7C1D2B7E" w14:textId="77777777" w:rsidR="00BB3EAF" w:rsidRPr="009E58F7" w:rsidRDefault="00BB3EAF" w:rsidP="00D968CE">
            <w:pPr>
              <w:keepNext/>
              <w:tabs>
                <w:tab w:val="center" w:pos="4974"/>
              </w:tabs>
              <w:jc w:val="both"/>
            </w:pPr>
            <w:r w:rsidRPr="009E58F7">
              <w:t xml:space="preserve">Kezelési </w:t>
            </w:r>
            <w:r w:rsidRPr="009E58F7">
              <w:rPr>
                <w:color w:val="000000"/>
              </w:rPr>
              <w:t>szünet</w:t>
            </w:r>
          </w:p>
        </w:tc>
      </w:tr>
    </w:tbl>
    <w:p w14:paraId="41CA28E1" w14:textId="23144619" w:rsidR="00494379" w:rsidRPr="009E58F7" w:rsidRDefault="00494379" w:rsidP="00602E58">
      <w:pPr>
        <w:spacing w:line="240" w:lineRule="auto"/>
        <w:contextualSpacing/>
        <w:rPr>
          <w:sz w:val="18"/>
          <w:szCs w:val="18"/>
        </w:rPr>
      </w:pPr>
      <w:r w:rsidRPr="009E58F7">
        <w:rPr>
          <w:iCs/>
          <w:sz w:val="18"/>
          <w:szCs w:val="18"/>
        </w:rPr>
        <w:t>Bz = bortezomib; M = melfalán, P = prednizon</w:t>
      </w:r>
    </w:p>
    <w:p w14:paraId="54EAD069" w14:textId="77777777" w:rsidR="004D6470" w:rsidRPr="009E58F7" w:rsidRDefault="004D6470" w:rsidP="00D7256D">
      <w:pPr>
        <w:widowControl w:val="0"/>
        <w:autoSpaceDE w:val="0"/>
        <w:autoSpaceDN w:val="0"/>
        <w:adjustRightInd w:val="0"/>
        <w:spacing w:line="240" w:lineRule="auto"/>
      </w:pPr>
    </w:p>
    <w:p w14:paraId="4F4A22FC" w14:textId="5BD1F696" w:rsidR="004D6470" w:rsidRPr="009E58F7" w:rsidRDefault="004D6470" w:rsidP="00D7256D">
      <w:pPr>
        <w:keepNext/>
        <w:overflowPunct w:val="0"/>
        <w:autoSpaceDE w:val="0"/>
        <w:autoSpaceDN w:val="0"/>
        <w:adjustRightInd w:val="0"/>
        <w:spacing w:line="240" w:lineRule="auto"/>
      </w:pPr>
      <w:r w:rsidRPr="009E58F7">
        <w:rPr>
          <w:i/>
          <w:iCs/>
          <w:color w:val="000000"/>
        </w:rPr>
        <w:t>Dózismódosítások</w:t>
      </w:r>
      <w:r w:rsidRPr="009E58F7">
        <w:rPr>
          <w:i/>
          <w:color w:val="000000"/>
        </w:rPr>
        <w:t xml:space="preserve"> a kezelés alatt és a kezelés újrakezdése melfalánnal és prednizonnal kombinált </w:t>
      </w:r>
      <w:r w:rsidR="00C5286C" w:rsidRPr="009E58F7">
        <w:rPr>
          <w:i/>
          <w:iCs/>
        </w:rPr>
        <w:t>terápia esetén</w:t>
      </w:r>
    </w:p>
    <w:p w14:paraId="6A2D0B64" w14:textId="20EDB99A" w:rsidR="004D6470" w:rsidRPr="009E58F7" w:rsidRDefault="00BB3EAF" w:rsidP="007070F2">
      <w:pPr>
        <w:keepNext/>
        <w:autoSpaceDE w:val="0"/>
        <w:autoSpaceDN w:val="0"/>
        <w:adjustRightInd w:val="0"/>
        <w:spacing w:line="240" w:lineRule="auto"/>
      </w:pPr>
      <w:r w:rsidRPr="009E58F7">
        <w:t>Ú</w:t>
      </w:r>
      <w:r w:rsidR="00C5286C" w:rsidRPr="009E58F7">
        <w:t>j</w:t>
      </w:r>
      <w:r w:rsidR="004D6470" w:rsidRPr="009E58F7">
        <w:rPr>
          <w:color w:val="000000"/>
        </w:rPr>
        <w:t xml:space="preserve"> terápiás ciklus </w:t>
      </w:r>
      <w:r w:rsidR="00C5286C" w:rsidRPr="009E58F7">
        <w:t>megkezdése</w:t>
      </w:r>
      <w:r w:rsidR="004D6470" w:rsidRPr="009E58F7">
        <w:rPr>
          <w:color w:val="000000"/>
        </w:rPr>
        <w:t xml:space="preserve"> előtt:</w:t>
      </w:r>
    </w:p>
    <w:p w14:paraId="5D1AE01B" w14:textId="479E048F" w:rsidR="004D6470" w:rsidRPr="009E58F7" w:rsidRDefault="004D6470" w:rsidP="00D968CE">
      <w:pPr>
        <w:keepNext/>
        <w:numPr>
          <w:ilvl w:val="1"/>
          <w:numId w:val="41"/>
        </w:numPr>
        <w:tabs>
          <w:tab w:val="clear" w:pos="1440"/>
          <w:tab w:val="num" w:pos="567"/>
        </w:tabs>
        <w:overflowPunct w:val="0"/>
        <w:autoSpaceDE w:val="0"/>
        <w:autoSpaceDN w:val="0"/>
        <w:adjustRightInd w:val="0"/>
        <w:spacing w:line="240" w:lineRule="auto"/>
        <w:ind w:left="567" w:hanging="567"/>
        <w:rPr>
          <w:color w:val="000000"/>
        </w:rPr>
      </w:pPr>
      <w:r w:rsidRPr="009E58F7">
        <w:rPr>
          <w:color w:val="000000"/>
        </w:rPr>
        <w:t>a vérlemezkeszám ≥</w:t>
      </w:r>
      <w:r w:rsidR="00BB3EAF" w:rsidRPr="009E58F7">
        <w:rPr>
          <w:color w:val="000000"/>
        </w:rPr>
        <w:t> </w:t>
      </w:r>
      <w:r w:rsidRPr="009E58F7">
        <w:rPr>
          <w:color w:val="000000"/>
        </w:rPr>
        <w:t>70 × 10</w:t>
      </w:r>
      <w:r w:rsidRPr="009E58F7">
        <w:rPr>
          <w:color w:val="000000"/>
          <w:vertAlign w:val="superscript"/>
        </w:rPr>
        <w:t>9</w:t>
      </w:r>
      <w:r w:rsidRPr="009E58F7">
        <w:rPr>
          <w:color w:val="000000"/>
        </w:rPr>
        <w:t>/l, az abszolút neutrofilszám</w:t>
      </w:r>
      <w:r w:rsidR="00BB3EAF" w:rsidRPr="009E58F7">
        <w:rPr>
          <w:color w:val="000000"/>
        </w:rPr>
        <w:t> </w:t>
      </w:r>
      <w:r w:rsidRPr="009E58F7">
        <w:rPr>
          <w:color w:val="000000"/>
        </w:rPr>
        <w:t>≥1,0 × 10</w:t>
      </w:r>
      <w:r w:rsidRPr="009E58F7">
        <w:rPr>
          <w:color w:val="000000"/>
          <w:vertAlign w:val="superscript"/>
        </w:rPr>
        <w:t>9</w:t>
      </w:r>
      <w:r w:rsidR="001B7456" w:rsidRPr="009E58F7">
        <w:rPr>
          <w:color w:val="000000"/>
        </w:rPr>
        <w:t>/l kell, hogy legyen;</w:t>
      </w:r>
    </w:p>
    <w:p w14:paraId="6B145169" w14:textId="1421B14D" w:rsidR="004D6470" w:rsidRPr="009E58F7" w:rsidRDefault="004D6470" w:rsidP="003D25C3">
      <w:pPr>
        <w:numPr>
          <w:ilvl w:val="1"/>
          <w:numId w:val="41"/>
        </w:numPr>
        <w:tabs>
          <w:tab w:val="clear" w:pos="1440"/>
          <w:tab w:val="num" w:pos="567"/>
        </w:tabs>
        <w:overflowPunct w:val="0"/>
        <w:autoSpaceDE w:val="0"/>
        <w:autoSpaceDN w:val="0"/>
        <w:adjustRightInd w:val="0"/>
        <w:spacing w:line="240" w:lineRule="auto"/>
        <w:ind w:left="567" w:hanging="567"/>
        <w:rPr>
          <w:color w:val="000000"/>
        </w:rPr>
      </w:pPr>
      <w:r w:rsidRPr="009E58F7">
        <w:rPr>
          <w:color w:val="000000"/>
        </w:rPr>
        <w:t>a nem</w:t>
      </w:r>
      <w:r w:rsidR="00BB3EAF" w:rsidRPr="009E58F7">
        <w:rPr>
          <w:color w:val="000000"/>
        </w:rPr>
        <w:t xml:space="preserve"> </w:t>
      </w:r>
      <w:r w:rsidRPr="009E58F7">
        <w:rPr>
          <w:color w:val="000000"/>
        </w:rPr>
        <w:t>hematológiai toxicitásoknak 1</w:t>
      </w:r>
      <w:r w:rsidR="00BD5400">
        <w:rPr>
          <w:color w:val="000000"/>
        </w:rPr>
        <w:t>-</w:t>
      </w:r>
      <w:r w:rsidRPr="009E58F7">
        <w:rPr>
          <w:color w:val="000000"/>
        </w:rPr>
        <w:t>es fokozatúra vagy a kiindulási értékre</w:t>
      </w:r>
      <w:r w:rsidR="00BB3EAF" w:rsidRPr="009E58F7">
        <w:rPr>
          <w:color w:val="000000"/>
        </w:rPr>
        <w:t xml:space="preserve"> kell mérséklődniük.</w:t>
      </w:r>
    </w:p>
    <w:p w14:paraId="2A6D9C5B" w14:textId="77777777" w:rsidR="00DB18E7" w:rsidRPr="009E58F7" w:rsidRDefault="00DB18E7">
      <w:pPr>
        <w:widowControl w:val="0"/>
        <w:autoSpaceDE w:val="0"/>
        <w:autoSpaceDN w:val="0"/>
        <w:adjustRightInd w:val="0"/>
        <w:spacing w:line="240" w:lineRule="auto"/>
        <w:ind w:left="567" w:hanging="567"/>
        <w:rPr>
          <w:color w:val="000000"/>
        </w:rPr>
      </w:pPr>
    </w:p>
    <w:p w14:paraId="3633BB1F" w14:textId="6B9B9828" w:rsidR="004D6470" w:rsidRPr="009E58F7" w:rsidRDefault="004D6470" w:rsidP="00602E58">
      <w:pPr>
        <w:pStyle w:val="Listaszerbekezds"/>
        <w:keepNext/>
        <w:numPr>
          <w:ilvl w:val="0"/>
          <w:numId w:val="41"/>
        </w:numPr>
        <w:tabs>
          <w:tab w:val="clear" w:pos="720"/>
        </w:tabs>
        <w:spacing w:line="240" w:lineRule="auto"/>
        <w:ind w:left="364"/>
        <w:rPr>
          <w:i/>
        </w:rPr>
      </w:pPr>
      <w:bookmarkStart w:id="4" w:name="page38"/>
      <w:bookmarkEnd w:id="4"/>
      <w:r w:rsidRPr="009E58F7">
        <w:rPr>
          <w:i/>
          <w:color w:val="000000"/>
        </w:rPr>
        <w:t>táblázat:</w:t>
      </w:r>
      <w:r w:rsidRPr="009E58F7">
        <w:rPr>
          <w:i/>
          <w:iCs/>
          <w:color w:val="000000"/>
        </w:rPr>
        <w:t xml:space="preserve"> Dózismódosítások</w:t>
      </w:r>
      <w:r w:rsidRPr="009E58F7">
        <w:rPr>
          <w:i/>
          <w:color w:val="000000"/>
        </w:rPr>
        <w:t xml:space="preserve"> a későbbi ciklusokban melfalánnal és prednizonnal kombinált</w:t>
      </w:r>
      <w:r w:rsidRPr="009E58F7">
        <w:rPr>
          <w:iCs/>
        </w:rPr>
        <w:t xml:space="preserve"> </w:t>
      </w:r>
      <w:r w:rsidRPr="009E58F7">
        <w:rPr>
          <w:i/>
        </w:rPr>
        <w:t>bortezomib</w:t>
      </w:r>
      <w:r w:rsidR="00621E19">
        <w:rPr>
          <w:i/>
          <w:iCs/>
        </w:rPr>
        <w:t>-</w:t>
      </w:r>
      <w:r w:rsidRPr="009E58F7">
        <w:rPr>
          <w:i/>
        </w:rPr>
        <w:t>terápia esetén</w:t>
      </w:r>
    </w:p>
    <w:tbl>
      <w:tblPr>
        <w:tblStyle w:val="Rcsostblzat"/>
        <w:tblW w:w="0" w:type="auto"/>
        <w:tblInd w:w="108" w:type="dxa"/>
        <w:tblLook w:val="04A0" w:firstRow="1" w:lastRow="0" w:firstColumn="1" w:lastColumn="0" w:noHBand="0" w:noVBand="1"/>
      </w:tblPr>
      <w:tblGrid>
        <w:gridCol w:w="4497"/>
        <w:gridCol w:w="4605"/>
      </w:tblGrid>
      <w:tr w:rsidR="000C0AB2" w:rsidRPr="009E58F7" w14:paraId="491DB046" w14:textId="77777777" w:rsidTr="00E64005">
        <w:tc>
          <w:tcPr>
            <w:tcW w:w="4497" w:type="dxa"/>
          </w:tcPr>
          <w:p w14:paraId="799E578B" w14:textId="77777777" w:rsidR="000C0AB2" w:rsidRPr="009E58F7" w:rsidRDefault="000C0AB2">
            <w:pPr>
              <w:keepNext/>
              <w:tabs>
                <w:tab w:val="left" w:pos="284"/>
              </w:tabs>
              <w:overflowPunct w:val="0"/>
              <w:autoSpaceDE w:val="0"/>
              <w:autoSpaceDN w:val="0"/>
              <w:adjustRightInd w:val="0"/>
              <w:rPr>
                <w:color w:val="000000"/>
                <w:sz w:val="22"/>
                <w:szCs w:val="22"/>
              </w:rPr>
            </w:pPr>
            <w:r w:rsidRPr="009E58F7">
              <w:rPr>
                <w:b/>
                <w:color w:val="000000"/>
                <w:sz w:val="22"/>
              </w:rPr>
              <w:t>Toxicitás</w:t>
            </w:r>
          </w:p>
        </w:tc>
        <w:tc>
          <w:tcPr>
            <w:tcW w:w="4605" w:type="dxa"/>
          </w:tcPr>
          <w:p w14:paraId="4A91740B" w14:textId="082AA78E" w:rsidR="000C0AB2" w:rsidRPr="009E58F7" w:rsidRDefault="000C0AB2">
            <w:pPr>
              <w:keepNext/>
              <w:tabs>
                <w:tab w:val="left" w:pos="284"/>
              </w:tabs>
              <w:overflowPunct w:val="0"/>
              <w:autoSpaceDE w:val="0"/>
              <w:autoSpaceDN w:val="0"/>
              <w:adjustRightInd w:val="0"/>
              <w:rPr>
                <w:color w:val="000000"/>
                <w:sz w:val="22"/>
                <w:szCs w:val="22"/>
              </w:rPr>
            </w:pPr>
            <w:r w:rsidRPr="009E58F7">
              <w:rPr>
                <w:b/>
                <w:color w:val="000000"/>
                <w:sz w:val="22"/>
              </w:rPr>
              <w:t>Adagolás</w:t>
            </w:r>
            <w:r w:rsidR="00817C7D" w:rsidRPr="009E58F7">
              <w:rPr>
                <w:rFonts w:eastAsiaTheme="minorHAnsi"/>
                <w:b/>
                <w:bCs/>
                <w:sz w:val="22"/>
                <w:szCs w:val="22"/>
              </w:rPr>
              <w:t>módosítás</w:t>
            </w:r>
            <w:r w:rsidRPr="009E58F7">
              <w:rPr>
                <w:b/>
                <w:color w:val="000000"/>
                <w:sz w:val="22"/>
              </w:rPr>
              <w:t xml:space="preserve"> vagy </w:t>
            </w:r>
            <w:r w:rsidR="00817C7D" w:rsidRPr="009E58F7">
              <w:rPr>
                <w:rFonts w:eastAsiaTheme="minorHAnsi"/>
                <w:b/>
                <w:bCs/>
                <w:sz w:val="22"/>
                <w:szCs w:val="22"/>
              </w:rPr>
              <w:t>-késleltetés</w:t>
            </w:r>
          </w:p>
        </w:tc>
      </w:tr>
      <w:tr w:rsidR="006C13FD" w:rsidRPr="009E58F7" w14:paraId="209EA071" w14:textId="77777777" w:rsidTr="00E64005">
        <w:trPr>
          <w:trHeight w:val="1242"/>
        </w:trPr>
        <w:tc>
          <w:tcPr>
            <w:tcW w:w="4497" w:type="dxa"/>
          </w:tcPr>
          <w:p w14:paraId="109778B2" w14:textId="77777777" w:rsidR="006C13FD" w:rsidRPr="009E58F7" w:rsidRDefault="006C13FD" w:rsidP="00D7256D">
            <w:pPr>
              <w:keepNext/>
              <w:tabs>
                <w:tab w:val="left" w:pos="284"/>
              </w:tabs>
              <w:overflowPunct w:val="0"/>
              <w:autoSpaceDE w:val="0"/>
              <w:autoSpaceDN w:val="0"/>
              <w:adjustRightInd w:val="0"/>
              <w:rPr>
                <w:iCs/>
                <w:color w:val="000000"/>
                <w:sz w:val="22"/>
                <w:szCs w:val="22"/>
              </w:rPr>
            </w:pPr>
            <w:r w:rsidRPr="009E58F7">
              <w:rPr>
                <w:i/>
                <w:iCs/>
                <w:color w:val="000000"/>
              </w:rPr>
              <w:t>Hematológiai toxicitás egy cikluson belül</w:t>
            </w:r>
          </w:p>
          <w:p w14:paraId="130044F3" w14:textId="4B2937C8" w:rsidR="006C13FD" w:rsidRPr="009E58F7" w:rsidRDefault="006C13FD" w:rsidP="00D7256D">
            <w:pPr>
              <w:pStyle w:val="Listaszerbekezds"/>
              <w:keepNext/>
              <w:numPr>
                <w:ilvl w:val="0"/>
                <w:numId w:val="43"/>
              </w:numPr>
              <w:tabs>
                <w:tab w:val="left" w:pos="46"/>
                <w:tab w:val="left" w:pos="601"/>
              </w:tabs>
              <w:overflowPunct w:val="0"/>
              <w:autoSpaceDE w:val="0"/>
              <w:autoSpaceDN w:val="0"/>
              <w:adjustRightInd w:val="0"/>
              <w:ind w:left="601" w:hanging="567"/>
              <w:rPr>
                <w:iCs/>
                <w:color w:val="000000"/>
                <w:sz w:val="22"/>
                <w:szCs w:val="22"/>
              </w:rPr>
            </w:pPr>
            <w:r w:rsidRPr="009E58F7">
              <w:t>Ha tartós, 4</w:t>
            </w:r>
            <w:r w:rsidR="00BD5400">
              <w:t>-</w:t>
            </w:r>
            <w:r w:rsidRPr="009E58F7">
              <w:t>es fokozatú neutropenia, thrombocytopenia vagy vérzéses thrombocytopenia tapasztalható az előző ciklusban</w:t>
            </w:r>
          </w:p>
        </w:tc>
        <w:tc>
          <w:tcPr>
            <w:tcW w:w="4605" w:type="dxa"/>
            <w:vAlign w:val="center"/>
          </w:tcPr>
          <w:p w14:paraId="0C61D7C0" w14:textId="074DDA3D" w:rsidR="006C13FD" w:rsidRPr="009E58F7" w:rsidRDefault="006C13FD" w:rsidP="00602E58">
            <w:pPr>
              <w:keepNext/>
              <w:tabs>
                <w:tab w:val="left" w:pos="284"/>
              </w:tabs>
              <w:overflowPunct w:val="0"/>
              <w:autoSpaceDE w:val="0"/>
              <w:autoSpaceDN w:val="0"/>
              <w:adjustRightInd w:val="0"/>
              <w:rPr>
                <w:iCs/>
                <w:color w:val="000000"/>
                <w:sz w:val="22"/>
                <w:szCs w:val="22"/>
              </w:rPr>
            </w:pPr>
            <w:r w:rsidRPr="009E58F7">
              <w:rPr>
                <w:color w:val="000000"/>
              </w:rPr>
              <w:t>A következő ciklusban megfontolandó a melfalán adagjának 25%</w:t>
            </w:r>
            <w:r w:rsidR="00BD5400">
              <w:rPr>
                <w:color w:val="000000"/>
              </w:rPr>
              <w:t>-</w:t>
            </w:r>
            <w:r w:rsidRPr="009E58F7">
              <w:rPr>
                <w:color w:val="000000"/>
              </w:rPr>
              <w:t>os csökkentése.</w:t>
            </w:r>
          </w:p>
        </w:tc>
      </w:tr>
      <w:tr w:rsidR="000C0AB2" w:rsidRPr="009E58F7" w14:paraId="10B91824" w14:textId="77777777" w:rsidTr="00E64005">
        <w:tc>
          <w:tcPr>
            <w:tcW w:w="4497" w:type="dxa"/>
          </w:tcPr>
          <w:p w14:paraId="5C17D4CF" w14:textId="7E91FADF" w:rsidR="000C0AB2" w:rsidRPr="009E58F7" w:rsidRDefault="000C0AB2" w:rsidP="00D7256D">
            <w:pPr>
              <w:pStyle w:val="Listaszerbekezds"/>
              <w:keepNext/>
              <w:numPr>
                <w:ilvl w:val="0"/>
                <w:numId w:val="43"/>
              </w:numPr>
              <w:tabs>
                <w:tab w:val="left" w:pos="601"/>
              </w:tabs>
              <w:overflowPunct w:val="0"/>
              <w:autoSpaceDE w:val="0"/>
              <w:autoSpaceDN w:val="0"/>
              <w:adjustRightInd w:val="0"/>
              <w:ind w:left="601" w:hanging="567"/>
              <w:rPr>
                <w:color w:val="000000"/>
                <w:sz w:val="22"/>
                <w:szCs w:val="22"/>
              </w:rPr>
            </w:pPr>
            <w:r w:rsidRPr="009E58F7">
              <w:t>Ha a vérlemezkeszám</w:t>
            </w:r>
            <w:r w:rsidR="006C13FD" w:rsidRPr="009E58F7">
              <w:t> </w:t>
            </w:r>
            <w:r w:rsidR="00D2526D" w:rsidRPr="009E58F7">
              <w:rPr>
                <w:color w:val="000000"/>
              </w:rPr>
              <w:t>≤</w:t>
            </w:r>
            <w:r w:rsidR="006C13FD" w:rsidRPr="009E58F7">
              <w:t> </w:t>
            </w:r>
            <w:r w:rsidRPr="009E58F7">
              <w:t>30 × 10</w:t>
            </w:r>
            <w:r w:rsidRPr="009E58F7">
              <w:rPr>
                <w:vertAlign w:val="superscript"/>
              </w:rPr>
              <w:t>9</w:t>
            </w:r>
            <w:r w:rsidRPr="009E58F7">
              <w:t>/l vagy az abszolút neutrofilszám</w:t>
            </w:r>
            <w:r w:rsidR="006C13FD" w:rsidRPr="009E58F7">
              <w:t> </w:t>
            </w:r>
            <w:r w:rsidR="00D2526D" w:rsidRPr="009E58F7">
              <w:rPr>
                <w:color w:val="000000"/>
              </w:rPr>
              <w:t>≤</w:t>
            </w:r>
            <w:r w:rsidR="006C13FD" w:rsidRPr="009E58F7">
              <w:rPr>
                <w:color w:val="000000"/>
              </w:rPr>
              <w:t> </w:t>
            </w:r>
            <w:r w:rsidRPr="009E58F7">
              <w:t>0,75 × 10</w:t>
            </w:r>
            <w:r w:rsidRPr="009E58F7">
              <w:rPr>
                <w:vertAlign w:val="superscript"/>
              </w:rPr>
              <w:t>9</w:t>
            </w:r>
            <w:r w:rsidRPr="009E58F7">
              <w:t>/l a bortezomib adásának napján (kivéve az 1.</w:t>
            </w:r>
            <w:r w:rsidR="006C13FD" w:rsidRPr="009E58F7">
              <w:t> </w:t>
            </w:r>
            <w:r w:rsidRPr="009E58F7">
              <w:t>napon)</w:t>
            </w:r>
          </w:p>
        </w:tc>
        <w:tc>
          <w:tcPr>
            <w:tcW w:w="4605" w:type="dxa"/>
            <w:vAlign w:val="center"/>
          </w:tcPr>
          <w:p w14:paraId="194BEC68" w14:textId="50B9FCD3" w:rsidR="000C0AB2" w:rsidRPr="009E58F7" w:rsidRDefault="000C0AB2" w:rsidP="00602E58">
            <w:pPr>
              <w:keepNext/>
              <w:tabs>
                <w:tab w:val="left" w:pos="284"/>
              </w:tabs>
              <w:overflowPunct w:val="0"/>
              <w:autoSpaceDE w:val="0"/>
              <w:autoSpaceDN w:val="0"/>
              <w:adjustRightInd w:val="0"/>
              <w:rPr>
                <w:color w:val="000000"/>
                <w:sz w:val="22"/>
                <w:szCs w:val="22"/>
              </w:rPr>
            </w:pPr>
            <w:r w:rsidRPr="009E58F7">
              <w:rPr>
                <w:color w:val="000000"/>
              </w:rPr>
              <w:t>A bortezomib</w:t>
            </w:r>
            <w:r w:rsidR="00FE5B85">
              <w:rPr>
                <w:color w:val="000000"/>
              </w:rPr>
              <w:t>-</w:t>
            </w:r>
            <w:r w:rsidRPr="009E58F7">
              <w:rPr>
                <w:color w:val="000000"/>
              </w:rPr>
              <w:t>terápiát nem szabad elkezdeni.</w:t>
            </w:r>
          </w:p>
        </w:tc>
      </w:tr>
      <w:tr w:rsidR="000C0AB2" w:rsidRPr="009E58F7" w14:paraId="626AD8FC" w14:textId="77777777" w:rsidTr="00E64005">
        <w:tc>
          <w:tcPr>
            <w:tcW w:w="4497" w:type="dxa"/>
            <w:tcBorders>
              <w:bottom w:val="double" w:sz="4" w:space="0" w:color="auto"/>
            </w:tcBorders>
          </w:tcPr>
          <w:p w14:paraId="27DFE60F" w14:textId="73B3178C" w:rsidR="000C0AB2" w:rsidRPr="009E58F7" w:rsidRDefault="000C0AB2" w:rsidP="00D7256D">
            <w:pPr>
              <w:pStyle w:val="Listaszerbekezds"/>
              <w:keepNext/>
              <w:numPr>
                <w:ilvl w:val="0"/>
                <w:numId w:val="43"/>
              </w:numPr>
              <w:tabs>
                <w:tab w:val="left" w:pos="601"/>
              </w:tabs>
              <w:overflowPunct w:val="0"/>
              <w:autoSpaceDE w:val="0"/>
              <w:autoSpaceDN w:val="0"/>
              <w:adjustRightInd w:val="0"/>
              <w:ind w:left="601" w:hanging="567"/>
              <w:rPr>
                <w:color w:val="000000"/>
                <w:sz w:val="22"/>
                <w:szCs w:val="22"/>
              </w:rPr>
            </w:pPr>
            <w:r w:rsidRPr="009E58F7">
              <w:rPr>
                <w:color w:val="000000"/>
              </w:rPr>
              <w:t>Ha egy cikluson belül több bortezomib adagot nem adnak be (a hetente kétszeri alkalmazás során</w:t>
            </w:r>
            <w:r w:rsidR="006C13FD" w:rsidRPr="009E58F7">
              <w:rPr>
                <w:color w:val="000000"/>
              </w:rPr>
              <w:t> </w:t>
            </w:r>
            <w:r w:rsidRPr="009E58F7">
              <w:rPr>
                <w:color w:val="000000"/>
              </w:rPr>
              <w:t>≥</w:t>
            </w:r>
            <w:r w:rsidR="006C13FD" w:rsidRPr="009E58F7">
              <w:rPr>
                <w:color w:val="000000"/>
              </w:rPr>
              <w:t> </w:t>
            </w:r>
            <w:r w:rsidRPr="009E58F7">
              <w:rPr>
                <w:color w:val="000000"/>
              </w:rPr>
              <w:t xml:space="preserve">3 adagot vagy a hetente egyszeri alkalmazás során </w:t>
            </w:r>
            <w:r w:rsidR="006E27A3" w:rsidRPr="009E58F7">
              <w:rPr>
                <w:color w:val="000000"/>
              </w:rPr>
              <w:t>≥</w:t>
            </w:r>
            <w:r w:rsidR="00D2526D" w:rsidRPr="009E58F7">
              <w:rPr>
                <w:color w:val="000000"/>
              </w:rPr>
              <w:t> </w:t>
            </w:r>
            <w:r w:rsidRPr="009E58F7">
              <w:rPr>
                <w:color w:val="000000"/>
              </w:rPr>
              <w:t>2 adagot)</w:t>
            </w:r>
          </w:p>
        </w:tc>
        <w:tc>
          <w:tcPr>
            <w:tcW w:w="4605" w:type="dxa"/>
            <w:tcBorders>
              <w:bottom w:val="double" w:sz="4" w:space="0" w:color="auto"/>
            </w:tcBorders>
            <w:vAlign w:val="center"/>
          </w:tcPr>
          <w:p w14:paraId="5389A424" w14:textId="676AA922" w:rsidR="000C0AB2" w:rsidRPr="009E58F7" w:rsidRDefault="000C0AB2" w:rsidP="00602E58">
            <w:pPr>
              <w:keepNext/>
              <w:tabs>
                <w:tab w:val="left" w:pos="284"/>
              </w:tabs>
              <w:overflowPunct w:val="0"/>
              <w:autoSpaceDE w:val="0"/>
              <w:autoSpaceDN w:val="0"/>
              <w:adjustRightInd w:val="0"/>
              <w:rPr>
                <w:color w:val="000000"/>
                <w:sz w:val="22"/>
                <w:szCs w:val="22"/>
              </w:rPr>
            </w:pPr>
            <w:r w:rsidRPr="009E58F7">
              <w:rPr>
                <w:color w:val="000000"/>
              </w:rPr>
              <w:t>A bortezomib</w:t>
            </w:r>
            <w:r w:rsidR="00E27FD7">
              <w:rPr>
                <w:color w:val="000000"/>
              </w:rPr>
              <w:t>-</w:t>
            </w:r>
            <w:r w:rsidRPr="009E58F7">
              <w:rPr>
                <w:color w:val="000000"/>
              </w:rPr>
              <w:t>adagot egy dózisszinttel</w:t>
            </w:r>
            <w:r w:rsidR="00875BA9" w:rsidRPr="009E58F7">
              <w:rPr>
                <w:color w:val="000000"/>
              </w:rPr>
              <w:t xml:space="preserve"> </w:t>
            </w:r>
            <w:r w:rsidR="00817C7D" w:rsidRPr="009E58F7">
              <w:rPr>
                <w:color w:val="000000"/>
              </w:rPr>
              <w:t>csökkenteni kell</w:t>
            </w:r>
            <w:r w:rsidRPr="009E58F7">
              <w:rPr>
                <w:color w:val="000000"/>
              </w:rPr>
              <w:t xml:space="preserve"> (1,3 mg/m</w:t>
            </w:r>
            <w:r w:rsidRPr="009E58F7">
              <w:rPr>
                <w:color w:val="000000"/>
                <w:vertAlign w:val="superscript"/>
              </w:rPr>
              <w:t>2</w:t>
            </w:r>
            <w:r w:rsidR="00BD5400">
              <w:rPr>
                <w:color w:val="000000"/>
              </w:rPr>
              <w:t>-</w:t>
            </w:r>
            <w:r w:rsidRPr="009E58F7">
              <w:rPr>
                <w:color w:val="000000"/>
              </w:rPr>
              <w:t>ről 1 mg/m</w:t>
            </w:r>
            <w:r w:rsidRPr="009E58F7">
              <w:rPr>
                <w:color w:val="000000"/>
                <w:vertAlign w:val="superscript"/>
              </w:rPr>
              <w:t>2</w:t>
            </w:r>
            <w:r w:rsidR="00BD5400">
              <w:rPr>
                <w:color w:val="000000"/>
              </w:rPr>
              <w:t>-</w:t>
            </w:r>
            <w:r w:rsidRPr="009E58F7">
              <w:rPr>
                <w:color w:val="000000"/>
              </w:rPr>
              <w:t>re vagy 1 mg/m</w:t>
            </w:r>
            <w:r w:rsidRPr="009E58F7">
              <w:rPr>
                <w:color w:val="000000"/>
                <w:vertAlign w:val="superscript"/>
              </w:rPr>
              <w:t>2</w:t>
            </w:r>
            <w:r w:rsidR="00BD5400">
              <w:rPr>
                <w:color w:val="000000"/>
              </w:rPr>
              <w:t>-</w:t>
            </w:r>
            <w:r w:rsidRPr="009E58F7">
              <w:rPr>
                <w:color w:val="000000"/>
              </w:rPr>
              <w:t>ről 0,7 mg/m</w:t>
            </w:r>
            <w:r w:rsidRPr="009E58F7">
              <w:rPr>
                <w:color w:val="000000"/>
                <w:vertAlign w:val="superscript"/>
              </w:rPr>
              <w:t>2</w:t>
            </w:r>
            <w:r w:rsidR="00BD5400">
              <w:rPr>
                <w:color w:val="000000"/>
              </w:rPr>
              <w:t>-</w:t>
            </w:r>
            <w:r w:rsidRPr="009E58F7">
              <w:rPr>
                <w:color w:val="000000"/>
              </w:rPr>
              <w:t>re).</w:t>
            </w:r>
          </w:p>
        </w:tc>
      </w:tr>
      <w:tr w:rsidR="000C0AB2" w:rsidRPr="009E58F7" w14:paraId="1DE1529E" w14:textId="77777777" w:rsidTr="00E64005">
        <w:tc>
          <w:tcPr>
            <w:tcW w:w="4497" w:type="dxa"/>
            <w:tcBorders>
              <w:top w:val="double" w:sz="4" w:space="0" w:color="auto"/>
            </w:tcBorders>
            <w:vAlign w:val="center"/>
          </w:tcPr>
          <w:p w14:paraId="38132891" w14:textId="4C25E3E8" w:rsidR="000C0AB2" w:rsidRPr="009E58F7" w:rsidRDefault="000C0AB2" w:rsidP="00D7256D">
            <w:pPr>
              <w:widowControl w:val="0"/>
              <w:tabs>
                <w:tab w:val="left" w:pos="284"/>
              </w:tabs>
              <w:overflowPunct w:val="0"/>
              <w:autoSpaceDE w:val="0"/>
              <w:autoSpaceDN w:val="0"/>
              <w:adjustRightInd w:val="0"/>
              <w:rPr>
                <w:color w:val="000000"/>
                <w:sz w:val="22"/>
                <w:szCs w:val="22"/>
              </w:rPr>
            </w:pPr>
            <w:r w:rsidRPr="009E58F7">
              <w:rPr>
                <w:i/>
                <w:color w:val="000000"/>
              </w:rPr>
              <w:t>3</w:t>
            </w:r>
            <w:r w:rsidR="00BD5400">
              <w:rPr>
                <w:i/>
                <w:iCs/>
                <w:color w:val="000000"/>
              </w:rPr>
              <w:t>-</w:t>
            </w:r>
            <w:r w:rsidRPr="009E58F7">
              <w:rPr>
                <w:i/>
                <w:color w:val="000000"/>
              </w:rPr>
              <w:t xml:space="preserve">as vagy magasabb fokozatú, </w:t>
            </w:r>
            <w:r w:rsidR="00817C7D" w:rsidRPr="009E58F7">
              <w:rPr>
                <w:rFonts w:eastAsiaTheme="minorHAnsi"/>
                <w:i/>
                <w:iCs/>
              </w:rPr>
              <w:t>nem</w:t>
            </w:r>
            <w:r w:rsidR="006C13FD" w:rsidRPr="009E58F7">
              <w:rPr>
                <w:rFonts w:eastAsiaTheme="minorHAnsi"/>
                <w:i/>
                <w:iCs/>
              </w:rPr>
              <w:t xml:space="preserve"> </w:t>
            </w:r>
            <w:r w:rsidR="00817C7D" w:rsidRPr="009E58F7">
              <w:rPr>
                <w:rFonts w:eastAsiaTheme="minorHAnsi"/>
                <w:i/>
                <w:iCs/>
              </w:rPr>
              <w:t>hematológiai</w:t>
            </w:r>
            <w:r w:rsidRPr="009E58F7">
              <w:rPr>
                <w:i/>
                <w:iCs/>
                <w:color w:val="000000"/>
              </w:rPr>
              <w:t xml:space="preserve"> </w:t>
            </w:r>
            <w:r w:rsidRPr="009E58F7">
              <w:rPr>
                <w:i/>
                <w:color w:val="000000"/>
              </w:rPr>
              <w:t>toxicitások</w:t>
            </w:r>
          </w:p>
        </w:tc>
        <w:tc>
          <w:tcPr>
            <w:tcW w:w="4605" w:type="dxa"/>
            <w:tcBorders>
              <w:top w:val="double" w:sz="4" w:space="0" w:color="auto"/>
            </w:tcBorders>
            <w:vAlign w:val="center"/>
          </w:tcPr>
          <w:p w14:paraId="52082787" w14:textId="75D3EF86" w:rsidR="000C0AB2" w:rsidRPr="009E58F7" w:rsidRDefault="000C0AB2" w:rsidP="00602E58">
            <w:pPr>
              <w:widowControl w:val="0"/>
              <w:tabs>
                <w:tab w:val="left" w:pos="284"/>
              </w:tabs>
              <w:overflowPunct w:val="0"/>
              <w:autoSpaceDE w:val="0"/>
              <w:autoSpaceDN w:val="0"/>
              <w:adjustRightInd w:val="0"/>
              <w:rPr>
                <w:color w:val="000000"/>
                <w:sz w:val="22"/>
                <w:szCs w:val="22"/>
              </w:rPr>
            </w:pPr>
            <w:r w:rsidRPr="009E58F7">
              <w:rPr>
                <w:color w:val="000000"/>
              </w:rPr>
              <w:t>A bortezomib</w:t>
            </w:r>
            <w:r w:rsidR="00BD5400">
              <w:rPr>
                <w:color w:val="000000"/>
              </w:rPr>
              <w:t>-</w:t>
            </w:r>
            <w:r w:rsidRPr="009E58F7">
              <w:rPr>
                <w:color w:val="000000"/>
              </w:rPr>
              <w:t>terápiát addig fel kell függeszteni, amíg a toxicitás 1</w:t>
            </w:r>
            <w:r w:rsidR="00BD5400">
              <w:rPr>
                <w:color w:val="000000"/>
              </w:rPr>
              <w:t>-</w:t>
            </w:r>
            <w:r w:rsidRPr="009E58F7">
              <w:rPr>
                <w:color w:val="000000"/>
              </w:rPr>
              <w:t>es fokozatúra vagy a kiindulási értékre mérséklőd</w:t>
            </w:r>
            <w:r w:rsidR="006E27A3" w:rsidRPr="009E58F7">
              <w:rPr>
                <w:color w:val="000000"/>
              </w:rPr>
              <w:t>ik</w:t>
            </w:r>
            <w:r w:rsidRPr="009E58F7">
              <w:rPr>
                <w:color w:val="000000"/>
              </w:rPr>
              <w:t xml:space="preserve">. </w:t>
            </w:r>
            <w:r w:rsidR="006E27A3" w:rsidRPr="009E58F7">
              <w:rPr>
                <w:color w:val="000000"/>
              </w:rPr>
              <w:t>Ezt követően</w:t>
            </w:r>
            <w:r w:rsidRPr="009E58F7">
              <w:rPr>
                <w:color w:val="000000"/>
              </w:rPr>
              <w:t xml:space="preserve"> a bortezomib újra kezdhető egy fokozattal </w:t>
            </w:r>
            <w:r w:rsidR="006E27A3" w:rsidRPr="009E58F7">
              <w:rPr>
                <w:color w:val="000000"/>
              </w:rPr>
              <w:t xml:space="preserve">csökkentett dózisszinten </w:t>
            </w:r>
            <w:r w:rsidRPr="009E58F7">
              <w:rPr>
                <w:color w:val="000000"/>
              </w:rPr>
              <w:t>(1,3 mg/m</w:t>
            </w:r>
            <w:r w:rsidRPr="009E58F7">
              <w:rPr>
                <w:color w:val="000000"/>
                <w:vertAlign w:val="superscript"/>
              </w:rPr>
              <w:t>2</w:t>
            </w:r>
            <w:r w:rsidR="00BD5400">
              <w:rPr>
                <w:color w:val="000000"/>
              </w:rPr>
              <w:t>-</w:t>
            </w:r>
            <w:r w:rsidRPr="009E58F7">
              <w:rPr>
                <w:color w:val="000000"/>
              </w:rPr>
              <w:t>ről 1 mg/m</w:t>
            </w:r>
            <w:r w:rsidRPr="009E58F7">
              <w:rPr>
                <w:color w:val="000000"/>
                <w:vertAlign w:val="superscript"/>
              </w:rPr>
              <w:t>2</w:t>
            </w:r>
            <w:r w:rsidR="00BD5400">
              <w:rPr>
                <w:color w:val="000000"/>
              </w:rPr>
              <w:t>-</w:t>
            </w:r>
            <w:r w:rsidRPr="009E58F7">
              <w:rPr>
                <w:color w:val="000000"/>
              </w:rPr>
              <w:t>re vagy 1 mg/m</w:t>
            </w:r>
            <w:r w:rsidRPr="009E58F7">
              <w:rPr>
                <w:color w:val="000000"/>
                <w:vertAlign w:val="superscript"/>
              </w:rPr>
              <w:t>2</w:t>
            </w:r>
            <w:r w:rsidR="00BD5400">
              <w:rPr>
                <w:color w:val="000000"/>
              </w:rPr>
              <w:t>-</w:t>
            </w:r>
            <w:r w:rsidRPr="009E58F7">
              <w:rPr>
                <w:color w:val="000000"/>
              </w:rPr>
              <w:t>ről 0,7 mg/m</w:t>
            </w:r>
            <w:r w:rsidRPr="009E58F7">
              <w:rPr>
                <w:color w:val="000000"/>
                <w:vertAlign w:val="superscript"/>
              </w:rPr>
              <w:t>2</w:t>
            </w:r>
            <w:r w:rsidR="00BD5400">
              <w:rPr>
                <w:color w:val="000000"/>
              </w:rPr>
              <w:t>-</w:t>
            </w:r>
            <w:r w:rsidR="001B7456" w:rsidRPr="009E58F7">
              <w:rPr>
                <w:color w:val="000000"/>
              </w:rPr>
              <w:t>re). A bortezomibba</w:t>
            </w:r>
            <w:r w:rsidRPr="009E58F7">
              <w:rPr>
                <w:color w:val="000000"/>
              </w:rPr>
              <w:t>l összefüggő neuropathiás fájdalom és/vagy perifériás neuropathia esetén a bortezomib adagolását fel kell függeszteni és/vagy módosítani kell az 1.</w:t>
            </w:r>
            <w:r w:rsidR="006C13FD" w:rsidRPr="009E58F7">
              <w:rPr>
                <w:color w:val="000000"/>
              </w:rPr>
              <w:t> </w:t>
            </w:r>
            <w:r w:rsidRPr="009E58F7">
              <w:rPr>
                <w:color w:val="000000"/>
              </w:rPr>
              <w:t>táblázatban leírtak szerint.</w:t>
            </w:r>
          </w:p>
        </w:tc>
      </w:tr>
    </w:tbl>
    <w:p w14:paraId="682B3271" w14:textId="77777777" w:rsidR="004D6470" w:rsidRPr="009E58F7" w:rsidRDefault="004D6470" w:rsidP="00D7256D">
      <w:pPr>
        <w:widowControl w:val="0"/>
        <w:autoSpaceDE w:val="0"/>
        <w:autoSpaceDN w:val="0"/>
        <w:adjustRightInd w:val="0"/>
        <w:spacing w:line="240" w:lineRule="auto"/>
        <w:rPr>
          <w:color w:val="000000"/>
        </w:rPr>
      </w:pPr>
    </w:p>
    <w:p w14:paraId="5C3AF7FC" w14:textId="686E6124" w:rsidR="004D6470" w:rsidRPr="009E58F7" w:rsidRDefault="004D6470" w:rsidP="00D7256D">
      <w:pPr>
        <w:pStyle w:val="Nincstrkz"/>
      </w:pPr>
      <w:r w:rsidRPr="009E58F7">
        <w:t xml:space="preserve">A melfalánnal és prednizonnal kapcsolatos további információért olvassa el a </w:t>
      </w:r>
      <w:r w:rsidR="00E05C94" w:rsidRPr="009E58F7">
        <w:t>vonatkozó</w:t>
      </w:r>
      <w:r w:rsidRPr="009E58F7">
        <w:t xml:space="preserve"> alkalmazási előírást.</w:t>
      </w:r>
    </w:p>
    <w:p w14:paraId="5D485DB4" w14:textId="77777777" w:rsidR="004D6470" w:rsidRPr="009E58F7" w:rsidRDefault="004D6470" w:rsidP="007070F2">
      <w:pPr>
        <w:pStyle w:val="Nincstrkz"/>
        <w:rPr>
          <w:u w:val="single"/>
        </w:rPr>
      </w:pPr>
      <w:bookmarkStart w:id="5" w:name="page81"/>
      <w:bookmarkEnd w:id="5"/>
    </w:p>
    <w:p w14:paraId="3C3FB675" w14:textId="01E76030" w:rsidR="004D6470" w:rsidRPr="009E58F7" w:rsidRDefault="004D6470" w:rsidP="007070F2">
      <w:pPr>
        <w:pStyle w:val="Nincstrkz"/>
        <w:keepNext/>
        <w:rPr>
          <w:u w:val="single"/>
        </w:rPr>
      </w:pPr>
      <w:r w:rsidRPr="009E58F7">
        <w:rPr>
          <w:u w:val="single"/>
        </w:rPr>
        <w:lastRenderedPageBreak/>
        <w:t>Adagolás myeloma multiplexben szenvedő, korábban nem kezelt, haemopoeti</w:t>
      </w:r>
      <w:r w:rsidR="00E05C94" w:rsidRPr="009E58F7">
        <w:rPr>
          <w:u w:val="single"/>
        </w:rPr>
        <w:t>c</w:t>
      </w:r>
      <w:r w:rsidRPr="009E58F7">
        <w:rPr>
          <w:u w:val="single"/>
        </w:rPr>
        <w:t>us őssejt</w:t>
      </w:r>
      <w:r w:rsidR="003F0F42">
        <w:rPr>
          <w:u w:val="single"/>
        </w:rPr>
        <w:t>-</w:t>
      </w:r>
      <w:r w:rsidRPr="009E58F7">
        <w:rPr>
          <w:u w:val="single"/>
        </w:rPr>
        <w:t>transzplantációra alkalmas betegeknél (indukciós kezelés)</w:t>
      </w:r>
    </w:p>
    <w:p w14:paraId="66EEF7B1" w14:textId="77777777" w:rsidR="00FB0963" w:rsidRPr="009E58F7" w:rsidRDefault="00FB0963" w:rsidP="00D968CE">
      <w:pPr>
        <w:pStyle w:val="Nincstrkz"/>
        <w:keepNext/>
      </w:pPr>
    </w:p>
    <w:p w14:paraId="734767D7" w14:textId="4C042182" w:rsidR="004D6470" w:rsidRPr="009E58F7" w:rsidRDefault="006070C3" w:rsidP="003D25C3">
      <w:pPr>
        <w:pStyle w:val="Nincstrkz"/>
        <w:keepNext/>
      </w:pPr>
      <w:r w:rsidRPr="009E58F7">
        <w:rPr>
          <w:i/>
          <w:iCs/>
        </w:rPr>
        <w:t>Dexametazonnal k</w:t>
      </w:r>
      <w:r w:rsidR="004D6470" w:rsidRPr="009E58F7">
        <w:rPr>
          <w:i/>
          <w:iCs/>
        </w:rPr>
        <w:t xml:space="preserve">ombinált </w:t>
      </w:r>
      <w:r w:rsidR="006C6331" w:rsidRPr="009E58F7">
        <w:rPr>
          <w:i/>
        </w:rPr>
        <w:t xml:space="preserve">terápia </w:t>
      </w:r>
    </w:p>
    <w:p w14:paraId="15678BEF" w14:textId="5367D23A" w:rsidR="004D6470" w:rsidRPr="009E58F7" w:rsidRDefault="004D6470">
      <w:pPr>
        <w:pStyle w:val="Nincstrkz"/>
      </w:pPr>
      <w:r w:rsidRPr="009E58F7">
        <w:t xml:space="preserve">A </w:t>
      </w:r>
      <w:r w:rsidR="008B6253" w:rsidRPr="009E58F7">
        <w:rPr>
          <w:rFonts w:eastAsia="Times New Roman"/>
        </w:rPr>
        <w:t>bortezomib</w:t>
      </w:r>
      <w:r w:rsidR="00C5286C" w:rsidRPr="009E58F7">
        <w:rPr>
          <w:rFonts w:eastAsia="Times New Roman"/>
        </w:rPr>
        <w:t xml:space="preserve"> 3,5</w:t>
      </w:r>
      <w:r w:rsidR="00E27FD7">
        <w:rPr>
          <w:rFonts w:eastAsia="Times New Roman"/>
        </w:rPr>
        <w:t> </w:t>
      </w:r>
      <w:r w:rsidR="00C5286C" w:rsidRPr="009E58F7">
        <w:rPr>
          <w:rFonts w:eastAsia="Times New Roman"/>
        </w:rPr>
        <w:t>mg por oldatos injekcióhoz beadása</w:t>
      </w:r>
      <w:r w:rsidRPr="009E58F7">
        <w:t xml:space="preserve"> intravénás vagy subcutan injekcióban </w:t>
      </w:r>
      <w:r w:rsidR="00C5286C" w:rsidRPr="009E58F7">
        <w:rPr>
          <w:rFonts w:eastAsia="Times New Roman"/>
        </w:rPr>
        <w:t>történik</w:t>
      </w:r>
      <w:r w:rsidR="0032014B" w:rsidRPr="009E58F7">
        <w:rPr>
          <w:rFonts w:eastAsia="Times New Roman"/>
        </w:rPr>
        <w:t xml:space="preserve"> </w:t>
      </w:r>
      <w:r w:rsidRPr="009E58F7">
        <w:t>hetente kétszer 1,3 mg/testfelület</w:t>
      </w:r>
      <w:r w:rsidR="006C6331" w:rsidRPr="009E58F7">
        <w:t> </w:t>
      </w:r>
      <w:r w:rsidRPr="009E58F7">
        <w:t>m</w:t>
      </w:r>
      <w:r w:rsidRPr="009E58F7">
        <w:rPr>
          <w:vertAlign w:val="superscript"/>
        </w:rPr>
        <w:t>2</w:t>
      </w:r>
      <w:r w:rsidR="008D733D" w:rsidRPr="009E58F7">
        <w:t xml:space="preserve"> ajánlott dózisban </w:t>
      </w:r>
      <w:r w:rsidR="00E27FD7">
        <w:t>2 </w:t>
      </w:r>
      <w:r w:rsidR="008D733D" w:rsidRPr="009E58F7">
        <w:t>héten keresztül</w:t>
      </w:r>
      <w:r w:rsidR="00502BAB" w:rsidRPr="009E58F7">
        <w:t>,</w:t>
      </w:r>
      <w:r w:rsidRPr="009E58F7">
        <w:t xml:space="preserve"> egy 21 napos kezelési ciklus 1., 4., 8. és a 11. napján. Ez a </w:t>
      </w:r>
      <w:r w:rsidR="006C6331" w:rsidRPr="009E58F7">
        <w:t>3 </w:t>
      </w:r>
      <w:r w:rsidRPr="009E58F7">
        <w:t xml:space="preserve">hetes időszak </w:t>
      </w:r>
      <w:r w:rsidR="00502BAB" w:rsidRPr="009E58F7">
        <w:t>1 </w:t>
      </w:r>
      <w:r w:rsidRPr="009E58F7">
        <w:t>kezelési ciklus</w:t>
      </w:r>
      <w:r w:rsidR="006C6331" w:rsidRPr="009E58F7">
        <w:t>t jelent</w:t>
      </w:r>
      <w:r w:rsidRPr="009E58F7">
        <w:t>. A bortezomib egymást követő dózisai között legalább 72 órának kell eltelnie.</w:t>
      </w:r>
    </w:p>
    <w:p w14:paraId="407007CC" w14:textId="5E98E508" w:rsidR="004D6470" w:rsidRPr="009E58F7" w:rsidRDefault="008D733D">
      <w:pPr>
        <w:pStyle w:val="Nincstrkz"/>
      </w:pPr>
      <w:r w:rsidRPr="009E58F7">
        <w:rPr>
          <w:color w:val="000000"/>
        </w:rPr>
        <w:t xml:space="preserve">A dexametazont </w:t>
      </w:r>
      <w:r w:rsidR="00502BAB" w:rsidRPr="009E58F7">
        <w:rPr>
          <w:i/>
          <w:color w:val="000000"/>
        </w:rPr>
        <w:t>per </w:t>
      </w:r>
      <w:r w:rsidRPr="009E58F7">
        <w:rPr>
          <w:i/>
          <w:color w:val="000000"/>
        </w:rPr>
        <w:t>os</w:t>
      </w:r>
      <w:r w:rsidR="004D6470" w:rsidRPr="009E58F7">
        <w:rPr>
          <w:color w:val="000000"/>
        </w:rPr>
        <w:t xml:space="preserve"> 40 mg</w:t>
      </w:r>
      <w:r w:rsidR="00621E19">
        <w:rPr>
          <w:color w:val="000000"/>
        </w:rPr>
        <w:t>-</w:t>
      </w:r>
      <w:r w:rsidR="004D6470" w:rsidRPr="009E58F7">
        <w:rPr>
          <w:color w:val="000000"/>
        </w:rPr>
        <w:t>os dózisban kell beadni a bortezomib kezelési ciklus 1., 2., 3., 4., 8., 9., 10. és 11.</w:t>
      </w:r>
      <w:r w:rsidR="004B1B37" w:rsidRPr="009E58F7">
        <w:rPr>
          <w:color w:val="000000"/>
        </w:rPr>
        <w:t> </w:t>
      </w:r>
      <w:r w:rsidR="004D6470" w:rsidRPr="009E58F7">
        <w:rPr>
          <w:color w:val="000000"/>
        </w:rPr>
        <w:t>napján.</w:t>
      </w:r>
    </w:p>
    <w:p w14:paraId="24E7EAE3" w14:textId="50F8E6E4" w:rsidR="004D6470" w:rsidRPr="009E58F7" w:rsidRDefault="004D6470">
      <w:pPr>
        <w:pStyle w:val="Nincstrkz"/>
      </w:pPr>
      <w:r w:rsidRPr="009E58F7">
        <w:t xml:space="preserve">Ezt a kombinált kezelést </w:t>
      </w:r>
      <w:r w:rsidR="00E27FD7">
        <w:t>4 </w:t>
      </w:r>
      <w:r w:rsidRPr="009E58F7">
        <w:t>kezelési cikluson keresztül kell alkalmazni.</w:t>
      </w:r>
    </w:p>
    <w:p w14:paraId="702ACEC5" w14:textId="77777777" w:rsidR="004D6470" w:rsidRPr="009E58F7" w:rsidRDefault="004D6470">
      <w:pPr>
        <w:widowControl w:val="0"/>
        <w:autoSpaceDE w:val="0"/>
        <w:autoSpaceDN w:val="0"/>
        <w:adjustRightInd w:val="0"/>
        <w:spacing w:line="240" w:lineRule="auto"/>
      </w:pPr>
    </w:p>
    <w:p w14:paraId="354B4045" w14:textId="3DF1DA8A" w:rsidR="004D6470" w:rsidRPr="009E58F7" w:rsidRDefault="006070C3">
      <w:pPr>
        <w:keepNext/>
        <w:autoSpaceDE w:val="0"/>
        <w:autoSpaceDN w:val="0"/>
        <w:adjustRightInd w:val="0"/>
        <w:spacing w:line="240" w:lineRule="auto"/>
      </w:pPr>
      <w:r w:rsidRPr="009E58F7">
        <w:rPr>
          <w:i/>
          <w:iCs/>
          <w:color w:val="000000"/>
        </w:rPr>
        <w:t>Talidomiddal</w:t>
      </w:r>
      <w:r w:rsidRPr="009E58F7">
        <w:rPr>
          <w:i/>
          <w:color w:val="000000"/>
        </w:rPr>
        <w:t xml:space="preserve"> és dexametazonnal</w:t>
      </w:r>
      <w:r w:rsidRPr="009E58F7">
        <w:rPr>
          <w:i/>
          <w:iCs/>
          <w:color w:val="000000"/>
        </w:rPr>
        <w:t xml:space="preserve"> k</w:t>
      </w:r>
      <w:r w:rsidR="004D6470" w:rsidRPr="009E58F7">
        <w:rPr>
          <w:i/>
          <w:iCs/>
          <w:color w:val="000000"/>
        </w:rPr>
        <w:t xml:space="preserve">ombinált terápia </w:t>
      </w:r>
    </w:p>
    <w:p w14:paraId="22ED75B4" w14:textId="673E0293" w:rsidR="004D6470" w:rsidRPr="009E58F7" w:rsidRDefault="004D6470">
      <w:pPr>
        <w:autoSpaceDE w:val="0"/>
        <w:autoSpaceDN w:val="0"/>
        <w:adjustRightInd w:val="0"/>
        <w:spacing w:line="240" w:lineRule="auto"/>
      </w:pPr>
      <w:r w:rsidRPr="009E58F7">
        <w:rPr>
          <w:color w:val="000000"/>
        </w:rPr>
        <w:t xml:space="preserve">A </w:t>
      </w:r>
      <w:r w:rsidR="008B6253" w:rsidRPr="009E58F7">
        <w:t>bortezomib</w:t>
      </w:r>
      <w:r w:rsidR="00C5286C" w:rsidRPr="009E58F7">
        <w:t xml:space="preserve"> 3,5</w:t>
      </w:r>
      <w:r w:rsidR="00E27FD7">
        <w:t> </w:t>
      </w:r>
      <w:r w:rsidR="00C5286C" w:rsidRPr="009E58F7">
        <w:t>mg por oldatos injekcióhoz beadása</w:t>
      </w:r>
      <w:r w:rsidRPr="009E58F7">
        <w:rPr>
          <w:color w:val="000000"/>
        </w:rPr>
        <w:t xml:space="preserve"> intravénás vagy subcutan injekcióban </w:t>
      </w:r>
      <w:r w:rsidR="00C5286C" w:rsidRPr="009E58F7">
        <w:t xml:space="preserve">történik </w:t>
      </w:r>
      <w:r w:rsidRPr="009E58F7">
        <w:rPr>
          <w:color w:val="000000"/>
        </w:rPr>
        <w:t>hetente kétszer 1,3 mg/testfelület</w:t>
      </w:r>
      <w:r w:rsidR="006C6331" w:rsidRPr="009E58F7">
        <w:rPr>
          <w:color w:val="000000"/>
        </w:rPr>
        <w:t> </w:t>
      </w:r>
      <w:r w:rsidRPr="009E58F7">
        <w:rPr>
          <w:color w:val="000000"/>
        </w:rPr>
        <w:t>m</w:t>
      </w:r>
      <w:r w:rsidRPr="009E58F7">
        <w:rPr>
          <w:color w:val="000000"/>
          <w:vertAlign w:val="superscript"/>
        </w:rPr>
        <w:t>2</w:t>
      </w:r>
      <w:r w:rsidR="008D733D" w:rsidRPr="009E58F7">
        <w:rPr>
          <w:color w:val="000000"/>
        </w:rPr>
        <w:t xml:space="preserve"> ajánlott dózisban</w:t>
      </w:r>
      <w:r w:rsidR="00502BAB" w:rsidRPr="009E58F7">
        <w:t>,</w:t>
      </w:r>
      <w:r w:rsidR="008D733D" w:rsidRPr="009E58F7">
        <w:rPr>
          <w:color w:val="000000"/>
        </w:rPr>
        <w:t xml:space="preserve"> </w:t>
      </w:r>
      <w:r w:rsidR="00E27FD7">
        <w:rPr>
          <w:color w:val="000000"/>
        </w:rPr>
        <w:t>2 </w:t>
      </w:r>
      <w:r w:rsidR="008D733D" w:rsidRPr="009E58F7">
        <w:rPr>
          <w:color w:val="000000"/>
        </w:rPr>
        <w:t>héten át</w:t>
      </w:r>
      <w:r w:rsidR="00502BAB" w:rsidRPr="009E58F7">
        <w:rPr>
          <w:color w:val="000000"/>
        </w:rPr>
        <w:t>,</w:t>
      </w:r>
      <w:r w:rsidRPr="009E58F7">
        <w:rPr>
          <w:color w:val="000000"/>
        </w:rPr>
        <w:t xml:space="preserve"> egy 28 napos kezelési ciklus 1., 4., 8. és a 11. napján. Ez a négyhetes időszak </w:t>
      </w:r>
      <w:r w:rsidR="00502BAB" w:rsidRPr="009E58F7">
        <w:rPr>
          <w:color w:val="000000"/>
        </w:rPr>
        <w:t>1 </w:t>
      </w:r>
      <w:r w:rsidRPr="009E58F7">
        <w:rPr>
          <w:color w:val="000000"/>
        </w:rPr>
        <w:t>kezelési ciklust jelent. A bortezomib egymást követő dózisai között legalább 72 órának kell eltelnie.</w:t>
      </w:r>
    </w:p>
    <w:p w14:paraId="0AC93DAE" w14:textId="77777777" w:rsidR="004D6470" w:rsidRPr="009E58F7" w:rsidRDefault="004D6470">
      <w:pPr>
        <w:widowControl w:val="0"/>
        <w:autoSpaceDE w:val="0"/>
        <w:autoSpaceDN w:val="0"/>
        <w:adjustRightInd w:val="0"/>
        <w:spacing w:line="240" w:lineRule="auto"/>
      </w:pPr>
    </w:p>
    <w:p w14:paraId="654FF408" w14:textId="2A975FC4" w:rsidR="004D6470" w:rsidRPr="009E58F7" w:rsidRDefault="008D733D">
      <w:pPr>
        <w:widowControl w:val="0"/>
        <w:overflowPunct w:val="0"/>
        <w:autoSpaceDE w:val="0"/>
        <w:autoSpaceDN w:val="0"/>
        <w:adjustRightInd w:val="0"/>
        <w:spacing w:line="240" w:lineRule="auto"/>
      </w:pPr>
      <w:r w:rsidRPr="009E58F7">
        <w:rPr>
          <w:color w:val="000000"/>
        </w:rPr>
        <w:t xml:space="preserve">A dexametazont </w:t>
      </w:r>
      <w:r w:rsidR="00502BAB" w:rsidRPr="009E58F7">
        <w:rPr>
          <w:i/>
          <w:color w:val="000000"/>
        </w:rPr>
        <w:t>per </w:t>
      </w:r>
      <w:r w:rsidRPr="009E58F7">
        <w:rPr>
          <w:i/>
          <w:color w:val="000000"/>
        </w:rPr>
        <w:t>os</w:t>
      </w:r>
      <w:r w:rsidR="004D6470" w:rsidRPr="009E58F7">
        <w:rPr>
          <w:color w:val="000000"/>
        </w:rPr>
        <w:t xml:space="preserve"> 40 mg</w:t>
      </w:r>
      <w:r w:rsidR="00621E19">
        <w:rPr>
          <w:color w:val="000000"/>
        </w:rPr>
        <w:t>-</w:t>
      </w:r>
      <w:r w:rsidR="004D6470" w:rsidRPr="009E58F7">
        <w:rPr>
          <w:color w:val="000000"/>
        </w:rPr>
        <w:t>os dózisban kell beadni a bortezomib kezelési ciklus 1., 2., 3., 4., 8., 9., 10. és 11.</w:t>
      </w:r>
      <w:r w:rsidR="004B1B37" w:rsidRPr="009E58F7">
        <w:rPr>
          <w:color w:val="000000"/>
        </w:rPr>
        <w:t> </w:t>
      </w:r>
      <w:r w:rsidR="004D6470" w:rsidRPr="009E58F7">
        <w:rPr>
          <w:color w:val="000000"/>
        </w:rPr>
        <w:t>napján.</w:t>
      </w:r>
    </w:p>
    <w:p w14:paraId="4751BD1C" w14:textId="7990A859" w:rsidR="004D6470" w:rsidRPr="009E58F7" w:rsidRDefault="008D733D">
      <w:pPr>
        <w:pStyle w:val="Nincstrkz"/>
      </w:pPr>
      <w:r w:rsidRPr="009E58F7">
        <w:t xml:space="preserve">A talidomidot </w:t>
      </w:r>
      <w:r w:rsidR="00502BAB" w:rsidRPr="009E58F7">
        <w:rPr>
          <w:i/>
        </w:rPr>
        <w:t>per </w:t>
      </w:r>
      <w:r w:rsidRPr="009E58F7">
        <w:rPr>
          <w:i/>
        </w:rPr>
        <w:t>os</w:t>
      </w:r>
      <w:r w:rsidR="004D6470" w:rsidRPr="009E58F7">
        <w:t xml:space="preserve"> napi 50 mg </w:t>
      </w:r>
      <w:r w:rsidR="00661EF7" w:rsidRPr="009E58F7">
        <w:t>adagban</w:t>
      </w:r>
      <w:r w:rsidR="004D6470" w:rsidRPr="009E58F7">
        <w:t xml:space="preserve"> kell beadni az 1–14.</w:t>
      </w:r>
      <w:r w:rsidR="00E27FD7">
        <w:t> </w:t>
      </w:r>
      <w:r w:rsidR="004D6470" w:rsidRPr="009E58F7">
        <w:t>napon, és ha a beteg jól tolerálja</w:t>
      </w:r>
      <w:r w:rsidR="00661EF7" w:rsidRPr="009E58F7">
        <w:t>,</w:t>
      </w:r>
      <w:r w:rsidR="004D6470" w:rsidRPr="009E58F7">
        <w:t xml:space="preserve"> a dózist a 15–28.</w:t>
      </w:r>
      <w:r w:rsidR="00E27FD7">
        <w:t> </w:t>
      </w:r>
      <w:r w:rsidR="004D6470" w:rsidRPr="009E58F7">
        <w:t>napon 100 mg</w:t>
      </w:r>
      <w:r w:rsidR="00621E19">
        <w:t>-</w:t>
      </w:r>
      <w:r w:rsidR="004D6470" w:rsidRPr="009E58F7">
        <w:t xml:space="preserve">ra, majd a második kezelési ciklustól </w:t>
      </w:r>
      <w:r w:rsidR="00502BAB" w:rsidRPr="009E58F7">
        <w:t xml:space="preserve">naponta további </w:t>
      </w:r>
      <w:r w:rsidR="004D6470" w:rsidRPr="009E58F7">
        <w:t>200 mg</w:t>
      </w:r>
      <w:r w:rsidR="00621E19">
        <w:t>-</w:t>
      </w:r>
      <w:r w:rsidR="004D6470" w:rsidRPr="009E58F7">
        <w:t xml:space="preserve">ra </w:t>
      </w:r>
      <w:r w:rsidR="00661EF7" w:rsidRPr="009E58F7">
        <w:t xml:space="preserve">lehet emelni </w:t>
      </w:r>
      <w:r w:rsidR="004D6470" w:rsidRPr="009E58F7">
        <w:t>(lásd 4. táblázat).</w:t>
      </w:r>
    </w:p>
    <w:p w14:paraId="25D0ABB9" w14:textId="3D975026" w:rsidR="004D6470" w:rsidRPr="009E58F7" w:rsidRDefault="004D6470">
      <w:pPr>
        <w:pStyle w:val="Nincstrkz"/>
      </w:pPr>
      <w:r w:rsidRPr="009E58F7">
        <w:t xml:space="preserve">Ez a kombinált kezelés </w:t>
      </w:r>
      <w:r w:rsidR="00E27FD7">
        <w:t>4 </w:t>
      </w:r>
      <w:r w:rsidRPr="009E58F7">
        <w:t>kezelési cikluson keresztül alkalmazható. A legalább részleges remissziót mutató betegeknél további 2 kezelési ciklus alkalmazása javasolt.</w:t>
      </w:r>
    </w:p>
    <w:p w14:paraId="515895CC" w14:textId="77777777" w:rsidR="004D6470" w:rsidRPr="009E58F7" w:rsidRDefault="004D6470">
      <w:pPr>
        <w:widowControl w:val="0"/>
        <w:autoSpaceDE w:val="0"/>
        <w:autoSpaceDN w:val="0"/>
        <w:adjustRightInd w:val="0"/>
        <w:spacing w:line="240" w:lineRule="auto"/>
      </w:pPr>
    </w:p>
    <w:p w14:paraId="4E7798C9" w14:textId="70EA9858" w:rsidR="004D6470" w:rsidRPr="009E58F7" w:rsidRDefault="004D6470" w:rsidP="00602E58">
      <w:pPr>
        <w:autoSpaceDE w:val="0"/>
        <w:autoSpaceDN w:val="0"/>
        <w:adjustRightInd w:val="0"/>
        <w:spacing w:line="240" w:lineRule="auto"/>
        <w:ind w:left="1418" w:hanging="1418"/>
        <w:rPr>
          <w:i/>
          <w:color w:val="000000"/>
        </w:rPr>
      </w:pPr>
      <w:r w:rsidRPr="009E58F7">
        <w:rPr>
          <w:i/>
          <w:color w:val="000000"/>
        </w:rPr>
        <w:t>4. táblázat:</w:t>
      </w:r>
      <w:r w:rsidR="004B1B37" w:rsidRPr="009E58F7">
        <w:rPr>
          <w:i/>
          <w:iCs/>
          <w:color w:val="000000"/>
        </w:rPr>
        <w:tab/>
      </w:r>
      <w:r w:rsidRPr="009E58F7">
        <w:rPr>
          <w:i/>
          <w:color w:val="000000"/>
        </w:rPr>
        <w:t>Adagolás myeloma multiplexben szenvedő, korábban nem kezelt, haemopoeti</w:t>
      </w:r>
      <w:r w:rsidR="00502BAB" w:rsidRPr="009E58F7">
        <w:rPr>
          <w:i/>
          <w:color w:val="000000"/>
        </w:rPr>
        <w:t>c</w:t>
      </w:r>
      <w:r w:rsidRPr="009E58F7">
        <w:rPr>
          <w:i/>
          <w:color w:val="000000"/>
        </w:rPr>
        <w:t>us</w:t>
      </w:r>
      <w:r w:rsidRPr="009E58F7">
        <w:rPr>
          <w:i/>
          <w:iCs/>
          <w:color w:val="000000"/>
        </w:rPr>
        <w:t xml:space="preserve"> </w:t>
      </w:r>
      <w:r w:rsidRPr="009E58F7">
        <w:rPr>
          <w:i/>
          <w:color w:val="000000"/>
        </w:rPr>
        <w:t>őssejt</w:t>
      </w:r>
      <w:r w:rsidR="003F0F42">
        <w:rPr>
          <w:i/>
          <w:color w:val="000000"/>
        </w:rPr>
        <w:t>-</w:t>
      </w:r>
      <w:r w:rsidRPr="009E58F7">
        <w:rPr>
          <w:i/>
          <w:color w:val="000000"/>
        </w:rPr>
        <w:t>transzplantációra alkalmas betegeknél</w:t>
      </w:r>
    </w:p>
    <w:tbl>
      <w:tblPr>
        <w:tblStyle w:val="Rcsostblzat"/>
        <w:tblW w:w="8959" w:type="dxa"/>
        <w:tblInd w:w="108" w:type="dxa"/>
        <w:tblLayout w:type="fixed"/>
        <w:tblLook w:val="04A0" w:firstRow="1" w:lastRow="0" w:firstColumn="1" w:lastColumn="0" w:noHBand="0" w:noVBand="1"/>
      </w:tblPr>
      <w:tblGrid>
        <w:gridCol w:w="1019"/>
        <w:gridCol w:w="1701"/>
        <w:gridCol w:w="1560"/>
        <w:gridCol w:w="686"/>
        <w:gridCol w:w="1158"/>
        <w:gridCol w:w="837"/>
        <w:gridCol w:w="438"/>
        <w:gridCol w:w="1560"/>
      </w:tblGrid>
      <w:tr w:rsidR="00502BAB" w:rsidRPr="009E58F7" w14:paraId="05660011" w14:textId="77777777" w:rsidTr="00502BAB">
        <w:tc>
          <w:tcPr>
            <w:tcW w:w="1019" w:type="dxa"/>
            <w:vMerge w:val="restart"/>
          </w:tcPr>
          <w:p w14:paraId="17F92CF9" w14:textId="2E7CD56B" w:rsidR="00502BAB" w:rsidRPr="009E58F7" w:rsidRDefault="00502BAB" w:rsidP="00D968CE">
            <w:pPr>
              <w:jc w:val="both"/>
            </w:pPr>
            <w:bookmarkStart w:id="6" w:name="page39"/>
            <w:bookmarkEnd w:id="6"/>
            <w:r w:rsidRPr="009E58F7">
              <w:rPr>
                <w:b/>
              </w:rPr>
              <w:t>Bz + Dx</w:t>
            </w:r>
          </w:p>
        </w:tc>
        <w:tc>
          <w:tcPr>
            <w:tcW w:w="7940" w:type="dxa"/>
            <w:gridSpan w:val="7"/>
            <w:vAlign w:val="center"/>
          </w:tcPr>
          <w:p w14:paraId="4D3F0314" w14:textId="0521E464" w:rsidR="00502BAB" w:rsidRPr="009E58F7" w:rsidRDefault="00502BAB" w:rsidP="00D968CE">
            <w:pPr>
              <w:jc w:val="center"/>
            </w:pPr>
            <w:r w:rsidRPr="009E58F7">
              <w:rPr>
                <w:rFonts w:eastAsiaTheme="minorHAnsi"/>
                <w:b/>
                <w:bCs/>
              </w:rPr>
              <w:t>1</w:t>
            </w:r>
            <w:r w:rsidR="00BD5400">
              <w:rPr>
                <w:rFonts w:eastAsiaTheme="minorHAnsi"/>
                <w:b/>
                <w:bCs/>
              </w:rPr>
              <w:t>–</w:t>
            </w:r>
            <w:r w:rsidRPr="009E58F7">
              <w:rPr>
                <w:rFonts w:eastAsiaTheme="minorHAnsi"/>
                <w:b/>
                <w:bCs/>
              </w:rPr>
              <w:t>4. ciklus</w:t>
            </w:r>
          </w:p>
        </w:tc>
      </w:tr>
      <w:tr w:rsidR="00502BAB" w:rsidRPr="009E58F7" w14:paraId="30284BC8" w14:textId="77777777" w:rsidTr="00502BAB">
        <w:tc>
          <w:tcPr>
            <w:tcW w:w="1019" w:type="dxa"/>
            <w:vMerge/>
          </w:tcPr>
          <w:p w14:paraId="351D51EF" w14:textId="77777777" w:rsidR="00502BAB" w:rsidRPr="009E58F7" w:rsidRDefault="00502BAB" w:rsidP="00602E58"/>
        </w:tc>
        <w:tc>
          <w:tcPr>
            <w:tcW w:w="1701" w:type="dxa"/>
          </w:tcPr>
          <w:p w14:paraId="40DD1BC9" w14:textId="77777777" w:rsidR="00502BAB" w:rsidRPr="009E58F7" w:rsidRDefault="00502BAB" w:rsidP="00602E58">
            <w:r w:rsidRPr="009E58F7">
              <w:rPr>
                <w:b/>
              </w:rPr>
              <w:t>Hét</w:t>
            </w:r>
          </w:p>
        </w:tc>
        <w:tc>
          <w:tcPr>
            <w:tcW w:w="2246" w:type="dxa"/>
            <w:gridSpan w:val="2"/>
            <w:vAlign w:val="center"/>
          </w:tcPr>
          <w:p w14:paraId="7D7FBF50" w14:textId="0614303C" w:rsidR="00502BAB" w:rsidRPr="009E58F7" w:rsidRDefault="00502BAB" w:rsidP="00602E58">
            <w:pPr>
              <w:rPr>
                <w:b/>
              </w:rPr>
            </w:pPr>
            <w:r w:rsidRPr="009E58F7">
              <w:rPr>
                <w:b/>
              </w:rPr>
              <w:t>1.</w:t>
            </w:r>
          </w:p>
        </w:tc>
        <w:tc>
          <w:tcPr>
            <w:tcW w:w="1995" w:type="dxa"/>
            <w:gridSpan w:val="2"/>
            <w:vAlign w:val="center"/>
          </w:tcPr>
          <w:p w14:paraId="28DB6357" w14:textId="4F8B106A" w:rsidR="00502BAB" w:rsidRPr="009E58F7" w:rsidRDefault="00502BAB" w:rsidP="00602E58">
            <w:pPr>
              <w:rPr>
                <w:b/>
              </w:rPr>
            </w:pPr>
            <w:r w:rsidRPr="009E58F7">
              <w:rPr>
                <w:b/>
              </w:rPr>
              <w:t>2.</w:t>
            </w:r>
          </w:p>
        </w:tc>
        <w:tc>
          <w:tcPr>
            <w:tcW w:w="1998" w:type="dxa"/>
            <w:gridSpan w:val="2"/>
            <w:vAlign w:val="center"/>
          </w:tcPr>
          <w:p w14:paraId="037EBD14" w14:textId="25018934" w:rsidR="00502BAB" w:rsidRPr="009E58F7" w:rsidRDefault="00502BAB" w:rsidP="00602E58">
            <w:r w:rsidRPr="009E58F7">
              <w:rPr>
                <w:b/>
              </w:rPr>
              <w:t>3.</w:t>
            </w:r>
          </w:p>
        </w:tc>
      </w:tr>
      <w:tr w:rsidR="00502BAB" w:rsidRPr="009E58F7" w14:paraId="53C07CE6" w14:textId="77777777" w:rsidTr="00502BAB">
        <w:tc>
          <w:tcPr>
            <w:tcW w:w="1019" w:type="dxa"/>
            <w:vMerge/>
          </w:tcPr>
          <w:p w14:paraId="14F0153F" w14:textId="77777777" w:rsidR="00502BAB" w:rsidRPr="009E58F7" w:rsidRDefault="00502BAB" w:rsidP="00602E58"/>
        </w:tc>
        <w:tc>
          <w:tcPr>
            <w:tcW w:w="1701" w:type="dxa"/>
          </w:tcPr>
          <w:p w14:paraId="596BC057" w14:textId="70D80817" w:rsidR="00502BAB" w:rsidRPr="009E58F7" w:rsidRDefault="00502BAB" w:rsidP="00602E58">
            <w:r w:rsidRPr="009E58F7">
              <w:t>Bz (1.3 mg/m</w:t>
            </w:r>
            <w:r w:rsidRPr="009E58F7">
              <w:rPr>
                <w:vertAlign w:val="superscript"/>
              </w:rPr>
              <w:t>2</w:t>
            </w:r>
            <w:r w:rsidRPr="009E58F7">
              <w:t>)</w:t>
            </w:r>
          </w:p>
        </w:tc>
        <w:tc>
          <w:tcPr>
            <w:tcW w:w="2246" w:type="dxa"/>
            <w:gridSpan w:val="2"/>
            <w:vAlign w:val="center"/>
          </w:tcPr>
          <w:p w14:paraId="15BEBB20" w14:textId="6F4C5CDC" w:rsidR="00502BAB" w:rsidRPr="009E58F7" w:rsidRDefault="00502BAB" w:rsidP="00602E58">
            <w:r w:rsidRPr="009E58F7">
              <w:t>1., 4. nap</w:t>
            </w:r>
          </w:p>
        </w:tc>
        <w:tc>
          <w:tcPr>
            <w:tcW w:w="1995" w:type="dxa"/>
            <w:gridSpan w:val="2"/>
            <w:vAlign w:val="center"/>
          </w:tcPr>
          <w:p w14:paraId="511D7538" w14:textId="07EC9BF5" w:rsidR="00502BAB" w:rsidRPr="009E58F7" w:rsidRDefault="00502BAB" w:rsidP="00602E58">
            <w:r w:rsidRPr="009E58F7">
              <w:t>8., 11. nap</w:t>
            </w:r>
          </w:p>
        </w:tc>
        <w:tc>
          <w:tcPr>
            <w:tcW w:w="1998" w:type="dxa"/>
            <w:gridSpan w:val="2"/>
            <w:vAlign w:val="center"/>
          </w:tcPr>
          <w:p w14:paraId="7226C0D4" w14:textId="77777777" w:rsidR="00502BAB" w:rsidRPr="009E58F7" w:rsidRDefault="00502BAB" w:rsidP="00602E58">
            <w:r w:rsidRPr="009E58F7">
              <w:rPr>
                <w:color w:val="000000"/>
              </w:rPr>
              <w:t>kezelési</w:t>
            </w:r>
            <w:r w:rsidRPr="009E58F7">
              <w:rPr>
                <w:rFonts w:eastAsia="TimesNewRomanPSMT"/>
              </w:rPr>
              <w:t xml:space="preserve"> </w:t>
            </w:r>
            <w:r w:rsidRPr="009E58F7">
              <w:rPr>
                <w:color w:val="000000"/>
              </w:rPr>
              <w:t>szünet</w:t>
            </w:r>
          </w:p>
        </w:tc>
      </w:tr>
      <w:tr w:rsidR="00502BAB" w:rsidRPr="009E58F7" w14:paraId="3DF63992" w14:textId="77777777" w:rsidTr="00502BAB">
        <w:tc>
          <w:tcPr>
            <w:tcW w:w="1019" w:type="dxa"/>
            <w:vMerge/>
          </w:tcPr>
          <w:p w14:paraId="1A847560" w14:textId="77777777" w:rsidR="00502BAB" w:rsidRPr="009E58F7" w:rsidRDefault="00502BAB" w:rsidP="00602E58"/>
        </w:tc>
        <w:tc>
          <w:tcPr>
            <w:tcW w:w="1701" w:type="dxa"/>
          </w:tcPr>
          <w:p w14:paraId="669793FA" w14:textId="2ABB4368" w:rsidR="00502BAB" w:rsidRPr="009E58F7" w:rsidRDefault="00502BAB" w:rsidP="00602E58">
            <w:r w:rsidRPr="009E58F7">
              <w:t>Dx 40 mg</w:t>
            </w:r>
          </w:p>
        </w:tc>
        <w:tc>
          <w:tcPr>
            <w:tcW w:w="2246" w:type="dxa"/>
            <w:gridSpan w:val="2"/>
            <w:vAlign w:val="center"/>
          </w:tcPr>
          <w:p w14:paraId="6014CF2F" w14:textId="15226CE4" w:rsidR="00502BAB" w:rsidRPr="009E58F7" w:rsidRDefault="00502BAB" w:rsidP="00602E58">
            <w:r w:rsidRPr="009E58F7">
              <w:t>1., 2., 3., 4. nap</w:t>
            </w:r>
          </w:p>
        </w:tc>
        <w:tc>
          <w:tcPr>
            <w:tcW w:w="1995" w:type="dxa"/>
            <w:gridSpan w:val="2"/>
            <w:vAlign w:val="center"/>
          </w:tcPr>
          <w:p w14:paraId="195D3776" w14:textId="186E33D1" w:rsidR="00502BAB" w:rsidRPr="009E58F7" w:rsidRDefault="00502BAB" w:rsidP="00602E58">
            <w:r w:rsidRPr="009E58F7">
              <w:t>8., 9., 10., 11. nap</w:t>
            </w:r>
          </w:p>
        </w:tc>
        <w:tc>
          <w:tcPr>
            <w:tcW w:w="1998" w:type="dxa"/>
            <w:gridSpan w:val="2"/>
            <w:vAlign w:val="center"/>
          </w:tcPr>
          <w:p w14:paraId="2825673C" w14:textId="77777777" w:rsidR="00502BAB" w:rsidRPr="009E58F7" w:rsidRDefault="00502BAB" w:rsidP="00602E58">
            <w:r w:rsidRPr="009E58F7">
              <w:t>-</w:t>
            </w:r>
          </w:p>
        </w:tc>
      </w:tr>
      <w:tr w:rsidR="00502BAB" w:rsidRPr="009E58F7" w14:paraId="7152F83F" w14:textId="77777777" w:rsidTr="00502BAB">
        <w:tc>
          <w:tcPr>
            <w:tcW w:w="1019" w:type="dxa"/>
            <w:vMerge w:val="restart"/>
          </w:tcPr>
          <w:p w14:paraId="2A0B6889" w14:textId="35E380A9" w:rsidR="00502BAB" w:rsidRPr="009E58F7" w:rsidRDefault="00502BAB" w:rsidP="00D7256D">
            <w:r w:rsidRPr="009E58F7">
              <w:rPr>
                <w:b/>
              </w:rPr>
              <w:t>Bz + Dx + T</w:t>
            </w:r>
          </w:p>
        </w:tc>
        <w:tc>
          <w:tcPr>
            <w:tcW w:w="7940" w:type="dxa"/>
            <w:gridSpan w:val="7"/>
            <w:vAlign w:val="center"/>
          </w:tcPr>
          <w:p w14:paraId="12B62916" w14:textId="77777777" w:rsidR="00502BAB" w:rsidRPr="009E58F7" w:rsidRDefault="00502BAB" w:rsidP="00D968CE">
            <w:pPr>
              <w:jc w:val="center"/>
            </w:pPr>
            <w:r w:rsidRPr="009E58F7">
              <w:rPr>
                <w:rFonts w:eastAsiaTheme="minorHAnsi"/>
                <w:b/>
                <w:bCs/>
              </w:rPr>
              <w:t>1. ciklus</w:t>
            </w:r>
          </w:p>
        </w:tc>
      </w:tr>
      <w:tr w:rsidR="00502BAB" w:rsidRPr="009E58F7" w14:paraId="2734CCC3" w14:textId="77777777" w:rsidTr="00502BAB">
        <w:tc>
          <w:tcPr>
            <w:tcW w:w="1019" w:type="dxa"/>
            <w:vMerge/>
          </w:tcPr>
          <w:p w14:paraId="170A7F20" w14:textId="77777777" w:rsidR="00502BAB" w:rsidRPr="009E58F7" w:rsidRDefault="00502BAB" w:rsidP="00602E58"/>
        </w:tc>
        <w:tc>
          <w:tcPr>
            <w:tcW w:w="1701" w:type="dxa"/>
          </w:tcPr>
          <w:p w14:paraId="08BBBA62" w14:textId="77777777" w:rsidR="00502BAB" w:rsidRPr="009E58F7" w:rsidRDefault="00502BAB" w:rsidP="00602E58">
            <w:r w:rsidRPr="009E58F7">
              <w:rPr>
                <w:b/>
              </w:rPr>
              <w:t>Hét</w:t>
            </w:r>
          </w:p>
        </w:tc>
        <w:tc>
          <w:tcPr>
            <w:tcW w:w="1560" w:type="dxa"/>
            <w:vAlign w:val="center"/>
          </w:tcPr>
          <w:p w14:paraId="24E9E738" w14:textId="56C69697" w:rsidR="00502BAB" w:rsidRPr="009E58F7" w:rsidRDefault="00502BAB" w:rsidP="00602E58">
            <w:pPr>
              <w:rPr>
                <w:b/>
              </w:rPr>
            </w:pPr>
            <w:r w:rsidRPr="009E58F7">
              <w:rPr>
                <w:b/>
              </w:rPr>
              <w:t>1.</w:t>
            </w:r>
          </w:p>
        </w:tc>
        <w:tc>
          <w:tcPr>
            <w:tcW w:w="1844" w:type="dxa"/>
            <w:gridSpan w:val="2"/>
            <w:vAlign w:val="center"/>
          </w:tcPr>
          <w:p w14:paraId="3C5809DD" w14:textId="1B8C0B81" w:rsidR="00502BAB" w:rsidRPr="009E58F7" w:rsidRDefault="00502BAB" w:rsidP="00602E58">
            <w:pPr>
              <w:rPr>
                <w:b/>
              </w:rPr>
            </w:pPr>
            <w:r w:rsidRPr="009E58F7">
              <w:rPr>
                <w:b/>
              </w:rPr>
              <w:t>2.</w:t>
            </w:r>
          </w:p>
        </w:tc>
        <w:tc>
          <w:tcPr>
            <w:tcW w:w="1275" w:type="dxa"/>
            <w:gridSpan w:val="2"/>
            <w:vAlign w:val="center"/>
          </w:tcPr>
          <w:p w14:paraId="187F37CF" w14:textId="66A215E0" w:rsidR="00502BAB" w:rsidRPr="009E58F7" w:rsidRDefault="00502BAB" w:rsidP="00602E58">
            <w:pPr>
              <w:rPr>
                <w:b/>
              </w:rPr>
            </w:pPr>
            <w:r w:rsidRPr="009E58F7">
              <w:rPr>
                <w:b/>
              </w:rPr>
              <w:t>3.</w:t>
            </w:r>
          </w:p>
        </w:tc>
        <w:tc>
          <w:tcPr>
            <w:tcW w:w="1560" w:type="dxa"/>
            <w:vAlign w:val="center"/>
          </w:tcPr>
          <w:p w14:paraId="638CAF7A" w14:textId="732E0D2F" w:rsidR="00502BAB" w:rsidRPr="009E58F7" w:rsidRDefault="00502BAB" w:rsidP="00602E58">
            <w:pPr>
              <w:rPr>
                <w:b/>
              </w:rPr>
            </w:pPr>
            <w:r w:rsidRPr="009E58F7">
              <w:rPr>
                <w:b/>
              </w:rPr>
              <w:t>4.</w:t>
            </w:r>
          </w:p>
        </w:tc>
      </w:tr>
      <w:tr w:rsidR="00502BAB" w:rsidRPr="009E58F7" w14:paraId="56F4778C" w14:textId="77777777" w:rsidTr="00502BAB">
        <w:tc>
          <w:tcPr>
            <w:tcW w:w="1019" w:type="dxa"/>
            <w:vMerge/>
          </w:tcPr>
          <w:p w14:paraId="2FA02ED4" w14:textId="77777777" w:rsidR="00502BAB" w:rsidRPr="009E58F7" w:rsidRDefault="00502BAB" w:rsidP="00602E58"/>
        </w:tc>
        <w:tc>
          <w:tcPr>
            <w:tcW w:w="1701" w:type="dxa"/>
          </w:tcPr>
          <w:p w14:paraId="2F315AA0" w14:textId="6D15B9BB" w:rsidR="00502BAB" w:rsidRPr="009E58F7" w:rsidRDefault="00502BAB" w:rsidP="00602E58">
            <w:r w:rsidRPr="009E58F7">
              <w:t>Bz (1.3 mg/m</w:t>
            </w:r>
            <w:r w:rsidRPr="009E58F7">
              <w:rPr>
                <w:vertAlign w:val="superscript"/>
              </w:rPr>
              <w:t>2</w:t>
            </w:r>
            <w:r w:rsidRPr="009E58F7">
              <w:t>)</w:t>
            </w:r>
          </w:p>
        </w:tc>
        <w:tc>
          <w:tcPr>
            <w:tcW w:w="1560" w:type="dxa"/>
            <w:vAlign w:val="center"/>
          </w:tcPr>
          <w:p w14:paraId="136E7D46" w14:textId="488082FE" w:rsidR="00502BAB" w:rsidRPr="009E58F7" w:rsidRDefault="00502BAB" w:rsidP="00602E58">
            <w:r w:rsidRPr="009E58F7">
              <w:t>1., 4. nap</w:t>
            </w:r>
          </w:p>
        </w:tc>
        <w:tc>
          <w:tcPr>
            <w:tcW w:w="1844" w:type="dxa"/>
            <w:gridSpan w:val="2"/>
            <w:vAlign w:val="center"/>
          </w:tcPr>
          <w:p w14:paraId="10C8B568" w14:textId="583A468A" w:rsidR="00502BAB" w:rsidRPr="009E58F7" w:rsidRDefault="00502BAB" w:rsidP="00602E58">
            <w:r w:rsidRPr="009E58F7">
              <w:t>8., 11. nap</w:t>
            </w:r>
          </w:p>
        </w:tc>
        <w:tc>
          <w:tcPr>
            <w:tcW w:w="1275" w:type="dxa"/>
            <w:gridSpan w:val="2"/>
            <w:vAlign w:val="center"/>
          </w:tcPr>
          <w:p w14:paraId="7EE41B7D" w14:textId="77777777" w:rsidR="00502BAB" w:rsidRPr="009E58F7" w:rsidRDefault="00502BAB" w:rsidP="00602E58">
            <w:r w:rsidRPr="009E58F7">
              <w:rPr>
                <w:color w:val="000000"/>
              </w:rPr>
              <w:t>kezelési</w:t>
            </w:r>
            <w:r w:rsidRPr="009E58F7">
              <w:rPr>
                <w:rFonts w:eastAsia="TimesNewRomanPSMT"/>
              </w:rPr>
              <w:t xml:space="preserve"> </w:t>
            </w:r>
            <w:r w:rsidRPr="009E58F7">
              <w:rPr>
                <w:color w:val="000000"/>
              </w:rPr>
              <w:t>szünet</w:t>
            </w:r>
          </w:p>
        </w:tc>
        <w:tc>
          <w:tcPr>
            <w:tcW w:w="1560" w:type="dxa"/>
            <w:vAlign w:val="center"/>
          </w:tcPr>
          <w:p w14:paraId="0FFF79E8" w14:textId="77777777" w:rsidR="00502BAB" w:rsidRPr="009E58F7" w:rsidRDefault="00502BAB" w:rsidP="00602E58">
            <w:r w:rsidRPr="009E58F7">
              <w:rPr>
                <w:color w:val="000000"/>
              </w:rPr>
              <w:t>kezelési</w:t>
            </w:r>
            <w:r w:rsidRPr="009E58F7">
              <w:rPr>
                <w:rFonts w:eastAsia="TimesNewRomanPSMT"/>
              </w:rPr>
              <w:t xml:space="preserve"> </w:t>
            </w:r>
            <w:r w:rsidRPr="009E58F7">
              <w:rPr>
                <w:color w:val="000000"/>
              </w:rPr>
              <w:t>szünet</w:t>
            </w:r>
          </w:p>
        </w:tc>
      </w:tr>
      <w:tr w:rsidR="00502BAB" w:rsidRPr="009E58F7" w14:paraId="1BFF139E" w14:textId="77777777" w:rsidTr="00502BAB">
        <w:tc>
          <w:tcPr>
            <w:tcW w:w="1019" w:type="dxa"/>
            <w:vMerge/>
          </w:tcPr>
          <w:p w14:paraId="7B9B0D86" w14:textId="77777777" w:rsidR="00502BAB" w:rsidRPr="009E58F7" w:rsidRDefault="00502BAB" w:rsidP="00602E58"/>
        </w:tc>
        <w:tc>
          <w:tcPr>
            <w:tcW w:w="1701" w:type="dxa"/>
          </w:tcPr>
          <w:p w14:paraId="0662BB74" w14:textId="758329AD" w:rsidR="00502BAB" w:rsidRPr="009E58F7" w:rsidRDefault="00502BAB" w:rsidP="00602E58">
            <w:r w:rsidRPr="009E58F7">
              <w:t>T 50 mg</w:t>
            </w:r>
          </w:p>
        </w:tc>
        <w:tc>
          <w:tcPr>
            <w:tcW w:w="1560" w:type="dxa"/>
            <w:vAlign w:val="center"/>
          </w:tcPr>
          <w:p w14:paraId="14BE08AA" w14:textId="77777777" w:rsidR="00502BAB" w:rsidRPr="009E58F7" w:rsidRDefault="00502BAB" w:rsidP="00602E58">
            <w:r w:rsidRPr="009E58F7">
              <w:t>Naponta</w:t>
            </w:r>
          </w:p>
        </w:tc>
        <w:tc>
          <w:tcPr>
            <w:tcW w:w="1844" w:type="dxa"/>
            <w:gridSpan w:val="2"/>
            <w:vAlign w:val="center"/>
          </w:tcPr>
          <w:p w14:paraId="595F2C16" w14:textId="77777777" w:rsidR="00502BAB" w:rsidRPr="009E58F7" w:rsidRDefault="00502BAB" w:rsidP="00602E58">
            <w:r w:rsidRPr="009E58F7">
              <w:t>Naponta</w:t>
            </w:r>
          </w:p>
        </w:tc>
        <w:tc>
          <w:tcPr>
            <w:tcW w:w="1275" w:type="dxa"/>
            <w:gridSpan w:val="2"/>
            <w:vAlign w:val="center"/>
          </w:tcPr>
          <w:p w14:paraId="332B2907" w14:textId="77777777" w:rsidR="00502BAB" w:rsidRPr="009E58F7" w:rsidRDefault="00502BAB" w:rsidP="00602E58">
            <w:r w:rsidRPr="009E58F7">
              <w:t>-</w:t>
            </w:r>
          </w:p>
        </w:tc>
        <w:tc>
          <w:tcPr>
            <w:tcW w:w="1560" w:type="dxa"/>
            <w:vAlign w:val="center"/>
          </w:tcPr>
          <w:p w14:paraId="19D1ADA3" w14:textId="77777777" w:rsidR="00502BAB" w:rsidRPr="009E58F7" w:rsidRDefault="00502BAB" w:rsidP="00602E58">
            <w:r w:rsidRPr="009E58F7">
              <w:t>-</w:t>
            </w:r>
          </w:p>
        </w:tc>
      </w:tr>
      <w:tr w:rsidR="00502BAB" w:rsidRPr="009E58F7" w14:paraId="7997FF51" w14:textId="77777777" w:rsidTr="00502BAB">
        <w:tc>
          <w:tcPr>
            <w:tcW w:w="1019" w:type="dxa"/>
            <w:vMerge/>
          </w:tcPr>
          <w:p w14:paraId="23A0603A" w14:textId="77777777" w:rsidR="00502BAB" w:rsidRPr="009E58F7" w:rsidRDefault="00502BAB" w:rsidP="00602E58"/>
        </w:tc>
        <w:tc>
          <w:tcPr>
            <w:tcW w:w="1701" w:type="dxa"/>
          </w:tcPr>
          <w:p w14:paraId="5A986404" w14:textId="43E2BDAB" w:rsidR="00502BAB" w:rsidRPr="009E58F7" w:rsidRDefault="00502BAB" w:rsidP="00602E58">
            <w:r w:rsidRPr="009E58F7">
              <w:t>T 100 mg</w:t>
            </w:r>
            <w:r w:rsidRPr="009E58F7">
              <w:rPr>
                <w:vertAlign w:val="superscript"/>
              </w:rPr>
              <w:t>a</w:t>
            </w:r>
          </w:p>
        </w:tc>
        <w:tc>
          <w:tcPr>
            <w:tcW w:w="1560" w:type="dxa"/>
            <w:vAlign w:val="center"/>
          </w:tcPr>
          <w:p w14:paraId="2341CA37" w14:textId="77777777" w:rsidR="00502BAB" w:rsidRPr="009E58F7" w:rsidRDefault="00502BAB" w:rsidP="00602E58">
            <w:r w:rsidRPr="009E58F7">
              <w:t>-</w:t>
            </w:r>
          </w:p>
        </w:tc>
        <w:tc>
          <w:tcPr>
            <w:tcW w:w="1844" w:type="dxa"/>
            <w:gridSpan w:val="2"/>
            <w:vAlign w:val="center"/>
          </w:tcPr>
          <w:p w14:paraId="2DF774E0" w14:textId="77777777" w:rsidR="00502BAB" w:rsidRPr="009E58F7" w:rsidRDefault="00502BAB" w:rsidP="00602E58">
            <w:r w:rsidRPr="009E58F7">
              <w:t>-</w:t>
            </w:r>
          </w:p>
        </w:tc>
        <w:tc>
          <w:tcPr>
            <w:tcW w:w="1275" w:type="dxa"/>
            <w:gridSpan w:val="2"/>
            <w:vAlign w:val="center"/>
          </w:tcPr>
          <w:p w14:paraId="094B8780" w14:textId="77777777" w:rsidR="00502BAB" w:rsidRPr="009E58F7" w:rsidRDefault="00502BAB" w:rsidP="00602E58">
            <w:r w:rsidRPr="009E58F7">
              <w:t>Naponta</w:t>
            </w:r>
          </w:p>
        </w:tc>
        <w:tc>
          <w:tcPr>
            <w:tcW w:w="1560" w:type="dxa"/>
            <w:vAlign w:val="center"/>
          </w:tcPr>
          <w:p w14:paraId="3199EFF9" w14:textId="77777777" w:rsidR="00502BAB" w:rsidRPr="009E58F7" w:rsidRDefault="00502BAB" w:rsidP="00602E58">
            <w:r w:rsidRPr="009E58F7">
              <w:t>Naponta</w:t>
            </w:r>
          </w:p>
        </w:tc>
      </w:tr>
      <w:tr w:rsidR="00502BAB" w:rsidRPr="009E58F7" w14:paraId="3F9FE879" w14:textId="77777777" w:rsidTr="00502BAB">
        <w:tc>
          <w:tcPr>
            <w:tcW w:w="1019" w:type="dxa"/>
            <w:vMerge/>
          </w:tcPr>
          <w:p w14:paraId="572ABACA" w14:textId="77777777" w:rsidR="00502BAB" w:rsidRPr="009E58F7" w:rsidRDefault="00502BAB" w:rsidP="00602E58"/>
        </w:tc>
        <w:tc>
          <w:tcPr>
            <w:tcW w:w="1701" w:type="dxa"/>
          </w:tcPr>
          <w:p w14:paraId="1D4CB4AC" w14:textId="6C9331A5" w:rsidR="00502BAB" w:rsidRPr="009E58F7" w:rsidRDefault="00502BAB" w:rsidP="00602E58">
            <w:r w:rsidRPr="009E58F7">
              <w:t>Dx 40 mg</w:t>
            </w:r>
          </w:p>
        </w:tc>
        <w:tc>
          <w:tcPr>
            <w:tcW w:w="1560" w:type="dxa"/>
            <w:vAlign w:val="center"/>
          </w:tcPr>
          <w:p w14:paraId="22BBE36F" w14:textId="356883E2" w:rsidR="00502BAB" w:rsidRPr="009E58F7" w:rsidRDefault="00502BAB" w:rsidP="00602E58">
            <w:r w:rsidRPr="009E58F7">
              <w:t>1., 2., 3., 4. nap</w:t>
            </w:r>
          </w:p>
        </w:tc>
        <w:tc>
          <w:tcPr>
            <w:tcW w:w="1844" w:type="dxa"/>
            <w:gridSpan w:val="2"/>
            <w:vAlign w:val="center"/>
          </w:tcPr>
          <w:p w14:paraId="1D10CE9A" w14:textId="65C358C6" w:rsidR="00502BAB" w:rsidRPr="009E58F7" w:rsidRDefault="00502BAB" w:rsidP="00602E58">
            <w:r w:rsidRPr="009E58F7">
              <w:t>8., 9., 10., 11. nap</w:t>
            </w:r>
          </w:p>
        </w:tc>
        <w:tc>
          <w:tcPr>
            <w:tcW w:w="1275" w:type="dxa"/>
            <w:gridSpan w:val="2"/>
            <w:vAlign w:val="center"/>
          </w:tcPr>
          <w:p w14:paraId="28D2A30B" w14:textId="77777777" w:rsidR="00502BAB" w:rsidRPr="009E58F7" w:rsidRDefault="00502BAB" w:rsidP="00602E58">
            <w:r w:rsidRPr="009E58F7">
              <w:t>-</w:t>
            </w:r>
          </w:p>
        </w:tc>
        <w:tc>
          <w:tcPr>
            <w:tcW w:w="1560" w:type="dxa"/>
            <w:vAlign w:val="center"/>
          </w:tcPr>
          <w:p w14:paraId="33C5A035" w14:textId="77777777" w:rsidR="00502BAB" w:rsidRPr="009E58F7" w:rsidRDefault="00502BAB" w:rsidP="00602E58">
            <w:r w:rsidRPr="009E58F7">
              <w:t>-</w:t>
            </w:r>
          </w:p>
        </w:tc>
      </w:tr>
      <w:tr w:rsidR="00502BAB" w:rsidRPr="009E58F7" w14:paraId="75509C1E" w14:textId="77777777" w:rsidTr="00502BAB">
        <w:tc>
          <w:tcPr>
            <w:tcW w:w="1019" w:type="dxa"/>
            <w:vMerge/>
          </w:tcPr>
          <w:p w14:paraId="74A62DEA" w14:textId="77777777" w:rsidR="00502BAB" w:rsidRPr="009E58F7" w:rsidRDefault="00502BAB" w:rsidP="00602E58"/>
        </w:tc>
        <w:tc>
          <w:tcPr>
            <w:tcW w:w="7940" w:type="dxa"/>
            <w:gridSpan w:val="7"/>
            <w:vAlign w:val="center"/>
          </w:tcPr>
          <w:p w14:paraId="263C608C" w14:textId="00438229" w:rsidR="00502BAB" w:rsidRPr="009E58F7" w:rsidRDefault="00502BAB" w:rsidP="0032014B">
            <w:pPr>
              <w:jc w:val="center"/>
            </w:pPr>
            <w:r w:rsidRPr="009E58F7">
              <w:rPr>
                <w:rFonts w:eastAsiaTheme="minorHAnsi"/>
                <w:b/>
                <w:bCs/>
              </w:rPr>
              <w:t>2</w:t>
            </w:r>
            <w:r w:rsidR="00BD5400">
              <w:rPr>
                <w:rFonts w:eastAsiaTheme="minorHAnsi"/>
                <w:b/>
                <w:bCs/>
              </w:rPr>
              <w:t>–</w:t>
            </w:r>
            <w:r w:rsidRPr="009E58F7">
              <w:rPr>
                <w:rFonts w:eastAsiaTheme="minorHAnsi"/>
                <w:b/>
                <w:bCs/>
              </w:rPr>
              <w:t>4. ciklus</w:t>
            </w:r>
            <w:r w:rsidRPr="009E58F7">
              <w:rPr>
                <w:rFonts w:eastAsiaTheme="minorHAnsi"/>
                <w:b/>
                <w:bCs/>
                <w:vertAlign w:val="superscript"/>
              </w:rPr>
              <w:t>b</w:t>
            </w:r>
          </w:p>
        </w:tc>
      </w:tr>
      <w:tr w:rsidR="00502BAB" w:rsidRPr="009E58F7" w14:paraId="4A893420" w14:textId="77777777" w:rsidTr="00502BAB">
        <w:tc>
          <w:tcPr>
            <w:tcW w:w="1019" w:type="dxa"/>
            <w:vMerge/>
          </w:tcPr>
          <w:p w14:paraId="3082331F" w14:textId="77777777" w:rsidR="00502BAB" w:rsidRPr="009E58F7" w:rsidRDefault="00502BAB" w:rsidP="00602E58"/>
        </w:tc>
        <w:tc>
          <w:tcPr>
            <w:tcW w:w="1701" w:type="dxa"/>
          </w:tcPr>
          <w:p w14:paraId="0DEFE86F" w14:textId="079DB0BF" w:rsidR="00502BAB" w:rsidRPr="009E58F7" w:rsidRDefault="00502BAB" w:rsidP="00602E58">
            <w:r w:rsidRPr="009E58F7">
              <w:t>Bz (1.3 mg/m</w:t>
            </w:r>
            <w:r w:rsidRPr="009E58F7">
              <w:rPr>
                <w:vertAlign w:val="superscript"/>
              </w:rPr>
              <w:t>2</w:t>
            </w:r>
            <w:r w:rsidRPr="009E58F7">
              <w:t>)</w:t>
            </w:r>
          </w:p>
        </w:tc>
        <w:tc>
          <w:tcPr>
            <w:tcW w:w="1560" w:type="dxa"/>
            <w:vAlign w:val="center"/>
          </w:tcPr>
          <w:p w14:paraId="47B49854" w14:textId="1FCC1AEC" w:rsidR="00502BAB" w:rsidRPr="009E58F7" w:rsidRDefault="00502BAB" w:rsidP="00602E58">
            <w:r w:rsidRPr="009E58F7">
              <w:t>1., 4. nap</w:t>
            </w:r>
          </w:p>
        </w:tc>
        <w:tc>
          <w:tcPr>
            <w:tcW w:w="1844" w:type="dxa"/>
            <w:gridSpan w:val="2"/>
            <w:vAlign w:val="center"/>
          </w:tcPr>
          <w:p w14:paraId="7644BC95" w14:textId="2AC87D30" w:rsidR="00502BAB" w:rsidRPr="009E58F7" w:rsidRDefault="00502BAB" w:rsidP="00602E58">
            <w:r w:rsidRPr="009E58F7">
              <w:t>8., 11. nap</w:t>
            </w:r>
          </w:p>
        </w:tc>
        <w:tc>
          <w:tcPr>
            <w:tcW w:w="1275" w:type="dxa"/>
            <w:gridSpan w:val="2"/>
            <w:vAlign w:val="center"/>
          </w:tcPr>
          <w:p w14:paraId="460399D0" w14:textId="77777777" w:rsidR="00502BAB" w:rsidRPr="009E58F7" w:rsidRDefault="00502BAB" w:rsidP="00602E58">
            <w:r w:rsidRPr="009E58F7">
              <w:rPr>
                <w:color w:val="000000"/>
              </w:rPr>
              <w:t>kezelési</w:t>
            </w:r>
            <w:r w:rsidRPr="009E58F7">
              <w:rPr>
                <w:rFonts w:eastAsia="TimesNewRomanPSMT"/>
              </w:rPr>
              <w:t xml:space="preserve"> </w:t>
            </w:r>
            <w:r w:rsidRPr="009E58F7">
              <w:rPr>
                <w:color w:val="000000"/>
              </w:rPr>
              <w:t>szünet</w:t>
            </w:r>
          </w:p>
        </w:tc>
        <w:tc>
          <w:tcPr>
            <w:tcW w:w="1560" w:type="dxa"/>
            <w:vAlign w:val="center"/>
          </w:tcPr>
          <w:p w14:paraId="133099CE" w14:textId="77777777" w:rsidR="00502BAB" w:rsidRPr="009E58F7" w:rsidRDefault="00502BAB" w:rsidP="00602E58">
            <w:r w:rsidRPr="009E58F7">
              <w:rPr>
                <w:color w:val="000000"/>
              </w:rPr>
              <w:t>kezelési</w:t>
            </w:r>
            <w:r w:rsidRPr="009E58F7">
              <w:rPr>
                <w:rFonts w:eastAsia="TimesNewRomanPSMT"/>
              </w:rPr>
              <w:t xml:space="preserve"> </w:t>
            </w:r>
            <w:r w:rsidRPr="009E58F7">
              <w:rPr>
                <w:color w:val="000000"/>
              </w:rPr>
              <w:t>szünet</w:t>
            </w:r>
          </w:p>
        </w:tc>
      </w:tr>
      <w:tr w:rsidR="00502BAB" w:rsidRPr="009E58F7" w14:paraId="65CA98D1" w14:textId="77777777" w:rsidTr="00502BAB">
        <w:tc>
          <w:tcPr>
            <w:tcW w:w="1019" w:type="dxa"/>
            <w:vMerge/>
          </w:tcPr>
          <w:p w14:paraId="0CA183A0" w14:textId="77777777" w:rsidR="00502BAB" w:rsidRPr="009E58F7" w:rsidRDefault="00502BAB" w:rsidP="00602E58"/>
        </w:tc>
        <w:tc>
          <w:tcPr>
            <w:tcW w:w="1701" w:type="dxa"/>
          </w:tcPr>
          <w:p w14:paraId="2B4335FE" w14:textId="479241E3" w:rsidR="00502BAB" w:rsidRPr="009E58F7" w:rsidRDefault="00502BAB" w:rsidP="00602E58">
            <w:r w:rsidRPr="009E58F7">
              <w:t>T 200 mg</w:t>
            </w:r>
            <w:r w:rsidRPr="009E58F7">
              <w:rPr>
                <w:vertAlign w:val="superscript"/>
              </w:rPr>
              <w:t>a</w:t>
            </w:r>
          </w:p>
        </w:tc>
        <w:tc>
          <w:tcPr>
            <w:tcW w:w="1560" w:type="dxa"/>
            <w:vAlign w:val="center"/>
          </w:tcPr>
          <w:p w14:paraId="4C7B12D6" w14:textId="77777777" w:rsidR="00502BAB" w:rsidRPr="009E58F7" w:rsidRDefault="00502BAB" w:rsidP="00602E58">
            <w:r w:rsidRPr="009E58F7">
              <w:t>Naponta</w:t>
            </w:r>
          </w:p>
        </w:tc>
        <w:tc>
          <w:tcPr>
            <w:tcW w:w="1844" w:type="dxa"/>
            <w:gridSpan w:val="2"/>
            <w:vAlign w:val="center"/>
          </w:tcPr>
          <w:p w14:paraId="288E731C" w14:textId="77777777" w:rsidR="00502BAB" w:rsidRPr="009E58F7" w:rsidRDefault="00502BAB" w:rsidP="00602E58">
            <w:r w:rsidRPr="009E58F7">
              <w:t>Naponta</w:t>
            </w:r>
          </w:p>
        </w:tc>
        <w:tc>
          <w:tcPr>
            <w:tcW w:w="1275" w:type="dxa"/>
            <w:gridSpan w:val="2"/>
            <w:vAlign w:val="center"/>
          </w:tcPr>
          <w:p w14:paraId="7BE2CB11" w14:textId="77777777" w:rsidR="00502BAB" w:rsidRPr="009E58F7" w:rsidRDefault="00502BAB" w:rsidP="00602E58">
            <w:r w:rsidRPr="009E58F7">
              <w:t>Naponta</w:t>
            </w:r>
          </w:p>
        </w:tc>
        <w:tc>
          <w:tcPr>
            <w:tcW w:w="1560" w:type="dxa"/>
            <w:vAlign w:val="center"/>
          </w:tcPr>
          <w:p w14:paraId="46953978" w14:textId="77777777" w:rsidR="00502BAB" w:rsidRPr="009E58F7" w:rsidRDefault="00502BAB" w:rsidP="00602E58">
            <w:r w:rsidRPr="009E58F7">
              <w:t>Naponta</w:t>
            </w:r>
          </w:p>
        </w:tc>
      </w:tr>
      <w:tr w:rsidR="00502BAB" w:rsidRPr="009E58F7" w14:paraId="7E877ABE" w14:textId="77777777" w:rsidTr="00502BAB">
        <w:tc>
          <w:tcPr>
            <w:tcW w:w="1019" w:type="dxa"/>
            <w:vMerge/>
          </w:tcPr>
          <w:p w14:paraId="28557D2B" w14:textId="77777777" w:rsidR="00502BAB" w:rsidRPr="009E58F7" w:rsidRDefault="00502BAB" w:rsidP="00602E58"/>
        </w:tc>
        <w:tc>
          <w:tcPr>
            <w:tcW w:w="1701" w:type="dxa"/>
          </w:tcPr>
          <w:p w14:paraId="72AF9C08" w14:textId="50F68BA3" w:rsidR="00502BAB" w:rsidRPr="009E58F7" w:rsidRDefault="00502BAB" w:rsidP="00602E58">
            <w:r w:rsidRPr="009E58F7">
              <w:t>Dx 40 mg</w:t>
            </w:r>
          </w:p>
        </w:tc>
        <w:tc>
          <w:tcPr>
            <w:tcW w:w="1560" w:type="dxa"/>
            <w:vAlign w:val="center"/>
          </w:tcPr>
          <w:p w14:paraId="5601CEB3" w14:textId="0070FC29" w:rsidR="00502BAB" w:rsidRPr="009E58F7" w:rsidRDefault="00502BAB" w:rsidP="00602E58">
            <w:r w:rsidRPr="009E58F7">
              <w:t>1., 2., 3., 4. nap</w:t>
            </w:r>
          </w:p>
        </w:tc>
        <w:tc>
          <w:tcPr>
            <w:tcW w:w="1844" w:type="dxa"/>
            <w:gridSpan w:val="2"/>
            <w:vAlign w:val="center"/>
          </w:tcPr>
          <w:p w14:paraId="1E63832B" w14:textId="56793772" w:rsidR="00502BAB" w:rsidRPr="009E58F7" w:rsidRDefault="00502BAB" w:rsidP="00602E58">
            <w:r w:rsidRPr="009E58F7">
              <w:t>8., 9., 10., 11. nap</w:t>
            </w:r>
          </w:p>
        </w:tc>
        <w:tc>
          <w:tcPr>
            <w:tcW w:w="1275" w:type="dxa"/>
            <w:gridSpan w:val="2"/>
            <w:vAlign w:val="center"/>
          </w:tcPr>
          <w:p w14:paraId="6AABCFCD" w14:textId="77777777" w:rsidR="00502BAB" w:rsidRPr="009E58F7" w:rsidRDefault="00502BAB" w:rsidP="00602E58">
            <w:r w:rsidRPr="009E58F7">
              <w:t>-</w:t>
            </w:r>
          </w:p>
        </w:tc>
        <w:tc>
          <w:tcPr>
            <w:tcW w:w="1560" w:type="dxa"/>
            <w:vAlign w:val="center"/>
          </w:tcPr>
          <w:p w14:paraId="5C4FDABD" w14:textId="77777777" w:rsidR="00502BAB" w:rsidRPr="009E58F7" w:rsidRDefault="00502BAB" w:rsidP="00602E58">
            <w:r w:rsidRPr="009E58F7">
              <w:t>-</w:t>
            </w:r>
          </w:p>
        </w:tc>
      </w:tr>
    </w:tbl>
    <w:p w14:paraId="3A3860E1" w14:textId="18B2E88D" w:rsidR="004D6470" w:rsidRPr="009E58F7" w:rsidRDefault="004B1B37" w:rsidP="00D7256D">
      <w:pPr>
        <w:pStyle w:val="Nincstrkz"/>
        <w:ind w:left="284" w:hanging="284"/>
        <w:rPr>
          <w:sz w:val="18"/>
          <w:szCs w:val="18"/>
        </w:rPr>
      </w:pPr>
      <w:r w:rsidRPr="009E58F7">
        <w:rPr>
          <w:sz w:val="18"/>
          <w:szCs w:val="18"/>
          <w:vertAlign w:val="superscript"/>
        </w:rPr>
        <w:t>a</w:t>
      </w:r>
      <w:r w:rsidRPr="009E58F7">
        <w:rPr>
          <w:sz w:val="18"/>
          <w:szCs w:val="18"/>
          <w:vertAlign w:val="superscript"/>
        </w:rPr>
        <w:tab/>
      </w:r>
      <w:r w:rsidR="004D6470" w:rsidRPr="009E58F7">
        <w:rPr>
          <w:color w:val="000000"/>
          <w:sz w:val="18"/>
          <w:szCs w:val="18"/>
        </w:rPr>
        <w:t>Amennyiben a talidomid 50 mg</w:t>
      </w:r>
      <w:r w:rsidR="00621E19">
        <w:rPr>
          <w:color w:val="000000"/>
          <w:sz w:val="18"/>
          <w:szCs w:val="18"/>
        </w:rPr>
        <w:t>-</w:t>
      </w:r>
      <w:r w:rsidR="004D6470" w:rsidRPr="009E58F7">
        <w:rPr>
          <w:color w:val="000000"/>
          <w:sz w:val="18"/>
          <w:szCs w:val="18"/>
        </w:rPr>
        <w:t>os dózisát a beteg tolerálja, a dózist az első ciklus harmadik hetétől 100 mg</w:t>
      </w:r>
      <w:r w:rsidR="00621E19">
        <w:rPr>
          <w:color w:val="000000"/>
          <w:sz w:val="18"/>
          <w:szCs w:val="18"/>
        </w:rPr>
        <w:t>-</w:t>
      </w:r>
      <w:r w:rsidR="004D6470" w:rsidRPr="009E58F7">
        <w:rPr>
          <w:color w:val="000000"/>
          <w:sz w:val="18"/>
          <w:szCs w:val="18"/>
        </w:rPr>
        <w:t>ra, illetve a második ciklustól 200 mg</w:t>
      </w:r>
      <w:r w:rsidR="00621E19">
        <w:rPr>
          <w:color w:val="000000"/>
          <w:sz w:val="18"/>
          <w:szCs w:val="18"/>
        </w:rPr>
        <w:t>-</w:t>
      </w:r>
      <w:r w:rsidR="004D6470" w:rsidRPr="009E58F7">
        <w:rPr>
          <w:color w:val="000000"/>
          <w:sz w:val="18"/>
          <w:szCs w:val="18"/>
        </w:rPr>
        <w:t>ra lehet emelni.</w:t>
      </w:r>
    </w:p>
    <w:p w14:paraId="1FE968BD" w14:textId="7B764EC9" w:rsidR="004D6470" w:rsidRPr="009E58F7" w:rsidRDefault="004B1B37" w:rsidP="00D7256D">
      <w:pPr>
        <w:pStyle w:val="Nincstrkz"/>
        <w:ind w:left="284" w:hanging="284"/>
        <w:rPr>
          <w:sz w:val="18"/>
          <w:szCs w:val="18"/>
          <w:vertAlign w:val="superscript"/>
        </w:rPr>
      </w:pPr>
      <w:r w:rsidRPr="009E58F7">
        <w:rPr>
          <w:sz w:val="18"/>
          <w:szCs w:val="18"/>
          <w:vertAlign w:val="superscript"/>
        </w:rPr>
        <w:t>b</w:t>
      </w:r>
      <w:r w:rsidRPr="009E58F7">
        <w:rPr>
          <w:sz w:val="18"/>
          <w:szCs w:val="18"/>
          <w:vertAlign w:val="superscript"/>
        </w:rPr>
        <w:tab/>
      </w:r>
      <w:r w:rsidR="004D6470" w:rsidRPr="009E58F7">
        <w:rPr>
          <w:sz w:val="18"/>
          <w:szCs w:val="18"/>
        </w:rPr>
        <w:t xml:space="preserve">legfeljebb </w:t>
      </w:r>
      <w:r w:rsidR="004D6470" w:rsidRPr="009E58F7">
        <w:rPr>
          <w:color w:val="000000"/>
          <w:sz w:val="18"/>
          <w:szCs w:val="18"/>
        </w:rPr>
        <w:t xml:space="preserve">6 cikluson keresztül adható azoknak a betegeknek, </w:t>
      </w:r>
      <w:r w:rsidR="00C5286C" w:rsidRPr="009E58F7">
        <w:rPr>
          <w:rFonts w:eastAsia="Times New Roman"/>
          <w:sz w:val="18"/>
          <w:szCs w:val="18"/>
        </w:rPr>
        <w:t>akik</w:t>
      </w:r>
      <w:r w:rsidR="004D6470" w:rsidRPr="009E58F7">
        <w:rPr>
          <w:color w:val="000000"/>
          <w:sz w:val="18"/>
          <w:szCs w:val="18"/>
        </w:rPr>
        <w:t xml:space="preserve"> legalább részleges </w:t>
      </w:r>
      <w:r w:rsidR="00C5286C" w:rsidRPr="009E58F7">
        <w:rPr>
          <w:rFonts w:eastAsia="Times New Roman"/>
          <w:sz w:val="18"/>
          <w:szCs w:val="18"/>
        </w:rPr>
        <w:t>remissziót értek el</w:t>
      </w:r>
      <w:r w:rsidR="004D6470" w:rsidRPr="009E58F7">
        <w:rPr>
          <w:color w:val="000000"/>
          <w:sz w:val="18"/>
          <w:szCs w:val="18"/>
        </w:rPr>
        <w:t xml:space="preserve"> a 4. ciklust követően</w:t>
      </w:r>
      <w:r w:rsidR="00C5286C" w:rsidRPr="009E58F7">
        <w:rPr>
          <w:rFonts w:eastAsia="Times New Roman"/>
          <w:sz w:val="18"/>
          <w:szCs w:val="18"/>
        </w:rPr>
        <w:t>.</w:t>
      </w:r>
    </w:p>
    <w:p w14:paraId="5863DBB2" w14:textId="77777777" w:rsidR="004D6470" w:rsidRPr="009E58F7" w:rsidRDefault="004D6470" w:rsidP="007070F2">
      <w:pPr>
        <w:widowControl w:val="0"/>
        <w:autoSpaceDE w:val="0"/>
        <w:autoSpaceDN w:val="0"/>
        <w:adjustRightInd w:val="0"/>
        <w:spacing w:line="240" w:lineRule="auto"/>
      </w:pPr>
    </w:p>
    <w:p w14:paraId="09F02EFB" w14:textId="04B970E1" w:rsidR="004D6470" w:rsidRPr="009E58F7" w:rsidRDefault="004D6470" w:rsidP="00D968CE">
      <w:pPr>
        <w:pStyle w:val="Nincstrkz"/>
        <w:keepNext/>
        <w:rPr>
          <w:i/>
        </w:rPr>
      </w:pPr>
      <w:r w:rsidRPr="009E58F7">
        <w:rPr>
          <w:i/>
        </w:rPr>
        <w:t>Dózismódosítások transzplantációra alkalmas betegeknél</w:t>
      </w:r>
    </w:p>
    <w:p w14:paraId="5E471B90" w14:textId="0D928DD8" w:rsidR="00661EF7" w:rsidRPr="009E58F7" w:rsidRDefault="00661EF7" w:rsidP="00602E58">
      <w:pPr>
        <w:spacing w:line="240" w:lineRule="auto"/>
        <w:contextualSpacing/>
      </w:pPr>
      <w:r w:rsidRPr="009E58F7">
        <w:t xml:space="preserve">A bortezomib </w:t>
      </w:r>
      <w:r w:rsidR="00CA6596" w:rsidRPr="009E58F7">
        <w:t>dózis</w:t>
      </w:r>
      <w:r w:rsidR="00C5286C" w:rsidRPr="009E58F7">
        <w:t>módosításai</w:t>
      </w:r>
      <w:r w:rsidRPr="009E58F7">
        <w:t xml:space="preserve"> esetén </w:t>
      </w:r>
      <w:r w:rsidR="00C5286C" w:rsidRPr="009E58F7">
        <w:t>a monoterápiára vonatkozó dózismódosítási ajánlásokat kell követni</w:t>
      </w:r>
      <w:r w:rsidRPr="009E58F7">
        <w:rPr>
          <w:rFonts w:eastAsiaTheme="minorHAnsi"/>
        </w:rPr>
        <w:t>.</w:t>
      </w:r>
    </w:p>
    <w:p w14:paraId="68F94EFB" w14:textId="4F6A31EC" w:rsidR="00FF6991" w:rsidRPr="009E58F7" w:rsidRDefault="00FF6991" w:rsidP="00D7256D">
      <w:pPr>
        <w:pStyle w:val="Nincstrkz"/>
      </w:pPr>
      <w:r w:rsidRPr="009E58F7">
        <w:rPr>
          <w:color w:val="000000"/>
        </w:rPr>
        <w:t xml:space="preserve">Továbbá, amikor a </w:t>
      </w:r>
      <w:r w:rsidR="008B6253" w:rsidRPr="009E58F7">
        <w:rPr>
          <w:rFonts w:eastAsia="Times New Roman"/>
        </w:rPr>
        <w:t>bortezomib</w:t>
      </w:r>
      <w:r w:rsidR="00CA6596" w:rsidRPr="009E58F7">
        <w:rPr>
          <w:rFonts w:eastAsia="Times New Roman"/>
        </w:rPr>
        <w:t>o</w:t>
      </w:r>
      <w:r w:rsidR="00C5286C" w:rsidRPr="009E58F7">
        <w:rPr>
          <w:rFonts w:eastAsia="Times New Roman"/>
        </w:rPr>
        <w:t xml:space="preserve">t </w:t>
      </w:r>
      <w:r w:rsidRPr="009E58F7">
        <w:rPr>
          <w:color w:val="000000"/>
        </w:rPr>
        <w:t>más kemoterápiás gyógyszerekkel kombinációban</w:t>
      </w:r>
      <w:r w:rsidR="00CA6596" w:rsidRPr="009E58F7">
        <w:rPr>
          <w:color w:val="000000"/>
        </w:rPr>
        <w:t xml:space="preserve"> alkalmazzák</w:t>
      </w:r>
      <w:r w:rsidRPr="009E58F7">
        <w:rPr>
          <w:color w:val="000000"/>
        </w:rPr>
        <w:t xml:space="preserve">, toxicitás </w:t>
      </w:r>
      <w:r w:rsidR="00C5286C" w:rsidRPr="009E58F7">
        <w:rPr>
          <w:rFonts w:eastAsia="Times New Roman"/>
        </w:rPr>
        <w:t>esetén</w:t>
      </w:r>
      <w:r w:rsidRPr="009E58F7">
        <w:rPr>
          <w:color w:val="000000"/>
        </w:rPr>
        <w:t xml:space="preserve"> mérlegelni kell ezen gyógyszerek dózisainak megfelelő mértékű csökkentését a vonatkozó alkalma</w:t>
      </w:r>
      <w:r w:rsidR="00CA6596" w:rsidRPr="009E58F7">
        <w:rPr>
          <w:color w:val="000000"/>
        </w:rPr>
        <w:t>zási előírás ajánlásai szerint.</w:t>
      </w:r>
    </w:p>
    <w:p w14:paraId="3F57F410" w14:textId="77777777" w:rsidR="004D6470" w:rsidRPr="009E58F7" w:rsidRDefault="004D6470" w:rsidP="00D7256D">
      <w:pPr>
        <w:pStyle w:val="Nincstrkz"/>
      </w:pPr>
    </w:p>
    <w:p w14:paraId="2C3ACD79" w14:textId="720B1C55" w:rsidR="004D6470" w:rsidRPr="009E58F7" w:rsidRDefault="004D6470" w:rsidP="00D7256D">
      <w:pPr>
        <w:keepNext/>
        <w:autoSpaceDE w:val="0"/>
        <w:autoSpaceDN w:val="0"/>
        <w:adjustRightInd w:val="0"/>
        <w:spacing w:line="240" w:lineRule="auto"/>
      </w:pPr>
      <w:r w:rsidRPr="009E58F7">
        <w:rPr>
          <w:color w:val="000000"/>
          <w:u w:val="single"/>
        </w:rPr>
        <w:lastRenderedPageBreak/>
        <w:t xml:space="preserve">Adagolás </w:t>
      </w:r>
      <w:r w:rsidR="007C6A7A" w:rsidRPr="009E58F7">
        <w:rPr>
          <w:color w:val="000000"/>
          <w:u w:val="single"/>
        </w:rPr>
        <w:t>korábban nem kezelt</w:t>
      </w:r>
      <w:r w:rsidR="00CA6596" w:rsidRPr="009E58F7">
        <w:rPr>
          <w:color w:val="000000"/>
          <w:u w:val="single"/>
        </w:rPr>
        <w:t>,</w:t>
      </w:r>
      <w:r w:rsidR="007C6A7A" w:rsidRPr="009E58F7">
        <w:rPr>
          <w:color w:val="000000"/>
          <w:u w:val="single"/>
        </w:rPr>
        <w:t xml:space="preserve"> </w:t>
      </w:r>
      <w:r w:rsidRPr="009E58F7">
        <w:rPr>
          <w:color w:val="000000"/>
          <w:u w:val="single"/>
        </w:rPr>
        <w:t>kö</w:t>
      </w:r>
      <w:r w:rsidR="007C6A7A" w:rsidRPr="009E58F7">
        <w:rPr>
          <w:color w:val="000000"/>
          <w:u w:val="single"/>
        </w:rPr>
        <w:t>penysejtes lymphomában szenvedő</w:t>
      </w:r>
      <w:r w:rsidRPr="009E58F7">
        <w:rPr>
          <w:color w:val="000000"/>
          <w:u w:val="single"/>
        </w:rPr>
        <w:t xml:space="preserve"> betegeknél</w:t>
      </w:r>
    </w:p>
    <w:p w14:paraId="66E9759E" w14:textId="72E3604D" w:rsidR="004D6470" w:rsidRPr="009E58F7" w:rsidRDefault="006070C3" w:rsidP="007070F2">
      <w:pPr>
        <w:keepNext/>
        <w:autoSpaceDE w:val="0"/>
        <w:autoSpaceDN w:val="0"/>
        <w:adjustRightInd w:val="0"/>
        <w:spacing w:line="240" w:lineRule="auto"/>
        <w:rPr>
          <w:i/>
          <w:color w:val="000000"/>
        </w:rPr>
      </w:pPr>
      <w:r w:rsidRPr="009E58F7">
        <w:rPr>
          <w:i/>
          <w:color w:val="000000"/>
        </w:rPr>
        <w:t>R</w:t>
      </w:r>
      <w:r w:rsidR="004D6470" w:rsidRPr="009E58F7">
        <w:rPr>
          <w:i/>
          <w:color w:val="000000"/>
        </w:rPr>
        <w:t xml:space="preserve">ituximabbal, ciklofoszfamiddal, doxorubicinnel és prednizonnal </w:t>
      </w:r>
      <w:r w:rsidRPr="009E58F7">
        <w:rPr>
          <w:i/>
          <w:color w:val="000000"/>
        </w:rPr>
        <w:t xml:space="preserve">kombinált </w:t>
      </w:r>
      <w:r w:rsidR="00C5286C" w:rsidRPr="009E58F7">
        <w:rPr>
          <w:i/>
          <w:iCs/>
        </w:rPr>
        <w:t>kezelés</w:t>
      </w:r>
      <w:r w:rsidR="00CA6596" w:rsidRPr="009E58F7">
        <w:rPr>
          <w:i/>
          <w:iCs/>
        </w:rPr>
        <w:t xml:space="preserve"> </w:t>
      </w:r>
      <w:r w:rsidR="004D6470" w:rsidRPr="009E58F7">
        <w:rPr>
          <w:i/>
          <w:iCs/>
          <w:color w:val="000000"/>
        </w:rPr>
        <w:t>(B</w:t>
      </w:r>
      <w:r w:rsidR="00CA6596" w:rsidRPr="009E58F7">
        <w:rPr>
          <w:i/>
          <w:iCs/>
          <w:color w:val="000000"/>
        </w:rPr>
        <w:t>z</w:t>
      </w:r>
      <w:r w:rsidR="004D6470" w:rsidRPr="009E58F7">
        <w:rPr>
          <w:i/>
          <w:iCs/>
          <w:color w:val="000000"/>
        </w:rPr>
        <w:t>R</w:t>
      </w:r>
      <w:r w:rsidR="003F0F42">
        <w:rPr>
          <w:i/>
          <w:iCs/>
          <w:color w:val="000000"/>
        </w:rPr>
        <w:t>-</w:t>
      </w:r>
      <w:r w:rsidR="004D6470" w:rsidRPr="009E58F7">
        <w:rPr>
          <w:i/>
          <w:color w:val="000000"/>
        </w:rPr>
        <w:t>CAP</w:t>
      </w:r>
      <w:r w:rsidR="00CA6596" w:rsidRPr="009E58F7">
        <w:rPr>
          <w:i/>
          <w:color w:val="000000"/>
        </w:rPr>
        <w:t> terápia</w:t>
      </w:r>
      <w:r w:rsidR="004D6470" w:rsidRPr="009E58F7">
        <w:rPr>
          <w:i/>
          <w:color w:val="000000"/>
        </w:rPr>
        <w:t>)</w:t>
      </w:r>
    </w:p>
    <w:p w14:paraId="2552265C" w14:textId="634CC32B" w:rsidR="004D6470" w:rsidRPr="009E58F7" w:rsidRDefault="004D6470" w:rsidP="00D968CE">
      <w:pPr>
        <w:keepNext/>
        <w:autoSpaceDE w:val="0"/>
        <w:autoSpaceDN w:val="0"/>
        <w:adjustRightInd w:val="0"/>
        <w:spacing w:line="240" w:lineRule="auto"/>
      </w:pPr>
      <w:r w:rsidRPr="009E58F7">
        <w:rPr>
          <w:color w:val="000000"/>
        </w:rPr>
        <w:t xml:space="preserve">A </w:t>
      </w:r>
      <w:r w:rsidR="008B6253" w:rsidRPr="009E58F7">
        <w:t>bortezomib</w:t>
      </w:r>
      <w:r w:rsidR="00C5286C" w:rsidRPr="009E58F7">
        <w:t xml:space="preserve"> 3,5</w:t>
      </w:r>
      <w:r w:rsidR="00BD5400">
        <w:t> </w:t>
      </w:r>
      <w:r w:rsidR="00C5286C" w:rsidRPr="009E58F7">
        <w:t>mg por oldatos injekcióhoz beadása</w:t>
      </w:r>
      <w:r w:rsidR="006070C3" w:rsidRPr="009E58F7">
        <w:rPr>
          <w:color w:val="000000"/>
        </w:rPr>
        <w:t xml:space="preserve"> </w:t>
      </w:r>
      <w:r w:rsidRPr="009E58F7">
        <w:rPr>
          <w:color w:val="000000"/>
        </w:rPr>
        <w:t xml:space="preserve">intravénás vagy subcutan injekcióban </w:t>
      </w:r>
      <w:r w:rsidR="00C5286C" w:rsidRPr="009E58F7">
        <w:t>történik,</w:t>
      </w:r>
      <w:r w:rsidRPr="009E58F7">
        <w:rPr>
          <w:color w:val="000000"/>
        </w:rPr>
        <w:t xml:space="preserve"> ajánlott </w:t>
      </w:r>
      <w:r w:rsidR="00CA6596" w:rsidRPr="009E58F7">
        <w:rPr>
          <w:color w:val="000000"/>
        </w:rPr>
        <w:t>dózisa</w:t>
      </w:r>
      <w:r w:rsidRPr="009E58F7">
        <w:rPr>
          <w:color w:val="000000"/>
        </w:rPr>
        <w:t xml:space="preserve"> hetente kétszer 1,3 mg/testfelület m</w:t>
      </w:r>
      <w:r w:rsidRPr="009E58F7">
        <w:rPr>
          <w:color w:val="000000"/>
          <w:vertAlign w:val="superscript"/>
        </w:rPr>
        <w:t>2</w:t>
      </w:r>
      <w:r w:rsidR="00CA6596" w:rsidRPr="009E58F7">
        <w:rPr>
          <w:color w:val="000000"/>
        </w:rPr>
        <w:t xml:space="preserve">, </w:t>
      </w:r>
      <w:r w:rsidR="00E27FD7">
        <w:rPr>
          <w:color w:val="000000"/>
        </w:rPr>
        <w:t>2 </w:t>
      </w:r>
      <w:r w:rsidRPr="009E58F7">
        <w:rPr>
          <w:color w:val="000000"/>
        </w:rPr>
        <w:t>héten keresztül az 1., 4., 8. és 11. napon, amit a 12</w:t>
      </w:r>
      <w:r w:rsidR="00E27FD7">
        <w:rPr>
          <w:color w:val="000000"/>
        </w:rPr>
        <w:noBreakHyphen/>
      </w:r>
      <w:r w:rsidRPr="009E58F7">
        <w:rPr>
          <w:color w:val="000000"/>
        </w:rPr>
        <w:t>21.</w:t>
      </w:r>
      <w:r w:rsidR="00BD5400">
        <w:rPr>
          <w:color w:val="000000"/>
        </w:rPr>
        <w:t> </w:t>
      </w:r>
      <w:r w:rsidRPr="009E58F7">
        <w:rPr>
          <w:color w:val="000000"/>
        </w:rPr>
        <w:t xml:space="preserve">napok között 10 napos pihenési időszak követ. Ez a 3 hetes periódus </w:t>
      </w:r>
      <w:r w:rsidR="00CA6596" w:rsidRPr="009E58F7">
        <w:rPr>
          <w:color w:val="000000"/>
        </w:rPr>
        <w:t>1 </w:t>
      </w:r>
      <w:r w:rsidRPr="009E58F7">
        <w:rPr>
          <w:color w:val="000000"/>
        </w:rPr>
        <w:t xml:space="preserve">kezelési ciklusnak felel meg. </w:t>
      </w:r>
      <w:r w:rsidR="00CA6596" w:rsidRPr="009E58F7">
        <w:rPr>
          <w:color w:val="000000"/>
        </w:rPr>
        <w:t>6 </w:t>
      </w:r>
      <w:r w:rsidRPr="009E58F7">
        <w:t>bortezomib</w:t>
      </w:r>
      <w:r w:rsidR="00E27FD7">
        <w:rPr>
          <w:color w:val="000000"/>
        </w:rPr>
        <w:t>-</w:t>
      </w:r>
      <w:r w:rsidRPr="009E58F7">
        <w:rPr>
          <w:color w:val="000000"/>
        </w:rPr>
        <w:t>ciklus javasolt, bár azoknak a betegeknek, akiknél az első dokumentált válaszreakció a 6.</w:t>
      </w:r>
      <w:r w:rsidR="00CA6596" w:rsidRPr="009E58F7">
        <w:rPr>
          <w:color w:val="000000"/>
        </w:rPr>
        <w:t> </w:t>
      </w:r>
      <w:r w:rsidRPr="009E58F7">
        <w:rPr>
          <w:color w:val="000000"/>
        </w:rPr>
        <w:t xml:space="preserve">ciklusban jelentkezik, két további </w:t>
      </w:r>
      <w:r w:rsidRPr="009E58F7">
        <w:t>bortezomib</w:t>
      </w:r>
      <w:r w:rsidR="00E27FD7">
        <w:rPr>
          <w:color w:val="000000"/>
        </w:rPr>
        <w:t>-</w:t>
      </w:r>
      <w:r w:rsidRPr="009E58F7">
        <w:rPr>
          <w:color w:val="000000"/>
        </w:rPr>
        <w:t xml:space="preserve">ciklus adható. A </w:t>
      </w:r>
      <w:r w:rsidRPr="009E58F7">
        <w:t>bortezomib</w:t>
      </w:r>
      <w:r w:rsidRPr="009E58F7">
        <w:rPr>
          <w:color w:val="000000"/>
        </w:rPr>
        <w:t xml:space="preserve"> egymást követő dózisai között legalább 72 órának el kell telnie.</w:t>
      </w:r>
    </w:p>
    <w:p w14:paraId="5B9669D7" w14:textId="12D5E9B8" w:rsidR="004D6470" w:rsidRPr="009E58F7" w:rsidRDefault="004D6470" w:rsidP="003D25C3">
      <w:pPr>
        <w:widowControl w:val="0"/>
        <w:overflowPunct w:val="0"/>
        <w:autoSpaceDE w:val="0"/>
        <w:autoSpaceDN w:val="0"/>
        <w:adjustRightInd w:val="0"/>
        <w:spacing w:line="240" w:lineRule="auto"/>
        <w:rPr>
          <w:color w:val="000000"/>
        </w:rPr>
      </w:pPr>
      <w:r w:rsidRPr="009E58F7">
        <w:rPr>
          <w:color w:val="000000"/>
        </w:rPr>
        <w:t xml:space="preserve">Minden egyes 3 hetes </w:t>
      </w:r>
      <w:r w:rsidRPr="009E58F7">
        <w:t>bortezomib</w:t>
      </w:r>
      <w:r w:rsidRPr="009E58F7">
        <w:rPr>
          <w:color w:val="000000"/>
        </w:rPr>
        <w:t xml:space="preserve"> terápiás ciklus 1.</w:t>
      </w:r>
      <w:r w:rsidR="00CA6596" w:rsidRPr="009E58F7">
        <w:rPr>
          <w:color w:val="000000"/>
        </w:rPr>
        <w:t> </w:t>
      </w:r>
      <w:r w:rsidRPr="009E58F7">
        <w:rPr>
          <w:color w:val="000000"/>
        </w:rPr>
        <w:t>napján az alábbi gyógyszereket kell beadni, intravénás infúzióban: rituximab 375 mg/m</w:t>
      </w:r>
      <w:r w:rsidRPr="009E58F7">
        <w:rPr>
          <w:color w:val="000000"/>
          <w:vertAlign w:val="superscript"/>
        </w:rPr>
        <w:t>2</w:t>
      </w:r>
      <w:r w:rsidRPr="009E58F7">
        <w:rPr>
          <w:color w:val="000000"/>
        </w:rPr>
        <w:t>, ciklofoszfamid 750 mg/m</w:t>
      </w:r>
      <w:r w:rsidRPr="009E58F7">
        <w:rPr>
          <w:color w:val="000000"/>
          <w:vertAlign w:val="superscript"/>
        </w:rPr>
        <w:t>2</w:t>
      </w:r>
      <w:r w:rsidRPr="009E58F7">
        <w:rPr>
          <w:color w:val="000000"/>
        </w:rPr>
        <w:t xml:space="preserve"> és doxorubicin 50 mg/m</w:t>
      </w:r>
      <w:r w:rsidRPr="009E58F7">
        <w:rPr>
          <w:color w:val="000000"/>
          <w:vertAlign w:val="superscript"/>
        </w:rPr>
        <w:t>2</w:t>
      </w:r>
      <w:r w:rsidRPr="009E58F7">
        <w:rPr>
          <w:color w:val="000000"/>
        </w:rPr>
        <w:t xml:space="preserve">. </w:t>
      </w:r>
    </w:p>
    <w:p w14:paraId="346755D1" w14:textId="4ABD1465" w:rsidR="004D6470" w:rsidRPr="009E58F7" w:rsidRDefault="00E4512E">
      <w:pPr>
        <w:widowControl w:val="0"/>
        <w:overflowPunct w:val="0"/>
        <w:autoSpaceDE w:val="0"/>
        <w:autoSpaceDN w:val="0"/>
        <w:adjustRightInd w:val="0"/>
        <w:spacing w:line="240" w:lineRule="auto"/>
      </w:pPr>
      <w:r w:rsidRPr="009E58F7">
        <w:rPr>
          <w:color w:val="000000"/>
        </w:rPr>
        <w:t>A prednizont 100 mg/m</w:t>
      </w:r>
      <w:r w:rsidRPr="009E58F7">
        <w:rPr>
          <w:color w:val="000000"/>
          <w:vertAlign w:val="superscript"/>
        </w:rPr>
        <w:t>2</w:t>
      </w:r>
      <w:r w:rsidR="00CA6596" w:rsidRPr="009E58F7">
        <w:rPr>
          <w:color w:val="000000"/>
        </w:rPr>
        <w:t xml:space="preserve"> </w:t>
      </w:r>
      <w:r w:rsidR="00CA6596" w:rsidRPr="009E58F7">
        <w:rPr>
          <w:i/>
          <w:color w:val="000000"/>
        </w:rPr>
        <w:t>per </w:t>
      </w:r>
      <w:r w:rsidRPr="009E58F7">
        <w:rPr>
          <w:i/>
          <w:color w:val="000000"/>
        </w:rPr>
        <w:t>os</w:t>
      </w:r>
      <w:r w:rsidRPr="009E58F7">
        <w:rPr>
          <w:color w:val="000000"/>
        </w:rPr>
        <w:t xml:space="preserve"> dózisban m</w:t>
      </w:r>
      <w:r w:rsidR="004D6470" w:rsidRPr="009E58F7">
        <w:rPr>
          <w:color w:val="000000"/>
        </w:rPr>
        <w:t xml:space="preserve">inden egyes 3 hetes </w:t>
      </w:r>
      <w:r w:rsidR="004D6470" w:rsidRPr="009E58F7">
        <w:t>bortezomib</w:t>
      </w:r>
      <w:r w:rsidR="004D6470" w:rsidRPr="009E58F7">
        <w:rPr>
          <w:color w:val="000000"/>
        </w:rPr>
        <w:t xml:space="preserve"> terápiás ciklus 1., 2., 3., 4. és 5.</w:t>
      </w:r>
      <w:r w:rsidR="004B1B37" w:rsidRPr="009E58F7">
        <w:rPr>
          <w:color w:val="000000"/>
        </w:rPr>
        <w:t> </w:t>
      </w:r>
      <w:r w:rsidR="004D6470" w:rsidRPr="009E58F7">
        <w:rPr>
          <w:color w:val="000000"/>
        </w:rPr>
        <w:t xml:space="preserve">napján </w:t>
      </w:r>
      <w:r w:rsidRPr="009E58F7">
        <w:rPr>
          <w:color w:val="000000"/>
        </w:rPr>
        <w:t>kell beadni</w:t>
      </w:r>
      <w:r w:rsidR="00CA6596" w:rsidRPr="009E58F7">
        <w:rPr>
          <w:color w:val="000000"/>
        </w:rPr>
        <w:t>.</w:t>
      </w:r>
    </w:p>
    <w:p w14:paraId="7B53FE4D" w14:textId="77777777" w:rsidR="00E4512E" w:rsidRPr="009E58F7" w:rsidRDefault="00E4512E">
      <w:pPr>
        <w:widowControl w:val="0"/>
        <w:autoSpaceDE w:val="0"/>
        <w:autoSpaceDN w:val="0"/>
        <w:adjustRightInd w:val="0"/>
        <w:spacing w:line="240" w:lineRule="auto"/>
        <w:rPr>
          <w:i/>
          <w:color w:val="000000"/>
        </w:rPr>
      </w:pPr>
    </w:p>
    <w:p w14:paraId="604FC5D5" w14:textId="52C4489F" w:rsidR="004D6470" w:rsidRPr="009E58F7" w:rsidRDefault="004D6470">
      <w:pPr>
        <w:widowControl w:val="0"/>
        <w:autoSpaceDE w:val="0"/>
        <w:autoSpaceDN w:val="0"/>
        <w:adjustRightInd w:val="0"/>
        <w:spacing w:line="240" w:lineRule="auto"/>
        <w:rPr>
          <w:i/>
        </w:rPr>
      </w:pPr>
      <w:r w:rsidRPr="009E58F7">
        <w:rPr>
          <w:i/>
          <w:color w:val="000000"/>
        </w:rPr>
        <w:t>Dózismódosítás korábban nem kezelt</w:t>
      </w:r>
      <w:r w:rsidR="00CA6596" w:rsidRPr="009E58F7">
        <w:rPr>
          <w:i/>
          <w:color w:val="000000"/>
        </w:rPr>
        <w:t>,</w:t>
      </w:r>
      <w:r w:rsidRPr="009E58F7">
        <w:rPr>
          <w:i/>
          <w:color w:val="000000"/>
        </w:rPr>
        <w:t xml:space="preserve"> köpenysejtes lymphomában szenvedő betegek </w:t>
      </w:r>
      <w:r w:rsidR="006070C3" w:rsidRPr="009E58F7">
        <w:rPr>
          <w:i/>
          <w:color w:val="000000"/>
        </w:rPr>
        <w:t>kezelése</w:t>
      </w:r>
      <w:r w:rsidRPr="009E58F7">
        <w:rPr>
          <w:i/>
          <w:color w:val="000000"/>
        </w:rPr>
        <w:t xml:space="preserve"> </w:t>
      </w:r>
      <w:r w:rsidR="00C5286C" w:rsidRPr="009E58F7">
        <w:rPr>
          <w:i/>
          <w:iCs/>
        </w:rPr>
        <w:t>alatt</w:t>
      </w:r>
    </w:p>
    <w:p w14:paraId="6A99A263" w14:textId="3AB69428" w:rsidR="004D6470" w:rsidRPr="009E58F7" w:rsidRDefault="004D6470">
      <w:pPr>
        <w:widowControl w:val="0"/>
        <w:autoSpaceDE w:val="0"/>
        <w:autoSpaceDN w:val="0"/>
        <w:adjustRightInd w:val="0"/>
        <w:spacing w:line="240" w:lineRule="auto"/>
      </w:pPr>
      <w:r w:rsidRPr="009E58F7">
        <w:rPr>
          <w:color w:val="000000"/>
        </w:rPr>
        <w:t xml:space="preserve">Új kezelési ciklus </w:t>
      </w:r>
      <w:r w:rsidR="00C5286C" w:rsidRPr="009E58F7">
        <w:t>elkezdése előtt</w:t>
      </w:r>
      <w:r w:rsidRPr="009E58F7">
        <w:rPr>
          <w:color w:val="000000"/>
        </w:rPr>
        <w:t>:</w:t>
      </w:r>
    </w:p>
    <w:p w14:paraId="22F795B8" w14:textId="12E84382" w:rsidR="004D6470" w:rsidRPr="009E58F7" w:rsidRDefault="006070C3">
      <w:pPr>
        <w:pStyle w:val="Nincstrkz"/>
        <w:numPr>
          <w:ilvl w:val="0"/>
          <w:numId w:val="44"/>
        </w:numPr>
        <w:ind w:left="567" w:hanging="567"/>
      </w:pPr>
      <w:r w:rsidRPr="009E58F7">
        <w:t>A thrombocytaszámnak</w:t>
      </w:r>
      <w:r w:rsidR="00CA6596" w:rsidRPr="009E58F7">
        <w:t> </w:t>
      </w:r>
      <w:r w:rsidRPr="009E58F7">
        <w:t>≥</w:t>
      </w:r>
      <w:r w:rsidR="00CA6596" w:rsidRPr="009E58F7">
        <w:t> </w:t>
      </w:r>
      <w:r w:rsidRPr="009E58F7">
        <w:t>100 000 </w:t>
      </w:r>
      <w:r w:rsidR="004D6470" w:rsidRPr="009E58F7">
        <w:t>sejt/</w:t>
      </w:r>
      <w:r w:rsidR="007463D7" w:rsidRPr="009E58F7">
        <w:rPr>
          <w:color w:val="000000"/>
        </w:rPr>
        <w:t>mikro</w:t>
      </w:r>
      <w:r w:rsidR="004D6470" w:rsidRPr="009E58F7">
        <w:rPr>
          <w:color w:val="000000"/>
        </w:rPr>
        <w:t>l</w:t>
      </w:r>
      <w:r w:rsidR="007463D7" w:rsidRPr="009E58F7">
        <w:rPr>
          <w:color w:val="000000"/>
        </w:rPr>
        <w:t>iter</w:t>
      </w:r>
      <w:r w:rsidRPr="009E58F7">
        <w:rPr>
          <w:color w:val="000000"/>
        </w:rPr>
        <w:t>nek</w:t>
      </w:r>
      <w:r w:rsidR="004D6470" w:rsidRPr="009E58F7">
        <w:t>, az abszolút neutrophilszámnak (</w:t>
      </w:r>
      <w:r w:rsidR="00CA6596" w:rsidRPr="009E58F7">
        <w:t>absolute neutrophil</w:t>
      </w:r>
      <w:r w:rsidR="003F2E23" w:rsidRPr="009E58F7">
        <w:t>s</w:t>
      </w:r>
      <w:r w:rsidR="00CA6596" w:rsidRPr="009E58F7">
        <w:t xml:space="preserve"> count</w:t>
      </w:r>
      <w:r w:rsidR="003F2E23" w:rsidRPr="009E58F7">
        <w:t xml:space="preserve"> </w:t>
      </w:r>
      <w:r w:rsidR="00E27FD7">
        <w:t xml:space="preserve">– </w:t>
      </w:r>
      <w:r w:rsidR="004D6470" w:rsidRPr="009E58F7">
        <w:t>ANC)</w:t>
      </w:r>
      <w:r w:rsidR="003F2E23" w:rsidRPr="009E58F7">
        <w:t> </w:t>
      </w:r>
      <w:r w:rsidR="004D6470" w:rsidRPr="009E58F7">
        <w:t>≥</w:t>
      </w:r>
      <w:r w:rsidRPr="009E58F7">
        <w:t> </w:t>
      </w:r>
      <w:r w:rsidR="004D6470" w:rsidRPr="009E58F7">
        <w:t>1500 sejt/</w:t>
      </w:r>
      <w:r w:rsidR="007463D7" w:rsidRPr="009E58F7">
        <w:rPr>
          <w:color w:val="000000"/>
        </w:rPr>
        <w:t>mikroliter</w:t>
      </w:r>
      <w:r w:rsidR="004D6470" w:rsidRPr="009E58F7">
        <w:t xml:space="preserve">nek kell </w:t>
      </w:r>
      <w:r w:rsidR="003F2E23" w:rsidRPr="009E58F7">
        <w:t>lennie</w:t>
      </w:r>
      <w:r w:rsidR="00E27FD7">
        <w:t>.</w:t>
      </w:r>
    </w:p>
    <w:p w14:paraId="0F3780F3" w14:textId="73728181" w:rsidR="004D6470" w:rsidRPr="009E58F7" w:rsidRDefault="006070C3">
      <w:pPr>
        <w:pStyle w:val="Nincstrkz"/>
        <w:numPr>
          <w:ilvl w:val="0"/>
          <w:numId w:val="44"/>
        </w:numPr>
        <w:ind w:left="567" w:hanging="567"/>
      </w:pPr>
      <w:r w:rsidRPr="009E58F7">
        <w:t>A thrombocytaszám</w:t>
      </w:r>
      <w:r w:rsidR="003F2E23" w:rsidRPr="009E58F7">
        <w:t> </w:t>
      </w:r>
      <w:r w:rsidRPr="009E58F7">
        <w:t>≥</w:t>
      </w:r>
      <w:r w:rsidR="003F2E23" w:rsidRPr="009E58F7">
        <w:t> </w:t>
      </w:r>
      <w:r w:rsidRPr="009E58F7">
        <w:t>75 000 </w:t>
      </w:r>
      <w:r w:rsidR="004D6470" w:rsidRPr="009E58F7">
        <w:t>sejt/</w:t>
      </w:r>
      <w:r w:rsidR="007463D7" w:rsidRPr="009E58F7">
        <w:rPr>
          <w:color w:val="000000"/>
        </w:rPr>
        <w:t>mikroliter</w:t>
      </w:r>
      <w:r w:rsidR="004D6470" w:rsidRPr="009E58F7" w:rsidDel="00C556EB">
        <w:t xml:space="preserve"> </w:t>
      </w:r>
      <w:r w:rsidR="004D6470" w:rsidRPr="009E58F7">
        <w:t>kell, hogy legyen csontvelő</w:t>
      </w:r>
      <w:r w:rsidR="003F0F42">
        <w:t>-</w:t>
      </w:r>
      <w:r w:rsidR="004D6470" w:rsidRPr="009E58F7">
        <w:t>infiltráció vagy lienalis sequestratio esetén</w:t>
      </w:r>
      <w:r w:rsidR="00E27FD7">
        <w:t>.</w:t>
      </w:r>
    </w:p>
    <w:p w14:paraId="5F5A9A3B" w14:textId="5961ADD5" w:rsidR="004D6470" w:rsidRPr="009E58F7" w:rsidRDefault="004D6470">
      <w:pPr>
        <w:pStyle w:val="Nincstrkz"/>
        <w:numPr>
          <w:ilvl w:val="0"/>
          <w:numId w:val="44"/>
        </w:numPr>
        <w:ind w:left="567" w:hanging="567"/>
      </w:pPr>
      <w:r w:rsidRPr="009E58F7">
        <w:t>Hemoglobin</w:t>
      </w:r>
      <w:r w:rsidR="003F2E23" w:rsidRPr="009E58F7">
        <w:t> </w:t>
      </w:r>
      <w:r w:rsidRPr="009E58F7">
        <w:t>≥</w:t>
      </w:r>
      <w:r w:rsidR="003F2E23" w:rsidRPr="009E58F7">
        <w:t> </w:t>
      </w:r>
      <w:r w:rsidRPr="009E58F7">
        <w:t>8 g/dl</w:t>
      </w:r>
      <w:r w:rsidR="00E27FD7">
        <w:t>.</w:t>
      </w:r>
    </w:p>
    <w:p w14:paraId="31DBACDD" w14:textId="3961794A" w:rsidR="004D6470" w:rsidRPr="009E58F7" w:rsidRDefault="004D6470">
      <w:pPr>
        <w:pStyle w:val="Nincstrkz"/>
        <w:numPr>
          <w:ilvl w:val="0"/>
          <w:numId w:val="44"/>
        </w:numPr>
        <w:ind w:left="567" w:hanging="567"/>
      </w:pPr>
      <w:r w:rsidRPr="009E58F7">
        <w:t>A nem hematológiai toxicitásoknak 1.</w:t>
      </w:r>
      <w:r w:rsidR="003F2E23" w:rsidRPr="009E58F7">
        <w:t> </w:t>
      </w:r>
      <w:r w:rsidRPr="009E58F7">
        <w:t>fokozatúra vagy a kezelés előtti mértékre kell enyhülniük.</w:t>
      </w:r>
    </w:p>
    <w:p w14:paraId="25D03D12" w14:textId="77777777" w:rsidR="004B1B37" w:rsidRPr="009E58F7" w:rsidRDefault="004B1B37" w:rsidP="00602E58">
      <w:pPr>
        <w:spacing w:line="240" w:lineRule="auto"/>
        <w:contextualSpacing/>
      </w:pPr>
    </w:p>
    <w:p w14:paraId="75415ED6" w14:textId="57A62654" w:rsidR="006070C3" w:rsidRPr="009E58F7" w:rsidRDefault="004D6470" w:rsidP="00D7256D">
      <w:pPr>
        <w:pStyle w:val="Nincstrkz"/>
      </w:pPr>
      <w:r w:rsidRPr="009E58F7">
        <w:t xml:space="preserve">A </w:t>
      </w:r>
      <w:r w:rsidR="008B6253" w:rsidRPr="009E58F7">
        <w:rPr>
          <w:rFonts w:eastAsia="Times New Roman"/>
        </w:rPr>
        <w:t>bortezomib</w:t>
      </w:r>
      <w:r w:rsidR="00FE5B85">
        <w:t>-</w:t>
      </w:r>
      <w:r w:rsidRPr="009E58F7">
        <w:t>kezelést le kell állítani bármilyen, legalább 3</w:t>
      </w:r>
      <w:r w:rsidR="00BD5400">
        <w:t>-</w:t>
      </w:r>
      <w:r w:rsidRPr="009E58F7">
        <w:t>as fokozatú, bortezomibbal összefüggő nem</w:t>
      </w:r>
      <w:r w:rsidR="003F2E23" w:rsidRPr="009E58F7">
        <w:t xml:space="preserve"> </w:t>
      </w:r>
      <w:r w:rsidRPr="009E58F7">
        <w:t>hematológiai toxicitás (kivéve neuropathia) vagy legalább 3</w:t>
      </w:r>
      <w:r w:rsidR="00BD5400">
        <w:t>-</w:t>
      </w:r>
      <w:r w:rsidRPr="009E58F7">
        <w:t>as fokozatú hematológiai toxicitás jelentkezésekor (lásd még 4.4 pont</w:t>
      </w:r>
      <w:r w:rsidR="007463D7" w:rsidRPr="009E58F7">
        <w:t>). A dózismódosítást lásd alább</w:t>
      </w:r>
      <w:r w:rsidRPr="009E58F7">
        <w:t xml:space="preserve"> az 5.</w:t>
      </w:r>
      <w:r w:rsidR="003F2E23" w:rsidRPr="009E58F7">
        <w:t> </w:t>
      </w:r>
      <w:r w:rsidRPr="009E58F7">
        <w:t>táblázatban.</w:t>
      </w:r>
    </w:p>
    <w:p w14:paraId="67E035EB" w14:textId="1D23EA5E" w:rsidR="004D6470" w:rsidRPr="009E58F7" w:rsidRDefault="007463D7" w:rsidP="00D7256D">
      <w:pPr>
        <w:pStyle w:val="Nincstrkz"/>
      </w:pPr>
      <w:r w:rsidRPr="009E58F7">
        <w:t>Hematológiai toxicitás esetén</w:t>
      </w:r>
      <w:r w:rsidR="004D6470" w:rsidRPr="009E58F7">
        <w:t xml:space="preserve"> a helyi elfogadott gyakorlat szerint adhatók granulocyta</w:t>
      </w:r>
      <w:r w:rsidR="003F0F42">
        <w:t>-</w:t>
      </w:r>
      <w:r w:rsidR="004D6470" w:rsidRPr="009E58F7">
        <w:t>kolónia</w:t>
      </w:r>
      <w:r w:rsidR="00E27FD7">
        <w:t>-</w:t>
      </w:r>
      <w:r w:rsidR="004D6470" w:rsidRPr="009E58F7">
        <w:t xml:space="preserve">stimuláló faktorok. A kezelési ciklus többszöri késedelmes </w:t>
      </w:r>
      <w:r w:rsidR="00C5286C" w:rsidRPr="009E58F7">
        <w:rPr>
          <w:rFonts w:eastAsia="Times New Roman"/>
        </w:rPr>
        <w:t>alkalmazása esetén</w:t>
      </w:r>
      <w:r w:rsidR="006070C3" w:rsidRPr="009E58F7">
        <w:t xml:space="preserve"> </w:t>
      </w:r>
      <w:r w:rsidR="004D6470" w:rsidRPr="009E58F7">
        <w:t xml:space="preserve">meg kell fontolni a </w:t>
      </w:r>
      <w:bookmarkStart w:id="7" w:name="page40"/>
      <w:bookmarkEnd w:id="7"/>
      <w:r w:rsidR="004D6470" w:rsidRPr="009E58F7">
        <w:t>granulocyta</w:t>
      </w:r>
      <w:r w:rsidR="003F0F42">
        <w:t>-</w:t>
      </w:r>
      <w:r w:rsidR="004D6470" w:rsidRPr="009E58F7">
        <w:t>kolónia</w:t>
      </w:r>
      <w:r w:rsidR="00E27FD7">
        <w:t>-</w:t>
      </w:r>
      <w:r w:rsidR="004D6470" w:rsidRPr="009E58F7">
        <w:t xml:space="preserve">stimuláló faktorok profilaktikus adását. </w:t>
      </w:r>
      <w:r w:rsidR="006070C3" w:rsidRPr="009E58F7">
        <w:t xml:space="preserve">Amikor az klinikailag </w:t>
      </w:r>
      <w:r w:rsidR="003F2E23" w:rsidRPr="009E58F7">
        <w:t>indokolt</w:t>
      </w:r>
      <w:r w:rsidR="006070C3" w:rsidRPr="009E58F7">
        <w:t xml:space="preserve">, a </w:t>
      </w:r>
      <w:r w:rsidR="004D6470" w:rsidRPr="009E58F7">
        <w:t xml:space="preserve">thrombocytopenia kezelésére </w:t>
      </w:r>
      <w:r w:rsidR="006070C3" w:rsidRPr="009E58F7">
        <w:t xml:space="preserve">mérlegelendő </w:t>
      </w:r>
      <w:r w:rsidR="004D6470" w:rsidRPr="009E58F7">
        <w:t>thrombocyta</w:t>
      </w:r>
      <w:r w:rsidR="00E27FD7">
        <w:t>-</w:t>
      </w:r>
      <w:r w:rsidR="004D6470" w:rsidRPr="009E58F7">
        <w:t>transzfúzió adása.</w:t>
      </w:r>
    </w:p>
    <w:p w14:paraId="1F817414" w14:textId="77777777" w:rsidR="004D6470" w:rsidRPr="009E58F7" w:rsidRDefault="004D6470" w:rsidP="007070F2">
      <w:pPr>
        <w:widowControl w:val="0"/>
        <w:autoSpaceDE w:val="0"/>
        <w:autoSpaceDN w:val="0"/>
        <w:adjustRightInd w:val="0"/>
        <w:spacing w:line="240" w:lineRule="auto"/>
      </w:pPr>
    </w:p>
    <w:p w14:paraId="0F4EF97D" w14:textId="1FF98E8E" w:rsidR="00763FA8" w:rsidRPr="009E58F7" w:rsidRDefault="004D6470" w:rsidP="007070F2">
      <w:pPr>
        <w:keepNext/>
        <w:overflowPunct w:val="0"/>
        <w:autoSpaceDE w:val="0"/>
        <w:autoSpaceDN w:val="0"/>
        <w:adjustRightInd w:val="0"/>
        <w:spacing w:line="240" w:lineRule="auto"/>
        <w:ind w:left="1276" w:hanging="1276"/>
      </w:pPr>
      <w:bookmarkStart w:id="8" w:name="page85"/>
      <w:bookmarkEnd w:id="8"/>
      <w:r w:rsidRPr="009E58F7">
        <w:rPr>
          <w:i/>
          <w:color w:val="000000"/>
        </w:rPr>
        <w:lastRenderedPageBreak/>
        <w:t>5. táblázat:</w:t>
      </w:r>
      <w:r w:rsidR="004B1B37" w:rsidRPr="009E58F7">
        <w:rPr>
          <w:i/>
          <w:iCs/>
          <w:color w:val="000000"/>
        </w:rPr>
        <w:tab/>
      </w:r>
      <w:r w:rsidRPr="009E58F7">
        <w:rPr>
          <w:i/>
          <w:color w:val="000000"/>
        </w:rPr>
        <w:t>Dózismódosítás korábban nem kezelt</w:t>
      </w:r>
      <w:r w:rsidR="003F2E23" w:rsidRPr="009E58F7">
        <w:rPr>
          <w:i/>
          <w:color w:val="000000"/>
        </w:rPr>
        <w:t>,</w:t>
      </w:r>
      <w:r w:rsidRPr="009E58F7">
        <w:rPr>
          <w:i/>
          <w:color w:val="000000"/>
        </w:rPr>
        <w:t xml:space="preserve"> köpenysejtes lymphomában szenvedő betegek</w:t>
      </w:r>
      <w:r w:rsidR="004B1B37" w:rsidRPr="009E58F7">
        <w:rPr>
          <w:i/>
          <w:iCs/>
          <w:color w:val="000000"/>
        </w:rPr>
        <w:t xml:space="preserve"> </w:t>
      </w:r>
      <w:r w:rsidR="004B1B37" w:rsidRPr="00E27FD7">
        <w:rPr>
          <w:i/>
          <w:iCs/>
          <w:color w:val="000000"/>
        </w:rPr>
        <w:tab/>
      </w:r>
      <w:r w:rsidR="00763FA8" w:rsidRPr="00E26B3B">
        <w:rPr>
          <w:i/>
          <w:iCs/>
        </w:rPr>
        <w:t>kezelése alatt</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9"/>
        <w:gridCol w:w="4715"/>
      </w:tblGrid>
      <w:tr w:rsidR="004D6470" w:rsidRPr="009E58F7" w14:paraId="06B86993" w14:textId="77777777" w:rsidTr="00E64005">
        <w:tc>
          <w:tcPr>
            <w:tcW w:w="4499" w:type="dxa"/>
            <w:shd w:val="clear" w:color="auto" w:fill="auto"/>
          </w:tcPr>
          <w:p w14:paraId="24ACEDDB" w14:textId="77777777" w:rsidR="004D6470" w:rsidRPr="009E58F7" w:rsidRDefault="004D6470" w:rsidP="00D968CE">
            <w:pPr>
              <w:keepNext/>
              <w:overflowPunct w:val="0"/>
              <w:autoSpaceDE w:val="0"/>
              <w:autoSpaceDN w:val="0"/>
              <w:adjustRightInd w:val="0"/>
              <w:spacing w:line="240" w:lineRule="auto"/>
              <w:jc w:val="center"/>
            </w:pPr>
            <w:r w:rsidRPr="009E58F7">
              <w:rPr>
                <w:b/>
                <w:color w:val="000000"/>
              </w:rPr>
              <w:t>Toxicitás</w:t>
            </w:r>
          </w:p>
        </w:tc>
        <w:tc>
          <w:tcPr>
            <w:tcW w:w="4715" w:type="dxa"/>
            <w:shd w:val="clear" w:color="auto" w:fill="auto"/>
          </w:tcPr>
          <w:p w14:paraId="192DA24F" w14:textId="77777777" w:rsidR="004D6470" w:rsidRPr="009E58F7" w:rsidRDefault="004D6470" w:rsidP="00D7256D">
            <w:pPr>
              <w:keepNext/>
              <w:overflowPunct w:val="0"/>
              <w:autoSpaceDE w:val="0"/>
              <w:autoSpaceDN w:val="0"/>
              <w:adjustRightInd w:val="0"/>
              <w:spacing w:line="240" w:lineRule="auto"/>
            </w:pPr>
            <w:r w:rsidRPr="009E58F7">
              <w:rPr>
                <w:b/>
                <w:color w:val="000000"/>
              </w:rPr>
              <w:t>Az adagolás módosítása vagy késleltetése</w:t>
            </w:r>
          </w:p>
        </w:tc>
      </w:tr>
      <w:tr w:rsidR="004D6470" w:rsidRPr="009E58F7" w14:paraId="60F13555" w14:textId="77777777" w:rsidTr="00E64005">
        <w:tc>
          <w:tcPr>
            <w:tcW w:w="9214" w:type="dxa"/>
            <w:gridSpan w:val="2"/>
            <w:shd w:val="clear" w:color="auto" w:fill="auto"/>
          </w:tcPr>
          <w:p w14:paraId="6BB6DAB5" w14:textId="77777777" w:rsidR="004D6470" w:rsidRPr="009E58F7" w:rsidRDefault="004D6470" w:rsidP="00D968CE">
            <w:pPr>
              <w:keepNext/>
              <w:overflowPunct w:val="0"/>
              <w:autoSpaceDE w:val="0"/>
              <w:autoSpaceDN w:val="0"/>
              <w:adjustRightInd w:val="0"/>
              <w:spacing w:line="240" w:lineRule="auto"/>
              <w:jc w:val="center"/>
            </w:pPr>
            <w:r w:rsidRPr="009E58F7">
              <w:rPr>
                <w:i/>
                <w:color w:val="000000"/>
              </w:rPr>
              <w:t>Hematológiai toxicitás</w:t>
            </w:r>
          </w:p>
        </w:tc>
      </w:tr>
      <w:tr w:rsidR="004D6470" w:rsidRPr="009E58F7" w14:paraId="3C86A1CD" w14:textId="77777777" w:rsidTr="00E64005">
        <w:tc>
          <w:tcPr>
            <w:tcW w:w="4499" w:type="dxa"/>
            <w:shd w:val="clear" w:color="auto" w:fill="auto"/>
          </w:tcPr>
          <w:p w14:paraId="2097E728" w14:textId="287DCD91" w:rsidR="004D6470" w:rsidRPr="009E58F7" w:rsidRDefault="004D6470" w:rsidP="00D7256D">
            <w:pPr>
              <w:pStyle w:val="Listaszerbekezds"/>
              <w:keepNext/>
              <w:numPr>
                <w:ilvl w:val="0"/>
                <w:numId w:val="47"/>
              </w:numPr>
              <w:autoSpaceDE w:val="0"/>
              <w:autoSpaceDN w:val="0"/>
              <w:adjustRightInd w:val="0"/>
              <w:spacing w:line="240" w:lineRule="auto"/>
              <w:ind w:left="601" w:hanging="567"/>
            </w:pPr>
            <w:r w:rsidRPr="009E58F7">
              <w:rPr>
                <w:color w:val="000000"/>
              </w:rPr>
              <w:t>≥</w:t>
            </w:r>
            <w:r w:rsidR="003F2E23" w:rsidRPr="009E58F7">
              <w:rPr>
                <w:color w:val="000000"/>
              </w:rPr>
              <w:t> </w:t>
            </w:r>
            <w:r w:rsidRPr="009E58F7">
              <w:rPr>
                <w:color w:val="000000"/>
              </w:rPr>
              <w:t>3.</w:t>
            </w:r>
            <w:r w:rsidR="003F2E23" w:rsidRPr="009E58F7">
              <w:rPr>
                <w:color w:val="000000"/>
              </w:rPr>
              <w:t> </w:t>
            </w:r>
            <w:r w:rsidRPr="009E58F7">
              <w:rPr>
                <w:color w:val="000000"/>
              </w:rPr>
              <w:t>fokozatú neutropenia lázzal, több mint 7 napig tartó, 4.</w:t>
            </w:r>
            <w:r w:rsidR="003F2E23" w:rsidRPr="009E58F7">
              <w:rPr>
                <w:color w:val="000000"/>
              </w:rPr>
              <w:t> </w:t>
            </w:r>
            <w:r w:rsidRPr="009E58F7">
              <w:rPr>
                <w:color w:val="000000"/>
              </w:rPr>
              <w:t>fokozatú neutropenia, a thrombocytaszám &lt;</w:t>
            </w:r>
            <w:r w:rsidR="00FF6991" w:rsidRPr="009E58F7">
              <w:rPr>
                <w:color w:val="000000"/>
              </w:rPr>
              <w:t> </w:t>
            </w:r>
            <w:r w:rsidRPr="009E58F7">
              <w:rPr>
                <w:color w:val="000000"/>
              </w:rPr>
              <w:t>10 </w:t>
            </w:r>
            <w:r w:rsidR="007463D7" w:rsidRPr="009E58F7">
              <w:rPr>
                <w:color w:val="000000"/>
              </w:rPr>
              <w:t>000</w:t>
            </w:r>
            <w:r w:rsidR="003F2E23" w:rsidRPr="009E58F7">
              <w:rPr>
                <w:color w:val="000000"/>
              </w:rPr>
              <w:t> </w:t>
            </w:r>
            <w:r w:rsidR="007463D7" w:rsidRPr="009E58F7">
              <w:rPr>
                <w:color w:val="000000"/>
              </w:rPr>
              <w:t>sejt/mikroliter</w:t>
            </w:r>
          </w:p>
        </w:tc>
        <w:tc>
          <w:tcPr>
            <w:tcW w:w="4715" w:type="dxa"/>
            <w:shd w:val="clear" w:color="auto" w:fill="auto"/>
            <w:vAlign w:val="center"/>
          </w:tcPr>
          <w:p w14:paraId="7E8BA4DF" w14:textId="1C194D6A" w:rsidR="004D6470" w:rsidRPr="009E58F7" w:rsidRDefault="004D6470" w:rsidP="00D7256D">
            <w:pPr>
              <w:keepNext/>
              <w:autoSpaceDE w:val="0"/>
              <w:autoSpaceDN w:val="0"/>
              <w:adjustRightInd w:val="0"/>
              <w:spacing w:line="240" w:lineRule="auto"/>
            </w:pPr>
            <w:r w:rsidRPr="009E58F7">
              <w:rPr>
                <w:color w:val="000000"/>
              </w:rPr>
              <w:t xml:space="preserve">A </w:t>
            </w:r>
            <w:r w:rsidRPr="009E58F7">
              <w:t>bortezomib</w:t>
            </w:r>
            <w:r w:rsidR="00FE5B85">
              <w:t>-</w:t>
            </w:r>
            <w:r w:rsidRPr="009E58F7">
              <w:rPr>
                <w:color w:val="000000"/>
              </w:rPr>
              <w:t xml:space="preserve">kezelést legfeljebb 2 hétig szüneteltetni kell, amíg a beteg </w:t>
            </w:r>
            <w:r w:rsidR="00763FA8" w:rsidRPr="009E58F7">
              <w:rPr>
                <w:rFonts w:eastAsia="TimesNewRomanPSMT"/>
              </w:rPr>
              <w:t>abszolút</w:t>
            </w:r>
            <w:r w:rsidR="003F2E23" w:rsidRPr="009E58F7">
              <w:rPr>
                <w:rFonts w:eastAsia="TimesNewRomanPSMT"/>
              </w:rPr>
              <w:t xml:space="preserve"> </w:t>
            </w:r>
            <w:r w:rsidR="00763FA8" w:rsidRPr="009E58F7">
              <w:rPr>
                <w:rFonts w:eastAsia="TimesNewRomanPSMT"/>
              </w:rPr>
              <w:t>neutrophilszáma</w:t>
            </w:r>
            <w:r w:rsidR="007463D7" w:rsidRPr="009E58F7">
              <w:rPr>
                <w:color w:val="000000"/>
              </w:rPr>
              <w:t xml:space="preserve"> eléri a ≥</w:t>
            </w:r>
            <w:r w:rsidR="003F2E23" w:rsidRPr="009E58F7">
              <w:rPr>
                <w:color w:val="000000"/>
              </w:rPr>
              <w:t> </w:t>
            </w:r>
            <w:r w:rsidR="007463D7" w:rsidRPr="009E58F7">
              <w:rPr>
                <w:color w:val="000000"/>
              </w:rPr>
              <w:t>750 sejt/mikroliter</w:t>
            </w:r>
            <w:r w:rsidRPr="009E58F7">
              <w:rPr>
                <w:color w:val="000000"/>
              </w:rPr>
              <w:t>, thrombo</w:t>
            </w:r>
            <w:r w:rsidR="007463D7" w:rsidRPr="009E58F7">
              <w:rPr>
                <w:color w:val="000000"/>
              </w:rPr>
              <w:t>cytaszáma pedig</w:t>
            </w:r>
            <w:r w:rsidR="003F2E23" w:rsidRPr="009E58F7">
              <w:rPr>
                <w:color w:val="000000"/>
              </w:rPr>
              <w:t xml:space="preserve"> a</w:t>
            </w:r>
            <w:r w:rsidR="007463D7" w:rsidRPr="009E58F7">
              <w:rPr>
                <w:color w:val="000000"/>
              </w:rPr>
              <w:t xml:space="preserve"> ≥</w:t>
            </w:r>
            <w:r w:rsidR="003F2E23" w:rsidRPr="009E58F7">
              <w:rPr>
                <w:color w:val="000000"/>
              </w:rPr>
              <w:t> </w:t>
            </w:r>
            <w:r w:rsidR="007463D7" w:rsidRPr="009E58F7">
              <w:rPr>
                <w:color w:val="000000"/>
              </w:rPr>
              <w:t>25 000 sejt/mikroliter</w:t>
            </w:r>
            <w:r w:rsidRPr="009E58F7">
              <w:rPr>
                <w:color w:val="000000"/>
              </w:rPr>
              <w:t xml:space="preserve"> értéket.</w:t>
            </w:r>
          </w:p>
          <w:p w14:paraId="4E40F9D2" w14:textId="0788F20A" w:rsidR="004D6470" w:rsidRPr="009E58F7" w:rsidRDefault="004D6470" w:rsidP="007070F2">
            <w:pPr>
              <w:pStyle w:val="Listaszerbekezds"/>
              <w:keepNext/>
              <w:numPr>
                <w:ilvl w:val="0"/>
                <w:numId w:val="49"/>
              </w:numPr>
              <w:autoSpaceDE w:val="0"/>
              <w:autoSpaceDN w:val="0"/>
              <w:adjustRightInd w:val="0"/>
              <w:spacing w:line="240" w:lineRule="auto"/>
              <w:ind w:left="638" w:hanging="638"/>
            </w:pPr>
            <w:r w:rsidRPr="009E58F7">
              <w:rPr>
                <w:color w:val="000000"/>
              </w:rPr>
              <w:t xml:space="preserve">Ha a </w:t>
            </w:r>
            <w:r w:rsidRPr="009E58F7">
              <w:t>bortezomib</w:t>
            </w:r>
            <w:r w:rsidRPr="009E58F7">
              <w:rPr>
                <w:color w:val="000000"/>
              </w:rPr>
              <w:t xml:space="preserve"> kihagyása után a toxicitás </w:t>
            </w:r>
            <w:r w:rsidR="00763FA8" w:rsidRPr="009E58F7">
              <w:rPr>
                <w:rFonts w:eastAsia="TimesNewRomanPSMT"/>
              </w:rPr>
              <w:t xml:space="preserve">a fent meghatározott módon </w:t>
            </w:r>
            <w:r w:rsidR="00FF6991" w:rsidRPr="009E58F7">
              <w:rPr>
                <w:color w:val="000000"/>
              </w:rPr>
              <w:t>nem szűnik meg</w:t>
            </w:r>
            <w:r w:rsidRPr="009E58F7">
              <w:rPr>
                <w:color w:val="000000"/>
              </w:rPr>
              <w:t xml:space="preserve">, akkor a </w:t>
            </w:r>
            <w:r w:rsidR="008B6253" w:rsidRPr="009E58F7">
              <w:rPr>
                <w:rFonts w:eastAsia="TimesNewRomanPSMT"/>
              </w:rPr>
              <w:t>bortezomib</w:t>
            </w:r>
            <w:r w:rsidR="00763FA8" w:rsidRPr="009E58F7">
              <w:rPr>
                <w:rFonts w:eastAsia="TimesNewRomanPSMT"/>
              </w:rPr>
              <w:t xml:space="preserve"> adását</w:t>
            </w:r>
            <w:r w:rsidR="003F2E23" w:rsidRPr="009E58F7">
              <w:rPr>
                <w:rFonts w:eastAsia="TimesNewRomanPSMT"/>
              </w:rPr>
              <w:t xml:space="preserve"> </w:t>
            </w:r>
            <w:r w:rsidR="00763FA8" w:rsidRPr="009E58F7">
              <w:rPr>
                <w:rFonts w:eastAsia="TimesNewRomanPSMT"/>
              </w:rPr>
              <w:t>abba</w:t>
            </w:r>
            <w:r w:rsidR="007463D7" w:rsidRPr="009E58F7">
              <w:t xml:space="preserve"> kell </w:t>
            </w:r>
            <w:r w:rsidR="00763FA8" w:rsidRPr="009E58F7">
              <w:rPr>
                <w:rFonts w:eastAsia="TimesNewRomanPSMT"/>
              </w:rPr>
              <w:t>hagyni</w:t>
            </w:r>
            <w:r w:rsidRPr="009E58F7">
              <w:rPr>
                <w:color w:val="000000"/>
              </w:rPr>
              <w:t>.</w:t>
            </w:r>
          </w:p>
          <w:p w14:paraId="2DBCBC0A" w14:textId="6C30B784" w:rsidR="004D6470" w:rsidRPr="009E58F7" w:rsidRDefault="004D6470" w:rsidP="00D968CE">
            <w:pPr>
              <w:pStyle w:val="Listaszerbekezds"/>
              <w:keepNext/>
              <w:numPr>
                <w:ilvl w:val="0"/>
                <w:numId w:val="49"/>
              </w:numPr>
              <w:autoSpaceDE w:val="0"/>
              <w:autoSpaceDN w:val="0"/>
              <w:adjustRightInd w:val="0"/>
              <w:spacing w:line="240" w:lineRule="auto"/>
              <w:ind w:left="638" w:hanging="638"/>
            </w:pPr>
            <w:r w:rsidRPr="009E58F7">
              <w:rPr>
                <w:color w:val="000000"/>
              </w:rPr>
              <w:t>Ha a toxicitás megszűnik, azaz a beteg abszol</w:t>
            </w:r>
            <w:r w:rsidR="007463D7" w:rsidRPr="009E58F7">
              <w:rPr>
                <w:color w:val="000000"/>
              </w:rPr>
              <w:t>út neutrophilszáma ≥ 750 sejt/mikroliter</w:t>
            </w:r>
            <w:r w:rsidRPr="009E58F7">
              <w:rPr>
                <w:color w:val="000000"/>
              </w:rPr>
              <w:t xml:space="preserve">, </w:t>
            </w:r>
            <w:r w:rsidR="007463D7" w:rsidRPr="009E58F7">
              <w:rPr>
                <w:color w:val="000000"/>
              </w:rPr>
              <w:t>thrombocytaszáma ≥ 25 000 sejt/mikro</w:t>
            </w:r>
            <w:r w:rsidRPr="009E58F7">
              <w:rPr>
                <w:color w:val="000000"/>
              </w:rPr>
              <w:t>l</w:t>
            </w:r>
            <w:r w:rsidR="007463D7" w:rsidRPr="009E58F7">
              <w:rPr>
                <w:color w:val="000000"/>
              </w:rPr>
              <w:t>iter</w:t>
            </w:r>
            <w:r w:rsidRPr="009E58F7">
              <w:rPr>
                <w:color w:val="000000"/>
              </w:rPr>
              <w:t xml:space="preserve">, akkor a </w:t>
            </w:r>
            <w:r w:rsidRPr="009E58F7">
              <w:t>bortezomib</w:t>
            </w:r>
            <w:r w:rsidRPr="009E58F7">
              <w:rPr>
                <w:color w:val="000000"/>
              </w:rPr>
              <w:t xml:space="preserve"> egy dózisszinttel </w:t>
            </w:r>
            <w:r w:rsidR="00FF6991" w:rsidRPr="009E58F7">
              <w:rPr>
                <w:color w:val="000000"/>
              </w:rPr>
              <w:t xml:space="preserve">csökkentett </w:t>
            </w:r>
            <w:r w:rsidR="003F2E23" w:rsidRPr="009E58F7">
              <w:rPr>
                <w:color w:val="000000"/>
              </w:rPr>
              <w:t>dózisban</w:t>
            </w:r>
            <w:r w:rsidR="001D14D0">
              <w:rPr>
                <w:color w:val="000000"/>
              </w:rPr>
              <w:t xml:space="preserve"> </w:t>
            </w:r>
            <w:r w:rsidRPr="009E58F7">
              <w:rPr>
                <w:color w:val="000000"/>
              </w:rPr>
              <w:t>(1,3 mg/m</w:t>
            </w:r>
            <w:r w:rsidRPr="009E58F7">
              <w:rPr>
                <w:color w:val="000000"/>
                <w:vertAlign w:val="superscript"/>
              </w:rPr>
              <w:t>2</w:t>
            </w:r>
            <w:r w:rsidR="00BD5400">
              <w:rPr>
                <w:color w:val="000000"/>
              </w:rPr>
              <w:t>-</w:t>
            </w:r>
            <w:r w:rsidRPr="009E58F7">
              <w:rPr>
                <w:color w:val="000000"/>
              </w:rPr>
              <w:t>ről 1 mg/m</w:t>
            </w:r>
            <w:r w:rsidRPr="009E58F7">
              <w:rPr>
                <w:color w:val="000000"/>
                <w:vertAlign w:val="superscript"/>
              </w:rPr>
              <w:t>2</w:t>
            </w:r>
            <w:r w:rsidR="00BD5400">
              <w:rPr>
                <w:color w:val="000000"/>
              </w:rPr>
              <w:t>-</w:t>
            </w:r>
            <w:r w:rsidRPr="009E58F7">
              <w:rPr>
                <w:color w:val="000000"/>
              </w:rPr>
              <w:t>re vagy 1 mg/m</w:t>
            </w:r>
            <w:r w:rsidRPr="009E58F7">
              <w:rPr>
                <w:color w:val="000000"/>
                <w:vertAlign w:val="superscript"/>
              </w:rPr>
              <w:t>2</w:t>
            </w:r>
            <w:r w:rsidR="00BD5400">
              <w:rPr>
                <w:color w:val="000000"/>
              </w:rPr>
              <w:t>-</w:t>
            </w:r>
            <w:r w:rsidRPr="009E58F7">
              <w:rPr>
                <w:color w:val="000000"/>
              </w:rPr>
              <w:t>ről 0,7 mg/m</w:t>
            </w:r>
            <w:r w:rsidRPr="009E58F7">
              <w:rPr>
                <w:color w:val="000000"/>
                <w:vertAlign w:val="superscript"/>
              </w:rPr>
              <w:t>2</w:t>
            </w:r>
            <w:r w:rsidR="00BD5400">
              <w:rPr>
                <w:color w:val="000000"/>
              </w:rPr>
              <w:t>-</w:t>
            </w:r>
            <w:r w:rsidRPr="009E58F7">
              <w:rPr>
                <w:color w:val="000000"/>
              </w:rPr>
              <w:t>re) ismét adható.</w:t>
            </w:r>
          </w:p>
        </w:tc>
      </w:tr>
      <w:tr w:rsidR="004D6470" w:rsidRPr="009E58F7" w14:paraId="2334A508" w14:textId="77777777" w:rsidTr="00E64005">
        <w:tc>
          <w:tcPr>
            <w:tcW w:w="4499" w:type="dxa"/>
            <w:shd w:val="clear" w:color="auto" w:fill="auto"/>
            <w:vAlign w:val="bottom"/>
          </w:tcPr>
          <w:p w14:paraId="13FA0AF8" w14:textId="42BECD0B" w:rsidR="004D6470" w:rsidRPr="009E58F7" w:rsidRDefault="00763FA8" w:rsidP="00D7256D">
            <w:pPr>
              <w:pStyle w:val="Listaszerbekezds"/>
              <w:keepNext/>
              <w:numPr>
                <w:ilvl w:val="0"/>
                <w:numId w:val="48"/>
              </w:numPr>
              <w:autoSpaceDE w:val="0"/>
              <w:autoSpaceDN w:val="0"/>
              <w:adjustRightInd w:val="0"/>
              <w:spacing w:line="240" w:lineRule="auto"/>
              <w:ind w:left="601" w:hanging="601"/>
            </w:pPr>
            <w:r w:rsidRPr="009E58F7">
              <w:rPr>
                <w:color w:val="000000"/>
              </w:rPr>
              <w:t>Ha</w:t>
            </w:r>
            <w:r w:rsidR="004D6470" w:rsidRPr="009E58F7">
              <w:rPr>
                <w:color w:val="000000"/>
              </w:rPr>
              <w:t xml:space="preserve"> a </w:t>
            </w:r>
            <w:r w:rsidR="004D6470" w:rsidRPr="009E58F7">
              <w:t>bortezomib</w:t>
            </w:r>
            <w:r w:rsidR="004D6470" w:rsidRPr="009E58F7">
              <w:rPr>
                <w:color w:val="000000"/>
              </w:rPr>
              <w:t xml:space="preserve"> </w:t>
            </w:r>
            <w:r w:rsidRPr="009E58F7">
              <w:rPr>
                <w:color w:val="000000"/>
              </w:rPr>
              <w:t>adagolásának</w:t>
            </w:r>
            <w:r w:rsidR="004D6470" w:rsidRPr="009E58F7">
              <w:rPr>
                <w:color w:val="000000"/>
              </w:rPr>
              <w:t xml:space="preserve"> napján (a ciklusok 1.</w:t>
            </w:r>
            <w:r w:rsidR="00BD5400">
              <w:rPr>
                <w:color w:val="000000"/>
              </w:rPr>
              <w:t> </w:t>
            </w:r>
            <w:r w:rsidR="004D6470" w:rsidRPr="009E58F7">
              <w:rPr>
                <w:color w:val="000000"/>
              </w:rPr>
              <w:t>napját kivéve) a t</w:t>
            </w:r>
            <w:r w:rsidR="007463D7" w:rsidRPr="009E58F7">
              <w:rPr>
                <w:color w:val="000000"/>
              </w:rPr>
              <w:t>hrombocytaszám &lt; 25 000 sejt/mikroliter</w:t>
            </w:r>
            <w:r w:rsidR="004D6470" w:rsidRPr="009E58F7">
              <w:rPr>
                <w:color w:val="000000"/>
              </w:rPr>
              <w:t xml:space="preserve"> vagy az abszolút neutrophilszám &lt; 750</w:t>
            </w:r>
            <w:r w:rsidR="00BD5400">
              <w:rPr>
                <w:color w:val="000000"/>
              </w:rPr>
              <w:t> </w:t>
            </w:r>
            <w:r w:rsidR="004D6470" w:rsidRPr="009E58F7">
              <w:rPr>
                <w:color w:val="000000"/>
              </w:rPr>
              <w:t xml:space="preserve">sejt/ </w:t>
            </w:r>
            <w:r w:rsidR="00EF01B4" w:rsidRPr="009E58F7">
              <w:rPr>
                <w:color w:val="000000"/>
              </w:rPr>
              <w:t>mikroliter</w:t>
            </w:r>
          </w:p>
        </w:tc>
        <w:tc>
          <w:tcPr>
            <w:tcW w:w="4715" w:type="dxa"/>
            <w:shd w:val="clear" w:color="auto" w:fill="auto"/>
            <w:vAlign w:val="center"/>
          </w:tcPr>
          <w:p w14:paraId="7A83893B" w14:textId="2CCCE714" w:rsidR="004D6470" w:rsidRPr="009E58F7" w:rsidRDefault="004D6470" w:rsidP="00D7256D">
            <w:pPr>
              <w:keepNext/>
              <w:overflowPunct w:val="0"/>
              <w:autoSpaceDE w:val="0"/>
              <w:autoSpaceDN w:val="0"/>
              <w:adjustRightInd w:val="0"/>
              <w:spacing w:line="240" w:lineRule="auto"/>
            </w:pPr>
            <w:r w:rsidRPr="009E58F7">
              <w:t>A bortezomib</w:t>
            </w:r>
            <w:r w:rsidR="00BD5400">
              <w:t>-</w:t>
            </w:r>
            <w:r w:rsidRPr="009E58F7">
              <w:t>terápiát el kell halasztani.</w:t>
            </w:r>
          </w:p>
        </w:tc>
      </w:tr>
      <w:tr w:rsidR="004D6470" w:rsidRPr="009E58F7" w14:paraId="3E962362" w14:textId="77777777" w:rsidTr="00E64005">
        <w:tc>
          <w:tcPr>
            <w:tcW w:w="4499" w:type="dxa"/>
            <w:shd w:val="clear" w:color="auto" w:fill="auto"/>
            <w:vAlign w:val="center"/>
          </w:tcPr>
          <w:p w14:paraId="35ABDC7A" w14:textId="4BC9BA10" w:rsidR="004D6470" w:rsidRPr="009E58F7" w:rsidRDefault="004D6470" w:rsidP="00D7256D">
            <w:pPr>
              <w:keepNext/>
              <w:autoSpaceDE w:val="0"/>
              <w:autoSpaceDN w:val="0"/>
              <w:adjustRightInd w:val="0"/>
              <w:spacing w:line="240" w:lineRule="auto"/>
            </w:pPr>
            <w:r w:rsidRPr="009E58F7">
              <w:rPr>
                <w:rFonts w:eastAsia="TimesNewRoman,Italic"/>
                <w:i/>
              </w:rPr>
              <w:t xml:space="preserve">A </w:t>
            </w:r>
            <w:r w:rsidR="008B6253" w:rsidRPr="009E58F7">
              <w:rPr>
                <w:rFonts w:eastAsiaTheme="minorHAnsi"/>
                <w:i/>
                <w:iCs/>
              </w:rPr>
              <w:t>bortezomib</w:t>
            </w:r>
            <w:r w:rsidR="003F2E23" w:rsidRPr="009E58F7">
              <w:rPr>
                <w:rFonts w:eastAsiaTheme="minorHAnsi"/>
                <w:i/>
                <w:iCs/>
              </w:rPr>
              <w:t>ba</w:t>
            </w:r>
            <w:r w:rsidR="00763FA8" w:rsidRPr="009E58F7">
              <w:rPr>
                <w:rFonts w:eastAsiaTheme="minorHAnsi"/>
                <w:i/>
                <w:iCs/>
              </w:rPr>
              <w:t>l</w:t>
            </w:r>
            <w:r w:rsidRPr="009E58F7">
              <w:rPr>
                <w:i/>
                <w:color w:val="000000"/>
              </w:rPr>
              <w:t xml:space="preserve"> </w:t>
            </w:r>
            <w:r w:rsidRPr="009E58F7">
              <w:rPr>
                <w:rFonts w:eastAsia="TimesNewRoman,Italic"/>
                <w:i/>
              </w:rPr>
              <w:t xml:space="preserve">összefüggőnek </w:t>
            </w:r>
            <w:r w:rsidR="00BA33C5" w:rsidRPr="009E58F7">
              <w:rPr>
                <w:rFonts w:eastAsia="TimesNewRoman,Italic"/>
                <w:i/>
              </w:rPr>
              <w:t>vélt</w:t>
            </w:r>
            <w:r w:rsidRPr="009E58F7">
              <w:rPr>
                <w:rFonts w:eastAsia="TimesNewRoman,Italic"/>
                <w:i/>
              </w:rPr>
              <w:t>,</w:t>
            </w:r>
            <w:r w:rsidR="001D14D0">
              <w:rPr>
                <w:rFonts w:eastAsia="TimesNewRoman,Italic"/>
                <w:i/>
              </w:rPr>
              <w:t xml:space="preserve"> </w:t>
            </w:r>
            <w:r w:rsidRPr="009E58F7">
              <w:rPr>
                <w:rFonts w:eastAsia="TimesNewRoman,Italic"/>
                <w:i/>
              </w:rPr>
              <w:t>≥</w:t>
            </w:r>
            <w:r w:rsidR="00BA33C5" w:rsidRPr="009E58F7">
              <w:rPr>
                <w:rFonts w:eastAsia="TimesNewRoman,Italic"/>
                <w:i/>
              </w:rPr>
              <w:t> </w:t>
            </w:r>
            <w:r w:rsidRPr="009E58F7">
              <w:rPr>
                <w:rFonts w:eastAsia="TimesNewRoman,Italic"/>
                <w:i/>
              </w:rPr>
              <w:t>3</w:t>
            </w:r>
            <w:r w:rsidR="00BD5400">
              <w:rPr>
                <w:rFonts w:eastAsia="TimesNewRoman,Italic"/>
                <w:i/>
                <w:iCs/>
              </w:rPr>
              <w:t>-</w:t>
            </w:r>
            <w:r w:rsidRPr="009E58F7">
              <w:rPr>
                <w:rFonts w:eastAsia="TimesNewRoman,Italic"/>
                <w:i/>
                <w:iCs/>
              </w:rPr>
              <w:t>as</w:t>
            </w:r>
            <w:r w:rsidRPr="009E58F7">
              <w:rPr>
                <w:rFonts w:eastAsia="TimesNewRoman,Italic"/>
                <w:i/>
              </w:rPr>
              <w:t xml:space="preserve"> fokozatú nem</w:t>
            </w:r>
            <w:r w:rsidR="00BA33C5" w:rsidRPr="009E58F7">
              <w:rPr>
                <w:rFonts w:eastAsia="TimesNewRoman,Italic"/>
                <w:i/>
                <w:iCs/>
              </w:rPr>
              <w:t xml:space="preserve"> </w:t>
            </w:r>
            <w:r w:rsidRPr="009E58F7">
              <w:rPr>
                <w:rFonts w:eastAsia="TimesNewRoman,Italic"/>
                <w:i/>
              </w:rPr>
              <w:t>hematológiai toxicitások</w:t>
            </w:r>
          </w:p>
        </w:tc>
        <w:tc>
          <w:tcPr>
            <w:tcW w:w="4715" w:type="dxa"/>
            <w:shd w:val="clear" w:color="auto" w:fill="auto"/>
            <w:vAlign w:val="center"/>
          </w:tcPr>
          <w:p w14:paraId="1D36137B" w14:textId="16984677" w:rsidR="004D6470" w:rsidRPr="009E58F7" w:rsidRDefault="004D6470" w:rsidP="00D7256D">
            <w:pPr>
              <w:pStyle w:val="Nincstrkz"/>
              <w:keepNext/>
            </w:pPr>
            <w:r w:rsidRPr="009E58F7">
              <w:t>A bortezomib</w:t>
            </w:r>
            <w:r w:rsidR="00BD5400">
              <w:t>-</w:t>
            </w:r>
            <w:r w:rsidRPr="009E58F7">
              <w:t>kezelést ki kell hagyni, amíg a toxicitás 2.</w:t>
            </w:r>
            <w:r w:rsidR="00BA33C5" w:rsidRPr="009E58F7">
              <w:t> </w:t>
            </w:r>
            <w:r w:rsidRPr="009E58F7">
              <w:t xml:space="preserve">fokozatúra vagy még jobbra nem enyhül. Ezt követően a bortezomib adagolását egy dózisszinttel </w:t>
            </w:r>
            <w:r w:rsidR="00FF6991" w:rsidRPr="009E58F7">
              <w:t xml:space="preserve">csökkentett </w:t>
            </w:r>
            <w:r w:rsidR="00BA33C5" w:rsidRPr="009E58F7">
              <w:t>dózisban</w:t>
            </w:r>
            <w:r w:rsidR="001D14D0">
              <w:t xml:space="preserve"> </w:t>
            </w:r>
            <w:r w:rsidRPr="009E58F7">
              <w:t>(1,3 mg/m</w:t>
            </w:r>
            <w:r w:rsidRPr="009E58F7">
              <w:rPr>
                <w:vertAlign w:val="superscript"/>
              </w:rPr>
              <w:t>2</w:t>
            </w:r>
            <w:r w:rsidR="003F0F42">
              <w:t>-</w:t>
            </w:r>
            <w:r w:rsidRPr="009E58F7">
              <w:t>ről 1 mg/m</w:t>
            </w:r>
            <w:r w:rsidRPr="009E58F7">
              <w:rPr>
                <w:vertAlign w:val="superscript"/>
              </w:rPr>
              <w:t>2</w:t>
            </w:r>
            <w:r w:rsidR="00BD5400">
              <w:t>-</w:t>
            </w:r>
            <w:r w:rsidRPr="009E58F7">
              <w:t>re vagy 1 mg/m</w:t>
            </w:r>
            <w:r w:rsidRPr="009E58F7">
              <w:rPr>
                <w:vertAlign w:val="superscript"/>
              </w:rPr>
              <w:t>2</w:t>
            </w:r>
            <w:r w:rsidR="00BD5400">
              <w:t>-</w:t>
            </w:r>
            <w:r w:rsidRPr="009E58F7">
              <w:t>ről 0,7 mg/m</w:t>
            </w:r>
            <w:r w:rsidRPr="009E58F7">
              <w:rPr>
                <w:vertAlign w:val="superscript"/>
              </w:rPr>
              <w:t>2</w:t>
            </w:r>
            <w:r w:rsidR="00BD5400">
              <w:t>-</w:t>
            </w:r>
            <w:r w:rsidRPr="009E58F7">
              <w:t xml:space="preserve">re) ismét el lehet kezdeni. A </w:t>
            </w:r>
            <w:r w:rsidR="008B6253" w:rsidRPr="009E58F7">
              <w:rPr>
                <w:rFonts w:eastAsia="TimesNewRomanPSMT" w:cs="Times New Roman"/>
              </w:rPr>
              <w:t>bortezomib</w:t>
            </w:r>
            <w:r w:rsidR="00BA33C5" w:rsidRPr="009E58F7">
              <w:rPr>
                <w:rFonts w:eastAsia="TimesNewRomanPSMT" w:cs="Times New Roman"/>
              </w:rPr>
              <w:t>ba</w:t>
            </w:r>
            <w:r w:rsidR="00763FA8" w:rsidRPr="009E58F7">
              <w:rPr>
                <w:rFonts w:eastAsia="TimesNewRomanPSMT" w:cs="Times New Roman"/>
              </w:rPr>
              <w:t>l</w:t>
            </w:r>
            <w:r w:rsidRPr="009E58F7">
              <w:t xml:space="preserve"> összefüggő neuropathiás fájdalom és/vagy perifériás neuropathia esetén a </w:t>
            </w:r>
            <w:r w:rsidR="008B6253" w:rsidRPr="009E58F7">
              <w:rPr>
                <w:rFonts w:eastAsia="TimesNewRomanPSMT" w:cs="Times New Roman"/>
              </w:rPr>
              <w:t>bortezomib</w:t>
            </w:r>
            <w:r w:rsidR="00BA33C5" w:rsidRPr="009E58F7">
              <w:rPr>
                <w:rFonts w:eastAsia="TimesNewRomanPSMT" w:cs="Times New Roman"/>
              </w:rPr>
              <w:t>o</w:t>
            </w:r>
            <w:r w:rsidR="00763FA8" w:rsidRPr="009E58F7">
              <w:rPr>
                <w:rFonts w:eastAsia="TimesNewRomanPSMT" w:cs="Times New Roman"/>
              </w:rPr>
              <w:t>t</w:t>
            </w:r>
            <w:r w:rsidRPr="009E58F7">
              <w:t xml:space="preserve"> az 1.</w:t>
            </w:r>
            <w:r w:rsidR="00BA33C5" w:rsidRPr="009E58F7">
              <w:t> </w:t>
            </w:r>
            <w:r w:rsidRPr="009E58F7">
              <w:t xml:space="preserve">táblázatban ismertetett módon ki kell hagyni vagy </w:t>
            </w:r>
            <w:r w:rsidR="00763FA8" w:rsidRPr="009E58F7">
              <w:rPr>
                <w:rFonts w:eastAsia="TimesNewRomanPSMT" w:cs="Times New Roman"/>
              </w:rPr>
              <w:t xml:space="preserve">a dózisát </w:t>
            </w:r>
            <w:r w:rsidRPr="009E58F7">
              <w:t>módosítani kell.</w:t>
            </w:r>
          </w:p>
        </w:tc>
      </w:tr>
    </w:tbl>
    <w:p w14:paraId="20D84E4E" w14:textId="298AD5E8" w:rsidR="004D6470" w:rsidRPr="009E58F7" w:rsidRDefault="00FF6991" w:rsidP="00D7256D">
      <w:pPr>
        <w:pStyle w:val="Nincstrkz"/>
      </w:pPr>
      <w:r w:rsidRPr="009E58F7">
        <w:rPr>
          <w:color w:val="000000"/>
        </w:rPr>
        <w:t>Továbbá</w:t>
      </w:r>
      <w:r w:rsidR="004D6470" w:rsidRPr="009E58F7">
        <w:rPr>
          <w:color w:val="000000"/>
        </w:rPr>
        <w:t xml:space="preserve">, amikor a </w:t>
      </w:r>
      <w:r w:rsidR="008B6253" w:rsidRPr="009E58F7">
        <w:rPr>
          <w:rFonts w:eastAsia="Times New Roman"/>
        </w:rPr>
        <w:t>bortezomib</w:t>
      </w:r>
      <w:r w:rsidR="00BA33C5" w:rsidRPr="009E58F7">
        <w:rPr>
          <w:rFonts w:eastAsia="Times New Roman"/>
        </w:rPr>
        <w:t>o</w:t>
      </w:r>
      <w:r w:rsidR="00C5286C" w:rsidRPr="009E58F7">
        <w:rPr>
          <w:rFonts w:eastAsia="Times New Roman"/>
        </w:rPr>
        <w:t>t</w:t>
      </w:r>
      <w:r w:rsidR="004D6470" w:rsidRPr="009E58F7">
        <w:rPr>
          <w:color w:val="000000"/>
        </w:rPr>
        <w:t xml:space="preserve"> más kemoterápiás gyógyszerekkel kombinációban</w:t>
      </w:r>
      <w:r w:rsidR="00C5286C" w:rsidRPr="009E58F7">
        <w:rPr>
          <w:rFonts w:eastAsia="Times New Roman"/>
        </w:rPr>
        <w:t xml:space="preserve"> adják, </w:t>
      </w:r>
      <w:r w:rsidR="004D6470" w:rsidRPr="009E58F7">
        <w:rPr>
          <w:color w:val="000000"/>
        </w:rPr>
        <w:t>toxicitás jelentkezésekor mérlegelni kell ezen gyógyszerek dózisainak megfelelő mértékű csökkentését a vonatkozó alkalma</w:t>
      </w:r>
      <w:r w:rsidR="00BA33C5" w:rsidRPr="009E58F7">
        <w:rPr>
          <w:color w:val="000000"/>
        </w:rPr>
        <w:t>zási előírás ajánlásai szerint.</w:t>
      </w:r>
    </w:p>
    <w:p w14:paraId="2540C8CD" w14:textId="77777777" w:rsidR="004D6470" w:rsidRPr="009E58F7" w:rsidRDefault="004D6470" w:rsidP="00D7256D">
      <w:pPr>
        <w:pStyle w:val="Nincstrkz"/>
      </w:pPr>
    </w:p>
    <w:p w14:paraId="4164185F" w14:textId="6AD3F44E" w:rsidR="004D6470" w:rsidRPr="009E58F7" w:rsidRDefault="00E331E7" w:rsidP="007070F2">
      <w:pPr>
        <w:pStyle w:val="Nincstrkz"/>
        <w:keepNext/>
        <w:rPr>
          <w:u w:val="single"/>
        </w:rPr>
      </w:pPr>
      <w:r>
        <w:rPr>
          <w:u w:val="single"/>
        </w:rPr>
        <w:t>Különleges</w:t>
      </w:r>
      <w:r w:rsidR="004D6470" w:rsidRPr="009E58F7">
        <w:rPr>
          <w:u w:val="single"/>
        </w:rPr>
        <w:t xml:space="preserve"> betegcsoportok</w:t>
      </w:r>
    </w:p>
    <w:p w14:paraId="3807BB52" w14:textId="77777777" w:rsidR="004D6470" w:rsidRPr="009E58F7" w:rsidRDefault="004D6470" w:rsidP="00D968CE">
      <w:pPr>
        <w:pStyle w:val="Nincstrkz"/>
        <w:keepNext/>
        <w:rPr>
          <w:i/>
          <w:iCs/>
        </w:rPr>
      </w:pPr>
    </w:p>
    <w:p w14:paraId="1BAA0538" w14:textId="77777777" w:rsidR="004D6470" w:rsidRPr="009E58F7" w:rsidRDefault="004D6470" w:rsidP="003D25C3">
      <w:pPr>
        <w:pStyle w:val="Nincstrkz"/>
        <w:keepNext/>
      </w:pPr>
      <w:r w:rsidRPr="009E58F7">
        <w:rPr>
          <w:i/>
        </w:rPr>
        <w:t>Idősek</w:t>
      </w:r>
    </w:p>
    <w:p w14:paraId="6496F34F" w14:textId="7FC7D6AD" w:rsidR="004D6470" w:rsidRPr="009E58F7" w:rsidRDefault="004D6470">
      <w:pPr>
        <w:pStyle w:val="Nincstrkz"/>
        <w:keepNext/>
      </w:pPr>
      <w:r w:rsidRPr="009E58F7">
        <w:t xml:space="preserve">Nincs arra utaló </w:t>
      </w:r>
      <w:r w:rsidR="009A3CA5" w:rsidRPr="009E58F7">
        <w:t>bizonyíték</w:t>
      </w:r>
      <w:r w:rsidRPr="009E58F7">
        <w:t xml:space="preserve">, hogy 65 évesnél idősebb, myeloma multiplexben vagy köpenysejtes lymphomában </w:t>
      </w:r>
      <w:r w:rsidR="00C5286C" w:rsidRPr="009E58F7">
        <w:rPr>
          <w:rFonts w:eastAsia="Times New Roman"/>
        </w:rPr>
        <w:t>szenvedő betegek</w:t>
      </w:r>
      <w:r w:rsidR="00BA33C5" w:rsidRPr="009E58F7">
        <w:rPr>
          <w:rFonts w:eastAsia="Times New Roman"/>
        </w:rPr>
        <w:t>nél</w:t>
      </w:r>
      <w:r w:rsidRPr="009E58F7">
        <w:t xml:space="preserve"> történő alkalmazáskor szükség lenne a dózis módosítására.</w:t>
      </w:r>
    </w:p>
    <w:p w14:paraId="0E00FFDC" w14:textId="77777777" w:rsidR="004D6470" w:rsidRPr="009E58F7" w:rsidRDefault="004D6470">
      <w:pPr>
        <w:pStyle w:val="Nincstrkz"/>
      </w:pPr>
    </w:p>
    <w:p w14:paraId="57644C73" w14:textId="57945DF7" w:rsidR="004D6470" w:rsidRPr="009E58F7" w:rsidRDefault="004D6470">
      <w:pPr>
        <w:pStyle w:val="Nincstrkz"/>
      </w:pPr>
      <w:r w:rsidRPr="009E58F7">
        <w:t xml:space="preserve">Nincsenek vizsgálatok idős, myeloma multiplexben szenvedő, korábban nem kezelt, nagy dózisú kemoterápia mellett </w:t>
      </w:r>
      <w:r w:rsidR="00C5286C" w:rsidRPr="009E58F7">
        <w:rPr>
          <w:rFonts w:eastAsia="Times New Roman"/>
        </w:rPr>
        <w:t>haemopoeti</w:t>
      </w:r>
      <w:r w:rsidR="00BA33C5" w:rsidRPr="009E58F7">
        <w:rPr>
          <w:rFonts w:eastAsia="Times New Roman"/>
        </w:rPr>
        <w:t>c</w:t>
      </w:r>
      <w:r w:rsidR="00C5286C" w:rsidRPr="009E58F7">
        <w:rPr>
          <w:rFonts w:eastAsia="Times New Roman"/>
        </w:rPr>
        <w:t>us</w:t>
      </w:r>
      <w:r w:rsidRPr="009E58F7">
        <w:t xml:space="preserve"> őssejt</w:t>
      </w:r>
      <w:r w:rsidR="00621E19">
        <w:t>-</w:t>
      </w:r>
      <w:r w:rsidRPr="009E58F7">
        <w:t xml:space="preserve">transzplantációra alkalmas betegeknek adott </w:t>
      </w:r>
      <w:r w:rsidR="008B6253" w:rsidRPr="009E58F7">
        <w:rPr>
          <w:rFonts w:eastAsia="Times New Roman"/>
        </w:rPr>
        <w:t>bortezomib</w:t>
      </w:r>
      <w:r w:rsidR="00BA33C5" w:rsidRPr="009E58F7">
        <w:rPr>
          <w:rFonts w:eastAsia="Times New Roman"/>
        </w:rPr>
        <w:t>ba</w:t>
      </w:r>
      <w:r w:rsidR="00C5286C" w:rsidRPr="009E58F7">
        <w:rPr>
          <w:rFonts w:eastAsia="Times New Roman"/>
        </w:rPr>
        <w:t>l.</w:t>
      </w:r>
      <w:r w:rsidRPr="009E58F7">
        <w:t xml:space="preserve"> Következésképpen</w:t>
      </w:r>
      <w:r w:rsidR="00BA33C5" w:rsidRPr="009E58F7">
        <w:t>,</w:t>
      </w:r>
      <w:r w:rsidRPr="009E58F7">
        <w:t xml:space="preserve"> erre a betegcsoportra </w:t>
      </w:r>
      <w:r w:rsidR="00C5286C" w:rsidRPr="009E58F7">
        <w:rPr>
          <w:rFonts w:eastAsia="Times New Roman"/>
        </w:rPr>
        <w:t>vonatkozó</w:t>
      </w:r>
      <w:r w:rsidR="00BA33C5" w:rsidRPr="009E58F7">
        <w:rPr>
          <w:rFonts w:eastAsia="Times New Roman"/>
        </w:rPr>
        <w:t>an</w:t>
      </w:r>
      <w:r w:rsidRPr="009E58F7">
        <w:t xml:space="preserve"> adagolási ajánlás nem adható.</w:t>
      </w:r>
    </w:p>
    <w:p w14:paraId="3DD5B417" w14:textId="77777777" w:rsidR="00912B97" w:rsidRPr="009E58F7" w:rsidRDefault="00912B97">
      <w:pPr>
        <w:pStyle w:val="Nincstrkz"/>
      </w:pPr>
    </w:p>
    <w:p w14:paraId="4A6AA7CD" w14:textId="04A2A5A4" w:rsidR="004D6470" w:rsidRPr="007E179E" w:rsidRDefault="004D6470">
      <w:pPr>
        <w:spacing w:line="240" w:lineRule="auto"/>
        <w:contextualSpacing/>
      </w:pPr>
      <w:r w:rsidRPr="009E58F7">
        <w:t>Egy</w:t>
      </w:r>
      <w:r w:rsidR="00F82A37" w:rsidRPr="009E58F7">
        <w:t xml:space="preserve"> klinikai vizsgálatban</w:t>
      </w:r>
      <w:r w:rsidRPr="009E58F7">
        <w:t xml:space="preserve">, </w:t>
      </w:r>
      <w:r w:rsidR="00F82A37" w:rsidRPr="009E58F7">
        <w:t xml:space="preserve">amelyet </w:t>
      </w:r>
      <w:r w:rsidRPr="009E58F7">
        <w:rPr>
          <w:rFonts w:eastAsiaTheme="minorHAnsi"/>
        </w:rPr>
        <w:t>köpenysejtes lymphomában szenvedő</w:t>
      </w:r>
      <w:r w:rsidRPr="009E58F7">
        <w:t>, korább</w:t>
      </w:r>
      <w:r w:rsidR="00F82A37" w:rsidRPr="009E58F7">
        <w:t>an nem kezelt betegekkel végeztek,</w:t>
      </w:r>
      <w:r w:rsidRPr="009E58F7">
        <w:rPr>
          <w:rFonts w:eastAsiaTheme="minorHAnsi"/>
        </w:rPr>
        <w:t xml:space="preserve"> a </w:t>
      </w:r>
      <w:r w:rsidRPr="009E58F7">
        <w:t xml:space="preserve">bortezomib expozíciónak kitett </w:t>
      </w:r>
      <w:r w:rsidRPr="009E58F7">
        <w:rPr>
          <w:rFonts w:eastAsiaTheme="minorHAnsi"/>
        </w:rPr>
        <w:t>betegek 42,9</w:t>
      </w:r>
      <w:r w:rsidR="00C5286C" w:rsidRPr="009E58F7">
        <w:t>%</w:t>
      </w:r>
      <w:r w:rsidR="00621E19">
        <w:t>-</w:t>
      </w:r>
      <w:r w:rsidR="00C5286C" w:rsidRPr="009E58F7">
        <w:t>a</w:t>
      </w:r>
      <w:r w:rsidRPr="009E58F7">
        <w:t xml:space="preserve"> a 65</w:t>
      </w:r>
      <w:r w:rsidR="00FE5B85">
        <w:t>–</w:t>
      </w:r>
      <w:r w:rsidRPr="009E58F7">
        <w:t>74 éves</w:t>
      </w:r>
      <w:r w:rsidRPr="009E58F7">
        <w:rPr>
          <w:rFonts w:eastAsiaTheme="minorHAnsi"/>
        </w:rPr>
        <w:t>, illetve 10,4</w:t>
      </w:r>
      <w:r w:rsidR="00C5286C" w:rsidRPr="009E58F7">
        <w:t>%</w:t>
      </w:r>
      <w:r w:rsidR="00621E19">
        <w:t>-</w:t>
      </w:r>
      <w:r w:rsidRPr="009E58F7">
        <w:rPr>
          <w:rFonts w:eastAsiaTheme="minorHAnsi"/>
        </w:rPr>
        <w:t xml:space="preserve">a </w:t>
      </w:r>
      <w:r w:rsidRPr="009E58F7">
        <w:t>a ≥ 75 éves korcsoportba tartozott.</w:t>
      </w:r>
      <w:r w:rsidRPr="009E58F7">
        <w:rPr>
          <w:rFonts w:eastAsiaTheme="minorHAnsi"/>
        </w:rPr>
        <w:t xml:space="preserve"> A ≥</w:t>
      </w:r>
      <w:r w:rsidR="00BA33C5" w:rsidRPr="009E58F7">
        <w:rPr>
          <w:rFonts w:eastAsiaTheme="minorHAnsi"/>
        </w:rPr>
        <w:t> </w:t>
      </w:r>
      <w:r w:rsidRPr="009E58F7">
        <w:rPr>
          <w:rFonts w:eastAsiaTheme="minorHAnsi"/>
        </w:rPr>
        <w:t>75</w:t>
      </w:r>
      <w:r w:rsidRPr="009E58F7">
        <w:t> </w:t>
      </w:r>
      <w:r w:rsidRPr="009E58F7">
        <w:rPr>
          <w:rFonts w:eastAsiaTheme="minorHAnsi"/>
        </w:rPr>
        <w:t xml:space="preserve">éves betegek kevésbé tolerálták a </w:t>
      </w:r>
      <w:r w:rsidRPr="009E58F7">
        <w:t>B</w:t>
      </w:r>
      <w:r w:rsidR="00BA33C5" w:rsidRPr="009E58F7">
        <w:t>z</w:t>
      </w:r>
      <w:r w:rsidRPr="009E58F7">
        <w:t>R</w:t>
      </w:r>
      <w:r w:rsidR="003F0F42">
        <w:t>-</w:t>
      </w:r>
      <w:r w:rsidRPr="009E58F7">
        <w:rPr>
          <w:rFonts w:eastAsiaTheme="minorHAnsi"/>
        </w:rPr>
        <w:t>CAP és a R</w:t>
      </w:r>
      <w:r w:rsidR="003F0F42">
        <w:rPr>
          <w:rFonts w:eastAsiaTheme="minorHAnsi"/>
        </w:rPr>
        <w:t>-</w:t>
      </w:r>
      <w:r w:rsidRPr="009E58F7">
        <w:rPr>
          <w:rFonts w:eastAsiaTheme="minorHAnsi"/>
        </w:rPr>
        <w:t xml:space="preserve">CHOP kezelési </w:t>
      </w:r>
      <w:r w:rsidRPr="009E58F7">
        <w:t>sémákat</w:t>
      </w:r>
      <w:r w:rsidRPr="009E58F7">
        <w:rPr>
          <w:rFonts w:eastAsiaTheme="minorHAnsi"/>
        </w:rPr>
        <w:t xml:space="preserve"> (lásd </w:t>
      </w:r>
      <w:r w:rsidRPr="009E58F7">
        <w:rPr>
          <w:rFonts w:eastAsiaTheme="minorHAnsi"/>
          <w:color w:val="000000"/>
        </w:rPr>
        <w:t>4.8</w:t>
      </w:r>
      <w:r w:rsidRPr="009E58F7">
        <w:rPr>
          <w:color w:val="000000"/>
        </w:rPr>
        <w:t> </w:t>
      </w:r>
      <w:r w:rsidRPr="009E58F7">
        <w:rPr>
          <w:rFonts w:eastAsiaTheme="minorHAnsi"/>
          <w:color w:val="000000"/>
        </w:rPr>
        <w:t>pont).</w:t>
      </w:r>
    </w:p>
    <w:p w14:paraId="78B44E51" w14:textId="77777777" w:rsidR="004D6470" w:rsidRPr="009E58F7" w:rsidRDefault="004D6470">
      <w:pPr>
        <w:widowControl w:val="0"/>
        <w:autoSpaceDE w:val="0"/>
        <w:autoSpaceDN w:val="0"/>
        <w:adjustRightInd w:val="0"/>
        <w:spacing w:line="240" w:lineRule="auto"/>
        <w:rPr>
          <w:color w:val="000000"/>
        </w:rPr>
      </w:pPr>
    </w:p>
    <w:p w14:paraId="382D7A61" w14:textId="77777777" w:rsidR="004D6470" w:rsidRPr="009E58F7" w:rsidRDefault="004D6470">
      <w:pPr>
        <w:keepNext/>
        <w:autoSpaceDE w:val="0"/>
        <w:autoSpaceDN w:val="0"/>
        <w:adjustRightInd w:val="0"/>
        <w:spacing w:line="240" w:lineRule="auto"/>
      </w:pPr>
      <w:bookmarkStart w:id="9" w:name="page87"/>
      <w:bookmarkEnd w:id="9"/>
      <w:r w:rsidRPr="009E58F7">
        <w:rPr>
          <w:i/>
          <w:color w:val="000000"/>
        </w:rPr>
        <w:t>Májkárosodás</w:t>
      </w:r>
    </w:p>
    <w:p w14:paraId="43BCA5F1" w14:textId="3D9E21A5" w:rsidR="004D6470" w:rsidRPr="009E58F7" w:rsidRDefault="004D6470">
      <w:pPr>
        <w:keepNext/>
        <w:overflowPunct w:val="0"/>
        <w:autoSpaceDE w:val="0"/>
        <w:autoSpaceDN w:val="0"/>
        <w:adjustRightInd w:val="0"/>
        <w:spacing w:line="240" w:lineRule="auto"/>
        <w:contextualSpacing/>
      </w:pPr>
      <w:r w:rsidRPr="009E58F7">
        <w:rPr>
          <w:color w:val="000000"/>
        </w:rPr>
        <w:t xml:space="preserve">Enyhe májkárosodásban szenvedő </w:t>
      </w:r>
      <w:r w:rsidR="00C5286C" w:rsidRPr="009E58F7">
        <w:t>betegek</w:t>
      </w:r>
      <w:r w:rsidR="00B0160F" w:rsidRPr="009E58F7">
        <w:t>nél</w:t>
      </w:r>
      <w:r w:rsidRPr="009E58F7">
        <w:rPr>
          <w:color w:val="000000"/>
        </w:rPr>
        <w:t xml:space="preserve"> nincs szükség a dózis módosítására, őket az ajánlott adaggal kell kezelni. Közepesen súlyos vagy súlyos májkárosodásban </w:t>
      </w:r>
      <w:r w:rsidR="00C5286C" w:rsidRPr="009E58F7">
        <w:t xml:space="preserve">szenvedő betegeknél </w:t>
      </w:r>
      <w:r w:rsidRPr="009E58F7">
        <w:rPr>
          <w:color w:val="000000"/>
        </w:rPr>
        <w:t xml:space="preserve">a </w:t>
      </w:r>
      <w:bookmarkStart w:id="10" w:name="page41"/>
      <w:bookmarkEnd w:id="10"/>
      <w:r w:rsidR="008B6253" w:rsidRPr="009E58F7">
        <w:t>bortezomib</w:t>
      </w:r>
      <w:r w:rsidR="00B0160F" w:rsidRPr="009E58F7">
        <w:t>o</w:t>
      </w:r>
      <w:r w:rsidR="00C5286C" w:rsidRPr="009E58F7">
        <w:t>t</w:t>
      </w:r>
      <w:r w:rsidRPr="009E58F7">
        <w:rPr>
          <w:color w:val="000000"/>
        </w:rPr>
        <w:t xml:space="preserve"> az első kezelési ciklusban injekciónként 0,7 mg/m</w:t>
      </w:r>
      <w:r w:rsidRPr="009E58F7">
        <w:rPr>
          <w:color w:val="000000"/>
          <w:vertAlign w:val="superscript"/>
        </w:rPr>
        <w:t>2</w:t>
      </w:r>
      <w:r w:rsidR="00BD5400">
        <w:rPr>
          <w:color w:val="000000"/>
        </w:rPr>
        <w:t>-</w:t>
      </w:r>
      <w:r w:rsidRPr="009E58F7">
        <w:rPr>
          <w:color w:val="000000"/>
        </w:rPr>
        <w:t>re csökkentett adagban kell alkalmazni, majd a beteg toleranciájától függően megfontolható az adag 1,0 mg/m</w:t>
      </w:r>
      <w:r w:rsidRPr="009E58F7">
        <w:rPr>
          <w:color w:val="000000"/>
          <w:vertAlign w:val="superscript"/>
        </w:rPr>
        <w:t>2</w:t>
      </w:r>
      <w:r w:rsidR="00BD5400">
        <w:rPr>
          <w:color w:val="000000"/>
        </w:rPr>
        <w:t>-</w:t>
      </w:r>
      <w:r w:rsidRPr="009E58F7">
        <w:rPr>
          <w:color w:val="000000"/>
        </w:rPr>
        <w:t xml:space="preserve">re történő </w:t>
      </w:r>
      <w:r w:rsidR="00B0160F" w:rsidRPr="009E58F7">
        <w:rPr>
          <w:color w:val="000000"/>
        </w:rPr>
        <w:t xml:space="preserve">további </w:t>
      </w:r>
      <w:r w:rsidRPr="009E58F7">
        <w:rPr>
          <w:color w:val="000000"/>
        </w:rPr>
        <w:t>emelése vagy 0,5 mg/m</w:t>
      </w:r>
      <w:r w:rsidRPr="009E58F7">
        <w:rPr>
          <w:color w:val="000000"/>
          <w:vertAlign w:val="superscript"/>
        </w:rPr>
        <w:t>2</w:t>
      </w:r>
      <w:r w:rsidR="00BD5400">
        <w:rPr>
          <w:color w:val="000000"/>
        </w:rPr>
        <w:t>-</w:t>
      </w:r>
      <w:r w:rsidRPr="009E58F7">
        <w:rPr>
          <w:color w:val="000000"/>
        </w:rPr>
        <w:t>r</w:t>
      </w:r>
      <w:r w:rsidR="00F82A37" w:rsidRPr="009E58F7">
        <w:rPr>
          <w:color w:val="000000"/>
        </w:rPr>
        <w:t xml:space="preserve">e </w:t>
      </w:r>
      <w:r w:rsidR="00C5286C" w:rsidRPr="009E58F7">
        <w:t xml:space="preserve">történő </w:t>
      </w:r>
      <w:r w:rsidR="00F82A37" w:rsidRPr="009E58F7">
        <w:rPr>
          <w:color w:val="000000"/>
        </w:rPr>
        <w:t>csökkentése (lásd 6.</w:t>
      </w:r>
      <w:r w:rsidR="00B0160F" w:rsidRPr="009E58F7">
        <w:rPr>
          <w:color w:val="000000"/>
        </w:rPr>
        <w:t> </w:t>
      </w:r>
      <w:r w:rsidR="00F82A37" w:rsidRPr="009E58F7">
        <w:rPr>
          <w:color w:val="000000"/>
        </w:rPr>
        <w:t>táblázat</w:t>
      </w:r>
      <w:r w:rsidRPr="009E58F7">
        <w:rPr>
          <w:color w:val="000000"/>
        </w:rPr>
        <w:t xml:space="preserve"> és 4.4 és 5.2 pont).</w:t>
      </w:r>
    </w:p>
    <w:p w14:paraId="3736EC10" w14:textId="77777777" w:rsidR="004D6470" w:rsidRPr="009E58F7" w:rsidRDefault="004D6470">
      <w:pPr>
        <w:widowControl w:val="0"/>
        <w:autoSpaceDE w:val="0"/>
        <w:autoSpaceDN w:val="0"/>
        <w:adjustRightInd w:val="0"/>
        <w:spacing w:line="240" w:lineRule="auto"/>
        <w:contextualSpacing/>
      </w:pPr>
    </w:p>
    <w:p w14:paraId="510AEFAA" w14:textId="1DA5D533" w:rsidR="004D6470" w:rsidRPr="009E58F7" w:rsidRDefault="004D6470">
      <w:pPr>
        <w:widowControl w:val="0"/>
        <w:autoSpaceDE w:val="0"/>
        <w:autoSpaceDN w:val="0"/>
        <w:adjustRightInd w:val="0"/>
        <w:spacing w:line="240" w:lineRule="auto"/>
        <w:ind w:left="1134" w:hanging="1134"/>
        <w:rPr>
          <w:i/>
          <w:color w:val="000000"/>
        </w:rPr>
      </w:pPr>
      <w:r w:rsidRPr="009E58F7">
        <w:rPr>
          <w:i/>
          <w:color w:val="000000"/>
        </w:rPr>
        <w:t>6.</w:t>
      </w:r>
      <w:r w:rsidR="00B0160F" w:rsidRPr="009E58F7">
        <w:rPr>
          <w:i/>
          <w:color w:val="000000"/>
        </w:rPr>
        <w:t> </w:t>
      </w:r>
      <w:r w:rsidRPr="009E58F7">
        <w:rPr>
          <w:i/>
          <w:color w:val="000000"/>
        </w:rPr>
        <w:t>táblázat:</w:t>
      </w:r>
      <w:r w:rsidR="00DA113D" w:rsidRPr="009E58F7">
        <w:rPr>
          <w:i/>
          <w:color w:val="000000"/>
        </w:rPr>
        <w:tab/>
      </w:r>
      <w:r w:rsidRPr="009E58F7">
        <w:rPr>
          <w:i/>
          <w:color w:val="000000"/>
        </w:rPr>
        <w:t xml:space="preserve">A bortezomib kezdő </w:t>
      </w:r>
      <w:r w:rsidRPr="009E58F7">
        <w:rPr>
          <w:i/>
          <w:iCs/>
          <w:color w:val="000000"/>
        </w:rPr>
        <w:t>dózisának</w:t>
      </w:r>
      <w:r w:rsidRPr="009E58F7">
        <w:rPr>
          <w:i/>
          <w:color w:val="000000"/>
        </w:rPr>
        <w:t xml:space="preserve"> </w:t>
      </w:r>
      <w:r w:rsidR="002151F1" w:rsidRPr="009E58F7">
        <w:rPr>
          <w:i/>
          <w:color w:val="000000"/>
        </w:rPr>
        <w:t xml:space="preserve">ajánlott </w:t>
      </w:r>
      <w:r w:rsidRPr="009E58F7">
        <w:rPr>
          <w:i/>
          <w:color w:val="000000"/>
        </w:rPr>
        <w:t>módosítása májkárosodásban szenvedő betegeknél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126"/>
        <w:gridCol w:w="1701"/>
        <w:gridCol w:w="3436"/>
      </w:tblGrid>
      <w:tr w:rsidR="004D6470" w:rsidRPr="009E58F7" w14:paraId="27EDC195" w14:textId="77777777" w:rsidTr="00602E58">
        <w:tc>
          <w:tcPr>
            <w:tcW w:w="1985" w:type="dxa"/>
            <w:shd w:val="clear" w:color="auto" w:fill="auto"/>
            <w:vAlign w:val="bottom"/>
          </w:tcPr>
          <w:p w14:paraId="2B991C09" w14:textId="1BC475B0" w:rsidR="004D6470" w:rsidRPr="009E58F7" w:rsidRDefault="004D6470" w:rsidP="00D968CE">
            <w:pPr>
              <w:widowControl w:val="0"/>
              <w:autoSpaceDE w:val="0"/>
              <w:autoSpaceDN w:val="0"/>
              <w:adjustRightInd w:val="0"/>
              <w:spacing w:line="240" w:lineRule="auto"/>
            </w:pPr>
            <w:r w:rsidRPr="009E58F7">
              <w:rPr>
                <w:b/>
                <w:color w:val="000000"/>
              </w:rPr>
              <w:t>A</w:t>
            </w:r>
            <w:r w:rsidRPr="009E58F7">
              <w:rPr>
                <w:b/>
                <w:bCs/>
                <w:color w:val="000000"/>
              </w:rPr>
              <w:t xml:space="preserve"> </w:t>
            </w:r>
            <w:r w:rsidRPr="009E58F7">
              <w:rPr>
                <w:b/>
                <w:color w:val="000000"/>
              </w:rPr>
              <w:t>májkárosodás</w:t>
            </w:r>
            <w:r w:rsidRPr="009E58F7">
              <w:rPr>
                <w:b/>
                <w:bCs/>
                <w:color w:val="000000"/>
              </w:rPr>
              <w:t xml:space="preserve"> </w:t>
            </w:r>
            <w:r w:rsidRPr="009E58F7">
              <w:rPr>
                <w:b/>
                <w:color w:val="000000"/>
              </w:rPr>
              <w:t>mértéke*</w:t>
            </w:r>
          </w:p>
        </w:tc>
        <w:tc>
          <w:tcPr>
            <w:tcW w:w="2126" w:type="dxa"/>
            <w:shd w:val="clear" w:color="auto" w:fill="auto"/>
          </w:tcPr>
          <w:p w14:paraId="2BD53F7E" w14:textId="77777777" w:rsidR="004D6470" w:rsidRPr="009E58F7" w:rsidRDefault="004D6470" w:rsidP="00D968CE">
            <w:pPr>
              <w:widowControl w:val="0"/>
              <w:autoSpaceDE w:val="0"/>
              <w:autoSpaceDN w:val="0"/>
              <w:adjustRightInd w:val="0"/>
              <w:spacing w:line="240" w:lineRule="auto"/>
              <w:jc w:val="center"/>
            </w:pPr>
            <w:r w:rsidRPr="009E58F7">
              <w:rPr>
                <w:b/>
                <w:color w:val="000000"/>
              </w:rPr>
              <w:t>Bilirubinszint</w:t>
            </w:r>
          </w:p>
        </w:tc>
        <w:tc>
          <w:tcPr>
            <w:tcW w:w="1701" w:type="dxa"/>
            <w:shd w:val="clear" w:color="auto" w:fill="auto"/>
            <w:vAlign w:val="bottom"/>
          </w:tcPr>
          <w:p w14:paraId="2EF17D6C" w14:textId="51357371" w:rsidR="004D6470" w:rsidRPr="009E58F7" w:rsidRDefault="004D6470" w:rsidP="003F161F">
            <w:pPr>
              <w:widowControl w:val="0"/>
              <w:autoSpaceDE w:val="0"/>
              <w:autoSpaceDN w:val="0"/>
              <w:adjustRightInd w:val="0"/>
              <w:spacing w:line="240" w:lineRule="auto"/>
              <w:jc w:val="center"/>
              <w:rPr>
                <w:b/>
                <w:color w:val="000000"/>
                <w:w w:val="99"/>
              </w:rPr>
            </w:pPr>
            <w:r w:rsidRPr="009E58F7">
              <w:rPr>
                <w:b/>
                <w:color w:val="000000"/>
                <w:w w:val="99"/>
              </w:rPr>
              <w:t>GOT</w:t>
            </w:r>
            <w:r w:rsidRPr="009E58F7">
              <w:rPr>
                <w:b/>
                <w:bCs/>
                <w:color w:val="000000"/>
                <w:w w:val="99"/>
              </w:rPr>
              <w:t>- (AS</w:t>
            </w:r>
            <w:r w:rsidR="00EF01B4" w:rsidRPr="009E58F7">
              <w:rPr>
                <w:b/>
                <w:bCs/>
                <w:color w:val="000000"/>
                <w:w w:val="99"/>
              </w:rPr>
              <w:t>A</w:t>
            </w:r>
            <w:r w:rsidR="00B0160F" w:rsidRPr="009E58F7">
              <w:rPr>
                <w:b/>
                <w:bCs/>
                <w:color w:val="000000"/>
                <w:w w:val="99"/>
              </w:rPr>
              <w:t>T</w:t>
            </w:r>
            <w:r w:rsidR="003F0F42">
              <w:rPr>
                <w:b/>
                <w:bCs/>
                <w:color w:val="000000"/>
                <w:w w:val="99"/>
              </w:rPr>
              <w:t>-</w:t>
            </w:r>
            <w:r w:rsidRPr="009E58F7">
              <w:rPr>
                <w:b/>
                <w:bCs/>
                <w:color w:val="000000"/>
                <w:w w:val="99"/>
              </w:rPr>
              <w:t xml:space="preserve">) </w:t>
            </w:r>
            <w:r w:rsidRPr="009E58F7">
              <w:rPr>
                <w:b/>
                <w:color w:val="000000"/>
                <w:w w:val="99"/>
              </w:rPr>
              <w:t>szintek</w:t>
            </w:r>
          </w:p>
        </w:tc>
        <w:tc>
          <w:tcPr>
            <w:tcW w:w="3436" w:type="dxa"/>
            <w:shd w:val="clear" w:color="auto" w:fill="auto"/>
          </w:tcPr>
          <w:p w14:paraId="01655801" w14:textId="4E52734B" w:rsidR="004D6470" w:rsidRPr="009E58F7" w:rsidRDefault="004D6470" w:rsidP="00D968CE">
            <w:pPr>
              <w:widowControl w:val="0"/>
              <w:autoSpaceDE w:val="0"/>
              <w:autoSpaceDN w:val="0"/>
              <w:adjustRightInd w:val="0"/>
              <w:spacing w:line="240" w:lineRule="auto"/>
              <w:jc w:val="center"/>
            </w:pPr>
            <w:r w:rsidRPr="009E58F7">
              <w:rPr>
                <w:b/>
                <w:color w:val="000000"/>
              </w:rPr>
              <w:t xml:space="preserve">A kezdő </w:t>
            </w:r>
            <w:r w:rsidR="00B0160F" w:rsidRPr="009E58F7">
              <w:rPr>
                <w:b/>
                <w:color w:val="000000"/>
              </w:rPr>
              <w:t>dózis</w:t>
            </w:r>
            <w:r w:rsidRPr="009E58F7">
              <w:rPr>
                <w:b/>
                <w:color w:val="000000"/>
              </w:rPr>
              <w:t xml:space="preserve"> módosítása</w:t>
            </w:r>
          </w:p>
        </w:tc>
      </w:tr>
      <w:tr w:rsidR="004D6470" w:rsidRPr="009E58F7" w14:paraId="56334887" w14:textId="77777777" w:rsidTr="00602E58">
        <w:tc>
          <w:tcPr>
            <w:tcW w:w="1985" w:type="dxa"/>
            <w:vMerge w:val="restart"/>
            <w:shd w:val="clear" w:color="auto" w:fill="auto"/>
          </w:tcPr>
          <w:p w14:paraId="672832D7" w14:textId="4C1DDA30" w:rsidR="004D6470" w:rsidRPr="009E58F7" w:rsidRDefault="004D6470" w:rsidP="00D7256D">
            <w:pPr>
              <w:widowControl w:val="0"/>
              <w:autoSpaceDE w:val="0"/>
              <w:autoSpaceDN w:val="0"/>
              <w:adjustRightInd w:val="0"/>
              <w:spacing w:line="240" w:lineRule="auto"/>
            </w:pPr>
            <w:r w:rsidRPr="009E58F7">
              <w:rPr>
                <w:color w:val="000000"/>
              </w:rPr>
              <w:t xml:space="preserve">Enyhe </w:t>
            </w:r>
          </w:p>
        </w:tc>
        <w:tc>
          <w:tcPr>
            <w:tcW w:w="2126" w:type="dxa"/>
            <w:shd w:val="clear" w:color="auto" w:fill="auto"/>
          </w:tcPr>
          <w:p w14:paraId="0C3352EA" w14:textId="10E5777D" w:rsidR="004D6470" w:rsidRPr="009E58F7" w:rsidRDefault="004D6470" w:rsidP="00602E58">
            <w:pPr>
              <w:widowControl w:val="0"/>
              <w:autoSpaceDE w:val="0"/>
              <w:autoSpaceDN w:val="0"/>
              <w:adjustRightInd w:val="0"/>
              <w:spacing w:line="240" w:lineRule="auto"/>
            </w:pPr>
            <w:r w:rsidRPr="009E58F7">
              <w:rPr>
                <w:color w:val="000000"/>
              </w:rPr>
              <w:t>≤</w:t>
            </w:r>
            <w:r w:rsidR="00B0160F" w:rsidRPr="009E58F7">
              <w:rPr>
                <w:color w:val="000000"/>
              </w:rPr>
              <w:t> </w:t>
            </w:r>
            <w:r w:rsidRPr="009E58F7">
              <w:rPr>
                <w:color w:val="000000"/>
              </w:rPr>
              <w:t>1,0 × ULN</w:t>
            </w:r>
          </w:p>
        </w:tc>
        <w:tc>
          <w:tcPr>
            <w:tcW w:w="1701" w:type="dxa"/>
            <w:shd w:val="clear" w:color="auto" w:fill="auto"/>
          </w:tcPr>
          <w:p w14:paraId="28008CE9" w14:textId="4E25B978" w:rsidR="004D6470" w:rsidRPr="009E58F7" w:rsidRDefault="004D6470" w:rsidP="00D968CE">
            <w:pPr>
              <w:widowControl w:val="0"/>
              <w:autoSpaceDE w:val="0"/>
              <w:autoSpaceDN w:val="0"/>
              <w:adjustRightInd w:val="0"/>
              <w:spacing w:line="240" w:lineRule="auto"/>
              <w:jc w:val="center"/>
            </w:pPr>
            <w:r w:rsidRPr="009E58F7">
              <w:rPr>
                <w:color w:val="000000"/>
              </w:rPr>
              <w:t>&gt;</w:t>
            </w:r>
            <w:r w:rsidR="00B0160F" w:rsidRPr="009E58F7">
              <w:rPr>
                <w:color w:val="000000"/>
              </w:rPr>
              <w:t> </w:t>
            </w:r>
            <w:r w:rsidRPr="009E58F7">
              <w:rPr>
                <w:color w:val="000000"/>
              </w:rPr>
              <w:t>ULN</w:t>
            </w:r>
          </w:p>
        </w:tc>
        <w:tc>
          <w:tcPr>
            <w:tcW w:w="3436" w:type="dxa"/>
            <w:shd w:val="clear" w:color="auto" w:fill="auto"/>
          </w:tcPr>
          <w:p w14:paraId="382A9F6F" w14:textId="77777777" w:rsidR="004D6470" w:rsidRPr="009E58F7" w:rsidRDefault="004D6470" w:rsidP="003F161F">
            <w:pPr>
              <w:widowControl w:val="0"/>
              <w:autoSpaceDE w:val="0"/>
              <w:autoSpaceDN w:val="0"/>
              <w:adjustRightInd w:val="0"/>
              <w:spacing w:line="240" w:lineRule="auto"/>
              <w:jc w:val="center"/>
            </w:pPr>
            <w:r w:rsidRPr="009E58F7">
              <w:rPr>
                <w:color w:val="000000"/>
              </w:rPr>
              <w:t>Nem szükséges</w:t>
            </w:r>
          </w:p>
        </w:tc>
      </w:tr>
      <w:tr w:rsidR="004D6470" w:rsidRPr="009E58F7" w14:paraId="3FAAF231" w14:textId="77777777" w:rsidTr="00602E58">
        <w:tc>
          <w:tcPr>
            <w:tcW w:w="1985" w:type="dxa"/>
            <w:vMerge/>
            <w:shd w:val="clear" w:color="auto" w:fill="auto"/>
            <w:vAlign w:val="bottom"/>
          </w:tcPr>
          <w:p w14:paraId="08724FC5" w14:textId="77777777" w:rsidR="004D6470" w:rsidRPr="009E58F7" w:rsidRDefault="004D6470" w:rsidP="00D968CE">
            <w:pPr>
              <w:widowControl w:val="0"/>
              <w:autoSpaceDE w:val="0"/>
              <w:autoSpaceDN w:val="0"/>
              <w:adjustRightInd w:val="0"/>
              <w:spacing w:line="240" w:lineRule="auto"/>
            </w:pPr>
          </w:p>
        </w:tc>
        <w:tc>
          <w:tcPr>
            <w:tcW w:w="2126" w:type="dxa"/>
            <w:shd w:val="clear" w:color="auto" w:fill="auto"/>
          </w:tcPr>
          <w:p w14:paraId="246ADB2F" w14:textId="0A9A8A0D" w:rsidR="004D6470" w:rsidRPr="009E58F7" w:rsidRDefault="004D6470" w:rsidP="00D968CE">
            <w:pPr>
              <w:widowControl w:val="0"/>
              <w:autoSpaceDE w:val="0"/>
              <w:autoSpaceDN w:val="0"/>
              <w:adjustRightInd w:val="0"/>
              <w:spacing w:line="240" w:lineRule="auto"/>
              <w:jc w:val="center"/>
            </w:pPr>
            <w:r w:rsidRPr="009E58F7">
              <w:rPr>
                <w:color w:val="000000"/>
              </w:rPr>
              <w:t>&gt;</w:t>
            </w:r>
            <w:r w:rsidR="00B0160F" w:rsidRPr="009E58F7">
              <w:rPr>
                <w:color w:val="000000"/>
              </w:rPr>
              <w:t> </w:t>
            </w:r>
            <w:r w:rsidRPr="009E58F7">
              <w:rPr>
                <w:color w:val="000000"/>
              </w:rPr>
              <w:t>1,0</w:t>
            </w:r>
            <w:r w:rsidR="00B0160F" w:rsidRPr="009E58F7">
              <w:rPr>
                <w:color w:val="000000"/>
              </w:rPr>
              <w:t> </w:t>
            </w:r>
            <w:r w:rsidRPr="009E58F7">
              <w:rPr>
                <w:color w:val="000000"/>
              </w:rPr>
              <w:t>×</w:t>
            </w:r>
            <w:r w:rsidR="00B0160F" w:rsidRPr="009E58F7">
              <w:rPr>
                <w:color w:val="000000"/>
              </w:rPr>
              <w:t> </w:t>
            </w:r>
            <w:r w:rsidR="00D317B4">
              <w:rPr>
                <w:color w:val="000000"/>
              </w:rPr>
              <w:t>–</w:t>
            </w:r>
            <w:r w:rsidR="00A818FE" w:rsidRPr="009E58F7">
              <w:rPr>
                <w:color w:val="000000"/>
              </w:rPr>
              <w:t> </w:t>
            </w:r>
            <w:r w:rsidRPr="009E58F7">
              <w:rPr>
                <w:color w:val="000000"/>
              </w:rPr>
              <w:t>1,5 × ULN</w:t>
            </w:r>
          </w:p>
        </w:tc>
        <w:tc>
          <w:tcPr>
            <w:tcW w:w="1701" w:type="dxa"/>
            <w:shd w:val="clear" w:color="auto" w:fill="auto"/>
          </w:tcPr>
          <w:p w14:paraId="326770C4" w14:textId="77777777" w:rsidR="004D6470" w:rsidRPr="009E58F7" w:rsidRDefault="004D6470" w:rsidP="00D968CE">
            <w:pPr>
              <w:widowControl w:val="0"/>
              <w:autoSpaceDE w:val="0"/>
              <w:autoSpaceDN w:val="0"/>
              <w:adjustRightInd w:val="0"/>
              <w:spacing w:line="240" w:lineRule="auto"/>
              <w:jc w:val="center"/>
              <w:rPr>
                <w:b/>
              </w:rPr>
            </w:pPr>
            <w:r w:rsidRPr="009E58F7">
              <w:rPr>
                <w:color w:val="000000"/>
              </w:rPr>
              <w:t>Bármilyen</w:t>
            </w:r>
          </w:p>
        </w:tc>
        <w:tc>
          <w:tcPr>
            <w:tcW w:w="3436" w:type="dxa"/>
            <w:shd w:val="clear" w:color="auto" w:fill="auto"/>
          </w:tcPr>
          <w:p w14:paraId="455DEF1D" w14:textId="77777777" w:rsidR="004D6470" w:rsidRPr="009E58F7" w:rsidRDefault="004D6470" w:rsidP="003F161F">
            <w:pPr>
              <w:widowControl w:val="0"/>
              <w:autoSpaceDE w:val="0"/>
              <w:autoSpaceDN w:val="0"/>
              <w:adjustRightInd w:val="0"/>
              <w:spacing w:line="240" w:lineRule="auto"/>
              <w:jc w:val="center"/>
            </w:pPr>
            <w:r w:rsidRPr="009E58F7">
              <w:rPr>
                <w:color w:val="000000"/>
              </w:rPr>
              <w:t>Nem szükséges</w:t>
            </w:r>
          </w:p>
        </w:tc>
      </w:tr>
      <w:tr w:rsidR="004D6470" w:rsidRPr="009E58F7" w14:paraId="079F86D6" w14:textId="77777777" w:rsidTr="00602E58">
        <w:tc>
          <w:tcPr>
            <w:tcW w:w="1985" w:type="dxa"/>
            <w:shd w:val="clear" w:color="auto" w:fill="auto"/>
          </w:tcPr>
          <w:p w14:paraId="1C1A26A8" w14:textId="1E90D3CF" w:rsidR="004D6470" w:rsidRPr="009E58F7" w:rsidRDefault="004D6470" w:rsidP="00D7256D">
            <w:pPr>
              <w:widowControl w:val="0"/>
              <w:autoSpaceDE w:val="0"/>
              <w:autoSpaceDN w:val="0"/>
              <w:adjustRightInd w:val="0"/>
              <w:spacing w:line="240" w:lineRule="auto"/>
            </w:pPr>
            <w:r w:rsidRPr="009E58F7">
              <w:rPr>
                <w:color w:val="000000"/>
              </w:rPr>
              <w:t xml:space="preserve">Közepesen súlyos </w:t>
            </w:r>
          </w:p>
        </w:tc>
        <w:tc>
          <w:tcPr>
            <w:tcW w:w="2126" w:type="dxa"/>
            <w:shd w:val="clear" w:color="auto" w:fill="auto"/>
          </w:tcPr>
          <w:p w14:paraId="3249C13D" w14:textId="65AEB996" w:rsidR="004D6470" w:rsidRPr="009E58F7" w:rsidRDefault="004D6470" w:rsidP="00602E58">
            <w:pPr>
              <w:widowControl w:val="0"/>
              <w:autoSpaceDE w:val="0"/>
              <w:autoSpaceDN w:val="0"/>
              <w:adjustRightInd w:val="0"/>
              <w:spacing w:line="240" w:lineRule="auto"/>
            </w:pPr>
            <w:r w:rsidRPr="009E58F7">
              <w:rPr>
                <w:color w:val="000000"/>
              </w:rPr>
              <w:t>&gt;</w:t>
            </w:r>
            <w:r w:rsidR="00B0160F" w:rsidRPr="009E58F7">
              <w:rPr>
                <w:color w:val="000000"/>
              </w:rPr>
              <w:t> </w:t>
            </w:r>
            <w:r w:rsidRPr="009E58F7">
              <w:rPr>
                <w:color w:val="000000"/>
              </w:rPr>
              <w:t>1,5 × </w:t>
            </w:r>
            <w:r w:rsidR="00D317B4">
              <w:rPr>
                <w:color w:val="000000"/>
              </w:rPr>
              <w:t>–</w:t>
            </w:r>
            <w:r w:rsidR="00A818FE" w:rsidRPr="009E58F7">
              <w:rPr>
                <w:color w:val="000000"/>
              </w:rPr>
              <w:t> </w:t>
            </w:r>
            <w:r w:rsidRPr="009E58F7">
              <w:rPr>
                <w:color w:val="000000"/>
              </w:rPr>
              <w:t>3 × ULN</w:t>
            </w:r>
          </w:p>
        </w:tc>
        <w:tc>
          <w:tcPr>
            <w:tcW w:w="1701" w:type="dxa"/>
            <w:shd w:val="clear" w:color="auto" w:fill="auto"/>
          </w:tcPr>
          <w:p w14:paraId="52872291" w14:textId="77777777" w:rsidR="004D6470" w:rsidRPr="009E58F7" w:rsidRDefault="004D6470" w:rsidP="00D968CE">
            <w:pPr>
              <w:widowControl w:val="0"/>
              <w:autoSpaceDE w:val="0"/>
              <w:autoSpaceDN w:val="0"/>
              <w:adjustRightInd w:val="0"/>
              <w:spacing w:line="240" w:lineRule="auto"/>
              <w:jc w:val="center"/>
            </w:pPr>
            <w:r w:rsidRPr="009E58F7">
              <w:rPr>
                <w:color w:val="000000"/>
              </w:rPr>
              <w:t>Bármilyen</w:t>
            </w:r>
          </w:p>
        </w:tc>
        <w:tc>
          <w:tcPr>
            <w:tcW w:w="3436" w:type="dxa"/>
            <w:vMerge w:val="restart"/>
            <w:shd w:val="clear" w:color="auto" w:fill="auto"/>
          </w:tcPr>
          <w:p w14:paraId="2545F39D" w14:textId="7B12976A" w:rsidR="004D6470" w:rsidRPr="009E58F7" w:rsidRDefault="004D6470" w:rsidP="00602E58">
            <w:pPr>
              <w:widowControl w:val="0"/>
              <w:autoSpaceDE w:val="0"/>
              <w:autoSpaceDN w:val="0"/>
              <w:adjustRightInd w:val="0"/>
              <w:spacing w:line="240" w:lineRule="auto"/>
            </w:pPr>
            <w:r w:rsidRPr="009E58F7">
              <w:rPr>
                <w:color w:val="000000"/>
              </w:rPr>
              <w:t>Az első terápiás ciklusban a bortezomib</w:t>
            </w:r>
            <w:r w:rsidR="00D317B4">
              <w:rPr>
                <w:color w:val="000000"/>
              </w:rPr>
              <w:t>-</w:t>
            </w:r>
            <w:r w:rsidRPr="009E58F7">
              <w:rPr>
                <w:color w:val="000000"/>
              </w:rPr>
              <w:t>adagot 0,7 mg/m</w:t>
            </w:r>
            <w:r w:rsidRPr="009E58F7">
              <w:rPr>
                <w:color w:val="000000"/>
                <w:vertAlign w:val="superscript"/>
              </w:rPr>
              <w:t>2</w:t>
            </w:r>
            <w:r w:rsidR="00BD5400">
              <w:rPr>
                <w:color w:val="000000"/>
              </w:rPr>
              <w:t>-</w:t>
            </w:r>
            <w:r w:rsidRPr="009E58F7">
              <w:rPr>
                <w:color w:val="000000"/>
              </w:rPr>
              <w:t>re</w:t>
            </w:r>
            <w:r w:rsidR="00B0160F" w:rsidRPr="009E58F7">
              <w:rPr>
                <w:color w:val="000000"/>
              </w:rPr>
              <w:t xml:space="preserve"> kell csökkenteni</w:t>
            </w:r>
            <w:r w:rsidRPr="009E58F7">
              <w:rPr>
                <w:color w:val="000000"/>
              </w:rPr>
              <w:t>. A további ciklusokban a beteg toleranciájának függvényében mérlegelni kell a dózis 1,0 mg/m</w:t>
            </w:r>
            <w:r w:rsidRPr="009E58F7">
              <w:rPr>
                <w:color w:val="000000"/>
                <w:vertAlign w:val="superscript"/>
              </w:rPr>
              <w:t>2</w:t>
            </w:r>
            <w:r w:rsidR="00BD5400">
              <w:rPr>
                <w:color w:val="000000"/>
              </w:rPr>
              <w:t>-</w:t>
            </w:r>
            <w:r w:rsidRPr="009E58F7">
              <w:rPr>
                <w:color w:val="000000"/>
              </w:rPr>
              <w:t>re emelését vagy 0,5 mg/m</w:t>
            </w:r>
            <w:r w:rsidRPr="009E58F7">
              <w:rPr>
                <w:color w:val="000000"/>
                <w:vertAlign w:val="superscript"/>
              </w:rPr>
              <w:t>2</w:t>
            </w:r>
            <w:r w:rsidR="00BD5400">
              <w:rPr>
                <w:color w:val="000000"/>
              </w:rPr>
              <w:t>-</w:t>
            </w:r>
            <w:r w:rsidRPr="009E58F7">
              <w:rPr>
                <w:color w:val="000000"/>
              </w:rPr>
              <w:t>re történő további csökkentését.</w:t>
            </w:r>
          </w:p>
        </w:tc>
      </w:tr>
      <w:tr w:rsidR="004D6470" w:rsidRPr="009E58F7" w14:paraId="6D899DA3" w14:textId="77777777" w:rsidTr="00602E58">
        <w:tc>
          <w:tcPr>
            <w:tcW w:w="1985" w:type="dxa"/>
            <w:shd w:val="clear" w:color="auto" w:fill="auto"/>
          </w:tcPr>
          <w:p w14:paraId="0E046715" w14:textId="4AA60619" w:rsidR="004D6470" w:rsidRPr="009E58F7" w:rsidRDefault="004D6470" w:rsidP="00D7256D">
            <w:pPr>
              <w:widowControl w:val="0"/>
              <w:autoSpaceDE w:val="0"/>
              <w:autoSpaceDN w:val="0"/>
              <w:adjustRightInd w:val="0"/>
              <w:spacing w:line="240" w:lineRule="auto"/>
            </w:pPr>
            <w:r w:rsidRPr="009E58F7">
              <w:rPr>
                <w:color w:val="000000"/>
              </w:rPr>
              <w:t xml:space="preserve">Súlyos </w:t>
            </w:r>
          </w:p>
        </w:tc>
        <w:tc>
          <w:tcPr>
            <w:tcW w:w="2126" w:type="dxa"/>
            <w:shd w:val="clear" w:color="auto" w:fill="auto"/>
          </w:tcPr>
          <w:p w14:paraId="59F351F7" w14:textId="0FC99AD3" w:rsidR="004D6470" w:rsidRPr="009E58F7" w:rsidRDefault="004D6470" w:rsidP="00D7256D">
            <w:pPr>
              <w:widowControl w:val="0"/>
              <w:autoSpaceDE w:val="0"/>
              <w:autoSpaceDN w:val="0"/>
              <w:adjustRightInd w:val="0"/>
              <w:spacing w:line="240" w:lineRule="auto"/>
            </w:pPr>
            <w:r w:rsidRPr="009E58F7">
              <w:rPr>
                <w:color w:val="000000"/>
              </w:rPr>
              <w:t>&gt;</w:t>
            </w:r>
            <w:r w:rsidR="00B0160F" w:rsidRPr="009E58F7">
              <w:rPr>
                <w:color w:val="000000"/>
              </w:rPr>
              <w:t> </w:t>
            </w:r>
            <w:r w:rsidRPr="009E58F7">
              <w:rPr>
                <w:color w:val="000000"/>
              </w:rPr>
              <w:t>3 × ULN</w:t>
            </w:r>
          </w:p>
        </w:tc>
        <w:tc>
          <w:tcPr>
            <w:tcW w:w="1701" w:type="dxa"/>
            <w:shd w:val="clear" w:color="auto" w:fill="auto"/>
          </w:tcPr>
          <w:p w14:paraId="669C598E" w14:textId="77777777" w:rsidR="004D6470" w:rsidRPr="009E58F7" w:rsidRDefault="004D6470" w:rsidP="00BC3BCD">
            <w:pPr>
              <w:widowControl w:val="0"/>
              <w:autoSpaceDE w:val="0"/>
              <w:autoSpaceDN w:val="0"/>
              <w:adjustRightInd w:val="0"/>
              <w:spacing w:line="240" w:lineRule="auto"/>
              <w:jc w:val="center"/>
            </w:pPr>
            <w:r w:rsidRPr="009E58F7">
              <w:rPr>
                <w:color w:val="000000"/>
              </w:rPr>
              <w:t>Bármilyen</w:t>
            </w:r>
          </w:p>
        </w:tc>
        <w:tc>
          <w:tcPr>
            <w:tcW w:w="3436" w:type="dxa"/>
            <w:vMerge/>
            <w:shd w:val="clear" w:color="auto" w:fill="auto"/>
            <w:vAlign w:val="bottom"/>
          </w:tcPr>
          <w:p w14:paraId="17247AD9" w14:textId="77777777" w:rsidR="004D6470" w:rsidRPr="009E58F7" w:rsidRDefault="004D6470">
            <w:pPr>
              <w:widowControl w:val="0"/>
              <w:autoSpaceDE w:val="0"/>
              <w:autoSpaceDN w:val="0"/>
              <w:adjustRightInd w:val="0"/>
              <w:spacing w:line="240" w:lineRule="auto"/>
            </w:pPr>
          </w:p>
        </w:tc>
      </w:tr>
    </w:tbl>
    <w:p w14:paraId="53716901" w14:textId="51F3F81F" w:rsidR="004D6470" w:rsidRPr="009E58F7" w:rsidRDefault="004D6470" w:rsidP="00D7256D">
      <w:pPr>
        <w:widowControl w:val="0"/>
        <w:autoSpaceDE w:val="0"/>
        <w:autoSpaceDN w:val="0"/>
        <w:adjustRightInd w:val="0"/>
        <w:spacing w:line="240" w:lineRule="auto"/>
        <w:rPr>
          <w:sz w:val="18"/>
          <w:szCs w:val="18"/>
        </w:rPr>
      </w:pPr>
      <w:r w:rsidRPr="009E58F7">
        <w:rPr>
          <w:color w:val="000000"/>
          <w:sz w:val="18"/>
          <w:szCs w:val="18"/>
        </w:rPr>
        <w:t>Rövidítések: GOT</w:t>
      </w:r>
      <w:r w:rsidR="00B0160F" w:rsidRPr="009E58F7">
        <w:rPr>
          <w:color w:val="000000"/>
          <w:sz w:val="18"/>
          <w:szCs w:val="18"/>
        </w:rPr>
        <w:t> </w:t>
      </w:r>
      <w:r w:rsidRPr="009E58F7">
        <w:rPr>
          <w:color w:val="000000"/>
          <w:sz w:val="18"/>
          <w:szCs w:val="18"/>
        </w:rPr>
        <w:t>=</w:t>
      </w:r>
      <w:r w:rsidR="00B0160F" w:rsidRPr="009E58F7">
        <w:rPr>
          <w:color w:val="000000"/>
          <w:sz w:val="18"/>
          <w:szCs w:val="18"/>
        </w:rPr>
        <w:t> </w:t>
      </w:r>
      <w:r w:rsidRPr="009E58F7">
        <w:rPr>
          <w:color w:val="000000"/>
          <w:sz w:val="18"/>
          <w:szCs w:val="18"/>
        </w:rPr>
        <w:t>szérum glutamát</w:t>
      </w:r>
      <w:r w:rsidR="003F0F42">
        <w:rPr>
          <w:color w:val="000000"/>
          <w:sz w:val="18"/>
          <w:szCs w:val="18"/>
        </w:rPr>
        <w:t>-</w:t>
      </w:r>
      <w:r w:rsidRPr="009E58F7">
        <w:rPr>
          <w:color w:val="000000"/>
          <w:sz w:val="18"/>
          <w:szCs w:val="18"/>
        </w:rPr>
        <w:t>oxálacetát transzamináz; ASAT</w:t>
      </w:r>
      <w:r w:rsidR="00B0160F" w:rsidRPr="009E58F7">
        <w:rPr>
          <w:color w:val="000000"/>
          <w:sz w:val="18"/>
          <w:szCs w:val="18"/>
        </w:rPr>
        <w:t> </w:t>
      </w:r>
      <w:r w:rsidRPr="009E58F7">
        <w:rPr>
          <w:color w:val="000000"/>
          <w:sz w:val="18"/>
          <w:szCs w:val="18"/>
        </w:rPr>
        <w:t>=</w:t>
      </w:r>
      <w:r w:rsidR="00B0160F" w:rsidRPr="009E58F7">
        <w:rPr>
          <w:color w:val="000000"/>
          <w:sz w:val="18"/>
          <w:szCs w:val="18"/>
        </w:rPr>
        <w:t> </w:t>
      </w:r>
      <w:r w:rsidRPr="009E58F7">
        <w:rPr>
          <w:color w:val="000000"/>
          <w:sz w:val="18"/>
          <w:szCs w:val="18"/>
        </w:rPr>
        <w:t>aszpartát aminotranszferáz; ULN</w:t>
      </w:r>
      <w:r w:rsidR="00B0160F" w:rsidRPr="009E58F7">
        <w:rPr>
          <w:color w:val="000000"/>
          <w:sz w:val="18"/>
          <w:szCs w:val="18"/>
        </w:rPr>
        <w:t> </w:t>
      </w:r>
      <w:r w:rsidRPr="009E58F7">
        <w:rPr>
          <w:color w:val="000000"/>
          <w:sz w:val="18"/>
          <w:szCs w:val="18"/>
        </w:rPr>
        <w:t>=</w:t>
      </w:r>
      <w:r w:rsidR="00B0160F" w:rsidRPr="009E58F7">
        <w:rPr>
          <w:color w:val="000000"/>
          <w:sz w:val="18"/>
          <w:szCs w:val="18"/>
        </w:rPr>
        <w:t> </w:t>
      </w:r>
      <w:r w:rsidRPr="009E58F7">
        <w:rPr>
          <w:color w:val="000000"/>
          <w:sz w:val="18"/>
          <w:szCs w:val="18"/>
        </w:rPr>
        <w:t>a normálérték felső határa;</w:t>
      </w:r>
    </w:p>
    <w:p w14:paraId="40D62FB1" w14:textId="1065F950" w:rsidR="004D6470" w:rsidRPr="009E58F7" w:rsidRDefault="004D6470" w:rsidP="00D7256D">
      <w:pPr>
        <w:pStyle w:val="Nincstrkz"/>
        <w:rPr>
          <w:sz w:val="18"/>
          <w:szCs w:val="18"/>
        </w:rPr>
      </w:pPr>
      <w:r w:rsidRPr="009E58F7">
        <w:rPr>
          <w:sz w:val="18"/>
          <w:szCs w:val="18"/>
        </w:rPr>
        <w:t>* A májkárosodás mértéke (enyhe, közepesen súlyos, súlyos) a NCI Organ Dysfunction Working Group májkárosodásra vonatkozó ajánlása alapján került megállapításra.</w:t>
      </w:r>
    </w:p>
    <w:p w14:paraId="73F07B74" w14:textId="77777777" w:rsidR="004D6470" w:rsidRPr="009E58F7" w:rsidRDefault="004D6470" w:rsidP="007070F2">
      <w:pPr>
        <w:widowControl w:val="0"/>
        <w:autoSpaceDE w:val="0"/>
        <w:autoSpaceDN w:val="0"/>
        <w:adjustRightInd w:val="0"/>
        <w:spacing w:line="240" w:lineRule="auto"/>
      </w:pPr>
    </w:p>
    <w:p w14:paraId="6BBD0F64" w14:textId="77777777" w:rsidR="004D6470" w:rsidRPr="009E58F7" w:rsidRDefault="004D6470" w:rsidP="00D968CE">
      <w:pPr>
        <w:keepNext/>
        <w:autoSpaceDE w:val="0"/>
        <w:autoSpaceDN w:val="0"/>
        <w:adjustRightInd w:val="0"/>
        <w:spacing w:line="240" w:lineRule="auto"/>
      </w:pPr>
      <w:r w:rsidRPr="009E58F7">
        <w:rPr>
          <w:i/>
          <w:color w:val="000000"/>
        </w:rPr>
        <w:t>Vesekárosodás</w:t>
      </w:r>
    </w:p>
    <w:p w14:paraId="4F047214" w14:textId="08D74784" w:rsidR="004D6470" w:rsidRPr="009E58F7" w:rsidRDefault="004D6470" w:rsidP="003D25C3">
      <w:pPr>
        <w:keepNext/>
        <w:overflowPunct w:val="0"/>
        <w:autoSpaceDE w:val="0"/>
        <w:autoSpaceDN w:val="0"/>
        <w:adjustRightInd w:val="0"/>
        <w:spacing w:line="240" w:lineRule="auto"/>
      </w:pPr>
      <w:r w:rsidRPr="009E58F7">
        <w:rPr>
          <w:color w:val="000000"/>
        </w:rPr>
        <w:t xml:space="preserve">A bortezomib farmakokinetikája nem </w:t>
      </w:r>
      <w:r w:rsidR="002151F1" w:rsidRPr="009E58F7">
        <w:rPr>
          <w:color w:val="000000"/>
        </w:rPr>
        <w:t>változik</w:t>
      </w:r>
      <w:r w:rsidRPr="009E58F7">
        <w:rPr>
          <w:color w:val="000000"/>
        </w:rPr>
        <w:t xml:space="preserve"> enyhe vagy </w:t>
      </w:r>
      <w:r w:rsidR="00C5286C" w:rsidRPr="009E58F7">
        <w:t>közepes</w:t>
      </w:r>
      <w:r w:rsidR="00B0160F" w:rsidRPr="009E58F7">
        <w:t>en</w:t>
      </w:r>
      <w:r w:rsidRPr="009E58F7">
        <w:rPr>
          <w:color w:val="000000"/>
        </w:rPr>
        <w:t xml:space="preserve"> súlyos vesekárosodásban </w:t>
      </w:r>
      <w:r w:rsidR="00C5286C" w:rsidRPr="009E58F7">
        <w:t>szenvedő</w:t>
      </w:r>
      <w:r w:rsidRPr="009E58F7">
        <w:rPr>
          <w:color w:val="000000"/>
        </w:rPr>
        <w:t xml:space="preserve"> betegeknél (kreatinin</w:t>
      </w:r>
      <w:r w:rsidR="003F0F42">
        <w:rPr>
          <w:color w:val="000000"/>
        </w:rPr>
        <w:t>-</w:t>
      </w:r>
      <w:r w:rsidRPr="009E58F7">
        <w:rPr>
          <w:color w:val="000000"/>
        </w:rPr>
        <w:t>clearance [CrCl]</w:t>
      </w:r>
      <w:r w:rsidR="00B0160F" w:rsidRPr="009E58F7">
        <w:rPr>
          <w:color w:val="000000"/>
        </w:rPr>
        <w:t> </w:t>
      </w:r>
      <w:r w:rsidRPr="009E58F7">
        <w:rPr>
          <w:color w:val="000000"/>
        </w:rPr>
        <w:t>&gt;</w:t>
      </w:r>
      <w:r w:rsidR="00B0160F" w:rsidRPr="009E58F7">
        <w:t> </w:t>
      </w:r>
      <w:r w:rsidRPr="009E58F7">
        <w:rPr>
          <w:color w:val="000000"/>
        </w:rPr>
        <w:t>20 ml/perc/1,73 m</w:t>
      </w:r>
      <w:r w:rsidRPr="009E58F7">
        <w:rPr>
          <w:color w:val="000000"/>
          <w:vertAlign w:val="superscript"/>
        </w:rPr>
        <w:t>2</w:t>
      </w:r>
      <w:r w:rsidRPr="009E58F7">
        <w:rPr>
          <w:color w:val="000000"/>
        </w:rPr>
        <w:t>), ezért dózismódosítás nem szükséges. Nem ismert, hogy a bortezomib farmakokinetikája módosul</w:t>
      </w:r>
      <w:r w:rsidR="00621E19">
        <w:rPr>
          <w:color w:val="000000"/>
        </w:rPr>
        <w:t>-</w:t>
      </w:r>
      <w:r w:rsidRPr="009E58F7">
        <w:rPr>
          <w:color w:val="000000"/>
        </w:rPr>
        <w:t xml:space="preserve">e súlyos vesekárosodásban </w:t>
      </w:r>
      <w:r w:rsidR="00C5286C" w:rsidRPr="009E58F7">
        <w:t>szenvedő</w:t>
      </w:r>
      <w:r w:rsidRPr="009E58F7">
        <w:rPr>
          <w:color w:val="000000"/>
        </w:rPr>
        <w:t>, nem dializált betegeknél (CrCl</w:t>
      </w:r>
      <w:r w:rsidR="00B0160F" w:rsidRPr="009E58F7">
        <w:rPr>
          <w:color w:val="000000"/>
        </w:rPr>
        <w:t> </w:t>
      </w:r>
      <w:r w:rsidRPr="009E58F7">
        <w:t>&lt;</w:t>
      </w:r>
      <w:r w:rsidR="00B0160F" w:rsidRPr="009E58F7">
        <w:t> </w:t>
      </w:r>
      <w:r w:rsidRPr="009E58F7">
        <w:rPr>
          <w:color w:val="000000"/>
        </w:rPr>
        <w:t>20 ml/perc/1,73 m</w:t>
      </w:r>
      <w:r w:rsidRPr="009E58F7">
        <w:rPr>
          <w:color w:val="000000"/>
          <w:vertAlign w:val="superscript"/>
        </w:rPr>
        <w:t>2</w:t>
      </w:r>
      <w:r w:rsidRPr="009E58F7">
        <w:rPr>
          <w:color w:val="000000"/>
        </w:rPr>
        <w:t xml:space="preserve">). Mivel a dialízis csökkentheti a bortezomib koncentrációját, a </w:t>
      </w:r>
      <w:r w:rsidR="008B6253" w:rsidRPr="009E58F7">
        <w:t>bortezomib</w:t>
      </w:r>
      <w:r w:rsidR="00B0160F" w:rsidRPr="009E58F7">
        <w:t>o</w:t>
      </w:r>
      <w:r w:rsidR="00C5286C" w:rsidRPr="009E58F7">
        <w:t>t</w:t>
      </w:r>
      <w:r w:rsidRPr="009E58F7">
        <w:rPr>
          <w:color w:val="000000"/>
        </w:rPr>
        <w:t xml:space="preserve"> a dialízis</w:t>
      </w:r>
      <w:r w:rsidR="00D317B4">
        <w:rPr>
          <w:color w:val="000000"/>
        </w:rPr>
        <w:t>-</w:t>
      </w:r>
      <w:r w:rsidRPr="009E58F7">
        <w:rPr>
          <w:color w:val="000000"/>
        </w:rPr>
        <w:t xml:space="preserve">kezelés után kell </w:t>
      </w:r>
      <w:r w:rsidR="00C5286C" w:rsidRPr="009E58F7">
        <w:t>alkalmazni</w:t>
      </w:r>
      <w:r w:rsidRPr="009E58F7">
        <w:rPr>
          <w:color w:val="000000"/>
        </w:rPr>
        <w:t xml:space="preserve"> (lásd 5.2 pont).</w:t>
      </w:r>
    </w:p>
    <w:p w14:paraId="789941C1" w14:textId="77777777" w:rsidR="004D6470" w:rsidRPr="009E58F7" w:rsidRDefault="004D6470">
      <w:pPr>
        <w:pStyle w:val="Nincstrkz"/>
      </w:pPr>
    </w:p>
    <w:p w14:paraId="2A7C76CF" w14:textId="77777777" w:rsidR="004D6470" w:rsidRPr="009E58F7" w:rsidRDefault="004D6470">
      <w:pPr>
        <w:pStyle w:val="Nincstrkz"/>
        <w:keepNext/>
      </w:pPr>
      <w:r w:rsidRPr="009E58F7">
        <w:rPr>
          <w:i/>
          <w:color w:val="000000"/>
        </w:rPr>
        <w:t>Gyermekek</w:t>
      </w:r>
      <w:r w:rsidR="00190438" w:rsidRPr="009E58F7">
        <w:rPr>
          <w:i/>
          <w:color w:val="000000"/>
        </w:rPr>
        <w:t xml:space="preserve"> és serdülők</w:t>
      </w:r>
    </w:p>
    <w:p w14:paraId="03E6BA0C" w14:textId="6C3FDDB8" w:rsidR="004D6470" w:rsidRPr="009E58F7" w:rsidRDefault="004D6470">
      <w:pPr>
        <w:pStyle w:val="Nincstrkz"/>
        <w:keepNext/>
      </w:pPr>
      <w:r w:rsidRPr="009E58F7">
        <w:rPr>
          <w:color w:val="000000"/>
        </w:rPr>
        <w:t xml:space="preserve">A bortezomib biztonságosságát és hatásosságát 18 évesnél fiatalabb gyermekek </w:t>
      </w:r>
      <w:r w:rsidR="00D317B4">
        <w:rPr>
          <w:color w:val="000000"/>
        </w:rPr>
        <w:t xml:space="preserve">és serdülők </w:t>
      </w:r>
      <w:r w:rsidRPr="009E58F7">
        <w:rPr>
          <w:color w:val="000000"/>
        </w:rPr>
        <w:t xml:space="preserve">esetében nem igazolták (lásd 5.1 és 5.2 pont). A jelenleg rendelkezésre álló adatok </w:t>
      </w:r>
      <w:r w:rsidR="00C5286C" w:rsidRPr="009E58F7">
        <w:rPr>
          <w:rFonts w:eastAsia="Times New Roman"/>
        </w:rPr>
        <w:t>le</w:t>
      </w:r>
      <w:r w:rsidR="00D7134E" w:rsidRPr="009E58F7">
        <w:rPr>
          <w:rFonts w:eastAsia="Times New Roman"/>
        </w:rPr>
        <w:t>i</w:t>
      </w:r>
      <w:r w:rsidR="00C5286C" w:rsidRPr="009E58F7">
        <w:rPr>
          <w:rFonts w:eastAsia="Times New Roman"/>
        </w:rPr>
        <w:t>r</w:t>
      </w:r>
      <w:r w:rsidR="00D7134E" w:rsidRPr="009E58F7">
        <w:rPr>
          <w:rFonts w:eastAsia="Times New Roman"/>
        </w:rPr>
        <w:t>at</w:t>
      </w:r>
      <w:r w:rsidR="00C5286C" w:rsidRPr="009E58F7">
        <w:rPr>
          <w:rFonts w:eastAsia="Times New Roman"/>
        </w:rPr>
        <w:t xml:space="preserve">a </w:t>
      </w:r>
      <w:r w:rsidRPr="009E58F7">
        <w:rPr>
          <w:color w:val="000000"/>
        </w:rPr>
        <w:t xml:space="preserve">az 5.1 pontban </w:t>
      </w:r>
      <w:r w:rsidR="00C5286C" w:rsidRPr="009E58F7">
        <w:rPr>
          <w:rFonts w:eastAsia="Times New Roman"/>
        </w:rPr>
        <w:t>található, de nincs az adagolásra vonatkozó javaslat</w:t>
      </w:r>
      <w:r w:rsidRPr="009E58F7">
        <w:rPr>
          <w:color w:val="000000"/>
        </w:rPr>
        <w:t>.</w:t>
      </w:r>
    </w:p>
    <w:p w14:paraId="457BFF7A" w14:textId="77777777" w:rsidR="004D6470" w:rsidRPr="009E58F7" w:rsidRDefault="004D6470">
      <w:pPr>
        <w:pStyle w:val="Nincstrkz"/>
      </w:pPr>
    </w:p>
    <w:p w14:paraId="4104D019" w14:textId="77777777" w:rsidR="004D6470" w:rsidRPr="009E58F7" w:rsidRDefault="004D6470">
      <w:pPr>
        <w:pStyle w:val="Nincstrkz"/>
      </w:pPr>
      <w:r w:rsidRPr="009E58F7">
        <w:rPr>
          <w:color w:val="000000"/>
          <w:u w:val="single"/>
        </w:rPr>
        <w:t>Az alkalmazás módja</w:t>
      </w:r>
    </w:p>
    <w:p w14:paraId="32E2031A" w14:textId="03E4DDB9" w:rsidR="004D6470" w:rsidRPr="009E58F7" w:rsidRDefault="004D6470">
      <w:pPr>
        <w:spacing w:line="240" w:lineRule="auto"/>
      </w:pPr>
      <w:r w:rsidRPr="009E58F7">
        <w:rPr>
          <w:color w:val="000000"/>
        </w:rPr>
        <w:t xml:space="preserve">A </w:t>
      </w:r>
      <w:r w:rsidR="002151F1" w:rsidRPr="009E58F7">
        <w:rPr>
          <w:color w:val="000000"/>
        </w:rPr>
        <w:t>b</w:t>
      </w:r>
      <w:r w:rsidRPr="009E58F7">
        <w:rPr>
          <w:color w:val="000000"/>
        </w:rPr>
        <w:t xml:space="preserve">ortezomib </w:t>
      </w:r>
      <w:r w:rsidR="00C5286C" w:rsidRPr="009E58F7">
        <w:t>3,5</w:t>
      </w:r>
      <w:r w:rsidR="00BD5400">
        <w:t> </w:t>
      </w:r>
      <w:r w:rsidR="00C5286C" w:rsidRPr="009E58F7">
        <w:t>mg por oldatos injekcióhoz intravénás</w:t>
      </w:r>
      <w:r w:rsidR="00D7134E" w:rsidRPr="009E58F7">
        <w:t>an</w:t>
      </w:r>
      <w:r w:rsidRPr="009E58F7">
        <w:rPr>
          <w:color w:val="000000"/>
        </w:rPr>
        <w:t xml:space="preserve"> vagy subcutan alkalmazható</w:t>
      </w:r>
      <w:r w:rsidR="002151F1" w:rsidRPr="009E58F7">
        <w:t>.</w:t>
      </w:r>
    </w:p>
    <w:p w14:paraId="79EA77E9" w14:textId="7D705AD7" w:rsidR="004D6470" w:rsidRPr="009E58F7" w:rsidRDefault="002151F1" w:rsidP="00602E58">
      <w:pPr>
        <w:spacing w:line="240" w:lineRule="auto"/>
        <w:contextualSpacing/>
      </w:pPr>
      <w:r w:rsidRPr="009E58F7">
        <w:rPr>
          <w:rFonts w:eastAsiaTheme="minorHAnsi"/>
          <w:color w:val="000000"/>
        </w:rPr>
        <w:t>A b</w:t>
      </w:r>
      <w:r w:rsidR="004D6470" w:rsidRPr="009E58F7">
        <w:rPr>
          <w:rFonts w:eastAsiaTheme="minorHAnsi"/>
          <w:color w:val="000000"/>
        </w:rPr>
        <w:t>ortezomib</w:t>
      </w:r>
      <w:r w:rsidR="00D7134E" w:rsidRPr="009E58F7">
        <w:rPr>
          <w:rFonts w:eastAsiaTheme="minorHAnsi"/>
          <w:color w:val="000000"/>
        </w:rPr>
        <w:t>ot</w:t>
      </w:r>
      <w:r w:rsidR="004D6470" w:rsidRPr="009E58F7">
        <w:rPr>
          <w:rFonts w:eastAsiaTheme="minorHAnsi"/>
          <w:color w:val="000000"/>
        </w:rPr>
        <w:t xml:space="preserve"> más </w:t>
      </w:r>
      <w:r w:rsidR="00C5286C" w:rsidRPr="009E58F7">
        <w:t>módon</w:t>
      </w:r>
      <w:r w:rsidR="004D6470" w:rsidRPr="009E58F7">
        <w:rPr>
          <w:rFonts w:eastAsiaTheme="minorHAnsi"/>
          <w:color w:val="000000"/>
        </w:rPr>
        <w:t xml:space="preserve"> nem </w:t>
      </w:r>
      <w:r w:rsidR="00C5286C" w:rsidRPr="009E58F7">
        <w:t>szabad beadni. Az</w:t>
      </w:r>
      <w:r w:rsidRPr="009E58F7">
        <w:t xml:space="preserve"> </w:t>
      </w:r>
      <w:r w:rsidR="004D6470" w:rsidRPr="009E58F7">
        <w:rPr>
          <w:rFonts w:eastAsiaTheme="minorHAnsi"/>
          <w:color w:val="000000"/>
        </w:rPr>
        <w:t xml:space="preserve">intrathecalis </w:t>
      </w:r>
      <w:r w:rsidR="00C5286C" w:rsidRPr="009E58F7">
        <w:t>alkalmazás</w:t>
      </w:r>
      <w:r w:rsidR="004D6470" w:rsidRPr="009E58F7">
        <w:rPr>
          <w:rFonts w:eastAsiaTheme="minorHAnsi"/>
          <w:color w:val="000000"/>
        </w:rPr>
        <w:t xml:space="preserve"> halált okozott.</w:t>
      </w:r>
    </w:p>
    <w:p w14:paraId="33072A32" w14:textId="77777777" w:rsidR="004D6470" w:rsidRPr="009E58F7" w:rsidRDefault="004D6470" w:rsidP="00D7256D">
      <w:pPr>
        <w:pStyle w:val="Nincstrkz"/>
      </w:pPr>
    </w:p>
    <w:p w14:paraId="34EA8014" w14:textId="77777777" w:rsidR="004D6470" w:rsidRPr="009E58F7" w:rsidRDefault="004D6470" w:rsidP="00D7256D">
      <w:pPr>
        <w:pStyle w:val="Nincstrkz"/>
        <w:keepNext/>
      </w:pPr>
      <w:r w:rsidRPr="009E58F7">
        <w:rPr>
          <w:i/>
          <w:color w:val="000000"/>
        </w:rPr>
        <w:t>Intravénás injekció</w:t>
      </w:r>
    </w:p>
    <w:p w14:paraId="234056C9" w14:textId="1F08FA20" w:rsidR="004D6470" w:rsidRPr="009E58F7" w:rsidRDefault="004D6470" w:rsidP="007070F2">
      <w:pPr>
        <w:pStyle w:val="Nincstrkz"/>
        <w:keepNext/>
      </w:pPr>
      <w:r w:rsidRPr="009E58F7">
        <w:rPr>
          <w:color w:val="000000"/>
        </w:rPr>
        <w:t>A</w:t>
      </w:r>
      <w:r w:rsidR="003262E2" w:rsidRPr="009E58F7">
        <w:rPr>
          <w:color w:val="000000"/>
        </w:rPr>
        <w:t>z</w:t>
      </w:r>
      <w:r w:rsidRPr="009E58F7">
        <w:rPr>
          <w:color w:val="000000"/>
        </w:rPr>
        <w:t xml:space="preserve"> </w:t>
      </w:r>
      <w:r w:rsidR="003262E2" w:rsidRPr="009E58F7">
        <w:rPr>
          <w:color w:val="000000"/>
        </w:rPr>
        <w:t xml:space="preserve">elkészített </w:t>
      </w:r>
      <w:r w:rsidR="002151F1" w:rsidRPr="009E58F7">
        <w:rPr>
          <w:color w:val="000000"/>
        </w:rPr>
        <w:t>b</w:t>
      </w:r>
      <w:r w:rsidRPr="009E58F7">
        <w:rPr>
          <w:color w:val="000000"/>
        </w:rPr>
        <w:t xml:space="preserve">ortezomib </w:t>
      </w:r>
      <w:r w:rsidR="00D7134E" w:rsidRPr="009E58F7">
        <w:rPr>
          <w:color w:val="000000"/>
        </w:rPr>
        <w:t>3,5 mg</w:t>
      </w:r>
      <w:r w:rsidR="00BD5400">
        <w:rPr>
          <w:color w:val="000000"/>
        </w:rPr>
        <w:t>-</w:t>
      </w:r>
      <w:r w:rsidR="00D7134E" w:rsidRPr="009E58F7">
        <w:rPr>
          <w:color w:val="000000"/>
        </w:rPr>
        <w:t xml:space="preserve">os </w:t>
      </w:r>
      <w:r w:rsidRPr="009E58F7">
        <w:rPr>
          <w:color w:val="000000"/>
        </w:rPr>
        <w:t>oldat</w:t>
      </w:r>
      <w:r w:rsidR="003262E2" w:rsidRPr="009E58F7">
        <w:rPr>
          <w:color w:val="000000"/>
        </w:rPr>
        <w:t>ot</w:t>
      </w:r>
      <w:r w:rsidRPr="009E58F7">
        <w:rPr>
          <w:color w:val="000000"/>
        </w:rPr>
        <w:t xml:space="preserve"> 3</w:t>
      </w:r>
      <w:r w:rsidR="00BD5400">
        <w:rPr>
          <w:color w:val="000000"/>
        </w:rPr>
        <w:t>–</w:t>
      </w:r>
      <w:r w:rsidRPr="009E58F7">
        <w:rPr>
          <w:color w:val="000000"/>
        </w:rPr>
        <w:t xml:space="preserve">5 másodperc alatt, perifériás vagy centrális intravénás kanülön keresztül, intravénás </w:t>
      </w:r>
      <w:r w:rsidR="00C5286C" w:rsidRPr="009E58F7">
        <w:rPr>
          <w:rFonts w:eastAsia="Times New Roman"/>
        </w:rPr>
        <w:t>b</w:t>
      </w:r>
      <w:r w:rsidR="00D7134E" w:rsidRPr="009E58F7">
        <w:rPr>
          <w:rFonts w:eastAsia="Times New Roman"/>
        </w:rPr>
        <w:t>o</w:t>
      </w:r>
      <w:r w:rsidR="00C5286C" w:rsidRPr="009E58F7">
        <w:rPr>
          <w:rFonts w:eastAsia="Times New Roman"/>
        </w:rPr>
        <w:t>lus injekció formájában</w:t>
      </w:r>
      <w:r w:rsidRPr="009E58F7">
        <w:rPr>
          <w:color w:val="000000"/>
        </w:rPr>
        <w:t xml:space="preserve"> kell beadni, majd a kanült 9 mg/ml (0,9%</w:t>
      </w:r>
      <w:r w:rsidR="00D317B4">
        <w:rPr>
          <w:color w:val="000000"/>
        </w:rPr>
        <w:t>-os</w:t>
      </w:r>
      <w:r w:rsidRPr="009E58F7">
        <w:rPr>
          <w:color w:val="000000"/>
        </w:rPr>
        <w:t>) koncentrációjú nátrium</w:t>
      </w:r>
      <w:r w:rsidR="00BD5400">
        <w:rPr>
          <w:color w:val="000000"/>
        </w:rPr>
        <w:t>-</w:t>
      </w:r>
      <w:r w:rsidRPr="009E58F7">
        <w:rPr>
          <w:color w:val="000000"/>
        </w:rPr>
        <w:t>klorid oldat</w:t>
      </w:r>
      <w:r w:rsidR="003262E2" w:rsidRPr="009E58F7">
        <w:rPr>
          <w:color w:val="000000"/>
        </w:rPr>
        <w:t>os injekcióval kell átmosni. A b</w:t>
      </w:r>
      <w:r w:rsidRPr="009E58F7">
        <w:rPr>
          <w:color w:val="000000"/>
        </w:rPr>
        <w:t>ortezomib egymást követő dózisainak beadása között legalább 72 órának kell eltelnie.</w:t>
      </w:r>
    </w:p>
    <w:p w14:paraId="764E167D" w14:textId="77777777" w:rsidR="004D6470" w:rsidRPr="009E58F7" w:rsidRDefault="004D6470" w:rsidP="00D968CE">
      <w:pPr>
        <w:pStyle w:val="Nincstrkz"/>
      </w:pPr>
    </w:p>
    <w:p w14:paraId="2CC19F77" w14:textId="77777777" w:rsidR="004D6470" w:rsidRPr="009E58F7" w:rsidRDefault="004D6470" w:rsidP="003D25C3">
      <w:pPr>
        <w:pStyle w:val="Nincstrkz"/>
        <w:keepNext/>
      </w:pPr>
      <w:bookmarkStart w:id="11" w:name="page89"/>
      <w:bookmarkEnd w:id="11"/>
      <w:r w:rsidRPr="009E58F7">
        <w:rPr>
          <w:i/>
          <w:color w:val="000000"/>
        </w:rPr>
        <w:t>Subcutan injekció</w:t>
      </w:r>
    </w:p>
    <w:p w14:paraId="1B0F5AFF" w14:textId="6B38E6A4" w:rsidR="004D6470" w:rsidRPr="009E58F7" w:rsidRDefault="004D6470">
      <w:pPr>
        <w:pStyle w:val="Nincstrkz"/>
        <w:keepNext/>
      </w:pPr>
      <w:r w:rsidRPr="009E58F7">
        <w:t>A</w:t>
      </w:r>
      <w:r w:rsidR="003262E2" w:rsidRPr="009E58F7">
        <w:t>z elkészített</w:t>
      </w:r>
      <w:r w:rsidRPr="009E58F7">
        <w:t xml:space="preserve"> bortezomib </w:t>
      </w:r>
      <w:r w:rsidR="00D7134E" w:rsidRPr="009E58F7">
        <w:t>3,5 mg</w:t>
      </w:r>
      <w:r w:rsidR="00621E19">
        <w:t>-</w:t>
      </w:r>
      <w:r w:rsidR="00D7134E" w:rsidRPr="009E58F7">
        <w:t xml:space="preserve">os </w:t>
      </w:r>
      <w:r w:rsidRPr="009E58F7">
        <w:t>oldat</w:t>
      </w:r>
      <w:r w:rsidR="003262E2" w:rsidRPr="009E58F7">
        <w:t>ot</w:t>
      </w:r>
      <w:r w:rsidRPr="009E58F7">
        <w:t xml:space="preserve"> subcutan a </w:t>
      </w:r>
      <w:r w:rsidR="00C5286C" w:rsidRPr="009E58F7">
        <w:rPr>
          <w:rFonts w:eastAsia="Times New Roman"/>
        </w:rPr>
        <w:t>comb</w:t>
      </w:r>
      <w:r w:rsidR="00D7134E" w:rsidRPr="009E58F7">
        <w:rPr>
          <w:rFonts w:eastAsia="Times New Roman"/>
        </w:rPr>
        <w:t>ba</w:t>
      </w:r>
      <w:r w:rsidRPr="009E58F7">
        <w:t xml:space="preserve"> (jobb vagy bal) vagy a has</w:t>
      </w:r>
      <w:r w:rsidR="00D7134E" w:rsidRPr="009E58F7">
        <w:t>ba</w:t>
      </w:r>
      <w:r w:rsidRPr="009E58F7">
        <w:t xml:space="preserve"> (jobb vagy bal oldal</w:t>
      </w:r>
      <w:r w:rsidR="00BC3BCD" w:rsidRPr="009E58F7">
        <w:t>on</w:t>
      </w:r>
      <w:r w:rsidRPr="009E58F7">
        <w:t>) kell beadni. Az oldatot subcutan 45</w:t>
      </w:r>
      <w:r w:rsidR="00BD5400">
        <w:t>–</w:t>
      </w:r>
      <w:r w:rsidRPr="009E58F7">
        <w:t>90°</w:t>
      </w:r>
      <w:r w:rsidR="00BD5400">
        <w:t>-</w:t>
      </w:r>
      <w:r w:rsidRPr="009E58F7">
        <w:t>os szögben kell befecskendezni. Az injekció beadási helyét váltogatni kell az egymást követő alkalmazások során.</w:t>
      </w:r>
    </w:p>
    <w:p w14:paraId="3722960B" w14:textId="77777777" w:rsidR="008C198F" w:rsidRPr="009E58F7" w:rsidRDefault="008C198F">
      <w:pPr>
        <w:pStyle w:val="Nincstrkz"/>
      </w:pPr>
    </w:p>
    <w:p w14:paraId="44E300AF" w14:textId="023A00EE" w:rsidR="004D6470" w:rsidRPr="009E58F7" w:rsidRDefault="004D6470">
      <w:pPr>
        <w:pStyle w:val="Nincstrkz"/>
      </w:pPr>
      <w:bookmarkStart w:id="12" w:name="page42"/>
      <w:bookmarkEnd w:id="12"/>
      <w:r w:rsidRPr="009E58F7">
        <w:lastRenderedPageBreak/>
        <w:t xml:space="preserve">Amennyiben a </w:t>
      </w:r>
      <w:r w:rsidR="008C198F" w:rsidRPr="009E58F7">
        <w:rPr>
          <w:color w:val="000000"/>
        </w:rPr>
        <w:t>b</w:t>
      </w:r>
      <w:r w:rsidRPr="009E58F7">
        <w:rPr>
          <w:color w:val="000000"/>
        </w:rPr>
        <w:t xml:space="preserve">ortezomib </w:t>
      </w:r>
      <w:r w:rsidRPr="009E58F7">
        <w:t xml:space="preserve">subcutan beadását </w:t>
      </w:r>
      <w:r w:rsidR="00C5286C" w:rsidRPr="009E58F7">
        <w:rPr>
          <w:rFonts w:eastAsia="Times New Roman"/>
        </w:rPr>
        <w:t>követően helyi reakció alakul ki</w:t>
      </w:r>
      <w:r w:rsidRPr="009E58F7">
        <w:t xml:space="preserve"> </w:t>
      </w:r>
      <w:r w:rsidR="008C198F" w:rsidRPr="009E58F7">
        <w:t>az injekció beadási helyén</w:t>
      </w:r>
      <w:r w:rsidRPr="009E58F7">
        <w:t xml:space="preserve">, akkor </w:t>
      </w:r>
      <w:r w:rsidR="008C198F" w:rsidRPr="009E58F7">
        <w:t xml:space="preserve">vagy </w:t>
      </w:r>
      <w:r w:rsidR="002908EE" w:rsidRPr="009E58F7">
        <w:t>hígabb</w:t>
      </w:r>
      <w:r w:rsidRPr="009E58F7">
        <w:t xml:space="preserve"> </w:t>
      </w:r>
      <w:r w:rsidR="008C198F" w:rsidRPr="009E58F7">
        <w:rPr>
          <w:color w:val="000000"/>
        </w:rPr>
        <w:t>b</w:t>
      </w:r>
      <w:r w:rsidRPr="009E58F7">
        <w:rPr>
          <w:color w:val="000000"/>
        </w:rPr>
        <w:t xml:space="preserve">ortezomib </w:t>
      </w:r>
      <w:r w:rsidRPr="009E58F7">
        <w:t>oldat</w:t>
      </w:r>
      <w:r w:rsidR="008C198F" w:rsidRPr="009E58F7">
        <w:t>ot kell subcutan beadni</w:t>
      </w:r>
      <w:r w:rsidRPr="009E58F7">
        <w:t xml:space="preserve"> (a </w:t>
      </w:r>
      <w:r w:rsidR="008C198F" w:rsidRPr="009E58F7">
        <w:t>b</w:t>
      </w:r>
      <w:r w:rsidRPr="009E58F7">
        <w:rPr>
          <w:color w:val="000000"/>
        </w:rPr>
        <w:t xml:space="preserve">ortezomib </w:t>
      </w:r>
      <w:r w:rsidRPr="009E58F7">
        <w:t>feloldásakor 1 mg/ml koncentrációt kell előállítani a 2,5 mg/ml helyett</w:t>
      </w:r>
      <w:r w:rsidR="00D7134E" w:rsidRPr="009E58F7">
        <w:t>), vagy</w:t>
      </w:r>
      <w:r w:rsidRPr="009E58F7">
        <w:t xml:space="preserve"> javasol</w:t>
      </w:r>
      <w:r w:rsidR="00D7134E" w:rsidRPr="009E58F7">
        <w:t>t</w:t>
      </w:r>
      <w:r w:rsidRPr="009E58F7">
        <w:t xml:space="preserve"> az intravénás injekcióra </w:t>
      </w:r>
      <w:r w:rsidR="00EF01B4" w:rsidRPr="009E58F7">
        <w:t xml:space="preserve">történő </w:t>
      </w:r>
      <w:r w:rsidRPr="009E58F7">
        <w:t>átállás.</w:t>
      </w:r>
    </w:p>
    <w:p w14:paraId="539E0780" w14:textId="77777777" w:rsidR="004D6470" w:rsidRPr="009E58F7" w:rsidRDefault="004D6470">
      <w:pPr>
        <w:widowControl w:val="0"/>
        <w:autoSpaceDE w:val="0"/>
        <w:autoSpaceDN w:val="0"/>
        <w:adjustRightInd w:val="0"/>
        <w:spacing w:line="240" w:lineRule="auto"/>
      </w:pPr>
    </w:p>
    <w:p w14:paraId="70928FBD" w14:textId="391AE8E2" w:rsidR="004D6470" w:rsidRPr="009E58F7" w:rsidRDefault="00C5286C">
      <w:pPr>
        <w:pStyle w:val="Nincstrkz"/>
      </w:pPr>
      <w:r w:rsidRPr="009E58F7">
        <w:rPr>
          <w:rFonts w:eastAsia="Times New Roman"/>
        </w:rPr>
        <w:t>Amikor a</w:t>
      </w:r>
      <w:r w:rsidR="008C198F" w:rsidRPr="009E58F7">
        <w:t xml:space="preserve"> b</w:t>
      </w:r>
      <w:r w:rsidR="004D6470" w:rsidRPr="009E58F7">
        <w:t xml:space="preserve">ortezomib más gyógyszerekkel </w:t>
      </w:r>
      <w:r w:rsidRPr="009E58F7">
        <w:rPr>
          <w:rFonts w:eastAsia="Times New Roman"/>
        </w:rPr>
        <w:t>kombinációban kerül alkalmazásra</w:t>
      </w:r>
      <w:r w:rsidR="00D7134E" w:rsidRPr="009E58F7">
        <w:rPr>
          <w:rFonts w:eastAsia="Times New Roman"/>
        </w:rPr>
        <w:t>,</w:t>
      </w:r>
      <w:r w:rsidR="004D6470" w:rsidRPr="009E58F7">
        <w:t xml:space="preserve"> olvassa el </w:t>
      </w:r>
      <w:r w:rsidRPr="009E58F7">
        <w:rPr>
          <w:rFonts w:eastAsia="Times New Roman"/>
        </w:rPr>
        <w:t xml:space="preserve">ezeknek a készítményeknek az </w:t>
      </w:r>
      <w:r w:rsidR="00D7134E" w:rsidRPr="009E58F7">
        <w:rPr>
          <w:rFonts w:eastAsia="Times New Roman"/>
        </w:rPr>
        <w:t>a</w:t>
      </w:r>
      <w:r w:rsidRPr="009E58F7">
        <w:rPr>
          <w:rFonts w:eastAsia="Times New Roman"/>
        </w:rPr>
        <w:t>lkalmazási</w:t>
      </w:r>
      <w:r w:rsidR="004D6470" w:rsidRPr="009E58F7">
        <w:t xml:space="preserve"> előírásában az alkalmazásra vonatkozó utasításokat.</w:t>
      </w:r>
    </w:p>
    <w:p w14:paraId="41A1487C" w14:textId="77777777" w:rsidR="004D6470" w:rsidRPr="009E58F7" w:rsidRDefault="004D6470">
      <w:pPr>
        <w:widowControl w:val="0"/>
        <w:autoSpaceDE w:val="0"/>
        <w:autoSpaceDN w:val="0"/>
        <w:adjustRightInd w:val="0"/>
        <w:spacing w:line="240" w:lineRule="auto"/>
      </w:pPr>
    </w:p>
    <w:p w14:paraId="63669C94" w14:textId="340EE97B" w:rsidR="004D6470" w:rsidRPr="009E58F7" w:rsidRDefault="004D6470" w:rsidP="00602E58">
      <w:pPr>
        <w:keepNext/>
        <w:numPr>
          <w:ilvl w:val="0"/>
          <w:numId w:val="8"/>
        </w:numPr>
        <w:tabs>
          <w:tab w:val="clear" w:pos="720"/>
          <w:tab w:val="num" w:pos="564"/>
        </w:tabs>
        <w:overflowPunct w:val="0"/>
        <w:autoSpaceDE w:val="0"/>
        <w:autoSpaceDN w:val="0"/>
        <w:adjustRightInd w:val="0"/>
        <w:spacing w:line="240" w:lineRule="auto"/>
        <w:ind w:left="564" w:hanging="564"/>
        <w:rPr>
          <w:b/>
          <w:color w:val="000000"/>
        </w:rPr>
      </w:pPr>
      <w:r w:rsidRPr="009E58F7">
        <w:rPr>
          <w:b/>
          <w:color w:val="000000"/>
        </w:rPr>
        <w:t>Ellenjavallatok</w:t>
      </w:r>
    </w:p>
    <w:p w14:paraId="7291CA4E" w14:textId="77777777" w:rsidR="004D6470" w:rsidRPr="009E58F7" w:rsidRDefault="004D6470" w:rsidP="00D7256D">
      <w:pPr>
        <w:pStyle w:val="Nincstrkz"/>
        <w:keepNext/>
      </w:pPr>
    </w:p>
    <w:p w14:paraId="62C9A381" w14:textId="3B1FEB33" w:rsidR="00DA113D" w:rsidRPr="009E58F7" w:rsidRDefault="004D6470" w:rsidP="00D7256D">
      <w:pPr>
        <w:pStyle w:val="Nincstrkz"/>
        <w:keepNext/>
        <w:rPr>
          <w:color w:val="000000"/>
        </w:rPr>
      </w:pPr>
      <w:r w:rsidRPr="009E58F7">
        <w:rPr>
          <w:color w:val="000000"/>
        </w:rPr>
        <w:t xml:space="preserve">A készítmény hatóanyagával, </w:t>
      </w:r>
      <w:r w:rsidR="00C5286C" w:rsidRPr="009E58F7">
        <w:rPr>
          <w:rFonts w:eastAsia="Times New Roman"/>
        </w:rPr>
        <w:t xml:space="preserve">a </w:t>
      </w:r>
      <w:r w:rsidRPr="009E58F7">
        <w:rPr>
          <w:color w:val="000000"/>
        </w:rPr>
        <w:t>bórral vagy a 6.1 pontban felsorolt bármely segédanyagával szembeni túlérzékenység.</w:t>
      </w:r>
    </w:p>
    <w:p w14:paraId="68D05584" w14:textId="45DF4D52" w:rsidR="004D6470" w:rsidRPr="009E58F7" w:rsidRDefault="004D6470" w:rsidP="007070F2">
      <w:pPr>
        <w:pStyle w:val="Nincstrkz"/>
      </w:pPr>
      <w:r w:rsidRPr="009E58F7">
        <w:rPr>
          <w:color w:val="000000"/>
        </w:rPr>
        <w:t>A tüdő akut, diffúz, infiltratív betegsége, illetve pericardium</w:t>
      </w:r>
      <w:r w:rsidR="003F0F42">
        <w:rPr>
          <w:color w:val="000000"/>
        </w:rPr>
        <w:t>-</w:t>
      </w:r>
      <w:r w:rsidRPr="009E58F7">
        <w:rPr>
          <w:color w:val="000000"/>
        </w:rPr>
        <w:t>betegség.</w:t>
      </w:r>
    </w:p>
    <w:p w14:paraId="489C2D52" w14:textId="77777777" w:rsidR="00DA113D" w:rsidRPr="009E58F7" w:rsidRDefault="00DA113D" w:rsidP="00602E58">
      <w:pPr>
        <w:spacing w:line="240" w:lineRule="auto"/>
        <w:contextualSpacing/>
      </w:pPr>
    </w:p>
    <w:p w14:paraId="1B6DA2F0" w14:textId="1691D8EF" w:rsidR="004D6470" w:rsidRPr="009E58F7" w:rsidRDefault="00C5286C" w:rsidP="00D7256D">
      <w:pPr>
        <w:pStyle w:val="Nincstrkz"/>
      </w:pPr>
      <w:r w:rsidRPr="009E58F7">
        <w:rPr>
          <w:rFonts w:eastAsia="Times New Roman"/>
        </w:rPr>
        <w:t xml:space="preserve">Amikor a </w:t>
      </w:r>
      <w:r w:rsidR="008B6253" w:rsidRPr="009E58F7">
        <w:rPr>
          <w:rFonts w:eastAsia="Times New Roman"/>
        </w:rPr>
        <w:t>bortezomib</w:t>
      </w:r>
      <w:r w:rsidR="001A4872" w:rsidRPr="009E58F7">
        <w:rPr>
          <w:rFonts w:eastAsia="Times New Roman"/>
        </w:rPr>
        <w:t>o</w:t>
      </w:r>
      <w:r w:rsidRPr="009E58F7">
        <w:rPr>
          <w:rFonts w:eastAsia="Times New Roman"/>
        </w:rPr>
        <w:t xml:space="preserve">t más gyógyszerekkel kombináltan adják, </w:t>
      </w:r>
      <w:r w:rsidR="004D6470" w:rsidRPr="009E58F7">
        <w:rPr>
          <w:color w:val="000000"/>
        </w:rPr>
        <w:t xml:space="preserve">a további ellenjavallatokat </w:t>
      </w:r>
      <w:r w:rsidRPr="009E58F7">
        <w:rPr>
          <w:rFonts w:eastAsia="Times New Roman"/>
        </w:rPr>
        <w:t xml:space="preserve">lásd </w:t>
      </w:r>
      <w:r w:rsidR="004D6470" w:rsidRPr="009E58F7">
        <w:rPr>
          <w:color w:val="000000"/>
        </w:rPr>
        <w:t>az adott gyógyszerek alkalmazási előírásában.</w:t>
      </w:r>
    </w:p>
    <w:p w14:paraId="58109FF0" w14:textId="77777777" w:rsidR="004D6470" w:rsidRPr="009E58F7" w:rsidRDefault="004D6470" w:rsidP="00D7256D">
      <w:pPr>
        <w:widowControl w:val="0"/>
        <w:autoSpaceDE w:val="0"/>
        <w:autoSpaceDN w:val="0"/>
        <w:adjustRightInd w:val="0"/>
        <w:spacing w:line="240" w:lineRule="auto"/>
      </w:pPr>
    </w:p>
    <w:p w14:paraId="10D4905C" w14:textId="3F0B27F6" w:rsidR="004D6470" w:rsidRPr="009E58F7" w:rsidRDefault="004D6470" w:rsidP="00602E58">
      <w:pPr>
        <w:keepNext/>
        <w:numPr>
          <w:ilvl w:val="0"/>
          <w:numId w:val="9"/>
        </w:numPr>
        <w:tabs>
          <w:tab w:val="clear" w:pos="720"/>
          <w:tab w:val="num" w:pos="564"/>
        </w:tabs>
        <w:overflowPunct w:val="0"/>
        <w:autoSpaceDE w:val="0"/>
        <w:autoSpaceDN w:val="0"/>
        <w:adjustRightInd w:val="0"/>
        <w:spacing w:line="240" w:lineRule="auto"/>
        <w:ind w:left="564" w:hanging="564"/>
        <w:rPr>
          <w:b/>
          <w:color w:val="000000"/>
        </w:rPr>
      </w:pPr>
      <w:r w:rsidRPr="009E58F7">
        <w:rPr>
          <w:b/>
          <w:color w:val="000000"/>
        </w:rPr>
        <w:t>Különleges figyelmeztetések és az alkalmazással kapcsolatos óvintézkedések</w:t>
      </w:r>
    </w:p>
    <w:p w14:paraId="45B2C88D" w14:textId="77777777" w:rsidR="004D6470" w:rsidRPr="009E58F7" w:rsidRDefault="004D6470" w:rsidP="00D7256D">
      <w:pPr>
        <w:pStyle w:val="Nincstrkz"/>
        <w:keepNext/>
      </w:pPr>
    </w:p>
    <w:p w14:paraId="76C4ACB9" w14:textId="00F52109" w:rsidR="004D6470" w:rsidRPr="009E58F7" w:rsidRDefault="004D6470" w:rsidP="00D7256D">
      <w:pPr>
        <w:spacing w:line="240" w:lineRule="auto"/>
        <w:contextualSpacing/>
      </w:pPr>
      <w:r w:rsidRPr="009E58F7">
        <w:rPr>
          <w:rFonts w:eastAsiaTheme="minorHAnsi"/>
          <w:color w:val="000000"/>
        </w:rPr>
        <w:t>A</w:t>
      </w:r>
      <w:r w:rsidR="008C198F" w:rsidRPr="009E58F7">
        <w:rPr>
          <w:rFonts w:eastAsiaTheme="minorHAnsi"/>
          <w:color w:val="000000"/>
        </w:rPr>
        <w:t>mikor a</w:t>
      </w:r>
      <w:r w:rsidRPr="009E58F7">
        <w:rPr>
          <w:rFonts w:eastAsiaTheme="minorHAnsi"/>
          <w:color w:val="000000"/>
        </w:rPr>
        <w:t xml:space="preserve"> </w:t>
      </w:r>
      <w:r w:rsidR="008B6253" w:rsidRPr="009E58F7">
        <w:t>bortezomib</w:t>
      </w:r>
      <w:r w:rsidR="001A4872" w:rsidRPr="009E58F7">
        <w:t>o</w:t>
      </w:r>
      <w:r w:rsidR="00C5286C" w:rsidRPr="009E58F7">
        <w:t>t</w:t>
      </w:r>
      <w:r w:rsidRPr="009E58F7">
        <w:rPr>
          <w:rFonts w:eastAsiaTheme="minorHAnsi"/>
          <w:color w:val="000000"/>
        </w:rPr>
        <w:t xml:space="preserve"> más gyógyszerek</w:t>
      </w:r>
      <w:r w:rsidR="008C198F" w:rsidRPr="009E58F7">
        <w:rPr>
          <w:rFonts w:eastAsiaTheme="minorHAnsi"/>
          <w:color w:val="000000"/>
        </w:rPr>
        <w:t xml:space="preserve">kel </w:t>
      </w:r>
      <w:r w:rsidR="00C5286C" w:rsidRPr="009E58F7">
        <w:t>kombináltan adják,</w:t>
      </w:r>
      <w:r w:rsidRPr="009E58F7">
        <w:rPr>
          <w:rFonts w:eastAsiaTheme="minorHAnsi"/>
          <w:color w:val="000000"/>
        </w:rPr>
        <w:t xml:space="preserve"> </w:t>
      </w:r>
      <w:r w:rsidR="008C198F" w:rsidRPr="009E58F7">
        <w:rPr>
          <w:rFonts w:eastAsiaTheme="minorHAnsi"/>
          <w:color w:val="000000"/>
        </w:rPr>
        <w:t>bortezomib</w:t>
      </w:r>
      <w:r w:rsidR="00FE5B85">
        <w:rPr>
          <w:color w:val="000000"/>
        </w:rPr>
        <w:t>-</w:t>
      </w:r>
      <w:r w:rsidRPr="009E58F7">
        <w:rPr>
          <w:rFonts w:eastAsiaTheme="minorHAnsi"/>
          <w:color w:val="000000"/>
        </w:rPr>
        <w:t xml:space="preserve">kezelés elindítása előtt </w:t>
      </w:r>
      <w:r w:rsidR="00C5286C" w:rsidRPr="009E58F7">
        <w:t>el kell olvasni</w:t>
      </w:r>
      <w:r w:rsidRPr="009E58F7">
        <w:t xml:space="preserve"> eze</w:t>
      </w:r>
      <w:r w:rsidR="0012276D" w:rsidRPr="009E58F7">
        <w:t>k</w:t>
      </w:r>
      <w:r w:rsidRPr="009E58F7">
        <w:t>n</w:t>
      </w:r>
      <w:r w:rsidR="0012276D" w:rsidRPr="009E58F7">
        <w:t>ek a</w:t>
      </w:r>
      <w:r w:rsidRPr="009E58F7">
        <w:t xml:space="preserve"> </w:t>
      </w:r>
      <w:r w:rsidR="00C5286C" w:rsidRPr="009E58F7">
        <w:t>gyógyszereknek</w:t>
      </w:r>
      <w:r w:rsidRPr="009E58F7">
        <w:t xml:space="preserve"> </w:t>
      </w:r>
      <w:r w:rsidR="0012276D" w:rsidRPr="009E58F7">
        <w:t xml:space="preserve">az </w:t>
      </w:r>
      <w:r w:rsidRPr="009E58F7">
        <w:rPr>
          <w:rFonts w:eastAsiaTheme="minorHAnsi"/>
          <w:color w:val="000000"/>
        </w:rPr>
        <w:t xml:space="preserve">alkalmazási előírását. </w:t>
      </w:r>
      <w:r w:rsidR="001A4872" w:rsidRPr="009E58F7">
        <w:rPr>
          <w:color w:val="000000"/>
        </w:rPr>
        <w:t>Talidomid</w:t>
      </w:r>
      <w:r w:rsidRPr="009E58F7">
        <w:rPr>
          <w:rFonts w:eastAsiaTheme="minorHAnsi"/>
          <w:color w:val="000000"/>
        </w:rPr>
        <w:t xml:space="preserve"> alkalmazása</w:t>
      </w:r>
      <w:r w:rsidR="001A4872" w:rsidRPr="009E58F7">
        <w:rPr>
          <w:rFonts w:eastAsiaTheme="minorHAnsi"/>
          <w:color w:val="000000"/>
        </w:rPr>
        <w:t>kor</w:t>
      </w:r>
      <w:r w:rsidRPr="009E58F7">
        <w:rPr>
          <w:rFonts w:eastAsiaTheme="minorHAnsi"/>
          <w:color w:val="000000"/>
        </w:rPr>
        <w:t xml:space="preserve"> különös figyelmet kell fordítani a terhességi </w:t>
      </w:r>
      <w:r w:rsidR="00C5286C" w:rsidRPr="009E58F7">
        <w:t>tesztre és</w:t>
      </w:r>
      <w:r w:rsidRPr="009E58F7">
        <w:rPr>
          <w:rFonts w:eastAsiaTheme="minorHAnsi"/>
          <w:color w:val="000000"/>
        </w:rPr>
        <w:t xml:space="preserve"> fogamzásgátlási intézkedések</w:t>
      </w:r>
      <w:r w:rsidR="001A4872" w:rsidRPr="009E58F7">
        <w:rPr>
          <w:rFonts w:eastAsiaTheme="minorHAnsi"/>
          <w:color w:val="000000"/>
        </w:rPr>
        <w:t>re vonatkozó követelményekre</w:t>
      </w:r>
      <w:r w:rsidRPr="009E58F7">
        <w:rPr>
          <w:rFonts w:eastAsiaTheme="minorHAnsi"/>
          <w:color w:val="000000"/>
        </w:rPr>
        <w:t xml:space="preserve"> (lásd 4.6</w:t>
      </w:r>
      <w:r w:rsidRPr="009E58F7">
        <w:rPr>
          <w:color w:val="000000"/>
        </w:rPr>
        <w:t> </w:t>
      </w:r>
      <w:r w:rsidRPr="009E58F7">
        <w:rPr>
          <w:rFonts w:eastAsiaTheme="minorHAnsi"/>
          <w:color w:val="000000"/>
        </w:rPr>
        <w:t>pont).</w:t>
      </w:r>
    </w:p>
    <w:p w14:paraId="72233DCC" w14:textId="77777777" w:rsidR="004D6470" w:rsidRPr="009E58F7" w:rsidRDefault="004D6470" w:rsidP="007070F2">
      <w:pPr>
        <w:pStyle w:val="Nincstrkz"/>
      </w:pPr>
    </w:p>
    <w:p w14:paraId="4D06C068" w14:textId="77777777" w:rsidR="004D6470" w:rsidRPr="009E58F7" w:rsidRDefault="004D6470" w:rsidP="003D25C3">
      <w:pPr>
        <w:pStyle w:val="Nincstrkz"/>
        <w:keepNext/>
        <w:rPr>
          <w:u w:val="single"/>
        </w:rPr>
      </w:pPr>
      <w:r w:rsidRPr="009E58F7">
        <w:rPr>
          <w:color w:val="000000"/>
          <w:u w:val="single"/>
        </w:rPr>
        <w:t>Intrathecalis alkalmazás</w:t>
      </w:r>
    </w:p>
    <w:p w14:paraId="17103505" w14:textId="6EF6D1AA" w:rsidR="004D6470" w:rsidRPr="009E58F7" w:rsidRDefault="004D6470">
      <w:pPr>
        <w:spacing w:line="240" w:lineRule="auto"/>
        <w:contextualSpacing/>
      </w:pPr>
      <w:r w:rsidRPr="009E58F7">
        <w:t xml:space="preserve">A bortezomib véletlen intrathecalis alkalmazása </w:t>
      </w:r>
      <w:r w:rsidR="00C5286C" w:rsidRPr="009E58F7">
        <w:t>halálos kimenetelű eseteket eredményezett.</w:t>
      </w:r>
      <w:r w:rsidRPr="009E58F7">
        <w:t xml:space="preserve"> A bortezomib </w:t>
      </w:r>
      <w:r w:rsidR="00C5286C" w:rsidRPr="009E58F7">
        <w:t>3,5</w:t>
      </w:r>
      <w:r w:rsidR="001A4872" w:rsidRPr="009E58F7">
        <w:t> </w:t>
      </w:r>
      <w:r w:rsidR="00C5286C" w:rsidRPr="009E58F7">
        <w:t>mg por oldatos injekcióhoz</w:t>
      </w:r>
      <w:r w:rsidRPr="009E58F7">
        <w:t xml:space="preserve"> intravénásan</w:t>
      </w:r>
      <w:r w:rsidR="005418E0" w:rsidRPr="009E58F7">
        <w:t xml:space="preserve"> vagy subcutan alkalmazható. </w:t>
      </w:r>
      <w:r w:rsidR="00C5286C" w:rsidRPr="009E58F7">
        <w:t xml:space="preserve">A </w:t>
      </w:r>
      <w:r w:rsidR="008B6253" w:rsidRPr="009E58F7">
        <w:t>bortezomib</w:t>
      </w:r>
      <w:r w:rsidR="001A4872" w:rsidRPr="009E58F7">
        <w:t>o</w:t>
      </w:r>
      <w:r w:rsidR="00C5286C" w:rsidRPr="009E58F7">
        <w:t>t tilos</w:t>
      </w:r>
      <w:r w:rsidRPr="009E58F7">
        <w:t xml:space="preserve"> intrathecalisan </w:t>
      </w:r>
      <w:r w:rsidR="00C5286C" w:rsidRPr="009E58F7">
        <w:t>adni</w:t>
      </w:r>
      <w:r w:rsidRPr="009E58F7">
        <w:t>.</w:t>
      </w:r>
    </w:p>
    <w:p w14:paraId="63CEAF1F" w14:textId="77777777" w:rsidR="004D6470" w:rsidRPr="009E58F7" w:rsidRDefault="004D6470">
      <w:pPr>
        <w:pStyle w:val="Nincstrkz"/>
      </w:pPr>
    </w:p>
    <w:p w14:paraId="0B211BD8" w14:textId="77777777" w:rsidR="004D6470" w:rsidRPr="009E58F7" w:rsidRDefault="004D6470">
      <w:pPr>
        <w:pStyle w:val="Nincstrkz"/>
        <w:keepNext/>
        <w:rPr>
          <w:u w:val="single"/>
        </w:rPr>
      </w:pPr>
      <w:r w:rsidRPr="009E58F7">
        <w:rPr>
          <w:color w:val="000000"/>
          <w:u w:val="single"/>
        </w:rPr>
        <w:t>Gastrointestinalis toxicitás</w:t>
      </w:r>
    </w:p>
    <w:p w14:paraId="1035F04F" w14:textId="570108B2" w:rsidR="004D6470" w:rsidRPr="009E58F7" w:rsidRDefault="004D6470">
      <w:pPr>
        <w:spacing w:line="240" w:lineRule="auto"/>
        <w:contextualSpacing/>
      </w:pPr>
      <w:r w:rsidRPr="009E58F7">
        <w:rPr>
          <w:rFonts w:eastAsiaTheme="minorHAnsi"/>
          <w:color w:val="000000"/>
        </w:rPr>
        <w:t xml:space="preserve">A gastrointestinalis toxicitás, beleértve a hányingert, </w:t>
      </w:r>
      <w:r w:rsidR="002908EE" w:rsidRPr="009E58F7">
        <w:rPr>
          <w:color w:val="000000"/>
        </w:rPr>
        <w:t xml:space="preserve">a </w:t>
      </w:r>
      <w:r w:rsidRPr="009E58F7">
        <w:rPr>
          <w:rFonts w:eastAsiaTheme="minorHAnsi"/>
          <w:color w:val="000000"/>
        </w:rPr>
        <w:t xml:space="preserve">hasmenést, </w:t>
      </w:r>
      <w:r w:rsidR="002908EE" w:rsidRPr="009E58F7">
        <w:rPr>
          <w:color w:val="000000"/>
        </w:rPr>
        <w:t xml:space="preserve">a </w:t>
      </w:r>
      <w:r w:rsidRPr="009E58F7">
        <w:rPr>
          <w:rFonts w:eastAsiaTheme="minorHAnsi"/>
          <w:color w:val="000000"/>
        </w:rPr>
        <w:t xml:space="preserve">hányást és </w:t>
      </w:r>
      <w:r w:rsidR="002908EE" w:rsidRPr="009E58F7">
        <w:rPr>
          <w:color w:val="000000"/>
        </w:rPr>
        <w:t xml:space="preserve">a </w:t>
      </w:r>
      <w:r w:rsidRPr="009E58F7">
        <w:rPr>
          <w:rFonts w:eastAsiaTheme="minorHAnsi"/>
          <w:color w:val="000000"/>
        </w:rPr>
        <w:t>székrekedést</w:t>
      </w:r>
      <w:r w:rsidR="001A4872" w:rsidRPr="009E58F7">
        <w:rPr>
          <w:color w:val="000000"/>
        </w:rPr>
        <w:t xml:space="preserve"> is</w:t>
      </w:r>
      <w:r w:rsidRPr="009E58F7">
        <w:rPr>
          <w:rFonts w:eastAsiaTheme="minorHAnsi"/>
          <w:color w:val="000000"/>
        </w:rPr>
        <w:t>, nagyon gyakori a bortezomib</w:t>
      </w:r>
      <w:r w:rsidR="00FE5B85">
        <w:rPr>
          <w:color w:val="000000"/>
        </w:rPr>
        <w:t>-</w:t>
      </w:r>
      <w:r w:rsidRPr="009E58F7">
        <w:rPr>
          <w:rFonts w:eastAsiaTheme="minorHAnsi"/>
          <w:color w:val="000000"/>
        </w:rPr>
        <w:t xml:space="preserve">kezelés során. </w:t>
      </w:r>
      <w:r w:rsidR="00C5286C" w:rsidRPr="009E58F7">
        <w:t>Ileusos esetek</w:t>
      </w:r>
      <w:r w:rsidR="001A4872" w:rsidRPr="009E58F7">
        <w:t>ről</w:t>
      </w:r>
      <w:r w:rsidRPr="009E58F7">
        <w:rPr>
          <w:rFonts w:eastAsiaTheme="minorHAnsi"/>
          <w:color w:val="000000"/>
        </w:rPr>
        <w:t xml:space="preserve"> nem gyakran </w:t>
      </w:r>
      <w:r w:rsidRPr="009E58F7">
        <w:rPr>
          <w:color w:val="000000"/>
        </w:rPr>
        <w:t>számoltak be</w:t>
      </w:r>
      <w:r w:rsidRPr="009E58F7">
        <w:rPr>
          <w:rFonts w:eastAsiaTheme="minorHAnsi"/>
          <w:color w:val="000000"/>
        </w:rPr>
        <w:t xml:space="preserve"> (lásd 4.8</w:t>
      </w:r>
      <w:r w:rsidRPr="009E58F7">
        <w:rPr>
          <w:color w:val="000000"/>
        </w:rPr>
        <w:t> </w:t>
      </w:r>
      <w:r w:rsidRPr="009E58F7">
        <w:rPr>
          <w:rFonts w:eastAsiaTheme="minorHAnsi"/>
          <w:color w:val="000000"/>
        </w:rPr>
        <w:t xml:space="preserve">pont). </w:t>
      </w:r>
      <w:r w:rsidR="001A4872" w:rsidRPr="009E58F7">
        <w:rPr>
          <w:color w:val="000000"/>
        </w:rPr>
        <w:t>Következésképp, a</w:t>
      </w:r>
      <w:r w:rsidRPr="009E58F7">
        <w:rPr>
          <w:rFonts w:eastAsiaTheme="minorHAnsi"/>
          <w:color w:val="000000"/>
        </w:rPr>
        <w:t xml:space="preserve">zokat a betegeket, akiknek székrekedésük van, </w:t>
      </w:r>
      <w:r w:rsidR="00C5286C" w:rsidRPr="009E58F7">
        <w:t>fokozott megfigyelés</w:t>
      </w:r>
      <w:r w:rsidRPr="009E58F7">
        <w:t xml:space="preserve"> alatt kell tartani.</w:t>
      </w:r>
    </w:p>
    <w:p w14:paraId="0050BB14" w14:textId="77777777" w:rsidR="004D6470" w:rsidRPr="009E58F7" w:rsidRDefault="004D6470">
      <w:pPr>
        <w:pStyle w:val="Nincstrkz"/>
      </w:pPr>
    </w:p>
    <w:p w14:paraId="3425A078" w14:textId="77777777" w:rsidR="004D6470" w:rsidRPr="009E58F7" w:rsidRDefault="004D6470">
      <w:pPr>
        <w:pStyle w:val="Nincstrkz"/>
        <w:keepNext/>
        <w:rPr>
          <w:u w:val="single"/>
        </w:rPr>
      </w:pPr>
      <w:r w:rsidRPr="009E58F7">
        <w:rPr>
          <w:color w:val="000000"/>
          <w:u w:val="single"/>
        </w:rPr>
        <w:t>Hematológiai toxicitás</w:t>
      </w:r>
    </w:p>
    <w:p w14:paraId="0950F15A" w14:textId="5C821D2E" w:rsidR="00E6351F" w:rsidRPr="009E58F7" w:rsidRDefault="004D6470">
      <w:pPr>
        <w:pStyle w:val="Nincstrkz"/>
        <w:rPr>
          <w:color w:val="000000"/>
        </w:rPr>
      </w:pPr>
      <w:r w:rsidRPr="009E58F7">
        <w:rPr>
          <w:color w:val="000000"/>
        </w:rPr>
        <w:t>A bortezomib</w:t>
      </w:r>
      <w:r w:rsidR="00FE5B85">
        <w:rPr>
          <w:color w:val="000000"/>
        </w:rPr>
        <w:t>-</w:t>
      </w:r>
      <w:r w:rsidRPr="009E58F7">
        <w:rPr>
          <w:color w:val="000000"/>
        </w:rPr>
        <w:t xml:space="preserve">kezelés igen gyakran jár hematológiai toxicitással (thrombocytopenia, neutropenia és anaemia). A </w:t>
      </w:r>
      <w:r w:rsidR="008B6253" w:rsidRPr="009E58F7">
        <w:t>bortezomib</w:t>
      </w:r>
      <w:r w:rsidR="001A4872" w:rsidRPr="009E58F7">
        <w:t>bal</w:t>
      </w:r>
      <w:r w:rsidRPr="009E58F7">
        <w:rPr>
          <w:color w:val="000000"/>
        </w:rPr>
        <w:t xml:space="preserve"> kezelt, relapszusban lévő</w:t>
      </w:r>
      <w:r w:rsidR="00FF6CAC" w:rsidRPr="009E58F7">
        <w:rPr>
          <w:color w:val="000000"/>
        </w:rPr>
        <w:t>,</w:t>
      </w:r>
      <w:r w:rsidRPr="009E58F7">
        <w:rPr>
          <w:color w:val="000000"/>
        </w:rPr>
        <w:t xml:space="preserve"> myeloma multiplexes betegekkel és a rituximabbal, ciklofoszfamiddal, doxorubicinnel </w:t>
      </w:r>
      <w:r w:rsidR="00C5286C" w:rsidRPr="009E58F7">
        <w:t>és</w:t>
      </w:r>
      <w:r w:rsidRPr="009E58F7">
        <w:rPr>
          <w:color w:val="000000"/>
        </w:rPr>
        <w:t xml:space="preserve"> prednizonnal kombinációban bortezomib</w:t>
      </w:r>
      <w:r w:rsidR="001A4872" w:rsidRPr="009E58F7">
        <w:rPr>
          <w:color w:val="000000"/>
        </w:rPr>
        <w:t>bal</w:t>
      </w:r>
      <w:r w:rsidRPr="009E58F7">
        <w:rPr>
          <w:color w:val="000000"/>
        </w:rPr>
        <w:t xml:space="preserve"> (B</w:t>
      </w:r>
      <w:r w:rsidR="001A4872" w:rsidRPr="009E58F7">
        <w:rPr>
          <w:color w:val="000000"/>
        </w:rPr>
        <w:t>z</w:t>
      </w:r>
      <w:r w:rsidRPr="009E58F7">
        <w:rPr>
          <w:color w:val="000000"/>
        </w:rPr>
        <w:t>R</w:t>
      </w:r>
      <w:r w:rsidR="003F0F42">
        <w:rPr>
          <w:color w:val="000000"/>
        </w:rPr>
        <w:t>-</w:t>
      </w:r>
      <w:r w:rsidRPr="009E58F7">
        <w:rPr>
          <w:color w:val="000000"/>
        </w:rPr>
        <w:t xml:space="preserve">CAP) </w:t>
      </w:r>
      <w:r w:rsidR="00C5286C" w:rsidRPr="009E58F7">
        <w:t>kezelt</w:t>
      </w:r>
      <w:r w:rsidRPr="009E58F7">
        <w:rPr>
          <w:color w:val="000000"/>
        </w:rPr>
        <w:t>, korábban nem kezelt</w:t>
      </w:r>
      <w:r w:rsidR="001A4872" w:rsidRPr="009E58F7">
        <w:rPr>
          <w:color w:val="000000"/>
        </w:rPr>
        <w:t>,</w:t>
      </w:r>
      <w:r w:rsidRPr="009E58F7">
        <w:rPr>
          <w:color w:val="000000"/>
        </w:rPr>
        <w:t xml:space="preserve"> köpenysejtes lymphomában szenvedő betegekkel végzett vizsgálatokban az egyik leggyakoribb hematológiai toxicitás az átmeneti thrombocytopenia volt. A thrombocytaszám minden egyes bortezomib</w:t>
      </w:r>
      <w:r w:rsidR="00FF6CAC" w:rsidRPr="009E58F7">
        <w:rPr>
          <w:color w:val="000000"/>
        </w:rPr>
        <w:t xml:space="preserve"> </w:t>
      </w:r>
      <w:r w:rsidRPr="009E58F7">
        <w:rPr>
          <w:color w:val="000000"/>
        </w:rPr>
        <w:t>kezelési ciklus 11.</w:t>
      </w:r>
      <w:r w:rsidR="0082311C">
        <w:rPr>
          <w:color w:val="000000"/>
        </w:rPr>
        <w:t> </w:t>
      </w:r>
      <w:r w:rsidRPr="009E58F7">
        <w:rPr>
          <w:color w:val="000000"/>
        </w:rPr>
        <w:t>napján volt a legalacsonyabb, és a következő ciklusra jellemzően visszatért a kiindulási szintre. Nem volt jele kumula</w:t>
      </w:r>
      <w:r w:rsidR="002908EE" w:rsidRPr="009E58F7">
        <w:rPr>
          <w:color w:val="000000"/>
        </w:rPr>
        <w:t>tív thrombocytopeniának. A mért</w:t>
      </w:r>
      <w:r w:rsidRPr="009E58F7">
        <w:rPr>
          <w:color w:val="000000"/>
        </w:rPr>
        <w:t xml:space="preserve"> átlagos legalacsonyabb thrombocytaszám körülbelül a kiindulási érték 40%</w:t>
      </w:r>
      <w:r w:rsidR="00621E19">
        <w:rPr>
          <w:color w:val="000000"/>
        </w:rPr>
        <w:t>-</w:t>
      </w:r>
      <w:r w:rsidRPr="009E58F7">
        <w:rPr>
          <w:color w:val="000000"/>
        </w:rPr>
        <w:t>a volt a monoterápiával végzett myeloma multiplex vizsgálatokban, és 50% a köpenysejtes lymphoma vizsgálatban. Előrehaladott myelomában szenvedő betegeknél a thrombocytopenia súlyossága összefüggésben állt a kezelés előtti thrombocytaszámmal: a kezelés előtti</w:t>
      </w:r>
      <w:r w:rsidR="00E6351F" w:rsidRPr="009E58F7">
        <w:rPr>
          <w:color w:val="000000"/>
        </w:rPr>
        <w:t> </w:t>
      </w:r>
      <w:r w:rsidRPr="009E58F7">
        <w:rPr>
          <w:color w:val="000000"/>
        </w:rPr>
        <w:t>&lt;</w:t>
      </w:r>
      <w:r w:rsidR="00E6351F" w:rsidRPr="009E58F7">
        <w:t> </w:t>
      </w:r>
      <w:r w:rsidRPr="009E58F7">
        <w:rPr>
          <w:color w:val="000000"/>
        </w:rPr>
        <w:t>75 000/</w:t>
      </w:r>
      <w:r w:rsidR="002908EE" w:rsidRPr="009E58F7">
        <w:rPr>
          <w:color w:val="000000"/>
        </w:rPr>
        <w:t>mikroliter</w:t>
      </w:r>
      <w:r w:rsidRPr="009E58F7">
        <w:rPr>
          <w:color w:val="000000"/>
        </w:rPr>
        <w:t xml:space="preserve"> thrombocytaszám esetén </w:t>
      </w:r>
      <w:r w:rsidR="00FF6CAC" w:rsidRPr="009E58F7">
        <w:rPr>
          <w:color w:val="000000"/>
        </w:rPr>
        <w:t xml:space="preserve">a </w:t>
      </w:r>
      <w:r w:rsidRPr="009E58F7">
        <w:rPr>
          <w:color w:val="000000"/>
        </w:rPr>
        <w:t>21 beteg 90%</w:t>
      </w:r>
      <w:r w:rsidR="00621E19">
        <w:rPr>
          <w:color w:val="000000"/>
        </w:rPr>
        <w:t>-</w:t>
      </w:r>
      <w:r w:rsidRPr="009E58F7">
        <w:rPr>
          <w:color w:val="000000"/>
        </w:rPr>
        <w:t>ánál a vizsgálat során</w:t>
      </w:r>
      <w:r w:rsidR="00E6351F" w:rsidRPr="009E58F7">
        <w:rPr>
          <w:color w:val="000000"/>
        </w:rPr>
        <w:t> </w:t>
      </w:r>
      <w:r w:rsidRPr="009E58F7">
        <w:rPr>
          <w:color w:val="000000"/>
        </w:rPr>
        <w:t>≤</w:t>
      </w:r>
      <w:r w:rsidR="00E6351F" w:rsidRPr="009E58F7">
        <w:t> </w:t>
      </w:r>
      <w:r w:rsidRPr="009E58F7">
        <w:rPr>
          <w:color w:val="000000"/>
        </w:rPr>
        <w:t>25 000/</w:t>
      </w:r>
      <w:r w:rsidR="002908EE" w:rsidRPr="009E58F7">
        <w:rPr>
          <w:color w:val="000000"/>
        </w:rPr>
        <w:t>mikroliter</w:t>
      </w:r>
      <w:r w:rsidRPr="009E58F7">
        <w:rPr>
          <w:color w:val="000000"/>
        </w:rPr>
        <w:t xml:space="preserve"> thrombocytaszámot mértek, beleértve a betegek 14%</w:t>
      </w:r>
      <w:r w:rsidR="00621E19">
        <w:rPr>
          <w:color w:val="000000"/>
        </w:rPr>
        <w:t>-</w:t>
      </w:r>
      <w:r w:rsidRPr="009E58F7">
        <w:rPr>
          <w:color w:val="000000"/>
        </w:rPr>
        <w:t>át, amikor a thrombocytaszám</w:t>
      </w:r>
      <w:r w:rsidR="00E6351F" w:rsidRPr="009E58F7">
        <w:rPr>
          <w:color w:val="000000"/>
        </w:rPr>
        <w:t> </w:t>
      </w:r>
      <w:bookmarkStart w:id="13" w:name="page91"/>
      <w:bookmarkEnd w:id="13"/>
      <w:r w:rsidRPr="009E58F7">
        <w:rPr>
          <w:color w:val="000000"/>
        </w:rPr>
        <w:t>&lt;</w:t>
      </w:r>
      <w:r w:rsidR="00E6351F" w:rsidRPr="009E58F7">
        <w:t> </w:t>
      </w:r>
      <w:r w:rsidRPr="009E58F7">
        <w:rPr>
          <w:color w:val="000000"/>
        </w:rPr>
        <w:t>10 000/</w:t>
      </w:r>
      <w:r w:rsidR="002908EE" w:rsidRPr="009E58F7">
        <w:rPr>
          <w:color w:val="000000"/>
        </w:rPr>
        <w:t>mikroliter</w:t>
      </w:r>
      <w:r w:rsidRPr="009E58F7">
        <w:rPr>
          <w:color w:val="000000"/>
        </w:rPr>
        <w:t xml:space="preserve"> volt. Ezzel ellentétben, amikor a kezelés előtti thrombocytaszám</w:t>
      </w:r>
      <w:r w:rsidR="00E6351F" w:rsidRPr="009E58F7">
        <w:rPr>
          <w:color w:val="000000"/>
        </w:rPr>
        <w:t> </w:t>
      </w:r>
      <w:r w:rsidRPr="009E58F7">
        <w:rPr>
          <w:color w:val="000000"/>
        </w:rPr>
        <w:t>&gt;</w:t>
      </w:r>
      <w:r w:rsidR="00E6351F" w:rsidRPr="009E58F7">
        <w:t> </w:t>
      </w:r>
      <w:r w:rsidRPr="009E58F7">
        <w:rPr>
          <w:color w:val="000000"/>
        </w:rPr>
        <w:t>75 000/</w:t>
      </w:r>
      <w:r w:rsidR="002908EE" w:rsidRPr="009E58F7">
        <w:rPr>
          <w:color w:val="000000"/>
        </w:rPr>
        <w:t>mikroliter</w:t>
      </w:r>
      <w:r w:rsidRPr="009E58F7">
        <w:rPr>
          <w:color w:val="000000"/>
        </w:rPr>
        <w:t xml:space="preserve"> volt, a 309 beteg mindössze 14%</w:t>
      </w:r>
      <w:r w:rsidR="00621E19">
        <w:rPr>
          <w:color w:val="000000"/>
        </w:rPr>
        <w:t>-</w:t>
      </w:r>
      <w:r w:rsidRPr="009E58F7">
        <w:rPr>
          <w:color w:val="000000"/>
        </w:rPr>
        <w:t>ánál mértek</w:t>
      </w:r>
      <w:r w:rsidR="00E6351F" w:rsidRPr="009E58F7">
        <w:rPr>
          <w:color w:val="000000"/>
        </w:rPr>
        <w:t> </w:t>
      </w:r>
      <w:r w:rsidRPr="009E58F7">
        <w:rPr>
          <w:color w:val="000000"/>
        </w:rPr>
        <w:t>≤</w:t>
      </w:r>
      <w:r w:rsidR="00E6351F" w:rsidRPr="009E58F7">
        <w:t> </w:t>
      </w:r>
      <w:r w:rsidRPr="009E58F7">
        <w:rPr>
          <w:color w:val="000000"/>
        </w:rPr>
        <w:t>25 000/</w:t>
      </w:r>
      <w:r w:rsidR="002908EE" w:rsidRPr="009E58F7">
        <w:rPr>
          <w:color w:val="000000"/>
        </w:rPr>
        <w:t>mikroliter</w:t>
      </w:r>
      <w:r w:rsidRPr="009E58F7">
        <w:rPr>
          <w:color w:val="000000"/>
        </w:rPr>
        <w:t xml:space="preserve"> értéket a vizsgálat során.</w:t>
      </w:r>
    </w:p>
    <w:p w14:paraId="0147AC51" w14:textId="77777777" w:rsidR="00E6351F" w:rsidRPr="009E58F7" w:rsidRDefault="00E6351F">
      <w:pPr>
        <w:pStyle w:val="Nincstrkz"/>
        <w:keepNext/>
        <w:rPr>
          <w:color w:val="000000"/>
        </w:rPr>
      </w:pPr>
    </w:p>
    <w:p w14:paraId="52ED67C9" w14:textId="67A6858A" w:rsidR="00E6351F" w:rsidRPr="009E58F7" w:rsidRDefault="004D6470">
      <w:pPr>
        <w:spacing w:line="240" w:lineRule="auto"/>
        <w:contextualSpacing/>
      </w:pPr>
      <w:r w:rsidRPr="009E58F7">
        <w:rPr>
          <w:rFonts w:eastAsiaTheme="minorHAnsi"/>
          <w:color w:val="000000"/>
        </w:rPr>
        <w:t>A köpenysejtes lymphomában szenvedő betegeknél (LYM-3002-vizsgálat) magasabb volt a ≥</w:t>
      </w:r>
      <w:r w:rsidR="00E6351F" w:rsidRPr="009E58F7">
        <w:rPr>
          <w:color w:val="000000"/>
        </w:rPr>
        <w:t> </w:t>
      </w:r>
      <w:r w:rsidRPr="009E58F7">
        <w:rPr>
          <w:rFonts w:eastAsiaTheme="minorHAnsi"/>
          <w:color w:val="000000"/>
        </w:rPr>
        <w:t>3</w:t>
      </w:r>
      <w:r w:rsidR="00BD5400">
        <w:rPr>
          <w:color w:val="000000"/>
        </w:rPr>
        <w:t>-</w:t>
      </w:r>
      <w:r w:rsidRPr="009E58F7">
        <w:rPr>
          <w:color w:val="000000"/>
        </w:rPr>
        <w:t>as</w:t>
      </w:r>
      <w:r w:rsidRPr="009E58F7">
        <w:rPr>
          <w:rFonts w:eastAsiaTheme="minorHAnsi"/>
          <w:color w:val="000000"/>
        </w:rPr>
        <w:t xml:space="preserve"> fokozatú thrombocytopenia előfordulási gyakorisága (56,7% versus 5,8%) a bortezomib terápiás csoportban (</w:t>
      </w:r>
      <w:r w:rsidRPr="009E58F7">
        <w:rPr>
          <w:color w:val="000000"/>
        </w:rPr>
        <w:t>B</w:t>
      </w:r>
      <w:r w:rsidR="00E6351F" w:rsidRPr="009E58F7">
        <w:rPr>
          <w:color w:val="000000"/>
        </w:rPr>
        <w:t>z</w:t>
      </w:r>
      <w:r w:rsidRPr="009E58F7">
        <w:rPr>
          <w:color w:val="000000"/>
        </w:rPr>
        <w:t>R</w:t>
      </w:r>
      <w:r w:rsidR="003F0F42">
        <w:rPr>
          <w:color w:val="000000"/>
        </w:rPr>
        <w:t>-</w:t>
      </w:r>
      <w:r w:rsidRPr="009E58F7">
        <w:rPr>
          <w:rFonts w:eastAsiaTheme="minorHAnsi"/>
          <w:color w:val="000000"/>
        </w:rPr>
        <w:t xml:space="preserve">CAP), mint a </w:t>
      </w:r>
      <w:r w:rsidR="008B6253" w:rsidRPr="009E58F7">
        <w:t>bortezomib</w:t>
      </w:r>
      <w:r w:rsidR="00E6351F" w:rsidRPr="009E58F7">
        <w:t>ba</w:t>
      </w:r>
      <w:r w:rsidR="00C5286C" w:rsidRPr="009E58F7">
        <w:t>l</w:t>
      </w:r>
      <w:r w:rsidRPr="009E58F7">
        <w:t xml:space="preserve"> nem </w:t>
      </w:r>
      <w:r w:rsidR="00C5286C" w:rsidRPr="009E58F7">
        <w:t>kezelt csoportban</w:t>
      </w:r>
      <w:r w:rsidRPr="009E58F7">
        <w:rPr>
          <w:rFonts w:eastAsiaTheme="minorHAnsi"/>
          <w:color w:val="000000"/>
        </w:rPr>
        <w:t xml:space="preserve"> (rituximab, ciklofoszfamid, </w:t>
      </w:r>
      <w:r w:rsidRPr="009E58F7">
        <w:rPr>
          <w:rFonts w:eastAsiaTheme="minorHAnsi"/>
          <w:color w:val="000000"/>
        </w:rPr>
        <w:lastRenderedPageBreak/>
        <w:t>doxorubicin, vinkrisztin és prednizon [R</w:t>
      </w:r>
      <w:r w:rsidR="003F0F42">
        <w:rPr>
          <w:rFonts w:eastAsiaTheme="minorHAnsi"/>
          <w:color w:val="000000"/>
        </w:rPr>
        <w:t>-</w:t>
      </w:r>
      <w:r w:rsidRPr="009E58F7">
        <w:rPr>
          <w:rFonts w:eastAsiaTheme="minorHAnsi"/>
          <w:color w:val="000000"/>
        </w:rPr>
        <w:t xml:space="preserve">CHOP]). A két terápiás csoport az összes fokozatú vérzéses esemény (6,3% a </w:t>
      </w:r>
      <w:r w:rsidRPr="009E58F7">
        <w:rPr>
          <w:color w:val="000000"/>
        </w:rPr>
        <w:t>B</w:t>
      </w:r>
      <w:r w:rsidR="00E6351F" w:rsidRPr="009E58F7">
        <w:rPr>
          <w:color w:val="000000"/>
        </w:rPr>
        <w:t>z</w:t>
      </w:r>
      <w:r w:rsidRPr="009E58F7">
        <w:rPr>
          <w:color w:val="000000"/>
        </w:rPr>
        <w:t>R</w:t>
      </w:r>
      <w:r w:rsidR="003F0F42">
        <w:rPr>
          <w:rFonts w:eastAsiaTheme="minorHAnsi"/>
          <w:color w:val="000000"/>
        </w:rPr>
        <w:t>-</w:t>
      </w:r>
      <w:r w:rsidRPr="009E58F7">
        <w:rPr>
          <w:rFonts w:eastAsiaTheme="minorHAnsi"/>
          <w:color w:val="000000"/>
        </w:rPr>
        <w:t>CAP-csoportban és 5,0% az R</w:t>
      </w:r>
      <w:r w:rsidR="003F0F42">
        <w:rPr>
          <w:rFonts w:eastAsiaTheme="minorHAnsi"/>
          <w:color w:val="000000"/>
        </w:rPr>
        <w:t>-</w:t>
      </w:r>
      <w:r w:rsidRPr="009E58F7">
        <w:rPr>
          <w:rFonts w:eastAsiaTheme="minorHAnsi"/>
          <w:color w:val="000000"/>
        </w:rPr>
        <w:t>CHOP-csoportban), valamint a 3</w:t>
      </w:r>
      <w:r w:rsidR="00BD5400">
        <w:rPr>
          <w:color w:val="000000"/>
        </w:rPr>
        <w:t>-</w:t>
      </w:r>
      <w:r w:rsidRPr="009E58F7">
        <w:rPr>
          <w:color w:val="000000"/>
        </w:rPr>
        <w:t>as</w:t>
      </w:r>
      <w:r w:rsidRPr="009E58F7">
        <w:rPr>
          <w:rFonts w:eastAsiaTheme="minorHAnsi"/>
          <w:color w:val="000000"/>
        </w:rPr>
        <w:t xml:space="preserve"> és magasabb fokozatú vérzéses esemény (</w:t>
      </w:r>
      <w:r w:rsidRPr="009E58F7">
        <w:rPr>
          <w:color w:val="000000"/>
        </w:rPr>
        <w:t>B</w:t>
      </w:r>
      <w:r w:rsidR="00E6351F" w:rsidRPr="009E58F7">
        <w:rPr>
          <w:color w:val="000000"/>
        </w:rPr>
        <w:t>z</w:t>
      </w:r>
      <w:r w:rsidRPr="009E58F7">
        <w:rPr>
          <w:color w:val="000000"/>
        </w:rPr>
        <w:t>R</w:t>
      </w:r>
      <w:r w:rsidR="003F0F42">
        <w:rPr>
          <w:rFonts w:eastAsiaTheme="minorHAnsi"/>
          <w:color w:val="000000"/>
        </w:rPr>
        <w:t>-</w:t>
      </w:r>
      <w:r w:rsidRPr="009E58F7">
        <w:rPr>
          <w:rFonts w:eastAsiaTheme="minorHAnsi"/>
          <w:color w:val="000000"/>
        </w:rPr>
        <w:t>CAP: 4</w:t>
      </w:r>
      <w:r w:rsidRPr="009E58F7">
        <w:rPr>
          <w:color w:val="000000"/>
        </w:rPr>
        <w:t> </w:t>
      </w:r>
      <w:r w:rsidRPr="009E58F7">
        <w:rPr>
          <w:rFonts w:eastAsiaTheme="minorHAnsi"/>
          <w:color w:val="000000"/>
        </w:rPr>
        <w:t>beteg [1,7%]; R</w:t>
      </w:r>
      <w:r w:rsidR="003F0F42">
        <w:rPr>
          <w:rFonts w:eastAsiaTheme="minorHAnsi"/>
          <w:color w:val="000000"/>
        </w:rPr>
        <w:t>-</w:t>
      </w:r>
      <w:r w:rsidRPr="009E58F7">
        <w:rPr>
          <w:rFonts w:eastAsiaTheme="minorHAnsi"/>
          <w:color w:val="000000"/>
        </w:rPr>
        <w:t>CHOP: 3</w:t>
      </w:r>
      <w:r w:rsidRPr="009E58F7">
        <w:rPr>
          <w:color w:val="000000"/>
        </w:rPr>
        <w:t> </w:t>
      </w:r>
      <w:r w:rsidRPr="009E58F7">
        <w:rPr>
          <w:rFonts w:eastAsiaTheme="minorHAnsi"/>
          <w:color w:val="000000"/>
        </w:rPr>
        <w:t xml:space="preserve">beteg [1,2%]) teljes </w:t>
      </w:r>
      <w:r w:rsidR="00C5286C" w:rsidRPr="009E58F7">
        <w:t>előfordulá</w:t>
      </w:r>
      <w:r w:rsidR="00E6351F" w:rsidRPr="009E58F7">
        <w:t>si</w:t>
      </w:r>
      <w:bookmarkStart w:id="14" w:name="page43"/>
      <w:bookmarkEnd w:id="14"/>
      <w:r w:rsidR="00E6351F" w:rsidRPr="009E58F7">
        <w:t xml:space="preserve"> </w:t>
      </w:r>
      <w:r w:rsidR="00C5286C" w:rsidRPr="009E58F7">
        <w:t xml:space="preserve">gyakorisága tekintetében hasonló volt. A </w:t>
      </w:r>
      <w:r w:rsidR="00E708C1" w:rsidRPr="009E58F7">
        <w:t>BzR</w:t>
      </w:r>
      <w:r w:rsidR="003F0F42">
        <w:t>-</w:t>
      </w:r>
      <w:r w:rsidR="00C5286C" w:rsidRPr="009E58F7">
        <w:t>CAP</w:t>
      </w:r>
      <w:r w:rsidR="00E331E7">
        <w:t>-</w:t>
      </w:r>
      <w:r w:rsidR="00C5286C" w:rsidRPr="009E58F7">
        <w:t>csoportban a betegek 22,5%-a kapott thrombocyta</w:t>
      </w:r>
      <w:r w:rsidR="0082311C">
        <w:t>-</w:t>
      </w:r>
      <w:r w:rsidR="00C5286C" w:rsidRPr="009E58F7">
        <w:t>transzfúziót, szemben az R</w:t>
      </w:r>
      <w:r w:rsidR="003F0F42">
        <w:t>-</w:t>
      </w:r>
      <w:r w:rsidR="00C5286C" w:rsidRPr="009E58F7">
        <w:t>CHOP</w:t>
      </w:r>
      <w:r w:rsidR="00E331E7">
        <w:t>-</w:t>
      </w:r>
      <w:r w:rsidR="00C5286C" w:rsidRPr="009E58F7">
        <w:t>csoport betegeinek 2,9%-ával.</w:t>
      </w:r>
    </w:p>
    <w:p w14:paraId="1FDED74D" w14:textId="77777777" w:rsidR="004D6470" w:rsidRPr="009E58F7" w:rsidRDefault="004D6470">
      <w:pPr>
        <w:pStyle w:val="Nincstrkz"/>
      </w:pPr>
    </w:p>
    <w:p w14:paraId="42F66809" w14:textId="0153435B" w:rsidR="0093753B" w:rsidRPr="009E58F7" w:rsidRDefault="004D6470">
      <w:pPr>
        <w:spacing w:line="240" w:lineRule="auto"/>
        <w:contextualSpacing/>
        <w:rPr>
          <w:color w:val="000000"/>
        </w:rPr>
      </w:pPr>
      <w:r w:rsidRPr="009E58F7">
        <w:rPr>
          <w:rFonts w:eastAsiaTheme="minorHAnsi"/>
          <w:color w:val="000000"/>
        </w:rPr>
        <w:t>A bortezomib</w:t>
      </w:r>
      <w:r w:rsidR="00FE5B85">
        <w:rPr>
          <w:color w:val="000000"/>
        </w:rPr>
        <w:t>-</w:t>
      </w:r>
      <w:r w:rsidRPr="009E58F7">
        <w:rPr>
          <w:rFonts w:eastAsiaTheme="minorHAnsi"/>
          <w:color w:val="000000"/>
        </w:rPr>
        <w:t xml:space="preserve">kezeléssel összefüggésben </w:t>
      </w:r>
      <w:r w:rsidR="00F972E4" w:rsidRPr="009E58F7">
        <w:rPr>
          <w:color w:val="000000"/>
        </w:rPr>
        <w:t xml:space="preserve">beszámoltak </w:t>
      </w:r>
      <w:r w:rsidRPr="009E58F7">
        <w:rPr>
          <w:rFonts w:eastAsiaTheme="minorHAnsi"/>
          <w:color w:val="000000"/>
        </w:rPr>
        <w:t>gastrointestinalis és intracerebralis vérzésről</w:t>
      </w:r>
      <w:r w:rsidR="00E6351F" w:rsidRPr="009E58F7">
        <w:rPr>
          <w:color w:val="000000"/>
        </w:rPr>
        <w:t>,</w:t>
      </w:r>
      <w:r w:rsidRPr="009E58F7">
        <w:rPr>
          <w:rFonts w:eastAsiaTheme="minorHAnsi"/>
          <w:color w:val="000000"/>
        </w:rPr>
        <w:t xml:space="preserve"> </w:t>
      </w:r>
      <w:r w:rsidR="00E6351F" w:rsidRPr="009E58F7">
        <w:rPr>
          <w:color w:val="000000"/>
        </w:rPr>
        <w:t>e</w:t>
      </w:r>
      <w:r w:rsidRPr="009E58F7">
        <w:rPr>
          <w:rFonts w:eastAsiaTheme="minorHAnsi"/>
          <w:color w:val="000000"/>
        </w:rPr>
        <w:t>zért a thrombocytaszámot minden egyes bortezomib</w:t>
      </w:r>
      <w:r w:rsidR="0082311C">
        <w:rPr>
          <w:rFonts w:eastAsiaTheme="minorHAnsi"/>
          <w:color w:val="000000"/>
        </w:rPr>
        <w:t>-</w:t>
      </w:r>
      <w:r w:rsidR="00C5286C" w:rsidRPr="009E58F7">
        <w:t>dózis</w:t>
      </w:r>
      <w:r w:rsidR="00E6351F" w:rsidRPr="009E58F7">
        <w:t xml:space="preserve"> előtt</w:t>
      </w:r>
      <w:r w:rsidR="0093753B" w:rsidRPr="009E58F7">
        <w:rPr>
          <w:rFonts w:eastAsiaTheme="minorHAnsi"/>
          <w:color w:val="000000"/>
        </w:rPr>
        <w:t xml:space="preserve"> </w:t>
      </w:r>
      <w:r w:rsidRPr="009E58F7">
        <w:rPr>
          <w:rFonts w:eastAsiaTheme="minorHAnsi"/>
          <w:color w:val="000000"/>
        </w:rPr>
        <w:t>monitorozni kell. A bortezomib</w:t>
      </w:r>
      <w:r w:rsidR="003F0F42">
        <w:rPr>
          <w:color w:val="000000"/>
        </w:rPr>
        <w:t>-</w:t>
      </w:r>
      <w:r w:rsidRPr="009E58F7">
        <w:rPr>
          <w:rFonts w:eastAsiaTheme="minorHAnsi"/>
          <w:color w:val="000000"/>
        </w:rPr>
        <w:t>terápiát fel kell függeszteni, ha a thrombocytaszám</w:t>
      </w:r>
      <w:r w:rsidR="00E6351F" w:rsidRPr="009E58F7">
        <w:rPr>
          <w:rFonts w:eastAsiaTheme="minorHAnsi"/>
          <w:color w:val="000000"/>
        </w:rPr>
        <w:t> </w:t>
      </w:r>
      <w:r w:rsidRPr="009E58F7">
        <w:rPr>
          <w:rFonts w:eastAsiaTheme="minorHAnsi"/>
          <w:color w:val="000000"/>
        </w:rPr>
        <w:t>&lt;</w:t>
      </w:r>
      <w:r w:rsidR="00E6351F" w:rsidRPr="009E58F7">
        <w:rPr>
          <w:rFonts w:eastAsiaTheme="minorHAnsi"/>
          <w:color w:val="000000"/>
        </w:rPr>
        <w:t> </w:t>
      </w:r>
      <w:r w:rsidRPr="009E58F7">
        <w:rPr>
          <w:rFonts w:eastAsiaTheme="minorHAnsi"/>
          <w:color w:val="000000"/>
        </w:rPr>
        <w:t>25</w:t>
      </w:r>
      <w:r w:rsidRPr="009E58F7">
        <w:rPr>
          <w:color w:val="000000"/>
        </w:rPr>
        <w:t> </w:t>
      </w:r>
      <w:r w:rsidRPr="009E58F7">
        <w:rPr>
          <w:rFonts w:eastAsiaTheme="minorHAnsi"/>
          <w:color w:val="000000"/>
        </w:rPr>
        <w:t>000/</w:t>
      </w:r>
      <w:r w:rsidR="002908EE" w:rsidRPr="009E58F7">
        <w:rPr>
          <w:color w:val="000000"/>
        </w:rPr>
        <w:t>mikroliter</w:t>
      </w:r>
      <w:r w:rsidRPr="009E58F7">
        <w:rPr>
          <w:rFonts w:eastAsiaTheme="minorHAnsi"/>
          <w:color w:val="000000"/>
        </w:rPr>
        <w:t>, vagy melfalánnal és prednizonnal történő kombináció esetén a thrombocytaszám</w:t>
      </w:r>
      <w:r w:rsidR="00E6351F" w:rsidRPr="009E58F7">
        <w:rPr>
          <w:rFonts w:eastAsiaTheme="minorHAnsi"/>
          <w:color w:val="000000"/>
        </w:rPr>
        <w:t> </w:t>
      </w:r>
      <w:r w:rsidRPr="009E58F7">
        <w:rPr>
          <w:rFonts w:eastAsiaTheme="minorHAnsi"/>
          <w:color w:val="000000"/>
        </w:rPr>
        <w:t>≤</w:t>
      </w:r>
      <w:r w:rsidR="00E6351F" w:rsidRPr="009E58F7">
        <w:t> </w:t>
      </w:r>
      <w:r w:rsidRPr="009E58F7">
        <w:rPr>
          <w:rFonts w:eastAsiaTheme="minorHAnsi"/>
          <w:color w:val="000000"/>
        </w:rPr>
        <w:t>30</w:t>
      </w:r>
      <w:r w:rsidRPr="009E58F7">
        <w:rPr>
          <w:color w:val="000000"/>
        </w:rPr>
        <w:t> </w:t>
      </w:r>
      <w:r w:rsidRPr="009E58F7">
        <w:rPr>
          <w:rFonts w:eastAsiaTheme="minorHAnsi"/>
          <w:color w:val="000000"/>
        </w:rPr>
        <w:t>000/</w:t>
      </w:r>
      <w:r w:rsidR="002908EE" w:rsidRPr="009E58F7">
        <w:rPr>
          <w:color w:val="000000"/>
        </w:rPr>
        <w:t>mikroliter</w:t>
      </w:r>
      <w:r w:rsidRPr="009E58F7">
        <w:rPr>
          <w:rFonts w:eastAsiaTheme="minorHAnsi"/>
          <w:color w:val="000000"/>
        </w:rPr>
        <w:t xml:space="preserve"> (lásd 4.2</w:t>
      </w:r>
      <w:r w:rsidRPr="009E58F7">
        <w:rPr>
          <w:color w:val="000000"/>
        </w:rPr>
        <w:t> </w:t>
      </w:r>
      <w:r w:rsidRPr="009E58F7">
        <w:rPr>
          <w:rFonts w:eastAsiaTheme="minorHAnsi"/>
          <w:color w:val="000000"/>
        </w:rPr>
        <w:t>pont). A terápiás előny/kockázat alapos mérlegelése szükséges</w:t>
      </w:r>
      <w:r w:rsidR="00E6351F" w:rsidRPr="009E58F7">
        <w:rPr>
          <w:rFonts w:eastAsiaTheme="minorHAnsi"/>
          <w:color w:val="000000"/>
        </w:rPr>
        <w:t>,</w:t>
      </w:r>
      <w:r w:rsidRPr="009E58F7">
        <w:rPr>
          <w:rFonts w:eastAsiaTheme="minorHAnsi"/>
          <w:color w:val="000000"/>
        </w:rPr>
        <w:t xml:space="preserve"> </w:t>
      </w:r>
      <w:r w:rsidR="00C5286C" w:rsidRPr="009E58F7">
        <w:t>különös</w:t>
      </w:r>
      <w:r w:rsidR="00E6351F" w:rsidRPr="009E58F7">
        <w:t>en</w:t>
      </w:r>
      <w:r w:rsidR="00C5286C" w:rsidRPr="009E58F7">
        <w:t xml:space="preserve"> közepes</w:t>
      </w:r>
      <w:r w:rsidR="00E6351F" w:rsidRPr="009E58F7">
        <w:t>en súlyos</w:t>
      </w:r>
      <w:r w:rsidR="00C5286C" w:rsidRPr="009E58F7">
        <w:t xml:space="preserve"> </w:t>
      </w:r>
      <w:r w:rsidRPr="009E58F7">
        <w:rPr>
          <w:rFonts w:eastAsiaTheme="minorHAnsi"/>
          <w:color w:val="000000"/>
        </w:rPr>
        <w:t>és súlyos thrombocytopenia, valamint vérzési kockázat esetén.</w:t>
      </w:r>
    </w:p>
    <w:p w14:paraId="0201EA8E" w14:textId="77777777" w:rsidR="0093753B" w:rsidRPr="009E58F7" w:rsidRDefault="0093753B">
      <w:pPr>
        <w:pStyle w:val="Nincstrkz"/>
        <w:rPr>
          <w:color w:val="000000"/>
        </w:rPr>
      </w:pPr>
    </w:p>
    <w:p w14:paraId="1E8FEF6D" w14:textId="5ABAC48C" w:rsidR="004D6470" w:rsidRPr="009E58F7" w:rsidRDefault="004D6470">
      <w:pPr>
        <w:pStyle w:val="Nincstrkz"/>
        <w:rPr>
          <w:color w:val="000000"/>
        </w:rPr>
      </w:pPr>
      <w:r w:rsidRPr="009E58F7">
        <w:rPr>
          <w:color w:val="000000"/>
        </w:rPr>
        <w:t>A bortezomib</w:t>
      </w:r>
      <w:r w:rsidR="00FE5B85">
        <w:rPr>
          <w:color w:val="000000"/>
        </w:rPr>
        <w:t>-</w:t>
      </w:r>
      <w:r w:rsidRPr="009E58F7">
        <w:rPr>
          <w:color w:val="000000"/>
        </w:rPr>
        <w:t>terápia alatt gyakran kell teljes vérkép</w:t>
      </w:r>
      <w:r w:rsidR="0082311C">
        <w:rPr>
          <w:color w:val="000000"/>
        </w:rPr>
        <w:t>-</w:t>
      </w:r>
      <w:r w:rsidRPr="009E58F7">
        <w:rPr>
          <w:color w:val="000000"/>
        </w:rPr>
        <w:t xml:space="preserve"> és minőségi vérképellenőrzést végezni, beleértve a thrombocytaszámot is. Thrombocyta</w:t>
      </w:r>
      <w:r w:rsidR="0082311C">
        <w:rPr>
          <w:color w:val="000000"/>
        </w:rPr>
        <w:t>-</w:t>
      </w:r>
      <w:r w:rsidRPr="009E58F7">
        <w:rPr>
          <w:color w:val="000000"/>
        </w:rPr>
        <w:t xml:space="preserve">transzfúzió adása mérlegelendő, amikor klinikailag </w:t>
      </w:r>
      <w:r w:rsidR="00E6351F" w:rsidRPr="009E58F7">
        <w:rPr>
          <w:color w:val="000000"/>
        </w:rPr>
        <w:t>indokolt</w:t>
      </w:r>
      <w:r w:rsidRPr="009E58F7">
        <w:rPr>
          <w:color w:val="000000"/>
        </w:rPr>
        <w:t xml:space="preserve"> (lásd 4.2 pont).</w:t>
      </w:r>
    </w:p>
    <w:p w14:paraId="4E82C86E" w14:textId="77777777" w:rsidR="00DA113D" w:rsidRPr="009E58F7" w:rsidRDefault="00DA113D">
      <w:pPr>
        <w:pStyle w:val="Nincstrkz"/>
      </w:pPr>
    </w:p>
    <w:p w14:paraId="12E0F807" w14:textId="438C1309" w:rsidR="004D6470" w:rsidRPr="009E58F7" w:rsidRDefault="004D6470">
      <w:pPr>
        <w:pStyle w:val="Nincstrkz"/>
      </w:pPr>
      <w:r w:rsidRPr="009E58F7">
        <w:t>Köpenysejtes lymphomában szenvedő betegeknél a ciklusok között reverz</w:t>
      </w:r>
      <w:r w:rsidR="00E6351F" w:rsidRPr="009E58F7">
        <w:t>i</w:t>
      </w:r>
      <w:r w:rsidRPr="009E58F7">
        <w:t xml:space="preserve">bilis tranziens neutropeniát észleltek, kumulatív neutropeniára utaló bizonyíték nélkül. A neutrofilszám minden egyes </w:t>
      </w:r>
      <w:r w:rsidRPr="009E58F7">
        <w:rPr>
          <w:color w:val="000000"/>
        </w:rPr>
        <w:t>bortezomib</w:t>
      </w:r>
      <w:r w:rsidR="00FE5B85">
        <w:t>-</w:t>
      </w:r>
      <w:r w:rsidRPr="009E58F7">
        <w:t>kezelési ciklus 11.</w:t>
      </w:r>
      <w:r w:rsidR="0082311C">
        <w:t> </w:t>
      </w:r>
      <w:r w:rsidRPr="009E58F7">
        <w:t>napján volt</w:t>
      </w:r>
      <w:r w:rsidR="00E6351F" w:rsidRPr="009E58F7">
        <w:t xml:space="preserve"> a legalacsonyabb</w:t>
      </w:r>
      <w:r w:rsidRPr="009E58F7">
        <w:t xml:space="preserve">, és a következő ciklusra </w:t>
      </w:r>
      <w:r w:rsidR="00E6351F" w:rsidRPr="009E58F7">
        <w:t>jellemzően</w:t>
      </w:r>
      <w:r w:rsidRPr="009E58F7">
        <w:t xml:space="preserve"> visszatért a kiindulási szintre. A LYM</w:t>
      </w:r>
      <w:r w:rsidR="003F0F42">
        <w:t>-</w:t>
      </w:r>
      <w:r w:rsidRPr="009E58F7">
        <w:t>3002-vizsgálatban kolónia</w:t>
      </w:r>
      <w:r w:rsidR="008756A4" w:rsidRPr="009E58F7">
        <w:t>-</w:t>
      </w:r>
      <w:r w:rsidRPr="009E58F7">
        <w:t>stimuláló faktor szupportív kezelést adtak a B</w:t>
      </w:r>
      <w:r w:rsidR="00E6351F" w:rsidRPr="009E58F7">
        <w:t>z</w:t>
      </w:r>
      <w:r w:rsidRPr="009E58F7">
        <w:t>R</w:t>
      </w:r>
      <w:r w:rsidR="003F0F42">
        <w:t>-</w:t>
      </w:r>
      <w:r w:rsidRPr="009E58F7">
        <w:t>CAP</w:t>
      </w:r>
      <w:r w:rsidR="00E6351F" w:rsidRPr="009E58F7">
        <w:t xml:space="preserve"> </w:t>
      </w:r>
      <w:r w:rsidRPr="009E58F7">
        <w:t>karon lévő betegek 78%</w:t>
      </w:r>
      <w:r w:rsidR="00621E19">
        <w:t>-</w:t>
      </w:r>
      <w:r w:rsidRPr="009E58F7">
        <w:t>ának, és a R</w:t>
      </w:r>
      <w:r w:rsidR="003F0F42">
        <w:t>-</w:t>
      </w:r>
      <w:r w:rsidRPr="009E58F7">
        <w:t>CHOP</w:t>
      </w:r>
      <w:r w:rsidR="00E6351F" w:rsidRPr="009E58F7">
        <w:t xml:space="preserve"> </w:t>
      </w:r>
      <w:r w:rsidRPr="009E58F7">
        <w:t>karon lévő betegek 61%</w:t>
      </w:r>
      <w:r w:rsidR="00621E19">
        <w:t>-</w:t>
      </w:r>
      <w:r w:rsidRPr="009E58F7">
        <w:t xml:space="preserve">ának. Mivel a neutropeniás betegeknél emelkedett a fertőzések kockázata, </w:t>
      </w:r>
      <w:r w:rsidR="00E6351F" w:rsidRPr="009E58F7">
        <w:t xml:space="preserve">esetükben </w:t>
      </w:r>
      <w:r w:rsidRPr="009E58F7">
        <w:t xml:space="preserve">monitorozni kell a fertőzés okozta </w:t>
      </w:r>
      <w:r w:rsidR="0082311C">
        <w:t>jeleket</w:t>
      </w:r>
      <w:r w:rsidRPr="009E58F7">
        <w:t xml:space="preserve"> és tüneteket, és azonnal kezelni kell az</w:t>
      </w:r>
      <w:r w:rsidR="00040BC9" w:rsidRPr="009E58F7">
        <w:t>okat</w:t>
      </w:r>
      <w:r w:rsidRPr="009E58F7">
        <w:t>. Hematológiai toxic</w:t>
      </w:r>
      <w:r w:rsidR="002908EE" w:rsidRPr="009E58F7">
        <w:t>itás esetén</w:t>
      </w:r>
      <w:r w:rsidRPr="009E58F7">
        <w:t xml:space="preserve"> a helyi, standard gyakorlat szerint granulocyta</w:t>
      </w:r>
      <w:r w:rsidR="003F0F42">
        <w:t>-</w:t>
      </w:r>
      <w:r w:rsidRPr="009E58F7">
        <w:t>kolónia</w:t>
      </w:r>
      <w:r w:rsidR="0082311C">
        <w:t>-</w:t>
      </w:r>
      <w:r w:rsidRPr="009E58F7">
        <w:t>stimuláló faktorok adhatók. Amennyiben a kezelési ciklusok többször is elhalasztásra kerülnek, meg kell fontolni granulocyta</w:t>
      </w:r>
      <w:r w:rsidR="003F0F42">
        <w:t>-</w:t>
      </w:r>
      <w:r w:rsidRPr="009E58F7">
        <w:t>kolónia</w:t>
      </w:r>
      <w:r w:rsidR="0082311C">
        <w:t>-</w:t>
      </w:r>
      <w:r w:rsidRPr="009E58F7">
        <w:t>stimuláló faktorok profilaktikus adását (lásd 4.2 pont).</w:t>
      </w:r>
    </w:p>
    <w:p w14:paraId="5B97DD56" w14:textId="77777777" w:rsidR="004D6470" w:rsidRPr="009E58F7" w:rsidRDefault="004D6470">
      <w:pPr>
        <w:pStyle w:val="Nincstrkz"/>
      </w:pPr>
    </w:p>
    <w:p w14:paraId="6C13204E" w14:textId="6FC30BF2" w:rsidR="004D6470" w:rsidRPr="009E58F7" w:rsidRDefault="004D6470">
      <w:pPr>
        <w:spacing w:line="240" w:lineRule="auto"/>
        <w:contextualSpacing/>
        <w:rPr>
          <w:u w:val="single"/>
        </w:rPr>
      </w:pPr>
      <w:r w:rsidRPr="009E58F7">
        <w:rPr>
          <w:rFonts w:eastAsiaTheme="minorHAnsi"/>
          <w:color w:val="000000"/>
          <w:u w:val="single"/>
        </w:rPr>
        <w:t>Herpes zoster</w:t>
      </w:r>
      <w:r w:rsidR="0082311C">
        <w:rPr>
          <w:rFonts w:eastAsiaTheme="minorHAnsi"/>
          <w:color w:val="000000"/>
          <w:u w:val="single"/>
        </w:rPr>
        <w:t>-</w:t>
      </w:r>
      <w:r w:rsidRPr="009E58F7">
        <w:rPr>
          <w:rFonts w:eastAsiaTheme="minorHAnsi"/>
          <w:color w:val="000000"/>
          <w:u w:val="single"/>
        </w:rPr>
        <w:t xml:space="preserve">vírus </w:t>
      </w:r>
      <w:r w:rsidR="00C5286C" w:rsidRPr="009E58F7">
        <w:rPr>
          <w:u w:val="single"/>
        </w:rPr>
        <w:t>reaktiváció</w:t>
      </w:r>
    </w:p>
    <w:p w14:paraId="2D52A4EE" w14:textId="30FF5EB8" w:rsidR="00DB6352" w:rsidRPr="009E58F7" w:rsidRDefault="004D6470">
      <w:pPr>
        <w:spacing w:line="240" w:lineRule="auto"/>
        <w:contextualSpacing/>
        <w:rPr>
          <w:rFonts w:eastAsiaTheme="minorHAnsi"/>
          <w:color w:val="000000"/>
        </w:rPr>
      </w:pPr>
      <w:r w:rsidRPr="009E58F7">
        <w:rPr>
          <w:rFonts w:eastAsiaTheme="minorHAnsi"/>
          <w:color w:val="000000"/>
        </w:rPr>
        <w:t xml:space="preserve">A </w:t>
      </w:r>
      <w:r w:rsidR="008B6253" w:rsidRPr="009E58F7">
        <w:t>bortezomi</w:t>
      </w:r>
      <w:r w:rsidR="00DB6352" w:rsidRPr="009E58F7">
        <w:t>bba</w:t>
      </w:r>
      <w:r w:rsidR="00C5286C" w:rsidRPr="009E58F7">
        <w:t>l</w:t>
      </w:r>
      <w:r w:rsidRPr="009E58F7">
        <w:rPr>
          <w:rFonts w:eastAsiaTheme="minorHAnsi"/>
          <w:color w:val="000000"/>
        </w:rPr>
        <w:t xml:space="preserve"> kezelt </w:t>
      </w:r>
      <w:r w:rsidR="00C5286C" w:rsidRPr="009E58F7">
        <w:t>betegek</w:t>
      </w:r>
      <w:r w:rsidRPr="009E58F7">
        <w:rPr>
          <w:color w:val="000000"/>
        </w:rPr>
        <w:t>nél</w:t>
      </w:r>
      <w:r w:rsidRPr="009E58F7">
        <w:rPr>
          <w:rFonts w:eastAsiaTheme="minorHAnsi"/>
          <w:color w:val="000000"/>
        </w:rPr>
        <w:t xml:space="preserve"> javasolt az antivirális profilaxis. </w:t>
      </w:r>
    </w:p>
    <w:p w14:paraId="34CB380A" w14:textId="4FE17D41" w:rsidR="004D6470" w:rsidRPr="009E58F7" w:rsidRDefault="004D6470">
      <w:pPr>
        <w:spacing w:line="240" w:lineRule="auto"/>
        <w:contextualSpacing/>
      </w:pPr>
      <w:r w:rsidRPr="009E58F7">
        <w:rPr>
          <w:rFonts w:eastAsiaTheme="minorHAnsi"/>
          <w:color w:val="000000"/>
        </w:rPr>
        <w:t>A</w:t>
      </w:r>
      <w:r w:rsidRPr="009E58F7">
        <w:t xml:space="preserve"> III</w:t>
      </w:r>
      <w:r w:rsidR="00C5286C" w:rsidRPr="009E58F7">
        <w:t>. fázisú</w:t>
      </w:r>
      <w:r w:rsidRPr="009E58F7">
        <w:t xml:space="preserve"> </w:t>
      </w:r>
      <w:r w:rsidRPr="009E58F7">
        <w:rPr>
          <w:rFonts w:eastAsiaTheme="minorHAnsi"/>
          <w:color w:val="000000"/>
        </w:rPr>
        <w:t>vizsgálatban a korábban nem kezelt myeloma multiplexben szenvedő betegeknél a herpes zoster reaktiváció összes előfordulása gyakoribb volt a bortezomib</w:t>
      </w:r>
      <w:r w:rsidR="00DB6352" w:rsidRPr="009E58F7">
        <w:rPr>
          <w:rFonts w:eastAsiaTheme="minorHAnsi"/>
          <w:color w:val="000000"/>
        </w:rPr>
        <w:t> </w:t>
      </w:r>
      <w:r w:rsidRPr="009E58F7">
        <w:rPr>
          <w:rFonts w:eastAsiaTheme="minorHAnsi"/>
          <w:color w:val="000000"/>
        </w:rPr>
        <w:t>+</w:t>
      </w:r>
      <w:r w:rsidR="00DB6352" w:rsidRPr="009E58F7">
        <w:rPr>
          <w:rFonts w:eastAsiaTheme="minorHAnsi"/>
          <w:color w:val="000000"/>
        </w:rPr>
        <w:t> </w:t>
      </w:r>
      <w:r w:rsidRPr="009E58F7">
        <w:rPr>
          <w:rFonts w:eastAsiaTheme="minorHAnsi"/>
          <w:color w:val="000000"/>
        </w:rPr>
        <w:t>melfalán</w:t>
      </w:r>
      <w:r w:rsidR="00DB6352" w:rsidRPr="009E58F7">
        <w:rPr>
          <w:rFonts w:eastAsiaTheme="minorHAnsi"/>
          <w:color w:val="000000"/>
        </w:rPr>
        <w:t> </w:t>
      </w:r>
      <w:r w:rsidRPr="009E58F7">
        <w:rPr>
          <w:rFonts w:eastAsiaTheme="minorHAnsi"/>
          <w:color w:val="000000"/>
        </w:rPr>
        <w:t>+</w:t>
      </w:r>
      <w:r w:rsidR="00DB6352" w:rsidRPr="009E58F7">
        <w:rPr>
          <w:rFonts w:eastAsiaTheme="minorHAnsi"/>
          <w:color w:val="000000"/>
        </w:rPr>
        <w:t> </w:t>
      </w:r>
      <w:r w:rsidRPr="009E58F7">
        <w:rPr>
          <w:rFonts w:eastAsiaTheme="minorHAnsi"/>
          <w:color w:val="000000"/>
        </w:rPr>
        <w:t xml:space="preserve">prednizon </w:t>
      </w:r>
      <w:r w:rsidRPr="009E58F7">
        <w:rPr>
          <w:color w:val="000000"/>
        </w:rPr>
        <w:t xml:space="preserve">kombinációval </w:t>
      </w:r>
      <w:r w:rsidRPr="009E58F7">
        <w:rPr>
          <w:rFonts w:eastAsiaTheme="minorHAnsi"/>
          <w:color w:val="000000"/>
        </w:rPr>
        <w:t>kezelt betegek körében, mint a melfalán</w:t>
      </w:r>
      <w:r w:rsidR="00DB6352" w:rsidRPr="009E58F7">
        <w:rPr>
          <w:rFonts w:eastAsiaTheme="minorHAnsi"/>
          <w:color w:val="000000"/>
        </w:rPr>
        <w:t> </w:t>
      </w:r>
      <w:r w:rsidRPr="009E58F7">
        <w:rPr>
          <w:rFonts w:eastAsiaTheme="minorHAnsi"/>
          <w:color w:val="000000"/>
        </w:rPr>
        <w:t>+</w:t>
      </w:r>
      <w:r w:rsidR="00DB6352" w:rsidRPr="009E58F7">
        <w:rPr>
          <w:rFonts w:eastAsiaTheme="minorHAnsi"/>
          <w:color w:val="000000"/>
        </w:rPr>
        <w:t> </w:t>
      </w:r>
      <w:r w:rsidRPr="009E58F7">
        <w:rPr>
          <w:rFonts w:eastAsiaTheme="minorHAnsi"/>
          <w:color w:val="000000"/>
        </w:rPr>
        <w:t xml:space="preserve">prednizon </w:t>
      </w:r>
      <w:r w:rsidRPr="009E58F7">
        <w:rPr>
          <w:color w:val="000000"/>
        </w:rPr>
        <w:t>kezelésben részesülőknél</w:t>
      </w:r>
      <w:r w:rsidRPr="009E58F7">
        <w:rPr>
          <w:rFonts w:eastAsiaTheme="minorHAnsi"/>
          <w:color w:val="000000"/>
        </w:rPr>
        <w:t xml:space="preserve"> (sorrendben 14% versus 4%).</w:t>
      </w:r>
    </w:p>
    <w:p w14:paraId="73319A17" w14:textId="59254CB5" w:rsidR="004D6470" w:rsidRPr="009E58F7" w:rsidRDefault="004D6470">
      <w:pPr>
        <w:pStyle w:val="Nincstrkz"/>
      </w:pPr>
      <w:r w:rsidRPr="009E58F7">
        <w:rPr>
          <w:color w:val="000000"/>
        </w:rPr>
        <w:t>A köpenysejtes lymphomában szenvedő betegeknél (LYM</w:t>
      </w:r>
      <w:r w:rsidR="003F0F42">
        <w:rPr>
          <w:color w:val="000000"/>
        </w:rPr>
        <w:t>-</w:t>
      </w:r>
      <w:r w:rsidRPr="009E58F7">
        <w:rPr>
          <w:color w:val="000000"/>
        </w:rPr>
        <w:t>3002</w:t>
      </w:r>
      <w:r w:rsidR="00DB6352" w:rsidRPr="009E58F7">
        <w:rPr>
          <w:color w:val="000000"/>
        </w:rPr>
        <w:t> </w:t>
      </w:r>
      <w:r w:rsidRPr="009E58F7">
        <w:rPr>
          <w:color w:val="000000"/>
        </w:rPr>
        <w:t>vizsgálat) a herpes zoster</w:t>
      </w:r>
      <w:r w:rsidR="0082311C">
        <w:rPr>
          <w:color w:val="000000"/>
        </w:rPr>
        <w:t>-</w:t>
      </w:r>
      <w:r w:rsidRPr="009E58F7">
        <w:rPr>
          <w:color w:val="000000"/>
        </w:rPr>
        <w:t>fertőzés előfordulási gyakorisága 6,7% volt a B</w:t>
      </w:r>
      <w:r w:rsidR="00DB6352" w:rsidRPr="009E58F7">
        <w:rPr>
          <w:color w:val="000000"/>
        </w:rPr>
        <w:t>z</w:t>
      </w:r>
      <w:r w:rsidRPr="009E58F7">
        <w:rPr>
          <w:color w:val="000000"/>
        </w:rPr>
        <w:t>R</w:t>
      </w:r>
      <w:r w:rsidR="003F0F42">
        <w:rPr>
          <w:color w:val="000000"/>
        </w:rPr>
        <w:t>-</w:t>
      </w:r>
      <w:r w:rsidRPr="009E58F7">
        <w:rPr>
          <w:color w:val="000000"/>
        </w:rPr>
        <w:t>CAP</w:t>
      </w:r>
      <w:r w:rsidR="00DB6352" w:rsidRPr="009E58F7">
        <w:rPr>
          <w:color w:val="000000"/>
        </w:rPr>
        <w:t> </w:t>
      </w:r>
      <w:r w:rsidRPr="009E58F7">
        <w:rPr>
          <w:color w:val="000000"/>
        </w:rPr>
        <w:t>karon, és 1,2% a</w:t>
      </w:r>
      <w:r w:rsidR="00DB6352" w:rsidRPr="009E58F7">
        <w:rPr>
          <w:color w:val="000000"/>
        </w:rPr>
        <w:t>z</w:t>
      </w:r>
      <w:r w:rsidRPr="009E58F7">
        <w:rPr>
          <w:color w:val="000000"/>
        </w:rPr>
        <w:t xml:space="preserve"> R</w:t>
      </w:r>
      <w:r w:rsidR="003F0F42">
        <w:rPr>
          <w:color w:val="000000"/>
        </w:rPr>
        <w:t>-</w:t>
      </w:r>
      <w:r w:rsidRPr="009E58F7">
        <w:rPr>
          <w:color w:val="000000"/>
        </w:rPr>
        <w:t>CHOP</w:t>
      </w:r>
      <w:r w:rsidR="00DB6352" w:rsidRPr="009E58F7">
        <w:rPr>
          <w:color w:val="000000"/>
        </w:rPr>
        <w:t> </w:t>
      </w:r>
      <w:r w:rsidRPr="009E58F7">
        <w:rPr>
          <w:color w:val="000000"/>
        </w:rPr>
        <w:t>karon (lásd 4.8 pont).</w:t>
      </w:r>
    </w:p>
    <w:p w14:paraId="50F168FA" w14:textId="77777777" w:rsidR="004D6470" w:rsidRPr="009E58F7" w:rsidRDefault="004D6470">
      <w:pPr>
        <w:pStyle w:val="Nincstrkz"/>
      </w:pPr>
    </w:p>
    <w:p w14:paraId="58552C24" w14:textId="23EF21DC" w:rsidR="004D6470" w:rsidRPr="009E58F7" w:rsidRDefault="004D6470">
      <w:pPr>
        <w:pStyle w:val="Nincstrkz"/>
        <w:keepNext/>
        <w:rPr>
          <w:u w:val="single"/>
        </w:rPr>
      </w:pPr>
      <w:r w:rsidRPr="009E58F7">
        <w:rPr>
          <w:color w:val="000000"/>
          <w:u w:val="single"/>
        </w:rPr>
        <w:t>Hepatitis</w:t>
      </w:r>
      <w:r w:rsidR="00DB6352" w:rsidRPr="009E58F7">
        <w:rPr>
          <w:color w:val="000000"/>
          <w:u w:val="single"/>
        </w:rPr>
        <w:t> </w:t>
      </w:r>
      <w:r w:rsidRPr="009E58F7">
        <w:rPr>
          <w:color w:val="000000"/>
          <w:u w:val="single"/>
        </w:rPr>
        <w:t>B vírus (HBV) reaktiválódás és fertőzés</w:t>
      </w:r>
    </w:p>
    <w:p w14:paraId="568B3B71" w14:textId="633D2219" w:rsidR="004D6470" w:rsidRPr="009E58F7" w:rsidRDefault="004D6470">
      <w:pPr>
        <w:spacing w:line="240" w:lineRule="auto"/>
        <w:contextualSpacing/>
        <w:rPr>
          <w:color w:val="000000"/>
        </w:rPr>
      </w:pPr>
      <w:r w:rsidRPr="009E58F7">
        <w:rPr>
          <w:rFonts w:eastAsiaTheme="minorHAnsi"/>
          <w:color w:val="000000"/>
        </w:rPr>
        <w:t xml:space="preserve">Amikor rituximabot alkalmaznak a </w:t>
      </w:r>
      <w:r w:rsidR="008B6253" w:rsidRPr="009E58F7">
        <w:t>bortezomib</w:t>
      </w:r>
      <w:r w:rsidR="00DB6352" w:rsidRPr="009E58F7">
        <w:t>ba</w:t>
      </w:r>
      <w:r w:rsidR="00C5286C" w:rsidRPr="009E58F7">
        <w:t>l</w:t>
      </w:r>
      <w:r w:rsidRPr="009E58F7">
        <w:rPr>
          <w:rFonts w:eastAsiaTheme="minorHAnsi"/>
          <w:color w:val="000000"/>
        </w:rPr>
        <w:t xml:space="preserve"> kombinációban, a kezelés elkezdése előtt a HBV</w:t>
      </w:r>
      <w:r w:rsidR="00FE5B85">
        <w:rPr>
          <w:rFonts w:eastAsiaTheme="minorHAnsi"/>
          <w:color w:val="000000"/>
        </w:rPr>
        <w:t>-</w:t>
      </w:r>
      <w:r w:rsidRPr="009E58F7">
        <w:rPr>
          <w:rFonts w:eastAsiaTheme="minorHAnsi"/>
          <w:color w:val="000000"/>
        </w:rPr>
        <w:t xml:space="preserve">fertőzés által veszélyeztetett betegeknél mindig </w:t>
      </w:r>
      <w:r w:rsidRPr="009E58F7">
        <w:rPr>
          <w:color w:val="000000"/>
        </w:rPr>
        <w:t xml:space="preserve">kell </w:t>
      </w:r>
      <w:r w:rsidRPr="009E58F7">
        <w:rPr>
          <w:rFonts w:eastAsiaTheme="minorHAnsi"/>
          <w:color w:val="000000"/>
        </w:rPr>
        <w:t>HBV</w:t>
      </w:r>
      <w:r w:rsidR="00FE5B85">
        <w:rPr>
          <w:color w:val="000000"/>
        </w:rPr>
        <w:t>-</w:t>
      </w:r>
      <w:r w:rsidRPr="009E58F7">
        <w:rPr>
          <w:rFonts w:eastAsiaTheme="minorHAnsi"/>
          <w:color w:val="000000"/>
        </w:rPr>
        <w:t>szűrést végezni. A hepatitis</w:t>
      </w:r>
      <w:r w:rsidR="00DB6352" w:rsidRPr="009E58F7">
        <w:rPr>
          <w:rFonts w:eastAsiaTheme="minorHAnsi"/>
          <w:color w:val="000000"/>
        </w:rPr>
        <w:t> </w:t>
      </w:r>
      <w:r w:rsidRPr="009E58F7">
        <w:rPr>
          <w:rFonts w:eastAsiaTheme="minorHAnsi"/>
          <w:color w:val="000000"/>
        </w:rPr>
        <w:t>B hordozóknál és azoknál a betegeknél, akiknek az anamnézisében hepatitis</w:t>
      </w:r>
      <w:r w:rsidR="00DB6352" w:rsidRPr="009E58F7">
        <w:rPr>
          <w:rFonts w:eastAsiaTheme="minorHAnsi"/>
          <w:color w:val="000000"/>
        </w:rPr>
        <w:t> </w:t>
      </w:r>
      <w:r w:rsidRPr="009E58F7">
        <w:rPr>
          <w:rFonts w:eastAsiaTheme="minorHAnsi"/>
          <w:color w:val="000000"/>
        </w:rPr>
        <w:t xml:space="preserve">B </w:t>
      </w:r>
      <w:r w:rsidR="00C5286C" w:rsidRPr="009E58F7">
        <w:t>fertőzés</w:t>
      </w:r>
      <w:r w:rsidRPr="009E58F7">
        <w:t xml:space="preserve"> </w:t>
      </w:r>
      <w:r w:rsidRPr="009E58F7">
        <w:rPr>
          <w:rFonts w:eastAsiaTheme="minorHAnsi"/>
          <w:color w:val="000000"/>
        </w:rPr>
        <w:t>szerepel, a rituximabbal kombinált bortezomib</w:t>
      </w:r>
      <w:r w:rsidR="00FE5B85">
        <w:rPr>
          <w:color w:val="000000"/>
        </w:rPr>
        <w:t>-</w:t>
      </w:r>
      <w:r w:rsidRPr="009E58F7">
        <w:rPr>
          <w:rFonts w:eastAsiaTheme="minorHAnsi"/>
          <w:color w:val="000000"/>
        </w:rPr>
        <w:t>kezelés ideje alatt és azt követően szorosan monitorozni kell az aktív HBV</w:t>
      </w:r>
      <w:r w:rsidR="00FE5B85">
        <w:rPr>
          <w:color w:val="000000"/>
        </w:rPr>
        <w:t>-</w:t>
      </w:r>
      <w:r w:rsidRPr="009E58F7">
        <w:rPr>
          <w:rFonts w:eastAsiaTheme="minorHAnsi"/>
          <w:color w:val="000000"/>
        </w:rPr>
        <w:t xml:space="preserve">fertőzés klinikai és laboratóriumi tüneteit. </w:t>
      </w:r>
      <w:r w:rsidR="004F31E5" w:rsidRPr="009E58F7">
        <w:rPr>
          <w:color w:val="000000"/>
        </w:rPr>
        <w:t>Mérlegelendő az antivirális</w:t>
      </w:r>
      <w:r w:rsidRPr="009E58F7">
        <w:rPr>
          <w:rFonts w:eastAsiaTheme="minorHAnsi"/>
          <w:color w:val="000000"/>
        </w:rPr>
        <w:t xml:space="preserve"> szerekkel végzett profilaxis</w:t>
      </w:r>
      <w:r w:rsidRPr="009E58F7">
        <w:rPr>
          <w:color w:val="000000"/>
        </w:rPr>
        <w:t>.</w:t>
      </w:r>
      <w:r w:rsidRPr="009E58F7">
        <w:rPr>
          <w:rFonts w:eastAsiaTheme="minorHAnsi"/>
          <w:color w:val="000000"/>
        </w:rPr>
        <w:t xml:space="preserve"> További információkért olvassa el a rituximab </w:t>
      </w:r>
      <w:r w:rsidRPr="009E58F7">
        <w:rPr>
          <w:color w:val="000000"/>
        </w:rPr>
        <w:t>alkalmazási</w:t>
      </w:r>
      <w:r w:rsidRPr="009E58F7">
        <w:rPr>
          <w:rFonts w:eastAsiaTheme="minorHAnsi"/>
          <w:color w:val="000000"/>
        </w:rPr>
        <w:t xml:space="preserve"> előírását.</w:t>
      </w:r>
    </w:p>
    <w:p w14:paraId="36743A23" w14:textId="77777777" w:rsidR="004D6470" w:rsidRPr="009E58F7" w:rsidRDefault="004D6470">
      <w:pPr>
        <w:pStyle w:val="Nincstrkz"/>
      </w:pPr>
    </w:p>
    <w:p w14:paraId="23E7339F" w14:textId="77777777" w:rsidR="004D6470" w:rsidRPr="009E58F7" w:rsidRDefault="004D6470">
      <w:pPr>
        <w:pStyle w:val="Nincstrkz"/>
        <w:keepNext/>
        <w:rPr>
          <w:u w:val="single"/>
        </w:rPr>
      </w:pPr>
      <w:bookmarkStart w:id="15" w:name="page93"/>
      <w:bookmarkEnd w:id="15"/>
      <w:r w:rsidRPr="009E58F7">
        <w:rPr>
          <w:color w:val="000000"/>
          <w:u w:val="single"/>
        </w:rPr>
        <w:t>Progresszív multifokális leukoencephalopathia (PML)</w:t>
      </w:r>
    </w:p>
    <w:p w14:paraId="77B42B9B" w14:textId="41139A3D" w:rsidR="004D6470" w:rsidRPr="009E58F7" w:rsidRDefault="00DB6352">
      <w:pPr>
        <w:spacing w:line="240" w:lineRule="auto"/>
        <w:contextualSpacing/>
      </w:pPr>
      <w:r w:rsidRPr="009E58F7">
        <w:t>B</w:t>
      </w:r>
      <w:r w:rsidR="008B6253" w:rsidRPr="009E58F7">
        <w:t>ortezomib</w:t>
      </w:r>
      <w:r w:rsidRPr="009E58F7">
        <w:t>ba</w:t>
      </w:r>
      <w:r w:rsidR="00C5286C" w:rsidRPr="009E58F7">
        <w:t>l</w:t>
      </w:r>
      <w:r w:rsidR="004D6470" w:rsidRPr="009E58F7">
        <w:rPr>
          <w:rFonts w:eastAsiaTheme="minorHAnsi"/>
          <w:color w:val="000000"/>
        </w:rPr>
        <w:t xml:space="preserve"> kezelt betegnél </w:t>
      </w:r>
      <w:r w:rsidR="004D6470" w:rsidRPr="009E58F7">
        <w:rPr>
          <w:color w:val="000000"/>
        </w:rPr>
        <w:t>nagyon ritkán</w:t>
      </w:r>
      <w:r w:rsidR="004F31E5" w:rsidRPr="009E58F7">
        <w:rPr>
          <w:color w:val="000000"/>
        </w:rPr>
        <w:t>,</w:t>
      </w:r>
      <w:r w:rsidR="004D6470" w:rsidRPr="009E58F7">
        <w:rPr>
          <w:rFonts w:eastAsiaTheme="minorHAnsi"/>
          <w:color w:val="000000"/>
        </w:rPr>
        <w:t xml:space="preserve"> John Cunningham</w:t>
      </w:r>
      <w:r w:rsidR="0082311C">
        <w:rPr>
          <w:rFonts w:eastAsiaTheme="minorHAnsi"/>
          <w:color w:val="000000"/>
        </w:rPr>
        <w:t>-</w:t>
      </w:r>
      <w:r w:rsidR="004D6470" w:rsidRPr="009E58F7">
        <w:rPr>
          <w:rFonts w:eastAsiaTheme="minorHAnsi"/>
          <w:color w:val="000000"/>
        </w:rPr>
        <w:t xml:space="preserve"> (JC) </w:t>
      </w:r>
      <w:r w:rsidR="00C5286C" w:rsidRPr="009E58F7">
        <w:t>vírusfertőzéssel</w:t>
      </w:r>
      <w:r w:rsidR="004D6470" w:rsidRPr="009E58F7">
        <w:rPr>
          <w:rFonts w:eastAsiaTheme="minorHAnsi"/>
          <w:color w:val="000000"/>
        </w:rPr>
        <w:t xml:space="preserve"> nem tisztázott ok</w:t>
      </w:r>
      <w:r w:rsidR="003F0F42">
        <w:rPr>
          <w:color w:val="000000"/>
        </w:rPr>
        <w:t>-</w:t>
      </w:r>
      <w:r w:rsidR="004D6470" w:rsidRPr="009E58F7">
        <w:rPr>
          <w:rFonts w:eastAsiaTheme="minorHAnsi"/>
          <w:color w:val="000000"/>
        </w:rPr>
        <w:t xml:space="preserve">okozati összefüggésben álló, </w:t>
      </w:r>
      <w:r w:rsidRPr="009E58F7">
        <w:rPr>
          <w:rFonts w:eastAsiaTheme="minorHAnsi"/>
          <w:color w:val="000000"/>
        </w:rPr>
        <w:t>PML</w:t>
      </w:r>
      <w:r w:rsidR="003F0F42">
        <w:rPr>
          <w:rFonts w:eastAsiaTheme="minorHAnsi"/>
          <w:color w:val="000000"/>
        </w:rPr>
        <w:t>-</w:t>
      </w:r>
      <w:r w:rsidRPr="009E58F7">
        <w:rPr>
          <w:rFonts w:eastAsiaTheme="minorHAnsi"/>
          <w:color w:val="000000"/>
        </w:rPr>
        <w:t>h</w:t>
      </w:r>
      <w:r w:rsidR="0082311C">
        <w:rPr>
          <w:rFonts w:eastAsiaTheme="minorHAnsi"/>
          <w:color w:val="000000"/>
        </w:rPr>
        <w:t>e</w:t>
      </w:r>
      <w:r w:rsidRPr="009E58F7">
        <w:rPr>
          <w:rFonts w:eastAsiaTheme="minorHAnsi"/>
          <w:color w:val="000000"/>
        </w:rPr>
        <w:t>z</w:t>
      </w:r>
      <w:r w:rsidR="004D6470" w:rsidRPr="009E58F7">
        <w:rPr>
          <w:rFonts w:eastAsiaTheme="minorHAnsi"/>
          <w:color w:val="000000"/>
        </w:rPr>
        <w:t xml:space="preserve"> és halálhoz vezető eseteket jelentettek. </w:t>
      </w:r>
      <w:r w:rsidR="004D6470" w:rsidRPr="009E58F7">
        <w:rPr>
          <w:color w:val="000000"/>
        </w:rPr>
        <w:t>A</w:t>
      </w:r>
      <w:r w:rsidR="004D6470" w:rsidRPr="009E58F7">
        <w:rPr>
          <w:rFonts w:eastAsiaTheme="minorHAnsi"/>
          <w:color w:val="000000"/>
        </w:rPr>
        <w:t xml:space="preserve"> </w:t>
      </w:r>
      <w:r w:rsidRPr="009E58F7">
        <w:rPr>
          <w:rFonts w:eastAsiaTheme="minorHAnsi"/>
          <w:color w:val="000000"/>
        </w:rPr>
        <w:t>PML</w:t>
      </w:r>
      <w:r w:rsidR="00FE5B85">
        <w:rPr>
          <w:rFonts w:eastAsiaTheme="minorHAnsi"/>
          <w:color w:val="000000"/>
        </w:rPr>
        <w:t>-</w:t>
      </w:r>
      <w:r w:rsidR="0082311C">
        <w:rPr>
          <w:rFonts w:eastAsiaTheme="minorHAnsi"/>
          <w:color w:val="000000"/>
        </w:rPr>
        <w:t>le</w:t>
      </w:r>
      <w:r w:rsidRPr="009E58F7">
        <w:rPr>
          <w:rFonts w:eastAsiaTheme="minorHAnsi"/>
          <w:color w:val="000000"/>
        </w:rPr>
        <w:t>l</w:t>
      </w:r>
      <w:r w:rsidR="004D6470" w:rsidRPr="009E58F7">
        <w:rPr>
          <w:color w:val="000000"/>
        </w:rPr>
        <w:t xml:space="preserve"> diagnosztizált betegek</w:t>
      </w:r>
      <w:r w:rsidR="004D6470" w:rsidRPr="009E58F7">
        <w:rPr>
          <w:rFonts w:eastAsiaTheme="minorHAnsi"/>
          <w:color w:val="000000"/>
        </w:rPr>
        <w:t xml:space="preserve"> korábban vagy egyidejűleg immunszupresszív kezelésben részesültek. A </w:t>
      </w:r>
      <w:r w:rsidRPr="009E58F7">
        <w:rPr>
          <w:rFonts w:eastAsiaTheme="minorHAnsi"/>
          <w:color w:val="000000"/>
        </w:rPr>
        <w:t>PML</w:t>
      </w:r>
      <w:r w:rsidR="004D6470" w:rsidRPr="009E58F7">
        <w:rPr>
          <w:rFonts w:eastAsiaTheme="minorHAnsi"/>
          <w:color w:val="000000"/>
        </w:rPr>
        <w:t xml:space="preserve"> eset</w:t>
      </w:r>
      <w:r w:rsidR="0082311C">
        <w:rPr>
          <w:rFonts w:eastAsiaTheme="minorHAnsi"/>
          <w:color w:val="000000"/>
        </w:rPr>
        <w:t>e</w:t>
      </w:r>
      <w:r w:rsidR="004D6470" w:rsidRPr="009E58F7">
        <w:rPr>
          <w:rFonts w:eastAsiaTheme="minorHAnsi"/>
          <w:color w:val="000000"/>
        </w:rPr>
        <w:t>k többségét az első bortezomib</w:t>
      </w:r>
      <w:r w:rsidR="0082311C">
        <w:rPr>
          <w:rFonts w:eastAsiaTheme="minorHAnsi"/>
          <w:color w:val="000000"/>
        </w:rPr>
        <w:t>-</w:t>
      </w:r>
      <w:r w:rsidR="004D6470" w:rsidRPr="009E58F7">
        <w:rPr>
          <w:rFonts w:eastAsiaTheme="minorHAnsi"/>
          <w:color w:val="000000"/>
        </w:rPr>
        <w:t>adagot követő 12</w:t>
      </w:r>
      <w:r w:rsidR="004D6470" w:rsidRPr="009E58F7">
        <w:rPr>
          <w:color w:val="000000"/>
        </w:rPr>
        <w:t> </w:t>
      </w:r>
      <w:r w:rsidR="004D6470" w:rsidRPr="009E58F7">
        <w:rPr>
          <w:rFonts w:eastAsiaTheme="minorHAnsi"/>
          <w:color w:val="000000"/>
        </w:rPr>
        <w:t>hónapon belül diagnosztizálták. A betegeknél a központi idegrendszeri eltérések differenciál</w:t>
      </w:r>
      <w:r w:rsidR="0082311C">
        <w:rPr>
          <w:rFonts w:eastAsiaTheme="minorHAnsi"/>
          <w:color w:val="000000"/>
        </w:rPr>
        <w:t>-</w:t>
      </w:r>
      <w:r w:rsidR="004D6470" w:rsidRPr="009E58F7">
        <w:rPr>
          <w:rFonts w:eastAsiaTheme="minorHAnsi"/>
          <w:color w:val="000000"/>
        </w:rPr>
        <w:t xml:space="preserve">diagnózisának részeként rendszeres időközönként ellenőrizni kell a </w:t>
      </w:r>
      <w:r w:rsidRPr="009E58F7">
        <w:rPr>
          <w:rFonts w:eastAsiaTheme="minorHAnsi"/>
          <w:color w:val="000000"/>
        </w:rPr>
        <w:t>PML-r</w:t>
      </w:r>
      <w:r w:rsidR="0082311C">
        <w:rPr>
          <w:rFonts w:eastAsiaTheme="minorHAnsi"/>
          <w:color w:val="000000"/>
        </w:rPr>
        <w:t>e</w:t>
      </w:r>
      <w:r w:rsidR="004D6470" w:rsidRPr="009E58F7">
        <w:rPr>
          <w:rFonts w:eastAsiaTheme="minorHAnsi"/>
          <w:color w:val="000000"/>
        </w:rPr>
        <w:t xml:space="preserve"> utaló minden új vagy súlyosbodó neurológiai panaszt</w:t>
      </w:r>
      <w:r w:rsidR="004F31E5" w:rsidRPr="009E58F7">
        <w:rPr>
          <w:color w:val="000000"/>
        </w:rPr>
        <w:t>, illetve</w:t>
      </w:r>
      <w:r w:rsidR="004D6470" w:rsidRPr="009E58F7">
        <w:rPr>
          <w:rFonts w:eastAsiaTheme="minorHAnsi"/>
          <w:color w:val="000000"/>
        </w:rPr>
        <w:t xml:space="preserve"> tünetet. PML diagnózisának gyanúja esetén a beteget </w:t>
      </w:r>
      <w:r w:rsidRPr="009E58F7">
        <w:rPr>
          <w:rFonts w:eastAsiaTheme="minorHAnsi"/>
          <w:color w:val="000000"/>
        </w:rPr>
        <w:t>PML-</w:t>
      </w:r>
      <w:r w:rsidR="0082311C">
        <w:rPr>
          <w:rFonts w:eastAsiaTheme="minorHAnsi"/>
          <w:color w:val="000000"/>
        </w:rPr>
        <w:t>le</w:t>
      </w:r>
      <w:r w:rsidRPr="009E58F7">
        <w:rPr>
          <w:rFonts w:eastAsiaTheme="minorHAnsi"/>
          <w:color w:val="000000"/>
        </w:rPr>
        <w:t>l</w:t>
      </w:r>
      <w:r w:rsidR="004D6470" w:rsidRPr="009E58F7">
        <w:rPr>
          <w:rFonts w:eastAsiaTheme="minorHAnsi"/>
          <w:color w:val="000000"/>
        </w:rPr>
        <w:t xml:space="preserve"> foglalkozó szakorvoshoz kell irányítani, és a PML</w:t>
      </w:r>
      <w:r w:rsidR="0082311C">
        <w:rPr>
          <w:rFonts w:eastAsiaTheme="minorHAnsi"/>
          <w:color w:val="000000"/>
        </w:rPr>
        <w:t>-</w:t>
      </w:r>
      <w:r w:rsidR="004D6470" w:rsidRPr="009E58F7">
        <w:rPr>
          <w:rFonts w:eastAsiaTheme="minorHAnsi"/>
          <w:color w:val="000000"/>
        </w:rPr>
        <w:t xml:space="preserve">diagnózis megállapítására alkalmas </w:t>
      </w:r>
      <w:r w:rsidR="004D6470" w:rsidRPr="009E58F7">
        <w:rPr>
          <w:rFonts w:eastAsiaTheme="minorHAnsi"/>
          <w:color w:val="000000"/>
        </w:rPr>
        <w:lastRenderedPageBreak/>
        <w:t xml:space="preserve">vizsgálati eljárásokat kell kezdeményezni. A </w:t>
      </w:r>
      <w:r w:rsidR="004F31E5" w:rsidRPr="009E58F7">
        <w:rPr>
          <w:color w:val="000000"/>
        </w:rPr>
        <w:t>PML</w:t>
      </w:r>
      <w:r w:rsidR="004D6470" w:rsidRPr="009E58F7">
        <w:rPr>
          <w:rFonts w:eastAsiaTheme="minorHAnsi"/>
          <w:color w:val="000000"/>
        </w:rPr>
        <w:t xml:space="preserve"> diagnózisának igazolása esetén a bortezomib</w:t>
      </w:r>
      <w:r w:rsidR="00FE5B85">
        <w:rPr>
          <w:color w:val="000000"/>
        </w:rPr>
        <w:t>-</w:t>
      </w:r>
      <w:r w:rsidR="004D6470" w:rsidRPr="009E58F7">
        <w:rPr>
          <w:rFonts w:eastAsiaTheme="minorHAnsi"/>
          <w:color w:val="000000"/>
        </w:rPr>
        <w:t>kezelést abba kell hagyni.</w:t>
      </w:r>
    </w:p>
    <w:p w14:paraId="55F9D923" w14:textId="77777777" w:rsidR="004D6470" w:rsidRPr="009E58F7" w:rsidRDefault="004D6470">
      <w:pPr>
        <w:pStyle w:val="Nincstrkz"/>
      </w:pPr>
    </w:p>
    <w:p w14:paraId="6D0BE90E" w14:textId="77777777" w:rsidR="004D6470" w:rsidRPr="009E58F7" w:rsidRDefault="004D6470">
      <w:pPr>
        <w:pStyle w:val="Nincstrkz"/>
        <w:keepNext/>
        <w:rPr>
          <w:u w:val="single"/>
        </w:rPr>
      </w:pPr>
      <w:bookmarkStart w:id="16" w:name="page44"/>
      <w:bookmarkEnd w:id="16"/>
      <w:r w:rsidRPr="009E58F7">
        <w:rPr>
          <w:color w:val="000000"/>
          <w:u w:val="single"/>
        </w:rPr>
        <w:t>Perifériás neuropathia</w:t>
      </w:r>
    </w:p>
    <w:p w14:paraId="7CF8BA04" w14:textId="39999B6D" w:rsidR="004D6470" w:rsidRPr="009E58F7" w:rsidRDefault="004D6470" w:rsidP="00602E58">
      <w:pPr>
        <w:spacing w:line="240" w:lineRule="auto"/>
        <w:contextualSpacing/>
      </w:pPr>
      <w:r w:rsidRPr="009E58F7">
        <w:rPr>
          <w:rFonts w:eastAsiaTheme="minorHAnsi"/>
          <w:color w:val="000000"/>
        </w:rPr>
        <w:t>A bortezomib</w:t>
      </w:r>
      <w:r w:rsidR="00FE5B85">
        <w:rPr>
          <w:color w:val="000000"/>
        </w:rPr>
        <w:t>-</w:t>
      </w:r>
      <w:r w:rsidRPr="009E58F7">
        <w:rPr>
          <w:rFonts w:eastAsiaTheme="minorHAnsi"/>
          <w:color w:val="000000"/>
        </w:rPr>
        <w:t>kezeléssel összefüggésben nagyon gyakori a perifériá</w:t>
      </w:r>
      <w:r w:rsidR="00C136FF" w:rsidRPr="009E58F7">
        <w:rPr>
          <w:rFonts w:eastAsiaTheme="minorHAnsi"/>
          <w:color w:val="000000"/>
        </w:rPr>
        <w:t xml:space="preserve">s neuropathia kialakulása, </w:t>
      </w:r>
      <w:r w:rsidR="00C5286C" w:rsidRPr="009E58F7">
        <w:t>amely</w:t>
      </w:r>
      <w:r w:rsidRPr="009E58F7">
        <w:rPr>
          <w:rFonts w:eastAsiaTheme="minorHAnsi"/>
          <w:color w:val="000000"/>
        </w:rPr>
        <w:t xml:space="preserve"> többnyire szenzoros típusú. </w:t>
      </w:r>
      <w:r w:rsidR="004F31E5" w:rsidRPr="009E58F7">
        <w:rPr>
          <w:color w:val="000000"/>
        </w:rPr>
        <w:t>Beszámoltak azonban</w:t>
      </w:r>
      <w:r w:rsidRPr="009E58F7">
        <w:rPr>
          <w:rFonts w:eastAsiaTheme="minorHAnsi"/>
          <w:color w:val="000000"/>
        </w:rPr>
        <w:t xml:space="preserve"> </w:t>
      </w:r>
      <w:r w:rsidR="004F31E5" w:rsidRPr="009E58F7">
        <w:rPr>
          <w:rFonts w:eastAsiaTheme="minorHAnsi"/>
          <w:color w:val="000000"/>
        </w:rPr>
        <w:t xml:space="preserve">szenzoros, perifériás neuropathiával </w:t>
      </w:r>
      <w:r w:rsidR="004F31E5" w:rsidRPr="009E58F7">
        <w:rPr>
          <w:color w:val="000000"/>
        </w:rPr>
        <w:t xml:space="preserve">társuló </w:t>
      </w:r>
      <w:r w:rsidR="004F31E5" w:rsidRPr="009E58F7">
        <w:rPr>
          <w:rFonts w:eastAsiaTheme="minorHAnsi"/>
          <w:color w:val="000000"/>
        </w:rPr>
        <w:t>vagy anélkül</w:t>
      </w:r>
      <w:r w:rsidR="004F31E5" w:rsidRPr="009E58F7">
        <w:rPr>
          <w:color w:val="000000"/>
        </w:rPr>
        <w:t xml:space="preserve"> jelentkező </w:t>
      </w:r>
      <w:r w:rsidRPr="009E58F7">
        <w:rPr>
          <w:color w:val="000000"/>
        </w:rPr>
        <w:t>súlyos</w:t>
      </w:r>
      <w:r w:rsidR="004F31E5" w:rsidRPr="009E58F7">
        <w:rPr>
          <w:color w:val="000000"/>
        </w:rPr>
        <w:t>,</w:t>
      </w:r>
      <w:r w:rsidRPr="009E58F7">
        <w:rPr>
          <w:color w:val="000000"/>
        </w:rPr>
        <w:t xml:space="preserve"> motoros neuropathiás esetek</w:t>
      </w:r>
      <w:r w:rsidR="004F31E5" w:rsidRPr="009E58F7">
        <w:rPr>
          <w:color w:val="000000"/>
        </w:rPr>
        <w:t>ről is</w:t>
      </w:r>
      <w:r w:rsidRPr="009E58F7">
        <w:rPr>
          <w:rFonts w:eastAsiaTheme="minorHAnsi"/>
          <w:color w:val="000000"/>
        </w:rPr>
        <w:t>. A perifériás neuropathia előfordulási gyakorisága emelkedik a kezelés kezdetén, és az 5.</w:t>
      </w:r>
      <w:r w:rsidR="00DB6352" w:rsidRPr="009E58F7">
        <w:rPr>
          <w:rFonts w:eastAsiaTheme="minorHAnsi"/>
          <w:color w:val="000000"/>
        </w:rPr>
        <w:t> </w:t>
      </w:r>
      <w:r w:rsidRPr="009E58F7">
        <w:rPr>
          <w:rFonts w:eastAsiaTheme="minorHAnsi"/>
          <w:color w:val="000000"/>
        </w:rPr>
        <w:t>ciklus során éri el maximumát.</w:t>
      </w:r>
    </w:p>
    <w:p w14:paraId="6D051613" w14:textId="77777777" w:rsidR="004D6470" w:rsidRPr="009E58F7" w:rsidRDefault="004D6470" w:rsidP="00D7256D">
      <w:pPr>
        <w:pStyle w:val="Nincstrkz"/>
      </w:pPr>
    </w:p>
    <w:p w14:paraId="772CC305" w14:textId="2810EB5B" w:rsidR="004D6470" w:rsidRPr="009E58F7" w:rsidRDefault="004D6470" w:rsidP="00D7256D">
      <w:pPr>
        <w:pStyle w:val="Nincstrkz"/>
      </w:pPr>
      <w:r w:rsidRPr="009E58F7">
        <w:rPr>
          <w:color w:val="000000"/>
        </w:rPr>
        <w:t>A</w:t>
      </w:r>
      <w:r w:rsidR="009D2EC4" w:rsidRPr="009E58F7">
        <w:rPr>
          <w:color w:val="000000"/>
        </w:rPr>
        <w:t xml:space="preserve"> betegeknél fokozott gondossággal ajánlott </w:t>
      </w:r>
      <w:r w:rsidR="00AD601B" w:rsidRPr="009E58F7">
        <w:rPr>
          <w:color w:val="000000"/>
        </w:rPr>
        <w:t>figyelemmel kísérni</w:t>
      </w:r>
      <w:r w:rsidR="009D2EC4" w:rsidRPr="009E58F7">
        <w:rPr>
          <w:color w:val="000000"/>
        </w:rPr>
        <w:t xml:space="preserve"> a</w:t>
      </w:r>
      <w:r w:rsidRPr="009E58F7">
        <w:rPr>
          <w:color w:val="000000"/>
        </w:rPr>
        <w:t xml:space="preserve"> neuropathia olyan tüneteit, mint az égő érzés, hyperesthesia, hypaesthesia, paraesthesia, d</w:t>
      </w:r>
      <w:r w:rsidR="00190438" w:rsidRPr="009E58F7">
        <w:rPr>
          <w:color w:val="000000"/>
        </w:rPr>
        <w:t>iszk</w:t>
      </w:r>
      <w:r w:rsidRPr="009E58F7">
        <w:rPr>
          <w:color w:val="000000"/>
        </w:rPr>
        <w:t>omfortérzés, neuropathiás fájdalom vagy gyengeség.</w:t>
      </w:r>
    </w:p>
    <w:p w14:paraId="0B429B38" w14:textId="77777777" w:rsidR="004D6470" w:rsidRPr="009E58F7" w:rsidRDefault="004D6470" w:rsidP="007070F2">
      <w:pPr>
        <w:pStyle w:val="Nincstrkz"/>
      </w:pPr>
    </w:p>
    <w:p w14:paraId="15496553" w14:textId="2C21C9B1" w:rsidR="004D6470" w:rsidRPr="009E58F7" w:rsidRDefault="004D6470" w:rsidP="003D25C3">
      <w:pPr>
        <w:pStyle w:val="Nincstrkz"/>
      </w:pPr>
      <w:r w:rsidRPr="009E58F7">
        <w:rPr>
          <w:color w:val="000000"/>
        </w:rPr>
        <w:t>A bortezomib intravénás és subcutan alkalmazását összehasonlító III</w:t>
      </w:r>
      <w:r w:rsidR="00642998" w:rsidRPr="009E58F7">
        <w:rPr>
          <w:color w:val="000000"/>
        </w:rPr>
        <w:t>.</w:t>
      </w:r>
      <w:r w:rsidR="00BD5400">
        <w:rPr>
          <w:color w:val="000000"/>
        </w:rPr>
        <w:t> </w:t>
      </w:r>
      <w:r w:rsidR="00642998" w:rsidRPr="009E58F7">
        <w:rPr>
          <w:color w:val="000000"/>
        </w:rPr>
        <w:t xml:space="preserve">fázisú </w:t>
      </w:r>
      <w:r w:rsidRPr="009E58F7">
        <w:rPr>
          <w:color w:val="000000"/>
        </w:rPr>
        <w:t>vizsgálatban a</w:t>
      </w:r>
      <w:r w:rsidR="00642998" w:rsidRPr="009E58F7">
        <w:rPr>
          <w:color w:val="000000"/>
        </w:rPr>
        <w:t> </w:t>
      </w:r>
      <w:r w:rsidR="00D2526D" w:rsidRPr="009E58F7">
        <w:rPr>
          <w:color w:val="000000"/>
        </w:rPr>
        <w:t>≥</w:t>
      </w:r>
      <w:r w:rsidR="00642998" w:rsidRPr="009E58F7">
        <w:rPr>
          <w:color w:val="000000"/>
        </w:rPr>
        <w:t> </w:t>
      </w:r>
      <w:r w:rsidRPr="009E58F7">
        <w:rPr>
          <w:color w:val="000000"/>
        </w:rPr>
        <w:t>2</w:t>
      </w:r>
      <w:r w:rsidR="00BD5400">
        <w:rPr>
          <w:color w:val="000000"/>
        </w:rPr>
        <w:t>-</w:t>
      </w:r>
      <w:r w:rsidRPr="009E58F7">
        <w:rPr>
          <w:color w:val="000000"/>
        </w:rPr>
        <w:t>es fok</w:t>
      </w:r>
      <w:r w:rsidR="00272FB6" w:rsidRPr="009E58F7">
        <w:rPr>
          <w:color w:val="000000"/>
        </w:rPr>
        <w:t>ozatú perifériás neuropathiás</w:t>
      </w:r>
      <w:r w:rsidRPr="009E58F7">
        <w:rPr>
          <w:color w:val="000000"/>
        </w:rPr>
        <w:t xml:space="preserve"> események előfordulási gyakorisága 24% volt azoknál, akik a gyógyszert subcutan kapták</w:t>
      </w:r>
      <w:r w:rsidR="00642998" w:rsidRPr="009E58F7">
        <w:rPr>
          <w:color w:val="000000"/>
        </w:rPr>
        <w:t>,</w:t>
      </w:r>
      <w:r w:rsidRPr="009E58F7">
        <w:rPr>
          <w:color w:val="000000"/>
        </w:rPr>
        <w:t xml:space="preserve"> és 41% az inravénás kezelésben részesülők csoportjában (p</w:t>
      </w:r>
      <w:r w:rsidR="00642998" w:rsidRPr="009E58F7">
        <w:rPr>
          <w:color w:val="000000"/>
        </w:rPr>
        <w:t> </w:t>
      </w:r>
      <w:r w:rsidRPr="009E58F7">
        <w:rPr>
          <w:color w:val="000000"/>
        </w:rPr>
        <w:t>=</w:t>
      </w:r>
      <w:r w:rsidR="00642998" w:rsidRPr="009E58F7">
        <w:rPr>
          <w:color w:val="000000"/>
        </w:rPr>
        <w:t> </w:t>
      </w:r>
      <w:r w:rsidRPr="009E58F7">
        <w:rPr>
          <w:color w:val="000000"/>
        </w:rPr>
        <w:t>0,0124). A perifériás neuropathia</w:t>
      </w:r>
      <w:r w:rsidR="00642998" w:rsidRPr="009E58F7">
        <w:rPr>
          <w:color w:val="000000"/>
        </w:rPr>
        <w:t> </w:t>
      </w:r>
      <w:r w:rsidR="00D2526D" w:rsidRPr="009E58F7">
        <w:rPr>
          <w:color w:val="000000"/>
        </w:rPr>
        <w:t>≥</w:t>
      </w:r>
      <w:r w:rsidR="00642998" w:rsidRPr="009E58F7">
        <w:rPr>
          <w:color w:val="000000"/>
        </w:rPr>
        <w:t> </w:t>
      </w:r>
      <w:r w:rsidRPr="009E58F7">
        <w:rPr>
          <w:color w:val="000000"/>
        </w:rPr>
        <w:t>3</w:t>
      </w:r>
      <w:r w:rsidR="00BD5400">
        <w:rPr>
          <w:color w:val="000000"/>
        </w:rPr>
        <w:t>-</w:t>
      </w:r>
      <w:r w:rsidRPr="009E58F7">
        <w:rPr>
          <w:color w:val="000000"/>
        </w:rPr>
        <w:t>as súlyossági fok</w:t>
      </w:r>
      <w:r w:rsidR="00272FB6" w:rsidRPr="009E58F7">
        <w:rPr>
          <w:color w:val="000000"/>
        </w:rPr>
        <w:t>ozat</w:t>
      </w:r>
      <w:r w:rsidRPr="009E58F7">
        <w:rPr>
          <w:color w:val="000000"/>
        </w:rPr>
        <w:t>a a subcutan csoport 6%</w:t>
      </w:r>
      <w:r w:rsidR="00FE5B85">
        <w:rPr>
          <w:color w:val="000000"/>
        </w:rPr>
        <w:t>-</w:t>
      </w:r>
      <w:r w:rsidRPr="009E58F7">
        <w:rPr>
          <w:color w:val="000000"/>
        </w:rPr>
        <w:t xml:space="preserve">ánál </w:t>
      </w:r>
      <w:r w:rsidR="00272FB6" w:rsidRPr="009E58F7">
        <w:rPr>
          <w:color w:val="000000"/>
        </w:rPr>
        <w:t xml:space="preserve">fordult elő, </w:t>
      </w:r>
      <w:r w:rsidRPr="009E58F7">
        <w:rPr>
          <w:color w:val="000000"/>
        </w:rPr>
        <w:t>míg az intravénás injekcióval kezelt csoport</w:t>
      </w:r>
      <w:r w:rsidR="00272FB6" w:rsidRPr="009E58F7">
        <w:rPr>
          <w:color w:val="000000"/>
        </w:rPr>
        <w:t>ban 16%</w:t>
      </w:r>
      <w:r w:rsidR="00642998" w:rsidRPr="009E58F7">
        <w:rPr>
          <w:color w:val="000000"/>
        </w:rPr>
        <w:t> </w:t>
      </w:r>
      <w:r w:rsidRPr="009E58F7">
        <w:rPr>
          <w:color w:val="000000"/>
        </w:rPr>
        <w:t>nál (p</w:t>
      </w:r>
      <w:r w:rsidR="00642998" w:rsidRPr="009E58F7">
        <w:rPr>
          <w:color w:val="000000"/>
        </w:rPr>
        <w:t> </w:t>
      </w:r>
      <w:r w:rsidRPr="009E58F7">
        <w:rPr>
          <w:color w:val="000000"/>
        </w:rPr>
        <w:t>=</w:t>
      </w:r>
      <w:r w:rsidR="00642998" w:rsidRPr="009E58F7">
        <w:rPr>
          <w:color w:val="000000"/>
        </w:rPr>
        <w:t> </w:t>
      </w:r>
      <w:r w:rsidRPr="009E58F7">
        <w:rPr>
          <w:color w:val="000000"/>
        </w:rPr>
        <w:t xml:space="preserve">0,0264). Az intravénásan alkalmazott </w:t>
      </w:r>
      <w:r w:rsidR="008B6253" w:rsidRPr="009E58F7">
        <w:rPr>
          <w:rFonts w:eastAsia="Times New Roman"/>
        </w:rPr>
        <w:t>bortezomib</w:t>
      </w:r>
      <w:r w:rsidR="00642998" w:rsidRPr="009E58F7">
        <w:rPr>
          <w:rFonts w:eastAsia="Times New Roman"/>
        </w:rPr>
        <w:t>ba</w:t>
      </w:r>
      <w:r w:rsidR="00C5286C" w:rsidRPr="009E58F7">
        <w:rPr>
          <w:rFonts w:eastAsia="Times New Roman"/>
        </w:rPr>
        <w:t>l</w:t>
      </w:r>
      <w:r w:rsidRPr="009E58F7">
        <w:rPr>
          <w:color w:val="000000"/>
        </w:rPr>
        <w:t xml:space="preserve"> összefüggő perifériás neuropathia összes súlyossági fokának előfordulási gyakorisága az intravénás adagolás korábbi vizsgálataiban alacsonyabb volt</w:t>
      </w:r>
      <w:r w:rsidR="00272FB6" w:rsidRPr="009E58F7">
        <w:rPr>
          <w:color w:val="000000"/>
        </w:rPr>
        <w:t>,</w:t>
      </w:r>
      <w:r w:rsidRPr="009E58F7">
        <w:rPr>
          <w:color w:val="000000"/>
        </w:rPr>
        <w:t xml:space="preserve"> mint az MMY</w:t>
      </w:r>
      <w:r w:rsidR="003F0F42">
        <w:rPr>
          <w:color w:val="000000"/>
        </w:rPr>
        <w:t>-</w:t>
      </w:r>
      <w:r w:rsidRPr="009E58F7">
        <w:rPr>
          <w:color w:val="000000"/>
        </w:rPr>
        <w:t>3021</w:t>
      </w:r>
      <w:r w:rsidR="00642998" w:rsidRPr="009E58F7">
        <w:rPr>
          <w:color w:val="000000"/>
        </w:rPr>
        <w:t> </w:t>
      </w:r>
      <w:r w:rsidRPr="009E58F7">
        <w:rPr>
          <w:color w:val="000000"/>
        </w:rPr>
        <w:t>vizsgálatban.</w:t>
      </w:r>
    </w:p>
    <w:p w14:paraId="3BC0DA8C" w14:textId="77777777" w:rsidR="004D6470" w:rsidRPr="009E58F7" w:rsidRDefault="004D6470">
      <w:pPr>
        <w:pStyle w:val="Nincstrkz"/>
      </w:pPr>
    </w:p>
    <w:p w14:paraId="708D0BF1" w14:textId="274357A8" w:rsidR="004D6470" w:rsidRPr="009E58F7" w:rsidRDefault="004D6470">
      <w:pPr>
        <w:pStyle w:val="Nincstrkz"/>
      </w:pPr>
      <w:r w:rsidRPr="009E58F7">
        <w:rPr>
          <w:color w:val="000000"/>
        </w:rPr>
        <w:t>A</w:t>
      </w:r>
      <w:r w:rsidR="008A01CE" w:rsidRPr="009E58F7">
        <w:rPr>
          <w:color w:val="000000"/>
        </w:rPr>
        <w:t xml:space="preserve"> </w:t>
      </w:r>
      <w:r w:rsidRPr="009E58F7">
        <w:rPr>
          <w:color w:val="000000"/>
        </w:rPr>
        <w:t xml:space="preserve">perifériás neuropathia </w:t>
      </w:r>
      <w:r w:rsidR="008A01CE" w:rsidRPr="009E58F7">
        <w:rPr>
          <w:color w:val="000000"/>
        </w:rPr>
        <w:t>kialakulását,</w:t>
      </w:r>
      <w:r w:rsidRPr="009E58F7">
        <w:rPr>
          <w:color w:val="000000"/>
        </w:rPr>
        <w:t xml:space="preserve"> vagy </w:t>
      </w:r>
      <w:r w:rsidR="008A01CE" w:rsidRPr="009E58F7">
        <w:rPr>
          <w:color w:val="000000"/>
        </w:rPr>
        <w:t xml:space="preserve">a </w:t>
      </w:r>
      <w:r w:rsidRPr="009E58F7">
        <w:rPr>
          <w:color w:val="000000"/>
        </w:rPr>
        <w:t>meglévő neuropathi</w:t>
      </w:r>
      <w:r w:rsidR="008A01CE" w:rsidRPr="009E58F7">
        <w:rPr>
          <w:color w:val="000000"/>
        </w:rPr>
        <w:t xml:space="preserve">a </w:t>
      </w:r>
      <w:r w:rsidRPr="009E58F7">
        <w:rPr>
          <w:color w:val="000000"/>
        </w:rPr>
        <w:t>rosszabbod</w:t>
      </w:r>
      <w:r w:rsidR="008A01CE" w:rsidRPr="009E58F7">
        <w:rPr>
          <w:color w:val="000000"/>
        </w:rPr>
        <w:t>ását tapasztaló betegeknél</w:t>
      </w:r>
      <w:r w:rsidRPr="009E58F7">
        <w:rPr>
          <w:color w:val="000000"/>
        </w:rPr>
        <w:t xml:space="preserve"> neurológiai vizsgálatot kell végezni, </w:t>
      </w:r>
      <w:r w:rsidR="00A85C17" w:rsidRPr="009E58F7">
        <w:rPr>
          <w:color w:val="000000"/>
        </w:rPr>
        <w:t>továbbá</w:t>
      </w:r>
      <w:r w:rsidRPr="009E58F7">
        <w:rPr>
          <w:color w:val="000000"/>
        </w:rPr>
        <w:t xml:space="preserve"> </w:t>
      </w:r>
      <w:r w:rsidR="00642998" w:rsidRPr="009E58F7">
        <w:rPr>
          <w:color w:val="000000"/>
        </w:rPr>
        <w:t>esetükben</w:t>
      </w:r>
      <w:r w:rsidR="00A85C17" w:rsidRPr="009E58F7">
        <w:rPr>
          <w:color w:val="000000"/>
        </w:rPr>
        <w:t xml:space="preserve"> </w:t>
      </w:r>
      <w:r w:rsidRPr="009E58F7">
        <w:rPr>
          <w:color w:val="000000"/>
        </w:rPr>
        <w:t>szükség lehet a bortezomib</w:t>
      </w:r>
      <w:r w:rsidR="00FF6F93">
        <w:rPr>
          <w:color w:val="000000"/>
        </w:rPr>
        <w:t>-</w:t>
      </w:r>
      <w:r w:rsidRPr="009E58F7">
        <w:rPr>
          <w:color w:val="000000"/>
        </w:rPr>
        <w:t>dózis vagy az adagolási rend megváltoztatására</w:t>
      </w:r>
      <w:r w:rsidR="00A85C17" w:rsidRPr="009E58F7">
        <w:rPr>
          <w:color w:val="000000"/>
        </w:rPr>
        <w:t>, illetve</w:t>
      </w:r>
      <w:r w:rsidRPr="009E58F7">
        <w:rPr>
          <w:color w:val="000000"/>
        </w:rPr>
        <w:t xml:space="preserve"> a subcutan alkalmazási módra </w:t>
      </w:r>
      <w:r w:rsidR="00A85C17" w:rsidRPr="009E58F7">
        <w:rPr>
          <w:color w:val="000000"/>
        </w:rPr>
        <w:t>történő átáll</w:t>
      </w:r>
      <w:r w:rsidR="00EF01B4" w:rsidRPr="009E58F7">
        <w:rPr>
          <w:color w:val="000000"/>
        </w:rPr>
        <w:t>á</w:t>
      </w:r>
      <w:r w:rsidR="00A85C17" w:rsidRPr="009E58F7">
        <w:rPr>
          <w:color w:val="000000"/>
        </w:rPr>
        <w:t xml:space="preserve">sra </w:t>
      </w:r>
      <w:r w:rsidRPr="009E58F7">
        <w:rPr>
          <w:color w:val="000000"/>
        </w:rPr>
        <w:t>(lásd 4.2 pont). A neuropathiát szupportív és egyéb terápiával kezelték.</w:t>
      </w:r>
    </w:p>
    <w:p w14:paraId="6E1009A5" w14:textId="77777777" w:rsidR="004D6470" w:rsidRPr="009E58F7" w:rsidRDefault="004D6470">
      <w:pPr>
        <w:pStyle w:val="Nincstrkz"/>
      </w:pPr>
    </w:p>
    <w:p w14:paraId="784EEAC3" w14:textId="254FA5B5" w:rsidR="004D6470" w:rsidRPr="009E58F7" w:rsidRDefault="004D6470">
      <w:pPr>
        <w:pStyle w:val="Nincstrkz"/>
      </w:pPr>
      <w:r w:rsidRPr="009E58F7">
        <w:rPr>
          <w:color w:val="000000"/>
        </w:rPr>
        <w:t>A bortezomib és ismerten neuropathiával járó gyógyszerek (pl. talidomid) kombinációjával kezelt betegeknél mérlegelendő a kezeléssel összefüggő neuropathia tüneteinek neurológia</w:t>
      </w:r>
      <w:r w:rsidR="00642998" w:rsidRPr="009E58F7">
        <w:rPr>
          <w:color w:val="000000"/>
        </w:rPr>
        <w:t>i</w:t>
      </w:r>
      <w:r w:rsidRPr="009E58F7">
        <w:rPr>
          <w:color w:val="000000"/>
        </w:rPr>
        <w:t xml:space="preserve"> vizsgálattal egybekötött korai és rendszeres monitorozása, valamint szükség szerint meg kell fontolni az adag csökkentését vagy a kezelés megszakítását.</w:t>
      </w:r>
    </w:p>
    <w:p w14:paraId="0691235E" w14:textId="77777777" w:rsidR="004D6470" w:rsidRPr="009E58F7" w:rsidRDefault="004D6470">
      <w:pPr>
        <w:pStyle w:val="Nincstrkz"/>
      </w:pPr>
    </w:p>
    <w:p w14:paraId="09068F9D" w14:textId="69E7B63C" w:rsidR="004D6470" w:rsidRPr="009E58F7" w:rsidRDefault="004D6470">
      <w:pPr>
        <w:spacing w:line="240" w:lineRule="auto"/>
        <w:contextualSpacing/>
      </w:pPr>
      <w:r w:rsidRPr="009E58F7">
        <w:rPr>
          <w:rFonts w:eastAsiaTheme="minorHAnsi"/>
          <w:color w:val="000000"/>
        </w:rPr>
        <w:t xml:space="preserve">A perifériás </w:t>
      </w:r>
      <w:r w:rsidRPr="009E58F7">
        <w:rPr>
          <w:color w:val="000000"/>
        </w:rPr>
        <w:t>neuropathia mellett</w:t>
      </w:r>
      <w:r w:rsidRPr="009E58F7">
        <w:rPr>
          <w:rFonts w:eastAsiaTheme="minorHAnsi"/>
          <w:color w:val="000000"/>
        </w:rPr>
        <w:t xml:space="preserve"> az </w:t>
      </w:r>
      <w:r w:rsidRPr="009E58F7">
        <w:rPr>
          <w:color w:val="000000"/>
        </w:rPr>
        <w:t>autonóm</w:t>
      </w:r>
      <w:r w:rsidRPr="009E58F7">
        <w:rPr>
          <w:rFonts w:eastAsiaTheme="minorHAnsi"/>
          <w:color w:val="000000"/>
        </w:rPr>
        <w:t xml:space="preserve"> idegrendszerre kiterjedő, </w:t>
      </w:r>
      <w:r w:rsidRPr="009E58F7">
        <w:rPr>
          <w:color w:val="000000"/>
        </w:rPr>
        <w:t>vegetatív</w:t>
      </w:r>
      <w:r w:rsidRPr="009E58F7">
        <w:rPr>
          <w:rFonts w:eastAsiaTheme="minorHAnsi"/>
          <w:color w:val="000000"/>
        </w:rPr>
        <w:t xml:space="preserve"> neuropathia jelei is megmutatkozhatnak egyes mellékhatásokban, ilyen például a posturális </w:t>
      </w:r>
      <w:r w:rsidRPr="009E58F7">
        <w:rPr>
          <w:color w:val="000000"/>
        </w:rPr>
        <w:t>hypotonia</w:t>
      </w:r>
      <w:r w:rsidRPr="009E58F7">
        <w:rPr>
          <w:rFonts w:eastAsiaTheme="minorHAnsi"/>
          <w:color w:val="000000"/>
        </w:rPr>
        <w:t xml:space="preserve"> és a súlyos, </w:t>
      </w:r>
      <w:r w:rsidRPr="009E58F7">
        <w:rPr>
          <w:color w:val="000000"/>
        </w:rPr>
        <w:t>ileussal</w:t>
      </w:r>
      <w:r w:rsidRPr="009E58F7">
        <w:rPr>
          <w:rFonts w:eastAsiaTheme="minorHAnsi"/>
          <w:color w:val="000000"/>
        </w:rPr>
        <w:t xml:space="preserve"> járó </w:t>
      </w:r>
      <w:r w:rsidR="00C5286C" w:rsidRPr="009E58F7">
        <w:t>constipatio</w:t>
      </w:r>
      <w:r w:rsidRPr="009E58F7">
        <w:rPr>
          <w:rFonts w:eastAsiaTheme="minorHAnsi"/>
          <w:color w:val="000000"/>
        </w:rPr>
        <w:t xml:space="preserve">. A </w:t>
      </w:r>
      <w:r w:rsidRPr="009E58F7">
        <w:rPr>
          <w:color w:val="000000"/>
        </w:rPr>
        <w:t>vegetatív</w:t>
      </w:r>
      <w:r w:rsidRPr="009E58F7">
        <w:rPr>
          <w:rFonts w:eastAsiaTheme="minorHAnsi"/>
          <w:color w:val="000000"/>
        </w:rPr>
        <w:t xml:space="preserve"> neuropathiára és annak a nemkívánatos hatásokhoz való hozzájárulására vonatkozóan </w:t>
      </w:r>
      <w:r w:rsidRPr="009E58F7">
        <w:rPr>
          <w:color w:val="000000"/>
        </w:rPr>
        <w:t>korlátozottan állnak</w:t>
      </w:r>
      <w:r w:rsidRPr="009E58F7">
        <w:rPr>
          <w:rFonts w:eastAsiaTheme="minorHAnsi"/>
          <w:color w:val="000000"/>
        </w:rPr>
        <w:t xml:space="preserve"> rendelkezésre </w:t>
      </w:r>
      <w:r w:rsidRPr="009E58F7">
        <w:rPr>
          <w:color w:val="000000"/>
        </w:rPr>
        <w:t>adatok</w:t>
      </w:r>
      <w:r w:rsidRPr="009E58F7">
        <w:rPr>
          <w:rFonts w:eastAsiaTheme="minorHAnsi"/>
          <w:color w:val="000000"/>
        </w:rPr>
        <w:t>.</w:t>
      </w:r>
    </w:p>
    <w:p w14:paraId="5BC031EE" w14:textId="77777777" w:rsidR="004D6470" w:rsidRPr="009E58F7" w:rsidRDefault="004D6470">
      <w:pPr>
        <w:pStyle w:val="Nincstrkz"/>
      </w:pPr>
    </w:p>
    <w:p w14:paraId="774864A1" w14:textId="77777777" w:rsidR="004D6470" w:rsidRPr="009E58F7" w:rsidRDefault="004D6470">
      <w:pPr>
        <w:pStyle w:val="Nincstrkz"/>
        <w:keepNext/>
        <w:rPr>
          <w:u w:val="single"/>
        </w:rPr>
      </w:pPr>
      <w:r w:rsidRPr="009E58F7">
        <w:rPr>
          <w:color w:val="000000"/>
          <w:u w:val="single"/>
        </w:rPr>
        <w:t>Görcsrohamok</w:t>
      </w:r>
    </w:p>
    <w:p w14:paraId="2F496748" w14:textId="5795F2F2" w:rsidR="004D6470" w:rsidRPr="009E58F7" w:rsidRDefault="004D6470">
      <w:pPr>
        <w:pStyle w:val="Nincstrkz"/>
        <w:keepNext/>
        <w:rPr>
          <w:color w:val="000000"/>
        </w:rPr>
      </w:pPr>
      <w:r w:rsidRPr="009E58F7">
        <w:rPr>
          <w:color w:val="000000"/>
        </w:rPr>
        <w:t>Nem gyakr</w:t>
      </w:r>
      <w:r w:rsidR="00EA436F" w:rsidRPr="009E58F7">
        <w:rPr>
          <w:color w:val="000000"/>
        </w:rPr>
        <w:t>an</w:t>
      </w:r>
      <w:r w:rsidRPr="009E58F7">
        <w:rPr>
          <w:color w:val="000000"/>
        </w:rPr>
        <w:t xml:space="preserve"> görcsrohamokat jelentettek olyan betegeknél, akiknek kórelőzményében nem szerepelt görcsroham</w:t>
      </w:r>
      <w:r w:rsidR="00C136FF" w:rsidRPr="009E58F7">
        <w:rPr>
          <w:color w:val="000000"/>
        </w:rPr>
        <w:t>,</w:t>
      </w:r>
      <w:r w:rsidRPr="009E58F7">
        <w:rPr>
          <w:color w:val="000000"/>
        </w:rPr>
        <w:t xml:space="preserve"> illetve epilepszia. A görcsroham bármilyen kockázatá</w:t>
      </w:r>
      <w:r w:rsidR="00EA436F" w:rsidRPr="009E58F7">
        <w:rPr>
          <w:color w:val="000000"/>
        </w:rPr>
        <w:t>t hordozó</w:t>
      </w:r>
      <w:r w:rsidRPr="009E58F7">
        <w:rPr>
          <w:color w:val="000000"/>
        </w:rPr>
        <w:t xml:space="preserve"> betegeknél fokozott </w:t>
      </w:r>
      <w:r w:rsidR="00642998" w:rsidRPr="009E58F7">
        <w:rPr>
          <w:color w:val="000000"/>
        </w:rPr>
        <w:t xml:space="preserve">körültekintés </w:t>
      </w:r>
      <w:r w:rsidRPr="009E58F7">
        <w:rPr>
          <w:color w:val="000000"/>
        </w:rPr>
        <w:t>szükséges.</w:t>
      </w:r>
    </w:p>
    <w:p w14:paraId="2E0BF320" w14:textId="77777777" w:rsidR="004D6470" w:rsidRPr="009E58F7" w:rsidRDefault="004D6470">
      <w:pPr>
        <w:pStyle w:val="Nincstrkz"/>
        <w:rPr>
          <w:color w:val="000000"/>
        </w:rPr>
      </w:pPr>
    </w:p>
    <w:p w14:paraId="1B7ACE6C" w14:textId="501B4199" w:rsidR="004D6470" w:rsidRPr="009E58F7" w:rsidRDefault="004D6470">
      <w:pPr>
        <w:pStyle w:val="Nincstrkz"/>
        <w:keepNext/>
        <w:rPr>
          <w:u w:val="single"/>
        </w:rPr>
      </w:pPr>
      <w:bookmarkStart w:id="17" w:name="page95"/>
      <w:bookmarkEnd w:id="17"/>
      <w:r w:rsidRPr="009E58F7">
        <w:rPr>
          <w:color w:val="000000"/>
          <w:u w:val="single"/>
        </w:rPr>
        <w:t>Hypotonia</w:t>
      </w:r>
    </w:p>
    <w:p w14:paraId="514DB6C3" w14:textId="2B01C220" w:rsidR="004D6470" w:rsidRPr="009E58F7" w:rsidRDefault="004D6470">
      <w:pPr>
        <w:spacing w:line="240" w:lineRule="auto"/>
        <w:contextualSpacing/>
      </w:pPr>
      <w:r w:rsidRPr="009E58F7">
        <w:rPr>
          <w:color w:val="000000"/>
        </w:rPr>
        <w:t>A bortezomib</w:t>
      </w:r>
      <w:r w:rsidR="00FE5B85">
        <w:rPr>
          <w:color w:val="000000"/>
        </w:rPr>
        <w:t>-</w:t>
      </w:r>
      <w:r w:rsidRPr="009E58F7">
        <w:rPr>
          <w:rFonts w:eastAsiaTheme="minorHAnsi"/>
          <w:color w:val="000000"/>
        </w:rPr>
        <w:t>kezelés</w:t>
      </w:r>
      <w:r w:rsidR="00642998" w:rsidRPr="009E58F7">
        <w:rPr>
          <w:color w:val="000000"/>
        </w:rPr>
        <w:t>sel összefüggésben</w:t>
      </w:r>
      <w:r w:rsidRPr="009E58F7">
        <w:rPr>
          <w:rFonts w:eastAsiaTheme="minorHAnsi"/>
          <w:color w:val="000000"/>
        </w:rPr>
        <w:t xml:space="preserve"> gyakran </w:t>
      </w:r>
      <w:r w:rsidR="00642998" w:rsidRPr="009E58F7">
        <w:rPr>
          <w:color w:val="000000"/>
        </w:rPr>
        <w:t>fordul elő</w:t>
      </w:r>
      <w:r w:rsidRPr="009E58F7">
        <w:rPr>
          <w:rFonts w:eastAsiaTheme="minorHAnsi"/>
          <w:color w:val="000000"/>
        </w:rPr>
        <w:t xml:space="preserve"> orthostaticus/posturalis </w:t>
      </w:r>
      <w:r w:rsidRPr="009E58F7">
        <w:rPr>
          <w:color w:val="000000"/>
        </w:rPr>
        <w:t>hypotoni</w:t>
      </w:r>
      <w:r w:rsidR="00642998" w:rsidRPr="009E58F7">
        <w:rPr>
          <w:color w:val="000000"/>
        </w:rPr>
        <w:t>a</w:t>
      </w:r>
      <w:r w:rsidRPr="009E58F7">
        <w:rPr>
          <w:rFonts w:eastAsiaTheme="minorHAnsi"/>
          <w:color w:val="000000"/>
        </w:rPr>
        <w:t xml:space="preserve">. A legtöbb mellékhatás enyhe vagy </w:t>
      </w:r>
      <w:r w:rsidRPr="009E58F7">
        <w:rPr>
          <w:color w:val="000000"/>
        </w:rPr>
        <w:t>közepesen súlyos</w:t>
      </w:r>
      <w:r w:rsidRPr="009E58F7">
        <w:rPr>
          <w:rFonts w:eastAsiaTheme="minorHAnsi"/>
          <w:color w:val="000000"/>
        </w:rPr>
        <w:t xml:space="preserve">, és a kezelés során bármikor kialakulhat. </w:t>
      </w:r>
      <w:r w:rsidR="007E03F7" w:rsidRPr="009E58F7">
        <w:rPr>
          <w:color w:val="000000"/>
        </w:rPr>
        <w:t>A bortezomib</w:t>
      </w:r>
      <w:r w:rsidR="00FE5B85">
        <w:rPr>
          <w:color w:val="000000"/>
        </w:rPr>
        <w:t>-</w:t>
      </w:r>
      <w:r w:rsidR="007E03F7" w:rsidRPr="009E58F7">
        <w:rPr>
          <w:color w:val="000000"/>
        </w:rPr>
        <w:t>kezelés előtt nem voltak orthostaticus hypotoniára utaló jelek a</w:t>
      </w:r>
      <w:r w:rsidRPr="009E58F7">
        <w:rPr>
          <w:color w:val="000000"/>
        </w:rPr>
        <w:t>zoknál</w:t>
      </w:r>
      <w:r w:rsidRPr="009E58F7">
        <w:rPr>
          <w:rFonts w:eastAsiaTheme="minorHAnsi"/>
          <w:color w:val="000000"/>
        </w:rPr>
        <w:t xml:space="preserve"> a betegeknél, akiknél </w:t>
      </w:r>
      <w:r w:rsidR="00642998" w:rsidRPr="009E58F7">
        <w:rPr>
          <w:color w:val="000000"/>
        </w:rPr>
        <w:t xml:space="preserve">az </w:t>
      </w:r>
      <w:r w:rsidRPr="009E58F7">
        <w:rPr>
          <w:rFonts w:eastAsiaTheme="minorHAnsi"/>
          <w:color w:val="000000"/>
        </w:rPr>
        <w:t xml:space="preserve">(intravénásan alkalmazott) </w:t>
      </w:r>
      <w:r w:rsidRPr="009E58F7">
        <w:rPr>
          <w:color w:val="000000"/>
        </w:rPr>
        <w:t>bortezomib</w:t>
      </w:r>
      <w:r w:rsidR="00FE5B85">
        <w:rPr>
          <w:color w:val="000000"/>
        </w:rPr>
        <w:t>-</w:t>
      </w:r>
      <w:r w:rsidRPr="009E58F7">
        <w:rPr>
          <w:rFonts w:eastAsiaTheme="minorHAnsi"/>
          <w:color w:val="000000"/>
        </w:rPr>
        <w:t xml:space="preserve">kezelés során orthostaticus </w:t>
      </w:r>
      <w:r w:rsidRPr="009E58F7">
        <w:rPr>
          <w:color w:val="000000"/>
        </w:rPr>
        <w:t xml:space="preserve">hypotonia </w:t>
      </w:r>
      <w:r w:rsidR="007E03F7" w:rsidRPr="009E58F7">
        <w:rPr>
          <w:color w:val="000000"/>
        </w:rPr>
        <w:t>jelentkezett</w:t>
      </w:r>
      <w:r w:rsidRPr="009E58F7">
        <w:rPr>
          <w:color w:val="000000"/>
        </w:rPr>
        <w:t>.</w:t>
      </w:r>
      <w:r w:rsidRPr="009E58F7">
        <w:rPr>
          <w:rFonts w:eastAsiaTheme="minorHAnsi"/>
          <w:color w:val="000000"/>
        </w:rPr>
        <w:t xml:space="preserve"> A betegek többségénél az orthostaticus </w:t>
      </w:r>
      <w:r w:rsidRPr="009E58F7">
        <w:rPr>
          <w:color w:val="000000"/>
        </w:rPr>
        <w:t>hypotoniát</w:t>
      </w:r>
      <w:r w:rsidRPr="009E58F7">
        <w:rPr>
          <w:rFonts w:eastAsiaTheme="minorHAnsi"/>
          <w:color w:val="000000"/>
        </w:rPr>
        <w:t xml:space="preserve"> kezelni kellett. Az orthostaticus </w:t>
      </w:r>
      <w:r w:rsidRPr="009E58F7">
        <w:rPr>
          <w:color w:val="000000"/>
        </w:rPr>
        <w:t>hypotoniában</w:t>
      </w:r>
      <w:r w:rsidRPr="009E58F7">
        <w:rPr>
          <w:rFonts w:eastAsiaTheme="minorHAnsi"/>
          <w:color w:val="000000"/>
        </w:rPr>
        <w:t xml:space="preserve"> szenvedő betegek kis hányadánál ájulás is előfordult. Az orthostaticus/posturalis </w:t>
      </w:r>
      <w:r w:rsidRPr="009E58F7">
        <w:rPr>
          <w:color w:val="000000"/>
        </w:rPr>
        <w:t>hypotonia</w:t>
      </w:r>
      <w:r w:rsidRPr="009E58F7">
        <w:rPr>
          <w:rFonts w:eastAsiaTheme="minorHAnsi"/>
          <w:color w:val="000000"/>
        </w:rPr>
        <w:t xml:space="preserve"> nem közvetlenül a bortezomib </w:t>
      </w:r>
      <w:r w:rsidRPr="009E58F7">
        <w:rPr>
          <w:color w:val="000000"/>
        </w:rPr>
        <w:t>bolus</w:t>
      </w:r>
      <w:r w:rsidRPr="009E58F7">
        <w:rPr>
          <w:rFonts w:eastAsiaTheme="minorHAnsi"/>
          <w:color w:val="000000"/>
        </w:rPr>
        <w:t xml:space="preserve"> infúzió beadásakor jelentkezik. Az esemény </w:t>
      </w:r>
      <w:r w:rsidRPr="009E58F7">
        <w:rPr>
          <w:color w:val="000000"/>
        </w:rPr>
        <w:t>mechanizmusa</w:t>
      </w:r>
      <w:r w:rsidRPr="009E58F7">
        <w:rPr>
          <w:rFonts w:eastAsiaTheme="minorHAnsi"/>
          <w:color w:val="000000"/>
        </w:rPr>
        <w:t xml:space="preserve"> ismeretlen, bár legalábbis részben </w:t>
      </w:r>
      <w:r w:rsidRPr="009E58F7">
        <w:rPr>
          <w:color w:val="000000"/>
        </w:rPr>
        <w:t>vegetat</w:t>
      </w:r>
      <w:r w:rsidR="00CC7B9F" w:rsidRPr="009E58F7">
        <w:rPr>
          <w:color w:val="000000"/>
        </w:rPr>
        <w:t>í</w:t>
      </w:r>
      <w:r w:rsidRPr="009E58F7">
        <w:rPr>
          <w:color w:val="000000"/>
        </w:rPr>
        <w:t>v</w:t>
      </w:r>
      <w:r w:rsidRPr="009E58F7">
        <w:rPr>
          <w:rFonts w:eastAsiaTheme="minorHAnsi"/>
          <w:color w:val="000000"/>
        </w:rPr>
        <w:t xml:space="preserve"> neuropathiás hatásnak tulajdonítható. A </w:t>
      </w:r>
      <w:r w:rsidRPr="009E58F7">
        <w:rPr>
          <w:color w:val="000000"/>
        </w:rPr>
        <w:t>vegetat</w:t>
      </w:r>
      <w:r w:rsidR="00CC7B9F" w:rsidRPr="009E58F7">
        <w:rPr>
          <w:color w:val="000000"/>
        </w:rPr>
        <w:t>í</w:t>
      </w:r>
      <w:r w:rsidRPr="009E58F7">
        <w:rPr>
          <w:color w:val="000000"/>
        </w:rPr>
        <w:t>v</w:t>
      </w:r>
      <w:r w:rsidRPr="009E58F7">
        <w:rPr>
          <w:rFonts w:eastAsiaTheme="minorHAnsi"/>
          <w:color w:val="000000"/>
        </w:rPr>
        <w:t xml:space="preserve"> neuropathia összefüggésbe hozható a bortezomib</w:t>
      </w:r>
      <w:r w:rsidR="00FE5B85">
        <w:rPr>
          <w:color w:val="000000"/>
        </w:rPr>
        <w:t>-</w:t>
      </w:r>
      <w:r w:rsidRPr="009E58F7">
        <w:rPr>
          <w:rFonts w:eastAsiaTheme="minorHAnsi"/>
          <w:color w:val="000000"/>
        </w:rPr>
        <w:t>kezeléssel</w:t>
      </w:r>
      <w:r w:rsidR="00CC7B9F" w:rsidRPr="009E58F7">
        <w:rPr>
          <w:color w:val="000000"/>
        </w:rPr>
        <w:t>, illetve</w:t>
      </w:r>
      <w:r w:rsidRPr="009E58F7">
        <w:rPr>
          <w:rFonts w:eastAsiaTheme="minorHAnsi"/>
          <w:color w:val="000000"/>
        </w:rPr>
        <w:t xml:space="preserve"> a bortezomib súlyosbíthatja az olyan társbetegségeket, mint pl. </w:t>
      </w:r>
      <w:r w:rsidRPr="009E58F7">
        <w:rPr>
          <w:color w:val="000000"/>
        </w:rPr>
        <w:t xml:space="preserve">a </w:t>
      </w:r>
      <w:r w:rsidRPr="009E58F7">
        <w:rPr>
          <w:rFonts w:eastAsiaTheme="minorHAnsi"/>
          <w:color w:val="000000"/>
        </w:rPr>
        <w:t xml:space="preserve">neuropathia diabetica vagy amyloid neuropathia. </w:t>
      </w:r>
      <w:r w:rsidR="00CC2E38" w:rsidRPr="009E58F7">
        <w:rPr>
          <w:color w:val="000000"/>
        </w:rPr>
        <w:t>Körültekintően</w:t>
      </w:r>
      <w:r w:rsidRPr="009E58F7">
        <w:rPr>
          <w:rFonts w:eastAsiaTheme="minorHAnsi"/>
          <w:color w:val="000000"/>
        </w:rPr>
        <w:t xml:space="preserve"> kell eljárni olyan betegek kezelésekor, </w:t>
      </w:r>
      <w:r w:rsidRPr="009E58F7">
        <w:rPr>
          <w:color w:val="000000"/>
        </w:rPr>
        <w:t>akiknél</w:t>
      </w:r>
      <w:r w:rsidRPr="009E58F7">
        <w:rPr>
          <w:rFonts w:eastAsiaTheme="minorHAnsi"/>
          <w:color w:val="000000"/>
        </w:rPr>
        <w:t xml:space="preserve"> korábban ájulásos tünetek jelentkeztek, és ismerten </w:t>
      </w:r>
      <w:r w:rsidRPr="009E58F7">
        <w:rPr>
          <w:color w:val="000000"/>
        </w:rPr>
        <w:t>hypotoniát</w:t>
      </w:r>
      <w:r w:rsidRPr="009E58F7">
        <w:rPr>
          <w:rFonts w:eastAsiaTheme="minorHAnsi"/>
          <w:color w:val="000000"/>
        </w:rPr>
        <w:t xml:space="preserve"> okozó gyógyszeres kezelésben részesülnek, vagy akik dehidratálódtak az ismétlődő hányás vag</w:t>
      </w:r>
      <w:r w:rsidR="00CC2E38" w:rsidRPr="009E58F7">
        <w:rPr>
          <w:rFonts w:eastAsiaTheme="minorHAnsi"/>
          <w:color w:val="000000"/>
        </w:rPr>
        <w:t xml:space="preserve">y hasmenés miatt. Az </w:t>
      </w:r>
      <w:r w:rsidR="00CC2E38" w:rsidRPr="009E58F7">
        <w:rPr>
          <w:color w:val="000000"/>
        </w:rPr>
        <w:t>orthostatic</w:t>
      </w:r>
      <w:r w:rsidRPr="009E58F7">
        <w:rPr>
          <w:color w:val="000000"/>
        </w:rPr>
        <w:t>us</w:t>
      </w:r>
      <w:r w:rsidRPr="009E58F7">
        <w:rPr>
          <w:rFonts w:eastAsiaTheme="minorHAnsi"/>
          <w:color w:val="000000"/>
        </w:rPr>
        <w:t xml:space="preserve">/posturalis </w:t>
      </w:r>
      <w:r w:rsidRPr="009E58F7">
        <w:rPr>
          <w:color w:val="000000"/>
        </w:rPr>
        <w:t>hypotonia</w:t>
      </w:r>
      <w:r w:rsidRPr="009E58F7">
        <w:rPr>
          <w:rFonts w:eastAsiaTheme="minorHAnsi"/>
          <w:color w:val="000000"/>
        </w:rPr>
        <w:t xml:space="preserve"> </w:t>
      </w:r>
      <w:r w:rsidRPr="009E58F7">
        <w:rPr>
          <w:rFonts w:eastAsiaTheme="minorHAnsi"/>
          <w:color w:val="000000"/>
        </w:rPr>
        <w:lastRenderedPageBreak/>
        <w:t xml:space="preserve">kezelése </w:t>
      </w:r>
      <w:r w:rsidRPr="009E58F7">
        <w:rPr>
          <w:color w:val="000000"/>
        </w:rPr>
        <w:t>magában foglalhatja</w:t>
      </w:r>
      <w:r w:rsidRPr="009E58F7">
        <w:rPr>
          <w:rFonts w:eastAsiaTheme="minorHAnsi"/>
          <w:color w:val="000000"/>
        </w:rPr>
        <w:t xml:space="preserve"> a vérnyomáscsökkentő gyógyszerek adagjának </w:t>
      </w:r>
      <w:r w:rsidR="00C5286C" w:rsidRPr="009E58F7">
        <w:t>megváltoztatásá</w:t>
      </w:r>
      <w:r w:rsidR="00FF04AD" w:rsidRPr="009E58F7">
        <w:t>t</w:t>
      </w:r>
      <w:r w:rsidR="00C5286C" w:rsidRPr="009E58F7">
        <w:t>, rehidráció</w:t>
      </w:r>
      <w:r w:rsidRPr="009E58F7">
        <w:rPr>
          <w:color w:val="000000"/>
        </w:rPr>
        <w:t>t</w:t>
      </w:r>
      <w:r w:rsidRPr="009E58F7">
        <w:rPr>
          <w:rFonts w:eastAsiaTheme="minorHAnsi"/>
          <w:color w:val="000000"/>
        </w:rPr>
        <w:t xml:space="preserve">, valamint mineralokortikoidok és/vagy szimpatomimetikumok </w:t>
      </w:r>
      <w:r w:rsidR="00C5286C" w:rsidRPr="009E58F7">
        <w:t>alkalmazásá</w:t>
      </w:r>
      <w:r w:rsidR="00FF04AD" w:rsidRPr="009E58F7">
        <w:t>t</w:t>
      </w:r>
      <w:r w:rsidR="00C5286C" w:rsidRPr="009E58F7">
        <w:t>.</w:t>
      </w:r>
      <w:r w:rsidRPr="009E58F7">
        <w:rPr>
          <w:rFonts w:eastAsiaTheme="minorHAnsi"/>
          <w:color w:val="000000"/>
        </w:rPr>
        <w:t xml:space="preserve"> A beteg figyelmét fel kell hívni</w:t>
      </w:r>
      <w:r w:rsidR="00CC2E38" w:rsidRPr="009E58F7">
        <w:rPr>
          <w:color w:val="000000"/>
        </w:rPr>
        <w:t xml:space="preserve"> arra</w:t>
      </w:r>
      <w:r w:rsidRPr="009E58F7">
        <w:rPr>
          <w:rFonts w:eastAsiaTheme="minorHAnsi"/>
          <w:color w:val="000000"/>
        </w:rPr>
        <w:t>, hogy szédülés, ájulásérzés vagy ájulás esetén</w:t>
      </w:r>
      <w:r w:rsidRPr="009E58F7">
        <w:rPr>
          <w:color w:val="000000"/>
        </w:rPr>
        <w:t xml:space="preserve"> forduljon orvoshoz</w:t>
      </w:r>
      <w:r w:rsidRPr="009E58F7">
        <w:rPr>
          <w:rFonts w:eastAsiaTheme="minorHAnsi"/>
          <w:color w:val="000000"/>
        </w:rPr>
        <w:t>.</w:t>
      </w:r>
    </w:p>
    <w:p w14:paraId="2D693327" w14:textId="77777777" w:rsidR="004D6470" w:rsidRPr="009E58F7" w:rsidRDefault="004D6470">
      <w:pPr>
        <w:pStyle w:val="Nincstrkz"/>
      </w:pPr>
      <w:bookmarkStart w:id="18" w:name="page45"/>
      <w:bookmarkEnd w:id="18"/>
    </w:p>
    <w:p w14:paraId="37DC309E" w14:textId="5D867F07" w:rsidR="004D6470" w:rsidRPr="009E58F7" w:rsidRDefault="004D6470" w:rsidP="00602E58">
      <w:pPr>
        <w:spacing w:line="240" w:lineRule="auto"/>
        <w:contextualSpacing/>
        <w:rPr>
          <w:color w:val="000000"/>
        </w:rPr>
      </w:pPr>
      <w:r w:rsidRPr="009E58F7">
        <w:rPr>
          <w:rFonts w:eastAsiaTheme="minorHAnsi"/>
          <w:color w:val="000000"/>
          <w:u w:val="single"/>
        </w:rPr>
        <w:t xml:space="preserve">Posterior </w:t>
      </w:r>
      <w:r w:rsidR="00C5286C" w:rsidRPr="009E58F7">
        <w:rPr>
          <w:u w:val="single"/>
        </w:rPr>
        <w:t>reverzibilis</w:t>
      </w:r>
      <w:r w:rsidRPr="009E58F7">
        <w:rPr>
          <w:rFonts w:eastAsiaTheme="minorHAnsi"/>
          <w:color w:val="000000"/>
          <w:u w:val="single"/>
        </w:rPr>
        <w:t xml:space="preserve"> encephalopathia</w:t>
      </w:r>
      <w:r w:rsidR="00FF6F93">
        <w:rPr>
          <w:rFonts w:eastAsiaTheme="minorHAnsi"/>
          <w:color w:val="000000"/>
          <w:u w:val="single"/>
        </w:rPr>
        <w:t>-</w:t>
      </w:r>
      <w:r w:rsidRPr="009E58F7">
        <w:rPr>
          <w:rFonts w:eastAsiaTheme="minorHAnsi"/>
          <w:color w:val="000000"/>
          <w:u w:val="single"/>
        </w:rPr>
        <w:t>szindróma (PRES)</w:t>
      </w:r>
    </w:p>
    <w:p w14:paraId="1541E1E3" w14:textId="3174A6F5" w:rsidR="004D6470" w:rsidRPr="009E58F7" w:rsidRDefault="008B6253" w:rsidP="00D7256D">
      <w:pPr>
        <w:spacing w:line="240" w:lineRule="auto"/>
        <w:contextualSpacing/>
      </w:pPr>
      <w:r w:rsidRPr="009E58F7">
        <w:t>Bortezomib</w:t>
      </w:r>
      <w:r w:rsidR="00FF04AD" w:rsidRPr="009E58F7">
        <w:t>o</w:t>
      </w:r>
      <w:r w:rsidR="00C5286C" w:rsidRPr="009E58F7">
        <w:t>t</w:t>
      </w:r>
      <w:r w:rsidR="004D6470" w:rsidRPr="009E58F7">
        <w:rPr>
          <w:rFonts w:eastAsiaTheme="minorHAnsi"/>
          <w:color w:val="000000"/>
        </w:rPr>
        <w:t xml:space="preserve"> kapó </w:t>
      </w:r>
      <w:r w:rsidR="00C5286C" w:rsidRPr="009E58F7">
        <w:t>betegek</w:t>
      </w:r>
      <w:r w:rsidR="00FF04AD" w:rsidRPr="009E58F7">
        <w:t>nél</w:t>
      </w:r>
      <w:r w:rsidR="004D6470" w:rsidRPr="009E58F7">
        <w:rPr>
          <w:color w:val="000000"/>
        </w:rPr>
        <w:t xml:space="preserve"> beszámoltak</w:t>
      </w:r>
      <w:r w:rsidR="004D6470" w:rsidRPr="009E58F7">
        <w:rPr>
          <w:rFonts w:eastAsiaTheme="minorHAnsi"/>
          <w:color w:val="000000"/>
        </w:rPr>
        <w:t xml:space="preserve"> </w:t>
      </w:r>
      <w:r w:rsidR="004D6470" w:rsidRPr="009E58F7">
        <w:rPr>
          <w:rFonts w:eastAsiaTheme="minorHAnsi"/>
          <w:i/>
          <w:color w:val="000000"/>
        </w:rPr>
        <w:t>PRES</w:t>
      </w:r>
      <w:r w:rsidR="00FF04AD" w:rsidRPr="009E58F7">
        <w:rPr>
          <w:rFonts w:eastAsiaTheme="minorHAnsi"/>
          <w:i/>
          <w:color w:val="000000"/>
        </w:rPr>
        <w:t xml:space="preserve"> </w:t>
      </w:r>
      <w:r w:rsidR="00C5286C" w:rsidRPr="009E58F7">
        <w:t>esetek</w:t>
      </w:r>
      <w:r w:rsidR="00FF04AD" w:rsidRPr="009E58F7">
        <w:t>ről</w:t>
      </w:r>
      <w:r w:rsidR="00FF6F93">
        <w:t xml:space="preserve">. </w:t>
      </w:r>
      <w:r w:rsidR="00C5286C" w:rsidRPr="009E58F7">
        <w:t>A PRES</w:t>
      </w:r>
      <w:r w:rsidR="004D6470" w:rsidRPr="009E58F7">
        <w:t xml:space="preserve"> </w:t>
      </w:r>
      <w:r w:rsidR="004D6470" w:rsidRPr="009E58F7">
        <w:rPr>
          <w:rFonts w:eastAsiaTheme="minorHAnsi"/>
          <w:color w:val="000000"/>
        </w:rPr>
        <w:t xml:space="preserve">egy ritka, </w:t>
      </w:r>
      <w:r w:rsidR="00C5286C" w:rsidRPr="009E58F7">
        <w:t xml:space="preserve">gyakran </w:t>
      </w:r>
      <w:r w:rsidR="004D6470" w:rsidRPr="009E58F7">
        <w:rPr>
          <w:rFonts w:eastAsiaTheme="minorHAnsi"/>
          <w:color w:val="000000"/>
        </w:rPr>
        <w:t>reverz</w:t>
      </w:r>
      <w:r w:rsidR="00FF04AD" w:rsidRPr="009E58F7">
        <w:rPr>
          <w:rFonts w:eastAsiaTheme="minorHAnsi"/>
          <w:color w:val="000000"/>
        </w:rPr>
        <w:t>i</w:t>
      </w:r>
      <w:r w:rsidR="004D6470" w:rsidRPr="009E58F7">
        <w:rPr>
          <w:rFonts w:eastAsiaTheme="minorHAnsi"/>
          <w:color w:val="000000"/>
        </w:rPr>
        <w:t>bilis, gyorsan kialakuló neurológiai állapot</w:t>
      </w:r>
      <w:r w:rsidR="00CC2E38" w:rsidRPr="009E58F7">
        <w:rPr>
          <w:rFonts w:eastAsiaTheme="minorHAnsi"/>
          <w:color w:val="000000"/>
        </w:rPr>
        <w:t>, am</w:t>
      </w:r>
      <w:r w:rsidR="00FF04AD" w:rsidRPr="009E58F7">
        <w:rPr>
          <w:rFonts w:eastAsiaTheme="minorHAnsi"/>
          <w:color w:val="000000"/>
        </w:rPr>
        <w:t>ely</w:t>
      </w:r>
      <w:r w:rsidR="004D6470" w:rsidRPr="009E58F7">
        <w:rPr>
          <w:rFonts w:eastAsiaTheme="minorHAnsi"/>
          <w:color w:val="000000"/>
        </w:rPr>
        <w:t xml:space="preserve"> görcsroham, </w:t>
      </w:r>
      <w:r w:rsidR="004D6470" w:rsidRPr="009E58F7">
        <w:rPr>
          <w:color w:val="000000"/>
        </w:rPr>
        <w:t>hypertonia</w:t>
      </w:r>
      <w:r w:rsidR="004D6470" w:rsidRPr="009E58F7">
        <w:rPr>
          <w:rFonts w:eastAsiaTheme="minorHAnsi"/>
          <w:color w:val="000000"/>
        </w:rPr>
        <w:t>, fejfájás, letargia, zavartság, vakság</w:t>
      </w:r>
      <w:r w:rsidR="00FF04AD" w:rsidRPr="009E58F7">
        <w:rPr>
          <w:rFonts w:eastAsiaTheme="minorHAnsi"/>
          <w:color w:val="000000"/>
        </w:rPr>
        <w:t>,</w:t>
      </w:r>
      <w:r w:rsidR="004D6470" w:rsidRPr="009E58F7">
        <w:rPr>
          <w:rFonts w:eastAsiaTheme="minorHAnsi"/>
          <w:color w:val="000000"/>
        </w:rPr>
        <w:t xml:space="preserve"> valamint egyéb látási és neurológiai tünetek formájában</w:t>
      </w:r>
      <w:r w:rsidR="00CC2E38" w:rsidRPr="009E58F7">
        <w:rPr>
          <w:color w:val="000000"/>
        </w:rPr>
        <w:t xml:space="preserve"> jelentkezhet</w:t>
      </w:r>
      <w:r w:rsidR="004D6470" w:rsidRPr="009E58F7">
        <w:rPr>
          <w:color w:val="000000"/>
        </w:rPr>
        <w:t>. Az agy</w:t>
      </w:r>
      <w:r w:rsidR="004D6470" w:rsidRPr="009E58F7">
        <w:rPr>
          <w:rFonts w:eastAsiaTheme="minorHAnsi"/>
          <w:color w:val="000000"/>
        </w:rPr>
        <w:t xml:space="preserve"> képalkotó </w:t>
      </w:r>
      <w:r w:rsidR="004D6470" w:rsidRPr="009E58F7">
        <w:rPr>
          <w:color w:val="000000"/>
        </w:rPr>
        <w:t>eljárásokkal, lehetőleg</w:t>
      </w:r>
      <w:r w:rsidR="004D6470" w:rsidRPr="009E58F7">
        <w:rPr>
          <w:rFonts w:eastAsiaTheme="minorHAnsi"/>
          <w:color w:val="000000"/>
        </w:rPr>
        <w:t xml:space="preserve"> mágneses </w:t>
      </w:r>
      <w:r w:rsidR="004D6470" w:rsidRPr="009E58F7">
        <w:rPr>
          <w:color w:val="000000"/>
        </w:rPr>
        <w:t>rezonancá</w:t>
      </w:r>
      <w:r w:rsidR="00991539" w:rsidRPr="009E58F7">
        <w:rPr>
          <w:color w:val="000000"/>
        </w:rPr>
        <w:t>val</w:t>
      </w:r>
      <w:r w:rsidR="004D6470" w:rsidRPr="009E58F7">
        <w:rPr>
          <w:rFonts w:eastAsiaTheme="minorHAnsi"/>
          <w:color w:val="000000"/>
        </w:rPr>
        <w:t xml:space="preserve"> (Magnetic Resonance Imaging</w:t>
      </w:r>
      <w:r w:rsidR="00991539" w:rsidRPr="009E58F7">
        <w:rPr>
          <w:color w:val="000000"/>
        </w:rPr>
        <w:t>/</w:t>
      </w:r>
      <w:r w:rsidR="004D6470" w:rsidRPr="009E58F7">
        <w:rPr>
          <w:rFonts w:eastAsiaTheme="minorHAnsi"/>
          <w:color w:val="000000"/>
        </w:rPr>
        <w:t xml:space="preserve">MRI) </w:t>
      </w:r>
      <w:r w:rsidR="004D6470" w:rsidRPr="009E58F7">
        <w:rPr>
          <w:color w:val="000000"/>
        </w:rPr>
        <w:t>történő vizsgálatát kell alkalmazni</w:t>
      </w:r>
      <w:r w:rsidR="004D6470" w:rsidRPr="009E58F7">
        <w:rPr>
          <w:rFonts w:eastAsiaTheme="minorHAnsi"/>
          <w:color w:val="000000"/>
        </w:rPr>
        <w:t xml:space="preserve"> a diagnózis megerősítésére. Azoknál a betegekné</w:t>
      </w:r>
      <w:r w:rsidR="00991539" w:rsidRPr="009E58F7">
        <w:rPr>
          <w:rFonts w:eastAsiaTheme="minorHAnsi"/>
          <w:color w:val="000000"/>
        </w:rPr>
        <w:t xml:space="preserve">l, akiknél PRES </w:t>
      </w:r>
      <w:r w:rsidR="00FF04AD" w:rsidRPr="009E58F7">
        <w:rPr>
          <w:rFonts w:eastAsiaTheme="minorHAnsi"/>
          <w:color w:val="000000"/>
        </w:rPr>
        <w:t>alakul ki</w:t>
      </w:r>
      <w:r w:rsidR="00991539" w:rsidRPr="009E58F7">
        <w:rPr>
          <w:rFonts w:eastAsiaTheme="minorHAnsi"/>
          <w:color w:val="000000"/>
        </w:rPr>
        <w:t>, a b</w:t>
      </w:r>
      <w:r w:rsidR="004D6470" w:rsidRPr="009E58F7">
        <w:rPr>
          <w:rFonts w:eastAsiaTheme="minorHAnsi"/>
          <w:color w:val="000000"/>
        </w:rPr>
        <w:t>ortezomib</w:t>
      </w:r>
      <w:r w:rsidR="00FE5B85">
        <w:rPr>
          <w:color w:val="000000"/>
        </w:rPr>
        <w:t>-</w:t>
      </w:r>
      <w:r w:rsidR="004D6470" w:rsidRPr="009E58F7">
        <w:t xml:space="preserve">kezelést </w:t>
      </w:r>
      <w:r w:rsidR="00C5286C" w:rsidRPr="009E58F7">
        <w:t>abba</w:t>
      </w:r>
      <w:r w:rsidR="00991539" w:rsidRPr="009E58F7">
        <w:t xml:space="preserve"> kell </w:t>
      </w:r>
      <w:r w:rsidR="00C5286C" w:rsidRPr="009E58F7">
        <w:t>hagyni</w:t>
      </w:r>
      <w:r w:rsidR="004D6470" w:rsidRPr="009E58F7">
        <w:t>.</w:t>
      </w:r>
    </w:p>
    <w:p w14:paraId="1B8375B1" w14:textId="77777777" w:rsidR="004D6470" w:rsidRPr="009E58F7" w:rsidRDefault="004D6470" w:rsidP="007070F2">
      <w:pPr>
        <w:pStyle w:val="Nincstrkz"/>
      </w:pPr>
    </w:p>
    <w:p w14:paraId="1D46D1EF" w14:textId="77777777" w:rsidR="004D6470" w:rsidRPr="009E58F7" w:rsidRDefault="004D6470" w:rsidP="007070F2">
      <w:pPr>
        <w:pStyle w:val="Nincstrkz"/>
        <w:keepNext/>
        <w:rPr>
          <w:u w:val="single"/>
        </w:rPr>
      </w:pPr>
      <w:r w:rsidRPr="009E58F7">
        <w:rPr>
          <w:color w:val="000000"/>
          <w:u w:val="single"/>
        </w:rPr>
        <w:t>Szívelégtelenség</w:t>
      </w:r>
    </w:p>
    <w:p w14:paraId="40F06E01" w14:textId="5D3C4E6D" w:rsidR="004D6470" w:rsidRPr="009E58F7" w:rsidRDefault="004D6470" w:rsidP="003D25C3">
      <w:pPr>
        <w:pStyle w:val="Nincstrkz"/>
        <w:keepNext/>
      </w:pPr>
      <w:r w:rsidRPr="009E58F7">
        <w:rPr>
          <w:color w:val="000000"/>
        </w:rPr>
        <w:t>Pangásos szívelégtelenség akut kialakulását vagy súlyosbodását és/vagy a balkamrai ejekciós frakció csökkenésének új megjelenését jelentették bortezomib</w:t>
      </w:r>
      <w:r w:rsidR="00FE5B85">
        <w:rPr>
          <w:color w:val="000000"/>
        </w:rPr>
        <w:t>-</w:t>
      </w:r>
      <w:r w:rsidRPr="009E58F7">
        <w:rPr>
          <w:color w:val="000000"/>
        </w:rPr>
        <w:t>kezelés során. A folyadékretenció prediszponáló tényező lehet a szívelégtelenség jeleinek és tüneteinek kialakulásában. Szívbetegség kockázata esetén vagy fennálló szívbetegségben a beteg fokozott monitorozása szükséges.</w:t>
      </w:r>
    </w:p>
    <w:p w14:paraId="62B8EE55" w14:textId="77777777" w:rsidR="004D6470" w:rsidRPr="009E58F7" w:rsidRDefault="004D6470">
      <w:pPr>
        <w:pStyle w:val="Nincstrkz"/>
      </w:pPr>
    </w:p>
    <w:p w14:paraId="6B9C2824" w14:textId="77777777" w:rsidR="004D6470" w:rsidRPr="009E58F7" w:rsidRDefault="004D6470">
      <w:pPr>
        <w:pStyle w:val="Nincstrkz"/>
        <w:keepNext/>
        <w:rPr>
          <w:u w:val="single"/>
        </w:rPr>
      </w:pPr>
      <w:r w:rsidRPr="009E58F7">
        <w:rPr>
          <w:color w:val="000000"/>
          <w:u w:val="single"/>
        </w:rPr>
        <w:t>Electrocardiogram vizsgálatok</w:t>
      </w:r>
    </w:p>
    <w:p w14:paraId="60BCD12E" w14:textId="39F0B9B3" w:rsidR="004D6470" w:rsidRPr="009E58F7" w:rsidRDefault="004D6470">
      <w:pPr>
        <w:pStyle w:val="Nincstrkz"/>
      </w:pPr>
      <w:r w:rsidRPr="009E58F7">
        <w:rPr>
          <w:color w:val="000000"/>
        </w:rPr>
        <w:t>Klinikai vizsgálatok során a QT</w:t>
      </w:r>
      <w:r w:rsidR="00FE5B85">
        <w:rPr>
          <w:color w:val="000000"/>
        </w:rPr>
        <w:t>-</w:t>
      </w:r>
      <w:r w:rsidRPr="009E58F7">
        <w:rPr>
          <w:color w:val="000000"/>
        </w:rPr>
        <w:t>intervallum megnyúlásá</w:t>
      </w:r>
      <w:r w:rsidR="00991539" w:rsidRPr="009E58F7">
        <w:rPr>
          <w:color w:val="000000"/>
        </w:rPr>
        <w:t>nak</w:t>
      </w:r>
      <w:r w:rsidRPr="009E58F7">
        <w:rPr>
          <w:color w:val="000000"/>
        </w:rPr>
        <w:t xml:space="preserve"> </w:t>
      </w:r>
      <w:r w:rsidR="00991539" w:rsidRPr="009E58F7">
        <w:rPr>
          <w:color w:val="000000"/>
        </w:rPr>
        <w:t>izolált eseteiről számoltak be</w:t>
      </w:r>
      <w:r w:rsidRPr="009E58F7">
        <w:rPr>
          <w:color w:val="000000"/>
        </w:rPr>
        <w:t>, az ok</w:t>
      </w:r>
      <w:r w:rsidR="00FE5B85">
        <w:rPr>
          <w:color w:val="000000"/>
        </w:rPr>
        <w:t>-</w:t>
      </w:r>
      <w:r w:rsidRPr="009E58F7">
        <w:rPr>
          <w:color w:val="000000"/>
        </w:rPr>
        <w:t>okozati összefüggés nem tisztázott.</w:t>
      </w:r>
    </w:p>
    <w:p w14:paraId="46B1C553" w14:textId="77777777" w:rsidR="004D6470" w:rsidRPr="009E58F7" w:rsidRDefault="004D6470">
      <w:pPr>
        <w:pStyle w:val="Nincstrkz"/>
      </w:pPr>
    </w:p>
    <w:p w14:paraId="2CEBE568" w14:textId="77777777" w:rsidR="004D6470" w:rsidRPr="009E58F7" w:rsidRDefault="004D6470">
      <w:pPr>
        <w:pStyle w:val="Nincstrkz"/>
        <w:keepNext/>
        <w:rPr>
          <w:u w:val="single"/>
        </w:rPr>
      </w:pPr>
      <w:r w:rsidRPr="009E58F7">
        <w:rPr>
          <w:color w:val="000000"/>
          <w:u w:val="single"/>
        </w:rPr>
        <w:t>Tüdőbetegségek</w:t>
      </w:r>
    </w:p>
    <w:p w14:paraId="70CCA1F7" w14:textId="0BC415D3" w:rsidR="004D6470" w:rsidRPr="009E58F7" w:rsidRDefault="004D6470">
      <w:pPr>
        <w:spacing w:line="240" w:lineRule="auto"/>
        <w:contextualSpacing/>
      </w:pPr>
      <w:r w:rsidRPr="009E58F7">
        <w:rPr>
          <w:color w:val="000000"/>
        </w:rPr>
        <w:t>Bortezomib</w:t>
      </w:r>
      <w:r w:rsidR="00FE5B85">
        <w:rPr>
          <w:color w:val="000000"/>
        </w:rPr>
        <w:t>-</w:t>
      </w:r>
      <w:r w:rsidRPr="009E58F7">
        <w:rPr>
          <w:color w:val="000000"/>
        </w:rPr>
        <w:t xml:space="preserve">kezelésben részesülő betegeknél ritkán ismeretlen eredetű akut, diffúz, infiltratív </w:t>
      </w:r>
      <w:r w:rsidRPr="009E58F7">
        <w:rPr>
          <w:rFonts w:eastAsiaTheme="minorHAnsi"/>
          <w:color w:val="000000"/>
        </w:rPr>
        <w:t xml:space="preserve">tüdőbetegségről, </w:t>
      </w:r>
      <w:r w:rsidR="00991539" w:rsidRPr="009E58F7">
        <w:rPr>
          <w:color w:val="000000"/>
        </w:rPr>
        <w:t>például</w:t>
      </w:r>
      <w:r w:rsidRPr="009E58F7">
        <w:rPr>
          <w:rFonts w:eastAsiaTheme="minorHAnsi"/>
          <w:color w:val="000000"/>
        </w:rPr>
        <w:t xml:space="preserve"> pneumonitis, interstitiális pneumonia, tüdő</w:t>
      </w:r>
      <w:r w:rsidR="00991539" w:rsidRPr="009E58F7">
        <w:rPr>
          <w:rFonts w:eastAsiaTheme="minorHAnsi"/>
          <w:color w:val="000000"/>
        </w:rPr>
        <w:t xml:space="preserve">beszűrődés és akut </w:t>
      </w:r>
      <w:r w:rsidR="00C5286C" w:rsidRPr="009E58F7">
        <w:t>respiratori</w:t>
      </w:r>
      <w:r w:rsidR="00B065A7" w:rsidRPr="009E58F7">
        <w:t>c</w:t>
      </w:r>
      <w:r w:rsidR="00C5286C" w:rsidRPr="009E58F7">
        <w:t>us</w:t>
      </w:r>
      <w:r w:rsidRPr="009E58F7">
        <w:rPr>
          <w:rFonts w:eastAsiaTheme="minorHAnsi"/>
          <w:color w:val="000000"/>
        </w:rPr>
        <w:t xml:space="preserve"> distress szindrómáról (ARDS) számoltak be (lásd 4.8</w:t>
      </w:r>
      <w:r w:rsidRPr="009E58F7">
        <w:rPr>
          <w:color w:val="000000"/>
        </w:rPr>
        <w:t> </w:t>
      </w:r>
      <w:r w:rsidRPr="009E58F7">
        <w:rPr>
          <w:rFonts w:eastAsiaTheme="minorHAnsi"/>
          <w:color w:val="000000"/>
        </w:rPr>
        <w:t xml:space="preserve">pont). Néhány eset </w:t>
      </w:r>
      <w:r w:rsidR="00B065A7" w:rsidRPr="009E58F7">
        <w:rPr>
          <w:rFonts w:eastAsiaTheme="minorHAnsi"/>
          <w:color w:val="000000"/>
        </w:rPr>
        <w:t xml:space="preserve">halálos </w:t>
      </w:r>
      <w:r w:rsidRPr="009E58F7">
        <w:rPr>
          <w:rFonts w:eastAsiaTheme="minorHAnsi"/>
          <w:color w:val="000000"/>
        </w:rPr>
        <w:t xml:space="preserve">kimenetelű volt. A kezelést </w:t>
      </w:r>
      <w:r w:rsidR="00C5286C" w:rsidRPr="009E58F7">
        <w:t>megelőzően</w:t>
      </w:r>
      <w:r w:rsidRPr="009E58F7">
        <w:t xml:space="preserve"> </w:t>
      </w:r>
      <w:r w:rsidRPr="009E58F7">
        <w:rPr>
          <w:rFonts w:eastAsiaTheme="minorHAnsi"/>
          <w:color w:val="000000"/>
        </w:rPr>
        <w:t>mellkasröntgen</w:t>
      </w:r>
      <w:r w:rsidR="00FF6F93">
        <w:rPr>
          <w:rFonts w:eastAsiaTheme="minorHAnsi"/>
          <w:color w:val="000000"/>
        </w:rPr>
        <w:t>-</w:t>
      </w:r>
      <w:r w:rsidRPr="009E58F7">
        <w:rPr>
          <w:rFonts w:eastAsiaTheme="minorHAnsi"/>
          <w:color w:val="000000"/>
        </w:rPr>
        <w:t>felvétel elkészítése ajánlott, am</w:t>
      </w:r>
      <w:r w:rsidR="00B065A7" w:rsidRPr="009E58F7">
        <w:rPr>
          <w:rFonts w:eastAsiaTheme="minorHAnsi"/>
          <w:color w:val="000000"/>
        </w:rPr>
        <w:t>ely</w:t>
      </w:r>
      <w:r w:rsidRPr="009E58F7">
        <w:rPr>
          <w:rFonts w:eastAsiaTheme="minorHAnsi"/>
          <w:color w:val="000000"/>
        </w:rPr>
        <w:t xml:space="preserve"> a kezelés utáni esetleges tüdőelváltozások esetén a kiindulási állapot dokumentációjaként is szolgálhat.</w:t>
      </w:r>
    </w:p>
    <w:p w14:paraId="756E831A" w14:textId="77777777" w:rsidR="004D6470" w:rsidRPr="009E58F7" w:rsidRDefault="004D6470">
      <w:pPr>
        <w:pStyle w:val="Nincstrkz"/>
      </w:pPr>
    </w:p>
    <w:p w14:paraId="2BA87EBF" w14:textId="183A6465" w:rsidR="004D6470" w:rsidRPr="009E58F7" w:rsidRDefault="004D6470">
      <w:pPr>
        <w:pStyle w:val="Nincstrkz"/>
      </w:pPr>
      <w:r w:rsidRPr="009E58F7">
        <w:rPr>
          <w:color w:val="000000"/>
        </w:rPr>
        <w:t>Újonnan jelentkező vagy rosszabbodó pulmonalis tünetek (pl. köhögés, dyspnoe) esetén a</w:t>
      </w:r>
      <w:r w:rsidR="00991539" w:rsidRPr="009E58F7">
        <w:rPr>
          <w:color w:val="000000"/>
        </w:rPr>
        <w:t xml:space="preserve">zonnal fel kell állítani a </w:t>
      </w:r>
      <w:r w:rsidRPr="009E58F7">
        <w:rPr>
          <w:color w:val="000000"/>
        </w:rPr>
        <w:t>diagn</w:t>
      </w:r>
      <w:r w:rsidR="00991539" w:rsidRPr="009E58F7">
        <w:rPr>
          <w:color w:val="000000"/>
        </w:rPr>
        <w:t>ózist</w:t>
      </w:r>
      <w:r w:rsidRPr="009E58F7">
        <w:rPr>
          <w:color w:val="000000"/>
        </w:rPr>
        <w:t xml:space="preserve">, és a betegeket ennek megfelelően </w:t>
      </w:r>
      <w:r w:rsidR="00991539" w:rsidRPr="009E58F7">
        <w:rPr>
          <w:color w:val="000000"/>
        </w:rPr>
        <w:t>kell kezelni. A b</w:t>
      </w:r>
      <w:r w:rsidRPr="009E58F7">
        <w:rPr>
          <w:color w:val="000000"/>
        </w:rPr>
        <w:t>ortezomib</w:t>
      </w:r>
      <w:r w:rsidR="00FE5B85">
        <w:rPr>
          <w:color w:val="000000"/>
        </w:rPr>
        <w:t>-</w:t>
      </w:r>
      <w:r w:rsidRPr="009E58F7">
        <w:rPr>
          <w:color w:val="000000"/>
        </w:rPr>
        <w:t>kezelés folytatása előtt mérlegelni kell az előny/kockázat arányt.</w:t>
      </w:r>
    </w:p>
    <w:p w14:paraId="7A133A6D" w14:textId="77777777" w:rsidR="004D6470" w:rsidRPr="009E58F7" w:rsidRDefault="004D6470">
      <w:pPr>
        <w:pStyle w:val="Nincstrkz"/>
      </w:pPr>
    </w:p>
    <w:p w14:paraId="4EB56E05" w14:textId="7C85F0CD" w:rsidR="004D6470" w:rsidRPr="009E58F7" w:rsidRDefault="004D6470">
      <w:pPr>
        <w:spacing w:line="240" w:lineRule="auto"/>
        <w:contextualSpacing/>
        <w:rPr>
          <w:color w:val="000000"/>
        </w:rPr>
      </w:pPr>
      <w:r w:rsidRPr="009E58F7">
        <w:rPr>
          <w:rFonts w:eastAsiaTheme="minorHAnsi"/>
          <w:color w:val="000000"/>
        </w:rPr>
        <w:t xml:space="preserve">Egy klinikai vizsgálatban </w:t>
      </w:r>
      <w:r w:rsidR="00B065A7" w:rsidRPr="009E58F7">
        <w:rPr>
          <w:color w:val="000000"/>
        </w:rPr>
        <w:t>2 </w:t>
      </w:r>
      <w:r w:rsidR="00991539" w:rsidRPr="009E58F7">
        <w:rPr>
          <w:color w:val="000000"/>
        </w:rPr>
        <w:t xml:space="preserve">beteg </w:t>
      </w:r>
      <w:r w:rsidRPr="009E58F7">
        <w:rPr>
          <w:rFonts w:eastAsiaTheme="minorHAnsi"/>
          <w:color w:val="000000"/>
        </w:rPr>
        <w:t>(2</w:t>
      </w:r>
      <w:r w:rsidRPr="009E58F7">
        <w:rPr>
          <w:color w:val="000000"/>
        </w:rPr>
        <w:t> </w:t>
      </w:r>
      <w:r w:rsidRPr="009E58F7">
        <w:rPr>
          <w:rFonts w:eastAsiaTheme="minorHAnsi"/>
          <w:color w:val="000000"/>
        </w:rPr>
        <w:t>közül</w:t>
      </w:r>
      <w:r w:rsidRPr="009E58F7">
        <w:rPr>
          <w:color w:val="000000"/>
        </w:rPr>
        <w:t>),</w:t>
      </w:r>
      <w:r w:rsidRPr="009E58F7">
        <w:rPr>
          <w:rFonts w:eastAsiaTheme="minorHAnsi"/>
          <w:color w:val="000000"/>
        </w:rPr>
        <w:t xml:space="preserve"> akik nagy dózisú (naponta</w:t>
      </w:r>
      <w:r w:rsidRPr="009E58F7">
        <w:rPr>
          <w:color w:val="000000"/>
        </w:rPr>
        <w:t xml:space="preserve"> 2 g/m</w:t>
      </w:r>
      <w:r w:rsidRPr="009E58F7">
        <w:rPr>
          <w:color w:val="000000"/>
          <w:vertAlign w:val="superscript"/>
        </w:rPr>
        <w:t>2</w:t>
      </w:r>
      <w:r w:rsidRPr="009E58F7">
        <w:rPr>
          <w:rFonts w:eastAsiaTheme="minorHAnsi"/>
          <w:color w:val="000000"/>
        </w:rPr>
        <w:t>) citarabint kaptak folyamatos infúzióban</w:t>
      </w:r>
      <w:r w:rsidRPr="009E58F7">
        <w:rPr>
          <w:color w:val="000000"/>
        </w:rPr>
        <w:t>,</w:t>
      </w:r>
      <w:r w:rsidRPr="009E58F7">
        <w:rPr>
          <w:rFonts w:eastAsiaTheme="minorHAnsi"/>
          <w:color w:val="000000"/>
        </w:rPr>
        <w:t xml:space="preserve"> 24</w:t>
      </w:r>
      <w:r w:rsidRPr="009E58F7">
        <w:rPr>
          <w:color w:val="000000"/>
        </w:rPr>
        <w:t> </w:t>
      </w:r>
      <w:r w:rsidRPr="009E58F7">
        <w:rPr>
          <w:rFonts w:eastAsiaTheme="minorHAnsi"/>
          <w:color w:val="000000"/>
        </w:rPr>
        <w:t xml:space="preserve">órán keresztül, daunorubicinnel és </w:t>
      </w:r>
      <w:r w:rsidR="008B6253" w:rsidRPr="009E58F7">
        <w:t>bortezomib</w:t>
      </w:r>
      <w:r w:rsidR="00B065A7" w:rsidRPr="009E58F7">
        <w:t>ba</w:t>
      </w:r>
      <w:r w:rsidR="00C5286C" w:rsidRPr="009E58F7">
        <w:t>l</w:t>
      </w:r>
      <w:r w:rsidRPr="009E58F7">
        <w:rPr>
          <w:rFonts w:eastAsiaTheme="minorHAnsi"/>
          <w:color w:val="000000"/>
        </w:rPr>
        <w:t xml:space="preserve"> együtt, akut myeloid leukemia relapszusa miatt, a kezelés elején ARDS</w:t>
      </w:r>
      <w:r w:rsidR="003F0F42">
        <w:rPr>
          <w:color w:val="000000"/>
        </w:rPr>
        <w:t>-</w:t>
      </w:r>
      <w:r w:rsidRPr="009E58F7">
        <w:rPr>
          <w:rFonts w:eastAsiaTheme="minorHAnsi"/>
          <w:color w:val="000000"/>
        </w:rPr>
        <w:t>ben elhalálozott, és a vizsgálatot leállították. Ezért ez a specifikus kezelési séma, a folyamatos, 24</w:t>
      </w:r>
      <w:r w:rsidRPr="009E58F7">
        <w:rPr>
          <w:color w:val="000000"/>
        </w:rPr>
        <w:t> </w:t>
      </w:r>
      <w:r w:rsidRPr="009E58F7">
        <w:rPr>
          <w:rFonts w:eastAsiaTheme="minorHAnsi"/>
          <w:color w:val="000000"/>
        </w:rPr>
        <w:t>órán keresztüli infúzióban, nagy dózisú (naponta</w:t>
      </w:r>
      <w:r w:rsidRPr="009E58F7">
        <w:rPr>
          <w:color w:val="000000"/>
        </w:rPr>
        <w:t xml:space="preserve"> 2 g/m</w:t>
      </w:r>
      <w:r w:rsidRPr="009E58F7">
        <w:rPr>
          <w:color w:val="000000"/>
          <w:vertAlign w:val="superscript"/>
        </w:rPr>
        <w:t>2</w:t>
      </w:r>
      <w:r w:rsidRPr="009E58F7">
        <w:rPr>
          <w:rFonts w:eastAsiaTheme="minorHAnsi"/>
          <w:color w:val="000000"/>
        </w:rPr>
        <w:t>) citarabinnal történő egyidejű alkalmazás nem ajánlott.</w:t>
      </w:r>
    </w:p>
    <w:p w14:paraId="214A8A90" w14:textId="77777777" w:rsidR="004D6470" w:rsidRPr="009E58F7" w:rsidRDefault="004D6470">
      <w:pPr>
        <w:pStyle w:val="Nincstrkz"/>
        <w:rPr>
          <w:color w:val="000000"/>
        </w:rPr>
      </w:pPr>
    </w:p>
    <w:p w14:paraId="43B27A7F" w14:textId="77777777" w:rsidR="004D6470" w:rsidRPr="009E58F7" w:rsidRDefault="004D6470">
      <w:pPr>
        <w:pStyle w:val="Nincstrkz"/>
        <w:keepNext/>
        <w:rPr>
          <w:u w:val="single"/>
        </w:rPr>
      </w:pPr>
      <w:bookmarkStart w:id="19" w:name="page97"/>
      <w:bookmarkEnd w:id="19"/>
      <w:r w:rsidRPr="009E58F7">
        <w:rPr>
          <w:color w:val="000000"/>
          <w:u w:val="single"/>
        </w:rPr>
        <w:t>Vesekárosodás</w:t>
      </w:r>
    </w:p>
    <w:p w14:paraId="31123F37" w14:textId="204B3B93" w:rsidR="004D6470" w:rsidRPr="009E58F7" w:rsidRDefault="004D6470">
      <w:pPr>
        <w:pStyle w:val="Nincstrkz"/>
        <w:keepNext/>
      </w:pPr>
      <w:r w:rsidRPr="009E58F7">
        <w:rPr>
          <w:color w:val="000000"/>
        </w:rPr>
        <w:t>Myeloma multiplexben szenv</w:t>
      </w:r>
      <w:r w:rsidR="006A645F" w:rsidRPr="009E58F7">
        <w:rPr>
          <w:color w:val="000000"/>
        </w:rPr>
        <w:t>edő betegeknél gyakoriak a vese</w:t>
      </w:r>
      <w:r w:rsidRPr="009E58F7">
        <w:rPr>
          <w:color w:val="000000"/>
        </w:rPr>
        <w:t>szövődmények. A vesekárosodásban szenvedő betegeket szoros monitorozás alatt kell tartani (lásd 4.2 és 5.2 pont).</w:t>
      </w:r>
    </w:p>
    <w:p w14:paraId="240FFC18" w14:textId="77777777" w:rsidR="004D6470" w:rsidRPr="009E58F7" w:rsidRDefault="004D6470">
      <w:pPr>
        <w:pStyle w:val="Nincstrkz"/>
      </w:pPr>
    </w:p>
    <w:p w14:paraId="1446F9C4" w14:textId="77777777" w:rsidR="004D6470" w:rsidRPr="009E58F7" w:rsidRDefault="004D6470">
      <w:pPr>
        <w:pStyle w:val="Nincstrkz"/>
        <w:keepNext/>
        <w:rPr>
          <w:u w:val="single"/>
        </w:rPr>
      </w:pPr>
      <w:r w:rsidRPr="009E58F7">
        <w:rPr>
          <w:color w:val="000000"/>
          <w:u w:val="single"/>
        </w:rPr>
        <w:t>Májkárosodás</w:t>
      </w:r>
    </w:p>
    <w:p w14:paraId="01E88DE7" w14:textId="132A309D" w:rsidR="004D6470" w:rsidRPr="009E58F7" w:rsidRDefault="004D6470">
      <w:pPr>
        <w:pStyle w:val="Nincstrkz"/>
        <w:keepNext/>
      </w:pPr>
      <w:r w:rsidRPr="009E58F7">
        <w:rPr>
          <w:color w:val="000000"/>
        </w:rPr>
        <w:t>A bortezomibot a máj enzimei metabolizálják. A közepesen súlyos vagy súlyos májkárosodásban szenvedő betegek bortezomib</w:t>
      </w:r>
      <w:r w:rsidR="0095226C">
        <w:rPr>
          <w:color w:val="000000"/>
        </w:rPr>
        <w:t>-</w:t>
      </w:r>
      <w:r w:rsidRPr="009E58F7">
        <w:rPr>
          <w:color w:val="000000"/>
        </w:rPr>
        <w:t>expozíciója em</w:t>
      </w:r>
      <w:r w:rsidR="00991539" w:rsidRPr="009E58F7">
        <w:rPr>
          <w:color w:val="000000"/>
        </w:rPr>
        <w:t>elkedett. Ezeket a betegeket a b</w:t>
      </w:r>
      <w:r w:rsidRPr="009E58F7">
        <w:rPr>
          <w:color w:val="000000"/>
        </w:rPr>
        <w:t>ortezomib csökkentett dózisaival kell kezelni a toxicitás szoros monitorozása mellett (lásd 4.2 és 5.2 pont).</w:t>
      </w:r>
    </w:p>
    <w:p w14:paraId="51988526" w14:textId="77777777" w:rsidR="004D6470" w:rsidRPr="009E58F7" w:rsidRDefault="004D6470">
      <w:pPr>
        <w:pStyle w:val="Nincstrkz"/>
      </w:pPr>
    </w:p>
    <w:p w14:paraId="6338DF6B" w14:textId="77777777" w:rsidR="004D6470" w:rsidRPr="009E58F7" w:rsidRDefault="004D6470">
      <w:pPr>
        <w:pStyle w:val="Nincstrkz"/>
        <w:keepNext/>
        <w:rPr>
          <w:u w:val="single"/>
        </w:rPr>
      </w:pPr>
      <w:r w:rsidRPr="009E58F7">
        <w:rPr>
          <w:color w:val="000000"/>
          <w:u w:val="single"/>
        </w:rPr>
        <w:t>Hepatikus reakciók</w:t>
      </w:r>
    </w:p>
    <w:p w14:paraId="17DFE9D5" w14:textId="5497BA2C" w:rsidR="004D6470" w:rsidRPr="009E58F7" w:rsidRDefault="004D6470">
      <w:pPr>
        <w:spacing w:line="240" w:lineRule="auto"/>
        <w:contextualSpacing/>
      </w:pPr>
      <w:r w:rsidRPr="009E58F7">
        <w:rPr>
          <w:color w:val="000000"/>
        </w:rPr>
        <w:t>Májelégtelenség ritka eseteiről</w:t>
      </w:r>
      <w:r w:rsidRPr="009E58F7">
        <w:rPr>
          <w:rFonts w:eastAsiaTheme="minorHAnsi"/>
          <w:color w:val="000000"/>
        </w:rPr>
        <w:t xml:space="preserve"> számoltak be olyan </w:t>
      </w:r>
      <w:r w:rsidRPr="009E58F7">
        <w:rPr>
          <w:color w:val="000000"/>
        </w:rPr>
        <w:t>betegeknél</w:t>
      </w:r>
      <w:r w:rsidRPr="009E58F7">
        <w:rPr>
          <w:rFonts w:eastAsiaTheme="minorHAnsi"/>
          <w:color w:val="000000"/>
        </w:rPr>
        <w:t xml:space="preserve">, akiket egyidejűleg </w:t>
      </w:r>
      <w:r w:rsidR="008B6253" w:rsidRPr="009E58F7">
        <w:t>bortezomib</w:t>
      </w:r>
      <w:r w:rsidR="008F006B" w:rsidRPr="009E58F7">
        <w:t>ba</w:t>
      </w:r>
      <w:r w:rsidR="00C5286C" w:rsidRPr="009E58F7">
        <w:t>l</w:t>
      </w:r>
      <w:r w:rsidRPr="009E58F7">
        <w:t xml:space="preserve"> </w:t>
      </w:r>
      <w:r w:rsidRPr="009E58F7">
        <w:rPr>
          <w:rFonts w:eastAsiaTheme="minorHAnsi"/>
          <w:color w:val="000000"/>
        </w:rPr>
        <w:t xml:space="preserve">és </w:t>
      </w:r>
      <w:r w:rsidRPr="009E58F7">
        <w:rPr>
          <w:color w:val="000000"/>
        </w:rPr>
        <w:t>más</w:t>
      </w:r>
      <w:r w:rsidRPr="009E58F7">
        <w:rPr>
          <w:rFonts w:eastAsiaTheme="minorHAnsi"/>
          <w:color w:val="000000"/>
        </w:rPr>
        <w:t xml:space="preserve"> </w:t>
      </w:r>
      <w:r w:rsidRPr="009E58F7">
        <w:t>gyógyszerekkel</w:t>
      </w:r>
      <w:r w:rsidR="00C5286C" w:rsidRPr="009E58F7">
        <w:t xml:space="preserve"> kezeltek</w:t>
      </w:r>
      <w:r w:rsidR="008F006B" w:rsidRPr="009E58F7">
        <w:t>,</w:t>
      </w:r>
      <w:r w:rsidRPr="009E58F7">
        <w:t xml:space="preserve"> </w:t>
      </w:r>
      <w:r w:rsidRPr="009E58F7">
        <w:rPr>
          <w:rFonts w:eastAsiaTheme="minorHAnsi"/>
          <w:color w:val="000000"/>
        </w:rPr>
        <w:t>és súlyos társbetegségeik voltak. Egyes esetekben a májenzimek emelkedését, hyperbilirubinaemiát és hepatitist jelentettek. Ezek az elváltozások a bortezomib</w:t>
      </w:r>
      <w:r w:rsidR="00FE5B85">
        <w:rPr>
          <w:color w:val="000000"/>
        </w:rPr>
        <w:t>-</w:t>
      </w:r>
      <w:r w:rsidRPr="009E58F7">
        <w:rPr>
          <w:rFonts w:eastAsiaTheme="minorHAnsi"/>
          <w:color w:val="000000"/>
        </w:rPr>
        <w:t xml:space="preserve">kezelés </w:t>
      </w:r>
      <w:r w:rsidRPr="009E58F7">
        <w:rPr>
          <w:color w:val="000000"/>
        </w:rPr>
        <w:t>leállítását</w:t>
      </w:r>
      <w:r w:rsidRPr="009E58F7">
        <w:rPr>
          <w:rFonts w:eastAsiaTheme="minorHAnsi"/>
          <w:color w:val="000000"/>
        </w:rPr>
        <w:t xml:space="preserve"> követően </w:t>
      </w:r>
      <w:r w:rsidR="00C5286C" w:rsidRPr="009E58F7">
        <w:t>reverzibilisek</w:t>
      </w:r>
      <w:r w:rsidRPr="009E58F7">
        <w:rPr>
          <w:rFonts w:eastAsiaTheme="minorHAnsi"/>
          <w:color w:val="000000"/>
        </w:rPr>
        <w:t xml:space="preserve"> lehetnek (lásd 4.8</w:t>
      </w:r>
      <w:r w:rsidRPr="009E58F7">
        <w:rPr>
          <w:color w:val="000000"/>
        </w:rPr>
        <w:t> </w:t>
      </w:r>
      <w:r w:rsidRPr="009E58F7">
        <w:rPr>
          <w:rFonts w:eastAsiaTheme="minorHAnsi"/>
          <w:color w:val="000000"/>
        </w:rPr>
        <w:t>pont).</w:t>
      </w:r>
    </w:p>
    <w:p w14:paraId="041A61AE" w14:textId="77777777" w:rsidR="004D6470" w:rsidRPr="009E58F7" w:rsidRDefault="004D6470">
      <w:pPr>
        <w:pStyle w:val="Nincstrkz"/>
      </w:pPr>
    </w:p>
    <w:p w14:paraId="032206C3" w14:textId="2F97FC40" w:rsidR="004D6470" w:rsidRPr="009E58F7" w:rsidRDefault="004D6470">
      <w:pPr>
        <w:pStyle w:val="Nincstrkz"/>
        <w:keepNext/>
        <w:rPr>
          <w:u w:val="single"/>
        </w:rPr>
      </w:pPr>
      <w:r w:rsidRPr="009E58F7">
        <w:rPr>
          <w:color w:val="000000"/>
          <w:u w:val="single"/>
        </w:rPr>
        <w:t>Tumor</w:t>
      </w:r>
      <w:r w:rsidR="00D63516" w:rsidRPr="009E58F7">
        <w:rPr>
          <w:color w:val="000000"/>
          <w:u w:val="single"/>
        </w:rPr>
        <w:t>lízis</w:t>
      </w:r>
      <w:r w:rsidR="00FF6F93">
        <w:rPr>
          <w:color w:val="000000"/>
          <w:u w:val="single"/>
        </w:rPr>
        <w:t>-</w:t>
      </w:r>
      <w:r w:rsidRPr="009E58F7">
        <w:rPr>
          <w:color w:val="000000"/>
          <w:u w:val="single"/>
        </w:rPr>
        <w:t>szindróma</w:t>
      </w:r>
    </w:p>
    <w:p w14:paraId="4B6A234E" w14:textId="65B808EB" w:rsidR="004D6470" w:rsidRPr="009E58F7" w:rsidRDefault="004D6470">
      <w:pPr>
        <w:pStyle w:val="Nincstrkz"/>
        <w:keepNext/>
      </w:pPr>
      <w:r w:rsidRPr="009E58F7">
        <w:rPr>
          <w:color w:val="000000"/>
        </w:rPr>
        <w:t>Mivel a bortezomib citotoxikus vegyület, és a malignus plazmasejtek és köpenysejtes lymphomasejtek gyors pusztulását okozhatja, a kezelés szövődményeként tumor</w:t>
      </w:r>
      <w:r w:rsidR="00D63516" w:rsidRPr="009E58F7">
        <w:rPr>
          <w:color w:val="000000"/>
        </w:rPr>
        <w:t>lízis</w:t>
      </w:r>
      <w:r w:rsidR="00FF6F93">
        <w:rPr>
          <w:color w:val="000000"/>
        </w:rPr>
        <w:t>-</w:t>
      </w:r>
      <w:r w:rsidRPr="009E58F7">
        <w:rPr>
          <w:color w:val="000000"/>
        </w:rPr>
        <w:t>szindróma alakulhat ki. A tumor</w:t>
      </w:r>
      <w:r w:rsidR="00D63516" w:rsidRPr="009E58F7">
        <w:rPr>
          <w:color w:val="000000"/>
        </w:rPr>
        <w:t>lízis</w:t>
      </w:r>
      <w:r w:rsidR="00FF6F93">
        <w:rPr>
          <w:color w:val="000000"/>
        </w:rPr>
        <w:t>-</w:t>
      </w:r>
      <w:r w:rsidRPr="009E58F7">
        <w:rPr>
          <w:color w:val="000000"/>
        </w:rPr>
        <w:t xml:space="preserve">szindróma kockázata nagyobb azoknál a betegeknél, akiknél a kezelést megelőzően magas a tumorterhelés. Az ilyen betegeket </w:t>
      </w:r>
      <w:r w:rsidR="00BA01FD" w:rsidRPr="009E58F7">
        <w:rPr>
          <w:color w:val="000000"/>
        </w:rPr>
        <w:t>szoros</w:t>
      </w:r>
      <w:r w:rsidRPr="009E58F7">
        <w:rPr>
          <w:color w:val="000000"/>
        </w:rPr>
        <w:t xml:space="preserve"> monitorozás alatt kell tartani és különös gondossággal </w:t>
      </w:r>
      <w:r w:rsidR="006A645F" w:rsidRPr="009E58F7">
        <w:rPr>
          <w:color w:val="000000"/>
        </w:rPr>
        <w:t xml:space="preserve">kell </w:t>
      </w:r>
      <w:r w:rsidRPr="009E58F7">
        <w:rPr>
          <w:color w:val="000000"/>
        </w:rPr>
        <w:t>kezelni.</w:t>
      </w:r>
    </w:p>
    <w:p w14:paraId="41D95795" w14:textId="77777777" w:rsidR="004D6470" w:rsidRPr="009E58F7" w:rsidRDefault="004D6470">
      <w:pPr>
        <w:pStyle w:val="Nincstrkz"/>
      </w:pPr>
    </w:p>
    <w:p w14:paraId="4A01BD5B" w14:textId="61D1B27F" w:rsidR="004D6470" w:rsidRPr="009E58F7" w:rsidRDefault="004D6470">
      <w:pPr>
        <w:pStyle w:val="Nincstrkz"/>
        <w:keepNext/>
        <w:rPr>
          <w:u w:val="single"/>
        </w:rPr>
      </w:pPr>
      <w:bookmarkStart w:id="20" w:name="page46"/>
      <w:bookmarkEnd w:id="20"/>
      <w:r w:rsidRPr="009E58F7">
        <w:rPr>
          <w:color w:val="000000"/>
          <w:u w:val="single"/>
        </w:rPr>
        <w:t>Egyidejűleg alkalmazott gyógyszerek</w:t>
      </w:r>
    </w:p>
    <w:p w14:paraId="3FCA17D0" w14:textId="603B0A4B" w:rsidR="004D6470" w:rsidRPr="009E58F7" w:rsidRDefault="00BA01FD">
      <w:pPr>
        <w:pStyle w:val="Nincstrkz"/>
        <w:keepNext/>
      </w:pPr>
      <w:r w:rsidRPr="009E58F7">
        <w:rPr>
          <w:color w:val="000000"/>
        </w:rPr>
        <w:t xml:space="preserve">Azokat a betegeket, akik </w:t>
      </w:r>
      <w:r w:rsidR="004D6470" w:rsidRPr="009E58F7">
        <w:rPr>
          <w:color w:val="000000"/>
        </w:rPr>
        <w:t>a bortezomibot erős CYP3A4</w:t>
      </w:r>
      <w:r w:rsidR="00FE5B85">
        <w:rPr>
          <w:color w:val="000000"/>
        </w:rPr>
        <w:t>-</w:t>
      </w:r>
      <w:r w:rsidR="004D6470" w:rsidRPr="009E58F7">
        <w:rPr>
          <w:color w:val="000000"/>
        </w:rPr>
        <w:t>gátlókkal együtt kapj</w:t>
      </w:r>
      <w:r w:rsidRPr="009E58F7">
        <w:rPr>
          <w:color w:val="000000"/>
        </w:rPr>
        <w:t>ák szoros monitorozás ala</w:t>
      </w:r>
      <w:r w:rsidR="008F006B" w:rsidRPr="009E58F7">
        <w:rPr>
          <w:color w:val="000000"/>
        </w:rPr>
        <w:t>tt kell tartani. Körültekintően</w:t>
      </w:r>
      <w:r w:rsidR="004D6470" w:rsidRPr="009E58F7">
        <w:rPr>
          <w:color w:val="000000"/>
        </w:rPr>
        <w:t xml:space="preserve"> kell eljárni bortezomib és CYP3A4</w:t>
      </w:r>
      <w:r w:rsidR="00FF6F93">
        <w:rPr>
          <w:color w:val="000000"/>
        </w:rPr>
        <w:t>-</w:t>
      </w:r>
      <w:r w:rsidR="004D6470" w:rsidRPr="009E58F7">
        <w:rPr>
          <w:color w:val="000000"/>
        </w:rPr>
        <w:t xml:space="preserve"> vagy CYP2C19</w:t>
      </w:r>
      <w:r w:rsidR="00FF6F93">
        <w:rPr>
          <w:color w:val="000000"/>
        </w:rPr>
        <w:t>-</w:t>
      </w:r>
      <w:r w:rsidR="004D6470" w:rsidRPr="009E58F7">
        <w:rPr>
          <w:color w:val="000000"/>
        </w:rPr>
        <w:t>szubsztrátok együttes adagolásakor (lásd 4.5 pont).</w:t>
      </w:r>
    </w:p>
    <w:p w14:paraId="4700528A" w14:textId="50E56894" w:rsidR="004D6470" w:rsidRPr="009E58F7" w:rsidRDefault="004D6470">
      <w:pPr>
        <w:pStyle w:val="Nincstrkz"/>
      </w:pPr>
      <w:r w:rsidRPr="009E58F7">
        <w:rPr>
          <w:color w:val="000000"/>
        </w:rPr>
        <w:t xml:space="preserve">Orális antidiabetikumokat szedő betegeknél meg kell győződni arról, hogy a betegeknek normális a májfunkciójuk, </w:t>
      </w:r>
      <w:r w:rsidR="00C5286C" w:rsidRPr="009E58F7">
        <w:rPr>
          <w:rFonts w:eastAsia="Times New Roman"/>
        </w:rPr>
        <w:t>és kezelésük</w:t>
      </w:r>
      <w:r w:rsidRPr="009E58F7">
        <w:rPr>
          <w:color w:val="000000"/>
        </w:rPr>
        <w:t xml:space="preserve"> során elővigyázatosság szükséges (lásd 4.5 pont).</w:t>
      </w:r>
    </w:p>
    <w:p w14:paraId="726B5903" w14:textId="77777777" w:rsidR="004D6470" w:rsidRPr="009E58F7" w:rsidRDefault="004D6470">
      <w:pPr>
        <w:pStyle w:val="Nincstrkz"/>
      </w:pPr>
    </w:p>
    <w:p w14:paraId="1B42C2FA" w14:textId="5406C0CD" w:rsidR="004D6470" w:rsidRPr="009E58F7" w:rsidRDefault="00BA01FD">
      <w:pPr>
        <w:pStyle w:val="Nincstrkz"/>
        <w:keepNext/>
        <w:rPr>
          <w:u w:val="single"/>
        </w:rPr>
      </w:pPr>
      <w:r w:rsidRPr="009E58F7">
        <w:rPr>
          <w:color w:val="000000"/>
          <w:u w:val="single"/>
        </w:rPr>
        <w:t>Potenciálisan</w:t>
      </w:r>
      <w:r w:rsidR="004D6470" w:rsidRPr="009E58F7">
        <w:rPr>
          <w:color w:val="000000"/>
          <w:u w:val="single"/>
        </w:rPr>
        <w:t xml:space="preserve"> immunkomplex</w:t>
      </w:r>
      <w:r w:rsidR="003F0F42">
        <w:rPr>
          <w:color w:val="000000"/>
          <w:u w:val="single"/>
        </w:rPr>
        <w:t>-</w:t>
      </w:r>
      <w:r w:rsidR="004D6470" w:rsidRPr="009E58F7">
        <w:rPr>
          <w:color w:val="000000"/>
          <w:u w:val="single"/>
        </w:rPr>
        <w:t>függő reakciók</w:t>
      </w:r>
    </w:p>
    <w:p w14:paraId="6B3EA019" w14:textId="221F6558" w:rsidR="004D6470" w:rsidRPr="009E58F7" w:rsidRDefault="004D6470">
      <w:pPr>
        <w:pStyle w:val="Nincstrkz"/>
        <w:keepNext/>
      </w:pPr>
      <w:r w:rsidRPr="009E58F7">
        <w:rPr>
          <w:color w:val="000000"/>
        </w:rPr>
        <w:t xml:space="preserve">Nem gyakran </w:t>
      </w:r>
      <w:r w:rsidR="006A645F" w:rsidRPr="009E58F7">
        <w:rPr>
          <w:color w:val="000000"/>
        </w:rPr>
        <w:t>olyan</w:t>
      </w:r>
      <w:r w:rsidR="00BA01FD" w:rsidRPr="009E58F7">
        <w:rPr>
          <w:color w:val="000000"/>
        </w:rPr>
        <w:t xml:space="preserve"> </w:t>
      </w:r>
      <w:r w:rsidRPr="009E58F7">
        <w:rPr>
          <w:color w:val="000000"/>
        </w:rPr>
        <w:t>potenciálisan immunkomplex</w:t>
      </w:r>
      <w:r w:rsidR="003F0F42">
        <w:rPr>
          <w:color w:val="000000"/>
        </w:rPr>
        <w:t>-</w:t>
      </w:r>
      <w:r w:rsidRPr="009E58F7">
        <w:rPr>
          <w:color w:val="000000"/>
        </w:rPr>
        <w:t>függő reakciókat jelentettek, mint a szérumbetegség típusú reakciók, kiütéssel járó polyarthritis, proliferativ glomerulonephritis. Súlyos túlérzékenységi reakciók esetén a bortezomib</w:t>
      </w:r>
      <w:r w:rsidR="00FE5B85">
        <w:rPr>
          <w:color w:val="000000"/>
        </w:rPr>
        <w:t>-</w:t>
      </w:r>
      <w:r w:rsidRPr="009E58F7">
        <w:rPr>
          <w:color w:val="000000"/>
        </w:rPr>
        <w:t xml:space="preserve">kezelést </w:t>
      </w:r>
      <w:r w:rsidR="00BA01FD" w:rsidRPr="009E58F7">
        <w:rPr>
          <w:color w:val="000000"/>
        </w:rPr>
        <w:t>le kell állítani</w:t>
      </w:r>
      <w:r w:rsidRPr="009E58F7">
        <w:rPr>
          <w:color w:val="000000"/>
        </w:rPr>
        <w:t>.</w:t>
      </w:r>
    </w:p>
    <w:p w14:paraId="5C90D086" w14:textId="77777777" w:rsidR="004D6470" w:rsidRPr="009E58F7" w:rsidRDefault="004D6470">
      <w:pPr>
        <w:widowControl w:val="0"/>
        <w:autoSpaceDE w:val="0"/>
        <w:autoSpaceDN w:val="0"/>
        <w:adjustRightInd w:val="0"/>
        <w:spacing w:line="240" w:lineRule="auto"/>
      </w:pPr>
    </w:p>
    <w:p w14:paraId="3A9C7ED2" w14:textId="033B12DB" w:rsidR="004D6470" w:rsidRPr="009E58F7" w:rsidRDefault="004D6470" w:rsidP="00602E58">
      <w:pPr>
        <w:keepNext/>
        <w:numPr>
          <w:ilvl w:val="0"/>
          <w:numId w:val="10"/>
        </w:numPr>
        <w:tabs>
          <w:tab w:val="clear" w:pos="720"/>
          <w:tab w:val="num" w:pos="567"/>
        </w:tabs>
        <w:overflowPunct w:val="0"/>
        <w:autoSpaceDE w:val="0"/>
        <w:autoSpaceDN w:val="0"/>
        <w:adjustRightInd w:val="0"/>
        <w:spacing w:line="240" w:lineRule="auto"/>
        <w:ind w:left="567" w:hanging="567"/>
        <w:rPr>
          <w:b/>
          <w:color w:val="000000"/>
        </w:rPr>
      </w:pPr>
      <w:r w:rsidRPr="009E58F7">
        <w:rPr>
          <w:b/>
          <w:color w:val="000000"/>
        </w:rPr>
        <w:t>Gyógyszerkölcsönhatások és egyéb interakciók</w:t>
      </w:r>
    </w:p>
    <w:p w14:paraId="20BA0579" w14:textId="77777777" w:rsidR="004D6470" w:rsidRPr="009E58F7" w:rsidRDefault="004D6470" w:rsidP="00D7256D">
      <w:pPr>
        <w:pStyle w:val="Nincstrkz"/>
        <w:keepNext/>
      </w:pPr>
    </w:p>
    <w:p w14:paraId="1B70BBDD" w14:textId="47C30D12" w:rsidR="004D6470" w:rsidRPr="009E58F7" w:rsidRDefault="004D6470" w:rsidP="007070F2">
      <w:pPr>
        <w:pStyle w:val="Nincstrkz"/>
        <w:keepNext/>
      </w:pPr>
      <w:r w:rsidRPr="009E58F7">
        <w:rPr>
          <w:i/>
          <w:color w:val="000000"/>
        </w:rPr>
        <w:t>In</w:t>
      </w:r>
      <w:r w:rsidR="008F006B" w:rsidRPr="009E58F7">
        <w:rPr>
          <w:i/>
          <w:color w:val="000000"/>
        </w:rPr>
        <w:t> </w:t>
      </w:r>
      <w:r w:rsidRPr="009E58F7">
        <w:rPr>
          <w:i/>
          <w:color w:val="000000"/>
        </w:rPr>
        <w:t xml:space="preserve">vitro </w:t>
      </w:r>
      <w:r w:rsidRPr="009E58F7">
        <w:rPr>
          <w:color w:val="000000"/>
        </w:rPr>
        <w:t>vizsgálatok arra utalnak, hogy a bortezomib az 1A2, 2C9, 2C19, 2D6 és 3A4 citokróm P450 (CYP)</w:t>
      </w:r>
      <w:r w:rsidRPr="009E58F7">
        <w:rPr>
          <w:i/>
          <w:iCs/>
          <w:color w:val="000000"/>
        </w:rPr>
        <w:t xml:space="preserve"> </w:t>
      </w:r>
      <w:r w:rsidRPr="009E58F7">
        <w:rPr>
          <w:color w:val="000000"/>
        </w:rPr>
        <w:t>izoenzimek</w:t>
      </w:r>
      <w:r w:rsidR="00BA01FD" w:rsidRPr="009E58F7">
        <w:rPr>
          <w:color w:val="000000"/>
        </w:rPr>
        <w:t xml:space="preserve"> gyenge gátlója</w:t>
      </w:r>
      <w:r w:rsidRPr="009E58F7">
        <w:rPr>
          <w:color w:val="000000"/>
        </w:rPr>
        <w:t>. Mivel a CYP2D6 csak kismértékben (7%) vesz részt a bortezomib metabolizációjában, a CYP2D6 gyengén metabolizáló fenotípusa várhatóan nem befolyásolja lényegesen a bortezomib teljes diszpozícióját.</w:t>
      </w:r>
    </w:p>
    <w:p w14:paraId="4EE3DD02" w14:textId="77777777" w:rsidR="004D6470" w:rsidRPr="009E58F7" w:rsidRDefault="004D6470" w:rsidP="007070F2">
      <w:pPr>
        <w:pStyle w:val="Nincstrkz"/>
      </w:pPr>
    </w:p>
    <w:p w14:paraId="16A279C2" w14:textId="297FB7E3" w:rsidR="004D6470" w:rsidRPr="009E58F7" w:rsidRDefault="004D6470" w:rsidP="003D25C3">
      <w:pPr>
        <w:pStyle w:val="Nincstrkz"/>
      </w:pPr>
      <w:r w:rsidRPr="009E58F7">
        <w:rPr>
          <w:color w:val="000000"/>
        </w:rPr>
        <w:t>Egy</w:t>
      </w:r>
      <w:r w:rsidR="006A645F" w:rsidRPr="009E58F7">
        <w:rPr>
          <w:color w:val="000000"/>
        </w:rPr>
        <w:t xml:space="preserve"> gyógyszer</w:t>
      </w:r>
      <w:r w:rsidR="003F0F42">
        <w:rPr>
          <w:color w:val="000000"/>
        </w:rPr>
        <w:t>-</w:t>
      </w:r>
      <w:r w:rsidR="006A645F" w:rsidRPr="009E58F7">
        <w:rPr>
          <w:color w:val="000000"/>
        </w:rPr>
        <w:t>gyógyszer interakciós vizsgálatban</w:t>
      </w:r>
      <w:r w:rsidRPr="009E58F7">
        <w:rPr>
          <w:color w:val="000000"/>
        </w:rPr>
        <w:t xml:space="preserve">, </w:t>
      </w:r>
      <w:r w:rsidR="00894078" w:rsidRPr="009E58F7">
        <w:rPr>
          <w:color w:val="000000"/>
        </w:rPr>
        <w:t>amelyben</w:t>
      </w:r>
      <w:r w:rsidR="006A645F" w:rsidRPr="009E58F7">
        <w:rPr>
          <w:color w:val="000000"/>
        </w:rPr>
        <w:t xml:space="preserve"> </w:t>
      </w:r>
      <w:r w:rsidRPr="009E58F7">
        <w:rPr>
          <w:color w:val="000000"/>
        </w:rPr>
        <w:t>az erős CYP3A4</w:t>
      </w:r>
      <w:r w:rsidR="00FE5B85">
        <w:rPr>
          <w:color w:val="000000"/>
        </w:rPr>
        <w:t>-</w:t>
      </w:r>
      <w:r w:rsidRPr="009E58F7">
        <w:rPr>
          <w:color w:val="000000"/>
        </w:rPr>
        <w:t>gátló ketokonazol (intravénásan alkalmazott) bortezomib farma</w:t>
      </w:r>
      <w:r w:rsidR="00894078" w:rsidRPr="009E58F7">
        <w:rPr>
          <w:color w:val="000000"/>
        </w:rPr>
        <w:t xml:space="preserve">kokinetikájára gyakorolt hatását </w:t>
      </w:r>
      <w:r w:rsidR="006A645F" w:rsidRPr="009E58F7">
        <w:rPr>
          <w:color w:val="000000"/>
        </w:rPr>
        <w:t>értékel</w:t>
      </w:r>
      <w:r w:rsidR="00894078" w:rsidRPr="009E58F7">
        <w:rPr>
          <w:color w:val="000000"/>
        </w:rPr>
        <w:t>ték,</w:t>
      </w:r>
      <w:r w:rsidRPr="009E58F7">
        <w:rPr>
          <w:color w:val="000000"/>
        </w:rPr>
        <w:t xml:space="preserve"> 12 beteg adatai alapján azt találták, hogy a bortezomib AUC középértéke 35%</w:t>
      </w:r>
      <w:r w:rsidR="00621E19">
        <w:rPr>
          <w:color w:val="000000"/>
        </w:rPr>
        <w:t>-</w:t>
      </w:r>
      <w:r w:rsidRPr="009E58F7">
        <w:rPr>
          <w:color w:val="000000"/>
        </w:rPr>
        <w:t>kal emelkedett (CI</w:t>
      </w:r>
      <w:r w:rsidRPr="009E58F7">
        <w:rPr>
          <w:color w:val="000000"/>
          <w:vertAlign w:val="subscript"/>
        </w:rPr>
        <w:t>90%</w:t>
      </w:r>
      <w:r w:rsidRPr="009E58F7">
        <w:rPr>
          <w:color w:val="000000"/>
        </w:rPr>
        <w:t xml:space="preserve"> [1,032–1,772]). Így azokat a betegeket, akiket bortezomibbal és erős CYP3A4-gátlókkal (pl. ketokonazol, ritonavir) egyidejűleg kezelnek, szorosan monitorozni kell.</w:t>
      </w:r>
    </w:p>
    <w:p w14:paraId="7225CDC2" w14:textId="77777777" w:rsidR="004D6470" w:rsidRPr="009E58F7" w:rsidRDefault="004D6470">
      <w:pPr>
        <w:pStyle w:val="Nincstrkz"/>
      </w:pPr>
    </w:p>
    <w:p w14:paraId="2F5373DA" w14:textId="23BE4DEB" w:rsidR="004D6470" w:rsidRPr="009E58F7" w:rsidRDefault="004D6470">
      <w:pPr>
        <w:pStyle w:val="Nincstrkz"/>
      </w:pPr>
      <w:r w:rsidRPr="009E58F7">
        <w:rPr>
          <w:color w:val="000000"/>
        </w:rPr>
        <w:t>Egy gyógyszer</w:t>
      </w:r>
      <w:r w:rsidR="003F0F42">
        <w:rPr>
          <w:color w:val="000000"/>
        </w:rPr>
        <w:t>-</w:t>
      </w:r>
      <w:r w:rsidRPr="009E58F7">
        <w:rPr>
          <w:color w:val="000000"/>
        </w:rPr>
        <w:t xml:space="preserve">gyógyszer interakciós vizsgálatban, </w:t>
      </w:r>
      <w:r w:rsidR="00894078" w:rsidRPr="009E58F7">
        <w:rPr>
          <w:color w:val="000000"/>
        </w:rPr>
        <w:t>a</w:t>
      </w:r>
      <w:r w:rsidRPr="009E58F7">
        <w:rPr>
          <w:color w:val="000000"/>
        </w:rPr>
        <w:t>melyben az erős CYP219</w:t>
      </w:r>
      <w:r w:rsidR="00FE5B85">
        <w:rPr>
          <w:color w:val="000000"/>
        </w:rPr>
        <w:t>-</w:t>
      </w:r>
      <w:r w:rsidRPr="009E58F7">
        <w:rPr>
          <w:color w:val="000000"/>
        </w:rPr>
        <w:t xml:space="preserve">gátló </w:t>
      </w:r>
      <w:r w:rsidR="008F006B" w:rsidRPr="009E58F7">
        <w:rPr>
          <w:color w:val="000000"/>
        </w:rPr>
        <w:t>omeprazol</w:t>
      </w:r>
      <w:r w:rsidRPr="009E58F7">
        <w:rPr>
          <w:color w:val="000000"/>
        </w:rPr>
        <w:t xml:space="preserve"> (intravénásan alkalmazott) bortezomib farmakokinetikájára gyakorolt hatását értékelték, a beválogatott 17 beteg adatai alapján nem mutattak ki a bortezomib farmakokinetikájára gyakorolt jelentős hatást.</w:t>
      </w:r>
    </w:p>
    <w:p w14:paraId="2F904D16" w14:textId="77777777" w:rsidR="004D6470" w:rsidRPr="009E58F7" w:rsidRDefault="004D6470">
      <w:pPr>
        <w:pStyle w:val="Nincstrkz"/>
      </w:pPr>
    </w:p>
    <w:p w14:paraId="4DEA0521" w14:textId="56BFEAAA" w:rsidR="004D6470" w:rsidRPr="009E58F7" w:rsidRDefault="004D6470">
      <w:pPr>
        <w:spacing w:line="240" w:lineRule="auto"/>
        <w:contextualSpacing/>
      </w:pPr>
      <w:bookmarkStart w:id="21" w:name="page99"/>
      <w:bookmarkEnd w:id="21"/>
      <w:r w:rsidRPr="009E58F7">
        <w:rPr>
          <w:rFonts w:eastAsiaTheme="minorHAnsi"/>
        </w:rPr>
        <w:t>Egy</w:t>
      </w:r>
      <w:r w:rsidR="00894078" w:rsidRPr="009E58F7">
        <w:rPr>
          <w:rFonts w:eastAsiaTheme="minorHAnsi"/>
        </w:rPr>
        <w:t xml:space="preserve"> gyógyszer</w:t>
      </w:r>
      <w:r w:rsidR="003F0F42">
        <w:t>-</w:t>
      </w:r>
      <w:r w:rsidR="00894078" w:rsidRPr="009E58F7">
        <w:rPr>
          <w:rFonts w:eastAsiaTheme="minorHAnsi"/>
        </w:rPr>
        <w:t>gyógyszer interakciós vizsgálat</w:t>
      </w:r>
      <w:r w:rsidRPr="009E58F7">
        <w:t xml:space="preserve">, </w:t>
      </w:r>
      <w:r w:rsidR="00894078" w:rsidRPr="009E58F7">
        <w:t xml:space="preserve">amelyben </w:t>
      </w:r>
      <w:r w:rsidRPr="009E58F7">
        <w:t xml:space="preserve">az </w:t>
      </w:r>
      <w:r w:rsidRPr="009E58F7">
        <w:rPr>
          <w:rFonts w:eastAsiaTheme="minorHAnsi"/>
        </w:rPr>
        <w:t>erős CYP3A4</w:t>
      </w:r>
      <w:r w:rsidR="00FE5B85">
        <w:t>-</w:t>
      </w:r>
      <w:r w:rsidRPr="009E58F7">
        <w:rPr>
          <w:rFonts w:eastAsiaTheme="minorHAnsi"/>
        </w:rPr>
        <w:t xml:space="preserve">induktor </w:t>
      </w:r>
      <w:r w:rsidRPr="009E58F7">
        <w:t xml:space="preserve">rifampicin </w:t>
      </w:r>
      <w:r w:rsidR="008F006B" w:rsidRPr="009E58F7">
        <w:t>(intravénásan alkalmazott) bortezomib</w:t>
      </w:r>
      <w:r w:rsidR="001E751B" w:rsidRPr="009E58F7">
        <w:t xml:space="preserve"> </w:t>
      </w:r>
      <w:r w:rsidR="00894078" w:rsidRPr="009E58F7">
        <w:t xml:space="preserve">farmakokinetikájára gyakorolt </w:t>
      </w:r>
      <w:r w:rsidR="00894078" w:rsidRPr="009E58F7">
        <w:rPr>
          <w:rFonts w:eastAsiaTheme="minorHAnsi"/>
        </w:rPr>
        <w:t xml:space="preserve">hatását </w:t>
      </w:r>
      <w:r w:rsidR="00894078" w:rsidRPr="009E58F7">
        <w:t>értékelték,</w:t>
      </w:r>
      <w:r w:rsidRPr="009E58F7">
        <w:t xml:space="preserve"> a </w:t>
      </w:r>
      <w:r w:rsidRPr="009E58F7">
        <w:rPr>
          <w:rFonts w:eastAsiaTheme="minorHAnsi"/>
        </w:rPr>
        <w:t xml:space="preserve">bortezomib AUC </w:t>
      </w:r>
      <w:r w:rsidRPr="009E58F7">
        <w:t xml:space="preserve">középértékének </w:t>
      </w:r>
      <w:r w:rsidR="00894078" w:rsidRPr="009E58F7">
        <w:rPr>
          <w:rFonts w:eastAsiaTheme="minorHAnsi"/>
        </w:rPr>
        <w:t>45</w:t>
      </w:r>
      <w:r w:rsidR="00894078" w:rsidRPr="009E58F7">
        <w:t>%</w:t>
      </w:r>
      <w:r w:rsidR="00621E19">
        <w:t>-</w:t>
      </w:r>
      <w:r w:rsidR="00894078" w:rsidRPr="009E58F7">
        <w:rPr>
          <w:rFonts w:eastAsiaTheme="minorHAnsi"/>
        </w:rPr>
        <w:t xml:space="preserve">os csökkenését </w:t>
      </w:r>
      <w:r w:rsidR="00894078" w:rsidRPr="009E58F7">
        <w:t>mutatta ki</w:t>
      </w:r>
      <w:r w:rsidRPr="009E58F7">
        <w:rPr>
          <w:rFonts w:eastAsiaTheme="minorHAnsi"/>
        </w:rPr>
        <w:t xml:space="preserve"> 6</w:t>
      </w:r>
      <w:r w:rsidRPr="009E58F7">
        <w:t> </w:t>
      </w:r>
      <w:r w:rsidRPr="009E58F7">
        <w:rPr>
          <w:rFonts w:eastAsiaTheme="minorHAnsi"/>
        </w:rPr>
        <w:t xml:space="preserve">beteg adatai alapján. Ezért bortezomib </w:t>
      </w:r>
      <w:r w:rsidR="001E751B" w:rsidRPr="009E58F7">
        <w:t>és</w:t>
      </w:r>
      <w:r w:rsidRPr="009E58F7">
        <w:t xml:space="preserve"> </w:t>
      </w:r>
      <w:r w:rsidRPr="009E58F7">
        <w:rPr>
          <w:rFonts w:eastAsiaTheme="minorHAnsi"/>
        </w:rPr>
        <w:t>erős CYP3A4</w:t>
      </w:r>
      <w:r w:rsidR="00FE5B85">
        <w:t>-</w:t>
      </w:r>
      <w:r w:rsidRPr="009E58F7">
        <w:t>induktorok</w:t>
      </w:r>
      <w:r w:rsidRPr="009E58F7">
        <w:rPr>
          <w:rFonts w:eastAsiaTheme="minorHAnsi"/>
        </w:rPr>
        <w:t xml:space="preserve"> (pl. rifampicin, karbamazepin, fenitoin, fenobarbitál és </w:t>
      </w:r>
      <w:r w:rsidR="00320D14" w:rsidRPr="009E58F7">
        <w:rPr>
          <w:rFonts w:eastAsiaTheme="minorHAnsi"/>
        </w:rPr>
        <w:t xml:space="preserve">közönséges </w:t>
      </w:r>
      <w:r w:rsidRPr="009E58F7">
        <w:rPr>
          <w:rFonts w:eastAsiaTheme="minorHAnsi"/>
        </w:rPr>
        <w:t xml:space="preserve">orbáncfű) </w:t>
      </w:r>
      <w:r w:rsidR="001E751B" w:rsidRPr="009E58F7">
        <w:t xml:space="preserve">egyidejű alkalmazása </w:t>
      </w:r>
      <w:r w:rsidRPr="009E58F7">
        <w:rPr>
          <w:rFonts w:eastAsiaTheme="minorHAnsi"/>
        </w:rPr>
        <w:t xml:space="preserve">nem ajánlott, mivel </w:t>
      </w:r>
      <w:r w:rsidRPr="009E58F7">
        <w:t>a hatásosság</w:t>
      </w:r>
      <w:r w:rsidR="00C5286C" w:rsidRPr="009E58F7">
        <w:t xml:space="preserve"> csökkenhet</w:t>
      </w:r>
      <w:r w:rsidRPr="009E58F7">
        <w:rPr>
          <w:rFonts w:eastAsiaTheme="minorHAnsi"/>
        </w:rPr>
        <w:t>.</w:t>
      </w:r>
    </w:p>
    <w:p w14:paraId="25D3AF69" w14:textId="77777777" w:rsidR="004D6470" w:rsidRPr="009E58F7" w:rsidRDefault="004D6470">
      <w:pPr>
        <w:pStyle w:val="Nincstrkz"/>
      </w:pPr>
    </w:p>
    <w:p w14:paraId="44FD229D" w14:textId="0CA44B4E" w:rsidR="004D6470" w:rsidRPr="009E58F7" w:rsidRDefault="00AE7B84">
      <w:pPr>
        <w:pStyle w:val="Nincstrkz"/>
      </w:pPr>
      <w:r w:rsidRPr="009E58F7">
        <w:t>Amikor u</w:t>
      </w:r>
      <w:r w:rsidR="004D6470" w:rsidRPr="009E58F7">
        <w:t>gyanebben a gyógyszer</w:t>
      </w:r>
      <w:r w:rsidR="003F0F42">
        <w:t>-</w:t>
      </w:r>
      <w:r w:rsidR="004D6470" w:rsidRPr="009E58F7">
        <w:t>gyóg</w:t>
      </w:r>
      <w:r w:rsidRPr="009E58F7">
        <w:t xml:space="preserve">yszer interakciós vizsgálatban </w:t>
      </w:r>
      <w:r w:rsidR="004D6470" w:rsidRPr="009E58F7">
        <w:t>a gyengébb CYP3A4</w:t>
      </w:r>
      <w:r w:rsidR="003F0F42">
        <w:t>-</w:t>
      </w:r>
      <w:r w:rsidR="004D6470" w:rsidRPr="009E58F7">
        <w:t xml:space="preserve">induktor dexametazon </w:t>
      </w:r>
      <w:r w:rsidRPr="009E58F7">
        <w:t xml:space="preserve">bortezomib (intravénásan beadva) farmakokinetikájára gyakorolt </w:t>
      </w:r>
      <w:r w:rsidR="004D6470" w:rsidRPr="009E58F7">
        <w:t>hatását értékelték 7 beteg adatai alapján</w:t>
      </w:r>
      <w:r w:rsidR="00894078" w:rsidRPr="009E58F7">
        <w:t>,</w:t>
      </w:r>
      <w:r w:rsidR="004D6470" w:rsidRPr="009E58F7">
        <w:t xml:space="preserve"> nem mutattak ki a bortezomib farmakokinetikájára gyakorolt jelentős hatást.</w:t>
      </w:r>
    </w:p>
    <w:p w14:paraId="3E25C836" w14:textId="77777777" w:rsidR="004D6470" w:rsidRPr="009E58F7" w:rsidRDefault="004D6470">
      <w:pPr>
        <w:pStyle w:val="Nincstrkz"/>
      </w:pPr>
    </w:p>
    <w:p w14:paraId="4A7E9E07" w14:textId="42763070" w:rsidR="004D6470" w:rsidRPr="009E58F7" w:rsidRDefault="004D6470">
      <w:pPr>
        <w:tabs>
          <w:tab w:val="left" w:pos="623"/>
        </w:tabs>
        <w:spacing w:line="240" w:lineRule="auto"/>
        <w:contextualSpacing/>
      </w:pPr>
      <w:r w:rsidRPr="009E58F7">
        <w:rPr>
          <w:rFonts w:eastAsiaTheme="minorHAnsi"/>
          <w:color w:val="000000"/>
        </w:rPr>
        <w:t>A melfalán</w:t>
      </w:r>
      <w:r w:rsidR="003F0F42">
        <w:rPr>
          <w:color w:val="000000"/>
        </w:rPr>
        <w:t>-</w:t>
      </w:r>
      <w:r w:rsidRPr="009E58F7">
        <w:rPr>
          <w:rFonts w:eastAsiaTheme="minorHAnsi"/>
          <w:color w:val="000000"/>
        </w:rPr>
        <w:t xml:space="preserve">prednizon kombináció </w:t>
      </w:r>
      <w:r w:rsidRPr="009E58F7">
        <w:rPr>
          <w:color w:val="000000"/>
        </w:rPr>
        <w:t xml:space="preserve">(intravénásan alkalmazott) </w:t>
      </w:r>
      <w:r w:rsidRPr="009E58F7">
        <w:rPr>
          <w:rFonts w:eastAsiaTheme="minorHAnsi"/>
          <w:color w:val="000000"/>
        </w:rPr>
        <w:t>bortezomib farmakokinetikájára gyakorolt hatását értékelő gyógyszer</w:t>
      </w:r>
      <w:r w:rsidR="003F0F42">
        <w:rPr>
          <w:color w:val="000000"/>
        </w:rPr>
        <w:t>-</w:t>
      </w:r>
      <w:r w:rsidRPr="009E58F7">
        <w:rPr>
          <w:rFonts w:eastAsiaTheme="minorHAnsi"/>
          <w:color w:val="000000"/>
        </w:rPr>
        <w:t>gyógyszer interakciós vizsgálat a bortezomib átlag AUC 17</w:t>
      </w:r>
      <w:r w:rsidRPr="009E58F7">
        <w:rPr>
          <w:color w:val="000000"/>
        </w:rPr>
        <w:t>%</w:t>
      </w:r>
      <w:r w:rsidR="00621E19">
        <w:rPr>
          <w:color w:val="000000"/>
        </w:rPr>
        <w:t>-</w:t>
      </w:r>
      <w:r w:rsidRPr="009E58F7">
        <w:rPr>
          <w:rFonts w:eastAsiaTheme="minorHAnsi"/>
          <w:color w:val="000000"/>
        </w:rPr>
        <w:t>os emelkedését mutatta 21</w:t>
      </w:r>
      <w:r w:rsidRPr="009E58F7">
        <w:rPr>
          <w:color w:val="000000"/>
        </w:rPr>
        <w:t> </w:t>
      </w:r>
      <w:r w:rsidRPr="009E58F7">
        <w:rPr>
          <w:rFonts w:eastAsiaTheme="minorHAnsi"/>
          <w:color w:val="000000"/>
        </w:rPr>
        <w:t xml:space="preserve">beteg adatai alapján. </w:t>
      </w:r>
      <w:r w:rsidRPr="009E58F7">
        <w:rPr>
          <w:color w:val="000000"/>
        </w:rPr>
        <w:t>Ez</w:t>
      </w:r>
      <w:r w:rsidRPr="009E58F7">
        <w:rPr>
          <w:rFonts w:eastAsiaTheme="minorHAnsi"/>
          <w:color w:val="000000"/>
        </w:rPr>
        <w:t xml:space="preserve"> nem </w:t>
      </w:r>
      <w:r w:rsidR="00C5286C" w:rsidRPr="009E58F7">
        <w:t>tekint</w:t>
      </w:r>
      <w:r w:rsidR="00A6511B" w:rsidRPr="009E58F7">
        <w:t>hető</w:t>
      </w:r>
      <w:r w:rsidRPr="009E58F7">
        <w:rPr>
          <w:rFonts w:eastAsiaTheme="minorHAnsi"/>
          <w:color w:val="000000"/>
        </w:rPr>
        <w:t xml:space="preserve"> klinikailag jelentősnek.</w:t>
      </w:r>
    </w:p>
    <w:p w14:paraId="76814749" w14:textId="77777777" w:rsidR="004D6470" w:rsidRPr="009E58F7" w:rsidRDefault="004D6470">
      <w:pPr>
        <w:pStyle w:val="Nincstrkz"/>
      </w:pPr>
    </w:p>
    <w:p w14:paraId="5898A611" w14:textId="70071538" w:rsidR="004D6470" w:rsidRPr="009E58F7" w:rsidRDefault="004D6470">
      <w:pPr>
        <w:spacing w:line="240" w:lineRule="auto"/>
        <w:contextualSpacing/>
      </w:pPr>
      <w:r w:rsidRPr="009E58F7">
        <w:rPr>
          <w:rFonts w:eastAsiaTheme="minorHAnsi"/>
          <w:color w:val="000000"/>
        </w:rPr>
        <w:t>A klinikai vizsgálatok során hypoglykaemiáról nem gyakran</w:t>
      </w:r>
      <w:r w:rsidR="00AE7B84" w:rsidRPr="009E58F7">
        <w:rPr>
          <w:color w:val="000000"/>
        </w:rPr>
        <w:t>,</w:t>
      </w:r>
      <w:r w:rsidRPr="009E58F7">
        <w:rPr>
          <w:rFonts w:eastAsiaTheme="minorHAnsi"/>
          <w:color w:val="000000"/>
        </w:rPr>
        <w:t xml:space="preserve"> hyperglykaemiáról </w:t>
      </w:r>
      <w:r w:rsidRPr="009E58F7">
        <w:rPr>
          <w:color w:val="000000"/>
        </w:rPr>
        <w:t xml:space="preserve">pedig </w:t>
      </w:r>
      <w:r w:rsidRPr="009E58F7">
        <w:rPr>
          <w:rFonts w:eastAsiaTheme="minorHAnsi"/>
          <w:color w:val="000000"/>
        </w:rPr>
        <w:t xml:space="preserve">gyakran számoltak be az orális antidiabetikumot </w:t>
      </w:r>
      <w:r w:rsidR="00C5286C" w:rsidRPr="009E58F7">
        <w:t>szedő</w:t>
      </w:r>
      <w:r w:rsidRPr="009E58F7">
        <w:t xml:space="preserve"> </w:t>
      </w:r>
      <w:r w:rsidRPr="009E58F7">
        <w:rPr>
          <w:rFonts w:eastAsiaTheme="minorHAnsi"/>
          <w:color w:val="000000"/>
        </w:rPr>
        <w:t xml:space="preserve">cukorbetegeknél. Orális antidiabetikumot szedő betegeknél a </w:t>
      </w:r>
      <w:r w:rsidRPr="009E58F7">
        <w:rPr>
          <w:rFonts w:eastAsiaTheme="minorHAnsi"/>
          <w:color w:val="000000"/>
        </w:rPr>
        <w:lastRenderedPageBreak/>
        <w:t>bortezomib</w:t>
      </w:r>
      <w:r w:rsidR="00621E19">
        <w:rPr>
          <w:color w:val="000000"/>
        </w:rPr>
        <w:t>-</w:t>
      </w:r>
      <w:r w:rsidRPr="009E58F7">
        <w:rPr>
          <w:rFonts w:eastAsiaTheme="minorHAnsi"/>
          <w:color w:val="000000"/>
        </w:rPr>
        <w:t>terápia során szükség lehet a vércukorszint gondos ellenőrzésére és az antidiabetikus gyógyszerelés módosítására.</w:t>
      </w:r>
    </w:p>
    <w:p w14:paraId="7327BF67" w14:textId="77777777" w:rsidR="004D6470" w:rsidRPr="009E58F7" w:rsidRDefault="004D6470">
      <w:pPr>
        <w:widowControl w:val="0"/>
        <w:autoSpaceDE w:val="0"/>
        <w:autoSpaceDN w:val="0"/>
        <w:adjustRightInd w:val="0"/>
        <w:spacing w:line="240" w:lineRule="auto"/>
      </w:pPr>
    </w:p>
    <w:p w14:paraId="56E6BB77" w14:textId="522E432F" w:rsidR="004D6470" w:rsidRPr="009E58F7" w:rsidRDefault="004D6470" w:rsidP="00602E58">
      <w:pPr>
        <w:keepNext/>
        <w:numPr>
          <w:ilvl w:val="0"/>
          <w:numId w:val="11"/>
        </w:numPr>
        <w:tabs>
          <w:tab w:val="clear" w:pos="720"/>
          <w:tab w:val="num" w:pos="564"/>
        </w:tabs>
        <w:overflowPunct w:val="0"/>
        <w:autoSpaceDE w:val="0"/>
        <w:autoSpaceDN w:val="0"/>
        <w:adjustRightInd w:val="0"/>
        <w:spacing w:line="240" w:lineRule="auto"/>
        <w:ind w:left="561" w:hanging="561"/>
        <w:rPr>
          <w:b/>
          <w:color w:val="000000"/>
        </w:rPr>
      </w:pPr>
      <w:r w:rsidRPr="009E58F7">
        <w:rPr>
          <w:b/>
          <w:color w:val="000000"/>
        </w:rPr>
        <w:t>Termékenység, terhesség és szoptatás</w:t>
      </w:r>
      <w:r w:rsidRPr="009E58F7">
        <w:rPr>
          <w:b/>
          <w:bCs/>
          <w:color w:val="000000"/>
        </w:rPr>
        <w:t xml:space="preserve"> </w:t>
      </w:r>
    </w:p>
    <w:p w14:paraId="6CB2B78B" w14:textId="77777777" w:rsidR="004D6470" w:rsidRPr="009E58F7" w:rsidRDefault="004D6470" w:rsidP="00D7256D">
      <w:pPr>
        <w:keepNext/>
        <w:autoSpaceDE w:val="0"/>
        <w:autoSpaceDN w:val="0"/>
        <w:adjustRightInd w:val="0"/>
        <w:spacing w:line="240" w:lineRule="auto"/>
      </w:pPr>
    </w:p>
    <w:p w14:paraId="1F383E3E" w14:textId="1047AEF8" w:rsidR="004D6470" w:rsidRPr="009E58F7" w:rsidRDefault="004D6470" w:rsidP="007070F2">
      <w:pPr>
        <w:keepNext/>
        <w:autoSpaceDE w:val="0"/>
        <w:autoSpaceDN w:val="0"/>
        <w:adjustRightInd w:val="0"/>
        <w:spacing w:line="240" w:lineRule="auto"/>
        <w:ind w:left="4"/>
      </w:pPr>
      <w:r w:rsidRPr="009E58F7">
        <w:rPr>
          <w:color w:val="000000"/>
          <w:u w:val="single"/>
        </w:rPr>
        <w:t>Fogamzásgátlás férfiak</w:t>
      </w:r>
      <w:r w:rsidR="00AE7B84" w:rsidRPr="009E58F7">
        <w:rPr>
          <w:color w:val="000000"/>
          <w:u w:val="single"/>
        </w:rPr>
        <w:t>nál</w:t>
      </w:r>
      <w:r w:rsidRPr="009E58F7">
        <w:rPr>
          <w:color w:val="000000"/>
          <w:u w:val="single"/>
        </w:rPr>
        <w:t xml:space="preserve"> és nők</w:t>
      </w:r>
      <w:r w:rsidR="00AE7B84" w:rsidRPr="009E58F7">
        <w:rPr>
          <w:color w:val="000000"/>
          <w:u w:val="single"/>
        </w:rPr>
        <w:t>nél</w:t>
      </w:r>
    </w:p>
    <w:p w14:paraId="6206DA9E" w14:textId="2910094E" w:rsidR="00A6511B" w:rsidRPr="009E58F7" w:rsidRDefault="004D6470" w:rsidP="007070F2">
      <w:pPr>
        <w:spacing w:line="240" w:lineRule="auto"/>
        <w:contextualSpacing/>
      </w:pPr>
      <w:r w:rsidRPr="009E58F7">
        <w:rPr>
          <w:rFonts w:eastAsiaTheme="minorHAnsi"/>
        </w:rPr>
        <w:t>Férfi</w:t>
      </w:r>
      <w:r w:rsidR="00894078" w:rsidRPr="009E58F7">
        <w:t>-</w:t>
      </w:r>
      <w:r w:rsidRPr="009E58F7">
        <w:rPr>
          <w:rFonts w:eastAsiaTheme="minorHAnsi"/>
        </w:rPr>
        <w:t xml:space="preserve"> és fogamzóképes korban lévő nőbetegeknek hatékony fogamzásgátlást kell alkalmazniuk a kezelés alatt és 3</w:t>
      </w:r>
      <w:r w:rsidRPr="009E58F7">
        <w:t> </w:t>
      </w:r>
      <w:r w:rsidRPr="009E58F7">
        <w:rPr>
          <w:rFonts w:eastAsiaTheme="minorHAnsi"/>
        </w:rPr>
        <w:t xml:space="preserve">hónapig azt </w:t>
      </w:r>
      <w:r w:rsidR="006D1421" w:rsidRPr="009E58F7">
        <w:t>követően</w:t>
      </w:r>
      <w:bookmarkStart w:id="22" w:name="page47"/>
      <w:bookmarkEnd w:id="22"/>
      <w:r w:rsidR="00A6511B" w:rsidRPr="009E58F7">
        <w:t>.</w:t>
      </w:r>
    </w:p>
    <w:p w14:paraId="117E5667" w14:textId="77777777" w:rsidR="00A6511B" w:rsidRPr="009E58F7" w:rsidRDefault="00A6511B" w:rsidP="00602E58">
      <w:pPr>
        <w:spacing w:line="240" w:lineRule="auto"/>
        <w:contextualSpacing/>
      </w:pPr>
    </w:p>
    <w:p w14:paraId="4BB895FB" w14:textId="456500CD" w:rsidR="004D6470" w:rsidRPr="009E58F7" w:rsidRDefault="00C5286C" w:rsidP="00D7256D">
      <w:pPr>
        <w:spacing w:line="240" w:lineRule="auto"/>
        <w:contextualSpacing/>
      </w:pPr>
      <w:r w:rsidRPr="009E58F7">
        <w:rPr>
          <w:u w:val="single"/>
        </w:rPr>
        <w:t>Terhesség</w:t>
      </w:r>
    </w:p>
    <w:p w14:paraId="5B730043" w14:textId="4B2D0963" w:rsidR="004D6470" w:rsidRPr="009E58F7" w:rsidRDefault="004D6470" w:rsidP="007070F2">
      <w:pPr>
        <w:pStyle w:val="Nincstrkz"/>
      </w:pPr>
      <w:r w:rsidRPr="009E58F7">
        <w:t>A terhesség alatti bortezomib</w:t>
      </w:r>
      <w:r w:rsidR="00C06504">
        <w:t>-</w:t>
      </w:r>
      <w:r w:rsidRPr="009E58F7">
        <w:t>expozíció tekintetében nem állnak rendelkezésre klinikai adatok. A bortezomib esetleges magzatkárosító hatása még nem teljesen tisztázott.</w:t>
      </w:r>
    </w:p>
    <w:p w14:paraId="65DDFB41" w14:textId="77777777" w:rsidR="004D6470" w:rsidRPr="009E58F7" w:rsidRDefault="004D6470" w:rsidP="007070F2">
      <w:pPr>
        <w:pStyle w:val="Nincstrkz"/>
      </w:pPr>
    </w:p>
    <w:p w14:paraId="0FFCE28E" w14:textId="5AC5E780" w:rsidR="004D6470" w:rsidRPr="009E58F7" w:rsidRDefault="004D6470" w:rsidP="003D25C3">
      <w:pPr>
        <w:spacing w:line="240" w:lineRule="auto"/>
        <w:contextualSpacing/>
      </w:pPr>
      <w:r w:rsidRPr="009E58F7">
        <w:rPr>
          <w:rFonts w:eastAsiaTheme="minorHAnsi"/>
        </w:rPr>
        <w:t xml:space="preserve">Nem klinikai vizsgálatokban a bortezomib nem volt hatással patkányok és nyulak embrionális/foetalis fejlődésére az anyaállat által tolerált maximális dózisokban sem. Nem végeztek állatkísérleteket a </w:t>
      </w:r>
      <w:r w:rsidR="00C5286C" w:rsidRPr="009E58F7">
        <w:t xml:space="preserve">bortezomib </w:t>
      </w:r>
      <w:r w:rsidRPr="009E58F7">
        <w:rPr>
          <w:rFonts w:eastAsiaTheme="minorHAnsi"/>
        </w:rPr>
        <w:t>parturitióra és postnatalis fejlődésre kifejtett hatásainak megállapítására (lásd 5.3</w:t>
      </w:r>
      <w:r w:rsidRPr="009E58F7">
        <w:t> </w:t>
      </w:r>
      <w:r w:rsidRPr="009E58F7">
        <w:rPr>
          <w:rFonts w:eastAsiaTheme="minorHAnsi"/>
        </w:rPr>
        <w:t xml:space="preserve">pont). A </w:t>
      </w:r>
      <w:r w:rsidRPr="009E58F7">
        <w:rPr>
          <w:rFonts w:eastAsiaTheme="minorHAnsi"/>
          <w:color w:val="000000"/>
        </w:rPr>
        <w:t xml:space="preserve">bortezomib </w:t>
      </w:r>
      <w:r w:rsidRPr="009E58F7">
        <w:rPr>
          <w:rFonts w:eastAsiaTheme="minorHAnsi"/>
        </w:rPr>
        <w:t xml:space="preserve">alkalmazása nem </w:t>
      </w:r>
      <w:r w:rsidR="00C5286C" w:rsidRPr="009E58F7">
        <w:t>javall</w:t>
      </w:r>
      <w:r w:rsidR="00A6511B" w:rsidRPr="009E58F7">
        <w:t>ot</w:t>
      </w:r>
      <w:r w:rsidR="00C5286C" w:rsidRPr="009E58F7">
        <w:t>t</w:t>
      </w:r>
      <w:r w:rsidRPr="009E58F7">
        <w:rPr>
          <w:rFonts w:eastAsiaTheme="minorHAnsi"/>
        </w:rPr>
        <w:t xml:space="preserve"> terhesség alatt kivéve, ha a nő klinikai állapota szükségessé teszi a </w:t>
      </w:r>
      <w:r w:rsidRPr="009E58F7">
        <w:rPr>
          <w:rFonts w:eastAsiaTheme="minorHAnsi"/>
          <w:color w:val="000000"/>
        </w:rPr>
        <w:t>bortezomib</w:t>
      </w:r>
      <w:r w:rsidR="00FE5B85">
        <w:rPr>
          <w:color w:val="000000"/>
        </w:rPr>
        <w:t>-</w:t>
      </w:r>
      <w:r w:rsidRPr="009E58F7">
        <w:rPr>
          <w:rFonts w:eastAsiaTheme="minorHAnsi"/>
        </w:rPr>
        <w:t xml:space="preserve">kezelést. Amennyiben terhesség idején </w:t>
      </w:r>
      <w:r w:rsidR="00C5286C" w:rsidRPr="009E58F7">
        <w:t xml:space="preserve">alkalmazzák a </w:t>
      </w:r>
      <w:r w:rsidR="008B6253" w:rsidRPr="009E58F7">
        <w:t>bortezomib</w:t>
      </w:r>
      <w:r w:rsidR="00A6511B" w:rsidRPr="009E58F7">
        <w:t>o</w:t>
      </w:r>
      <w:r w:rsidR="00C5286C" w:rsidRPr="009E58F7">
        <w:t>t</w:t>
      </w:r>
      <w:r w:rsidRPr="009E58F7">
        <w:rPr>
          <w:rFonts w:eastAsiaTheme="minorHAnsi"/>
        </w:rPr>
        <w:t>, vagy a gyógyszeres kezelés során a beteg teherbe esik, a beteget figyelmeztetni kell a potenciális magzatkárosító hatásra.</w:t>
      </w:r>
    </w:p>
    <w:p w14:paraId="738C1150" w14:textId="77777777" w:rsidR="004D6470" w:rsidRPr="009E58F7" w:rsidRDefault="004D6470">
      <w:pPr>
        <w:widowControl w:val="0"/>
        <w:autoSpaceDE w:val="0"/>
        <w:autoSpaceDN w:val="0"/>
        <w:adjustRightInd w:val="0"/>
        <w:spacing w:line="240" w:lineRule="auto"/>
      </w:pPr>
    </w:p>
    <w:p w14:paraId="5F811EF3" w14:textId="24BB9B21" w:rsidR="004D6470" w:rsidRPr="009E58F7" w:rsidRDefault="004D6470">
      <w:pPr>
        <w:spacing w:line="240" w:lineRule="auto"/>
        <w:contextualSpacing/>
      </w:pPr>
      <w:r w:rsidRPr="009E58F7">
        <w:rPr>
          <w:rFonts w:eastAsiaTheme="minorHAnsi"/>
        </w:rPr>
        <w:t>A talidomid az emberre nézve ismerten teratogén hatású hatóanyag, amely súlyos és életveszélyes születési rendellenességeket okoz. A talidomid ellenjavallt terhesség alatt</w:t>
      </w:r>
      <w:r w:rsidR="001D14D0">
        <w:rPr>
          <w:rFonts w:eastAsiaTheme="minorHAnsi"/>
        </w:rPr>
        <w:t>,</w:t>
      </w:r>
      <w:r w:rsidRPr="009E58F7">
        <w:rPr>
          <w:rFonts w:eastAsiaTheme="minorHAnsi"/>
        </w:rPr>
        <w:t xml:space="preserve"> valamint fogamz</w:t>
      </w:r>
      <w:r w:rsidR="00E66B66" w:rsidRPr="009E58F7">
        <w:rPr>
          <w:rFonts w:eastAsiaTheme="minorHAnsi"/>
        </w:rPr>
        <w:t xml:space="preserve">óképes nők esetén, kivéve, ha </w:t>
      </w:r>
      <w:r w:rsidRPr="009E58F7">
        <w:rPr>
          <w:rFonts w:eastAsiaTheme="minorHAnsi"/>
        </w:rPr>
        <w:t xml:space="preserve">teljesülnek a talidomid terhességmegelőző program feltételei. A </w:t>
      </w:r>
      <w:r w:rsidR="008B6253" w:rsidRPr="009E58F7">
        <w:t>bortezomib</w:t>
      </w:r>
      <w:r w:rsidR="00A6511B" w:rsidRPr="009E58F7">
        <w:t>ba</w:t>
      </w:r>
      <w:r w:rsidR="00C5286C" w:rsidRPr="009E58F7">
        <w:t>l</w:t>
      </w:r>
      <w:r w:rsidRPr="009E58F7">
        <w:rPr>
          <w:rFonts w:eastAsiaTheme="minorHAnsi"/>
        </w:rPr>
        <w:t xml:space="preserve"> kombinált talidomid</w:t>
      </w:r>
      <w:r w:rsidR="00320D14" w:rsidRPr="009E58F7">
        <w:rPr>
          <w:rFonts w:eastAsiaTheme="minorHAnsi"/>
        </w:rPr>
        <w:t>-</w:t>
      </w:r>
      <w:r w:rsidR="00C5286C" w:rsidRPr="009E58F7">
        <w:t>kezelés</w:t>
      </w:r>
      <w:r w:rsidR="00A6511B" w:rsidRPr="009E58F7">
        <w:t>ben</w:t>
      </w:r>
      <w:r w:rsidR="00C5286C" w:rsidRPr="009E58F7">
        <w:t xml:space="preserve"> </w:t>
      </w:r>
      <w:r w:rsidR="00A6511B" w:rsidRPr="009E58F7">
        <w:t>részesülő</w:t>
      </w:r>
      <w:r w:rsidRPr="009E58F7">
        <w:t xml:space="preserve"> </w:t>
      </w:r>
      <w:r w:rsidRPr="009E58F7">
        <w:rPr>
          <w:rFonts w:eastAsiaTheme="minorHAnsi"/>
        </w:rPr>
        <w:t>betegeknek részt kell venniük a talidomid terhességmegelőző programjában. További információért olvassa el a talidomid alkalmazási előírását.</w:t>
      </w:r>
    </w:p>
    <w:p w14:paraId="778D37E6" w14:textId="77777777" w:rsidR="004D6470" w:rsidRPr="009E58F7" w:rsidRDefault="004D6470">
      <w:pPr>
        <w:pStyle w:val="Nincstrkz"/>
      </w:pPr>
    </w:p>
    <w:p w14:paraId="7FA67AC5" w14:textId="77777777" w:rsidR="004D6470" w:rsidRPr="009E58F7" w:rsidRDefault="004D6470">
      <w:pPr>
        <w:pStyle w:val="Nincstrkz"/>
      </w:pPr>
      <w:r w:rsidRPr="009E58F7">
        <w:rPr>
          <w:u w:val="single"/>
        </w:rPr>
        <w:t>Szoptatás</w:t>
      </w:r>
    </w:p>
    <w:p w14:paraId="30C0E076" w14:textId="754EF18A" w:rsidR="004D6470" w:rsidRPr="009E58F7" w:rsidRDefault="004D6470">
      <w:pPr>
        <w:pStyle w:val="Nincstrkz"/>
      </w:pPr>
      <w:r w:rsidRPr="009E58F7">
        <w:t xml:space="preserve">Nem ismert, hogy a bortezomib kiválasztódik-e az anyatejbe. Mivel az anyatejjel szoptatott csecsemők esetében nem zárható ki a bortezomibbal összefüggésbe hozható súlyos mellékhatások kialakulása, a </w:t>
      </w:r>
      <w:r w:rsidR="00AE7B84" w:rsidRPr="009E58F7">
        <w:rPr>
          <w:color w:val="000000"/>
        </w:rPr>
        <w:t>b</w:t>
      </w:r>
      <w:r w:rsidRPr="009E58F7">
        <w:rPr>
          <w:color w:val="000000"/>
        </w:rPr>
        <w:t>ortezomib</w:t>
      </w:r>
      <w:r w:rsidR="00FE5B85">
        <w:rPr>
          <w:color w:val="000000"/>
        </w:rPr>
        <w:t>-</w:t>
      </w:r>
      <w:r w:rsidRPr="009E58F7">
        <w:t>kezelés ideje alatt a szoptatást fel kell függeszteni.</w:t>
      </w:r>
    </w:p>
    <w:p w14:paraId="726FE34F" w14:textId="77777777" w:rsidR="004D6470" w:rsidRPr="009E58F7" w:rsidRDefault="004D6470">
      <w:pPr>
        <w:pStyle w:val="Nincstrkz"/>
      </w:pPr>
    </w:p>
    <w:p w14:paraId="497042BD" w14:textId="77777777" w:rsidR="004D6470" w:rsidRPr="009E58F7" w:rsidRDefault="004D6470">
      <w:pPr>
        <w:pStyle w:val="Nincstrkz"/>
      </w:pPr>
      <w:r w:rsidRPr="009E58F7">
        <w:rPr>
          <w:u w:val="single"/>
        </w:rPr>
        <w:t>Termékenység</w:t>
      </w:r>
    </w:p>
    <w:p w14:paraId="72BD1C02" w14:textId="7AF9D040" w:rsidR="004D6470" w:rsidRPr="009E58F7" w:rsidRDefault="00AE7B84">
      <w:pPr>
        <w:pStyle w:val="Nincstrkz"/>
      </w:pPr>
      <w:r w:rsidRPr="009E58F7">
        <w:t xml:space="preserve">A </w:t>
      </w:r>
      <w:r w:rsidRPr="009E58F7">
        <w:rPr>
          <w:color w:val="000000"/>
        </w:rPr>
        <w:t xml:space="preserve">bortezomibbal </w:t>
      </w:r>
      <w:r w:rsidRPr="009E58F7">
        <w:t>nem végeztek f</w:t>
      </w:r>
      <w:r w:rsidR="004D6470" w:rsidRPr="009E58F7">
        <w:t>ertilitási vizsgálatokat (lásd 5.3 pont).</w:t>
      </w:r>
    </w:p>
    <w:p w14:paraId="5BE86047" w14:textId="77777777" w:rsidR="004D6470" w:rsidRPr="009E58F7" w:rsidRDefault="004D6470">
      <w:pPr>
        <w:pStyle w:val="Nincstrkz"/>
        <w:rPr>
          <w:color w:val="000000"/>
        </w:rPr>
      </w:pPr>
    </w:p>
    <w:p w14:paraId="7CC25ED4" w14:textId="6AAF8E60" w:rsidR="004D6470" w:rsidRPr="009E58F7" w:rsidRDefault="004D6470">
      <w:pPr>
        <w:pStyle w:val="Nincstrkz"/>
        <w:keepNext/>
        <w:tabs>
          <w:tab w:val="left" w:pos="567"/>
        </w:tabs>
        <w:rPr>
          <w:b/>
          <w:color w:val="000000"/>
        </w:rPr>
      </w:pPr>
      <w:bookmarkStart w:id="23" w:name="page101"/>
      <w:bookmarkEnd w:id="23"/>
      <w:r w:rsidRPr="009E58F7">
        <w:rPr>
          <w:b/>
          <w:color w:val="000000"/>
        </w:rPr>
        <w:t>4.7</w:t>
      </w:r>
      <w:r w:rsidRPr="009E58F7">
        <w:rPr>
          <w:b/>
          <w:bCs/>
          <w:color w:val="000000"/>
        </w:rPr>
        <w:t xml:space="preserve"> </w:t>
      </w:r>
      <w:r w:rsidRPr="009E58F7">
        <w:rPr>
          <w:b/>
          <w:color w:val="000000"/>
        </w:rPr>
        <w:tab/>
        <w:t>A készítmény hatásai a gépjárművezetéshez és a gépek kezeléséhez szükséges képességekre</w:t>
      </w:r>
    </w:p>
    <w:p w14:paraId="47BCDF74" w14:textId="77777777" w:rsidR="004D6470" w:rsidRPr="009E58F7" w:rsidRDefault="004D6470">
      <w:pPr>
        <w:pStyle w:val="Nincstrkz"/>
        <w:keepNext/>
      </w:pPr>
    </w:p>
    <w:p w14:paraId="33D54978" w14:textId="19CDE67F" w:rsidR="004D6470" w:rsidRPr="009E58F7" w:rsidRDefault="004D6470">
      <w:pPr>
        <w:spacing w:line="240" w:lineRule="auto"/>
        <w:contextualSpacing/>
      </w:pPr>
      <w:r w:rsidRPr="009E58F7">
        <w:rPr>
          <w:rFonts w:eastAsiaTheme="minorHAnsi"/>
          <w:color w:val="000000"/>
        </w:rPr>
        <w:t xml:space="preserve">A bortezomib közepes mértékben befolyásolhatja a gépjárművezetéshez és a gépek kezeléséhez szükséges képességeket. A bortezomib nagyon gyakran </w:t>
      </w:r>
      <w:r w:rsidRPr="009E58F7">
        <w:rPr>
          <w:color w:val="000000"/>
        </w:rPr>
        <w:t xml:space="preserve">okozhat </w:t>
      </w:r>
      <w:r w:rsidRPr="009E58F7">
        <w:rPr>
          <w:rFonts w:eastAsiaTheme="minorHAnsi"/>
          <w:color w:val="000000"/>
        </w:rPr>
        <w:t xml:space="preserve">fáradtságot, gyakran szédülést, nem gyakran syncopét és gyakran orthostaticus/posturalis </w:t>
      </w:r>
      <w:r w:rsidRPr="009E58F7">
        <w:rPr>
          <w:color w:val="000000"/>
        </w:rPr>
        <w:t>hypotoniát</w:t>
      </w:r>
      <w:r w:rsidRPr="009E58F7">
        <w:rPr>
          <w:rFonts w:eastAsiaTheme="minorHAnsi"/>
          <w:color w:val="000000"/>
        </w:rPr>
        <w:t xml:space="preserve"> vagy homályos látást</w:t>
      </w:r>
      <w:r w:rsidRPr="009E58F7">
        <w:rPr>
          <w:color w:val="000000"/>
        </w:rPr>
        <w:t>, ezért</w:t>
      </w:r>
      <w:r w:rsidRPr="009E58F7">
        <w:rPr>
          <w:rFonts w:eastAsiaTheme="minorHAnsi"/>
          <w:color w:val="000000"/>
        </w:rPr>
        <w:t xml:space="preserve"> a betegeknek </w:t>
      </w:r>
      <w:r w:rsidR="008D2A60" w:rsidRPr="009E58F7">
        <w:rPr>
          <w:rFonts w:eastAsiaTheme="minorHAnsi"/>
          <w:color w:val="000000"/>
        </w:rPr>
        <w:t>gépjárművezetéskor vagy gépek kezelésekor</w:t>
      </w:r>
      <w:r w:rsidR="00C06504">
        <w:rPr>
          <w:rFonts w:eastAsiaTheme="minorHAnsi"/>
          <w:color w:val="000000"/>
        </w:rPr>
        <w:t xml:space="preserve"> </w:t>
      </w:r>
      <w:r w:rsidR="00091B1A">
        <w:rPr>
          <w:rFonts w:eastAsiaTheme="minorHAnsi"/>
          <w:color w:val="000000"/>
        </w:rPr>
        <w:t>elővigyázatosság</w:t>
      </w:r>
      <w:r w:rsidR="00C06504">
        <w:rPr>
          <w:rFonts w:eastAsiaTheme="minorHAnsi"/>
          <w:color w:val="000000"/>
        </w:rPr>
        <w:t xml:space="preserve"> ajánlott</w:t>
      </w:r>
      <w:r w:rsidR="00C5286C" w:rsidRPr="009E58F7">
        <w:t>, és azt kell tanácsolni</w:t>
      </w:r>
      <w:r w:rsidR="00C06504">
        <w:t xml:space="preserve"> nekik</w:t>
      </w:r>
      <w:r w:rsidR="00C5286C" w:rsidRPr="009E58F7">
        <w:t>, hogy ne vezessenek gépjárművet vagy ne kezeljenek gépeket, ha ezeket a tüneteket tapasztalják</w:t>
      </w:r>
      <w:r w:rsidRPr="009E58F7">
        <w:t xml:space="preserve"> </w:t>
      </w:r>
      <w:r w:rsidRPr="009E58F7">
        <w:rPr>
          <w:rFonts w:eastAsiaTheme="minorHAnsi"/>
          <w:color w:val="000000"/>
        </w:rPr>
        <w:t>(lásd 4.8</w:t>
      </w:r>
      <w:r w:rsidRPr="009E58F7">
        <w:rPr>
          <w:color w:val="000000"/>
        </w:rPr>
        <w:t> </w:t>
      </w:r>
      <w:r w:rsidRPr="009E58F7">
        <w:rPr>
          <w:rFonts w:eastAsiaTheme="minorHAnsi"/>
          <w:color w:val="000000"/>
        </w:rPr>
        <w:t>pont).</w:t>
      </w:r>
    </w:p>
    <w:p w14:paraId="187062C1" w14:textId="77777777" w:rsidR="004D6470" w:rsidRPr="009E58F7" w:rsidRDefault="004D6470">
      <w:pPr>
        <w:widowControl w:val="0"/>
        <w:autoSpaceDE w:val="0"/>
        <w:autoSpaceDN w:val="0"/>
        <w:adjustRightInd w:val="0"/>
        <w:spacing w:line="240" w:lineRule="auto"/>
      </w:pPr>
    </w:p>
    <w:p w14:paraId="2A8937A4" w14:textId="5103F936" w:rsidR="004D6470" w:rsidRPr="009E58F7" w:rsidRDefault="004D6470">
      <w:pPr>
        <w:pStyle w:val="Nincstrkz"/>
        <w:keepNext/>
        <w:tabs>
          <w:tab w:val="left" w:pos="567"/>
        </w:tabs>
        <w:rPr>
          <w:b/>
        </w:rPr>
      </w:pPr>
      <w:r w:rsidRPr="009E58F7">
        <w:rPr>
          <w:b/>
        </w:rPr>
        <w:t xml:space="preserve">4.8 </w:t>
      </w:r>
      <w:r w:rsidRPr="009E58F7">
        <w:rPr>
          <w:b/>
        </w:rPr>
        <w:tab/>
        <w:t>Nemkívánatos hatások, mellékhatások</w:t>
      </w:r>
    </w:p>
    <w:p w14:paraId="6D286AE3" w14:textId="77777777" w:rsidR="004D6470" w:rsidRPr="009E58F7" w:rsidRDefault="004D6470">
      <w:pPr>
        <w:pStyle w:val="Nincstrkz"/>
        <w:keepNext/>
      </w:pPr>
    </w:p>
    <w:p w14:paraId="42997E46" w14:textId="77777777" w:rsidR="004D6470" w:rsidRPr="009E58F7" w:rsidRDefault="004D6470">
      <w:pPr>
        <w:pStyle w:val="Nincstrkz"/>
        <w:keepNext/>
      </w:pPr>
      <w:r w:rsidRPr="009E58F7">
        <w:rPr>
          <w:color w:val="000000"/>
          <w:u w:val="single"/>
        </w:rPr>
        <w:t>A biztonságossági profil összefoglalása</w:t>
      </w:r>
    </w:p>
    <w:p w14:paraId="158E2E5B" w14:textId="258C7C86" w:rsidR="004D6470" w:rsidRPr="009E58F7" w:rsidRDefault="004D6470">
      <w:pPr>
        <w:spacing w:line="240" w:lineRule="auto"/>
        <w:contextualSpacing/>
      </w:pPr>
      <w:r w:rsidRPr="009E58F7">
        <w:rPr>
          <w:rFonts w:eastAsiaTheme="minorHAnsi"/>
          <w:color w:val="000000"/>
        </w:rPr>
        <w:t>A bortezomib</w:t>
      </w:r>
      <w:r w:rsidR="00FE5B85">
        <w:rPr>
          <w:color w:val="000000"/>
        </w:rPr>
        <w:t>-</w:t>
      </w:r>
      <w:r w:rsidRPr="009E58F7">
        <w:rPr>
          <w:rFonts w:eastAsiaTheme="minorHAnsi"/>
          <w:color w:val="000000"/>
        </w:rPr>
        <w:t xml:space="preserve">kezelés alatt nem gyakran jelentett súlyos mellékhatások </w:t>
      </w:r>
      <w:r w:rsidR="004A62F4" w:rsidRPr="009E58F7">
        <w:rPr>
          <w:color w:val="000000"/>
        </w:rPr>
        <w:t xml:space="preserve">többek között </w:t>
      </w:r>
      <w:r w:rsidRPr="009E58F7">
        <w:rPr>
          <w:rFonts w:eastAsiaTheme="minorHAnsi"/>
          <w:color w:val="000000"/>
        </w:rPr>
        <w:t>a szívelégtelenség, tumor</w:t>
      </w:r>
      <w:r w:rsidRPr="009E58F7">
        <w:rPr>
          <w:color w:val="000000"/>
        </w:rPr>
        <w:t>l</w:t>
      </w:r>
      <w:r w:rsidR="00FA343E" w:rsidRPr="009E58F7">
        <w:rPr>
          <w:color w:val="000000"/>
        </w:rPr>
        <w:t>ízis</w:t>
      </w:r>
      <w:r w:rsidR="00FE5B85">
        <w:rPr>
          <w:rFonts w:eastAsiaTheme="minorHAnsi"/>
          <w:color w:val="000000"/>
        </w:rPr>
        <w:t>-</w:t>
      </w:r>
      <w:r w:rsidRPr="009E58F7">
        <w:rPr>
          <w:rFonts w:eastAsiaTheme="minorHAnsi"/>
          <w:color w:val="000000"/>
        </w:rPr>
        <w:t xml:space="preserve">szindróma, pulmonalis hypertonia, posterior </w:t>
      </w:r>
      <w:r w:rsidR="00C5286C" w:rsidRPr="009E58F7">
        <w:t>reverzibilis</w:t>
      </w:r>
      <w:r w:rsidRPr="009E58F7">
        <w:rPr>
          <w:rFonts w:eastAsiaTheme="minorHAnsi"/>
          <w:color w:val="000000"/>
        </w:rPr>
        <w:t xml:space="preserve"> encephalopathia szindróma, akut, diffúz, infiltratív tüdőbetegségek és ritkán vegetatív neuropathia. A bortezomib</w:t>
      </w:r>
      <w:r w:rsidR="00FE5B85">
        <w:rPr>
          <w:color w:val="000000"/>
        </w:rPr>
        <w:t>-</w:t>
      </w:r>
      <w:r w:rsidRPr="009E58F7">
        <w:rPr>
          <w:rFonts w:eastAsiaTheme="minorHAnsi"/>
          <w:color w:val="000000"/>
        </w:rPr>
        <w:t>kezelés alatt leggyakrabban jelentett mellékhatások a hányinger,</w:t>
      </w:r>
      <w:r w:rsidR="00E66B66" w:rsidRPr="009E58F7">
        <w:rPr>
          <w:rFonts w:eastAsiaTheme="minorHAnsi"/>
          <w:color w:val="000000"/>
        </w:rPr>
        <w:t xml:space="preserve"> </w:t>
      </w:r>
      <w:r w:rsidR="00E66B66" w:rsidRPr="009E58F7">
        <w:rPr>
          <w:color w:val="000000"/>
        </w:rPr>
        <w:t>a</w:t>
      </w:r>
      <w:r w:rsidRPr="009E58F7">
        <w:rPr>
          <w:color w:val="000000"/>
        </w:rPr>
        <w:t xml:space="preserve"> </w:t>
      </w:r>
      <w:r w:rsidRPr="009E58F7">
        <w:rPr>
          <w:rFonts w:eastAsiaTheme="minorHAnsi"/>
          <w:color w:val="000000"/>
        </w:rPr>
        <w:t xml:space="preserve">hasmenés, </w:t>
      </w:r>
      <w:r w:rsidR="00E66B66" w:rsidRPr="009E58F7">
        <w:rPr>
          <w:color w:val="000000"/>
        </w:rPr>
        <w:t xml:space="preserve">a </w:t>
      </w:r>
      <w:r w:rsidRPr="009E58F7">
        <w:rPr>
          <w:rFonts w:eastAsiaTheme="minorHAnsi"/>
          <w:color w:val="000000"/>
        </w:rPr>
        <w:t>székrekedés,</w:t>
      </w:r>
      <w:r w:rsidR="00E66B66" w:rsidRPr="009E58F7">
        <w:rPr>
          <w:rFonts w:eastAsiaTheme="minorHAnsi"/>
          <w:color w:val="000000"/>
        </w:rPr>
        <w:t xml:space="preserve"> </w:t>
      </w:r>
      <w:r w:rsidR="00E66B66" w:rsidRPr="009E58F7">
        <w:rPr>
          <w:color w:val="000000"/>
        </w:rPr>
        <w:t>a</w:t>
      </w:r>
      <w:r w:rsidRPr="009E58F7">
        <w:rPr>
          <w:color w:val="000000"/>
        </w:rPr>
        <w:t xml:space="preserve"> </w:t>
      </w:r>
      <w:r w:rsidRPr="009E58F7">
        <w:rPr>
          <w:rFonts w:eastAsiaTheme="minorHAnsi"/>
          <w:color w:val="000000"/>
        </w:rPr>
        <w:t>hányás,</w:t>
      </w:r>
      <w:r w:rsidR="00E66B66" w:rsidRPr="009E58F7">
        <w:rPr>
          <w:rFonts w:eastAsiaTheme="minorHAnsi"/>
          <w:color w:val="000000"/>
        </w:rPr>
        <w:t xml:space="preserve"> </w:t>
      </w:r>
      <w:r w:rsidR="00E66B66" w:rsidRPr="009E58F7">
        <w:rPr>
          <w:color w:val="000000"/>
        </w:rPr>
        <w:t>a</w:t>
      </w:r>
      <w:r w:rsidRPr="009E58F7">
        <w:rPr>
          <w:color w:val="000000"/>
        </w:rPr>
        <w:t xml:space="preserve"> </w:t>
      </w:r>
      <w:r w:rsidRPr="009E58F7">
        <w:rPr>
          <w:rFonts w:eastAsiaTheme="minorHAnsi"/>
          <w:color w:val="000000"/>
        </w:rPr>
        <w:t xml:space="preserve">fáradtság, </w:t>
      </w:r>
      <w:r w:rsidR="00E66B66" w:rsidRPr="009E58F7">
        <w:rPr>
          <w:color w:val="000000"/>
        </w:rPr>
        <w:t xml:space="preserve">a </w:t>
      </w:r>
      <w:r w:rsidRPr="009E58F7">
        <w:rPr>
          <w:rFonts w:eastAsiaTheme="minorHAnsi"/>
          <w:color w:val="000000"/>
        </w:rPr>
        <w:t xml:space="preserve">láz, </w:t>
      </w:r>
      <w:r w:rsidR="00E66B66" w:rsidRPr="009E58F7">
        <w:rPr>
          <w:color w:val="000000"/>
        </w:rPr>
        <w:t xml:space="preserve">a </w:t>
      </w:r>
      <w:r w:rsidRPr="009E58F7">
        <w:rPr>
          <w:rFonts w:eastAsiaTheme="minorHAnsi"/>
          <w:color w:val="000000"/>
        </w:rPr>
        <w:t xml:space="preserve">thrombocytopenia, </w:t>
      </w:r>
      <w:r w:rsidR="00E66B66" w:rsidRPr="009E58F7">
        <w:rPr>
          <w:color w:val="000000"/>
        </w:rPr>
        <w:t xml:space="preserve">az </w:t>
      </w:r>
      <w:r w:rsidRPr="009E58F7">
        <w:rPr>
          <w:rFonts w:eastAsiaTheme="minorHAnsi"/>
          <w:color w:val="000000"/>
        </w:rPr>
        <w:t xml:space="preserve">anaemia, </w:t>
      </w:r>
      <w:r w:rsidR="00E66B66" w:rsidRPr="009E58F7">
        <w:rPr>
          <w:color w:val="000000"/>
        </w:rPr>
        <w:t xml:space="preserve">a </w:t>
      </w:r>
      <w:r w:rsidRPr="009E58F7">
        <w:rPr>
          <w:rFonts w:eastAsiaTheme="minorHAnsi"/>
          <w:color w:val="000000"/>
        </w:rPr>
        <w:t xml:space="preserve">neutropenia, </w:t>
      </w:r>
      <w:r w:rsidR="00E66B66" w:rsidRPr="009E58F7">
        <w:rPr>
          <w:color w:val="000000"/>
        </w:rPr>
        <w:t xml:space="preserve">a </w:t>
      </w:r>
      <w:r w:rsidRPr="009E58F7">
        <w:rPr>
          <w:rFonts w:eastAsiaTheme="minorHAnsi"/>
          <w:color w:val="000000"/>
        </w:rPr>
        <w:t xml:space="preserve">perifériás neuropathia (beleértve a </w:t>
      </w:r>
      <w:r w:rsidRPr="009E58F7">
        <w:rPr>
          <w:color w:val="000000"/>
        </w:rPr>
        <w:t>szenzoros neuropathiat</w:t>
      </w:r>
      <w:r w:rsidRPr="009E58F7">
        <w:rPr>
          <w:rFonts w:eastAsiaTheme="minorHAnsi"/>
          <w:color w:val="000000"/>
        </w:rPr>
        <w:t xml:space="preserve"> is), </w:t>
      </w:r>
      <w:r w:rsidR="00E66B66" w:rsidRPr="009E58F7">
        <w:rPr>
          <w:color w:val="000000"/>
        </w:rPr>
        <w:t xml:space="preserve">a </w:t>
      </w:r>
      <w:r w:rsidRPr="009E58F7">
        <w:rPr>
          <w:rFonts w:eastAsiaTheme="minorHAnsi"/>
          <w:color w:val="000000"/>
        </w:rPr>
        <w:t xml:space="preserve">fejfájás, </w:t>
      </w:r>
      <w:r w:rsidR="00E66B66" w:rsidRPr="009E58F7">
        <w:rPr>
          <w:color w:val="000000"/>
        </w:rPr>
        <w:t xml:space="preserve">a </w:t>
      </w:r>
      <w:r w:rsidRPr="009E58F7">
        <w:rPr>
          <w:rFonts w:eastAsiaTheme="minorHAnsi"/>
          <w:color w:val="000000"/>
        </w:rPr>
        <w:t xml:space="preserve">paraesthesia, </w:t>
      </w:r>
      <w:r w:rsidR="00E66B66" w:rsidRPr="009E58F7">
        <w:rPr>
          <w:color w:val="000000"/>
        </w:rPr>
        <w:t xml:space="preserve">az </w:t>
      </w:r>
      <w:r w:rsidRPr="009E58F7">
        <w:rPr>
          <w:rFonts w:eastAsiaTheme="minorHAnsi"/>
          <w:color w:val="000000"/>
        </w:rPr>
        <w:t xml:space="preserve">étvágycsökkenés, </w:t>
      </w:r>
      <w:r w:rsidR="00E66B66" w:rsidRPr="009E58F7">
        <w:rPr>
          <w:color w:val="000000"/>
        </w:rPr>
        <w:t xml:space="preserve">a </w:t>
      </w:r>
      <w:r w:rsidRPr="009E58F7">
        <w:rPr>
          <w:rFonts w:eastAsiaTheme="minorHAnsi"/>
          <w:color w:val="000000"/>
        </w:rPr>
        <w:t xml:space="preserve">dyspnoe, </w:t>
      </w:r>
      <w:r w:rsidR="00E66B66" w:rsidRPr="009E58F7">
        <w:rPr>
          <w:color w:val="000000"/>
        </w:rPr>
        <w:t xml:space="preserve">a </w:t>
      </w:r>
      <w:r w:rsidRPr="009E58F7">
        <w:rPr>
          <w:rFonts w:eastAsiaTheme="minorHAnsi"/>
          <w:color w:val="000000"/>
        </w:rPr>
        <w:t xml:space="preserve">bőrkiütés, </w:t>
      </w:r>
      <w:r w:rsidR="00E66B66" w:rsidRPr="009E58F7">
        <w:rPr>
          <w:color w:val="000000"/>
        </w:rPr>
        <w:t xml:space="preserve">a </w:t>
      </w:r>
      <w:r w:rsidRPr="009E58F7">
        <w:rPr>
          <w:rFonts w:eastAsiaTheme="minorHAnsi"/>
          <w:color w:val="000000"/>
        </w:rPr>
        <w:t>herpes zoster és</w:t>
      </w:r>
      <w:r w:rsidRPr="009E58F7">
        <w:rPr>
          <w:color w:val="000000"/>
        </w:rPr>
        <w:t xml:space="preserve"> </w:t>
      </w:r>
      <w:r w:rsidR="00E66B66" w:rsidRPr="009E58F7">
        <w:rPr>
          <w:color w:val="000000"/>
        </w:rPr>
        <w:t>a</w:t>
      </w:r>
      <w:r w:rsidR="00E66B66" w:rsidRPr="009E58F7">
        <w:rPr>
          <w:rFonts w:eastAsiaTheme="minorHAnsi"/>
          <w:color w:val="000000"/>
        </w:rPr>
        <w:t xml:space="preserve"> </w:t>
      </w:r>
      <w:r w:rsidRPr="009E58F7">
        <w:rPr>
          <w:rFonts w:eastAsiaTheme="minorHAnsi"/>
          <w:color w:val="000000"/>
        </w:rPr>
        <w:t>myalgia.</w:t>
      </w:r>
    </w:p>
    <w:p w14:paraId="0A951441" w14:textId="77777777" w:rsidR="004D6470" w:rsidRPr="009E58F7" w:rsidRDefault="004D6470">
      <w:pPr>
        <w:pStyle w:val="Nincstrkz"/>
      </w:pPr>
    </w:p>
    <w:p w14:paraId="1436C820" w14:textId="77777777" w:rsidR="004D6470" w:rsidRPr="009E58F7" w:rsidRDefault="004D6470">
      <w:pPr>
        <w:pStyle w:val="Nincstrkz"/>
        <w:widowControl w:val="0"/>
      </w:pPr>
      <w:r w:rsidRPr="009E58F7">
        <w:rPr>
          <w:color w:val="000000"/>
          <w:u w:val="single"/>
        </w:rPr>
        <w:lastRenderedPageBreak/>
        <w:t>A mellékhatások táblázatos összefoglalása</w:t>
      </w:r>
    </w:p>
    <w:p w14:paraId="14A8242E" w14:textId="77777777" w:rsidR="004D6470" w:rsidRPr="009E58F7" w:rsidRDefault="004D6470">
      <w:pPr>
        <w:pStyle w:val="Nincstrkz"/>
        <w:widowControl w:val="0"/>
      </w:pPr>
      <w:r w:rsidRPr="009E58F7">
        <w:rPr>
          <w:i/>
          <w:color w:val="000000"/>
        </w:rPr>
        <w:t>Myeloma multiplex</w:t>
      </w:r>
    </w:p>
    <w:p w14:paraId="1180C72A" w14:textId="364E1CE5" w:rsidR="004D6470" w:rsidRPr="009E58F7" w:rsidRDefault="004D6470">
      <w:pPr>
        <w:spacing w:line="240" w:lineRule="auto"/>
        <w:contextualSpacing/>
        <w:rPr>
          <w:color w:val="000000"/>
        </w:rPr>
      </w:pPr>
      <w:r w:rsidRPr="009E58F7">
        <w:rPr>
          <w:rFonts w:eastAsiaTheme="minorHAnsi"/>
          <w:color w:val="000000"/>
        </w:rPr>
        <w:t>A 7.</w:t>
      </w:r>
      <w:r w:rsidR="00A6511B" w:rsidRPr="009E58F7">
        <w:rPr>
          <w:color w:val="000000"/>
        </w:rPr>
        <w:t> </w:t>
      </w:r>
      <w:r w:rsidRPr="009E58F7">
        <w:rPr>
          <w:color w:val="000000"/>
        </w:rPr>
        <w:t>táblázat</w:t>
      </w:r>
      <w:r w:rsidR="00B960D5">
        <w:rPr>
          <w:color w:val="000000"/>
        </w:rPr>
        <w:t>ban felsorolt</w:t>
      </w:r>
      <w:r w:rsidRPr="009E58F7">
        <w:rPr>
          <w:color w:val="000000"/>
        </w:rPr>
        <w:t xml:space="preserve"> </w:t>
      </w:r>
      <w:r w:rsidRPr="009E58F7">
        <w:rPr>
          <w:rFonts w:eastAsiaTheme="minorHAnsi"/>
          <w:color w:val="000000"/>
        </w:rPr>
        <w:t xml:space="preserve">nemkívánatos </w:t>
      </w:r>
      <w:r w:rsidRPr="009E58F7">
        <w:rPr>
          <w:color w:val="000000"/>
        </w:rPr>
        <w:t>hatás</w:t>
      </w:r>
      <w:r w:rsidR="00B960D5">
        <w:rPr>
          <w:color w:val="000000"/>
        </w:rPr>
        <w:t>ok</w:t>
      </w:r>
      <w:r w:rsidRPr="009E58F7">
        <w:rPr>
          <w:rFonts w:eastAsiaTheme="minorHAnsi"/>
          <w:color w:val="000000"/>
        </w:rPr>
        <w:t xml:space="preserve"> a vizsgálók véleménye szerint legalább lehetséges vagy valószínű összefüggésben voltak a </w:t>
      </w:r>
      <w:r w:rsidR="008B6253" w:rsidRPr="009E58F7">
        <w:t>bortezomib</w:t>
      </w:r>
      <w:r w:rsidR="00A6511B" w:rsidRPr="009E58F7">
        <w:t>ba</w:t>
      </w:r>
      <w:r w:rsidR="00C5286C" w:rsidRPr="009E58F7">
        <w:t>l.</w:t>
      </w:r>
      <w:r w:rsidRPr="009E58F7">
        <w:rPr>
          <w:rFonts w:eastAsiaTheme="minorHAnsi"/>
          <w:color w:val="000000"/>
        </w:rPr>
        <w:t xml:space="preserve"> Ezek a mellékhatások 5476</w:t>
      </w:r>
      <w:r w:rsidRPr="009E58F7">
        <w:rPr>
          <w:color w:val="000000"/>
        </w:rPr>
        <w:t> </w:t>
      </w:r>
      <w:r w:rsidRPr="009E58F7">
        <w:rPr>
          <w:rFonts w:eastAsiaTheme="minorHAnsi"/>
          <w:color w:val="000000"/>
        </w:rPr>
        <w:t xml:space="preserve">beteg </w:t>
      </w:r>
      <w:r w:rsidRPr="009E58F7">
        <w:rPr>
          <w:color w:val="000000"/>
        </w:rPr>
        <w:t>összesített adatain</w:t>
      </w:r>
      <w:r w:rsidRPr="009E58F7">
        <w:rPr>
          <w:rFonts w:eastAsiaTheme="minorHAnsi"/>
          <w:color w:val="000000"/>
        </w:rPr>
        <w:t xml:space="preserve"> alapulnak, akik közül 3996</w:t>
      </w:r>
      <w:r w:rsidR="00FE5B85">
        <w:rPr>
          <w:color w:val="000000"/>
        </w:rPr>
        <w:t>-</w:t>
      </w:r>
      <w:r w:rsidRPr="009E58F7">
        <w:rPr>
          <w:rFonts w:eastAsiaTheme="minorHAnsi"/>
          <w:color w:val="000000"/>
        </w:rPr>
        <w:t>ot kezeltek 1,3</w:t>
      </w:r>
      <w:r w:rsidRPr="009E58F7">
        <w:rPr>
          <w:color w:val="000000"/>
        </w:rPr>
        <w:t> </w:t>
      </w:r>
      <w:r w:rsidRPr="009E58F7">
        <w:rPr>
          <w:rFonts w:eastAsiaTheme="minorHAnsi"/>
          <w:color w:val="000000"/>
        </w:rPr>
        <w:t>mg/m</w:t>
      </w:r>
      <w:r w:rsidRPr="009E58F7">
        <w:rPr>
          <w:rFonts w:eastAsiaTheme="minorHAnsi"/>
          <w:color w:val="000000"/>
          <w:vertAlign w:val="superscript"/>
        </w:rPr>
        <w:t>2</w:t>
      </w:r>
      <w:r w:rsidRPr="009E58F7">
        <w:rPr>
          <w:rFonts w:eastAsiaTheme="minorHAnsi"/>
          <w:color w:val="000000"/>
        </w:rPr>
        <w:t xml:space="preserve"> </w:t>
      </w:r>
      <w:r w:rsidR="008B6253" w:rsidRPr="009E58F7">
        <w:t>bortezomib</w:t>
      </w:r>
      <w:r w:rsidR="00855E58" w:rsidRPr="009E58F7">
        <w:t>ba</w:t>
      </w:r>
      <w:r w:rsidR="00C5286C" w:rsidRPr="009E58F7">
        <w:t>l, és</w:t>
      </w:r>
      <w:r w:rsidRPr="009E58F7">
        <w:rPr>
          <w:color w:val="000000"/>
        </w:rPr>
        <w:t xml:space="preserve"> </w:t>
      </w:r>
      <w:r w:rsidR="00B960D5">
        <w:rPr>
          <w:color w:val="000000"/>
        </w:rPr>
        <w:t>e</w:t>
      </w:r>
      <w:r w:rsidRPr="009E58F7">
        <w:rPr>
          <w:color w:val="000000"/>
        </w:rPr>
        <w:t>zeket az adatokat</w:t>
      </w:r>
      <w:r w:rsidRPr="009E58F7">
        <w:rPr>
          <w:rFonts w:eastAsiaTheme="minorHAnsi"/>
          <w:color w:val="000000"/>
        </w:rPr>
        <w:t xml:space="preserve"> a 7.</w:t>
      </w:r>
      <w:r w:rsidR="00855E58" w:rsidRPr="009E58F7">
        <w:rPr>
          <w:rFonts w:eastAsiaTheme="minorHAnsi"/>
          <w:color w:val="000000"/>
        </w:rPr>
        <w:t> </w:t>
      </w:r>
      <w:r w:rsidRPr="009E58F7">
        <w:rPr>
          <w:rFonts w:eastAsiaTheme="minorHAnsi"/>
          <w:color w:val="000000"/>
        </w:rPr>
        <w:t>táblázat tartalmazza.</w:t>
      </w:r>
    </w:p>
    <w:p w14:paraId="1465508E" w14:textId="764235CD" w:rsidR="004D6470" w:rsidRPr="009E58F7" w:rsidRDefault="004D6470">
      <w:pPr>
        <w:spacing w:line="240" w:lineRule="auto"/>
        <w:contextualSpacing/>
      </w:pPr>
      <w:r w:rsidRPr="009E58F7">
        <w:rPr>
          <w:rFonts w:eastAsiaTheme="minorHAnsi"/>
          <w:color w:val="000000"/>
        </w:rPr>
        <w:t xml:space="preserve">Összesítve, a </w:t>
      </w:r>
      <w:r w:rsidR="008B6253" w:rsidRPr="009E58F7">
        <w:t>bortezomib</w:t>
      </w:r>
      <w:r w:rsidR="00855E58" w:rsidRPr="009E58F7">
        <w:t>o</w:t>
      </w:r>
      <w:r w:rsidR="00C5286C" w:rsidRPr="009E58F7">
        <w:t>t</w:t>
      </w:r>
      <w:r w:rsidRPr="009E58F7">
        <w:t xml:space="preserve"> </w:t>
      </w:r>
      <w:r w:rsidRPr="009E58F7">
        <w:rPr>
          <w:rFonts w:eastAsiaTheme="minorHAnsi"/>
          <w:color w:val="000000"/>
        </w:rPr>
        <w:t>myeloma multiplex kezelésre 3974</w:t>
      </w:r>
      <w:r w:rsidRPr="009E58F7">
        <w:rPr>
          <w:color w:val="000000"/>
        </w:rPr>
        <w:t> </w:t>
      </w:r>
      <w:r w:rsidRPr="009E58F7">
        <w:rPr>
          <w:rFonts w:eastAsiaTheme="minorHAnsi"/>
          <w:color w:val="000000"/>
        </w:rPr>
        <w:t>beteg esetében alkalmazták.</w:t>
      </w:r>
    </w:p>
    <w:p w14:paraId="0DD01734" w14:textId="77777777" w:rsidR="004D6470" w:rsidRPr="009E58F7" w:rsidRDefault="004D6470">
      <w:pPr>
        <w:pStyle w:val="Nincstrkz"/>
      </w:pPr>
    </w:p>
    <w:p w14:paraId="0316E18A" w14:textId="6A1C6E34" w:rsidR="00FA343E" w:rsidRPr="009E58F7" w:rsidRDefault="004D6470">
      <w:pPr>
        <w:pStyle w:val="Nincstrkz"/>
        <w:rPr>
          <w:color w:val="000000"/>
        </w:rPr>
      </w:pPr>
      <w:r w:rsidRPr="009E58F7">
        <w:rPr>
          <w:color w:val="000000"/>
        </w:rPr>
        <w:t>A mellékhatások az alábbiakban szervrendszerek és előfordulási gyakoriság szerinti felosztásban</w:t>
      </w:r>
      <w:r w:rsidR="00855E58" w:rsidRPr="009E58F7">
        <w:rPr>
          <w:color w:val="000000"/>
        </w:rPr>
        <w:t xml:space="preserve"> kerülnek felsorolásra</w:t>
      </w:r>
      <w:r w:rsidRPr="009E58F7">
        <w:rPr>
          <w:color w:val="000000"/>
        </w:rPr>
        <w:t xml:space="preserve">. Az előfordulási gyakoriság </w:t>
      </w:r>
      <w:r w:rsidR="00855E58" w:rsidRPr="009E58F7">
        <w:rPr>
          <w:color w:val="000000"/>
        </w:rPr>
        <w:t>a következők szerint került meghatározásra</w:t>
      </w:r>
      <w:r w:rsidRPr="009E58F7">
        <w:rPr>
          <w:color w:val="000000"/>
        </w:rPr>
        <w:t>: nagyon gyakori (</w:t>
      </w:r>
      <w:r w:rsidRPr="009E58F7">
        <w:t>≥</w:t>
      </w:r>
      <w:r w:rsidR="00FA343E" w:rsidRPr="009E58F7">
        <w:rPr>
          <w:bCs/>
        </w:rPr>
        <w:t> </w:t>
      </w:r>
      <w:r w:rsidRPr="009E58F7">
        <w:rPr>
          <w:color w:val="000000"/>
        </w:rPr>
        <w:t>1/10); gyakori (</w:t>
      </w:r>
      <w:r w:rsidRPr="009E58F7">
        <w:t>≥</w:t>
      </w:r>
      <w:r w:rsidR="00FA343E" w:rsidRPr="009E58F7">
        <w:rPr>
          <w:bCs/>
        </w:rPr>
        <w:t> </w:t>
      </w:r>
      <w:r w:rsidRPr="009E58F7">
        <w:rPr>
          <w:color w:val="000000"/>
        </w:rPr>
        <w:t>1/100</w:t>
      </w:r>
      <w:r w:rsidR="00FE5B85">
        <w:rPr>
          <w:color w:val="000000"/>
        </w:rPr>
        <w:t> – </w:t>
      </w:r>
      <w:r w:rsidRPr="009E58F7">
        <w:rPr>
          <w:color w:val="000000"/>
        </w:rPr>
        <w:t>&lt;1/10); nem gyakori (</w:t>
      </w:r>
      <w:r w:rsidRPr="009E58F7">
        <w:t>≥</w:t>
      </w:r>
      <w:r w:rsidR="00FA343E" w:rsidRPr="009E58F7">
        <w:rPr>
          <w:bCs/>
        </w:rPr>
        <w:t> </w:t>
      </w:r>
      <w:r w:rsidRPr="009E58F7">
        <w:rPr>
          <w:color w:val="000000"/>
        </w:rPr>
        <w:t>1/1 000</w:t>
      </w:r>
      <w:r w:rsidR="00855E58" w:rsidRPr="009E58F7">
        <w:rPr>
          <w:color w:val="000000"/>
        </w:rPr>
        <w:t> </w:t>
      </w:r>
      <w:r w:rsidR="00FE5B85">
        <w:rPr>
          <w:color w:val="000000"/>
        </w:rPr>
        <w:t>–</w:t>
      </w:r>
      <w:r w:rsidR="00855E58" w:rsidRPr="009E58F7">
        <w:rPr>
          <w:color w:val="000000"/>
        </w:rPr>
        <w:t> </w:t>
      </w:r>
      <w:r w:rsidRPr="009E58F7">
        <w:rPr>
          <w:color w:val="000000"/>
        </w:rPr>
        <w:t>&lt;</w:t>
      </w:r>
      <w:r w:rsidR="00855E58" w:rsidRPr="009E58F7">
        <w:rPr>
          <w:color w:val="000000"/>
        </w:rPr>
        <w:t> </w:t>
      </w:r>
      <w:r w:rsidRPr="009E58F7">
        <w:rPr>
          <w:color w:val="000000"/>
        </w:rPr>
        <w:t>1/100); ritka (</w:t>
      </w:r>
      <w:r w:rsidRPr="009E58F7">
        <w:t>≥</w:t>
      </w:r>
      <w:r w:rsidR="00FA343E" w:rsidRPr="009E58F7">
        <w:rPr>
          <w:bCs/>
        </w:rPr>
        <w:t> </w:t>
      </w:r>
      <w:r w:rsidRPr="009E58F7">
        <w:rPr>
          <w:color w:val="000000"/>
        </w:rPr>
        <w:t>1/10 000</w:t>
      </w:r>
      <w:r w:rsidR="00855E58" w:rsidRPr="009E58F7">
        <w:rPr>
          <w:color w:val="000000"/>
        </w:rPr>
        <w:t> </w:t>
      </w:r>
      <w:r w:rsidR="00FE5B85">
        <w:rPr>
          <w:color w:val="000000"/>
        </w:rPr>
        <w:t>–</w:t>
      </w:r>
      <w:r w:rsidR="00855E58" w:rsidRPr="009E58F7">
        <w:rPr>
          <w:color w:val="000000"/>
        </w:rPr>
        <w:t> </w:t>
      </w:r>
      <w:r w:rsidRPr="009E58F7">
        <w:rPr>
          <w:color w:val="000000"/>
        </w:rPr>
        <w:t>&lt;</w:t>
      </w:r>
      <w:r w:rsidR="00855E58" w:rsidRPr="009E58F7">
        <w:rPr>
          <w:color w:val="000000"/>
        </w:rPr>
        <w:t> </w:t>
      </w:r>
      <w:r w:rsidRPr="009E58F7">
        <w:rPr>
          <w:color w:val="000000"/>
        </w:rPr>
        <w:t>1/1 000); nagyon ritka (&lt;</w:t>
      </w:r>
      <w:r w:rsidR="00855E58" w:rsidRPr="009E58F7">
        <w:rPr>
          <w:color w:val="000000"/>
        </w:rPr>
        <w:t> </w:t>
      </w:r>
      <w:r w:rsidRPr="009E58F7">
        <w:rPr>
          <w:color w:val="000000"/>
        </w:rPr>
        <w:t>1/10 000), nem ismert (a</w:t>
      </w:r>
      <w:r w:rsidR="00855E58" w:rsidRPr="009E58F7">
        <w:rPr>
          <w:color w:val="000000"/>
        </w:rPr>
        <w:t xml:space="preserve"> gyakoriság a</w:t>
      </w:r>
      <w:r w:rsidRPr="009E58F7">
        <w:rPr>
          <w:color w:val="000000"/>
        </w:rPr>
        <w:t xml:space="preserve"> rendelkezésre álló adatokból nem állapítható meg). Az egyes gyakorisági kategóriákon belül a n</w:t>
      </w:r>
      <w:bookmarkStart w:id="24" w:name="page48"/>
      <w:bookmarkEnd w:id="24"/>
      <w:r w:rsidRPr="009E58F7">
        <w:rPr>
          <w:color w:val="000000"/>
        </w:rPr>
        <w:t>emkívánatos hatások csökkenő súlyosság szerint kerülnek megadásra. A 7. táblázat a MedDRA 14.1</w:t>
      </w:r>
      <w:r w:rsidR="00855E58" w:rsidRPr="009E58F7">
        <w:rPr>
          <w:color w:val="000000"/>
        </w:rPr>
        <w:t> </w:t>
      </w:r>
      <w:r w:rsidRPr="009E58F7">
        <w:rPr>
          <w:color w:val="000000"/>
        </w:rPr>
        <w:t xml:space="preserve">verziója alapján készült. </w:t>
      </w:r>
    </w:p>
    <w:p w14:paraId="1FD70EBA" w14:textId="0A61F2F1" w:rsidR="004D6470" w:rsidRPr="009E58F7" w:rsidRDefault="00FA343E">
      <w:pPr>
        <w:pStyle w:val="Nincstrkz"/>
      </w:pPr>
      <w:r w:rsidRPr="009E58F7">
        <w:rPr>
          <w:color w:val="000000"/>
        </w:rPr>
        <w:t xml:space="preserve">A táblázat </w:t>
      </w:r>
      <w:r w:rsidR="00B960D5">
        <w:rPr>
          <w:color w:val="000000"/>
        </w:rPr>
        <w:t xml:space="preserve">azokat </w:t>
      </w:r>
      <w:r w:rsidR="004D6470" w:rsidRPr="009E58F7">
        <w:rPr>
          <w:color w:val="000000"/>
        </w:rPr>
        <w:t>a forgalomba hozatalt követő</w:t>
      </w:r>
      <w:r w:rsidRPr="009E58F7">
        <w:rPr>
          <w:color w:val="000000"/>
        </w:rPr>
        <w:t>en megfigyelt</w:t>
      </w:r>
      <w:r w:rsidR="00B960D5" w:rsidRPr="00B960D5">
        <w:rPr>
          <w:color w:val="000000"/>
        </w:rPr>
        <w:t xml:space="preserve"> </w:t>
      </w:r>
      <w:r w:rsidR="00B960D5" w:rsidRPr="009E58F7">
        <w:rPr>
          <w:color w:val="000000"/>
        </w:rPr>
        <w:t>mellékhatásokat is tartalmazza</w:t>
      </w:r>
      <w:r w:rsidR="004D6470" w:rsidRPr="009E58F7">
        <w:rPr>
          <w:color w:val="000000"/>
        </w:rPr>
        <w:t xml:space="preserve">, </w:t>
      </w:r>
      <w:r w:rsidR="00B960D5">
        <w:rPr>
          <w:color w:val="000000"/>
        </w:rPr>
        <w:t xml:space="preserve">amelyeket </w:t>
      </w:r>
      <w:r w:rsidR="004D6470" w:rsidRPr="009E58F7">
        <w:rPr>
          <w:color w:val="000000"/>
        </w:rPr>
        <w:t>a klinikai vizsgálatok</w:t>
      </w:r>
      <w:r w:rsidR="00B960D5">
        <w:rPr>
          <w:color w:val="000000"/>
        </w:rPr>
        <w:t xml:space="preserve"> során</w:t>
      </w:r>
      <w:r w:rsidR="004D6470" w:rsidRPr="009E58F7">
        <w:rPr>
          <w:color w:val="000000"/>
        </w:rPr>
        <w:t xml:space="preserve"> nem </w:t>
      </w:r>
      <w:r w:rsidRPr="009E58F7">
        <w:rPr>
          <w:color w:val="000000"/>
        </w:rPr>
        <w:t>észlelt</w:t>
      </w:r>
      <w:r w:rsidR="00B960D5">
        <w:rPr>
          <w:color w:val="000000"/>
        </w:rPr>
        <w:t>ek</w:t>
      </w:r>
      <w:r w:rsidR="004D6470" w:rsidRPr="009E58F7">
        <w:rPr>
          <w:color w:val="000000"/>
        </w:rPr>
        <w:t>.</w:t>
      </w:r>
    </w:p>
    <w:p w14:paraId="185CB3C4" w14:textId="77777777" w:rsidR="004D6470" w:rsidRPr="009E58F7" w:rsidRDefault="004D6470">
      <w:pPr>
        <w:widowControl w:val="0"/>
        <w:autoSpaceDE w:val="0"/>
        <w:autoSpaceDN w:val="0"/>
        <w:adjustRightInd w:val="0"/>
        <w:spacing w:line="240" w:lineRule="auto"/>
      </w:pPr>
    </w:p>
    <w:p w14:paraId="3769278B" w14:textId="5414A609" w:rsidR="004D6470" w:rsidRPr="005F2BC9" w:rsidRDefault="00855E58">
      <w:pPr>
        <w:keepNext/>
        <w:overflowPunct w:val="0"/>
        <w:autoSpaceDE w:val="0"/>
        <w:autoSpaceDN w:val="0"/>
        <w:adjustRightInd w:val="0"/>
        <w:spacing w:line="240" w:lineRule="auto"/>
        <w:ind w:left="1134" w:hanging="1134"/>
        <w:rPr>
          <w:rFonts w:ascii="Times" w:hAnsi="Times"/>
          <w:i/>
          <w:vertAlign w:val="superscript"/>
        </w:rPr>
      </w:pPr>
      <w:r w:rsidRPr="009E58F7">
        <w:rPr>
          <w:i/>
          <w:iCs/>
          <w:color w:val="000000"/>
        </w:rPr>
        <w:t>7. </w:t>
      </w:r>
      <w:r w:rsidR="00DA113D" w:rsidRPr="009E58F7">
        <w:rPr>
          <w:i/>
          <w:iCs/>
          <w:color w:val="000000"/>
        </w:rPr>
        <w:t>táblázat:</w:t>
      </w:r>
      <w:r w:rsidR="00DA113D" w:rsidRPr="009E58F7">
        <w:rPr>
          <w:i/>
          <w:iCs/>
          <w:color w:val="000000"/>
        </w:rPr>
        <w:tab/>
      </w:r>
      <w:r w:rsidR="004D6470" w:rsidRPr="009E58F7">
        <w:rPr>
          <w:i/>
          <w:color w:val="000000"/>
        </w:rPr>
        <w:t xml:space="preserve">Mellékhatások </w:t>
      </w:r>
      <w:r w:rsidR="003B247B" w:rsidRPr="00FC1954">
        <w:rPr>
          <w:i/>
          <w:color w:val="000000"/>
        </w:rPr>
        <w:t>a klinikai vizsgálatokban bortezomibbal kezelt,</w:t>
      </w:r>
      <w:r w:rsidR="00FA343E" w:rsidRPr="009E58F7">
        <w:rPr>
          <w:i/>
          <w:color w:val="000000"/>
        </w:rPr>
        <w:t xml:space="preserve"> myeloma multiplexben szenvedő betegeknél</w:t>
      </w:r>
      <w:r w:rsidR="00FA343E" w:rsidRPr="009E58F7">
        <w:rPr>
          <w:i/>
          <w:iCs/>
          <w:color w:val="000000"/>
        </w:rPr>
        <w:t xml:space="preserve">, </w:t>
      </w:r>
      <w:r w:rsidR="00DB18E7" w:rsidRPr="009E58F7">
        <w:rPr>
          <w:i/>
          <w:iCs/>
          <w:color w:val="000000"/>
        </w:rPr>
        <w:t>és az összes, a forgalmazás megkezdését követően megismert mellékhatás, indikációtól függetlenül</w:t>
      </w:r>
      <w:r w:rsidR="00DB18E7" w:rsidRPr="005F2BC9">
        <w:rPr>
          <w:rFonts w:ascii="Times" w:hAnsi="Times"/>
          <w:i/>
          <w:vertAlign w:val="superscript"/>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0"/>
        <w:gridCol w:w="1547"/>
        <w:gridCol w:w="6091"/>
      </w:tblGrid>
      <w:tr w:rsidR="004D6470" w:rsidRPr="009E58F7" w14:paraId="47CFF174" w14:textId="77777777" w:rsidTr="00E64005">
        <w:trPr>
          <w:tblHeader/>
        </w:trPr>
        <w:tc>
          <w:tcPr>
            <w:tcW w:w="1860" w:type="dxa"/>
            <w:shd w:val="clear" w:color="auto" w:fill="auto"/>
            <w:vAlign w:val="center"/>
          </w:tcPr>
          <w:p w14:paraId="2F03B244" w14:textId="089EE5B1" w:rsidR="004D6470" w:rsidRPr="009E58F7" w:rsidRDefault="004D6470" w:rsidP="007070F2">
            <w:pPr>
              <w:keepNext/>
              <w:autoSpaceDE w:val="0"/>
              <w:autoSpaceDN w:val="0"/>
              <w:adjustRightInd w:val="0"/>
              <w:spacing w:line="240" w:lineRule="auto"/>
              <w:ind w:left="80"/>
              <w:jc w:val="center"/>
            </w:pPr>
            <w:r w:rsidRPr="009E58F7">
              <w:rPr>
                <w:b/>
                <w:bCs/>
                <w:color w:val="000000"/>
              </w:rPr>
              <w:t>Szervrendszer</w:t>
            </w:r>
          </w:p>
        </w:tc>
        <w:tc>
          <w:tcPr>
            <w:tcW w:w="1547" w:type="dxa"/>
            <w:shd w:val="clear" w:color="auto" w:fill="auto"/>
            <w:vAlign w:val="center"/>
          </w:tcPr>
          <w:p w14:paraId="4D72EB04" w14:textId="38482FE8" w:rsidR="004D6470" w:rsidRPr="009E58F7" w:rsidRDefault="004D6470" w:rsidP="007070F2">
            <w:pPr>
              <w:keepNext/>
              <w:autoSpaceDE w:val="0"/>
              <w:autoSpaceDN w:val="0"/>
              <w:adjustRightInd w:val="0"/>
              <w:spacing w:line="240" w:lineRule="auto"/>
              <w:ind w:left="180" w:hanging="180"/>
              <w:jc w:val="center"/>
              <w:rPr>
                <w:color w:val="000000"/>
              </w:rPr>
            </w:pPr>
            <w:r w:rsidRPr="009E58F7">
              <w:rPr>
                <w:b/>
                <w:color w:val="000000"/>
              </w:rPr>
              <w:t>Gyakoriság</w:t>
            </w:r>
          </w:p>
        </w:tc>
        <w:tc>
          <w:tcPr>
            <w:tcW w:w="6091" w:type="dxa"/>
            <w:shd w:val="clear" w:color="auto" w:fill="auto"/>
            <w:vAlign w:val="center"/>
          </w:tcPr>
          <w:p w14:paraId="6B58C6CF" w14:textId="6242D091" w:rsidR="004D6470" w:rsidRPr="009E58F7" w:rsidRDefault="004D6470" w:rsidP="007070F2">
            <w:pPr>
              <w:keepNext/>
              <w:autoSpaceDE w:val="0"/>
              <w:autoSpaceDN w:val="0"/>
              <w:adjustRightInd w:val="0"/>
              <w:spacing w:line="240" w:lineRule="auto"/>
              <w:ind w:left="2500" w:hanging="2500"/>
              <w:jc w:val="center"/>
              <w:rPr>
                <w:color w:val="000000"/>
              </w:rPr>
            </w:pPr>
            <w:r w:rsidRPr="009E58F7">
              <w:rPr>
                <w:b/>
                <w:color w:val="000000"/>
              </w:rPr>
              <w:t>Mellékhatás</w:t>
            </w:r>
          </w:p>
        </w:tc>
      </w:tr>
      <w:tr w:rsidR="004D6470" w:rsidRPr="009E58F7" w14:paraId="0B5EE766" w14:textId="77777777" w:rsidTr="00E64005">
        <w:tc>
          <w:tcPr>
            <w:tcW w:w="1860" w:type="dxa"/>
            <w:vMerge w:val="restart"/>
            <w:shd w:val="clear" w:color="auto" w:fill="auto"/>
          </w:tcPr>
          <w:p w14:paraId="0F6ECB88" w14:textId="38E70F26" w:rsidR="004D6470" w:rsidRPr="009E58F7" w:rsidRDefault="004D6470" w:rsidP="00D7256D">
            <w:pPr>
              <w:keepNext/>
              <w:overflowPunct w:val="0"/>
              <w:autoSpaceDE w:val="0"/>
              <w:autoSpaceDN w:val="0"/>
              <w:adjustRightInd w:val="0"/>
              <w:spacing w:line="240" w:lineRule="auto"/>
              <w:rPr>
                <w:color w:val="000000"/>
              </w:rPr>
            </w:pPr>
            <w:r w:rsidRPr="009E58F7">
              <w:rPr>
                <w:color w:val="000000"/>
              </w:rPr>
              <w:t>Fertőző betegségek és parazitafertőzések</w:t>
            </w:r>
          </w:p>
        </w:tc>
        <w:tc>
          <w:tcPr>
            <w:tcW w:w="1547" w:type="dxa"/>
            <w:shd w:val="clear" w:color="auto" w:fill="auto"/>
          </w:tcPr>
          <w:p w14:paraId="2882D276" w14:textId="133CEFE3" w:rsidR="004D6470" w:rsidRPr="009E58F7" w:rsidRDefault="00241996" w:rsidP="007070F2">
            <w:pPr>
              <w:keepNext/>
              <w:overflowPunct w:val="0"/>
              <w:autoSpaceDE w:val="0"/>
              <w:autoSpaceDN w:val="0"/>
              <w:adjustRightInd w:val="0"/>
              <w:spacing w:line="240" w:lineRule="auto"/>
              <w:rPr>
                <w:color w:val="000000"/>
              </w:rPr>
            </w:pPr>
            <w:r w:rsidRPr="009E58F7">
              <w:rPr>
                <w:color w:val="000000"/>
              </w:rPr>
              <w:t>G</w:t>
            </w:r>
            <w:r w:rsidR="004D6470" w:rsidRPr="009E58F7">
              <w:rPr>
                <w:color w:val="000000"/>
              </w:rPr>
              <w:t>yakori</w:t>
            </w:r>
          </w:p>
        </w:tc>
        <w:tc>
          <w:tcPr>
            <w:tcW w:w="6091" w:type="dxa"/>
            <w:shd w:val="clear" w:color="auto" w:fill="auto"/>
          </w:tcPr>
          <w:p w14:paraId="3DD0B93B" w14:textId="719464E0" w:rsidR="004D6470" w:rsidRPr="009E58F7" w:rsidRDefault="004D6470" w:rsidP="007070F2">
            <w:pPr>
              <w:keepNext/>
              <w:overflowPunct w:val="0"/>
              <w:autoSpaceDE w:val="0"/>
              <w:autoSpaceDN w:val="0"/>
              <w:adjustRightInd w:val="0"/>
              <w:spacing w:line="240" w:lineRule="auto"/>
              <w:rPr>
                <w:color w:val="000000"/>
              </w:rPr>
            </w:pPr>
            <w:r w:rsidRPr="009E58F7">
              <w:rPr>
                <w:color w:val="000000"/>
              </w:rPr>
              <w:t>herpes zoster (beleértve a disszeminált és ophthalmicus formákat is), pneumonia*, herpes simplex*, gombás fertőzés*</w:t>
            </w:r>
          </w:p>
        </w:tc>
      </w:tr>
      <w:tr w:rsidR="004D6470" w:rsidRPr="009E58F7" w14:paraId="76A11674" w14:textId="77777777" w:rsidTr="00E64005">
        <w:tc>
          <w:tcPr>
            <w:tcW w:w="1860" w:type="dxa"/>
            <w:vMerge/>
            <w:shd w:val="clear" w:color="auto" w:fill="auto"/>
          </w:tcPr>
          <w:p w14:paraId="52DFFB29" w14:textId="77777777" w:rsidR="004D6470" w:rsidRPr="009E58F7" w:rsidRDefault="004D6470">
            <w:pPr>
              <w:keepNext/>
              <w:overflowPunct w:val="0"/>
              <w:autoSpaceDE w:val="0"/>
              <w:autoSpaceDN w:val="0"/>
              <w:adjustRightInd w:val="0"/>
              <w:spacing w:line="240" w:lineRule="auto"/>
              <w:rPr>
                <w:color w:val="000000"/>
              </w:rPr>
            </w:pPr>
          </w:p>
        </w:tc>
        <w:tc>
          <w:tcPr>
            <w:tcW w:w="1547" w:type="dxa"/>
            <w:shd w:val="clear" w:color="auto" w:fill="auto"/>
          </w:tcPr>
          <w:p w14:paraId="75B33C31" w14:textId="64EEDAB6" w:rsidR="004D6470" w:rsidRPr="009E58F7" w:rsidRDefault="00241996">
            <w:pPr>
              <w:keepNext/>
              <w:overflowPunct w:val="0"/>
              <w:autoSpaceDE w:val="0"/>
              <w:autoSpaceDN w:val="0"/>
              <w:adjustRightInd w:val="0"/>
              <w:spacing w:line="240" w:lineRule="auto"/>
              <w:rPr>
                <w:color w:val="000000"/>
              </w:rPr>
            </w:pPr>
            <w:r w:rsidRPr="009E58F7">
              <w:rPr>
                <w:color w:val="000000"/>
              </w:rPr>
              <w:t>N</w:t>
            </w:r>
            <w:r w:rsidR="004D6470" w:rsidRPr="009E58F7">
              <w:rPr>
                <w:color w:val="000000"/>
              </w:rPr>
              <w:t>em gyakori</w:t>
            </w:r>
          </w:p>
        </w:tc>
        <w:tc>
          <w:tcPr>
            <w:tcW w:w="6091" w:type="dxa"/>
            <w:shd w:val="clear" w:color="auto" w:fill="auto"/>
          </w:tcPr>
          <w:p w14:paraId="78191E01" w14:textId="6AB1AFDC" w:rsidR="004D6470" w:rsidRPr="009E58F7" w:rsidRDefault="004D6470">
            <w:pPr>
              <w:pStyle w:val="Nincstrkz"/>
              <w:rPr>
                <w:color w:val="000000"/>
              </w:rPr>
            </w:pPr>
            <w:r w:rsidRPr="009E58F7">
              <w:t>fertőzés*, bakteriális fertőzés*, vírusfertőzés*, sepsis (beleértve a septicus sokkot is)*, bronchopneumonia, herpes</w:t>
            </w:r>
            <w:r w:rsidR="00241996" w:rsidRPr="009E58F7">
              <w:t>z</w:t>
            </w:r>
            <w:r w:rsidRPr="009E58F7">
              <w:t>vírus okozta fertőzés*, meningoencephalitis herpetica</w:t>
            </w:r>
            <w:r w:rsidRPr="009E58F7">
              <w:rPr>
                <w:vertAlign w:val="superscript"/>
              </w:rPr>
              <w:t>#</w:t>
            </w:r>
            <w:r w:rsidRPr="009E58F7">
              <w:t>, bacteriaemia (beleértve a Staphylococcust is), hordeolum, influenza, cellulitis, eszköz alkalmazásával összefüggésbe hozható fertőzés, bőrfertőzés*, fülfertőzés*, Staphylococcus</w:t>
            </w:r>
            <w:r w:rsidR="00B960D5">
              <w:t>-</w:t>
            </w:r>
            <w:r w:rsidRPr="009E58F7">
              <w:t>fertőzés, fogfertőzés*</w:t>
            </w:r>
          </w:p>
        </w:tc>
      </w:tr>
      <w:tr w:rsidR="004D6470" w:rsidRPr="009E58F7" w14:paraId="14FFAF08" w14:textId="77777777" w:rsidTr="00E64005">
        <w:tc>
          <w:tcPr>
            <w:tcW w:w="1860" w:type="dxa"/>
            <w:vMerge/>
            <w:shd w:val="clear" w:color="auto" w:fill="auto"/>
          </w:tcPr>
          <w:p w14:paraId="1CE7575B" w14:textId="77777777" w:rsidR="004D6470" w:rsidRPr="009E58F7" w:rsidRDefault="004D6470">
            <w:pPr>
              <w:keepNext/>
              <w:overflowPunct w:val="0"/>
              <w:autoSpaceDE w:val="0"/>
              <w:autoSpaceDN w:val="0"/>
              <w:adjustRightInd w:val="0"/>
              <w:spacing w:line="240" w:lineRule="auto"/>
              <w:rPr>
                <w:color w:val="000000"/>
              </w:rPr>
            </w:pPr>
          </w:p>
        </w:tc>
        <w:tc>
          <w:tcPr>
            <w:tcW w:w="1547" w:type="dxa"/>
            <w:shd w:val="clear" w:color="auto" w:fill="auto"/>
          </w:tcPr>
          <w:p w14:paraId="720EF13B" w14:textId="319F631E" w:rsidR="004D6470" w:rsidRPr="009E58F7" w:rsidRDefault="00241996">
            <w:pPr>
              <w:keepNext/>
              <w:overflowPunct w:val="0"/>
              <w:autoSpaceDE w:val="0"/>
              <w:autoSpaceDN w:val="0"/>
              <w:adjustRightInd w:val="0"/>
              <w:spacing w:line="240" w:lineRule="auto"/>
              <w:rPr>
                <w:color w:val="000000"/>
              </w:rPr>
            </w:pPr>
            <w:r w:rsidRPr="009E58F7">
              <w:rPr>
                <w:color w:val="000000"/>
              </w:rPr>
              <w:t>R</w:t>
            </w:r>
            <w:r w:rsidR="004D6470" w:rsidRPr="009E58F7">
              <w:rPr>
                <w:color w:val="000000"/>
              </w:rPr>
              <w:t>itka</w:t>
            </w:r>
          </w:p>
        </w:tc>
        <w:tc>
          <w:tcPr>
            <w:tcW w:w="6091" w:type="dxa"/>
            <w:shd w:val="clear" w:color="auto" w:fill="auto"/>
            <w:vAlign w:val="bottom"/>
          </w:tcPr>
          <w:p w14:paraId="424966F5" w14:textId="50B1EEA9" w:rsidR="004D6470" w:rsidRPr="009E58F7" w:rsidRDefault="004D6470">
            <w:pPr>
              <w:widowControl w:val="0"/>
              <w:autoSpaceDE w:val="0"/>
              <w:autoSpaceDN w:val="0"/>
              <w:adjustRightInd w:val="0"/>
              <w:spacing w:line="240" w:lineRule="auto"/>
            </w:pPr>
            <w:r w:rsidRPr="009E58F7">
              <w:rPr>
                <w:color w:val="000000"/>
              </w:rPr>
              <w:t>meningitis (beleértve a bakteriális formát is), Epstein</w:t>
            </w:r>
            <w:r w:rsidR="00B960D5">
              <w:rPr>
                <w:color w:val="000000"/>
              </w:rPr>
              <w:t>–</w:t>
            </w:r>
            <w:r w:rsidR="003F0F42">
              <w:rPr>
                <w:color w:val="000000"/>
              </w:rPr>
              <w:t>-</w:t>
            </w:r>
            <w:r w:rsidRPr="009E58F7">
              <w:rPr>
                <w:color w:val="000000"/>
              </w:rPr>
              <w:t>Barr vírus okozta fertőzés, herpes genitalis, tonsillitis, mastoiditis, vírusfertőzést követő fáradtság</w:t>
            </w:r>
            <w:r w:rsidR="006D6521">
              <w:rPr>
                <w:color w:val="000000"/>
              </w:rPr>
              <w:t>-</w:t>
            </w:r>
            <w:r w:rsidRPr="009E58F7">
              <w:rPr>
                <w:color w:val="000000"/>
              </w:rPr>
              <w:t>szindróma</w:t>
            </w:r>
          </w:p>
        </w:tc>
      </w:tr>
      <w:tr w:rsidR="004D6470" w:rsidRPr="009E58F7" w14:paraId="69932CB3" w14:textId="77777777" w:rsidTr="00E64005">
        <w:tc>
          <w:tcPr>
            <w:tcW w:w="1860" w:type="dxa"/>
            <w:shd w:val="clear" w:color="auto" w:fill="auto"/>
            <w:vAlign w:val="bottom"/>
          </w:tcPr>
          <w:p w14:paraId="2FEA7A35" w14:textId="2FD13BBD" w:rsidR="004D6470" w:rsidRPr="009E58F7" w:rsidRDefault="004D6470" w:rsidP="00D7256D">
            <w:pPr>
              <w:widowControl w:val="0"/>
              <w:autoSpaceDE w:val="0"/>
              <w:autoSpaceDN w:val="0"/>
              <w:adjustRightInd w:val="0"/>
              <w:spacing w:line="240" w:lineRule="auto"/>
              <w:ind w:left="34"/>
            </w:pPr>
            <w:r w:rsidRPr="009E58F7">
              <w:rPr>
                <w:color w:val="000000"/>
              </w:rPr>
              <w:t>Jó- és rosszindulatú daganatok (beleértve a cisztákat és polipokat is)</w:t>
            </w:r>
          </w:p>
        </w:tc>
        <w:tc>
          <w:tcPr>
            <w:tcW w:w="1547" w:type="dxa"/>
            <w:shd w:val="clear" w:color="auto" w:fill="auto"/>
          </w:tcPr>
          <w:p w14:paraId="515F14DA" w14:textId="1C5127BF" w:rsidR="004D6470" w:rsidRPr="009E58F7" w:rsidRDefault="00241996" w:rsidP="007070F2">
            <w:pPr>
              <w:widowControl w:val="0"/>
              <w:autoSpaceDE w:val="0"/>
              <w:autoSpaceDN w:val="0"/>
              <w:adjustRightInd w:val="0"/>
              <w:spacing w:line="240" w:lineRule="auto"/>
              <w:ind w:left="60"/>
              <w:rPr>
                <w:color w:val="000000"/>
              </w:rPr>
            </w:pPr>
            <w:r w:rsidRPr="009E58F7">
              <w:rPr>
                <w:color w:val="000000"/>
              </w:rPr>
              <w:t>R</w:t>
            </w:r>
            <w:r w:rsidR="004D6470" w:rsidRPr="009E58F7">
              <w:rPr>
                <w:color w:val="000000"/>
              </w:rPr>
              <w:t>itka</w:t>
            </w:r>
          </w:p>
          <w:p w14:paraId="47AFC19E" w14:textId="77777777" w:rsidR="004D6470" w:rsidRPr="009E58F7" w:rsidRDefault="004D6470" w:rsidP="007070F2">
            <w:pPr>
              <w:widowControl w:val="0"/>
              <w:overflowPunct w:val="0"/>
              <w:autoSpaceDE w:val="0"/>
              <w:autoSpaceDN w:val="0"/>
              <w:adjustRightInd w:val="0"/>
              <w:spacing w:line="240" w:lineRule="auto"/>
              <w:rPr>
                <w:color w:val="000000"/>
              </w:rPr>
            </w:pPr>
          </w:p>
        </w:tc>
        <w:tc>
          <w:tcPr>
            <w:tcW w:w="6091" w:type="dxa"/>
            <w:shd w:val="clear" w:color="auto" w:fill="auto"/>
          </w:tcPr>
          <w:p w14:paraId="3CA39CBF" w14:textId="706E8D25" w:rsidR="004D6470" w:rsidRPr="009E58F7" w:rsidRDefault="004D6470" w:rsidP="003D25C3">
            <w:pPr>
              <w:widowControl w:val="0"/>
              <w:autoSpaceDE w:val="0"/>
              <w:autoSpaceDN w:val="0"/>
              <w:adjustRightInd w:val="0"/>
              <w:spacing w:line="240" w:lineRule="auto"/>
              <w:rPr>
                <w:color w:val="000000"/>
              </w:rPr>
            </w:pPr>
            <w:r w:rsidRPr="009E58F7">
              <w:rPr>
                <w:color w:val="000000"/>
              </w:rPr>
              <w:t>rosszindulatú daganat, plazmasejtes leukaemia, vesesejtes carcinoma, terime, mycosis fungoides, jóindulatú daganat*</w:t>
            </w:r>
          </w:p>
          <w:p w14:paraId="6BC116C3" w14:textId="77777777" w:rsidR="004D6470" w:rsidRPr="009E58F7" w:rsidRDefault="004D6470">
            <w:pPr>
              <w:widowControl w:val="0"/>
              <w:overflowPunct w:val="0"/>
              <w:autoSpaceDE w:val="0"/>
              <w:autoSpaceDN w:val="0"/>
              <w:adjustRightInd w:val="0"/>
              <w:spacing w:line="240" w:lineRule="auto"/>
              <w:rPr>
                <w:color w:val="000000"/>
              </w:rPr>
            </w:pPr>
          </w:p>
        </w:tc>
      </w:tr>
      <w:tr w:rsidR="004D6470" w:rsidRPr="009E58F7" w14:paraId="6C21E2F5" w14:textId="77777777" w:rsidTr="00E64005">
        <w:tc>
          <w:tcPr>
            <w:tcW w:w="1860" w:type="dxa"/>
            <w:vMerge w:val="restart"/>
            <w:shd w:val="clear" w:color="auto" w:fill="auto"/>
          </w:tcPr>
          <w:p w14:paraId="4E26C497" w14:textId="14A70206" w:rsidR="004D6470" w:rsidRPr="009E58F7" w:rsidRDefault="004D6470" w:rsidP="00D7256D">
            <w:pPr>
              <w:spacing w:line="240" w:lineRule="auto"/>
              <w:ind w:left="34"/>
            </w:pPr>
            <w:r w:rsidRPr="009E58F7">
              <w:t>Vérképzőszervi és nyirokrendszeri betegségek és tünetek</w:t>
            </w:r>
          </w:p>
        </w:tc>
        <w:tc>
          <w:tcPr>
            <w:tcW w:w="1547" w:type="dxa"/>
            <w:shd w:val="clear" w:color="auto" w:fill="auto"/>
          </w:tcPr>
          <w:p w14:paraId="4050AE78" w14:textId="77777777" w:rsidR="004D6470" w:rsidRPr="009E58F7" w:rsidRDefault="00FB14C1" w:rsidP="007070F2">
            <w:pPr>
              <w:widowControl w:val="0"/>
              <w:overflowPunct w:val="0"/>
              <w:autoSpaceDE w:val="0"/>
              <w:autoSpaceDN w:val="0"/>
              <w:adjustRightInd w:val="0"/>
              <w:spacing w:line="240" w:lineRule="auto"/>
              <w:rPr>
                <w:color w:val="000000"/>
              </w:rPr>
            </w:pPr>
            <w:r w:rsidRPr="009E58F7">
              <w:rPr>
                <w:iCs/>
                <w:color w:val="000000"/>
              </w:rPr>
              <w:t>N</w:t>
            </w:r>
            <w:r w:rsidR="004D6470" w:rsidRPr="009E58F7">
              <w:rPr>
                <w:iCs/>
                <w:color w:val="000000"/>
              </w:rPr>
              <w:t xml:space="preserve">agyon </w:t>
            </w:r>
            <w:r w:rsidR="004D6470" w:rsidRPr="009E58F7">
              <w:rPr>
                <w:color w:val="000000"/>
              </w:rPr>
              <w:t>gyakori</w:t>
            </w:r>
          </w:p>
        </w:tc>
        <w:tc>
          <w:tcPr>
            <w:tcW w:w="6091" w:type="dxa"/>
            <w:shd w:val="clear" w:color="auto" w:fill="auto"/>
          </w:tcPr>
          <w:p w14:paraId="724214B9" w14:textId="7960B7EB" w:rsidR="004D6470" w:rsidRPr="009E58F7" w:rsidRDefault="004D6470" w:rsidP="007070F2">
            <w:pPr>
              <w:widowControl w:val="0"/>
              <w:overflowPunct w:val="0"/>
              <w:autoSpaceDE w:val="0"/>
              <w:autoSpaceDN w:val="0"/>
              <w:adjustRightInd w:val="0"/>
              <w:spacing w:line="240" w:lineRule="auto"/>
              <w:rPr>
                <w:color w:val="000000"/>
              </w:rPr>
            </w:pPr>
            <w:r w:rsidRPr="009E58F7">
              <w:rPr>
                <w:color w:val="000000"/>
              </w:rPr>
              <w:t>thrombocytopenia*, neutropenia*, anaemia*</w:t>
            </w:r>
          </w:p>
        </w:tc>
      </w:tr>
      <w:tr w:rsidR="004D6470" w:rsidRPr="009E58F7" w14:paraId="1FC26156" w14:textId="77777777" w:rsidTr="00E64005">
        <w:tc>
          <w:tcPr>
            <w:tcW w:w="1860" w:type="dxa"/>
            <w:vMerge/>
            <w:shd w:val="clear" w:color="auto" w:fill="auto"/>
          </w:tcPr>
          <w:p w14:paraId="6B0CC49E" w14:textId="77777777" w:rsidR="004D6470" w:rsidRPr="009E58F7" w:rsidRDefault="004D6470">
            <w:pPr>
              <w:widowControl w:val="0"/>
              <w:overflowPunct w:val="0"/>
              <w:autoSpaceDE w:val="0"/>
              <w:autoSpaceDN w:val="0"/>
              <w:adjustRightInd w:val="0"/>
              <w:spacing w:line="240" w:lineRule="auto"/>
              <w:rPr>
                <w:color w:val="000000"/>
              </w:rPr>
            </w:pPr>
          </w:p>
        </w:tc>
        <w:tc>
          <w:tcPr>
            <w:tcW w:w="1547" w:type="dxa"/>
            <w:shd w:val="clear" w:color="auto" w:fill="auto"/>
          </w:tcPr>
          <w:p w14:paraId="63DFC5BA" w14:textId="0E7CB114" w:rsidR="004D6470" w:rsidRPr="009E58F7" w:rsidRDefault="00FB14C1">
            <w:pPr>
              <w:widowControl w:val="0"/>
              <w:overflowPunct w:val="0"/>
              <w:autoSpaceDE w:val="0"/>
              <w:autoSpaceDN w:val="0"/>
              <w:adjustRightInd w:val="0"/>
              <w:spacing w:line="240" w:lineRule="auto"/>
              <w:rPr>
                <w:color w:val="000000"/>
              </w:rPr>
            </w:pPr>
            <w:r w:rsidRPr="009E58F7">
              <w:rPr>
                <w:iCs/>
                <w:color w:val="000000"/>
              </w:rPr>
              <w:t>G</w:t>
            </w:r>
            <w:r w:rsidR="004D6470" w:rsidRPr="009E58F7">
              <w:rPr>
                <w:iCs/>
                <w:color w:val="000000"/>
              </w:rPr>
              <w:t>yakori</w:t>
            </w:r>
          </w:p>
        </w:tc>
        <w:tc>
          <w:tcPr>
            <w:tcW w:w="6091" w:type="dxa"/>
            <w:shd w:val="clear" w:color="auto" w:fill="auto"/>
          </w:tcPr>
          <w:p w14:paraId="1AB152CE" w14:textId="77777777" w:rsidR="004D6470" w:rsidRPr="009E58F7" w:rsidRDefault="004D6470">
            <w:pPr>
              <w:widowControl w:val="0"/>
              <w:overflowPunct w:val="0"/>
              <w:autoSpaceDE w:val="0"/>
              <w:autoSpaceDN w:val="0"/>
              <w:adjustRightInd w:val="0"/>
              <w:spacing w:line="240" w:lineRule="auto"/>
              <w:rPr>
                <w:color w:val="000000"/>
              </w:rPr>
            </w:pPr>
            <w:r w:rsidRPr="009E58F7">
              <w:rPr>
                <w:color w:val="000000"/>
              </w:rPr>
              <w:t>leukopenia*, lymphopenia*</w:t>
            </w:r>
          </w:p>
        </w:tc>
      </w:tr>
      <w:tr w:rsidR="004D6470" w:rsidRPr="009E58F7" w14:paraId="2F3E39BC" w14:textId="77777777" w:rsidTr="00E64005">
        <w:tc>
          <w:tcPr>
            <w:tcW w:w="1860" w:type="dxa"/>
            <w:vMerge/>
            <w:shd w:val="clear" w:color="auto" w:fill="auto"/>
          </w:tcPr>
          <w:p w14:paraId="7F1CD211" w14:textId="77777777" w:rsidR="004D6470" w:rsidRPr="009E58F7" w:rsidRDefault="004D6470">
            <w:pPr>
              <w:widowControl w:val="0"/>
              <w:overflowPunct w:val="0"/>
              <w:autoSpaceDE w:val="0"/>
              <w:autoSpaceDN w:val="0"/>
              <w:adjustRightInd w:val="0"/>
              <w:spacing w:line="240" w:lineRule="auto"/>
              <w:rPr>
                <w:color w:val="000000"/>
              </w:rPr>
            </w:pPr>
          </w:p>
        </w:tc>
        <w:tc>
          <w:tcPr>
            <w:tcW w:w="1547" w:type="dxa"/>
            <w:shd w:val="clear" w:color="auto" w:fill="auto"/>
          </w:tcPr>
          <w:p w14:paraId="0FB3CE5D" w14:textId="60A205BC" w:rsidR="004D6470" w:rsidRPr="009E58F7" w:rsidRDefault="00FB14C1">
            <w:pPr>
              <w:widowControl w:val="0"/>
              <w:overflowPunct w:val="0"/>
              <w:autoSpaceDE w:val="0"/>
              <w:autoSpaceDN w:val="0"/>
              <w:adjustRightInd w:val="0"/>
              <w:spacing w:line="240" w:lineRule="auto"/>
              <w:rPr>
                <w:color w:val="000000"/>
              </w:rPr>
            </w:pPr>
            <w:r w:rsidRPr="009E58F7">
              <w:rPr>
                <w:iCs/>
                <w:color w:val="000000"/>
              </w:rPr>
              <w:t>N</w:t>
            </w:r>
            <w:r w:rsidR="004D6470" w:rsidRPr="009E58F7">
              <w:rPr>
                <w:iCs/>
                <w:color w:val="000000"/>
              </w:rPr>
              <w:t>em</w:t>
            </w:r>
            <w:r w:rsidR="004D6470" w:rsidRPr="009E58F7">
              <w:rPr>
                <w:color w:val="000000"/>
              </w:rPr>
              <w:t xml:space="preserve"> gyakori</w:t>
            </w:r>
          </w:p>
        </w:tc>
        <w:tc>
          <w:tcPr>
            <w:tcW w:w="6091" w:type="dxa"/>
            <w:shd w:val="clear" w:color="auto" w:fill="auto"/>
          </w:tcPr>
          <w:p w14:paraId="000086C1" w14:textId="42C2E359" w:rsidR="004D6470" w:rsidRPr="009E58F7" w:rsidRDefault="004D6470">
            <w:pPr>
              <w:widowControl w:val="0"/>
              <w:autoSpaceDE w:val="0"/>
              <w:autoSpaceDN w:val="0"/>
              <w:adjustRightInd w:val="0"/>
              <w:spacing w:line="240" w:lineRule="auto"/>
              <w:ind w:hanging="11"/>
              <w:rPr>
                <w:color w:val="000000"/>
              </w:rPr>
            </w:pPr>
            <w:r w:rsidRPr="009E58F7">
              <w:rPr>
                <w:color w:val="000000"/>
              </w:rPr>
              <w:t>pancytopenia*, lázas neutropenia, coagulopathia*, leukocytosis*,</w:t>
            </w:r>
            <w:r w:rsidR="004A62F4" w:rsidRPr="009E58F7">
              <w:rPr>
                <w:color w:val="000000"/>
              </w:rPr>
              <w:t xml:space="preserve"> </w:t>
            </w:r>
            <w:r w:rsidRPr="009E58F7">
              <w:rPr>
                <w:color w:val="000000"/>
              </w:rPr>
              <w:t>lymphadenopathia, haemolyticus anaemia</w:t>
            </w:r>
            <w:r w:rsidRPr="009E58F7">
              <w:rPr>
                <w:color w:val="000000"/>
                <w:vertAlign w:val="superscript"/>
              </w:rPr>
              <w:t>#</w:t>
            </w:r>
          </w:p>
        </w:tc>
      </w:tr>
      <w:tr w:rsidR="004D6470" w:rsidRPr="009E58F7" w14:paraId="4FE69E93" w14:textId="77777777" w:rsidTr="00E64005">
        <w:tc>
          <w:tcPr>
            <w:tcW w:w="1860" w:type="dxa"/>
            <w:vMerge/>
            <w:shd w:val="clear" w:color="auto" w:fill="auto"/>
          </w:tcPr>
          <w:p w14:paraId="0139ADCE" w14:textId="77777777" w:rsidR="004D6470" w:rsidRPr="009E58F7" w:rsidRDefault="004D6470">
            <w:pPr>
              <w:widowControl w:val="0"/>
              <w:overflowPunct w:val="0"/>
              <w:autoSpaceDE w:val="0"/>
              <w:autoSpaceDN w:val="0"/>
              <w:adjustRightInd w:val="0"/>
              <w:spacing w:line="240" w:lineRule="auto"/>
              <w:rPr>
                <w:color w:val="000000"/>
              </w:rPr>
            </w:pPr>
          </w:p>
        </w:tc>
        <w:tc>
          <w:tcPr>
            <w:tcW w:w="1547" w:type="dxa"/>
            <w:shd w:val="clear" w:color="auto" w:fill="auto"/>
          </w:tcPr>
          <w:p w14:paraId="1CCD6432" w14:textId="4998B64E" w:rsidR="004D6470" w:rsidRPr="009E58F7" w:rsidRDefault="00FB14C1">
            <w:pPr>
              <w:widowControl w:val="0"/>
              <w:overflowPunct w:val="0"/>
              <w:autoSpaceDE w:val="0"/>
              <w:autoSpaceDN w:val="0"/>
              <w:adjustRightInd w:val="0"/>
              <w:spacing w:line="240" w:lineRule="auto"/>
              <w:rPr>
                <w:color w:val="000000"/>
              </w:rPr>
            </w:pPr>
            <w:r w:rsidRPr="009E58F7">
              <w:rPr>
                <w:iCs/>
                <w:color w:val="000000"/>
              </w:rPr>
              <w:t>R</w:t>
            </w:r>
            <w:r w:rsidR="004D6470" w:rsidRPr="009E58F7">
              <w:rPr>
                <w:iCs/>
                <w:color w:val="000000"/>
              </w:rPr>
              <w:t>itka</w:t>
            </w:r>
          </w:p>
        </w:tc>
        <w:tc>
          <w:tcPr>
            <w:tcW w:w="6091" w:type="dxa"/>
            <w:shd w:val="clear" w:color="auto" w:fill="auto"/>
          </w:tcPr>
          <w:p w14:paraId="0E899A06" w14:textId="373296B0" w:rsidR="003B247B" w:rsidRPr="009E58F7" w:rsidRDefault="004D6470" w:rsidP="003B247B">
            <w:pPr>
              <w:widowControl w:val="0"/>
              <w:autoSpaceDE w:val="0"/>
              <w:autoSpaceDN w:val="0"/>
              <w:adjustRightInd w:val="0"/>
              <w:spacing w:line="240" w:lineRule="auto"/>
              <w:rPr>
                <w:color w:val="000000"/>
              </w:rPr>
            </w:pPr>
            <w:r w:rsidRPr="009E58F7">
              <w:rPr>
                <w:color w:val="000000"/>
              </w:rPr>
              <w:t>disseminalt intravascularis coagulatio, thrombocytosis*, hiperviszkozitás szindróma, thrombocyta betegségek k</w:t>
            </w:r>
            <w:r w:rsidR="00FB14C1" w:rsidRPr="009E58F7">
              <w:rPr>
                <w:color w:val="000000"/>
              </w:rPr>
              <w:t>.</w:t>
            </w:r>
            <w:r w:rsidRPr="009E58F7">
              <w:rPr>
                <w:color w:val="000000"/>
              </w:rPr>
              <w:t>m</w:t>
            </w:r>
            <w:r w:rsidR="00FB14C1" w:rsidRPr="009E58F7">
              <w:rPr>
                <w:color w:val="000000"/>
              </w:rPr>
              <w:t>.</w:t>
            </w:r>
            <w:r w:rsidRPr="009E58F7">
              <w:rPr>
                <w:color w:val="000000"/>
              </w:rPr>
              <w:t xml:space="preserve">n., </w:t>
            </w:r>
            <w:r w:rsidR="003B247B" w:rsidRPr="005F2BC9">
              <w:rPr>
                <w:color w:val="000000"/>
              </w:rPr>
              <w:t xml:space="preserve">thromboticus microangiopathia (beleértve a </w:t>
            </w:r>
            <w:r w:rsidRPr="009E58F7">
              <w:rPr>
                <w:color w:val="000000"/>
              </w:rPr>
              <w:t>thrombocytopeniás purpur</w:t>
            </w:r>
            <w:r w:rsidR="003B247B" w:rsidRPr="009E58F7">
              <w:rPr>
                <w:color w:val="000000"/>
              </w:rPr>
              <w:t>át is)</w:t>
            </w:r>
            <w:r w:rsidR="003B247B" w:rsidRPr="009E58F7">
              <w:rPr>
                <w:rFonts w:ascii="Times" w:hAnsi="Times"/>
                <w:color w:val="000000"/>
                <w:vertAlign w:val="superscript"/>
              </w:rPr>
              <w:t>#</w:t>
            </w:r>
            <w:r w:rsidRPr="009E58F7">
              <w:rPr>
                <w:color w:val="000000"/>
              </w:rPr>
              <w:t>, vérképzőszervi betegségek k</w:t>
            </w:r>
            <w:r w:rsidR="00FB14C1" w:rsidRPr="009E58F7">
              <w:rPr>
                <w:color w:val="000000"/>
              </w:rPr>
              <w:t>.</w:t>
            </w:r>
            <w:r w:rsidRPr="009E58F7">
              <w:rPr>
                <w:color w:val="000000"/>
              </w:rPr>
              <w:t>m</w:t>
            </w:r>
            <w:r w:rsidR="00FB14C1" w:rsidRPr="009E58F7">
              <w:rPr>
                <w:color w:val="000000"/>
              </w:rPr>
              <w:t>.</w:t>
            </w:r>
            <w:r w:rsidRPr="009E58F7">
              <w:rPr>
                <w:color w:val="000000"/>
              </w:rPr>
              <w:t>n., haemorrhagias diathesis, lymphocytás infiltratio</w:t>
            </w:r>
          </w:p>
        </w:tc>
      </w:tr>
      <w:tr w:rsidR="004D6470" w:rsidRPr="009E58F7" w14:paraId="67848C78" w14:textId="77777777" w:rsidTr="00E64005">
        <w:tc>
          <w:tcPr>
            <w:tcW w:w="1860" w:type="dxa"/>
            <w:vMerge w:val="restart"/>
            <w:shd w:val="clear" w:color="auto" w:fill="auto"/>
          </w:tcPr>
          <w:p w14:paraId="5D5E4D0C" w14:textId="1AC83201" w:rsidR="004D6470" w:rsidRPr="009E58F7" w:rsidRDefault="004D6470" w:rsidP="00D7256D">
            <w:pPr>
              <w:widowControl w:val="0"/>
              <w:autoSpaceDE w:val="0"/>
              <w:autoSpaceDN w:val="0"/>
              <w:adjustRightInd w:val="0"/>
              <w:spacing w:line="240" w:lineRule="auto"/>
              <w:ind w:left="34"/>
              <w:rPr>
                <w:color w:val="000000"/>
              </w:rPr>
            </w:pPr>
            <w:r w:rsidRPr="009E58F7">
              <w:rPr>
                <w:color w:val="000000"/>
              </w:rPr>
              <w:t>Immunrendszeri betegségek és tünetek</w:t>
            </w:r>
          </w:p>
        </w:tc>
        <w:tc>
          <w:tcPr>
            <w:tcW w:w="1547" w:type="dxa"/>
            <w:shd w:val="clear" w:color="auto" w:fill="auto"/>
          </w:tcPr>
          <w:p w14:paraId="05BEAD37" w14:textId="0D3313F4" w:rsidR="004D6470" w:rsidRPr="009E58F7" w:rsidRDefault="00FB14C1" w:rsidP="007070F2">
            <w:pPr>
              <w:widowControl w:val="0"/>
              <w:overflowPunct w:val="0"/>
              <w:autoSpaceDE w:val="0"/>
              <w:autoSpaceDN w:val="0"/>
              <w:adjustRightInd w:val="0"/>
              <w:spacing w:line="240" w:lineRule="auto"/>
              <w:rPr>
                <w:color w:val="000000"/>
              </w:rPr>
            </w:pPr>
            <w:r w:rsidRPr="009E58F7">
              <w:rPr>
                <w:iCs/>
                <w:color w:val="000000"/>
              </w:rPr>
              <w:t>N</w:t>
            </w:r>
            <w:r w:rsidR="004D6470" w:rsidRPr="009E58F7">
              <w:rPr>
                <w:iCs/>
                <w:color w:val="000000"/>
              </w:rPr>
              <w:t>em</w:t>
            </w:r>
            <w:r w:rsidR="004D6470" w:rsidRPr="009E58F7">
              <w:rPr>
                <w:color w:val="000000"/>
              </w:rPr>
              <w:t xml:space="preserve"> gyakori</w:t>
            </w:r>
          </w:p>
        </w:tc>
        <w:tc>
          <w:tcPr>
            <w:tcW w:w="6091" w:type="dxa"/>
            <w:shd w:val="clear" w:color="auto" w:fill="auto"/>
          </w:tcPr>
          <w:p w14:paraId="7F07C103" w14:textId="77777777" w:rsidR="004D6470" w:rsidRPr="009E58F7" w:rsidRDefault="004D6470" w:rsidP="007070F2">
            <w:pPr>
              <w:widowControl w:val="0"/>
              <w:overflowPunct w:val="0"/>
              <w:autoSpaceDE w:val="0"/>
              <w:autoSpaceDN w:val="0"/>
              <w:adjustRightInd w:val="0"/>
              <w:spacing w:line="240" w:lineRule="auto"/>
              <w:rPr>
                <w:color w:val="000000"/>
              </w:rPr>
            </w:pPr>
            <w:r w:rsidRPr="009E58F7">
              <w:rPr>
                <w:color w:val="000000"/>
              </w:rPr>
              <w:t>angioodema</w:t>
            </w:r>
            <w:r w:rsidRPr="009E58F7">
              <w:rPr>
                <w:color w:val="000000"/>
                <w:vertAlign w:val="superscript"/>
              </w:rPr>
              <w:t>#</w:t>
            </w:r>
            <w:r w:rsidRPr="009E58F7">
              <w:rPr>
                <w:color w:val="000000"/>
              </w:rPr>
              <w:t>, túlérzékenység*</w:t>
            </w:r>
          </w:p>
        </w:tc>
      </w:tr>
      <w:tr w:rsidR="004D6470" w:rsidRPr="009E58F7" w14:paraId="5E71611C" w14:textId="77777777" w:rsidTr="00E64005">
        <w:tc>
          <w:tcPr>
            <w:tcW w:w="1860" w:type="dxa"/>
            <w:vMerge/>
            <w:shd w:val="clear" w:color="auto" w:fill="auto"/>
          </w:tcPr>
          <w:p w14:paraId="630DC583" w14:textId="77777777" w:rsidR="004D6470" w:rsidRPr="009E58F7" w:rsidRDefault="004D6470">
            <w:pPr>
              <w:widowControl w:val="0"/>
              <w:overflowPunct w:val="0"/>
              <w:autoSpaceDE w:val="0"/>
              <w:autoSpaceDN w:val="0"/>
              <w:adjustRightInd w:val="0"/>
              <w:spacing w:line="240" w:lineRule="auto"/>
              <w:rPr>
                <w:color w:val="000000"/>
              </w:rPr>
            </w:pPr>
          </w:p>
        </w:tc>
        <w:tc>
          <w:tcPr>
            <w:tcW w:w="1547" w:type="dxa"/>
            <w:shd w:val="clear" w:color="auto" w:fill="auto"/>
          </w:tcPr>
          <w:p w14:paraId="225F1E57" w14:textId="7B9124F8" w:rsidR="004D6470" w:rsidRPr="009E58F7" w:rsidRDefault="00FB14C1">
            <w:pPr>
              <w:widowControl w:val="0"/>
              <w:overflowPunct w:val="0"/>
              <w:autoSpaceDE w:val="0"/>
              <w:autoSpaceDN w:val="0"/>
              <w:adjustRightInd w:val="0"/>
              <w:spacing w:line="240" w:lineRule="auto"/>
              <w:rPr>
                <w:color w:val="000000"/>
              </w:rPr>
            </w:pPr>
            <w:r w:rsidRPr="009E58F7">
              <w:rPr>
                <w:iCs/>
                <w:color w:val="000000"/>
              </w:rPr>
              <w:t>R</w:t>
            </w:r>
            <w:r w:rsidR="004D6470" w:rsidRPr="009E58F7">
              <w:rPr>
                <w:iCs/>
                <w:color w:val="000000"/>
              </w:rPr>
              <w:t>itka</w:t>
            </w:r>
          </w:p>
        </w:tc>
        <w:tc>
          <w:tcPr>
            <w:tcW w:w="6091" w:type="dxa"/>
            <w:shd w:val="clear" w:color="auto" w:fill="auto"/>
          </w:tcPr>
          <w:p w14:paraId="361BAABA" w14:textId="0A443A2E" w:rsidR="004D6470" w:rsidRPr="009E58F7" w:rsidRDefault="004D6470">
            <w:pPr>
              <w:widowControl w:val="0"/>
              <w:autoSpaceDE w:val="0"/>
              <w:autoSpaceDN w:val="0"/>
              <w:adjustRightInd w:val="0"/>
              <w:spacing w:line="240" w:lineRule="auto"/>
              <w:rPr>
                <w:color w:val="000000"/>
              </w:rPr>
            </w:pPr>
            <w:r w:rsidRPr="009E58F7">
              <w:rPr>
                <w:color w:val="000000"/>
              </w:rPr>
              <w:t>anaphylaxiás shock, amyloidosis, III-as típusú immunkomplex mediálta reakció</w:t>
            </w:r>
          </w:p>
        </w:tc>
      </w:tr>
      <w:tr w:rsidR="004D6470" w:rsidRPr="009E58F7" w14:paraId="46BA03E7" w14:textId="77777777" w:rsidTr="00E64005">
        <w:tc>
          <w:tcPr>
            <w:tcW w:w="1860" w:type="dxa"/>
            <w:vMerge w:val="restart"/>
            <w:shd w:val="clear" w:color="auto" w:fill="auto"/>
          </w:tcPr>
          <w:p w14:paraId="3EA74A36" w14:textId="0CFAD290" w:rsidR="004D6470" w:rsidRPr="009E58F7" w:rsidRDefault="004D6470" w:rsidP="00E26B3B">
            <w:pPr>
              <w:keepNext/>
              <w:widowControl w:val="0"/>
              <w:autoSpaceDE w:val="0"/>
              <w:autoSpaceDN w:val="0"/>
              <w:adjustRightInd w:val="0"/>
              <w:spacing w:line="240" w:lineRule="auto"/>
              <w:ind w:left="34"/>
              <w:rPr>
                <w:color w:val="000000"/>
              </w:rPr>
            </w:pPr>
            <w:r w:rsidRPr="009E58F7">
              <w:rPr>
                <w:color w:val="000000"/>
              </w:rPr>
              <w:lastRenderedPageBreak/>
              <w:t>Endokrin betegségek és tünetek</w:t>
            </w:r>
          </w:p>
        </w:tc>
        <w:tc>
          <w:tcPr>
            <w:tcW w:w="1547" w:type="dxa"/>
            <w:shd w:val="clear" w:color="auto" w:fill="auto"/>
          </w:tcPr>
          <w:p w14:paraId="32D6C7B2" w14:textId="0D6C9816" w:rsidR="004D6470" w:rsidRPr="009E58F7" w:rsidRDefault="00FB14C1" w:rsidP="00E26B3B">
            <w:pPr>
              <w:keepNext/>
              <w:widowControl w:val="0"/>
              <w:overflowPunct w:val="0"/>
              <w:autoSpaceDE w:val="0"/>
              <w:autoSpaceDN w:val="0"/>
              <w:adjustRightInd w:val="0"/>
              <w:spacing w:line="240" w:lineRule="auto"/>
              <w:rPr>
                <w:color w:val="000000"/>
              </w:rPr>
            </w:pPr>
            <w:r w:rsidRPr="009E58F7">
              <w:rPr>
                <w:iCs/>
                <w:color w:val="000000"/>
              </w:rPr>
              <w:t>N</w:t>
            </w:r>
            <w:r w:rsidR="004D6470" w:rsidRPr="009E58F7">
              <w:rPr>
                <w:iCs/>
                <w:color w:val="000000"/>
              </w:rPr>
              <w:t>em</w:t>
            </w:r>
            <w:r w:rsidR="004D6470" w:rsidRPr="009E58F7">
              <w:rPr>
                <w:color w:val="000000"/>
              </w:rPr>
              <w:t xml:space="preserve"> gyakori</w:t>
            </w:r>
          </w:p>
        </w:tc>
        <w:tc>
          <w:tcPr>
            <w:tcW w:w="6091" w:type="dxa"/>
            <w:shd w:val="clear" w:color="auto" w:fill="auto"/>
          </w:tcPr>
          <w:p w14:paraId="74B7B57A" w14:textId="1A133932" w:rsidR="004D6470" w:rsidRPr="009E58F7" w:rsidRDefault="004D6470" w:rsidP="00E26B3B">
            <w:pPr>
              <w:keepNext/>
              <w:widowControl w:val="0"/>
              <w:autoSpaceDE w:val="0"/>
              <w:autoSpaceDN w:val="0"/>
              <w:adjustRightInd w:val="0"/>
              <w:spacing w:line="240" w:lineRule="auto"/>
              <w:rPr>
                <w:color w:val="000000"/>
              </w:rPr>
            </w:pPr>
            <w:r w:rsidRPr="009E58F7">
              <w:rPr>
                <w:color w:val="000000"/>
              </w:rPr>
              <w:t>Cushing-szindróma*, hyperthyreoidismus*, elégtelen antidiuretikus hormon (ADH) elválasztás</w:t>
            </w:r>
          </w:p>
        </w:tc>
      </w:tr>
      <w:tr w:rsidR="004D6470" w:rsidRPr="009E58F7" w14:paraId="4AABE66C" w14:textId="77777777" w:rsidTr="00E64005">
        <w:tc>
          <w:tcPr>
            <w:tcW w:w="1860" w:type="dxa"/>
            <w:vMerge/>
            <w:shd w:val="clear" w:color="auto" w:fill="auto"/>
          </w:tcPr>
          <w:p w14:paraId="6934950C" w14:textId="77777777" w:rsidR="004D6470" w:rsidRPr="009E58F7" w:rsidRDefault="004D6470">
            <w:pPr>
              <w:widowControl w:val="0"/>
              <w:overflowPunct w:val="0"/>
              <w:autoSpaceDE w:val="0"/>
              <w:autoSpaceDN w:val="0"/>
              <w:adjustRightInd w:val="0"/>
              <w:spacing w:line="240" w:lineRule="auto"/>
              <w:rPr>
                <w:color w:val="000000"/>
              </w:rPr>
            </w:pPr>
          </w:p>
        </w:tc>
        <w:tc>
          <w:tcPr>
            <w:tcW w:w="1547" w:type="dxa"/>
            <w:shd w:val="clear" w:color="auto" w:fill="auto"/>
          </w:tcPr>
          <w:p w14:paraId="2146EF4A" w14:textId="77777777" w:rsidR="004D6470" w:rsidRPr="009E58F7" w:rsidRDefault="00FB14C1">
            <w:pPr>
              <w:widowControl w:val="0"/>
              <w:overflowPunct w:val="0"/>
              <w:autoSpaceDE w:val="0"/>
              <w:autoSpaceDN w:val="0"/>
              <w:adjustRightInd w:val="0"/>
              <w:spacing w:line="240" w:lineRule="auto"/>
              <w:rPr>
                <w:color w:val="000000"/>
              </w:rPr>
            </w:pPr>
            <w:r w:rsidRPr="009E58F7">
              <w:rPr>
                <w:iCs/>
                <w:color w:val="000000"/>
              </w:rPr>
              <w:t>R</w:t>
            </w:r>
            <w:r w:rsidR="004D6470" w:rsidRPr="009E58F7">
              <w:rPr>
                <w:iCs/>
                <w:color w:val="000000"/>
              </w:rPr>
              <w:t>itka</w:t>
            </w:r>
          </w:p>
        </w:tc>
        <w:tc>
          <w:tcPr>
            <w:tcW w:w="6091" w:type="dxa"/>
            <w:shd w:val="clear" w:color="auto" w:fill="auto"/>
          </w:tcPr>
          <w:p w14:paraId="39569C03" w14:textId="77777777" w:rsidR="004D6470" w:rsidRPr="009E58F7" w:rsidRDefault="004D6470">
            <w:pPr>
              <w:widowControl w:val="0"/>
              <w:overflowPunct w:val="0"/>
              <w:autoSpaceDE w:val="0"/>
              <w:autoSpaceDN w:val="0"/>
              <w:adjustRightInd w:val="0"/>
              <w:spacing w:line="240" w:lineRule="auto"/>
              <w:ind w:firstLine="29"/>
              <w:rPr>
                <w:color w:val="000000"/>
              </w:rPr>
            </w:pPr>
            <w:r w:rsidRPr="009E58F7">
              <w:rPr>
                <w:color w:val="000000"/>
              </w:rPr>
              <w:t>hypothyreoidismus</w:t>
            </w:r>
          </w:p>
        </w:tc>
      </w:tr>
      <w:tr w:rsidR="00A818FE" w:rsidRPr="009E58F7" w14:paraId="47727EDC" w14:textId="77777777" w:rsidTr="00E64005">
        <w:tc>
          <w:tcPr>
            <w:tcW w:w="1860" w:type="dxa"/>
            <w:vMerge w:val="restart"/>
            <w:shd w:val="clear" w:color="auto" w:fill="auto"/>
          </w:tcPr>
          <w:p w14:paraId="76C97C99" w14:textId="77777777" w:rsidR="00A818FE" w:rsidRPr="009E58F7" w:rsidRDefault="00A818FE" w:rsidP="00D7256D">
            <w:pPr>
              <w:widowControl w:val="0"/>
              <w:autoSpaceDE w:val="0"/>
              <w:autoSpaceDN w:val="0"/>
              <w:adjustRightInd w:val="0"/>
              <w:spacing w:line="240" w:lineRule="auto"/>
              <w:ind w:left="34"/>
              <w:rPr>
                <w:color w:val="000000"/>
              </w:rPr>
            </w:pPr>
            <w:r w:rsidRPr="009E58F7">
              <w:rPr>
                <w:color w:val="000000"/>
              </w:rPr>
              <w:t>Anyagcsere- és táplálkozási betegségek és tünetek</w:t>
            </w:r>
          </w:p>
          <w:p w14:paraId="3FB39414" w14:textId="556107A3" w:rsidR="00A818FE" w:rsidRPr="009E58F7" w:rsidRDefault="00A818FE" w:rsidP="007070F2">
            <w:pPr>
              <w:widowControl w:val="0"/>
              <w:overflowPunct w:val="0"/>
              <w:autoSpaceDE w:val="0"/>
              <w:autoSpaceDN w:val="0"/>
              <w:adjustRightInd w:val="0"/>
              <w:spacing w:line="240" w:lineRule="auto"/>
              <w:rPr>
                <w:color w:val="000000"/>
              </w:rPr>
            </w:pPr>
          </w:p>
        </w:tc>
        <w:tc>
          <w:tcPr>
            <w:tcW w:w="1547" w:type="dxa"/>
            <w:shd w:val="clear" w:color="auto" w:fill="auto"/>
          </w:tcPr>
          <w:p w14:paraId="67448ABF" w14:textId="066ED428"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Nagyon gyakori</w:t>
            </w:r>
          </w:p>
        </w:tc>
        <w:tc>
          <w:tcPr>
            <w:tcW w:w="6091" w:type="dxa"/>
            <w:shd w:val="clear" w:color="auto" w:fill="auto"/>
          </w:tcPr>
          <w:p w14:paraId="4B8BA62A" w14:textId="64CDB122" w:rsidR="00A818FE" w:rsidRPr="009E58F7" w:rsidRDefault="00A818FE" w:rsidP="003D25C3">
            <w:pPr>
              <w:widowControl w:val="0"/>
              <w:overflowPunct w:val="0"/>
              <w:autoSpaceDE w:val="0"/>
              <w:autoSpaceDN w:val="0"/>
              <w:adjustRightInd w:val="0"/>
              <w:spacing w:line="240" w:lineRule="auto"/>
              <w:ind w:firstLine="29"/>
              <w:rPr>
                <w:color w:val="000000"/>
              </w:rPr>
            </w:pPr>
            <w:r w:rsidRPr="009E58F7">
              <w:rPr>
                <w:color w:val="000000"/>
              </w:rPr>
              <w:t>étvágycsökkenés</w:t>
            </w:r>
          </w:p>
        </w:tc>
      </w:tr>
      <w:tr w:rsidR="00A818FE" w:rsidRPr="009E58F7" w14:paraId="59576A1D" w14:textId="77777777" w:rsidTr="00E64005">
        <w:tc>
          <w:tcPr>
            <w:tcW w:w="1860" w:type="dxa"/>
            <w:vMerge/>
            <w:shd w:val="clear" w:color="auto" w:fill="auto"/>
          </w:tcPr>
          <w:p w14:paraId="0E79A374" w14:textId="5AC94784" w:rsidR="00A818FE" w:rsidRPr="009E58F7" w:rsidRDefault="00A818FE">
            <w:pPr>
              <w:widowControl w:val="0"/>
              <w:overflowPunct w:val="0"/>
              <w:autoSpaceDE w:val="0"/>
              <w:autoSpaceDN w:val="0"/>
              <w:adjustRightInd w:val="0"/>
              <w:spacing w:line="240" w:lineRule="auto"/>
              <w:rPr>
                <w:color w:val="000000"/>
              </w:rPr>
            </w:pPr>
          </w:p>
        </w:tc>
        <w:tc>
          <w:tcPr>
            <w:tcW w:w="1547" w:type="dxa"/>
            <w:shd w:val="clear" w:color="auto" w:fill="auto"/>
          </w:tcPr>
          <w:p w14:paraId="6B805156" w14:textId="16DBEFF1" w:rsidR="00A818FE" w:rsidRPr="009E58F7" w:rsidRDefault="00A818FE">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34BD32EC" w14:textId="551DAC86" w:rsidR="00A818FE" w:rsidRPr="009E58F7" w:rsidRDefault="00A818FE">
            <w:pPr>
              <w:widowControl w:val="0"/>
              <w:autoSpaceDE w:val="0"/>
              <w:autoSpaceDN w:val="0"/>
              <w:adjustRightInd w:val="0"/>
              <w:spacing w:line="240" w:lineRule="auto"/>
              <w:rPr>
                <w:color w:val="000000"/>
              </w:rPr>
            </w:pPr>
            <w:r w:rsidRPr="009E58F7">
              <w:rPr>
                <w:color w:val="000000"/>
              </w:rPr>
              <w:t>dehydratio, hypokalaemia*, hyponatraemia*, kóros vércukorszint*, hypocalcaemia*, enzimeltérések*</w:t>
            </w:r>
          </w:p>
        </w:tc>
      </w:tr>
      <w:tr w:rsidR="00A818FE" w:rsidRPr="009E58F7" w14:paraId="706D04C6" w14:textId="77777777" w:rsidTr="00E64005">
        <w:tc>
          <w:tcPr>
            <w:tcW w:w="1860" w:type="dxa"/>
            <w:vMerge/>
            <w:shd w:val="clear" w:color="auto" w:fill="auto"/>
          </w:tcPr>
          <w:p w14:paraId="098EC756"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4581D7D4"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 xml:space="preserve">Nem </w:t>
            </w:r>
            <w:r w:rsidRPr="009E58F7">
              <w:rPr>
                <w:color w:val="000000"/>
              </w:rPr>
              <w:t>gyakori</w:t>
            </w:r>
          </w:p>
        </w:tc>
        <w:tc>
          <w:tcPr>
            <w:tcW w:w="6091" w:type="dxa"/>
            <w:shd w:val="clear" w:color="auto" w:fill="auto"/>
          </w:tcPr>
          <w:p w14:paraId="2141B297" w14:textId="6B7C4D6C" w:rsidR="00A818FE" w:rsidRPr="009E58F7" w:rsidRDefault="00A818FE" w:rsidP="007070F2">
            <w:pPr>
              <w:widowControl w:val="0"/>
              <w:autoSpaceDE w:val="0"/>
              <w:autoSpaceDN w:val="0"/>
              <w:adjustRightInd w:val="0"/>
              <w:spacing w:line="240" w:lineRule="auto"/>
              <w:rPr>
                <w:color w:val="000000"/>
              </w:rPr>
            </w:pPr>
            <w:r w:rsidRPr="009E58F7">
              <w:rPr>
                <w:color w:val="000000"/>
              </w:rPr>
              <w:t>tumorlízis</w:t>
            </w:r>
            <w:r w:rsidR="006D6521">
              <w:rPr>
                <w:color w:val="000000"/>
              </w:rPr>
              <w:t>-</w:t>
            </w:r>
            <w:r w:rsidRPr="009E58F7">
              <w:rPr>
                <w:color w:val="000000"/>
              </w:rPr>
              <w:t>szindróma, növekedési zavar*, hypomagnesaemia*, hypophosphataemia*, hyperkalaemia*, hypercalcaemia*, hypernatraemia*, kóros húgysavszint*, diabetes mellitus*, folyadékretenció</w:t>
            </w:r>
          </w:p>
        </w:tc>
      </w:tr>
      <w:tr w:rsidR="00A818FE" w:rsidRPr="009E58F7" w14:paraId="6ACC7ED3" w14:textId="77777777" w:rsidTr="00E64005">
        <w:tc>
          <w:tcPr>
            <w:tcW w:w="1860" w:type="dxa"/>
            <w:vMerge/>
            <w:shd w:val="clear" w:color="auto" w:fill="auto"/>
          </w:tcPr>
          <w:p w14:paraId="215D096E"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093F9136" w14:textId="38B4C8F4"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vAlign w:val="bottom"/>
          </w:tcPr>
          <w:p w14:paraId="66B28CB2" w14:textId="659EE862" w:rsidR="00A818FE" w:rsidRPr="009E58F7" w:rsidRDefault="00A818FE" w:rsidP="007070F2">
            <w:pPr>
              <w:widowControl w:val="0"/>
              <w:autoSpaceDE w:val="0"/>
              <w:autoSpaceDN w:val="0"/>
              <w:adjustRightInd w:val="0"/>
              <w:spacing w:line="240" w:lineRule="auto"/>
            </w:pPr>
            <w:r w:rsidRPr="009E58F7">
              <w:rPr>
                <w:color w:val="000000"/>
              </w:rPr>
              <w:t>hypermagnesaemia*, acidosis, az elektrolitháztartás egyensúlyzavara*, folyadéktúlterhelés, hypochloraemia*, hypovolaemia, hyperchloraemia*, hyperphosphataemia*, metabolikus zavarok, B</w:t>
            </w:r>
            <w:r w:rsidR="003F0F42">
              <w:rPr>
                <w:color w:val="000000"/>
              </w:rPr>
              <w:t>-</w:t>
            </w:r>
            <w:r w:rsidRPr="009E58F7">
              <w:rPr>
                <w:color w:val="000000"/>
              </w:rPr>
              <w:t>vitamin komplex hiánya, B</w:t>
            </w:r>
            <w:r w:rsidRPr="009E58F7">
              <w:rPr>
                <w:color w:val="000000"/>
                <w:vertAlign w:val="subscript"/>
              </w:rPr>
              <w:t>12</w:t>
            </w:r>
            <w:r w:rsidR="00BD5400">
              <w:rPr>
                <w:color w:val="000000"/>
              </w:rPr>
              <w:t>-</w:t>
            </w:r>
            <w:r w:rsidRPr="009E58F7">
              <w:rPr>
                <w:color w:val="000000"/>
              </w:rPr>
              <w:t>vitaminhiány, köszvény, étvágynövekedés, alkoholintolerancia</w:t>
            </w:r>
          </w:p>
        </w:tc>
      </w:tr>
      <w:tr w:rsidR="00A818FE" w:rsidRPr="009E58F7" w14:paraId="7EF0A2A4" w14:textId="77777777" w:rsidTr="00E64005">
        <w:tc>
          <w:tcPr>
            <w:tcW w:w="1860" w:type="dxa"/>
            <w:vMerge w:val="restart"/>
            <w:shd w:val="clear" w:color="auto" w:fill="auto"/>
          </w:tcPr>
          <w:p w14:paraId="6AA483C3"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Pszichiátriai kórképek</w:t>
            </w:r>
          </w:p>
          <w:p w14:paraId="422A4FA6" w14:textId="23D65EF3" w:rsidR="00A818FE" w:rsidRPr="009E58F7" w:rsidRDefault="00A818FE" w:rsidP="007070F2">
            <w:pPr>
              <w:widowControl w:val="0"/>
              <w:overflowPunct w:val="0"/>
              <w:autoSpaceDE w:val="0"/>
              <w:autoSpaceDN w:val="0"/>
              <w:adjustRightInd w:val="0"/>
              <w:spacing w:line="240" w:lineRule="auto"/>
              <w:rPr>
                <w:color w:val="000000"/>
              </w:rPr>
            </w:pPr>
          </w:p>
        </w:tc>
        <w:tc>
          <w:tcPr>
            <w:tcW w:w="1547" w:type="dxa"/>
            <w:shd w:val="clear" w:color="auto" w:fill="auto"/>
          </w:tcPr>
          <w:p w14:paraId="6C3E7BD4" w14:textId="72054CBE"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vAlign w:val="bottom"/>
          </w:tcPr>
          <w:p w14:paraId="34215CC4" w14:textId="41FCDF70" w:rsidR="00A818FE" w:rsidRPr="009E58F7" w:rsidRDefault="00A818FE" w:rsidP="003D25C3">
            <w:pPr>
              <w:widowControl w:val="0"/>
              <w:autoSpaceDE w:val="0"/>
              <w:autoSpaceDN w:val="0"/>
              <w:adjustRightInd w:val="0"/>
              <w:spacing w:line="240" w:lineRule="auto"/>
            </w:pPr>
            <w:r w:rsidRPr="009E58F7">
              <w:rPr>
                <w:color w:val="000000"/>
              </w:rPr>
              <w:t>hangulatzavarok és -betegségek*, szorongásos zavar*, alvásbetegségek és alvászavarok*</w:t>
            </w:r>
          </w:p>
        </w:tc>
      </w:tr>
      <w:tr w:rsidR="00A818FE" w:rsidRPr="009E58F7" w14:paraId="4C874186" w14:textId="77777777" w:rsidTr="00E64005">
        <w:tc>
          <w:tcPr>
            <w:tcW w:w="1860" w:type="dxa"/>
            <w:vMerge/>
            <w:shd w:val="clear" w:color="auto" w:fill="auto"/>
          </w:tcPr>
          <w:p w14:paraId="709C6CCE" w14:textId="37E1C08C" w:rsidR="00A818FE" w:rsidRPr="009E58F7" w:rsidRDefault="00A818FE">
            <w:pPr>
              <w:widowControl w:val="0"/>
              <w:overflowPunct w:val="0"/>
              <w:autoSpaceDE w:val="0"/>
              <w:autoSpaceDN w:val="0"/>
              <w:adjustRightInd w:val="0"/>
              <w:spacing w:line="240" w:lineRule="auto"/>
              <w:rPr>
                <w:color w:val="000000"/>
              </w:rPr>
            </w:pPr>
            <w:bookmarkStart w:id="25" w:name="page49"/>
            <w:bookmarkEnd w:id="25"/>
          </w:p>
        </w:tc>
        <w:tc>
          <w:tcPr>
            <w:tcW w:w="1547" w:type="dxa"/>
            <w:shd w:val="clear" w:color="auto" w:fill="auto"/>
          </w:tcPr>
          <w:p w14:paraId="3C070529" w14:textId="77777777" w:rsidR="00A818FE" w:rsidRPr="009E58F7" w:rsidRDefault="00A818FE">
            <w:pPr>
              <w:widowControl w:val="0"/>
              <w:overflowPunct w:val="0"/>
              <w:autoSpaceDE w:val="0"/>
              <w:autoSpaceDN w:val="0"/>
              <w:adjustRightInd w:val="0"/>
              <w:spacing w:line="240" w:lineRule="auto"/>
              <w:rPr>
                <w:color w:val="000000"/>
              </w:rPr>
            </w:pPr>
            <w:r w:rsidRPr="009E58F7">
              <w:rPr>
                <w:iCs/>
                <w:color w:val="000000"/>
              </w:rPr>
              <w:t xml:space="preserve">Nem </w:t>
            </w:r>
            <w:r w:rsidRPr="009E58F7">
              <w:rPr>
                <w:color w:val="000000"/>
              </w:rPr>
              <w:t>gyakori</w:t>
            </w:r>
          </w:p>
        </w:tc>
        <w:tc>
          <w:tcPr>
            <w:tcW w:w="6091" w:type="dxa"/>
            <w:shd w:val="clear" w:color="auto" w:fill="auto"/>
            <w:vAlign w:val="bottom"/>
          </w:tcPr>
          <w:p w14:paraId="745DC624" w14:textId="53A4375D" w:rsidR="00A818FE" w:rsidRPr="009E58F7" w:rsidRDefault="00A818FE">
            <w:pPr>
              <w:widowControl w:val="0"/>
              <w:autoSpaceDE w:val="0"/>
              <w:autoSpaceDN w:val="0"/>
              <w:adjustRightInd w:val="0"/>
              <w:spacing w:line="240" w:lineRule="auto"/>
            </w:pPr>
            <w:r w:rsidRPr="009E58F7">
              <w:rPr>
                <w:color w:val="000000"/>
              </w:rPr>
              <w:t>mentális betegségek*, hallucináció*, pszichotikus megbetegedések*, zavartság*, nyugtalanság</w:t>
            </w:r>
          </w:p>
        </w:tc>
      </w:tr>
      <w:tr w:rsidR="00A818FE" w:rsidRPr="009E58F7" w14:paraId="3E08422D" w14:textId="77777777" w:rsidTr="00E64005">
        <w:tc>
          <w:tcPr>
            <w:tcW w:w="1860" w:type="dxa"/>
            <w:vMerge/>
            <w:tcBorders>
              <w:bottom w:val="single" w:sz="4" w:space="0" w:color="auto"/>
            </w:tcBorders>
            <w:shd w:val="clear" w:color="auto" w:fill="auto"/>
          </w:tcPr>
          <w:p w14:paraId="7BE981A0"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481ED00F"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vAlign w:val="bottom"/>
          </w:tcPr>
          <w:p w14:paraId="6120AFE1" w14:textId="77777777" w:rsidR="00A818FE" w:rsidRPr="009E58F7" w:rsidRDefault="00A818FE" w:rsidP="007070F2">
            <w:pPr>
              <w:widowControl w:val="0"/>
              <w:autoSpaceDE w:val="0"/>
              <w:autoSpaceDN w:val="0"/>
              <w:adjustRightInd w:val="0"/>
              <w:spacing w:line="240" w:lineRule="auto"/>
            </w:pPr>
            <w:r w:rsidRPr="009E58F7">
              <w:rPr>
                <w:color w:val="000000"/>
              </w:rPr>
              <w:t>öngyilkossági gondolatok*, alkalmazkodási zavar, delirium, csökkent libido</w:t>
            </w:r>
          </w:p>
        </w:tc>
      </w:tr>
      <w:tr w:rsidR="00A818FE" w:rsidRPr="009E58F7" w14:paraId="025E0649" w14:textId="77777777" w:rsidTr="00E64005">
        <w:tc>
          <w:tcPr>
            <w:tcW w:w="1860" w:type="dxa"/>
            <w:vMerge w:val="restart"/>
            <w:shd w:val="clear" w:color="auto" w:fill="auto"/>
          </w:tcPr>
          <w:p w14:paraId="1E095819" w14:textId="77777777" w:rsidR="00A818FE" w:rsidRPr="009E58F7" w:rsidRDefault="00A818FE" w:rsidP="00D7256D">
            <w:pPr>
              <w:widowControl w:val="0"/>
              <w:autoSpaceDE w:val="0"/>
              <w:autoSpaceDN w:val="0"/>
              <w:adjustRightInd w:val="0"/>
              <w:spacing w:line="240" w:lineRule="auto"/>
              <w:ind w:left="34"/>
            </w:pPr>
            <w:r w:rsidRPr="009E58F7">
              <w:rPr>
                <w:color w:val="000000"/>
              </w:rPr>
              <w:t>Idegrendszeri betegségek és tünetek</w:t>
            </w:r>
          </w:p>
          <w:p w14:paraId="5DDF805A" w14:textId="131D34D0" w:rsidR="00A818FE" w:rsidRPr="009E58F7" w:rsidRDefault="00A818FE" w:rsidP="007070F2">
            <w:pPr>
              <w:widowControl w:val="0"/>
              <w:overflowPunct w:val="0"/>
              <w:autoSpaceDE w:val="0"/>
              <w:autoSpaceDN w:val="0"/>
              <w:adjustRightInd w:val="0"/>
              <w:spacing w:line="240" w:lineRule="auto"/>
            </w:pPr>
          </w:p>
        </w:tc>
        <w:tc>
          <w:tcPr>
            <w:tcW w:w="1547" w:type="dxa"/>
            <w:shd w:val="clear" w:color="auto" w:fill="auto"/>
          </w:tcPr>
          <w:p w14:paraId="624BEBE3" w14:textId="627FCC54"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Nagyon</w:t>
            </w:r>
            <w:r w:rsidRPr="009E58F7">
              <w:rPr>
                <w:color w:val="000000"/>
              </w:rPr>
              <w:t xml:space="preserve"> gyakori</w:t>
            </w:r>
          </w:p>
        </w:tc>
        <w:tc>
          <w:tcPr>
            <w:tcW w:w="6091" w:type="dxa"/>
            <w:shd w:val="clear" w:color="auto" w:fill="auto"/>
          </w:tcPr>
          <w:p w14:paraId="15A55296" w14:textId="1FB45C2B" w:rsidR="00A818FE" w:rsidRPr="009E58F7" w:rsidRDefault="00A818FE" w:rsidP="003D25C3">
            <w:pPr>
              <w:widowControl w:val="0"/>
              <w:autoSpaceDE w:val="0"/>
              <w:autoSpaceDN w:val="0"/>
              <w:adjustRightInd w:val="0"/>
              <w:spacing w:line="240" w:lineRule="auto"/>
              <w:rPr>
                <w:color w:val="000000"/>
              </w:rPr>
            </w:pPr>
            <w:r w:rsidRPr="009E58F7">
              <w:rPr>
                <w:color w:val="000000"/>
              </w:rPr>
              <w:t>neuropathiák*, peripherias szenzoros neuropathia, dysaesthesia*, neuralgia*,</w:t>
            </w:r>
          </w:p>
        </w:tc>
      </w:tr>
      <w:tr w:rsidR="00A818FE" w:rsidRPr="009E58F7" w14:paraId="0E468FD1" w14:textId="77777777" w:rsidTr="00E64005">
        <w:tc>
          <w:tcPr>
            <w:tcW w:w="1860" w:type="dxa"/>
            <w:vMerge/>
            <w:shd w:val="clear" w:color="auto" w:fill="auto"/>
          </w:tcPr>
          <w:p w14:paraId="6C23BE10" w14:textId="35E7F0B0"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323F57B6" w14:textId="6540B3F0"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4314C140" w14:textId="0D3345AA" w:rsidR="00A818FE" w:rsidRPr="009E58F7" w:rsidRDefault="00A818FE" w:rsidP="007070F2">
            <w:pPr>
              <w:widowControl w:val="0"/>
              <w:autoSpaceDE w:val="0"/>
              <w:autoSpaceDN w:val="0"/>
              <w:adjustRightInd w:val="0"/>
              <w:spacing w:line="240" w:lineRule="auto"/>
              <w:rPr>
                <w:color w:val="000000"/>
              </w:rPr>
            </w:pPr>
            <w:r w:rsidRPr="009E58F7">
              <w:rPr>
                <w:color w:val="000000"/>
              </w:rPr>
              <w:t>motoros neuropathia*, eszméletvesztés (beleértve a syncopet is), szédülés*, dysgeusia*, letargia, fejfájás*</w:t>
            </w:r>
          </w:p>
        </w:tc>
      </w:tr>
      <w:tr w:rsidR="00A818FE" w:rsidRPr="009E58F7" w14:paraId="39ECE9F7" w14:textId="77777777" w:rsidTr="00E64005">
        <w:tc>
          <w:tcPr>
            <w:tcW w:w="1860" w:type="dxa"/>
            <w:vMerge/>
            <w:shd w:val="clear" w:color="auto" w:fill="auto"/>
          </w:tcPr>
          <w:p w14:paraId="4407F70E" w14:textId="11DE2086"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009D9B6C"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 xml:space="preserve">Nem </w:t>
            </w:r>
            <w:r w:rsidRPr="009E58F7">
              <w:rPr>
                <w:color w:val="000000"/>
              </w:rPr>
              <w:t>gyakori</w:t>
            </w:r>
          </w:p>
        </w:tc>
        <w:tc>
          <w:tcPr>
            <w:tcW w:w="6091" w:type="dxa"/>
            <w:shd w:val="clear" w:color="auto" w:fill="auto"/>
          </w:tcPr>
          <w:p w14:paraId="39602EB7" w14:textId="1C45D5B7" w:rsidR="00A818FE" w:rsidRPr="009E58F7" w:rsidRDefault="00A818FE" w:rsidP="007070F2">
            <w:pPr>
              <w:widowControl w:val="0"/>
              <w:autoSpaceDE w:val="0"/>
              <w:autoSpaceDN w:val="0"/>
              <w:adjustRightInd w:val="0"/>
              <w:spacing w:line="240" w:lineRule="auto"/>
              <w:rPr>
                <w:color w:val="000000"/>
              </w:rPr>
            </w:pPr>
            <w:r w:rsidRPr="009E58F7">
              <w:rPr>
                <w:color w:val="000000"/>
              </w:rPr>
              <w:t>tremor, perifériás szenzomotoros neuropathia, dyskinesia*, kisagyi koordináció és egyensúly betegségei*, memória elvesztése (kivéve: dementia)*, encephalopathia*, posterior reverzibilis encephalopathia</w:t>
            </w:r>
            <w:r w:rsidR="006D6521">
              <w:rPr>
                <w:color w:val="000000"/>
              </w:rPr>
              <w:t>-</w:t>
            </w:r>
            <w:r w:rsidRPr="009E58F7">
              <w:rPr>
                <w:color w:val="000000"/>
              </w:rPr>
              <w:t>szindróma</w:t>
            </w:r>
            <w:r w:rsidRPr="009E58F7">
              <w:rPr>
                <w:color w:val="000000"/>
                <w:vertAlign w:val="superscript"/>
              </w:rPr>
              <w:t>#</w:t>
            </w:r>
            <w:r w:rsidRPr="009E58F7">
              <w:rPr>
                <w:color w:val="000000"/>
              </w:rPr>
              <w:t>, neurotoxicitas, görcsroham betegségek*, herpes vírus okozta fertőzést követő neuralgia, beszédzavarok*, „nyugtalan-láb” szindróma, migrén, isiász, figyelemzavar, kóros reflexek*, parosmia</w:t>
            </w:r>
          </w:p>
        </w:tc>
      </w:tr>
      <w:tr w:rsidR="00A818FE" w:rsidRPr="009E58F7" w14:paraId="48411D43" w14:textId="77777777" w:rsidTr="00E64005">
        <w:tc>
          <w:tcPr>
            <w:tcW w:w="1860" w:type="dxa"/>
            <w:vMerge/>
            <w:shd w:val="clear" w:color="auto" w:fill="auto"/>
          </w:tcPr>
          <w:p w14:paraId="50D8729C"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1AB1A843" w14:textId="6A4C42EA"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2C90C0CC" w14:textId="1A42FF5E" w:rsidR="00A818FE" w:rsidRPr="009E58F7" w:rsidRDefault="00A818FE" w:rsidP="007070F2">
            <w:pPr>
              <w:pStyle w:val="Nincstrkz"/>
            </w:pPr>
            <w:r w:rsidRPr="009E58F7">
              <w:t>agyvérzés*, intracranialis haemorrhagia (beleértve a subarachnoidealis vérzést)*, agyödéma, tranziens ischaemias attak, kóma, vegetatív idegrendszer zavarai, vegetatív neuropathia, agyidegek bénulása*, paralysis*, paresis*, presyncope, agytörzsi szindróma, cerebrovascularis betegség, ideggyöklézió, pszichomotoros hiperaktivitás, gerincvelőkompresszió, kognitív zavar k.m.n., motoros dysfunctio, idegrendszeri betegségek k.m.n., radiculitis, nyáladzás, hypotonia</w:t>
            </w:r>
            <w:r w:rsidR="001D14D0">
              <w:t xml:space="preserve">, </w:t>
            </w:r>
            <w:r w:rsidR="001D14D0" w:rsidRPr="007E179E">
              <w:t>Guillain–Barré-szindróma</w:t>
            </w:r>
            <w:r w:rsidR="001D14D0" w:rsidRPr="007E179E">
              <w:rPr>
                <w:rFonts w:cstheme="minorHAnsi"/>
                <w:vertAlign w:val="superscript"/>
              </w:rPr>
              <w:t>#</w:t>
            </w:r>
            <w:r w:rsidR="001D14D0" w:rsidRPr="007E179E">
              <w:t>, demielinizációs polyneuropathia</w:t>
            </w:r>
            <w:r w:rsidR="001D14D0" w:rsidRPr="007E179E">
              <w:rPr>
                <w:rFonts w:cstheme="minorHAnsi"/>
                <w:vertAlign w:val="superscript"/>
              </w:rPr>
              <w:t>#</w:t>
            </w:r>
          </w:p>
        </w:tc>
      </w:tr>
      <w:tr w:rsidR="00A818FE" w:rsidRPr="009E58F7" w14:paraId="02F310C4" w14:textId="77777777" w:rsidTr="00E64005">
        <w:tc>
          <w:tcPr>
            <w:tcW w:w="1860" w:type="dxa"/>
            <w:vMerge w:val="restart"/>
            <w:shd w:val="clear" w:color="auto" w:fill="auto"/>
          </w:tcPr>
          <w:p w14:paraId="634FD488"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Szembetegségek és szemészeti tünetek</w:t>
            </w:r>
          </w:p>
          <w:p w14:paraId="050C744D" w14:textId="70F7D512" w:rsidR="00A818FE" w:rsidRPr="009E58F7" w:rsidRDefault="00A818FE" w:rsidP="007070F2">
            <w:pPr>
              <w:widowControl w:val="0"/>
              <w:overflowPunct w:val="0"/>
              <w:autoSpaceDE w:val="0"/>
              <w:autoSpaceDN w:val="0"/>
              <w:adjustRightInd w:val="0"/>
              <w:spacing w:line="240" w:lineRule="auto"/>
              <w:rPr>
                <w:color w:val="000000"/>
              </w:rPr>
            </w:pPr>
          </w:p>
        </w:tc>
        <w:tc>
          <w:tcPr>
            <w:tcW w:w="1547" w:type="dxa"/>
            <w:shd w:val="clear" w:color="auto" w:fill="auto"/>
          </w:tcPr>
          <w:p w14:paraId="49D66319" w14:textId="6EB6135D"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40A4879B" w14:textId="7E856AC9" w:rsidR="00A818FE" w:rsidRPr="009E58F7" w:rsidRDefault="00A818FE" w:rsidP="003D25C3">
            <w:pPr>
              <w:widowControl w:val="0"/>
              <w:overflowPunct w:val="0"/>
              <w:autoSpaceDE w:val="0"/>
              <w:autoSpaceDN w:val="0"/>
              <w:adjustRightInd w:val="0"/>
              <w:spacing w:line="240" w:lineRule="auto"/>
              <w:rPr>
                <w:color w:val="000000"/>
              </w:rPr>
            </w:pPr>
            <w:r w:rsidRPr="009E58F7">
              <w:rPr>
                <w:color w:val="000000"/>
              </w:rPr>
              <w:t>szemduzzanat*, abnormális látás*, conjunctivitis*</w:t>
            </w:r>
          </w:p>
        </w:tc>
      </w:tr>
      <w:tr w:rsidR="00A818FE" w:rsidRPr="009E58F7" w14:paraId="6CE9F83E" w14:textId="77777777" w:rsidTr="00E64005">
        <w:tc>
          <w:tcPr>
            <w:tcW w:w="1860" w:type="dxa"/>
            <w:vMerge/>
            <w:shd w:val="clear" w:color="auto" w:fill="auto"/>
          </w:tcPr>
          <w:p w14:paraId="41D6DF4F" w14:textId="30024CFA"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6B41A4B4" w14:textId="5F5E9E4C"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5058776A" w14:textId="174B765E" w:rsidR="00A818FE" w:rsidRPr="009E58F7" w:rsidRDefault="00A818FE" w:rsidP="007070F2">
            <w:pPr>
              <w:widowControl w:val="0"/>
              <w:autoSpaceDE w:val="0"/>
              <w:autoSpaceDN w:val="0"/>
              <w:adjustRightInd w:val="0"/>
              <w:spacing w:line="240" w:lineRule="auto"/>
              <w:rPr>
                <w:color w:val="000000"/>
              </w:rPr>
            </w:pPr>
            <w:r w:rsidRPr="009E58F7">
              <w:rPr>
                <w:color w:val="000000"/>
              </w:rPr>
              <w:t xml:space="preserve">szem bevérzése*, szemhéjfertőzés*, </w:t>
            </w:r>
            <w:r w:rsidR="009E58F7" w:rsidRPr="009E58F7">
              <w:rPr>
                <w:color w:val="000000"/>
              </w:rPr>
              <w:t>jégárpa</w:t>
            </w:r>
            <w:r w:rsidR="00D019A6" w:rsidRPr="005F2BC9">
              <w:rPr>
                <w:rFonts w:ascii="Times" w:hAnsi="Times"/>
                <w:color w:val="000000"/>
                <w:vertAlign w:val="superscript"/>
              </w:rPr>
              <w:t>#</w:t>
            </w:r>
            <w:r w:rsidR="00D019A6" w:rsidRPr="005F2BC9">
              <w:rPr>
                <w:color w:val="000000"/>
              </w:rPr>
              <w:t>, blepharitis</w:t>
            </w:r>
            <w:r w:rsidR="00D019A6" w:rsidRPr="005F2BC9">
              <w:rPr>
                <w:rFonts w:ascii="Times" w:hAnsi="Times"/>
                <w:color w:val="000000"/>
                <w:vertAlign w:val="superscript"/>
              </w:rPr>
              <w:t>#</w:t>
            </w:r>
            <w:r w:rsidR="00D019A6" w:rsidRPr="005F2BC9">
              <w:rPr>
                <w:color w:val="000000"/>
              </w:rPr>
              <w:t>,</w:t>
            </w:r>
            <w:r w:rsidR="00D019A6" w:rsidRPr="009E58F7">
              <w:rPr>
                <w:rFonts w:ascii="TimesNewRoman" w:eastAsia="TimesNewRoman" w:hAnsiTheme="minorHAnsi" w:cs="TimesNewRoman"/>
              </w:rPr>
              <w:t xml:space="preserve"> </w:t>
            </w:r>
            <w:r w:rsidRPr="009E58F7">
              <w:rPr>
                <w:color w:val="000000"/>
              </w:rPr>
              <w:t>szemgyulladás*, diplopia, száraz szem*, szemirritáció*, szemfájdalom, fokozott könnyelválasztás, szemváladék</w:t>
            </w:r>
            <w:r w:rsidR="00CF6896">
              <w:rPr>
                <w:color w:val="000000"/>
              </w:rPr>
              <w:t>-</w:t>
            </w:r>
            <w:r w:rsidRPr="009E58F7">
              <w:rPr>
                <w:color w:val="000000"/>
              </w:rPr>
              <w:t>képződés</w:t>
            </w:r>
          </w:p>
        </w:tc>
      </w:tr>
      <w:tr w:rsidR="00A818FE" w:rsidRPr="009E58F7" w14:paraId="4992F991" w14:textId="77777777" w:rsidTr="00E64005">
        <w:tc>
          <w:tcPr>
            <w:tcW w:w="1860" w:type="dxa"/>
            <w:vMerge/>
            <w:shd w:val="clear" w:color="auto" w:fill="auto"/>
          </w:tcPr>
          <w:p w14:paraId="66E56173" w14:textId="2D307B3D"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08D86D98" w14:textId="4D82D0CA"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71F11A83" w14:textId="4508B6FC" w:rsidR="00A818FE" w:rsidRPr="009E58F7" w:rsidRDefault="00A818FE" w:rsidP="007070F2">
            <w:pPr>
              <w:widowControl w:val="0"/>
              <w:autoSpaceDE w:val="0"/>
              <w:autoSpaceDN w:val="0"/>
              <w:adjustRightInd w:val="0"/>
              <w:spacing w:line="240" w:lineRule="auto"/>
              <w:rPr>
                <w:color w:val="000000"/>
              </w:rPr>
            </w:pPr>
            <w:r w:rsidRPr="009E58F7">
              <w:rPr>
                <w:color w:val="000000"/>
              </w:rPr>
              <w:t>cornealézió*, exophthalmia, retinitis, scotoma, szembetegségek (beleértve a szemhéjakat is) k.m.n., szerzett könnymirigygyulladás, photophobia, photopsia, opticus neuropathia</w:t>
            </w:r>
            <w:r w:rsidRPr="009E58F7">
              <w:rPr>
                <w:color w:val="000000"/>
                <w:vertAlign w:val="superscript"/>
              </w:rPr>
              <w:t>#</w:t>
            </w:r>
            <w:r w:rsidRPr="009E58F7">
              <w:rPr>
                <w:color w:val="000000"/>
              </w:rPr>
              <w:t>, látáskárosodás különböző fokozatai (vakságig)*</w:t>
            </w:r>
          </w:p>
        </w:tc>
      </w:tr>
      <w:tr w:rsidR="00A818FE" w:rsidRPr="009E58F7" w14:paraId="38A4017C" w14:textId="77777777" w:rsidTr="00E64005">
        <w:tc>
          <w:tcPr>
            <w:tcW w:w="1860" w:type="dxa"/>
            <w:vMerge w:val="restart"/>
            <w:shd w:val="clear" w:color="auto" w:fill="auto"/>
            <w:vAlign w:val="bottom"/>
          </w:tcPr>
          <w:p w14:paraId="1BF4E538" w14:textId="77777777" w:rsidR="00A818FE" w:rsidRPr="009E58F7" w:rsidRDefault="00A818FE" w:rsidP="00D7256D">
            <w:pPr>
              <w:widowControl w:val="0"/>
              <w:autoSpaceDE w:val="0"/>
              <w:autoSpaceDN w:val="0"/>
              <w:adjustRightInd w:val="0"/>
              <w:spacing w:line="240" w:lineRule="auto"/>
            </w:pPr>
            <w:r w:rsidRPr="009E58F7">
              <w:rPr>
                <w:color w:val="000000"/>
              </w:rPr>
              <w:lastRenderedPageBreak/>
              <w:t>A fül és az egyensúly-érzékelő szerv betegségei és tünetei</w:t>
            </w:r>
          </w:p>
          <w:p w14:paraId="267D11C2" w14:textId="4D81F70D" w:rsidR="00A818FE" w:rsidRPr="009E58F7" w:rsidRDefault="00A818FE" w:rsidP="007070F2">
            <w:pPr>
              <w:widowControl w:val="0"/>
              <w:overflowPunct w:val="0"/>
              <w:autoSpaceDE w:val="0"/>
              <w:autoSpaceDN w:val="0"/>
              <w:adjustRightInd w:val="0"/>
              <w:spacing w:line="240" w:lineRule="auto"/>
            </w:pPr>
          </w:p>
        </w:tc>
        <w:tc>
          <w:tcPr>
            <w:tcW w:w="1547" w:type="dxa"/>
            <w:shd w:val="clear" w:color="auto" w:fill="auto"/>
          </w:tcPr>
          <w:p w14:paraId="271F1067" w14:textId="0DEF8818"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6DC4F97C" w14:textId="68BBE619" w:rsidR="00A818FE" w:rsidRPr="009E58F7" w:rsidRDefault="00A818FE" w:rsidP="003D25C3">
            <w:pPr>
              <w:widowControl w:val="0"/>
              <w:overflowPunct w:val="0"/>
              <w:autoSpaceDE w:val="0"/>
              <w:autoSpaceDN w:val="0"/>
              <w:adjustRightInd w:val="0"/>
              <w:spacing w:line="240" w:lineRule="auto"/>
              <w:rPr>
                <w:color w:val="000000"/>
              </w:rPr>
            </w:pPr>
            <w:r w:rsidRPr="009E58F7">
              <w:rPr>
                <w:color w:val="000000"/>
              </w:rPr>
              <w:t>vertigo*</w:t>
            </w:r>
          </w:p>
        </w:tc>
      </w:tr>
      <w:tr w:rsidR="00A818FE" w:rsidRPr="009E58F7" w14:paraId="45769F2E" w14:textId="77777777" w:rsidTr="00E64005">
        <w:tc>
          <w:tcPr>
            <w:tcW w:w="1860" w:type="dxa"/>
            <w:vMerge/>
            <w:shd w:val="clear" w:color="auto" w:fill="auto"/>
          </w:tcPr>
          <w:p w14:paraId="06D9BA35" w14:textId="0FB7DF0E"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69C933A8" w14:textId="08ED8D44"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66CF9AE8" w14:textId="7A60BC48" w:rsidR="00A818FE" w:rsidRPr="009E58F7" w:rsidRDefault="00A818FE" w:rsidP="007070F2">
            <w:pPr>
              <w:widowControl w:val="0"/>
              <w:autoSpaceDE w:val="0"/>
              <w:autoSpaceDN w:val="0"/>
              <w:adjustRightInd w:val="0"/>
              <w:spacing w:line="240" w:lineRule="auto"/>
              <w:rPr>
                <w:color w:val="000000"/>
              </w:rPr>
            </w:pPr>
            <w:r w:rsidRPr="009E58F7">
              <w:rPr>
                <w:color w:val="000000"/>
              </w:rPr>
              <w:t>dysacusis (beleértve: tinnitus)*, halláskárosodás (süketségig és azt is beleértve), fül diszkomfortérzés*</w:t>
            </w:r>
          </w:p>
        </w:tc>
      </w:tr>
      <w:tr w:rsidR="00A818FE" w:rsidRPr="009E58F7" w14:paraId="39CB49EB" w14:textId="77777777" w:rsidTr="00E64005">
        <w:tc>
          <w:tcPr>
            <w:tcW w:w="1860" w:type="dxa"/>
            <w:vMerge/>
            <w:shd w:val="clear" w:color="auto" w:fill="auto"/>
          </w:tcPr>
          <w:p w14:paraId="72C58CF0" w14:textId="128E8D68"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1FBCBC3D" w14:textId="05E2E95F"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268E3D1D" w14:textId="3944A715"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fülvérzés, vestibularis neuronitis, fülbetegségek k.m.n.</w:t>
            </w:r>
          </w:p>
        </w:tc>
      </w:tr>
      <w:tr w:rsidR="00A818FE" w:rsidRPr="009E58F7" w14:paraId="34B98319" w14:textId="77777777" w:rsidTr="00E64005">
        <w:tc>
          <w:tcPr>
            <w:tcW w:w="1860" w:type="dxa"/>
            <w:vMerge w:val="restart"/>
            <w:shd w:val="clear" w:color="auto" w:fill="auto"/>
          </w:tcPr>
          <w:p w14:paraId="46DF81AE" w14:textId="77777777" w:rsidR="00A818FE" w:rsidRPr="009E58F7" w:rsidRDefault="00A818FE" w:rsidP="00D7256D">
            <w:pPr>
              <w:pStyle w:val="Nincstrkz"/>
            </w:pPr>
            <w:r w:rsidRPr="009E58F7">
              <w:t>Szívbetegségek és a szívvel kapcsolatos tünetek</w:t>
            </w:r>
          </w:p>
        </w:tc>
        <w:tc>
          <w:tcPr>
            <w:tcW w:w="1547" w:type="dxa"/>
            <w:shd w:val="clear" w:color="auto" w:fill="auto"/>
          </w:tcPr>
          <w:p w14:paraId="077ECABA" w14:textId="6D1FA552"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w:t>
            </w:r>
            <w:r w:rsidRPr="009E58F7">
              <w:rPr>
                <w:color w:val="000000"/>
              </w:rPr>
              <w:t xml:space="preserve"> gyakori</w:t>
            </w:r>
          </w:p>
        </w:tc>
        <w:tc>
          <w:tcPr>
            <w:tcW w:w="6091" w:type="dxa"/>
            <w:shd w:val="clear" w:color="auto" w:fill="auto"/>
          </w:tcPr>
          <w:p w14:paraId="2634053C" w14:textId="72162363" w:rsidR="00A818FE" w:rsidRPr="009E58F7" w:rsidRDefault="00A818FE" w:rsidP="007070F2">
            <w:pPr>
              <w:widowControl w:val="0"/>
              <w:autoSpaceDE w:val="0"/>
              <w:autoSpaceDN w:val="0"/>
              <w:adjustRightInd w:val="0"/>
              <w:spacing w:line="240" w:lineRule="auto"/>
              <w:rPr>
                <w:color w:val="000000"/>
              </w:rPr>
            </w:pPr>
            <w:r w:rsidRPr="009E58F7">
              <w:rPr>
                <w:color w:val="000000"/>
              </w:rPr>
              <w:t>szívtamponád</w:t>
            </w:r>
            <w:r w:rsidRPr="009E58F7">
              <w:rPr>
                <w:color w:val="000000"/>
                <w:vertAlign w:val="superscript"/>
              </w:rPr>
              <w:t>#</w:t>
            </w:r>
            <w:r w:rsidRPr="009E58F7">
              <w:rPr>
                <w:color w:val="000000"/>
              </w:rPr>
              <w:t>, keringés- és légzésleállás*, cardialis fibrillatio (beleértve a pitvarfibrillációt is), szívelégtelenség (beleértve a bal és jobb kamrai szívelégtelenséget is)*, arrhythmia*, tachycardia*, palpitatio, angina pectoris, pericarditis (beleértve a pericardialis folyadékgyülemet)*, cardiomyopathia*, ventricularis dysfunctio*, bradycardia</w:t>
            </w:r>
          </w:p>
        </w:tc>
      </w:tr>
      <w:tr w:rsidR="00A818FE" w:rsidRPr="009E58F7" w14:paraId="13DB14FC" w14:textId="77777777" w:rsidTr="00E64005">
        <w:tc>
          <w:tcPr>
            <w:tcW w:w="1860" w:type="dxa"/>
            <w:vMerge/>
            <w:shd w:val="clear" w:color="auto" w:fill="auto"/>
          </w:tcPr>
          <w:p w14:paraId="4BE727AE"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7DEA10A1"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178CE933" w14:textId="1BB418D2" w:rsidR="00A818FE" w:rsidRPr="009E58F7" w:rsidRDefault="00A818FE" w:rsidP="007070F2">
            <w:pPr>
              <w:widowControl w:val="0"/>
              <w:autoSpaceDE w:val="0"/>
              <w:autoSpaceDN w:val="0"/>
              <w:adjustRightInd w:val="0"/>
              <w:spacing w:line="240" w:lineRule="auto"/>
              <w:rPr>
                <w:color w:val="000000"/>
              </w:rPr>
            </w:pPr>
            <w:r w:rsidRPr="009E58F7">
              <w:rPr>
                <w:color w:val="000000"/>
              </w:rPr>
              <w:t>pitvarlebegés, myocardialis infarctus*, atrioventricularis block*, cardiovascularis betegségek (beleértve a cardiogen shockot), Torsade de pointes, instabil angina, szívbillentyű betegség*, koszorúér-elégtelenség, sinus blokk</w:t>
            </w:r>
          </w:p>
        </w:tc>
      </w:tr>
      <w:tr w:rsidR="00A818FE" w:rsidRPr="009E58F7" w14:paraId="73957997" w14:textId="77777777" w:rsidTr="00E64005">
        <w:tc>
          <w:tcPr>
            <w:tcW w:w="1860" w:type="dxa"/>
            <w:vMerge w:val="restart"/>
            <w:shd w:val="clear" w:color="auto" w:fill="auto"/>
          </w:tcPr>
          <w:p w14:paraId="3EBB503B"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Érbetegségek és tünetek</w:t>
            </w:r>
          </w:p>
          <w:p w14:paraId="56C0B7A6" w14:textId="01FB91C5" w:rsidR="00A818FE" w:rsidRPr="009E58F7" w:rsidRDefault="00A818FE" w:rsidP="007070F2">
            <w:pPr>
              <w:widowControl w:val="0"/>
              <w:overflowPunct w:val="0"/>
              <w:autoSpaceDE w:val="0"/>
              <w:autoSpaceDN w:val="0"/>
              <w:adjustRightInd w:val="0"/>
              <w:spacing w:line="240" w:lineRule="auto"/>
              <w:rPr>
                <w:color w:val="000000"/>
              </w:rPr>
            </w:pPr>
          </w:p>
        </w:tc>
        <w:tc>
          <w:tcPr>
            <w:tcW w:w="1547" w:type="dxa"/>
            <w:shd w:val="clear" w:color="auto" w:fill="auto"/>
          </w:tcPr>
          <w:p w14:paraId="3A524CAC" w14:textId="2B13E25F"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02543582" w14:textId="34E02C02" w:rsidR="00A818FE" w:rsidRPr="009E58F7" w:rsidRDefault="00A818FE" w:rsidP="003D25C3">
            <w:pPr>
              <w:widowControl w:val="0"/>
              <w:overflowPunct w:val="0"/>
              <w:autoSpaceDE w:val="0"/>
              <w:autoSpaceDN w:val="0"/>
              <w:adjustRightInd w:val="0"/>
              <w:spacing w:line="240" w:lineRule="auto"/>
              <w:rPr>
                <w:color w:val="000000"/>
              </w:rPr>
            </w:pPr>
            <w:r w:rsidRPr="009E58F7">
              <w:rPr>
                <w:color w:val="000000"/>
              </w:rPr>
              <w:t>hypotonia*, orthostaticus hypotonia, hypertonia*</w:t>
            </w:r>
          </w:p>
        </w:tc>
      </w:tr>
      <w:tr w:rsidR="00A818FE" w:rsidRPr="009E58F7" w14:paraId="656C5FAE" w14:textId="77777777" w:rsidTr="00E64005">
        <w:tc>
          <w:tcPr>
            <w:tcW w:w="1860" w:type="dxa"/>
            <w:vMerge/>
            <w:shd w:val="clear" w:color="auto" w:fill="auto"/>
          </w:tcPr>
          <w:p w14:paraId="48668CFE" w14:textId="3ACBFD25" w:rsidR="00A818FE" w:rsidRPr="009E58F7" w:rsidRDefault="00A818FE">
            <w:pPr>
              <w:widowControl w:val="0"/>
              <w:overflowPunct w:val="0"/>
              <w:autoSpaceDE w:val="0"/>
              <w:autoSpaceDN w:val="0"/>
              <w:adjustRightInd w:val="0"/>
              <w:spacing w:line="240" w:lineRule="auto"/>
              <w:rPr>
                <w:color w:val="000000"/>
              </w:rPr>
            </w:pPr>
          </w:p>
        </w:tc>
        <w:tc>
          <w:tcPr>
            <w:tcW w:w="1547" w:type="dxa"/>
            <w:shd w:val="clear" w:color="auto" w:fill="auto"/>
          </w:tcPr>
          <w:p w14:paraId="213BD5D9" w14:textId="17051CE0" w:rsidR="00A818FE" w:rsidRPr="009E58F7" w:rsidRDefault="00A818FE">
            <w:pPr>
              <w:widowControl w:val="0"/>
              <w:overflowPunct w:val="0"/>
              <w:autoSpaceDE w:val="0"/>
              <w:autoSpaceDN w:val="0"/>
              <w:adjustRightInd w:val="0"/>
              <w:spacing w:line="240" w:lineRule="auto"/>
              <w:rPr>
                <w:color w:val="000000"/>
              </w:rPr>
            </w:pPr>
            <w:r w:rsidRPr="009E58F7">
              <w:rPr>
                <w:iCs/>
                <w:color w:val="000000"/>
              </w:rPr>
              <w:t>Nem</w:t>
            </w:r>
            <w:r w:rsidRPr="009E58F7">
              <w:rPr>
                <w:color w:val="000000"/>
              </w:rPr>
              <w:t xml:space="preserve"> gyakori</w:t>
            </w:r>
          </w:p>
        </w:tc>
        <w:tc>
          <w:tcPr>
            <w:tcW w:w="6091" w:type="dxa"/>
            <w:shd w:val="clear" w:color="auto" w:fill="auto"/>
          </w:tcPr>
          <w:p w14:paraId="0F87BD0D" w14:textId="3F49BB71" w:rsidR="00A818FE" w:rsidRPr="009E58F7" w:rsidRDefault="00A818FE">
            <w:pPr>
              <w:widowControl w:val="0"/>
              <w:autoSpaceDE w:val="0"/>
              <w:autoSpaceDN w:val="0"/>
              <w:adjustRightInd w:val="0"/>
              <w:spacing w:line="240" w:lineRule="auto"/>
              <w:rPr>
                <w:color w:val="000000"/>
              </w:rPr>
            </w:pPr>
            <w:r w:rsidRPr="009E58F7">
              <w:rPr>
                <w:color w:val="000000"/>
              </w:rPr>
              <w:t>cerebrovascularis történés</w:t>
            </w:r>
            <w:r w:rsidRPr="009E58F7">
              <w:rPr>
                <w:color w:val="000000"/>
                <w:vertAlign w:val="superscript"/>
              </w:rPr>
              <w:t>#</w:t>
            </w:r>
            <w:r w:rsidRPr="009E58F7">
              <w:rPr>
                <w:color w:val="000000"/>
              </w:rPr>
              <w:t>, mélyvénás thrombosis*, haemorrhagia*, thrombophlebitis (beleértve: felületes), keringés</w:t>
            </w:r>
            <w:r w:rsidR="00091B1A">
              <w:rPr>
                <w:color w:val="000000"/>
              </w:rPr>
              <w:t>-</w:t>
            </w:r>
            <w:r w:rsidRPr="009E58F7">
              <w:rPr>
                <w:color w:val="000000"/>
              </w:rPr>
              <w:t>összeomlás (beleértve: hypovolaemiás shock), phlebitis, kipirulás*, haematoma (beleértve a perirenalis haematomát is)*, gyenge perifériás keringés*, vasculitis, hyperaemia (beleértve: ocularis is)*</w:t>
            </w:r>
          </w:p>
        </w:tc>
      </w:tr>
      <w:tr w:rsidR="00A818FE" w:rsidRPr="009E58F7" w14:paraId="7BB79183" w14:textId="77777777" w:rsidTr="00E64005">
        <w:tc>
          <w:tcPr>
            <w:tcW w:w="1860" w:type="dxa"/>
            <w:vMerge/>
            <w:shd w:val="clear" w:color="auto" w:fill="auto"/>
          </w:tcPr>
          <w:p w14:paraId="099F8CC0"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48E762DD"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Ritka</w:t>
            </w:r>
          </w:p>
        </w:tc>
        <w:tc>
          <w:tcPr>
            <w:tcW w:w="6091" w:type="dxa"/>
            <w:shd w:val="clear" w:color="auto" w:fill="auto"/>
          </w:tcPr>
          <w:p w14:paraId="6FC88C34" w14:textId="0AA8BEC9" w:rsidR="00A818FE" w:rsidRPr="009E58F7" w:rsidRDefault="00A818FE" w:rsidP="007070F2">
            <w:pPr>
              <w:widowControl w:val="0"/>
              <w:autoSpaceDE w:val="0"/>
              <w:autoSpaceDN w:val="0"/>
              <w:adjustRightInd w:val="0"/>
              <w:spacing w:line="240" w:lineRule="auto"/>
              <w:rPr>
                <w:color w:val="000000"/>
              </w:rPr>
            </w:pPr>
            <w:r w:rsidRPr="009E58F7">
              <w:rPr>
                <w:color w:val="000000"/>
              </w:rPr>
              <w:t>perifériás embolia, lymphoedema, sápadtság, erythromelalgia, vasodilatatio, vénaelszíneződés, vénás elégtelenség</w:t>
            </w:r>
          </w:p>
        </w:tc>
      </w:tr>
      <w:tr w:rsidR="004D6470" w:rsidRPr="009E58F7" w14:paraId="311ED11E" w14:textId="77777777" w:rsidTr="00E64005">
        <w:tc>
          <w:tcPr>
            <w:tcW w:w="1860" w:type="dxa"/>
            <w:vMerge w:val="restart"/>
            <w:shd w:val="clear" w:color="auto" w:fill="auto"/>
          </w:tcPr>
          <w:p w14:paraId="4C563AB6" w14:textId="4617EC9F" w:rsidR="004D6470" w:rsidRPr="009E58F7" w:rsidRDefault="004D6470" w:rsidP="00D7256D">
            <w:pPr>
              <w:widowControl w:val="0"/>
              <w:autoSpaceDE w:val="0"/>
              <w:autoSpaceDN w:val="0"/>
              <w:adjustRightInd w:val="0"/>
              <w:spacing w:line="240" w:lineRule="auto"/>
            </w:pPr>
            <w:r w:rsidRPr="009E58F7">
              <w:rPr>
                <w:color w:val="000000"/>
              </w:rPr>
              <w:t>Légzőrendszeri, mellkasi és mediastinalis betegségek és tünetek</w:t>
            </w:r>
          </w:p>
        </w:tc>
        <w:tc>
          <w:tcPr>
            <w:tcW w:w="1547" w:type="dxa"/>
            <w:shd w:val="clear" w:color="auto" w:fill="auto"/>
          </w:tcPr>
          <w:p w14:paraId="23173627" w14:textId="1EDD5B84" w:rsidR="004D6470" w:rsidRPr="009E58F7" w:rsidRDefault="00963EB8" w:rsidP="007070F2">
            <w:pPr>
              <w:widowControl w:val="0"/>
              <w:overflowPunct w:val="0"/>
              <w:autoSpaceDE w:val="0"/>
              <w:autoSpaceDN w:val="0"/>
              <w:adjustRightInd w:val="0"/>
              <w:spacing w:line="240" w:lineRule="auto"/>
              <w:rPr>
                <w:color w:val="000000"/>
              </w:rPr>
            </w:pPr>
            <w:r w:rsidRPr="009E58F7">
              <w:rPr>
                <w:iCs/>
                <w:color w:val="000000"/>
              </w:rPr>
              <w:t>G</w:t>
            </w:r>
            <w:r w:rsidR="004D6470" w:rsidRPr="009E58F7">
              <w:rPr>
                <w:iCs/>
                <w:color w:val="000000"/>
              </w:rPr>
              <w:t>yakori</w:t>
            </w:r>
          </w:p>
        </w:tc>
        <w:tc>
          <w:tcPr>
            <w:tcW w:w="6091" w:type="dxa"/>
            <w:shd w:val="clear" w:color="auto" w:fill="auto"/>
          </w:tcPr>
          <w:p w14:paraId="4C854E6F" w14:textId="2D0CA2EF" w:rsidR="004D6470" w:rsidRPr="009E58F7" w:rsidRDefault="004D6470" w:rsidP="007070F2">
            <w:pPr>
              <w:widowControl w:val="0"/>
              <w:overflowPunct w:val="0"/>
              <w:autoSpaceDE w:val="0"/>
              <w:autoSpaceDN w:val="0"/>
              <w:adjustRightInd w:val="0"/>
              <w:spacing w:line="240" w:lineRule="auto"/>
              <w:rPr>
                <w:color w:val="000000"/>
              </w:rPr>
            </w:pPr>
            <w:r w:rsidRPr="009E58F7">
              <w:rPr>
                <w:color w:val="000000"/>
              </w:rPr>
              <w:t>dyspnoe*, epistaxis, felső/alsó légúti fertőzés*, köhögés*</w:t>
            </w:r>
          </w:p>
        </w:tc>
      </w:tr>
      <w:tr w:rsidR="004D6470" w:rsidRPr="009E58F7" w14:paraId="0E8101D3" w14:textId="77777777" w:rsidTr="00E64005">
        <w:tc>
          <w:tcPr>
            <w:tcW w:w="1860" w:type="dxa"/>
            <w:vMerge/>
            <w:shd w:val="clear" w:color="auto" w:fill="auto"/>
          </w:tcPr>
          <w:p w14:paraId="064928BE" w14:textId="77777777" w:rsidR="004D6470" w:rsidRPr="009E58F7" w:rsidRDefault="004D6470">
            <w:pPr>
              <w:widowControl w:val="0"/>
              <w:overflowPunct w:val="0"/>
              <w:autoSpaceDE w:val="0"/>
              <w:autoSpaceDN w:val="0"/>
              <w:adjustRightInd w:val="0"/>
              <w:spacing w:line="240" w:lineRule="auto"/>
              <w:rPr>
                <w:color w:val="000000"/>
              </w:rPr>
            </w:pPr>
          </w:p>
        </w:tc>
        <w:tc>
          <w:tcPr>
            <w:tcW w:w="1547" w:type="dxa"/>
            <w:shd w:val="clear" w:color="auto" w:fill="auto"/>
          </w:tcPr>
          <w:p w14:paraId="3FACC762" w14:textId="58D36558" w:rsidR="004D6470" w:rsidRPr="009E58F7" w:rsidRDefault="00963EB8">
            <w:pPr>
              <w:widowControl w:val="0"/>
              <w:overflowPunct w:val="0"/>
              <w:autoSpaceDE w:val="0"/>
              <w:autoSpaceDN w:val="0"/>
              <w:adjustRightInd w:val="0"/>
              <w:spacing w:line="240" w:lineRule="auto"/>
              <w:rPr>
                <w:color w:val="000000"/>
              </w:rPr>
            </w:pPr>
            <w:r w:rsidRPr="009E58F7">
              <w:rPr>
                <w:iCs/>
                <w:color w:val="000000"/>
              </w:rPr>
              <w:t>N</w:t>
            </w:r>
            <w:r w:rsidR="004D6470" w:rsidRPr="009E58F7">
              <w:rPr>
                <w:iCs/>
                <w:color w:val="000000"/>
              </w:rPr>
              <w:t>em</w:t>
            </w:r>
            <w:r w:rsidR="004D6470" w:rsidRPr="009E58F7">
              <w:rPr>
                <w:color w:val="000000"/>
              </w:rPr>
              <w:t xml:space="preserve"> gyakori</w:t>
            </w:r>
          </w:p>
        </w:tc>
        <w:tc>
          <w:tcPr>
            <w:tcW w:w="6091" w:type="dxa"/>
            <w:shd w:val="clear" w:color="auto" w:fill="auto"/>
          </w:tcPr>
          <w:p w14:paraId="6269C394" w14:textId="06ABEB9B" w:rsidR="004D6470" w:rsidRPr="009E58F7" w:rsidRDefault="004D6470">
            <w:pPr>
              <w:widowControl w:val="0"/>
              <w:autoSpaceDE w:val="0"/>
              <w:autoSpaceDN w:val="0"/>
              <w:adjustRightInd w:val="0"/>
              <w:spacing w:line="240" w:lineRule="auto"/>
              <w:rPr>
                <w:color w:val="000000"/>
              </w:rPr>
            </w:pPr>
            <w:r w:rsidRPr="009E58F7">
              <w:rPr>
                <w:color w:val="000000"/>
              </w:rPr>
              <w:t>tüdőembólia, pleuralis folyadékgyülem, tüdőödéma (beleértve az akut formát is), pulmonalis alveolaris vérzés</w:t>
            </w:r>
            <w:r w:rsidRPr="009E58F7">
              <w:rPr>
                <w:color w:val="000000"/>
                <w:vertAlign w:val="superscript"/>
              </w:rPr>
              <w:t>#</w:t>
            </w:r>
            <w:r w:rsidRPr="009E58F7">
              <w:rPr>
                <w:color w:val="000000"/>
              </w:rPr>
              <w:t xml:space="preserve">, bronchospasmus, krónikus obstruktív tüdőbetegség*, hypoxaemia*, légúti pangás*, hypoxia, pleuritis*, csuklás, rhinorrhoea, dysphonia, </w:t>
            </w:r>
            <w:r w:rsidR="00CF6896">
              <w:rPr>
                <w:color w:val="000000"/>
              </w:rPr>
              <w:t>zihálás</w:t>
            </w:r>
          </w:p>
        </w:tc>
      </w:tr>
      <w:tr w:rsidR="004D6470" w:rsidRPr="009E58F7" w14:paraId="2545CFD2" w14:textId="77777777" w:rsidTr="00E64005">
        <w:tc>
          <w:tcPr>
            <w:tcW w:w="1860" w:type="dxa"/>
            <w:vMerge/>
            <w:shd w:val="clear" w:color="auto" w:fill="auto"/>
          </w:tcPr>
          <w:p w14:paraId="062FB533" w14:textId="77777777" w:rsidR="004D6470" w:rsidRPr="009E58F7" w:rsidRDefault="004D6470">
            <w:pPr>
              <w:widowControl w:val="0"/>
              <w:overflowPunct w:val="0"/>
              <w:autoSpaceDE w:val="0"/>
              <w:autoSpaceDN w:val="0"/>
              <w:adjustRightInd w:val="0"/>
              <w:spacing w:line="240" w:lineRule="auto"/>
              <w:rPr>
                <w:color w:val="000000"/>
              </w:rPr>
            </w:pPr>
          </w:p>
        </w:tc>
        <w:tc>
          <w:tcPr>
            <w:tcW w:w="1547" w:type="dxa"/>
            <w:shd w:val="clear" w:color="auto" w:fill="auto"/>
          </w:tcPr>
          <w:p w14:paraId="6F472C2F" w14:textId="77777777" w:rsidR="004D6470" w:rsidRPr="009E58F7" w:rsidRDefault="00963EB8">
            <w:pPr>
              <w:widowControl w:val="0"/>
              <w:overflowPunct w:val="0"/>
              <w:autoSpaceDE w:val="0"/>
              <w:autoSpaceDN w:val="0"/>
              <w:adjustRightInd w:val="0"/>
              <w:spacing w:line="240" w:lineRule="auto"/>
              <w:rPr>
                <w:color w:val="000000"/>
              </w:rPr>
            </w:pPr>
            <w:r w:rsidRPr="009E58F7">
              <w:rPr>
                <w:color w:val="000000"/>
              </w:rPr>
              <w:t>R</w:t>
            </w:r>
            <w:r w:rsidR="004D6470" w:rsidRPr="009E58F7">
              <w:rPr>
                <w:color w:val="000000"/>
              </w:rPr>
              <w:t>itka</w:t>
            </w:r>
          </w:p>
        </w:tc>
        <w:tc>
          <w:tcPr>
            <w:tcW w:w="6091" w:type="dxa"/>
            <w:shd w:val="clear" w:color="auto" w:fill="auto"/>
          </w:tcPr>
          <w:p w14:paraId="1876EBEE" w14:textId="21A49E43" w:rsidR="004D6470" w:rsidRPr="009E58F7" w:rsidRDefault="004D6470">
            <w:pPr>
              <w:widowControl w:val="0"/>
              <w:autoSpaceDE w:val="0"/>
              <w:autoSpaceDN w:val="0"/>
              <w:adjustRightInd w:val="0"/>
              <w:spacing w:line="240" w:lineRule="auto"/>
              <w:rPr>
                <w:color w:val="000000"/>
              </w:rPr>
            </w:pPr>
            <w:r w:rsidRPr="009E58F7">
              <w:rPr>
                <w:color w:val="000000"/>
              </w:rPr>
              <w:t>légzési elégtelenség, akut respiratoricus distress szindróma (ARDS), apnoe, pneumothorax, atelectasia, pulmonalis hypertonia, haemoptysis, hyperventilatio, orthopnoe, pneumonitis, respiratorikus alkalosis, tachypnoe, pulmonalis fibrosis, bronchialis betegségek*, hypocapnia*, intersticiális tüdőbetegség, infiltratív tüdőbetegség, szorító</w:t>
            </w:r>
            <w:r w:rsidR="00CF6896">
              <w:rPr>
                <w:color w:val="000000"/>
              </w:rPr>
              <w:t xml:space="preserve"> </w:t>
            </w:r>
            <w:r w:rsidRPr="009E58F7">
              <w:rPr>
                <w:color w:val="000000"/>
              </w:rPr>
              <w:t>érzés a torokban, torokszárazság, fokozott felső légúti szekréció, torokirritáció, felső légúti köhögés szindróma</w:t>
            </w:r>
          </w:p>
        </w:tc>
      </w:tr>
      <w:tr w:rsidR="00A74B21" w:rsidRPr="009E58F7" w14:paraId="399C36A0" w14:textId="7BC9C65C" w:rsidTr="00E64005">
        <w:tc>
          <w:tcPr>
            <w:tcW w:w="1860" w:type="dxa"/>
            <w:vMerge w:val="restart"/>
            <w:shd w:val="clear" w:color="auto" w:fill="auto"/>
          </w:tcPr>
          <w:p w14:paraId="02427446" w14:textId="683E0D72" w:rsidR="00A74B21" w:rsidRPr="009E58F7" w:rsidRDefault="00A74B21" w:rsidP="00D7256D">
            <w:pPr>
              <w:widowControl w:val="0"/>
              <w:autoSpaceDE w:val="0"/>
              <w:autoSpaceDN w:val="0"/>
              <w:adjustRightInd w:val="0"/>
              <w:spacing w:line="240" w:lineRule="auto"/>
              <w:rPr>
                <w:color w:val="000000"/>
              </w:rPr>
            </w:pPr>
            <w:bookmarkStart w:id="26" w:name="page50"/>
            <w:bookmarkEnd w:id="26"/>
            <w:r w:rsidRPr="009E58F7">
              <w:rPr>
                <w:color w:val="000000"/>
              </w:rPr>
              <w:t>Emésztőrendszeri betegségek és tünetek</w:t>
            </w:r>
          </w:p>
        </w:tc>
        <w:tc>
          <w:tcPr>
            <w:tcW w:w="1547" w:type="dxa"/>
            <w:shd w:val="clear" w:color="auto" w:fill="auto"/>
          </w:tcPr>
          <w:p w14:paraId="4A7351C2" w14:textId="77777777" w:rsidR="00A74B21" w:rsidRPr="009E58F7" w:rsidRDefault="00A74B21" w:rsidP="007070F2">
            <w:pPr>
              <w:widowControl w:val="0"/>
              <w:overflowPunct w:val="0"/>
              <w:autoSpaceDE w:val="0"/>
              <w:autoSpaceDN w:val="0"/>
              <w:adjustRightInd w:val="0"/>
              <w:spacing w:line="240" w:lineRule="auto"/>
              <w:rPr>
                <w:color w:val="000000"/>
              </w:rPr>
            </w:pPr>
            <w:r w:rsidRPr="009E58F7">
              <w:rPr>
                <w:iCs/>
                <w:color w:val="000000"/>
              </w:rPr>
              <w:t xml:space="preserve">Nagyon </w:t>
            </w:r>
            <w:r w:rsidRPr="009E58F7">
              <w:rPr>
                <w:color w:val="000000"/>
              </w:rPr>
              <w:t>gyakori</w:t>
            </w:r>
          </w:p>
        </w:tc>
        <w:tc>
          <w:tcPr>
            <w:tcW w:w="6091" w:type="dxa"/>
            <w:shd w:val="clear" w:color="auto" w:fill="auto"/>
          </w:tcPr>
          <w:p w14:paraId="45145F63" w14:textId="2F96B451" w:rsidR="00A74B21" w:rsidRPr="009E58F7" w:rsidRDefault="00A74B21" w:rsidP="007070F2">
            <w:pPr>
              <w:widowControl w:val="0"/>
              <w:overflowPunct w:val="0"/>
              <w:autoSpaceDE w:val="0"/>
              <w:autoSpaceDN w:val="0"/>
              <w:adjustRightInd w:val="0"/>
              <w:spacing w:line="240" w:lineRule="auto"/>
              <w:rPr>
                <w:color w:val="000000"/>
              </w:rPr>
            </w:pPr>
            <w:r w:rsidRPr="009E58F7">
              <w:rPr>
                <w:color w:val="000000"/>
              </w:rPr>
              <w:t>hányinger és hányás tünetei*, hasmenés*, constipatio</w:t>
            </w:r>
          </w:p>
        </w:tc>
      </w:tr>
      <w:tr w:rsidR="00A74B21" w:rsidRPr="009E58F7" w14:paraId="641592B2" w14:textId="1C588F8C" w:rsidTr="00E64005">
        <w:tc>
          <w:tcPr>
            <w:tcW w:w="1860" w:type="dxa"/>
            <w:vMerge/>
            <w:shd w:val="clear" w:color="auto" w:fill="auto"/>
          </w:tcPr>
          <w:p w14:paraId="38E873EA" w14:textId="77777777" w:rsidR="00A74B21" w:rsidRPr="009E58F7" w:rsidRDefault="00A74B21">
            <w:pPr>
              <w:widowControl w:val="0"/>
              <w:overflowPunct w:val="0"/>
              <w:autoSpaceDE w:val="0"/>
              <w:autoSpaceDN w:val="0"/>
              <w:adjustRightInd w:val="0"/>
              <w:spacing w:line="240" w:lineRule="auto"/>
              <w:rPr>
                <w:color w:val="000000"/>
              </w:rPr>
            </w:pPr>
          </w:p>
        </w:tc>
        <w:tc>
          <w:tcPr>
            <w:tcW w:w="1547" w:type="dxa"/>
            <w:shd w:val="clear" w:color="auto" w:fill="auto"/>
          </w:tcPr>
          <w:p w14:paraId="48B39F0A" w14:textId="02F4D08E" w:rsidR="00A74B21" w:rsidRPr="009E58F7" w:rsidRDefault="00A74B21">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2DE923F7" w14:textId="422E6DF4" w:rsidR="00A74B21" w:rsidRPr="009E58F7" w:rsidRDefault="00A74B21">
            <w:pPr>
              <w:widowControl w:val="0"/>
              <w:autoSpaceDE w:val="0"/>
              <w:autoSpaceDN w:val="0"/>
              <w:adjustRightInd w:val="0"/>
              <w:spacing w:line="240" w:lineRule="auto"/>
              <w:rPr>
                <w:color w:val="000000"/>
              </w:rPr>
            </w:pPr>
            <w:r w:rsidRPr="009E58F7">
              <w:rPr>
                <w:color w:val="000000"/>
              </w:rPr>
              <w:t>gastrointestinalis vérzés (beleértve: mucosalis)*, dyspepsia, stomatitis*, abdominalis distensio, oropharyngealis fájdalom*, abdominalis fájdalom (beleértve: gastrointestinalis- és lépfájdalom)*, szájbetegségek*, flatulencia</w:t>
            </w:r>
          </w:p>
        </w:tc>
      </w:tr>
      <w:tr w:rsidR="00A74B21" w:rsidRPr="009E58F7" w14:paraId="6A444FAA" w14:textId="50C2B6B9" w:rsidTr="00E64005">
        <w:tc>
          <w:tcPr>
            <w:tcW w:w="1860" w:type="dxa"/>
            <w:vMerge/>
            <w:shd w:val="clear" w:color="auto" w:fill="auto"/>
          </w:tcPr>
          <w:p w14:paraId="2AA999F2" w14:textId="77777777" w:rsidR="00A74B21" w:rsidRPr="009E58F7" w:rsidRDefault="00A74B21">
            <w:pPr>
              <w:widowControl w:val="0"/>
              <w:overflowPunct w:val="0"/>
              <w:autoSpaceDE w:val="0"/>
              <w:autoSpaceDN w:val="0"/>
              <w:adjustRightInd w:val="0"/>
              <w:spacing w:line="240" w:lineRule="auto"/>
              <w:rPr>
                <w:color w:val="000000"/>
              </w:rPr>
            </w:pPr>
          </w:p>
        </w:tc>
        <w:tc>
          <w:tcPr>
            <w:tcW w:w="1547" w:type="dxa"/>
            <w:shd w:val="clear" w:color="auto" w:fill="auto"/>
          </w:tcPr>
          <w:p w14:paraId="4783A63D" w14:textId="77777777" w:rsidR="00A74B21" w:rsidRPr="009E58F7" w:rsidRDefault="00A74B21">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208D5D63" w14:textId="3A28C409" w:rsidR="00A74B21" w:rsidRPr="009E58F7" w:rsidRDefault="00A74B21">
            <w:pPr>
              <w:widowControl w:val="0"/>
              <w:autoSpaceDE w:val="0"/>
              <w:autoSpaceDN w:val="0"/>
              <w:adjustRightInd w:val="0"/>
              <w:spacing w:line="240" w:lineRule="auto"/>
              <w:rPr>
                <w:color w:val="000000"/>
              </w:rPr>
            </w:pPr>
            <w:r w:rsidRPr="009E58F7">
              <w:rPr>
                <w:color w:val="000000"/>
              </w:rPr>
              <w:t>pancreatitis (beleértve: a krónikus pancreatitist is)*, haematemesis, ajaködéma*, gastrointestinalis obstructio (beleértve a vékonybél</w:t>
            </w:r>
            <w:r w:rsidR="00CF6896">
              <w:rPr>
                <w:color w:val="000000"/>
              </w:rPr>
              <w:t>-</w:t>
            </w:r>
            <w:r w:rsidRPr="009E58F7">
              <w:rPr>
                <w:color w:val="000000"/>
              </w:rPr>
              <w:t>obstructiot és az ileust)*, abdominalis dis</w:t>
            </w:r>
            <w:r w:rsidR="00CF6896">
              <w:rPr>
                <w:color w:val="000000"/>
              </w:rPr>
              <w:t>zk</w:t>
            </w:r>
            <w:r w:rsidRPr="009E58F7">
              <w:rPr>
                <w:color w:val="000000"/>
              </w:rPr>
              <w:t>omfortérzés, szájnyálkahártya</w:t>
            </w:r>
            <w:r w:rsidR="00CF6896">
              <w:rPr>
                <w:color w:val="000000"/>
              </w:rPr>
              <w:t>-</w:t>
            </w:r>
            <w:r w:rsidRPr="009E58F7">
              <w:rPr>
                <w:color w:val="000000"/>
              </w:rPr>
              <w:t xml:space="preserve">fekélyek*, enteritis*, gastritis*, fogínyvérzés, gastrooesophagealis refluxbetegség*, colitis (beleértve a </w:t>
            </w:r>
            <w:r w:rsidRPr="009E58F7">
              <w:rPr>
                <w:i/>
                <w:iCs/>
                <w:color w:val="000000"/>
              </w:rPr>
              <w:t>Clostridium difficile</w:t>
            </w:r>
            <w:r w:rsidRPr="009E58F7">
              <w:rPr>
                <w:color w:val="000000"/>
              </w:rPr>
              <w:t xml:space="preserve"> fertőzést)*, ischaemiás colitis</w:t>
            </w:r>
            <w:r w:rsidRPr="009E58F7">
              <w:rPr>
                <w:color w:val="000000"/>
                <w:vertAlign w:val="superscript"/>
              </w:rPr>
              <w:t>#</w:t>
            </w:r>
            <w:r w:rsidRPr="009E58F7">
              <w:rPr>
                <w:color w:val="000000"/>
              </w:rPr>
              <w:t xml:space="preserve">, gastrointestinalis gyulladás*, dysphagia, irritábilis bélszindróma, gastrointestinalis betegség k.m.n, bevont nyelv, </w:t>
            </w:r>
            <w:r w:rsidRPr="009E58F7">
              <w:rPr>
                <w:color w:val="000000"/>
              </w:rPr>
              <w:lastRenderedPageBreak/>
              <w:t>gastrointestinalis motilitás zavara*, nyálmirigyek betegsége*</w:t>
            </w:r>
          </w:p>
        </w:tc>
      </w:tr>
      <w:tr w:rsidR="00A74B21" w:rsidRPr="009E58F7" w14:paraId="08A7F361" w14:textId="765C72D7" w:rsidTr="00E64005">
        <w:tc>
          <w:tcPr>
            <w:tcW w:w="1860" w:type="dxa"/>
            <w:vMerge/>
            <w:shd w:val="clear" w:color="auto" w:fill="auto"/>
          </w:tcPr>
          <w:p w14:paraId="59B12F82" w14:textId="77777777" w:rsidR="00A74B21" w:rsidRPr="009E58F7" w:rsidRDefault="00A74B21">
            <w:pPr>
              <w:widowControl w:val="0"/>
              <w:overflowPunct w:val="0"/>
              <w:autoSpaceDE w:val="0"/>
              <w:autoSpaceDN w:val="0"/>
              <w:adjustRightInd w:val="0"/>
              <w:spacing w:line="240" w:lineRule="auto"/>
              <w:rPr>
                <w:color w:val="000000"/>
              </w:rPr>
            </w:pPr>
          </w:p>
        </w:tc>
        <w:tc>
          <w:tcPr>
            <w:tcW w:w="1547" w:type="dxa"/>
            <w:shd w:val="clear" w:color="auto" w:fill="auto"/>
          </w:tcPr>
          <w:p w14:paraId="7D7866A3" w14:textId="77777777" w:rsidR="00A74B21" w:rsidRPr="009E58F7" w:rsidRDefault="00A74B21">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0F06884F" w14:textId="0878FABF" w:rsidR="00A74B21" w:rsidRPr="009E58F7" w:rsidRDefault="00A74B21">
            <w:pPr>
              <w:widowControl w:val="0"/>
              <w:autoSpaceDE w:val="0"/>
              <w:autoSpaceDN w:val="0"/>
              <w:adjustRightInd w:val="0"/>
              <w:spacing w:line="240" w:lineRule="auto"/>
              <w:rPr>
                <w:color w:val="000000"/>
              </w:rPr>
            </w:pPr>
            <w:r w:rsidRPr="009E58F7">
              <w:rPr>
                <w:color w:val="000000"/>
              </w:rPr>
              <w:t>akut pancreatitis, peritonitis*, nyelvödéma*, ascites, oesophagitis, cheilitis, széklet inkontinencia, tónustalan anális záróizom, faecaloma*, gastrointestinalis fekély perforatio*, gingiva hypertrophia, megacolon, rectalis váladékozás, oropharyngealis hólyagok*, aj</w:t>
            </w:r>
            <w:r w:rsidR="00CF6896">
              <w:rPr>
                <w:color w:val="000000"/>
              </w:rPr>
              <w:t>ak</w:t>
            </w:r>
            <w:r w:rsidRPr="009E58F7">
              <w:rPr>
                <w:color w:val="000000"/>
              </w:rPr>
              <w:t>fájdal</w:t>
            </w:r>
            <w:r w:rsidR="00CF6896">
              <w:rPr>
                <w:color w:val="000000"/>
              </w:rPr>
              <w:t>o</w:t>
            </w:r>
            <w:r w:rsidRPr="009E58F7">
              <w:rPr>
                <w:color w:val="000000"/>
              </w:rPr>
              <w:t>m, periodontitis, anális fissura, székelési szokások megváltozása, proctalgia, rendellenes széklet</w:t>
            </w:r>
          </w:p>
        </w:tc>
      </w:tr>
      <w:tr w:rsidR="00A818FE" w:rsidRPr="009E58F7" w14:paraId="420E9657" w14:textId="06FC9FA2" w:rsidTr="00E64005">
        <w:tc>
          <w:tcPr>
            <w:tcW w:w="1860" w:type="dxa"/>
            <w:vMerge w:val="restart"/>
            <w:shd w:val="clear" w:color="auto" w:fill="auto"/>
          </w:tcPr>
          <w:p w14:paraId="2E3077F4"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Máj- és epebetegségek, illetve tünetek</w:t>
            </w:r>
          </w:p>
        </w:tc>
        <w:tc>
          <w:tcPr>
            <w:tcW w:w="1547" w:type="dxa"/>
            <w:shd w:val="clear" w:color="auto" w:fill="auto"/>
          </w:tcPr>
          <w:p w14:paraId="14768976"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228421BA"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kóros májemzimértékek*</w:t>
            </w:r>
          </w:p>
        </w:tc>
      </w:tr>
      <w:tr w:rsidR="00A818FE" w:rsidRPr="009E58F7" w14:paraId="3E73677E" w14:textId="03EDD6D4" w:rsidTr="00E64005">
        <w:tc>
          <w:tcPr>
            <w:tcW w:w="1860" w:type="dxa"/>
            <w:vMerge/>
            <w:shd w:val="clear" w:color="auto" w:fill="auto"/>
          </w:tcPr>
          <w:p w14:paraId="44AA632B" w14:textId="77777777" w:rsidR="00A818FE" w:rsidRPr="009E58F7" w:rsidRDefault="00A818FE" w:rsidP="00D7256D">
            <w:pPr>
              <w:widowControl w:val="0"/>
              <w:autoSpaceDE w:val="0"/>
              <w:autoSpaceDN w:val="0"/>
              <w:adjustRightInd w:val="0"/>
              <w:spacing w:line="240" w:lineRule="auto"/>
              <w:ind w:left="80"/>
              <w:rPr>
                <w:color w:val="000000"/>
              </w:rPr>
            </w:pPr>
          </w:p>
        </w:tc>
        <w:tc>
          <w:tcPr>
            <w:tcW w:w="1547" w:type="dxa"/>
            <w:shd w:val="clear" w:color="auto" w:fill="auto"/>
          </w:tcPr>
          <w:p w14:paraId="57AB411C" w14:textId="6EA55AA1"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5FEDBCDE" w14:textId="45836BFE"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hepatotoxicitás (beleértve a májbetegségeket), hepatitis*, cholestasis</w:t>
            </w:r>
          </w:p>
        </w:tc>
      </w:tr>
      <w:tr w:rsidR="00A818FE" w:rsidRPr="009E58F7" w14:paraId="4967C2DC" w14:textId="3676D048" w:rsidTr="00E64005">
        <w:tc>
          <w:tcPr>
            <w:tcW w:w="1860" w:type="dxa"/>
            <w:vMerge/>
            <w:shd w:val="clear" w:color="auto" w:fill="auto"/>
          </w:tcPr>
          <w:p w14:paraId="6C561441"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3D53E664"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56BA7001" w14:textId="182D4C7F" w:rsidR="00A818FE" w:rsidRPr="009E58F7" w:rsidRDefault="00A818FE" w:rsidP="007070F2">
            <w:pPr>
              <w:widowControl w:val="0"/>
              <w:autoSpaceDE w:val="0"/>
              <w:autoSpaceDN w:val="0"/>
              <w:adjustRightInd w:val="0"/>
              <w:spacing w:line="240" w:lineRule="auto"/>
              <w:rPr>
                <w:color w:val="000000"/>
              </w:rPr>
            </w:pPr>
            <w:r w:rsidRPr="009E58F7">
              <w:rPr>
                <w:color w:val="000000"/>
              </w:rPr>
              <w:t>májelégtelenség, hepatomegalia, Budd</w:t>
            </w:r>
            <w:r w:rsidR="00CF6896">
              <w:rPr>
                <w:color w:val="000000"/>
              </w:rPr>
              <w:t>–</w:t>
            </w:r>
            <w:r w:rsidRPr="009E58F7">
              <w:rPr>
                <w:color w:val="000000"/>
              </w:rPr>
              <w:t>Chiari</w:t>
            </w:r>
            <w:r w:rsidR="00CF6896">
              <w:rPr>
                <w:color w:val="000000"/>
              </w:rPr>
              <w:t>-</w:t>
            </w:r>
            <w:r w:rsidRPr="009E58F7">
              <w:rPr>
                <w:color w:val="000000"/>
              </w:rPr>
              <w:t>szindróma, citomegalovírus hepatitis, hepatikus haemorrhagia, cholelithiasis</w:t>
            </w:r>
          </w:p>
        </w:tc>
      </w:tr>
      <w:tr w:rsidR="00A818FE" w:rsidRPr="009E58F7" w14:paraId="38D19008" w14:textId="1A84FD47" w:rsidTr="00E64005">
        <w:tc>
          <w:tcPr>
            <w:tcW w:w="1860" w:type="dxa"/>
            <w:vMerge w:val="restart"/>
            <w:shd w:val="clear" w:color="auto" w:fill="auto"/>
          </w:tcPr>
          <w:p w14:paraId="2CAB4C5D" w14:textId="77777777" w:rsidR="00A818FE" w:rsidRPr="009E58F7" w:rsidRDefault="00A818FE" w:rsidP="00D7256D">
            <w:pPr>
              <w:widowControl w:val="0"/>
              <w:overflowPunct w:val="0"/>
              <w:autoSpaceDE w:val="0"/>
              <w:autoSpaceDN w:val="0"/>
              <w:adjustRightInd w:val="0"/>
              <w:spacing w:line="240" w:lineRule="auto"/>
              <w:rPr>
                <w:color w:val="000000"/>
              </w:rPr>
            </w:pPr>
            <w:r w:rsidRPr="009E58F7">
              <w:rPr>
                <w:color w:val="000000"/>
              </w:rPr>
              <w:t>A bőr és a bőr alatti szövetek betegségei és tünetei</w:t>
            </w:r>
          </w:p>
        </w:tc>
        <w:tc>
          <w:tcPr>
            <w:tcW w:w="1547" w:type="dxa"/>
            <w:shd w:val="clear" w:color="auto" w:fill="auto"/>
          </w:tcPr>
          <w:p w14:paraId="429D487A"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26F24F1B"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bőrkiütés*, pruritus*, erythema, száraz bőr</w:t>
            </w:r>
          </w:p>
        </w:tc>
      </w:tr>
      <w:tr w:rsidR="00A818FE" w:rsidRPr="009E58F7" w14:paraId="555BF8C9" w14:textId="64C548F7" w:rsidTr="00E64005">
        <w:tc>
          <w:tcPr>
            <w:tcW w:w="1860" w:type="dxa"/>
            <w:vMerge/>
            <w:shd w:val="clear" w:color="auto" w:fill="auto"/>
          </w:tcPr>
          <w:p w14:paraId="5A8F58D9"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485063C9"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4F10DF86" w14:textId="4C8CEE89" w:rsidR="00A818FE" w:rsidRPr="009E58F7" w:rsidRDefault="00A818FE" w:rsidP="007070F2">
            <w:pPr>
              <w:widowControl w:val="0"/>
              <w:autoSpaceDE w:val="0"/>
              <w:autoSpaceDN w:val="0"/>
              <w:adjustRightInd w:val="0"/>
              <w:spacing w:line="240" w:lineRule="auto"/>
              <w:rPr>
                <w:color w:val="000000"/>
              </w:rPr>
            </w:pPr>
            <w:r w:rsidRPr="009E58F7">
              <w:rPr>
                <w:color w:val="000000"/>
              </w:rPr>
              <w:t>erythema multiforme, urticaria, akut és lázzal járó neutrophiliás dermatosis, toxikus bőrkiütések, toxikus epidermalis necrolysis</w:t>
            </w:r>
            <w:r w:rsidRPr="009E58F7">
              <w:rPr>
                <w:color w:val="000000"/>
                <w:vertAlign w:val="superscript"/>
              </w:rPr>
              <w:t xml:space="preserve">#, </w:t>
            </w:r>
            <w:r w:rsidRPr="009E58F7">
              <w:rPr>
                <w:color w:val="000000"/>
              </w:rPr>
              <w:t>Stevens</w:t>
            </w:r>
            <w:r w:rsidR="002F76AD">
              <w:rPr>
                <w:color w:val="000000"/>
              </w:rPr>
              <w:t>–</w:t>
            </w:r>
            <w:r w:rsidRPr="009E58F7">
              <w:rPr>
                <w:color w:val="000000"/>
              </w:rPr>
              <w:t>Johnson-syndroma</w:t>
            </w:r>
            <w:r w:rsidRPr="009E58F7">
              <w:rPr>
                <w:color w:val="000000"/>
                <w:vertAlign w:val="superscript"/>
              </w:rPr>
              <w:t>#</w:t>
            </w:r>
            <w:r w:rsidRPr="009E58F7">
              <w:rPr>
                <w:color w:val="000000"/>
              </w:rPr>
              <w:t>, dermatitis*, hajelváltozások*, petechia, ecchymosis, bőrlézió, purpura, bőrterime*, psoriasis, hyperhidrosis, éjszakai izzadás, decubitus fekély</w:t>
            </w:r>
            <w:r w:rsidRPr="009E58F7">
              <w:rPr>
                <w:color w:val="000000"/>
                <w:vertAlign w:val="superscript"/>
              </w:rPr>
              <w:t>#</w:t>
            </w:r>
            <w:r w:rsidRPr="009E58F7">
              <w:rPr>
                <w:color w:val="000000"/>
              </w:rPr>
              <w:t>, acne*, hólyagok*, pigmentációs zavarok*</w:t>
            </w:r>
          </w:p>
        </w:tc>
      </w:tr>
      <w:tr w:rsidR="00A818FE" w:rsidRPr="009E58F7" w14:paraId="3CA29A13" w14:textId="2D4B7D34" w:rsidTr="00E64005">
        <w:tc>
          <w:tcPr>
            <w:tcW w:w="1860" w:type="dxa"/>
            <w:vMerge/>
            <w:shd w:val="clear" w:color="auto" w:fill="auto"/>
          </w:tcPr>
          <w:p w14:paraId="44642072"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503D7EB1"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62323EDD" w14:textId="55A7CBC5" w:rsidR="00A818FE" w:rsidRPr="009E58F7" w:rsidRDefault="00A818FE" w:rsidP="007070F2">
            <w:pPr>
              <w:widowControl w:val="0"/>
              <w:autoSpaceDE w:val="0"/>
              <w:autoSpaceDN w:val="0"/>
              <w:adjustRightInd w:val="0"/>
              <w:spacing w:line="240" w:lineRule="auto"/>
              <w:rPr>
                <w:color w:val="000000"/>
              </w:rPr>
            </w:pPr>
            <w:r w:rsidRPr="009E58F7">
              <w:rPr>
                <w:color w:val="000000"/>
              </w:rPr>
              <w:t>bőrrreakciók, Jessner-féle lymphocytás infiltratio, palmo-plantaris erythrodisaesthesia szindróma, subcutan haemorrhagia, livedo reticularis, a bőr induratiója, papulák, fényérzékenységi reakciók, seborrhoea, hideg veríték, bőrbetegségek k.m.n, erythrosis, bőrfekély, körömrendellenesség</w:t>
            </w:r>
          </w:p>
        </w:tc>
      </w:tr>
      <w:tr w:rsidR="00A818FE" w:rsidRPr="009E58F7" w14:paraId="7E15F374" w14:textId="597F6601" w:rsidTr="00E64005">
        <w:tc>
          <w:tcPr>
            <w:tcW w:w="1860" w:type="dxa"/>
            <w:vMerge w:val="restart"/>
            <w:shd w:val="clear" w:color="auto" w:fill="auto"/>
          </w:tcPr>
          <w:p w14:paraId="7C2A8DBA"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A csont- és izomrendszer, valamint a kötőszövet betegségei és tünetei</w:t>
            </w:r>
          </w:p>
          <w:p w14:paraId="44FD930F" w14:textId="6F5A6496" w:rsidR="00A818FE" w:rsidRPr="009E58F7" w:rsidRDefault="00A818FE" w:rsidP="007070F2">
            <w:pPr>
              <w:widowControl w:val="0"/>
              <w:overflowPunct w:val="0"/>
              <w:autoSpaceDE w:val="0"/>
              <w:autoSpaceDN w:val="0"/>
              <w:adjustRightInd w:val="0"/>
              <w:spacing w:line="240" w:lineRule="auto"/>
              <w:rPr>
                <w:color w:val="000000"/>
              </w:rPr>
            </w:pPr>
          </w:p>
        </w:tc>
        <w:tc>
          <w:tcPr>
            <w:tcW w:w="1547" w:type="dxa"/>
            <w:shd w:val="clear" w:color="auto" w:fill="auto"/>
          </w:tcPr>
          <w:p w14:paraId="4EFF7D37"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Nagyon gyakori</w:t>
            </w:r>
          </w:p>
        </w:tc>
        <w:tc>
          <w:tcPr>
            <w:tcW w:w="6091" w:type="dxa"/>
            <w:shd w:val="clear" w:color="auto" w:fill="auto"/>
          </w:tcPr>
          <w:p w14:paraId="3A738DDC" w14:textId="77777777" w:rsidR="00A818FE" w:rsidRPr="009E58F7" w:rsidRDefault="00A818FE" w:rsidP="003D25C3">
            <w:pPr>
              <w:widowControl w:val="0"/>
              <w:overflowPunct w:val="0"/>
              <w:autoSpaceDE w:val="0"/>
              <w:autoSpaceDN w:val="0"/>
              <w:adjustRightInd w:val="0"/>
              <w:spacing w:line="240" w:lineRule="auto"/>
              <w:rPr>
                <w:color w:val="000000"/>
              </w:rPr>
            </w:pPr>
            <w:r w:rsidRPr="009E58F7">
              <w:rPr>
                <w:color w:val="000000"/>
              </w:rPr>
              <w:t>vázizomrendszeri fájdalom*</w:t>
            </w:r>
          </w:p>
        </w:tc>
      </w:tr>
      <w:tr w:rsidR="00A818FE" w:rsidRPr="009E58F7" w14:paraId="5168532E" w14:textId="016637AC" w:rsidTr="00E64005">
        <w:tc>
          <w:tcPr>
            <w:tcW w:w="1860" w:type="dxa"/>
            <w:vMerge/>
            <w:shd w:val="clear" w:color="auto" w:fill="auto"/>
          </w:tcPr>
          <w:p w14:paraId="2B29B4BC" w14:textId="70760F01"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7A07530E"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060A3A39" w14:textId="5A70E5C5"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izomgörcsök*, végtagfájdalom, izomgyengeség</w:t>
            </w:r>
          </w:p>
        </w:tc>
      </w:tr>
      <w:tr w:rsidR="00A818FE" w:rsidRPr="009E58F7" w14:paraId="1D4254D5" w14:textId="73425671" w:rsidTr="00E64005">
        <w:tc>
          <w:tcPr>
            <w:tcW w:w="1860" w:type="dxa"/>
            <w:vMerge/>
            <w:shd w:val="clear" w:color="auto" w:fill="auto"/>
          </w:tcPr>
          <w:p w14:paraId="2A4BE793" w14:textId="71A88C1D"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3CFFC067"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3A850CA1" w14:textId="214121C8" w:rsidR="00A818FE" w:rsidRPr="009E58F7" w:rsidRDefault="00A818FE" w:rsidP="007070F2">
            <w:pPr>
              <w:widowControl w:val="0"/>
              <w:autoSpaceDE w:val="0"/>
              <w:autoSpaceDN w:val="0"/>
              <w:adjustRightInd w:val="0"/>
              <w:spacing w:line="240" w:lineRule="auto"/>
              <w:rPr>
                <w:color w:val="000000"/>
              </w:rPr>
            </w:pPr>
            <w:r w:rsidRPr="009E58F7">
              <w:rPr>
                <w:color w:val="000000"/>
              </w:rPr>
              <w:t>izomrángás, ízületi duzzanat, arthritis*, ízületi merevség, myopathiák*, elnehezedésérzet</w:t>
            </w:r>
          </w:p>
        </w:tc>
      </w:tr>
      <w:tr w:rsidR="00A818FE" w:rsidRPr="009E58F7" w14:paraId="0427C1E6" w14:textId="18071752" w:rsidTr="00E64005">
        <w:tc>
          <w:tcPr>
            <w:tcW w:w="1860" w:type="dxa"/>
            <w:vMerge/>
            <w:shd w:val="clear" w:color="auto" w:fill="auto"/>
          </w:tcPr>
          <w:p w14:paraId="14BD28C7" w14:textId="008CB925"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37D21304" w14:textId="7C7B47E1"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11304730" w14:textId="5AB9A7A2" w:rsidR="00A818FE" w:rsidRPr="009E58F7" w:rsidRDefault="00A818FE" w:rsidP="007070F2">
            <w:pPr>
              <w:widowControl w:val="0"/>
              <w:autoSpaceDE w:val="0"/>
              <w:autoSpaceDN w:val="0"/>
              <w:adjustRightInd w:val="0"/>
              <w:spacing w:line="240" w:lineRule="auto"/>
              <w:rPr>
                <w:color w:val="000000"/>
              </w:rPr>
            </w:pPr>
            <w:r w:rsidRPr="009E58F7">
              <w:rPr>
                <w:color w:val="000000"/>
              </w:rPr>
              <w:t>rhabdomyolysis, temporomandibularis ízület szindróma, fistula, ízületi folyadékgyülem, állkapocsfájdalom, csontbetegségek, musculoskeletalis és kötőszövet</w:t>
            </w:r>
            <w:r w:rsidR="002F76AD">
              <w:rPr>
                <w:color w:val="000000"/>
              </w:rPr>
              <w:t>i</w:t>
            </w:r>
            <w:r w:rsidRPr="009E58F7">
              <w:rPr>
                <w:color w:val="000000"/>
              </w:rPr>
              <w:t xml:space="preserve"> fertőzések és gyulladások*, synovialis cysta</w:t>
            </w:r>
          </w:p>
        </w:tc>
      </w:tr>
      <w:tr w:rsidR="00A818FE" w:rsidRPr="009E58F7" w14:paraId="158BFB4C" w14:textId="26B18CE5" w:rsidTr="00E64005">
        <w:tc>
          <w:tcPr>
            <w:tcW w:w="1860" w:type="dxa"/>
            <w:vMerge w:val="restart"/>
            <w:shd w:val="clear" w:color="auto" w:fill="auto"/>
          </w:tcPr>
          <w:p w14:paraId="044656A5"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Vese- és húgyúti betegségek és tünetek</w:t>
            </w:r>
          </w:p>
        </w:tc>
        <w:tc>
          <w:tcPr>
            <w:tcW w:w="1547" w:type="dxa"/>
            <w:shd w:val="clear" w:color="auto" w:fill="auto"/>
          </w:tcPr>
          <w:p w14:paraId="1976B35D"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79CBABD5"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vesekárosodás*</w:t>
            </w:r>
          </w:p>
        </w:tc>
      </w:tr>
      <w:tr w:rsidR="00A818FE" w:rsidRPr="009E58F7" w14:paraId="602B9645" w14:textId="21C77229" w:rsidTr="00E64005">
        <w:tc>
          <w:tcPr>
            <w:tcW w:w="1860" w:type="dxa"/>
            <w:vMerge/>
            <w:shd w:val="clear" w:color="auto" w:fill="auto"/>
          </w:tcPr>
          <w:p w14:paraId="36346242"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12AA5B0A"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 xml:space="preserve">Nem </w:t>
            </w:r>
            <w:r w:rsidRPr="009E58F7">
              <w:rPr>
                <w:color w:val="000000"/>
              </w:rPr>
              <w:t>gyakori</w:t>
            </w:r>
          </w:p>
        </w:tc>
        <w:tc>
          <w:tcPr>
            <w:tcW w:w="6091" w:type="dxa"/>
            <w:shd w:val="clear" w:color="auto" w:fill="auto"/>
          </w:tcPr>
          <w:p w14:paraId="2C73590A" w14:textId="3BCB84A2" w:rsidR="00A818FE" w:rsidRPr="009E58F7" w:rsidRDefault="00A818FE" w:rsidP="007070F2">
            <w:pPr>
              <w:widowControl w:val="0"/>
              <w:autoSpaceDE w:val="0"/>
              <w:autoSpaceDN w:val="0"/>
              <w:adjustRightInd w:val="0"/>
              <w:spacing w:line="240" w:lineRule="auto"/>
              <w:rPr>
                <w:color w:val="000000"/>
              </w:rPr>
            </w:pPr>
            <w:r w:rsidRPr="009E58F7">
              <w:rPr>
                <w:color w:val="000000"/>
              </w:rPr>
              <w:t>akut veseelégtelenség, krónikus veseelégtelenség*, húgyúti fertőzés*, húgyúti jelek és tünetek*, haematuria*, vizeletretenció, vizeletürítési zavarok*, proteinuria, azotaemia, oliguria*, pollakisuria</w:t>
            </w:r>
          </w:p>
        </w:tc>
      </w:tr>
      <w:tr w:rsidR="00A818FE" w:rsidRPr="009E58F7" w14:paraId="3DE0C94D" w14:textId="7E19E7F8" w:rsidTr="00E64005">
        <w:tc>
          <w:tcPr>
            <w:tcW w:w="1860" w:type="dxa"/>
            <w:vMerge/>
            <w:shd w:val="clear" w:color="auto" w:fill="auto"/>
          </w:tcPr>
          <w:p w14:paraId="0330B368"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7E5F4431"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27C7FA79" w14:textId="77777777" w:rsidR="00A818FE" w:rsidRPr="009E58F7" w:rsidRDefault="00A818FE" w:rsidP="007070F2">
            <w:pPr>
              <w:pStyle w:val="Nincstrkz"/>
            </w:pPr>
            <w:r w:rsidRPr="009E58F7">
              <w:t>húgyhólyag irritáció</w:t>
            </w:r>
          </w:p>
        </w:tc>
      </w:tr>
      <w:tr w:rsidR="00A818FE" w:rsidRPr="009E58F7" w14:paraId="4979CBFA" w14:textId="3138B8DC" w:rsidTr="00E64005">
        <w:tc>
          <w:tcPr>
            <w:tcW w:w="1860" w:type="dxa"/>
            <w:vMerge w:val="restart"/>
            <w:shd w:val="clear" w:color="auto" w:fill="auto"/>
          </w:tcPr>
          <w:p w14:paraId="7397648A"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A nemi szervekkel és az emlőkkel kapcsolatos betegségek és tünetek</w:t>
            </w:r>
          </w:p>
        </w:tc>
        <w:tc>
          <w:tcPr>
            <w:tcW w:w="1547" w:type="dxa"/>
            <w:shd w:val="clear" w:color="auto" w:fill="auto"/>
          </w:tcPr>
          <w:p w14:paraId="11F8EC9C"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1599D47F"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vaginalis haemorrhagia, genitalis fájdalom*, erectilis dysfunctio</w:t>
            </w:r>
          </w:p>
        </w:tc>
      </w:tr>
      <w:tr w:rsidR="00A818FE" w:rsidRPr="009E58F7" w14:paraId="589CB8C2" w14:textId="68671F8F" w:rsidTr="00E64005">
        <w:tc>
          <w:tcPr>
            <w:tcW w:w="1860" w:type="dxa"/>
            <w:vMerge/>
            <w:shd w:val="clear" w:color="auto" w:fill="auto"/>
          </w:tcPr>
          <w:p w14:paraId="6093065E"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0368281B"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4DD7531F" w14:textId="77777777" w:rsidR="00A818FE" w:rsidRPr="009E58F7" w:rsidRDefault="00A818FE" w:rsidP="007070F2">
            <w:pPr>
              <w:widowControl w:val="0"/>
              <w:autoSpaceDE w:val="0"/>
              <w:autoSpaceDN w:val="0"/>
              <w:adjustRightInd w:val="0"/>
              <w:spacing w:line="240" w:lineRule="auto"/>
              <w:rPr>
                <w:color w:val="000000"/>
              </w:rPr>
            </w:pPr>
            <w:r w:rsidRPr="009E58F7">
              <w:rPr>
                <w:color w:val="000000"/>
              </w:rPr>
              <w:t>testicularis zavarok*, prostatitis, nők emlőbetegsége, mellékhere nyomásérzékenysége, epididymitis, ágyékfájdalom, vulva ulceratio</w:t>
            </w:r>
          </w:p>
        </w:tc>
      </w:tr>
      <w:tr w:rsidR="00A74B21" w:rsidRPr="009E58F7" w14:paraId="31BDDACE" w14:textId="072DE6DB" w:rsidTr="00E64005">
        <w:tc>
          <w:tcPr>
            <w:tcW w:w="1860" w:type="dxa"/>
            <w:shd w:val="clear" w:color="auto" w:fill="auto"/>
          </w:tcPr>
          <w:p w14:paraId="0F68C4EB" w14:textId="77777777" w:rsidR="00A74B21" w:rsidRPr="009E58F7" w:rsidRDefault="00A74B21" w:rsidP="00D7256D">
            <w:pPr>
              <w:widowControl w:val="0"/>
              <w:autoSpaceDE w:val="0"/>
              <w:autoSpaceDN w:val="0"/>
              <w:adjustRightInd w:val="0"/>
              <w:spacing w:line="240" w:lineRule="auto"/>
              <w:rPr>
                <w:color w:val="000000"/>
              </w:rPr>
            </w:pPr>
            <w:r w:rsidRPr="009E58F7">
              <w:rPr>
                <w:color w:val="000000"/>
              </w:rPr>
              <w:t>Veleszületett, örökletes és genetikai rendellenességek</w:t>
            </w:r>
          </w:p>
        </w:tc>
        <w:tc>
          <w:tcPr>
            <w:tcW w:w="1547" w:type="dxa"/>
            <w:shd w:val="clear" w:color="auto" w:fill="auto"/>
          </w:tcPr>
          <w:p w14:paraId="41572810" w14:textId="09AC1E83" w:rsidR="00A74B21" w:rsidRPr="009E58F7" w:rsidRDefault="00A74B21"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47A8CC99" w14:textId="3CB7A4B5" w:rsidR="00A74B21" w:rsidRPr="009E58F7" w:rsidRDefault="00A74B21" w:rsidP="007070F2">
            <w:pPr>
              <w:widowControl w:val="0"/>
              <w:overflowPunct w:val="0"/>
              <w:autoSpaceDE w:val="0"/>
              <w:autoSpaceDN w:val="0"/>
              <w:adjustRightInd w:val="0"/>
              <w:spacing w:line="240" w:lineRule="auto"/>
              <w:rPr>
                <w:color w:val="000000"/>
              </w:rPr>
            </w:pPr>
            <w:r w:rsidRPr="009E58F7">
              <w:rPr>
                <w:color w:val="000000"/>
              </w:rPr>
              <w:t>aplasia, gastrointestinalis malformatio, ichthyosis</w:t>
            </w:r>
          </w:p>
        </w:tc>
      </w:tr>
      <w:tr w:rsidR="00A818FE" w:rsidRPr="009E58F7" w14:paraId="6C1AAE6F" w14:textId="4D6F4A1F" w:rsidTr="00E64005">
        <w:tc>
          <w:tcPr>
            <w:tcW w:w="1860" w:type="dxa"/>
            <w:vMerge w:val="restart"/>
            <w:shd w:val="clear" w:color="auto" w:fill="auto"/>
          </w:tcPr>
          <w:p w14:paraId="5B7FE6C7" w14:textId="77777777" w:rsidR="00A818FE" w:rsidRPr="009E58F7" w:rsidRDefault="00A818FE" w:rsidP="00E26B3B">
            <w:pPr>
              <w:keepNext/>
              <w:widowControl w:val="0"/>
              <w:autoSpaceDE w:val="0"/>
              <w:autoSpaceDN w:val="0"/>
              <w:adjustRightInd w:val="0"/>
              <w:spacing w:line="240" w:lineRule="auto"/>
              <w:rPr>
                <w:color w:val="000000"/>
              </w:rPr>
            </w:pPr>
            <w:r w:rsidRPr="009E58F7">
              <w:rPr>
                <w:color w:val="000000"/>
              </w:rPr>
              <w:lastRenderedPageBreak/>
              <w:t>Általános tünetek, az alkalmazás helyén fellépő reakciók</w:t>
            </w:r>
          </w:p>
        </w:tc>
        <w:tc>
          <w:tcPr>
            <w:tcW w:w="1547" w:type="dxa"/>
            <w:shd w:val="clear" w:color="auto" w:fill="auto"/>
          </w:tcPr>
          <w:p w14:paraId="54C5473E" w14:textId="77777777" w:rsidR="00A818FE" w:rsidRPr="009E58F7" w:rsidRDefault="00A818FE" w:rsidP="00E26B3B">
            <w:pPr>
              <w:keepNext/>
              <w:widowControl w:val="0"/>
              <w:overflowPunct w:val="0"/>
              <w:autoSpaceDE w:val="0"/>
              <w:autoSpaceDN w:val="0"/>
              <w:adjustRightInd w:val="0"/>
              <w:spacing w:line="240" w:lineRule="auto"/>
              <w:rPr>
                <w:color w:val="000000"/>
              </w:rPr>
            </w:pPr>
            <w:r w:rsidRPr="009E58F7">
              <w:rPr>
                <w:iCs/>
                <w:color w:val="000000"/>
              </w:rPr>
              <w:t>Nagyon gyakori</w:t>
            </w:r>
          </w:p>
        </w:tc>
        <w:tc>
          <w:tcPr>
            <w:tcW w:w="6091" w:type="dxa"/>
            <w:shd w:val="clear" w:color="auto" w:fill="auto"/>
          </w:tcPr>
          <w:p w14:paraId="2F4B0565" w14:textId="7CCB11DF" w:rsidR="00A818FE" w:rsidRPr="009E58F7" w:rsidRDefault="00A818FE" w:rsidP="00E26B3B">
            <w:pPr>
              <w:keepNext/>
              <w:widowControl w:val="0"/>
              <w:overflowPunct w:val="0"/>
              <w:autoSpaceDE w:val="0"/>
              <w:autoSpaceDN w:val="0"/>
              <w:adjustRightInd w:val="0"/>
              <w:spacing w:line="240" w:lineRule="auto"/>
              <w:rPr>
                <w:color w:val="000000"/>
              </w:rPr>
            </w:pPr>
            <w:r w:rsidRPr="009E58F7">
              <w:rPr>
                <w:color w:val="000000"/>
              </w:rPr>
              <w:t>láz*, fáradtságérzet, asthenia</w:t>
            </w:r>
          </w:p>
        </w:tc>
      </w:tr>
      <w:tr w:rsidR="00A818FE" w:rsidRPr="009E58F7" w14:paraId="0F711A7D" w14:textId="30976F86" w:rsidTr="00E64005">
        <w:tc>
          <w:tcPr>
            <w:tcW w:w="1860" w:type="dxa"/>
            <w:vMerge/>
            <w:shd w:val="clear" w:color="auto" w:fill="auto"/>
          </w:tcPr>
          <w:p w14:paraId="56A2C1BF"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3CEFAC1B"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51AA5AFA" w14:textId="77777777" w:rsidR="00A818FE" w:rsidRPr="009E58F7" w:rsidRDefault="00A818FE" w:rsidP="007070F2">
            <w:pPr>
              <w:widowControl w:val="0"/>
              <w:autoSpaceDE w:val="0"/>
              <w:autoSpaceDN w:val="0"/>
              <w:adjustRightInd w:val="0"/>
              <w:spacing w:line="240" w:lineRule="auto"/>
              <w:rPr>
                <w:color w:val="000000"/>
              </w:rPr>
            </w:pPr>
            <w:r w:rsidRPr="009E58F7">
              <w:rPr>
                <w:color w:val="000000"/>
              </w:rPr>
              <w:t>oedema (beleértve a perifériás oedemát), hidegrázás, fájdalom*, rossz közérzet*</w:t>
            </w:r>
          </w:p>
        </w:tc>
      </w:tr>
      <w:tr w:rsidR="00A818FE" w:rsidRPr="009E58F7" w14:paraId="71150C83" w14:textId="7E357D00" w:rsidTr="00E64005">
        <w:tc>
          <w:tcPr>
            <w:tcW w:w="1860" w:type="dxa"/>
            <w:vMerge/>
            <w:shd w:val="clear" w:color="auto" w:fill="auto"/>
          </w:tcPr>
          <w:p w14:paraId="0111F5F2"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2914F1CC"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238CF162" w14:textId="60562CC1" w:rsidR="00A818FE" w:rsidRPr="009E58F7" w:rsidRDefault="00A818FE" w:rsidP="007070F2">
            <w:pPr>
              <w:widowControl w:val="0"/>
              <w:autoSpaceDE w:val="0"/>
              <w:autoSpaceDN w:val="0"/>
              <w:adjustRightInd w:val="0"/>
              <w:spacing w:line="240" w:lineRule="auto"/>
              <w:rPr>
                <w:color w:val="000000"/>
              </w:rPr>
            </w:pPr>
            <w:r w:rsidRPr="009E58F7">
              <w:rPr>
                <w:color w:val="000000"/>
              </w:rPr>
              <w:t>általános egészségi állapot romlása*, arcödéma*, reakció az injekció beadási helyén*, nyálkahártya</w:t>
            </w:r>
            <w:r w:rsidR="002F76AD">
              <w:rPr>
                <w:color w:val="000000"/>
              </w:rPr>
              <w:t>-</w:t>
            </w:r>
            <w:r w:rsidRPr="009E58F7">
              <w:rPr>
                <w:color w:val="000000"/>
              </w:rPr>
              <w:t>betegségek*, mellkasi fájdalom, járászavar, hidegérzet, extravasatio*, katéter alkalmazásával összefüggésbe hozható szövődmények*, szomjúságérzés megváltozása*, mellkasi diszkomfortérzés, megváltozott testhőmérséklet érzése*, fájdalom az injekció beadási helyén*</w:t>
            </w:r>
          </w:p>
        </w:tc>
      </w:tr>
      <w:tr w:rsidR="00A818FE" w:rsidRPr="009E58F7" w14:paraId="5616D481" w14:textId="20A0B997" w:rsidTr="00E64005">
        <w:tc>
          <w:tcPr>
            <w:tcW w:w="1860" w:type="dxa"/>
            <w:vMerge/>
            <w:shd w:val="clear" w:color="auto" w:fill="auto"/>
          </w:tcPr>
          <w:p w14:paraId="4F8DDFDC"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10D1CA20"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5B43E0E0" w14:textId="64FFD535" w:rsidR="00A818FE" w:rsidRPr="009E58F7" w:rsidRDefault="00A818FE" w:rsidP="007070F2">
            <w:pPr>
              <w:widowControl w:val="0"/>
              <w:autoSpaceDE w:val="0"/>
              <w:autoSpaceDN w:val="0"/>
              <w:adjustRightInd w:val="0"/>
              <w:spacing w:line="240" w:lineRule="auto"/>
              <w:rPr>
                <w:color w:val="000000"/>
              </w:rPr>
            </w:pPr>
            <w:r w:rsidRPr="009E58F7">
              <w:rPr>
                <w:color w:val="000000"/>
              </w:rPr>
              <w:t>halál (beleértve a hirtelen halált), többszervi elégtelenség, vérzés az injekció beadási helyén*, hernia (beleértve a hiatus herniat)*, elhúzódó sebgyógyulás*, gyulladás, phlebitis az injekció beadási helyén*, nyomásérzékenység, fekély, irritabilitás, nem kardiális eredetű mellkasi fájdalom, fájdalom a katéter alkalmazási helyén, idegentestérzés</w:t>
            </w:r>
          </w:p>
        </w:tc>
      </w:tr>
      <w:tr w:rsidR="00A818FE" w:rsidRPr="009E58F7" w14:paraId="74FBA95A" w14:textId="4017DE85" w:rsidTr="00E64005">
        <w:tc>
          <w:tcPr>
            <w:tcW w:w="1860" w:type="dxa"/>
            <w:vMerge w:val="restart"/>
            <w:shd w:val="clear" w:color="auto" w:fill="auto"/>
          </w:tcPr>
          <w:p w14:paraId="44E33E9E"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Laboratóriumi és egyéb vizsgálatok eredményei</w:t>
            </w:r>
          </w:p>
        </w:tc>
        <w:tc>
          <w:tcPr>
            <w:tcW w:w="1547" w:type="dxa"/>
            <w:shd w:val="clear" w:color="auto" w:fill="auto"/>
          </w:tcPr>
          <w:p w14:paraId="5CE60080"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Gyakori</w:t>
            </w:r>
          </w:p>
        </w:tc>
        <w:tc>
          <w:tcPr>
            <w:tcW w:w="6091" w:type="dxa"/>
            <w:shd w:val="clear" w:color="auto" w:fill="auto"/>
          </w:tcPr>
          <w:p w14:paraId="7EAE04D0" w14:textId="45A33E13"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testtömegcsökkenés</w:t>
            </w:r>
          </w:p>
        </w:tc>
      </w:tr>
      <w:tr w:rsidR="00A818FE" w:rsidRPr="009E58F7" w14:paraId="5B8AE2E8" w14:textId="20B71456" w:rsidTr="00E64005">
        <w:tc>
          <w:tcPr>
            <w:tcW w:w="1860" w:type="dxa"/>
            <w:vMerge/>
            <w:shd w:val="clear" w:color="auto" w:fill="auto"/>
          </w:tcPr>
          <w:p w14:paraId="759CE365"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1ECC83B8"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Nem gyakori</w:t>
            </w:r>
          </w:p>
        </w:tc>
        <w:tc>
          <w:tcPr>
            <w:tcW w:w="6091" w:type="dxa"/>
            <w:shd w:val="clear" w:color="auto" w:fill="auto"/>
          </w:tcPr>
          <w:p w14:paraId="26E5DE38" w14:textId="3A6B297A" w:rsidR="00A818FE" w:rsidRPr="009E58F7" w:rsidRDefault="00A818FE" w:rsidP="007070F2">
            <w:pPr>
              <w:widowControl w:val="0"/>
              <w:autoSpaceDE w:val="0"/>
              <w:autoSpaceDN w:val="0"/>
              <w:adjustRightInd w:val="0"/>
              <w:spacing w:line="240" w:lineRule="auto"/>
              <w:rPr>
                <w:color w:val="000000"/>
              </w:rPr>
            </w:pPr>
            <w:r w:rsidRPr="009E58F7">
              <w:rPr>
                <w:color w:val="000000"/>
              </w:rPr>
              <w:t>hyperbilirubinaemia*, kóros fehérjeértékek*, test</w:t>
            </w:r>
            <w:r w:rsidR="002F76AD">
              <w:rPr>
                <w:color w:val="000000"/>
              </w:rPr>
              <w:t>tömeg-</w:t>
            </w:r>
            <w:r w:rsidRPr="009E58F7">
              <w:rPr>
                <w:color w:val="000000"/>
              </w:rPr>
              <w:t>növekedés, kóros vérvizsgálati eredmények*, emelkedett C-reaktív proteinszint</w:t>
            </w:r>
          </w:p>
        </w:tc>
      </w:tr>
      <w:tr w:rsidR="00A818FE" w:rsidRPr="009E58F7" w14:paraId="533934CC" w14:textId="6E5A25BA" w:rsidTr="00E64005">
        <w:tc>
          <w:tcPr>
            <w:tcW w:w="1860" w:type="dxa"/>
            <w:vMerge/>
            <w:shd w:val="clear" w:color="auto" w:fill="auto"/>
          </w:tcPr>
          <w:p w14:paraId="7A2FD2F1"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17BC60A3"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30D41513" w14:textId="19FC20C6" w:rsidR="00A818FE" w:rsidRPr="009E58F7" w:rsidRDefault="00A818FE" w:rsidP="007070F2">
            <w:pPr>
              <w:widowControl w:val="0"/>
              <w:autoSpaceDE w:val="0"/>
              <w:autoSpaceDN w:val="0"/>
              <w:adjustRightInd w:val="0"/>
              <w:spacing w:line="240" w:lineRule="auto"/>
              <w:rPr>
                <w:color w:val="000000"/>
              </w:rPr>
            </w:pPr>
            <w:r w:rsidRPr="009E58F7">
              <w:rPr>
                <w:color w:val="000000"/>
              </w:rPr>
              <w:t>kóros vérgázértékek*, electrokardiogram</w:t>
            </w:r>
            <w:r w:rsidR="002F76AD">
              <w:rPr>
                <w:color w:val="000000"/>
              </w:rPr>
              <w:t>-</w:t>
            </w:r>
            <w:r w:rsidRPr="009E58F7">
              <w:rPr>
                <w:color w:val="000000"/>
              </w:rPr>
              <w:t>eltérések (beleértve a megnyúlt QT-t)*, kóros INR (Nemzetközi Normalizációs Ráta)*, csökkent gyomor</w:t>
            </w:r>
            <w:r w:rsidR="002F76AD">
              <w:rPr>
                <w:color w:val="000000"/>
              </w:rPr>
              <w:t>-</w:t>
            </w:r>
            <w:r w:rsidRPr="009E58F7">
              <w:rPr>
                <w:color w:val="000000"/>
              </w:rPr>
              <w:t>pH, fokozott thrombocytaaggregáció, emelkedett troponin I-érték, vírusmeghatározás és szerológia*, kóros vizeletvizsgálati eredmények*</w:t>
            </w:r>
          </w:p>
        </w:tc>
      </w:tr>
      <w:tr w:rsidR="00A818FE" w:rsidRPr="009E58F7" w14:paraId="1817AB6C" w14:textId="5588A066" w:rsidTr="00E64005">
        <w:tc>
          <w:tcPr>
            <w:tcW w:w="1860" w:type="dxa"/>
            <w:vMerge w:val="restart"/>
            <w:shd w:val="clear" w:color="auto" w:fill="auto"/>
          </w:tcPr>
          <w:p w14:paraId="54AB471B" w14:textId="77777777" w:rsidR="00A818FE" w:rsidRPr="009E58F7" w:rsidRDefault="00A818FE" w:rsidP="00D7256D">
            <w:pPr>
              <w:widowControl w:val="0"/>
              <w:autoSpaceDE w:val="0"/>
              <w:autoSpaceDN w:val="0"/>
              <w:adjustRightInd w:val="0"/>
              <w:spacing w:line="240" w:lineRule="auto"/>
              <w:rPr>
                <w:color w:val="000000"/>
              </w:rPr>
            </w:pPr>
            <w:r w:rsidRPr="009E58F7">
              <w:rPr>
                <w:color w:val="000000"/>
              </w:rPr>
              <w:t>Sérülés, mérgezés és a beavatkozással kapcsolatos szövődmények</w:t>
            </w:r>
          </w:p>
        </w:tc>
        <w:tc>
          <w:tcPr>
            <w:tcW w:w="1547" w:type="dxa"/>
            <w:shd w:val="clear" w:color="auto" w:fill="auto"/>
          </w:tcPr>
          <w:p w14:paraId="49D3BE36"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Nem gyakori</w:t>
            </w:r>
          </w:p>
        </w:tc>
        <w:tc>
          <w:tcPr>
            <w:tcW w:w="6091" w:type="dxa"/>
            <w:shd w:val="clear" w:color="auto" w:fill="auto"/>
          </w:tcPr>
          <w:p w14:paraId="5B34EA91"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elesés, contusio</w:t>
            </w:r>
          </w:p>
        </w:tc>
      </w:tr>
      <w:tr w:rsidR="00A818FE" w:rsidRPr="009E58F7" w14:paraId="74F00469" w14:textId="26B48495" w:rsidTr="00E64005">
        <w:tc>
          <w:tcPr>
            <w:tcW w:w="1860" w:type="dxa"/>
            <w:vMerge/>
            <w:shd w:val="clear" w:color="auto" w:fill="auto"/>
          </w:tcPr>
          <w:p w14:paraId="5F18138B" w14:textId="77777777" w:rsidR="00A818FE" w:rsidRPr="009E58F7" w:rsidRDefault="00A818FE" w:rsidP="00D7256D">
            <w:pPr>
              <w:widowControl w:val="0"/>
              <w:overflowPunct w:val="0"/>
              <w:autoSpaceDE w:val="0"/>
              <w:autoSpaceDN w:val="0"/>
              <w:adjustRightInd w:val="0"/>
              <w:spacing w:line="240" w:lineRule="auto"/>
              <w:rPr>
                <w:color w:val="000000"/>
              </w:rPr>
            </w:pPr>
          </w:p>
        </w:tc>
        <w:tc>
          <w:tcPr>
            <w:tcW w:w="1547" w:type="dxa"/>
            <w:shd w:val="clear" w:color="auto" w:fill="auto"/>
          </w:tcPr>
          <w:p w14:paraId="39B29603" w14:textId="77777777" w:rsidR="00A818FE" w:rsidRPr="009E58F7" w:rsidRDefault="00A818FE" w:rsidP="007070F2">
            <w:pPr>
              <w:widowControl w:val="0"/>
              <w:overflowPunct w:val="0"/>
              <w:autoSpaceDE w:val="0"/>
              <w:autoSpaceDN w:val="0"/>
              <w:adjustRightInd w:val="0"/>
              <w:spacing w:line="240" w:lineRule="auto"/>
              <w:rPr>
                <w:color w:val="000000"/>
              </w:rPr>
            </w:pPr>
            <w:r w:rsidRPr="009E58F7">
              <w:rPr>
                <w:color w:val="000000"/>
              </w:rPr>
              <w:t>Ritka</w:t>
            </w:r>
          </w:p>
        </w:tc>
        <w:tc>
          <w:tcPr>
            <w:tcW w:w="6091" w:type="dxa"/>
            <w:shd w:val="clear" w:color="auto" w:fill="auto"/>
          </w:tcPr>
          <w:p w14:paraId="1331B4C1" w14:textId="6DFD6476" w:rsidR="00A818FE" w:rsidRPr="009E58F7" w:rsidRDefault="00A818FE" w:rsidP="007070F2">
            <w:pPr>
              <w:pStyle w:val="Nincstrkz"/>
            </w:pPr>
            <w:r w:rsidRPr="009E58F7">
              <w:t>transzfúzióval kapcsolatos reakció, törések*, fokozott izomtónus*, arc sérülése, ízületek sérülése*, égések, laceratio, beavatkozással kapcsolatos fájdalom, besugárzással összefüggő sérülések*</w:t>
            </w:r>
          </w:p>
        </w:tc>
      </w:tr>
      <w:tr w:rsidR="00A74B21" w:rsidRPr="009E58F7" w14:paraId="4748A8ED" w14:textId="7AF27CDA" w:rsidTr="00E64005">
        <w:tc>
          <w:tcPr>
            <w:tcW w:w="1860" w:type="dxa"/>
            <w:shd w:val="clear" w:color="auto" w:fill="auto"/>
          </w:tcPr>
          <w:p w14:paraId="36E6281B" w14:textId="77777777" w:rsidR="00A74B21" w:rsidRPr="009E58F7" w:rsidRDefault="00A74B21" w:rsidP="00D7256D">
            <w:pPr>
              <w:widowControl w:val="0"/>
              <w:autoSpaceDE w:val="0"/>
              <w:autoSpaceDN w:val="0"/>
              <w:adjustRightInd w:val="0"/>
              <w:spacing w:line="240" w:lineRule="auto"/>
              <w:rPr>
                <w:color w:val="000000"/>
              </w:rPr>
            </w:pPr>
            <w:r w:rsidRPr="009E58F7">
              <w:rPr>
                <w:color w:val="000000"/>
              </w:rPr>
              <w:t>Sebészeti és egyéb orvosi bevatkozások és eljárások</w:t>
            </w:r>
          </w:p>
        </w:tc>
        <w:tc>
          <w:tcPr>
            <w:tcW w:w="1547" w:type="dxa"/>
            <w:shd w:val="clear" w:color="auto" w:fill="auto"/>
          </w:tcPr>
          <w:p w14:paraId="369D664E" w14:textId="77777777" w:rsidR="00A74B21" w:rsidRPr="009E58F7" w:rsidRDefault="00A74B21" w:rsidP="007070F2">
            <w:pPr>
              <w:widowControl w:val="0"/>
              <w:overflowPunct w:val="0"/>
              <w:autoSpaceDE w:val="0"/>
              <w:autoSpaceDN w:val="0"/>
              <w:adjustRightInd w:val="0"/>
              <w:spacing w:line="240" w:lineRule="auto"/>
              <w:rPr>
                <w:color w:val="000000"/>
              </w:rPr>
            </w:pPr>
            <w:r w:rsidRPr="009E58F7">
              <w:rPr>
                <w:iCs/>
                <w:color w:val="000000"/>
              </w:rPr>
              <w:t>Ritka</w:t>
            </w:r>
          </w:p>
        </w:tc>
        <w:tc>
          <w:tcPr>
            <w:tcW w:w="6091" w:type="dxa"/>
            <w:shd w:val="clear" w:color="auto" w:fill="auto"/>
          </w:tcPr>
          <w:p w14:paraId="4F6A97A6" w14:textId="77777777" w:rsidR="00A74B21" w:rsidRPr="009E58F7" w:rsidRDefault="00A74B21" w:rsidP="007070F2">
            <w:pPr>
              <w:widowControl w:val="0"/>
              <w:overflowPunct w:val="0"/>
              <w:autoSpaceDE w:val="0"/>
              <w:autoSpaceDN w:val="0"/>
              <w:adjustRightInd w:val="0"/>
              <w:spacing w:line="240" w:lineRule="auto"/>
              <w:rPr>
                <w:color w:val="000000"/>
              </w:rPr>
            </w:pPr>
            <w:r w:rsidRPr="009E58F7">
              <w:rPr>
                <w:color w:val="000000"/>
              </w:rPr>
              <w:t>macrophag activatio</w:t>
            </w:r>
          </w:p>
        </w:tc>
      </w:tr>
    </w:tbl>
    <w:p w14:paraId="49855BF9" w14:textId="77777777" w:rsidR="004D6470" w:rsidRPr="009E58F7" w:rsidRDefault="004D6470" w:rsidP="00D7256D">
      <w:pPr>
        <w:widowControl w:val="0"/>
        <w:autoSpaceDE w:val="0"/>
        <w:autoSpaceDN w:val="0"/>
        <w:adjustRightInd w:val="0"/>
        <w:spacing w:line="240" w:lineRule="auto"/>
        <w:ind w:left="80"/>
        <w:rPr>
          <w:sz w:val="18"/>
          <w:szCs w:val="18"/>
        </w:rPr>
      </w:pPr>
      <w:bookmarkStart w:id="27" w:name="page51"/>
      <w:bookmarkStart w:id="28" w:name="page52"/>
      <w:bookmarkEnd w:id="27"/>
      <w:bookmarkEnd w:id="28"/>
      <w:r w:rsidRPr="009E58F7">
        <w:rPr>
          <w:color w:val="000000"/>
          <w:sz w:val="18"/>
          <w:szCs w:val="18"/>
        </w:rPr>
        <w:t>k</w:t>
      </w:r>
      <w:r w:rsidR="008658A7" w:rsidRPr="009E58F7">
        <w:rPr>
          <w:color w:val="000000"/>
          <w:sz w:val="18"/>
          <w:szCs w:val="18"/>
        </w:rPr>
        <w:t>.</w:t>
      </w:r>
      <w:r w:rsidRPr="009E58F7">
        <w:rPr>
          <w:color w:val="000000"/>
          <w:sz w:val="18"/>
          <w:szCs w:val="18"/>
        </w:rPr>
        <w:t>m</w:t>
      </w:r>
      <w:r w:rsidR="008658A7" w:rsidRPr="009E58F7">
        <w:rPr>
          <w:color w:val="000000"/>
          <w:sz w:val="18"/>
          <w:szCs w:val="18"/>
        </w:rPr>
        <w:t>.</w:t>
      </w:r>
      <w:r w:rsidR="003212C5" w:rsidRPr="009E58F7">
        <w:rPr>
          <w:color w:val="000000"/>
          <w:sz w:val="18"/>
          <w:szCs w:val="18"/>
        </w:rPr>
        <w:t>n = </w:t>
      </w:r>
      <w:r w:rsidRPr="009E58F7">
        <w:rPr>
          <w:color w:val="000000"/>
          <w:sz w:val="18"/>
          <w:szCs w:val="18"/>
        </w:rPr>
        <w:t>k</w:t>
      </w:r>
      <w:r w:rsidR="008658A7" w:rsidRPr="009E58F7">
        <w:rPr>
          <w:color w:val="000000"/>
          <w:sz w:val="18"/>
          <w:szCs w:val="18"/>
        </w:rPr>
        <w:t>ülön megnevezés nélkül</w:t>
      </w:r>
      <w:r w:rsidRPr="009E58F7">
        <w:rPr>
          <w:color w:val="000000"/>
          <w:sz w:val="18"/>
          <w:szCs w:val="18"/>
        </w:rPr>
        <w:t>.</w:t>
      </w:r>
    </w:p>
    <w:p w14:paraId="1C262B10" w14:textId="77777777" w:rsidR="004D6470" w:rsidRPr="009E58F7" w:rsidRDefault="004D6470" w:rsidP="00602E58">
      <w:pPr>
        <w:widowControl w:val="0"/>
        <w:numPr>
          <w:ilvl w:val="0"/>
          <w:numId w:val="12"/>
        </w:numPr>
        <w:tabs>
          <w:tab w:val="clear" w:pos="720"/>
          <w:tab w:val="num" w:pos="360"/>
        </w:tabs>
        <w:overflowPunct w:val="0"/>
        <w:autoSpaceDE w:val="0"/>
        <w:autoSpaceDN w:val="0"/>
        <w:adjustRightInd w:val="0"/>
        <w:spacing w:line="240" w:lineRule="auto"/>
        <w:ind w:left="360" w:hanging="284"/>
        <w:rPr>
          <w:color w:val="000000"/>
          <w:sz w:val="18"/>
          <w:vertAlign w:val="superscript"/>
        </w:rPr>
      </w:pPr>
      <w:r w:rsidRPr="009E58F7">
        <w:rPr>
          <w:color w:val="000000"/>
          <w:sz w:val="18"/>
        </w:rPr>
        <w:t>egynél több preferált MedDRA kifejezés összevonva.</w:t>
      </w:r>
      <w:r w:rsidRPr="009E58F7">
        <w:rPr>
          <w:color w:val="000000"/>
          <w:sz w:val="18"/>
          <w:szCs w:val="18"/>
        </w:rPr>
        <w:t xml:space="preserve"> </w:t>
      </w:r>
    </w:p>
    <w:p w14:paraId="7F4EC2D9" w14:textId="36EF7EA1" w:rsidR="004D6470" w:rsidRPr="009E58F7" w:rsidRDefault="004D6470" w:rsidP="00602E58">
      <w:pPr>
        <w:widowControl w:val="0"/>
        <w:numPr>
          <w:ilvl w:val="0"/>
          <w:numId w:val="13"/>
        </w:numPr>
        <w:tabs>
          <w:tab w:val="clear" w:pos="720"/>
          <w:tab w:val="num" w:pos="360"/>
        </w:tabs>
        <w:overflowPunct w:val="0"/>
        <w:autoSpaceDE w:val="0"/>
        <w:autoSpaceDN w:val="0"/>
        <w:adjustRightInd w:val="0"/>
        <w:spacing w:line="240" w:lineRule="auto"/>
        <w:ind w:left="360" w:hanging="284"/>
        <w:rPr>
          <w:color w:val="000000"/>
          <w:sz w:val="18"/>
          <w:vertAlign w:val="superscript"/>
        </w:rPr>
      </w:pPr>
      <w:r w:rsidRPr="009E58F7">
        <w:rPr>
          <w:color w:val="000000"/>
          <w:sz w:val="18"/>
        </w:rPr>
        <w:t xml:space="preserve">A forgalmazás </w:t>
      </w:r>
      <w:r w:rsidR="000413E4">
        <w:rPr>
          <w:color w:val="000000"/>
          <w:sz w:val="18"/>
        </w:rPr>
        <w:t xml:space="preserve">megkezdését </w:t>
      </w:r>
      <w:r w:rsidRPr="009E58F7">
        <w:rPr>
          <w:color w:val="000000"/>
          <w:sz w:val="18"/>
        </w:rPr>
        <w:t xml:space="preserve">követően </w:t>
      </w:r>
      <w:r w:rsidR="000413E4">
        <w:rPr>
          <w:color w:val="000000"/>
          <w:sz w:val="18"/>
          <w:szCs w:val="18"/>
        </w:rPr>
        <w:t>megismert</w:t>
      </w:r>
      <w:r w:rsidR="000413E4" w:rsidRPr="009E58F7">
        <w:rPr>
          <w:color w:val="000000"/>
          <w:sz w:val="18"/>
        </w:rPr>
        <w:t xml:space="preserve"> </w:t>
      </w:r>
      <w:r w:rsidRPr="009E58F7">
        <w:rPr>
          <w:color w:val="000000"/>
          <w:sz w:val="18"/>
        </w:rPr>
        <w:t>mellékhatások</w:t>
      </w:r>
      <w:r w:rsidR="00D019A6" w:rsidRPr="009E58F7">
        <w:rPr>
          <w:color w:val="000000"/>
          <w:sz w:val="18"/>
        </w:rPr>
        <w:t>, indikációtól függetlenül</w:t>
      </w:r>
      <w:r w:rsidRPr="009E58F7">
        <w:rPr>
          <w:color w:val="000000"/>
          <w:sz w:val="18"/>
        </w:rPr>
        <w:t>.</w:t>
      </w:r>
      <w:r w:rsidRPr="009E58F7">
        <w:rPr>
          <w:color w:val="000000"/>
          <w:sz w:val="18"/>
          <w:szCs w:val="18"/>
        </w:rPr>
        <w:t xml:space="preserve"> </w:t>
      </w:r>
    </w:p>
    <w:p w14:paraId="0B960E53" w14:textId="77777777" w:rsidR="004D6470" w:rsidRPr="009E58F7" w:rsidRDefault="004D6470" w:rsidP="00D7256D">
      <w:pPr>
        <w:widowControl w:val="0"/>
        <w:autoSpaceDE w:val="0"/>
        <w:autoSpaceDN w:val="0"/>
        <w:adjustRightInd w:val="0"/>
        <w:spacing w:line="240" w:lineRule="auto"/>
      </w:pPr>
    </w:p>
    <w:p w14:paraId="16B033A3" w14:textId="77777777" w:rsidR="004D6470" w:rsidRPr="009E58F7" w:rsidRDefault="004D6470" w:rsidP="007070F2">
      <w:pPr>
        <w:keepNext/>
        <w:autoSpaceDE w:val="0"/>
        <w:autoSpaceDN w:val="0"/>
        <w:adjustRightInd w:val="0"/>
        <w:spacing w:line="240" w:lineRule="auto"/>
      </w:pPr>
      <w:r w:rsidRPr="009E58F7">
        <w:rPr>
          <w:i/>
          <w:color w:val="000000"/>
        </w:rPr>
        <w:t>Köpenysejtes lymphoma (MCL)</w:t>
      </w:r>
    </w:p>
    <w:p w14:paraId="00B9B183" w14:textId="420276C8" w:rsidR="004D6470" w:rsidRPr="009E58F7" w:rsidRDefault="005B27B7" w:rsidP="007070F2">
      <w:pPr>
        <w:spacing w:line="240" w:lineRule="auto"/>
        <w:contextualSpacing/>
      </w:pPr>
      <w:r w:rsidRPr="009E58F7">
        <w:t>A</w:t>
      </w:r>
      <w:r w:rsidR="00227E2A" w:rsidRPr="009E58F7">
        <w:rPr>
          <w:rFonts w:eastAsiaTheme="minorHAnsi"/>
        </w:rPr>
        <w:t xml:space="preserve"> </w:t>
      </w:r>
      <w:r w:rsidR="004D6470" w:rsidRPr="009E58F7">
        <w:rPr>
          <w:rFonts w:eastAsiaTheme="minorHAnsi"/>
        </w:rPr>
        <w:t>240, rituximabbal, ciklofoszfamiddal, doxorubicinnel és prednizonnal kombinált, 1,3</w:t>
      </w:r>
      <w:r w:rsidR="004D6470" w:rsidRPr="009E58F7">
        <w:t> </w:t>
      </w:r>
      <w:r w:rsidR="004D6470" w:rsidRPr="009E58F7">
        <w:rPr>
          <w:rFonts w:eastAsiaTheme="minorHAnsi"/>
        </w:rPr>
        <w:t>mg/m</w:t>
      </w:r>
      <w:r w:rsidR="004D6470" w:rsidRPr="009E58F7">
        <w:rPr>
          <w:rFonts w:eastAsiaTheme="minorHAnsi"/>
          <w:vertAlign w:val="superscript"/>
        </w:rPr>
        <w:t>2</w:t>
      </w:r>
      <w:r w:rsidR="004D6470" w:rsidRPr="009E58F7">
        <w:rPr>
          <w:rFonts w:eastAsiaTheme="minorHAnsi"/>
        </w:rPr>
        <w:t xml:space="preserve"> javasolt </w:t>
      </w:r>
      <w:r w:rsidR="004D6470" w:rsidRPr="009E58F7">
        <w:t>dózisban</w:t>
      </w:r>
      <w:r w:rsidR="004D6470" w:rsidRPr="009E58F7">
        <w:rPr>
          <w:rFonts w:eastAsiaTheme="minorHAnsi"/>
        </w:rPr>
        <w:t xml:space="preserve"> adott </w:t>
      </w:r>
      <w:r w:rsidR="008B6253" w:rsidRPr="009E58F7">
        <w:t>bortezomib</w:t>
      </w:r>
      <w:r w:rsidR="00E04992" w:rsidRPr="009E58F7">
        <w:t>ba</w:t>
      </w:r>
      <w:r w:rsidR="00C5286C" w:rsidRPr="009E58F7">
        <w:t>l (</w:t>
      </w:r>
      <w:r w:rsidR="00E708C1" w:rsidRPr="009E58F7">
        <w:t>BzR</w:t>
      </w:r>
      <w:r w:rsidR="003F0F42">
        <w:rPr>
          <w:rFonts w:eastAsiaTheme="minorHAnsi"/>
        </w:rPr>
        <w:t>-</w:t>
      </w:r>
      <w:r w:rsidR="004D6470" w:rsidRPr="009E58F7">
        <w:rPr>
          <w:rFonts w:eastAsiaTheme="minorHAnsi"/>
        </w:rPr>
        <w:t xml:space="preserve">CAP) kezelt betegnél, </w:t>
      </w:r>
      <w:r w:rsidR="00227E2A" w:rsidRPr="009E58F7">
        <w:t>és a</w:t>
      </w:r>
      <w:r w:rsidR="004D6470" w:rsidRPr="009E58F7">
        <w:rPr>
          <w:rFonts w:eastAsiaTheme="minorHAnsi"/>
        </w:rPr>
        <w:t xml:space="preserve"> 242, rituximabbal, ciklofoszfamiddal, doxorubicinnel, vinkrisztinnel és prednizonnal [R</w:t>
      </w:r>
      <w:r w:rsidR="003F0F42">
        <w:rPr>
          <w:rFonts w:eastAsiaTheme="minorHAnsi"/>
        </w:rPr>
        <w:t>-</w:t>
      </w:r>
      <w:r w:rsidR="004D6470" w:rsidRPr="009E58F7">
        <w:rPr>
          <w:rFonts w:eastAsiaTheme="minorHAnsi"/>
        </w:rPr>
        <w:t xml:space="preserve">CHOP] kezelt </w:t>
      </w:r>
      <w:bookmarkStart w:id="29" w:name="page111"/>
      <w:bookmarkEnd w:id="29"/>
      <w:r w:rsidR="004D6470" w:rsidRPr="009E58F7">
        <w:t>beteg</w:t>
      </w:r>
      <w:r w:rsidR="00227E2A" w:rsidRPr="009E58F7">
        <w:t xml:space="preserve"> esetében</w:t>
      </w:r>
      <w:r w:rsidR="004D6470" w:rsidRPr="009E58F7">
        <w:t xml:space="preserve"> </w:t>
      </w:r>
      <w:r w:rsidRPr="009E58F7">
        <w:t xml:space="preserve">a </w:t>
      </w:r>
      <w:r w:rsidRPr="009E58F7">
        <w:rPr>
          <w:iCs/>
        </w:rPr>
        <w:t xml:space="preserve">bortezomib </w:t>
      </w:r>
      <w:r w:rsidRPr="009E58F7">
        <w:t>biztonságossági profilja közel azonosnak bizonyult ahhoz, amit</w:t>
      </w:r>
      <w:r w:rsidRPr="009E58F7">
        <w:rPr>
          <w:rFonts w:eastAsiaTheme="minorHAnsi"/>
        </w:rPr>
        <w:t xml:space="preserve"> a </w:t>
      </w:r>
      <w:r w:rsidR="004D6470" w:rsidRPr="009E58F7">
        <w:rPr>
          <w:rFonts w:eastAsiaTheme="minorHAnsi"/>
        </w:rPr>
        <w:t xml:space="preserve">myeloma multiplexes betegeknél </w:t>
      </w:r>
      <w:r w:rsidR="004D6470" w:rsidRPr="009E58F7">
        <w:t>megfigyelt</w:t>
      </w:r>
      <w:r w:rsidRPr="009E58F7">
        <w:t>ek</w:t>
      </w:r>
      <w:r w:rsidR="004D6470" w:rsidRPr="009E58F7">
        <w:rPr>
          <w:rFonts w:eastAsiaTheme="minorHAnsi"/>
        </w:rPr>
        <w:t xml:space="preserve">, a fő különbségek alább </w:t>
      </w:r>
      <w:r w:rsidRPr="009E58F7">
        <w:t>kerülnek ismertetésre</w:t>
      </w:r>
      <w:r w:rsidR="004D6470" w:rsidRPr="009E58F7">
        <w:t>.</w:t>
      </w:r>
      <w:r w:rsidR="004D6470" w:rsidRPr="009E58F7">
        <w:rPr>
          <w:rFonts w:eastAsiaTheme="minorHAnsi"/>
        </w:rPr>
        <w:t xml:space="preserve"> A kombinált kezelés (</w:t>
      </w:r>
      <w:r w:rsidR="00E708C1" w:rsidRPr="009E58F7">
        <w:t>BzR</w:t>
      </w:r>
      <w:r w:rsidR="003F0F42">
        <w:t>-</w:t>
      </w:r>
      <w:r w:rsidR="004D6470" w:rsidRPr="009E58F7">
        <w:rPr>
          <w:rFonts w:eastAsiaTheme="minorHAnsi"/>
        </w:rPr>
        <w:t xml:space="preserve">CAP) alkalmazásával összefüggő, további azonosított, gyógyszer </w:t>
      </w:r>
      <w:r w:rsidR="00227E2A" w:rsidRPr="009E58F7">
        <w:t>által előidézett</w:t>
      </w:r>
      <w:r w:rsidR="004D6470" w:rsidRPr="009E58F7">
        <w:t xml:space="preserve"> </w:t>
      </w:r>
      <w:r w:rsidR="004D6470" w:rsidRPr="009E58F7">
        <w:rPr>
          <w:rFonts w:eastAsiaTheme="minorHAnsi"/>
        </w:rPr>
        <w:t>mellékhatás volt a hepatitis</w:t>
      </w:r>
      <w:r w:rsidR="00E04992" w:rsidRPr="009E58F7">
        <w:rPr>
          <w:rFonts w:eastAsiaTheme="minorHAnsi"/>
        </w:rPr>
        <w:t> </w:t>
      </w:r>
      <w:r w:rsidR="004D6470" w:rsidRPr="009E58F7">
        <w:rPr>
          <w:rFonts w:eastAsiaTheme="minorHAnsi"/>
        </w:rPr>
        <w:t>B</w:t>
      </w:r>
      <w:r w:rsidR="002F76AD">
        <w:rPr>
          <w:rFonts w:eastAsiaTheme="minorHAnsi"/>
        </w:rPr>
        <w:t>-</w:t>
      </w:r>
      <w:r w:rsidR="004D6470" w:rsidRPr="009E58F7">
        <w:rPr>
          <w:rFonts w:eastAsiaTheme="minorHAnsi"/>
        </w:rPr>
        <w:t>fertőzés (&lt;</w:t>
      </w:r>
      <w:r w:rsidR="00227E2A" w:rsidRPr="009E58F7">
        <w:t> </w:t>
      </w:r>
      <w:r w:rsidR="004D6470" w:rsidRPr="009E58F7">
        <w:rPr>
          <w:rFonts w:eastAsiaTheme="minorHAnsi"/>
        </w:rPr>
        <w:t xml:space="preserve">1%) és a myocardialis ischaemia (1,3%). </w:t>
      </w:r>
      <w:r w:rsidR="00227E2A" w:rsidRPr="009E58F7">
        <w:t xml:space="preserve">Mivel ezen </w:t>
      </w:r>
      <w:r w:rsidR="004D6470" w:rsidRPr="009E58F7">
        <w:t>események</w:t>
      </w:r>
      <w:r w:rsidR="004D6470" w:rsidRPr="009E58F7">
        <w:rPr>
          <w:rFonts w:eastAsiaTheme="minorHAnsi"/>
        </w:rPr>
        <w:t xml:space="preserve"> a két terápiás </w:t>
      </w:r>
      <w:r w:rsidR="004D6470" w:rsidRPr="009E58F7">
        <w:t>kar</w:t>
      </w:r>
      <w:r w:rsidR="00227E2A" w:rsidRPr="009E58F7">
        <w:t>on</w:t>
      </w:r>
      <w:r w:rsidR="004D6470" w:rsidRPr="009E58F7">
        <w:rPr>
          <w:rFonts w:eastAsiaTheme="minorHAnsi"/>
        </w:rPr>
        <w:t xml:space="preserve"> hasonló </w:t>
      </w:r>
      <w:r w:rsidR="004D6470" w:rsidRPr="009E58F7">
        <w:t>gyakoriság</w:t>
      </w:r>
      <w:r w:rsidR="00227E2A" w:rsidRPr="009E58F7">
        <w:t>gal fordultak elő, ez</w:t>
      </w:r>
      <w:r w:rsidR="00227E2A" w:rsidRPr="009E58F7">
        <w:rPr>
          <w:rFonts w:eastAsiaTheme="minorHAnsi"/>
        </w:rPr>
        <w:t xml:space="preserve"> </w:t>
      </w:r>
      <w:r w:rsidR="004D6470" w:rsidRPr="009E58F7">
        <w:rPr>
          <w:rFonts w:eastAsiaTheme="minorHAnsi"/>
        </w:rPr>
        <w:t xml:space="preserve">arra utal, hogy </w:t>
      </w:r>
      <w:r w:rsidR="00227E2A" w:rsidRPr="009E58F7">
        <w:t>az ilyen,</w:t>
      </w:r>
      <w:r w:rsidR="00227E2A" w:rsidRPr="009E58F7">
        <w:rPr>
          <w:rFonts w:eastAsiaTheme="minorHAnsi"/>
        </w:rPr>
        <w:t xml:space="preserve"> </w:t>
      </w:r>
      <w:r w:rsidR="004D6470" w:rsidRPr="009E58F7">
        <w:rPr>
          <w:rFonts w:eastAsiaTheme="minorHAnsi"/>
        </w:rPr>
        <w:t xml:space="preserve">gyógyszer okozta mellékhatások nem tulajdoníthatók </w:t>
      </w:r>
      <w:r w:rsidR="00E04992" w:rsidRPr="009E58F7">
        <w:rPr>
          <w:rFonts w:eastAsiaTheme="minorHAnsi"/>
        </w:rPr>
        <w:t>önmagában</w:t>
      </w:r>
      <w:r w:rsidR="004D6470" w:rsidRPr="009E58F7">
        <w:rPr>
          <w:rFonts w:eastAsiaTheme="minorHAnsi"/>
        </w:rPr>
        <w:t xml:space="preserve"> a </w:t>
      </w:r>
      <w:r w:rsidR="008B6253" w:rsidRPr="009E58F7">
        <w:t>bortezomib</w:t>
      </w:r>
      <w:r w:rsidR="00C5286C" w:rsidRPr="009E58F7">
        <w:t>n</w:t>
      </w:r>
      <w:r w:rsidR="00E04992" w:rsidRPr="009E58F7">
        <w:t>a</w:t>
      </w:r>
      <w:r w:rsidR="00C5286C" w:rsidRPr="009E58F7">
        <w:t>k.</w:t>
      </w:r>
      <w:r w:rsidR="004D6470" w:rsidRPr="009E58F7">
        <w:t xml:space="preserve"> </w:t>
      </w:r>
      <w:r w:rsidR="004D6470" w:rsidRPr="009E58F7">
        <w:rPr>
          <w:rFonts w:eastAsiaTheme="minorHAnsi"/>
        </w:rPr>
        <w:t>A myeloma multiplex vizsgálatokban részt</w:t>
      </w:r>
      <w:r w:rsidR="009524D5">
        <w:rPr>
          <w:rFonts w:eastAsiaTheme="minorHAnsi"/>
        </w:rPr>
        <w:t xml:space="preserve"> </w:t>
      </w:r>
      <w:r w:rsidR="004D6470" w:rsidRPr="009E58F7">
        <w:rPr>
          <w:rFonts w:eastAsiaTheme="minorHAnsi"/>
        </w:rPr>
        <w:t xml:space="preserve">vevő </w:t>
      </w:r>
      <w:r w:rsidR="004D6470" w:rsidRPr="009E58F7">
        <w:t>betegek</w:t>
      </w:r>
      <w:r w:rsidR="00227E2A" w:rsidRPr="009E58F7">
        <w:t>kel összevetve</w:t>
      </w:r>
      <w:r w:rsidR="004D6470" w:rsidRPr="009E58F7">
        <w:rPr>
          <w:rFonts w:eastAsiaTheme="minorHAnsi"/>
        </w:rPr>
        <w:t xml:space="preserve"> a köpenysejtes lymphomában szenvedő betegpopulációban </w:t>
      </w:r>
      <w:r w:rsidR="00227E2A" w:rsidRPr="009E58F7">
        <w:t>jelentős</w:t>
      </w:r>
      <w:r w:rsidR="004D6470" w:rsidRPr="009E58F7">
        <w:rPr>
          <w:rFonts w:eastAsiaTheme="minorHAnsi"/>
        </w:rPr>
        <w:t xml:space="preserve"> különbség volt a hematológiai mellékhatások (neutropenia, thrombocytopenia, leukopenia, anaemia, lymphopenia), a </w:t>
      </w:r>
      <w:r w:rsidR="004D6470" w:rsidRPr="009E58F7">
        <w:rPr>
          <w:rFonts w:eastAsiaTheme="minorHAnsi"/>
        </w:rPr>
        <w:lastRenderedPageBreak/>
        <w:t xml:space="preserve">perifériás szenzoros neuropathia, a hypertonia, a láz, a pneumonia, a stomatitis és a haj </w:t>
      </w:r>
      <w:r w:rsidR="004D6470" w:rsidRPr="009E58F7">
        <w:t>betegsége</w:t>
      </w:r>
      <w:r w:rsidR="00556CCD" w:rsidRPr="009E58F7">
        <w:t>ine</w:t>
      </w:r>
      <w:r w:rsidR="004D6470" w:rsidRPr="009E58F7">
        <w:t>k ≥</w:t>
      </w:r>
      <w:r w:rsidR="00227E2A" w:rsidRPr="009E58F7">
        <w:t> </w:t>
      </w:r>
      <w:r w:rsidR="004D6470" w:rsidRPr="009E58F7">
        <w:rPr>
          <w:rFonts w:eastAsiaTheme="minorHAnsi"/>
        </w:rPr>
        <w:t>5%-kal magasabb előfordulási gyakorisága.</w:t>
      </w:r>
    </w:p>
    <w:p w14:paraId="6EDB9207" w14:textId="77777777" w:rsidR="00227E2A" w:rsidRPr="009E58F7" w:rsidRDefault="00227E2A" w:rsidP="003D25C3">
      <w:pPr>
        <w:pStyle w:val="Nincstrkz"/>
      </w:pPr>
    </w:p>
    <w:p w14:paraId="787E1385" w14:textId="7B3817BD" w:rsidR="004D6470" w:rsidRPr="009E58F7" w:rsidRDefault="004D6470">
      <w:pPr>
        <w:spacing w:line="240" w:lineRule="auto"/>
        <w:contextualSpacing/>
      </w:pPr>
      <w:r w:rsidRPr="009E58F7">
        <w:t>Azok</w:t>
      </w:r>
      <w:r w:rsidRPr="009E58F7">
        <w:rPr>
          <w:rFonts w:eastAsiaTheme="minorHAnsi"/>
        </w:rPr>
        <w:t xml:space="preserve"> a gyógyszer okozta mellékhatások, melyeknek előfordulási gyakorisága ≥</w:t>
      </w:r>
      <w:r w:rsidR="00227E2A" w:rsidRPr="009E58F7">
        <w:t> </w:t>
      </w:r>
      <w:r w:rsidRPr="009E58F7">
        <w:rPr>
          <w:rFonts w:eastAsiaTheme="minorHAnsi"/>
        </w:rPr>
        <w:t xml:space="preserve">1%, </w:t>
      </w:r>
      <w:r w:rsidR="00CA7EED" w:rsidRPr="009E58F7">
        <w:t xml:space="preserve">és </w:t>
      </w:r>
      <w:r w:rsidRPr="009E58F7">
        <w:t xml:space="preserve">amelyek </w:t>
      </w:r>
      <w:r w:rsidR="00CA7EED" w:rsidRPr="009E58F7">
        <w:t>a B</w:t>
      </w:r>
      <w:r w:rsidR="00E04992" w:rsidRPr="009E58F7">
        <w:t>zR</w:t>
      </w:r>
      <w:r w:rsidR="003F0F42">
        <w:t>-</w:t>
      </w:r>
      <w:r w:rsidR="00CA7EED" w:rsidRPr="009E58F7">
        <w:t>CAP-karon</w:t>
      </w:r>
      <w:r w:rsidR="00CA7EED" w:rsidRPr="009E58F7">
        <w:rPr>
          <w:rFonts w:eastAsiaTheme="minorHAnsi"/>
        </w:rPr>
        <w:t xml:space="preserve"> </w:t>
      </w:r>
      <w:r w:rsidRPr="009E58F7">
        <w:rPr>
          <w:rFonts w:eastAsiaTheme="minorHAnsi"/>
        </w:rPr>
        <w:t xml:space="preserve">hasonló </w:t>
      </w:r>
      <w:r w:rsidR="00CA7EED" w:rsidRPr="009E58F7">
        <w:t xml:space="preserve">gyakorisággal </w:t>
      </w:r>
      <w:r w:rsidRPr="009E58F7">
        <w:rPr>
          <w:rFonts w:eastAsiaTheme="minorHAnsi"/>
        </w:rPr>
        <w:t xml:space="preserve">vagy </w:t>
      </w:r>
      <w:r w:rsidR="00CA7EED" w:rsidRPr="009E58F7">
        <w:t>gyakrabban fordultak elő, és amelyek</w:t>
      </w:r>
      <w:r w:rsidR="00CA7EED" w:rsidRPr="009E58F7">
        <w:rPr>
          <w:rFonts w:eastAsiaTheme="minorHAnsi"/>
        </w:rPr>
        <w:t xml:space="preserve"> </w:t>
      </w:r>
      <w:r w:rsidRPr="009E58F7">
        <w:rPr>
          <w:rFonts w:eastAsiaTheme="minorHAnsi"/>
        </w:rPr>
        <w:t xml:space="preserve">legalább lehetséges vagy valószínű </w:t>
      </w:r>
      <w:r w:rsidRPr="009E58F7">
        <w:t>ok</w:t>
      </w:r>
      <w:r w:rsidR="003F0F42">
        <w:t>-</w:t>
      </w:r>
      <w:r w:rsidR="00CA7EED" w:rsidRPr="009E58F7">
        <w:t>okozat</w:t>
      </w:r>
      <w:r w:rsidRPr="009E58F7">
        <w:t>i</w:t>
      </w:r>
      <w:r w:rsidRPr="009E58F7">
        <w:rPr>
          <w:rFonts w:eastAsiaTheme="minorHAnsi"/>
        </w:rPr>
        <w:t xml:space="preserve"> összefüggésben vannak a </w:t>
      </w:r>
      <w:r w:rsidR="00E708C1" w:rsidRPr="009E58F7">
        <w:t>BzR</w:t>
      </w:r>
      <w:r w:rsidRPr="009E58F7">
        <w:rPr>
          <w:rFonts w:eastAsiaTheme="minorHAnsi"/>
        </w:rPr>
        <w:t xml:space="preserve">-CAP-kar összetevőivel, </w:t>
      </w:r>
      <w:r w:rsidR="00CA7EED" w:rsidRPr="009E58F7">
        <w:t xml:space="preserve">alább </w:t>
      </w:r>
      <w:r w:rsidRPr="009E58F7">
        <w:t>a</w:t>
      </w:r>
      <w:r w:rsidRPr="009E58F7">
        <w:rPr>
          <w:rFonts w:eastAsiaTheme="minorHAnsi"/>
        </w:rPr>
        <w:t xml:space="preserve"> 8.</w:t>
      </w:r>
      <w:r w:rsidR="00E04992" w:rsidRPr="009E58F7">
        <w:rPr>
          <w:rFonts w:eastAsiaTheme="minorHAnsi"/>
        </w:rPr>
        <w:t> </w:t>
      </w:r>
      <w:r w:rsidRPr="009E58F7">
        <w:rPr>
          <w:rFonts w:eastAsiaTheme="minorHAnsi"/>
        </w:rPr>
        <w:t xml:space="preserve">táblázatban kerülnek felsorolásra. </w:t>
      </w:r>
      <w:r w:rsidRPr="009E58F7">
        <w:t>A</w:t>
      </w:r>
      <w:r w:rsidR="00CA7EED" w:rsidRPr="009E58F7">
        <w:t xml:space="preserve"> táblázat a</w:t>
      </w:r>
      <w:r w:rsidRPr="009E58F7">
        <w:t>zokat</w:t>
      </w:r>
      <w:r w:rsidRPr="009E58F7">
        <w:rPr>
          <w:rFonts w:eastAsiaTheme="minorHAnsi"/>
        </w:rPr>
        <w:t xml:space="preserve"> a </w:t>
      </w:r>
      <w:r w:rsidR="00E708C1" w:rsidRPr="009E58F7">
        <w:t>BzR</w:t>
      </w:r>
      <w:r w:rsidR="003F0F42">
        <w:rPr>
          <w:rFonts w:eastAsiaTheme="minorHAnsi"/>
        </w:rPr>
        <w:t>-</w:t>
      </w:r>
      <w:r w:rsidRPr="009E58F7">
        <w:rPr>
          <w:rFonts w:eastAsiaTheme="minorHAnsi"/>
        </w:rPr>
        <w:t xml:space="preserve">CAP-karon azonosított gyógyszer okozta mellékhatásokat is tartalmazza, </w:t>
      </w:r>
      <w:r w:rsidRPr="009E58F7">
        <w:t>amelyek</w:t>
      </w:r>
      <w:r w:rsidR="00ED6331" w:rsidRPr="009E58F7">
        <w:t>ről</w:t>
      </w:r>
      <w:r w:rsidRPr="009E58F7">
        <w:rPr>
          <w:rFonts w:eastAsiaTheme="minorHAnsi"/>
        </w:rPr>
        <w:t xml:space="preserve"> a vizsgálatot végzők a myeloma multiplexben végzett vizsgálatokból származó korábbi adatok alapján </w:t>
      </w:r>
      <w:r w:rsidR="00ED6331" w:rsidRPr="009E58F7">
        <w:t xml:space="preserve">úgy gondolták, hogy </w:t>
      </w:r>
      <w:r w:rsidRPr="009E58F7">
        <w:rPr>
          <w:rFonts w:eastAsiaTheme="minorHAnsi"/>
        </w:rPr>
        <w:t xml:space="preserve">legalább lehetségesen vagy valószínűleg </w:t>
      </w:r>
      <w:r w:rsidR="009524D5">
        <w:rPr>
          <w:rFonts w:eastAsiaTheme="minorHAnsi"/>
        </w:rPr>
        <w:t>ok-</w:t>
      </w:r>
      <w:r w:rsidRPr="009E58F7">
        <w:rPr>
          <w:rFonts w:eastAsiaTheme="minorHAnsi"/>
        </w:rPr>
        <w:t>ok</w:t>
      </w:r>
      <w:r w:rsidR="009524D5">
        <w:rPr>
          <w:rFonts w:eastAsiaTheme="minorHAnsi"/>
        </w:rPr>
        <w:t>ozat</w:t>
      </w:r>
      <w:r w:rsidRPr="009E58F7">
        <w:rPr>
          <w:rFonts w:eastAsiaTheme="minorHAnsi"/>
        </w:rPr>
        <w:t xml:space="preserve">i összefüggésben </w:t>
      </w:r>
      <w:r w:rsidR="00ED6331" w:rsidRPr="009E58F7">
        <w:t xml:space="preserve">vannak </w:t>
      </w:r>
      <w:r w:rsidRPr="009E58F7">
        <w:t xml:space="preserve">a </w:t>
      </w:r>
      <w:r w:rsidRPr="009E58F7">
        <w:rPr>
          <w:iCs/>
        </w:rPr>
        <w:t>bortezomibbal</w:t>
      </w:r>
      <w:r w:rsidRPr="009E58F7">
        <w:rPr>
          <w:rFonts w:eastAsiaTheme="minorHAnsi"/>
        </w:rPr>
        <w:t>.</w:t>
      </w:r>
    </w:p>
    <w:p w14:paraId="17BFE029" w14:textId="77777777" w:rsidR="00CA7EED" w:rsidRPr="009E58F7" w:rsidRDefault="00CA7EED">
      <w:pPr>
        <w:pStyle w:val="Nincstrkz"/>
      </w:pPr>
    </w:p>
    <w:p w14:paraId="37074EB3" w14:textId="7CA5312D" w:rsidR="004D6470" w:rsidRPr="009E58F7" w:rsidRDefault="004D6470">
      <w:pPr>
        <w:pStyle w:val="Nincstrkz"/>
      </w:pPr>
      <w:r w:rsidRPr="009E58F7">
        <w:t>A mellékhatások az alábbiakban szervrendszeri kategóriánként és gyakoriság szerint vannak felsorolva. A gyakorisági kategóriák meghatározása: nagyon gyakori (≥</w:t>
      </w:r>
      <w:r w:rsidR="00E04992" w:rsidRPr="009E58F7">
        <w:t> </w:t>
      </w:r>
      <w:r w:rsidRPr="009E58F7">
        <w:t>1/10), gyakori (≥</w:t>
      </w:r>
      <w:r w:rsidR="00E04992" w:rsidRPr="009E58F7">
        <w:t> </w:t>
      </w:r>
      <w:r w:rsidRPr="009E58F7">
        <w:t>1/100</w:t>
      </w:r>
      <w:r w:rsidR="00E04992" w:rsidRPr="009E58F7">
        <w:t> </w:t>
      </w:r>
      <w:r w:rsidR="003F0F42">
        <w:t>-</w:t>
      </w:r>
      <w:r w:rsidR="00E04992" w:rsidRPr="009E58F7">
        <w:t> </w:t>
      </w:r>
      <w:r w:rsidRPr="009E58F7">
        <w:t>&lt;</w:t>
      </w:r>
      <w:r w:rsidR="00D9445D" w:rsidRPr="009E58F7">
        <w:t> </w:t>
      </w:r>
      <w:r w:rsidRPr="009E58F7">
        <w:t>1/10), nem gyakori (≥</w:t>
      </w:r>
      <w:r w:rsidR="00E04992" w:rsidRPr="009E58F7">
        <w:t> </w:t>
      </w:r>
      <w:r w:rsidRPr="009E58F7">
        <w:t>1/1 000</w:t>
      </w:r>
      <w:r w:rsidR="00E04992" w:rsidRPr="009E58F7">
        <w:t> </w:t>
      </w:r>
      <w:r w:rsidR="003F0F42">
        <w:t>-</w:t>
      </w:r>
      <w:r w:rsidR="00E04992" w:rsidRPr="009E58F7">
        <w:t> </w:t>
      </w:r>
      <w:r w:rsidRPr="009E58F7">
        <w:t>1/100), ritka (≥</w:t>
      </w:r>
      <w:r w:rsidR="00E04992" w:rsidRPr="009E58F7">
        <w:t> </w:t>
      </w:r>
      <w:r w:rsidRPr="009E58F7">
        <w:t>1/10 000</w:t>
      </w:r>
      <w:r w:rsidR="00E04992" w:rsidRPr="009E58F7">
        <w:t> </w:t>
      </w:r>
      <w:r w:rsidR="003F0F42">
        <w:t>-</w:t>
      </w:r>
      <w:r w:rsidR="00E04992" w:rsidRPr="009E58F7">
        <w:t> </w:t>
      </w:r>
      <w:r w:rsidRPr="009E58F7">
        <w:t>&lt;</w:t>
      </w:r>
      <w:r w:rsidR="00E04992" w:rsidRPr="009E58F7">
        <w:t> </w:t>
      </w:r>
      <w:r w:rsidRPr="009E58F7">
        <w:t>1/1 000) és nagyon ritka (&lt;</w:t>
      </w:r>
      <w:r w:rsidR="00D9445D" w:rsidRPr="009E58F7">
        <w:t> </w:t>
      </w:r>
      <w:r w:rsidRPr="009E58F7">
        <w:t xml:space="preserve">1/10 000), nem ismert (a </w:t>
      </w:r>
      <w:r w:rsidR="00E04992" w:rsidRPr="009E58F7">
        <w:t xml:space="preserve">gyakoriság a </w:t>
      </w:r>
      <w:r w:rsidRPr="009E58F7">
        <w:t>rendelkezésre álló adatokból nem állapítható meg). Az egyes gyakorisági kategóriákon belül a mellékhatások csökkenő súlyosság szerint kerülnek megadásra. A 8.</w:t>
      </w:r>
      <w:r w:rsidR="00E04992" w:rsidRPr="009E58F7">
        <w:t> </w:t>
      </w:r>
      <w:r w:rsidRPr="009E58F7">
        <w:t>táblázat a MedDRA 16.</w:t>
      </w:r>
      <w:r w:rsidR="00E04992" w:rsidRPr="009E58F7">
        <w:t> </w:t>
      </w:r>
      <w:r w:rsidRPr="009E58F7">
        <w:t>verziójának felhasználásával készült.</w:t>
      </w:r>
    </w:p>
    <w:p w14:paraId="200C0BCC" w14:textId="77777777" w:rsidR="00764C16" w:rsidRPr="009E58F7" w:rsidRDefault="00764C16">
      <w:pPr>
        <w:pStyle w:val="Nincstrkz"/>
      </w:pPr>
    </w:p>
    <w:p w14:paraId="26F635E2" w14:textId="6E9E168E" w:rsidR="004D6470" w:rsidRPr="009E58F7" w:rsidRDefault="004D6470" w:rsidP="00602E58">
      <w:pPr>
        <w:keepNext/>
        <w:autoSpaceDE w:val="0"/>
        <w:autoSpaceDN w:val="0"/>
        <w:adjustRightInd w:val="0"/>
        <w:spacing w:line="240" w:lineRule="auto"/>
        <w:ind w:left="1440" w:hanging="1440"/>
        <w:rPr>
          <w:i/>
          <w:color w:val="000000"/>
        </w:rPr>
      </w:pPr>
      <w:r w:rsidRPr="009E58F7">
        <w:rPr>
          <w:i/>
          <w:color w:val="000000"/>
        </w:rPr>
        <w:t>8.</w:t>
      </w:r>
      <w:r w:rsidR="00764C16" w:rsidRPr="009E58F7">
        <w:rPr>
          <w:i/>
          <w:color w:val="000000"/>
        </w:rPr>
        <w:t> </w:t>
      </w:r>
      <w:r w:rsidRPr="009E58F7">
        <w:rPr>
          <w:i/>
          <w:color w:val="000000"/>
        </w:rPr>
        <w:t>táblázat</w:t>
      </w:r>
      <w:r w:rsidR="001D14D0">
        <w:rPr>
          <w:i/>
          <w:color w:val="000000"/>
        </w:rPr>
        <w:t>:</w:t>
      </w:r>
      <w:r w:rsidR="00764C16" w:rsidRPr="009E58F7">
        <w:rPr>
          <w:i/>
          <w:color w:val="000000"/>
        </w:rPr>
        <w:tab/>
      </w:r>
      <w:r w:rsidR="00D019A6" w:rsidRPr="009E58F7">
        <w:rPr>
          <w:i/>
          <w:color w:val="000000"/>
        </w:rPr>
        <w:t xml:space="preserve">Egy klinikai vizsgálatban </w:t>
      </w:r>
      <w:r w:rsidR="00E708C1" w:rsidRPr="009E58F7">
        <w:rPr>
          <w:i/>
          <w:iCs/>
          <w:sz w:val="21"/>
          <w:szCs w:val="21"/>
        </w:rPr>
        <w:t>BzR</w:t>
      </w:r>
      <w:r w:rsidRPr="009E58F7">
        <w:rPr>
          <w:i/>
          <w:color w:val="000000"/>
        </w:rPr>
        <w:t>-CAP-pal kezelt, köpenysejtes lymphomában szenvedő betegeknél észlelt mellékhatások</w:t>
      </w:r>
    </w:p>
    <w:tbl>
      <w:tblPr>
        <w:tblW w:w="933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38"/>
        <w:gridCol w:w="1701"/>
        <w:gridCol w:w="5795"/>
      </w:tblGrid>
      <w:tr w:rsidR="00A74B21" w:rsidRPr="009E58F7" w14:paraId="6E4E48BB" w14:textId="77777777" w:rsidTr="00E26B3B">
        <w:trPr>
          <w:tblHeader/>
        </w:trPr>
        <w:tc>
          <w:tcPr>
            <w:tcW w:w="1838" w:type="dxa"/>
            <w:shd w:val="clear" w:color="auto" w:fill="auto"/>
            <w:vAlign w:val="bottom"/>
          </w:tcPr>
          <w:p w14:paraId="4F824137" w14:textId="1FD32969" w:rsidR="00E04992" w:rsidRPr="009E58F7" w:rsidRDefault="00E04992" w:rsidP="007070F2">
            <w:pPr>
              <w:keepNext/>
              <w:autoSpaceDE w:val="0"/>
              <w:autoSpaceDN w:val="0"/>
              <w:adjustRightInd w:val="0"/>
              <w:spacing w:line="240" w:lineRule="auto"/>
              <w:ind w:left="80"/>
              <w:jc w:val="center"/>
            </w:pPr>
            <w:r w:rsidRPr="009E58F7">
              <w:rPr>
                <w:b/>
                <w:bCs/>
                <w:color w:val="000000"/>
              </w:rPr>
              <w:t>Szervrendszer</w:t>
            </w:r>
          </w:p>
        </w:tc>
        <w:tc>
          <w:tcPr>
            <w:tcW w:w="1701" w:type="dxa"/>
            <w:shd w:val="clear" w:color="auto" w:fill="auto"/>
          </w:tcPr>
          <w:p w14:paraId="02926EBB" w14:textId="02E86AA7" w:rsidR="00E04992" w:rsidRPr="009E58F7" w:rsidRDefault="00E04992" w:rsidP="007070F2">
            <w:pPr>
              <w:keepNext/>
              <w:autoSpaceDE w:val="0"/>
              <w:autoSpaceDN w:val="0"/>
              <w:adjustRightInd w:val="0"/>
              <w:spacing w:line="240" w:lineRule="auto"/>
              <w:ind w:left="180" w:hanging="180"/>
              <w:jc w:val="center"/>
              <w:rPr>
                <w:b/>
                <w:bCs/>
                <w:lang w:eastAsia="cs-CZ"/>
              </w:rPr>
            </w:pPr>
            <w:r w:rsidRPr="009E58F7">
              <w:rPr>
                <w:b/>
                <w:bCs/>
                <w:color w:val="000000"/>
              </w:rPr>
              <w:t>Gyakoriság</w:t>
            </w:r>
          </w:p>
        </w:tc>
        <w:tc>
          <w:tcPr>
            <w:tcW w:w="5795" w:type="dxa"/>
            <w:shd w:val="clear" w:color="auto" w:fill="auto"/>
          </w:tcPr>
          <w:p w14:paraId="174FDFED" w14:textId="3DC069E9" w:rsidR="00E04992" w:rsidRPr="009E58F7" w:rsidRDefault="00E04992" w:rsidP="007070F2">
            <w:pPr>
              <w:keepNext/>
              <w:autoSpaceDE w:val="0"/>
              <w:autoSpaceDN w:val="0"/>
              <w:adjustRightInd w:val="0"/>
              <w:spacing w:line="240" w:lineRule="auto"/>
              <w:ind w:left="2500" w:hanging="2500"/>
              <w:jc w:val="center"/>
              <w:rPr>
                <w:color w:val="000000"/>
              </w:rPr>
            </w:pPr>
            <w:r w:rsidRPr="009E58F7">
              <w:rPr>
                <w:b/>
                <w:color w:val="000000"/>
              </w:rPr>
              <w:t>Mellékhatás</w:t>
            </w:r>
          </w:p>
        </w:tc>
      </w:tr>
      <w:tr w:rsidR="00A74B21" w:rsidRPr="009E58F7" w14:paraId="5EA8B057" w14:textId="77777777" w:rsidTr="00E64005">
        <w:tc>
          <w:tcPr>
            <w:tcW w:w="1838" w:type="dxa"/>
            <w:vMerge w:val="restart"/>
            <w:shd w:val="clear" w:color="auto" w:fill="auto"/>
          </w:tcPr>
          <w:p w14:paraId="4C4932A2" w14:textId="63844D52" w:rsidR="004D6470" w:rsidRPr="009E58F7" w:rsidRDefault="004D6470" w:rsidP="00D7256D">
            <w:pPr>
              <w:keepNext/>
              <w:autoSpaceDE w:val="0"/>
              <w:autoSpaceDN w:val="0"/>
              <w:adjustRightInd w:val="0"/>
              <w:spacing w:line="240" w:lineRule="auto"/>
              <w:rPr>
                <w:color w:val="000000"/>
              </w:rPr>
            </w:pPr>
            <w:r w:rsidRPr="009E58F7">
              <w:rPr>
                <w:color w:val="000000"/>
              </w:rPr>
              <w:t>Fertőző betegségek és parazitafertőzések</w:t>
            </w:r>
          </w:p>
        </w:tc>
        <w:tc>
          <w:tcPr>
            <w:tcW w:w="1701" w:type="dxa"/>
            <w:shd w:val="clear" w:color="auto" w:fill="auto"/>
          </w:tcPr>
          <w:p w14:paraId="2F283EB4" w14:textId="65972C49" w:rsidR="004D6470" w:rsidRPr="009E58F7" w:rsidRDefault="00103820" w:rsidP="007070F2">
            <w:pPr>
              <w:keepNext/>
              <w:overflowPunct w:val="0"/>
              <w:autoSpaceDE w:val="0"/>
              <w:autoSpaceDN w:val="0"/>
              <w:adjustRightInd w:val="0"/>
              <w:spacing w:line="240" w:lineRule="auto"/>
              <w:rPr>
                <w:color w:val="000000"/>
              </w:rPr>
            </w:pPr>
            <w:r w:rsidRPr="009E58F7">
              <w:rPr>
                <w:color w:val="000000"/>
              </w:rPr>
              <w:t>N</w:t>
            </w:r>
            <w:r w:rsidR="004D6470" w:rsidRPr="009E58F7">
              <w:rPr>
                <w:color w:val="000000"/>
              </w:rPr>
              <w:t>agyon gyakori</w:t>
            </w:r>
          </w:p>
        </w:tc>
        <w:tc>
          <w:tcPr>
            <w:tcW w:w="5795" w:type="dxa"/>
            <w:shd w:val="clear" w:color="auto" w:fill="auto"/>
          </w:tcPr>
          <w:p w14:paraId="35FA4EAA" w14:textId="77777777" w:rsidR="004D6470" w:rsidRPr="009E58F7" w:rsidRDefault="004D6470" w:rsidP="007070F2">
            <w:pPr>
              <w:keepNext/>
              <w:overflowPunct w:val="0"/>
              <w:autoSpaceDE w:val="0"/>
              <w:autoSpaceDN w:val="0"/>
              <w:adjustRightInd w:val="0"/>
              <w:spacing w:line="240" w:lineRule="auto"/>
              <w:ind w:left="120"/>
              <w:rPr>
                <w:color w:val="000000"/>
              </w:rPr>
            </w:pPr>
            <w:r w:rsidRPr="009E58F7">
              <w:t>pneumonia*</w:t>
            </w:r>
          </w:p>
        </w:tc>
      </w:tr>
      <w:tr w:rsidR="00A74B21" w:rsidRPr="009E58F7" w14:paraId="706F0AF7" w14:textId="77777777" w:rsidTr="00E64005">
        <w:tc>
          <w:tcPr>
            <w:tcW w:w="1838" w:type="dxa"/>
            <w:vMerge/>
            <w:shd w:val="clear" w:color="auto" w:fill="auto"/>
          </w:tcPr>
          <w:p w14:paraId="0881D89E" w14:textId="77777777" w:rsidR="004D6470" w:rsidRPr="009E58F7" w:rsidRDefault="004D6470">
            <w:pPr>
              <w:keepNext/>
              <w:overflowPunct w:val="0"/>
              <w:autoSpaceDE w:val="0"/>
              <w:autoSpaceDN w:val="0"/>
              <w:adjustRightInd w:val="0"/>
              <w:spacing w:line="240" w:lineRule="auto"/>
              <w:rPr>
                <w:color w:val="000000"/>
              </w:rPr>
            </w:pPr>
          </w:p>
        </w:tc>
        <w:tc>
          <w:tcPr>
            <w:tcW w:w="1701" w:type="dxa"/>
            <w:shd w:val="clear" w:color="auto" w:fill="auto"/>
          </w:tcPr>
          <w:p w14:paraId="785FE529" w14:textId="77777777" w:rsidR="004D6470" w:rsidRPr="009E58F7" w:rsidRDefault="00103820">
            <w:pPr>
              <w:keepNext/>
              <w:overflowPunct w:val="0"/>
              <w:autoSpaceDE w:val="0"/>
              <w:autoSpaceDN w:val="0"/>
              <w:adjustRightInd w:val="0"/>
              <w:spacing w:line="240" w:lineRule="auto"/>
              <w:rPr>
                <w:color w:val="000000"/>
              </w:rPr>
            </w:pPr>
            <w:r w:rsidRPr="009E58F7">
              <w:rPr>
                <w:color w:val="000000"/>
              </w:rPr>
              <w:t>G</w:t>
            </w:r>
            <w:r w:rsidR="004D6470" w:rsidRPr="009E58F7">
              <w:rPr>
                <w:color w:val="000000"/>
              </w:rPr>
              <w:t>yakori</w:t>
            </w:r>
          </w:p>
        </w:tc>
        <w:tc>
          <w:tcPr>
            <w:tcW w:w="5795" w:type="dxa"/>
            <w:shd w:val="clear" w:color="auto" w:fill="auto"/>
          </w:tcPr>
          <w:p w14:paraId="11E745D7" w14:textId="685C785E" w:rsidR="004D6470" w:rsidRPr="009E58F7" w:rsidRDefault="004D6470">
            <w:pPr>
              <w:keepNext/>
              <w:autoSpaceDE w:val="0"/>
              <w:autoSpaceDN w:val="0"/>
              <w:adjustRightInd w:val="0"/>
              <w:spacing w:line="240" w:lineRule="auto"/>
              <w:ind w:left="120"/>
              <w:rPr>
                <w:color w:val="000000"/>
              </w:rPr>
            </w:pPr>
            <w:r w:rsidRPr="009E58F7">
              <w:t xml:space="preserve">sepsis (beleértve a septicus shockot is)*, herpes zoster (beleértve </w:t>
            </w:r>
            <w:r w:rsidR="001C4B29">
              <w:t>a</w:t>
            </w:r>
            <w:r w:rsidRPr="009E58F7">
              <w:t xml:space="preserve"> disszeminált és ophthalmicus formát is), herpesvírus</w:t>
            </w:r>
            <w:r w:rsidR="001C4B29">
              <w:t>-</w:t>
            </w:r>
            <w:r w:rsidRPr="009E58F7">
              <w:t>fertőzés*,bakteriális fertőzések*, felső/alsó légúti fertőzés*, gombák okozta fertőzés*, herpes simplex*</w:t>
            </w:r>
          </w:p>
        </w:tc>
      </w:tr>
      <w:tr w:rsidR="00A74B21" w:rsidRPr="009E58F7" w14:paraId="3CE1B1D8" w14:textId="77777777" w:rsidTr="00E64005">
        <w:tc>
          <w:tcPr>
            <w:tcW w:w="1838" w:type="dxa"/>
            <w:vMerge/>
            <w:shd w:val="clear" w:color="auto" w:fill="auto"/>
          </w:tcPr>
          <w:p w14:paraId="6F0498F8" w14:textId="77777777" w:rsidR="004D6470" w:rsidRPr="009E58F7" w:rsidRDefault="004D6470">
            <w:pPr>
              <w:keepNext/>
              <w:overflowPunct w:val="0"/>
              <w:autoSpaceDE w:val="0"/>
              <w:autoSpaceDN w:val="0"/>
              <w:adjustRightInd w:val="0"/>
              <w:spacing w:line="240" w:lineRule="auto"/>
              <w:rPr>
                <w:color w:val="000000"/>
              </w:rPr>
            </w:pPr>
          </w:p>
        </w:tc>
        <w:tc>
          <w:tcPr>
            <w:tcW w:w="1701" w:type="dxa"/>
            <w:shd w:val="clear" w:color="auto" w:fill="auto"/>
          </w:tcPr>
          <w:p w14:paraId="1E6D4A06" w14:textId="4B2D56F5" w:rsidR="004D6470" w:rsidRPr="009E58F7" w:rsidRDefault="00103820">
            <w:pPr>
              <w:keepNext/>
              <w:overflowPunct w:val="0"/>
              <w:autoSpaceDE w:val="0"/>
              <w:autoSpaceDN w:val="0"/>
              <w:adjustRightInd w:val="0"/>
              <w:spacing w:line="240" w:lineRule="auto"/>
              <w:rPr>
                <w:color w:val="000000"/>
              </w:rPr>
            </w:pPr>
            <w:r w:rsidRPr="009E58F7">
              <w:rPr>
                <w:color w:val="000000"/>
              </w:rPr>
              <w:t>N</w:t>
            </w:r>
            <w:r w:rsidR="004D6470" w:rsidRPr="009E58F7">
              <w:rPr>
                <w:color w:val="000000"/>
              </w:rPr>
              <w:t>em gyakori</w:t>
            </w:r>
          </w:p>
        </w:tc>
        <w:tc>
          <w:tcPr>
            <w:tcW w:w="5795" w:type="dxa"/>
            <w:shd w:val="clear" w:color="auto" w:fill="auto"/>
            <w:vAlign w:val="bottom"/>
          </w:tcPr>
          <w:p w14:paraId="61BD7942" w14:textId="77777777" w:rsidR="004D6470" w:rsidRPr="009E58F7" w:rsidRDefault="004D6470">
            <w:pPr>
              <w:keepNext/>
              <w:autoSpaceDE w:val="0"/>
              <w:autoSpaceDN w:val="0"/>
              <w:adjustRightInd w:val="0"/>
              <w:spacing w:line="240" w:lineRule="auto"/>
              <w:ind w:left="120"/>
            </w:pPr>
            <w:r w:rsidRPr="009E58F7">
              <w:t>hepatitis B, fertőzés*, bronchopneumonia</w:t>
            </w:r>
          </w:p>
        </w:tc>
      </w:tr>
      <w:tr w:rsidR="00A74B21" w:rsidRPr="009E58F7" w14:paraId="27FE7288" w14:textId="77777777" w:rsidTr="00E64005">
        <w:tc>
          <w:tcPr>
            <w:tcW w:w="1838" w:type="dxa"/>
            <w:vMerge w:val="restart"/>
            <w:shd w:val="clear" w:color="auto" w:fill="auto"/>
          </w:tcPr>
          <w:p w14:paraId="39706F48" w14:textId="6A36C441" w:rsidR="004D6470" w:rsidRPr="009E58F7" w:rsidRDefault="004D6470" w:rsidP="00D7256D">
            <w:pPr>
              <w:keepNext/>
              <w:spacing w:line="240" w:lineRule="auto"/>
            </w:pPr>
            <w:r w:rsidRPr="009E58F7">
              <w:t>Vérképzőszervi és nyirokrendszeri betegségek és tünetek</w:t>
            </w:r>
          </w:p>
        </w:tc>
        <w:tc>
          <w:tcPr>
            <w:tcW w:w="1701" w:type="dxa"/>
            <w:shd w:val="clear" w:color="auto" w:fill="auto"/>
          </w:tcPr>
          <w:p w14:paraId="2969DF65" w14:textId="5213D38B" w:rsidR="004D6470" w:rsidRPr="009E58F7" w:rsidRDefault="00103820" w:rsidP="007070F2">
            <w:pPr>
              <w:keepNext/>
              <w:overflowPunct w:val="0"/>
              <w:autoSpaceDE w:val="0"/>
              <w:autoSpaceDN w:val="0"/>
              <w:adjustRightInd w:val="0"/>
              <w:spacing w:line="240" w:lineRule="auto"/>
              <w:rPr>
                <w:color w:val="000000"/>
              </w:rPr>
            </w:pPr>
            <w:r w:rsidRPr="009E58F7">
              <w:rPr>
                <w:color w:val="000000"/>
              </w:rPr>
              <w:t>N</w:t>
            </w:r>
            <w:r w:rsidR="004D6470" w:rsidRPr="009E58F7">
              <w:rPr>
                <w:color w:val="000000"/>
              </w:rPr>
              <w:t>agyon</w:t>
            </w:r>
            <w:r w:rsidR="004D6470" w:rsidRPr="009E58F7">
              <w:rPr>
                <w:iCs/>
                <w:color w:val="000000"/>
              </w:rPr>
              <w:t xml:space="preserve"> </w:t>
            </w:r>
            <w:r w:rsidR="004D6470" w:rsidRPr="009E58F7">
              <w:rPr>
                <w:color w:val="000000"/>
              </w:rPr>
              <w:t>gyakori</w:t>
            </w:r>
          </w:p>
        </w:tc>
        <w:tc>
          <w:tcPr>
            <w:tcW w:w="5795" w:type="dxa"/>
            <w:shd w:val="clear" w:color="auto" w:fill="auto"/>
          </w:tcPr>
          <w:p w14:paraId="5DABEF0B" w14:textId="5DA764D8" w:rsidR="004D6470" w:rsidRPr="009E58F7" w:rsidRDefault="004D6470" w:rsidP="007070F2">
            <w:pPr>
              <w:keepNext/>
              <w:autoSpaceDE w:val="0"/>
              <w:autoSpaceDN w:val="0"/>
              <w:adjustRightInd w:val="0"/>
              <w:spacing w:line="240" w:lineRule="auto"/>
              <w:ind w:left="120"/>
              <w:rPr>
                <w:color w:val="000000"/>
              </w:rPr>
            </w:pPr>
            <w:r w:rsidRPr="009E58F7">
              <w:t>thrombocytopenia*, lázas neutropenia, neutropenia*, leukopenia*, anaemia*, lymphopenia*</w:t>
            </w:r>
          </w:p>
        </w:tc>
      </w:tr>
      <w:tr w:rsidR="00A74B21" w:rsidRPr="009E58F7" w14:paraId="63CDE67E" w14:textId="77777777" w:rsidTr="00E64005">
        <w:trPr>
          <w:trHeight w:val="483"/>
        </w:trPr>
        <w:tc>
          <w:tcPr>
            <w:tcW w:w="1838" w:type="dxa"/>
            <w:vMerge/>
            <w:shd w:val="clear" w:color="auto" w:fill="auto"/>
          </w:tcPr>
          <w:p w14:paraId="677C96B5" w14:textId="77777777" w:rsidR="004D6470" w:rsidRPr="009E58F7" w:rsidRDefault="004D6470">
            <w:pPr>
              <w:keepNext/>
              <w:overflowPunct w:val="0"/>
              <w:autoSpaceDE w:val="0"/>
              <w:autoSpaceDN w:val="0"/>
              <w:adjustRightInd w:val="0"/>
              <w:spacing w:line="240" w:lineRule="auto"/>
              <w:rPr>
                <w:color w:val="000000"/>
              </w:rPr>
            </w:pPr>
          </w:p>
        </w:tc>
        <w:tc>
          <w:tcPr>
            <w:tcW w:w="1701" w:type="dxa"/>
            <w:shd w:val="clear" w:color="auto" w:fill="auto"/>
          </w:tcPr>
          <w:p w14:paraId="31AE8CA6" w14:textId="77777777" w:rsidR="004D6470" w:rsidRPr="009E58F7" w:rsidRDefault="00A74D3C">
            <w:pPr>
              <w:keepNext/>
              <w:overflowPunct w:val="0"/>
              <w:autoSpaceDE w:val="0"/>
              <w:autoSpaceDN w:val="0"/>
              <w:adjustRightInd w:val="0"/>
              <w:spacing w:line="240" w:lineRule="auto"/>
              <w:rPr>
                <w:color w:val="000000"/>
              </w:rPr>
            </w:pPr>
            <w:r w:rsidRPr="009E58F7">
              <w:rPr>
                <w:color w:val="000000"/>
              </w:rPr>
              <w:t>N</w:t>
            </w:r>
            <w:r w:rsidR="004D6470" w:rsidRPr="009E58F7">
              <w:rPr>
                <w:color w:val="000000"/>
              </w:rPr>
              <w:t>em gyakori</w:t>
            </w:r>
          </w:p>
        </w:tc>
        <w:tc>
          <w:tcPr>
            <w:tcW w:w="5795" w:type="dxa"/>
            <w:shd w:val="clear" w:color="auto" w:fill="auto"/>
          </w:tcPr>
          <w:p w14:paraId="10568F8E" w14:textId="77777777" w:rsidR="004D6470" w:rsidRPr="009E58F7" w:rsidRDefault="004D6470">
            <w:pPr>
              <w:keepNext/>
              <w:overflowPunct w:val="0"/>
              <w:autoSpaceDE w:val="0"/>
              <w:autoSpaceDN w:val="0"/>
              <w:adjustRightInd w:val="0"/>
              <w:spacing w:line="240" w:lineRule="auto"/>
              <w:ind w:left="120"/>
              <w:rPr>
                <w:color w:val="000000"/>
              </w:rPr>
            </w:pPr>
            <w:r w:rsidRPr="009E58F7">
              <w:rPr>
                <w:color w:val="000000"/>
              </w:rPr>
              <w:t>pancytopenia*</w:t>
            </w:r>
          </w:p>
        </w:tc>
      </w:tr>
      <w:tr w:rsidR="00A74B21" w:rsidRPr="009E58F7" w14:paraId="22C7217E" w14:textId="77777777" w:rsidTr="00E64005">
        <w:tc>
          <w:tcPr>
            <w:tcW w:w="1838" w:type="dxa"/>
            <w:vMerge w:val="restart"/>
            <w:shd w:val="clear" w:color="auto" w:fill="auto"/>
          </w:tcPr>
          <w:p w14:paraId="6D105A8B" w14:textId="6C50AAC3" w:rsidR="004D6470" w:rsidRPr="009E58F7" w:rsidRDefault="004D6470" w:rsidP="00D7256D">
            <w:pPr>
              <w:keepNext/>
              <w:autoSpaceDE w:val="0"/>
              <w:autoSpaceDN w:val="0"/>
              <w:adjustRightInd w:val="0"/>
              <w:spacing w:line="240" w:lineRule="auto"/>
              <w:rPr>
                <w:color w:val="000000"/>
              </w:rPr>
            </w:pPr>
            <w:r w:rsidRPr="009E58F7">
              <w:rPr>
                <w:color w:val="000000"/>
              </w:rPr>
              <w:t>Immunrendszeri betegségek és tünetek</w:t>
            </w:r>
          </w:p>
        </w:tc>
        <w:tc>
          <w:tcPr>
            <w:tcW w:w="1701" w:type="dxa"/>
            <w:shd w:val="clear" w:color="auto" w:fill="auto"/>
          </w:tcPr>
          <w:p w14:paraId="276E807B" w14:textId="77777777" w:rsidR="004D6470" w:rsidRPr="009E58F7" w:rsidRDefault="00A74D3C" w:rsidP="007070F2">
            <w:pPr>
              <w:keepNext/>
              <w:overflowPunct w:val="0"/>
              <w:autoSpaceDE w:val="0"/>
              <w:autoSpaceDN w:val="0"/>
              <w:adjustRightInd w:val="0"/>
              <w:spacing w:line="240" w:lineRule="auto"/>
              <w:rPr>
                <w:color w:val="000000"/>
              </w:rPr>
            </w:pPr>
            <w:r w:rsidRPr="009E58F7">
              <w:rPr>
                <w:color w:val="000000"/>
              </w:rPr>
              <w:t>G</w:t>
            </w:r>
            <w:r w:rsidR="004D6470" w:rsidRPr="009E58F7">
              <w:rPr>
                <w:color w:val="000000"/>
              </w:rPr>
              <w:t>yakori</w:t>
            </w:r>
          </w:p>
        </w:tc>
        <w:tc>
          <w:tcPr>
            <w:tcW w:w="5795" w:type="dxa"/>
            <w:shd w:val="clear" w:color="auto" w:fill="auto"/>
          </w:tcPr>
          <w:p w14:paraId="5543BD6F" w14:textId="77777777" w:rsidR="004D6470" w:rsidRPr="009E58F7" w:rsidRDefault="004D6470" w:rsidP="007070F2">
            <w:pPr>
              <w:keepNext/>
              <w:overflowPunct w:val="0"/>
              <w:autoSpaceDE w:val="0"/>
              <w:autoSpaceDN w:val="0"/>
              <w:adjustRightInd w:val="0"/>
              <w:spacing w:line="240" w:lineRule="auto"/>
              <w:ind w:left="120"/>
              <w:rPr>
                <w:color w:val="000000"/>
              </w:rPr>
            </w:pPr>
            <w:r w:rsidRPr="009E58F7">
              <w:rPr>
                <w:color w:val="000000"/>
              </w:rPr>
              <w:t>túlérzékenység*</w:t>
            </w:r>
          </w:p>
        </w:tc>
      </w:tr>
      <w:tr w:rsidR="00A74B21" w:rsidRPr="009E58F7" w14:paraId="0A5452E9" w14:textId="77777777" w:rsidTr="00E64005">
        <w:trPr>
          <w:trHeight w:val="498"/>
        </w:trPr>
        <w:tc>
          <w:tcPr>
            <w:tcW w:w="1838" w:type="dxa"/>
            <w:vMerge/>
            <w:shd w:val="clear" w:color="auto" w:fill="auto"/>
          </w:tcPr>
          <w:p w14:paraId="4C5CB444" w14:textId="77777777" w:rsidR="004D6470" w:rsidRPr="009E58F7" w:rsidRDefault="004D6470">
            <w:pPr>
              <w:keepNext/>
              <w:overflowPunct w:val="0"/>
              <w:autoSpaceDE w:val="0"/>
              <w:autoSpaceDN w:val="0"/>
              <w:adjustRightInd w:val="0"/>
              <w:spacing w:line="240" w:lineRule="auto"/>
              <w:rPr>
                <w:color w:val="000000"/>
              </w:rPr>
            </w:pPr>
          </w:p>
        </w:tc>
        <w:tc>
          <w:tcPr>
            <w:tcW w:w="1701" w:type="dxa"/>
            <w:shd w:val="clear" w:color="auto" w:fill="auto"/>
          </w:tcPr>
          <w:p w14:paraId="1B7C7836" w14:textId="77777777" w:rsidR="004D6470" w:rsidRPr="009E58F7" w:rsidRDefault="00A74D3C">
            <w:pPr>
              <w:keepNext/>
              <w:overflowPunct w:val="0"/>
              <w:autoSpaceDE w:val="0"/>
              <w:autoSpaceDN w:val="0"/>
              <w:adjustRightInd w:val="0"/>
              <w:spacing w:line="240" w:lineRule="auto"/>
              <w:rPr>
                <w:color w:val="000000"/>
              </w:rPr>
            </w:pPr>
            <w:r w:rsidRPr="009E58F7">
              <w:rPr>
                <w:color w:val="000000"/>
              </w:rPr>
              <w:t>N</w:t>
            </w:r>
            <w:r w:rsidR="004D6470" w:rsidRPr="009E58F7">
              <w:rPr>
                <w:color w:val="000000"/>
              </w:rPr>
              <w:t>em gyakori</w:t>
            </w:r>
          </w:p>
        </w:tc>
        <w:tc>
          <w:tcPr>
            <w:tcW w:w="5795" w:type="dxa"/>
            <w:shd w:val="clear" w:color="auto" w:fill="auto"/>
          </w:tcPr>
          <w:p w14:paraId="111C6B7D" w14:textId="77777777" w:rsidR="004D6470" w:rsidRPr="009E58F7" w:rsidRDefault="004D6470">
            <w:pPr>
              <w:keepNext/>
              <w:autoSpaceDE w:val="0"/>
              <w:autoSpaceDN w:val="0"/>
              <w:adjustRightInd w:val="0"/>
              <w:spacing w:line="240" w:lineRule="auto"/>
              <w:ind w:left="120"/>
              <w:rPr>
                <w:color w:val="000000"/>
              </w:rPr>
            </w:pPr>
            <w:r w:rsidRPr="009E58F7">
              <w:rPr>
                <w:color w:val="000000"/>
              </w:rPr>
              <w:t>anaphylaxiás reakció</w:t>
            </w:r>
          </w:p>
        </w:tc>
      </w:tr>
      <w:tr w:rsidR="00A74B21" w:rsidRPr="009E58F7" w14:paraId="2C7697BF" w14:textId="77777777" w:rsidTr="00E64005">
        <w:tc>
          <w:tcPr>
            <w:tcW w:w="1838" w:type="dxa"/>
            <w:vMerge w:val="restart"/>
            <w:shd w:val="clear" w:color="auto" w:fill="auto"/>
          </w:tcPr>
          <w:p w14:paraId="5FFD6678" w14:textId="55181733" w:rsidR="004D6470" w:rsidRPr="009E58F7" w:rsidRDefault="004D6470" w:rsidP="00D7256D">
            <w:pPr>
              <w:keepNext/>
              <w:autoSpaceDE w:val="0"/>
              <w:autoSpaceDN w:val="0"/>
              <w:adjustRightInd w:val="0"/>
              <w:spacing w:line="240" w:lineRule="auto"/>
              <w:rPr>
                <w:color w:val="000000"/>
              </w:rPr>
            </w:pPr>
            <w:bookmarkStart w:id="30" w:name="page53"/>
            <w:bookmarkEnd w:id="30"/>
            <w:r w:rsidRPr="009E58F7">
              <w:rPr>
                <w:color w:val="000000"/>
              </w:rPr>
              <w:t>Anyagcsere- és táplálkozási betegségek és tünetek</w:t>
            </w:r>
          </w:p>
        </w:tc>
        <w:tc>
          <w:tcPr>
            <w:tcW w:w="1701" w:type="dxa"/>
            <w:shd w:val="clear" w:color="auto" w:fill="auto"/>
          </w:tcPr>
          <w:p w14:paraId="175101C8" w14:textId="403F44A3" w:rsidR="004D6470" w:rsidRPr="009E58F7" w:rsidRDefault="00A74D3C" w:rsidP="007070F2">
            <w:pPr>
              <w:keepNext/>
              <w:overflowPunct w:val="0"/>
              <w:autoSpaceDE w:val="0"/>
              <w:autoSpaceDN w:val="0"/>
              <w:adjustRightInd w:val="0"/>
              <w:spacing w:line="240" w:lineRule="auto"/>
              <w:rPr>
                <w:color w:val="000000"/>
              </w:rPr>
            </w:pPr>
            <w:r w:rsidRPr="009E58F7">
              <w:rPr>
                <w:color w:val="000000"/>
              </w:rPr>
              <w:t>N</w:t>
            </w:r>
            <w:r w:rsidR="004D6470" w:rsidRPr="009E58F7">
              <w:rPr>
                <w:color w:val="000000"/>
              </w:rPr>
              <w:t>agyon</w:t>
            </w:r>
            <w:r w:rsidR="004D6470" w:rsidRPr="009E58F7">
              <w:rPr>
                <w:iCs/>
                <w:color w:val="000000"/>
              </w:rPr>
              <w:t xml:space="preserve"> </w:t>
            </w:r>
            <w:r w:rsidR="004D6470" w:rsidRPr="009E58F7">
              <w:rPr>
                <w:color w:val="000000"/>
              </w:rPr>
              <w:t>gyakori</w:t>
            </w:r>
          </w:p>
        </w:tc>
        <w:tc>
          <w:tcPr>
            <w:tcW w:w="5795" w:type="dxa"/>
            <w:shd w:val="clear" w:color="auto" w:fill="auto"/>
          </w:tcPr>
          <w:p w14:paraId="19BE169F" w14:textId="5638F73B" w:rsidR="004D6470" w:rsidRPr="009E58F7" w:rsidRDefault="00E04992" w:rsidP="007070F2">
            <w:pPr>
              <w:keepNext/>
              <w:overflowPunct w:val="0"/>
              <w:autoSpaceDE w:val="0"/>
              <w:autoSpaceDN w:val="0"/>
              <w:adjustRightInd w:val="0"/>
              <w:spacing w:line="240" w:lineRule="auto"/>
              <w:ind w:left="120"/>
              <w:rPr>
                <w:color w:val="000000"/>
              </w:rPr>
            </w:pPr>
            <w:r w:rsidRPr="009E58F7">
              <w:t xml:space="preserve">csökkent </w:t>
            </w:r>
            <w:r w:rsidRPr="009E58F7">
              <w:rPr>
                <w:color w:val="000000"/>
              </w:rPr>
              <w:t>étvágy</w:t>
            </w:r>
          </w:p>
        </w:tc>
      </w:tr>
      <w:tr w:rsidR="00A74B21" w:rsidRPr="009E58F7" w14:paraId="7A761059" w14:textId="77777777" w:rsidTr="00E64005">
        <w:tc>
          <w:tcPr>
            <w:tcW w:w="1838" w:type="dxa"/>
            <w:vMerge/>
            <w:shd w:val="clear" w:color="auto" w:fill="auto"/>
          </w:tcPr>
          <w:p w14:paraId="4F17AE10" w14:textId="77777777" w:rsidR="00A74B21" w:rsidRPr="009E58F7" w:rsidRDefault="00A74B21">
            <w:pPr>
              <w:autoSpaceDE w:val="0"/>
              <w:autoSpaceDN w:val="0"/>
              <w:adjustRightInd w:val="0"/>
              <w:spacing w:line="240" w:lineRule="auto"/>
              <w:rPr>
                <w:color w:val="000000"/>
              </w:rPr>
            </w:pPr>
          </w:p>
        </w:tc>
        <w:tc>
          <w:tcPr>
            <w:tcW w:w="1701" w:type="dxa"/>
            <w:shd w:val="clear" w:color="auto" w:fill="auto"/>
          </w:tcPr>
          <w:p w14:paraId="5A7D8E14" w14:textId="7344D39B" w:rsidR="00A74B21" w:rsidRPr="009E58F7" w:rsidRDefault="00A74B21">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1DC06F2F" w14:textId="3276DF57" w:rsidR="00A74B21" w:rsidRPr="009E58F7" w:rsidRDefault="00A74B21">
            <w:pPr>
              <w:overflowPunct w:val="0"/>
              <w:autoSpaceDE w:val="0"/>
              <w:autoSpaceDN w:val="0"/>
              <w:adjustRightInd w:val="0"/>
              <w:spacing w:line="240" w:lineRule="auto"/>
              <w:ind w:left="120"/>
            </w:pPr>
            <w:r w:rsidRPr="009E58F7">
              <w:rPr>
                <w:color w:val="000000"/>
              </w:rPr>
              <w:t>hypokalaemia*, kóros vércukorszint*, hyponatraemia*, diabetes mellitus*, folyadékretenció</w:t>
            </w:r>
          </w:p>
        </w:tc>
      </w:tr>
      <w:tr w:rsidR="00A74B21" w:rsidRPr="009E58F7" w14:paraId="00026CA5" w14:textId="77777777" w:rsidTr="00E64005">
        <w:tc>
          <w:tcPr>
            <w:tcW w:w="1838" w:type="dxa"/>
            <w:vMerge/>
            <w:shd w:val="clear" w:color="auto" w:fill="auto"/>
          </w:tcPr>
          <w:p w14:paraId="5CA846E3"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3EB45DC3" w14:textId="3755E871" w:rsidR="00A74B21" w:rsidRPr="009E58F7" w:rsidRDefault="00A74B21">
            <w:pPr>
              <w:overflowPunct w:val="0"/>
              <w:autoSpaceDE w:val="0"/>
              <w:autoSpaceDN w:val="0"/>
              <w:adjustRightInd w:val="0"/>
              <w:spacing w:line="240" w:lineRule="auto"/>
              <w:rPr>
                <w:color w:val="000000"/>
              </w:rPr>
            </w:pPr>
            <w:r w:rsidRPr="009E58F7">
              <w:rPr>
                <w:color w:val="000000"/>
              </w:rPr>
              <w:t>Nem gyakori</w:t>
            </w:r>
          </w:p>
        </w:tc>
        <w:tc>
          <w:tcPr>
            <w:tcW w:w="5795" w:type="dxa"/>
            <w:shd w:val="clear" w:color="auto" w:fill="auto"/>
          </w:tcPr>
          <w:p w14:paraId="287DDFE0" w14:textId="32513371" w:rsidR="00A74B21" w:rsidRPr="009E58F7" w:rsidRDefault="00A74B21">
            <w:pPr>
              <w:autoSpaceDE w:val="0"/>
              <w:autoSpaceDN w:val="0"/>
              <w:adjustRightInd w:val="0"/>
              <w:spacing w:line="240" w:lineRule="auto"/>
              <w:ind w:left="120"/>
              <w:rPr>
                <w:color w:val="000000"/>
              </w:rPr>
            </w:pPr>
            <w:r w:rsidRPr="009E58F7">
              <w:rPr>
                <w:color w:val="000000"/>
              </w:rPr>
              <w:t>tumorlízis</w:t>
            </w:r>
            <w:r w:rsidR="001C4B29">
              <w:rPr>
                <w:color w:val="000000"/>
              </w:rPr>
              <w:t>-</w:t>
            </w:r>
            <w:r w:rsidRPr="009E58F7">
              <w:rPr>
                <w:color w:val="000000"/>
              </w:rPr>
              <w:t>szindróma</w:t>
            </w:r>
          </w:p>
        </w:tc>
      </w:tr>
      <w:tr w:rsidR="001C4B29" w:rsidRPr="009E58F7" w14:paraId="115D3FDC" w14:textId="77777777" w:rsidTr="00E26B3B">
        <w:trPr>
          <w:trHeight w:val="588"/>
        </w:trPr>
        <w:tc>
          <w:tcPr>
            <w:tcW w:w="1838" w:type="dxa"/>
            <w:shd w:val="clear" w:color="auto" w:fill="auto"/>
          </w:tcPr>
          <w:p w14:paraId="37B3D48D" w14:textId="5890FF4F" w:rsidR="001C4B29" w:rsidRPr="009E58F7" w:rsidRDefault="001C4B29" w:rsidP="00D7256D">
            <w:pPr>
              <w:autoSpaceDE w:val="0"/>
              <w:autoSpaceDN w:val="0"/>
              <w:adjustRightInd w:val="0"/>
              <w:spacing w:line="240" w:lineRule="auto"/>
              <w:rPr>
                <w:color w:val="000000"/>
              </w:rPr>
            </w:pPr>
            <w:r w:rsidRPr="009E58F7">
              <w:rPr>
                <w:color w:val="000000"/>
              </w:rPr>
              <w:t>Pszichiátriai kórképek</w:t>
            </w:r>
          </w:p>
        </w:tc>
        <w:tc>
          <w:tcPr>
            <w:tcW w:w="1701" w:type="dxa"/>
            <w:shd w:val="clear" w:color="auto" w:fill="auto"/>
          </w:tcPr>
          <w:p w14:paraId="08EDFE17" w14:textId="77777777" w:rsidR="001C4B29" w:rsidRPr="009E58F7" w:rsidRDefault="001C4B29"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2D397C2B" w14:textId="4D9F54BD" w:rsidR="001C4B29" w:rsidRPr="009E58F7" w:rsidRDefault="001C4B29" w:rsidP="007070F2">
            <w:pPr>
              <w:autoSpaceDE w:val="0"/>
              <w:autoSpaceDN w:val="0"/>
              <w:adjustRightInd w:val="0"/>
              <w:spacing w:line="240" w:lineRule="auto"/>
              <w:ind w:left="120"/>
            </w:pPr>
            <w:r w:rsidRPr="009E58F7">
              <w:rPr>
                <w:color w:val="000000"/>
              </w:rPr>
              <w:t>alvászavarok és alvásproblémák*</w:t>
            </w:r>
          </w:p>
        </w:tc>
      </w:tr>
      <w:tr w:rsidR="00764C16" w:rsidRPr="009E58F7" w14:paraId="4187FD36" w14:textId="77777777" w:rsidTr="00E64005">
        <w:tc>
          <w:tcPr>
            <w:tcW w:w="1838" w:type="dxa"/>
            <w:vMerge w:val="restart"/>
            <w:shd w:val="clear" w:color="auto" w:fill="auto"/>
          </w:tcPr>
          <w:p w14:paraId="4F6041B8" w14:textId="52F6A47A" w:rsidR="00A74B21" w:rsidRPr="009E58F7" w:rsidRDefault="00A74B21" w:rsidP="00D7256D">
            <w:pPr>
              <w:autoSpaceDE w:val="0"/>
              <w:autoSpaceDN w:val="0"/>
              <w:adjustRightInd w:val="0"/>
              <w:spacing w:line="240" w:lineRule="auto"/>
            </w:pPr>
            <w:r w:rsidRPr="009E58F7">
              <w:rPr>
                <w:color w:val="000000"/>
              </w:rPr>
              <w:t>Idegrendszeri betegségek és tünetek</w:t>
            </w:r>
          </w:p>
        </w:tc>
        <w:tc>
          <w:tcPr>
            <w:tcW w:w="1701" w:type="dxa"/>
            <w:shd w:val="clear" w:color="auto" w:fill="auto"/>
          </w:tcPr>
          <w:p w14:paraId="3AC60231" w14:textId="5B10B09D" w:rsidR="00A74B21" w:rsidRPr="009E58F7" w:rsidRDefault="00A74B21" w:rsidP="007070F2">
            <w:pPr>
              <w:overflowPunct w:val="0"/>
              <w:autoSpaceDE w:val="0"/>
              <w:autoSpaceDN w:val="0"/>
              <w:adjustRightInd w:val="0"/>
              <w:spacing w:line="240" w:lineRule="auto"/>
              <w:rPr>
                <w:color w:val="000000"/>
              </w:rPr>
            </w:pPr>
            <w:r w:rsidRPr="009E58F7">
              <w:rPr>
                <w:color w:val="000000"/>
              </w:rPr>
              <w:t>Nagyon</w:t>
            </w:r>
            <w:r w:rsidRPr="009E58F7">
              <w:rPr>
                <w:iCs/>
                <w:color w:val="000000"/>
              </w:rPr>
              <w:t xml:space="preserve"> </w:t>
            </w:r>
            <w:r w:rsidRPr="009E58F7">
              <w:rPr>
                <w:color w:val="000000"/>
              </w:rPr>
              <w:t>gyakori</w:t>
            </w:r>
          </w:p>
        </w:tc>
        <w:tc>
          <w:tcPr>
            <w:tcW w:w="5795" w:type="dxa"/>
            <w:shd w:val="clear" w:color="auto" w:fill="auto"/>
          </w:tcPr>
          <w:p w14:paraId="594EDD2D" w14:textId="2A545E23" w:rsidR="00A74B21" w:rsidRPr="009E58F7" w:rsidRDefault="00A74B21" w:rsidP="007070F2">
            <w:pPr>
              <w:autoSpaceDE w:val="0"/>
              <w:autoSpaceDN w:val="0"/>
              <w:adjustRightInd w:val="0"/>
              <w:spacing w:line="240" w:lineRule="auto"/>
              <w:ind w:left="120"/>
              <w:rPr>
                <w:color w:val="000000"/>
              </w:rPr>
            </w:pPr>
            <w:r w:rsidRPr="009E58F7">
              <w:rPr>
                <w:color w:val="000000"/>
              </w:rPr>
              <w:t>peripherias szenzoros neuropathia, dysaesthesia*, neuralgia*</w:t>
            </w:r>
          </w:p>
        </w:tc>
      </w:tr>
      <w:tr w:rsidR="00764C16" w:rsidRPr="009E58F7" w14:paraId="6C2076DF" w14:textId="77777777" w:rsidTr="00E64005">
        <w:tc>
          <w:tcPr>
            <w:tcW w:w="1838" w:type="dxa"/>
            <w:vMerge/>
            <w:shd w:val="clear" w:color="auto" w:fill="auto"/>
          </w:tcPr>
          <w:p w14:paraId="49B77DC3" w14:textId="77777777" w:rsidR="00A74B21" w:rsidRPr="009E58F7" w:rsidRDefault="00A74B21">
            <w:pPr>
              <w:autoSpaceDE w:val="0"/>
              <w:autoSpaceDN w:val="0"/>
              <w:adjustRightInd w:val="0"/>
              <w:spacing w:line="240" w:lineRule="auto"/>
              <w:rPr>
                <w:color w:val="000000"/>
              </w:rPr>
            </w:pPr>
          </w:p>
        </w:tc>
        <w:tc>
          <w:tcPr>
            <w:tcW w:w="1701" w:type="dxa"/>
            <w:shd w:val="clear" w:color="auto" w:fill="auto"/>
          </w:tcPr>
          <w:p w14:paraId="1F608BDE" w14:textId="58F7EBC8" w:rsidR="00A74B21" w:rsidRPr="009E58F7" w:rsidRDefault="00A74B21">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55E277F3" w14:textId="3A1D30E6" w:rsidR="00A74B21" w:rsidRPr="009E58F7" w:rsidRDefault="00A74B21">
            <w:pPr>
              <w:autoSpaceDE w:val="0"/>
              <w:autoSpaceDN w:val="0"/>
              <w:adjustRightInd w:val="0"/>
              <w:spacing w:line="240" w:lineRule="auto"/>
              <w:ind w:left="120"/>
            </w:pPr>
            <w:r w:rsidRPr="009E58F7">
              <w:t>neuropathiák*, motoros neuropathia*, eszméletvesztés (beleértve az ájulást is), encephalopathia*, perifériás sensomotoros neuropathia, szédülés*, dysgeusia*, vegetatív neuropathia</w:t>
            </w:r>
            <w:r w:rsidRPr="009E58F7">
              <w:rPr>
                <w:color w:val="000000"/>
              </w:rPr>
              <w:t xml:space="preserve"> </w:t>
            </w:r>
          </w:p>
        </w:tc>
      </w:tr>
      <w:tr w:rsidR="00764C16" w:rsidRPr="009E58F7" w14:paraId="605B2B26" w14:textId="77777777" w:rsidTr="00E64005">
        <w:tc>
          <w:tcPr>
            <w:tcW w:w="1838" w:type="dxa"/>
            <w:vMerge/>
            <w:shd w:val="clear" w:color="auto" w:fill="auto"/>
          </w:tcPr>
          <w:p w14:paraId="02C2EF49" w14:textId="77777777" w:rsidR="00A74B21" w:rsidRPr="009E58F7" w:rsidRDefault="00A74B21">
            <w:pPr>
              <w:autoSpaceDE w:val="0"/>
              <w:autoSpaceDN w:val="0"/>
              <w:adjustRightInd w:val="0"/>
              <w:spacing w:line="240" w:lineRule="auto"/>
              <w:rPr>
                <w:color w:val="000000"/>
              </w:rPr>
            </w:pPr>
          </w:p>
        </w:tc>
        <w:tc>
          <w:tcPr>
            <w:tcW w:w="1701" w:type="dxa"/>
            <w:shd w:val="clear" w:color="auto" w:fill="auto"/>
          </w:tcPr>
          <w:p w14:paraId="0B628349" w14:textId="635C508F" w:rsidR="00A74B21" w:rsidRPr="009E58F7" w:rsidRDefault="00A74B21">
            <w:pPr>
              <w:overflowPunct w:val="0"/>
              <w:autoSpaceDE w:val="0"/>
              <w:autoSpaceDN w:val="0"/>
              <w:adjustRightInd w:val="0"/>
              <w:spacing w:line="240" w:lineRule="auto"/>
              <w:rPr>
                <w:color w:val="000000"/>
              </w:rPr>
            </w:pPr>
            <w:r w:rsidRPr="009E58F7">
              <w:rPr>
                <w:iCs/>
                <w:color w:val="000000"/>
              </w:rPr>
              <w:t>Nem</w:t>
            </w:r>
            <w:r w:rsidRPr="009E58F7">
              <w:rPr>
                <w:color w:val="000000"/>
              </w:rPr>
              <w:t xml:space="preserve"> gyakori</w:t>
            </w:r>
          </w:p>
        </w:tc>
        <w:tc>
          <w:tcPr>
            <w:tcW w:w="5795" w:type="dxa"/>
            <w:shd w:val="clear" w:color="auto" w:fill="auto"/>
          </w:tcPr>
          <w:p w14:paraId="5D53511A" w14:textId="702F5355" w:rsidR="00A74B21" w:rsidRPr="009E58F7" w:rsidRDefault="00A74B21">
            <w:pPr>
              <w:autoSpaceDE w:val="0"/>
              <w:autoSpaceDN w:val="0"/>
              <w:adjustRightInd w:val="0"/>
              <w:spacing w:line="240" w:lineRule="auto"/>
              <w:ind w:left="120"/>
            </w:pPr>
            <w:r w:rsidRPr="009E58F7">
              <w:t>a vegetatív idegrendszer egyensúlyzavar</w:t>
            </w:r>
            <w:r w:rsidR="001C4B29">
              <w:t>a</w:t>
            </w:r>
          </w:p>
        </w:tc>
      </w:tr>
      <w:tr w:rsidR="00A74B21" w:rsidRPr="009E58F7" w14:paraId="1862AFB5" w14:textId="77777777" w:rsidTr="00E64005">
        <w:trPr>
          <w:trHeight w:val="730"/>
        </w:trPr>
        <w:tc>
          <w:tcPr>
            <w:tcW w:w="1838" w:type="dxa"/>
            <w:shd w:val="clear" w:color="auto" w:fill="auto"/>
          </w:tcPr>
          <w:p w14:paraId="05F95A4A" w14:textId="478CA365" w:rsidR="00764C16" w:rsidRPr="009E58F7" w:rsidRDefault="00A74B21" w:rsidP="00D7256D">
            <w:pPr>
              <w:autoSpaceDE w:val="0"/>
              <w:autoSpaceDN w:val="0"/>
              <w:adjustRightInd w:val="0"/>
              <w:spacing w:line="240" w:lineRule="auto"/>
              <w:rPr>
                <w:color w:val="000000"/>
              </w:rPr>
            </w:pPr>
            <w:r w:rsidRPr="009E58F7">
              <w:rPr>
                <w:color w:val="000000"/>
              </w:rPr>
              <w:t>Szembetegségek és szemészeti tünetek</w:t>
            </w:r>
          </w:p>
        </w:tc>
        <w:tc>
          <w:tcPr>
            <w:tcW w:w="1701" w:type="dxa"/>
            <w:shd w:val="clear" w:color="auto" w:fill="auto"/>
          </w:tcPr>
          <w:p w14:paraId="4A0982CD" w14:textId="77777777" w:rsidR="00A74B21" w:rsidRPr="009E58F7" w:rsidRDefault="00A74B21"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69EBDBF8" w14:textId="796543DD" w:rsidR="00A74B21" w:rsidRPr="009E58F7" w:rsidRDefault="00A74B21" w:rsidP="007070F2">
            <w:pPr>
              <w:overflowPunct w:val="0"/>
              <w:autoSpaceDE w:val="0"/>
              <w:autoSpaceDN w:val="0"/>
              <w:adjustRightInd w:val="0"/>
              <w:spacing w:line="240" w:lineRule="auto"/>
              <w:ind w:left="120"/>
              <w:rPr>
                <w:color w:val="000000"/>
              </w:rPr>
            </w:pPr>
            <w:r w:rsidRPr="009E58F7">
              <w:rPr>
                <w:color w:val="000000"/>
              </w:rPr>
              <w:t>látászavar*</w:t>
            </w:r>
          </w:p>
        </w:tc>
      </w:tr>
      <w:tr w:rsidR="00A74B21" w:rsidRPr="009E58F7" w14:paraId="608F7A83" w14:textId="77777777" w:rsidTr="00E64005">
        <w:tc>
          <w:tcPr>
            <w:tcW w:w="1838" w:type="dxa"/>
            <w:vMerge w:val="restart"/>
            <w:shd w:val="clear" w:color="auto" w:fill="auto"/>
            <w:vAlign w:val="bottom"/>
          </w:tcPr>
          <w:p w14:paraId="1CFB7AD6" w14:textId="3D981A00" w:rsidR="00A74B21" w:rsidRPr="009E58F7" w:rsidRDefault="00A74B21" w:rsidP="00E26B3B">
            <w:pPr>
              <w:keepNext/>
              <w:autoSpaceDE w:val="0"/>
              <w:autoSpaceDN w:val="0"/>
              <w:adjustRightInd w:val="0"/>
              <w:spacing w:line="240" w:lineRule="auto"/>
            </w:pPr>
            <w:r w:rsidRPr="009E58F7">
              <w:rPr>
                <w:color w:val="000000"/>
              </w:rPr>
              <w:lastRenderedPageBreak/>
              <w:t>A fül és az egyensúly-érzékelő szerv betegségei és tünetei</w:t>
            </w:r>
          </w:p>
        </w:tc>
        <w:tc>
          <w:tcPr>
            <w:tcW w:w="1701" w:type="dxa"/>
            <w:shd w:val="clear" w:color="auto" w:fill="auto"/>
          </w:tcPr>
          <w:p w14:paraId="76A4338A" w14:textId="77777777" w:rsidR="00A74B21" w:rsidRPr="009E58F7" w:rsidRDefault="00A74B21" w:rsidP="00E26B3B">
            <w:pPr>
              <w:keepNext/>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145A2022" w14:textId="77777777" w:rsidR="00A74B21" w:rsidRPr="009E58F7" w:rsidRDefault="00A74B21" w:rsidP="00E26B3B">
            <w:pPr>
              <w:keepNext/>
              <w:overflowPunct w:val="0"/>
              <w:autoSpaceDE w:val="0"/>
              <w:autoSpaceDN w:val="0"/>
              <w:adjustRightInd w:val="0"/>
              <w:spacing w:line="240" w:lineRule="auto"/>
              <w:ind w:left="120"/>
              <w:rPr>
                <w:color w:val="000000"/>
              </w:rPr>
            </w:pPr>
            <w:r w:rsidRPr="009E58F7">
              <w:t>dysacusis (beleértve a tinnitust is)*</w:t>
            </w:r>
          </w:p>
        </w:tc>
      </w:tr>
      <w:tr w:rsidR="00A74B21" w:rsidRPr="009E58F7" w14:paraId="017566F9" w14:textId="77777777" w:rsidTr="00E64005">
        <w:trPr>
          <w:trHeight w:val="706"/>
        </w:trPr>
        <w:tc>
          <w:tcPr>
            <w:tcW w:w="1838" w:type="dxa"/>
            <w:vMerge/>
            <w:shd w:val="clear" w:color="auto" w:fill="auto"/>
          </w:tcPr>
          <w:p w14:paraId="7B5BDC56"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0E20CCE6" w14:textId="77777777" w:rsidR="00A74B21" w:rsidRPr="009E58F7" w:rsidRDefault="00A74B21">
            <w:pPr>
              <w:overflowPunct w:val="0"/>
              <w:autoSpaceDE w:val="0"/>
              <w:autoSpaceDN w:val="0"/>
              <w:adjustRightInd w:val="0"/>
              <w:spacing w:line="240" w:lineRule="auto"/>
              <w:rPr>
                <w:color w:val="000000"/>
              </w:rPr>
            </w:pPr>
            <w:r w:rsidRPr="009E58F7">
              <w:rPr>
                <w:color w:val="000000"/>
              </w:rPr>
              <w:t>Nem gyakori</w:t>
            </w:r>
          </w:p>
        </w:tc>
        <w:tc>
          <w:tcPr>
            <w:tcW w:w="5795" w:type="dxa"/>
            <w:shd w:val="clear" w:color="auto" w:fill="auto"/>
          </w:tcPr>
          <w:p w14:paraId="1B615E8F" w14:textId="0F2A45D9" w:rsidR="00A74B21" w:rsidRPr="009E58F7" w:rsidRDefault="00A74B21">
            <w:pPr>
              <w:autoSpaceDE w:val="0"/>
              <w:autoSpaceDN w:val="0"/>
              <w:adjustRightInd w:val="0"/>
              <w:spacing w:line="240" w:lineRule="auto"/>
              <w:ind w:left="120"/>
              <w:rPr>
                <w:color w:val="000000"/>
              </w:rPr>
            </w:pPr>
            <w:r w:rsidRPr="009E58F7">
              <w:t>vertigo*, halláskárosodás (akár a süketségig fokozódót is beleértve)</w:t>
            </w:r>
          </w:p>
        </w:tc>
      </w:tr>
      <w:tr w:rsidR="00A74B21" w:rsidRPr="009E58F7" w14:paraId="452BE438" w14:textId="77777777" w:rsidTr="00E64005">
        <w:tc>
          <w:tcPr>
            <w:tcW w:w="1838" w:type="dxa"/>
            <w:vMerge w:val="restart"/>
            <w:shd w:val="clear" w:color="auto" w:fill="auto"/>
          </w:tcPr>
          <w:p w14:paraId="0FFC1BD4" w14:textId="3B9C9E94" w:rsidR="00A74B21" w:rsidRPr="009E58F7" w:rsidRDefault="00A74B21" w:rsidP="00D7256D">
            <w:pPr>
              <w:autoSpaceDE w:val="0"/>
              <w:autoSpaceDN w:val="0"/>
              <w:adjustRightInd w:val="0"/>
              <w:spacing w:line="240" w:lineRule="auto"/>
            </w:pPr>
            <w:r w:rsidRPr="009E58F7">
              <w:rPr>
                <w:color w:val="000000"/>
              </w:rPr>
              <w:t>Szívbetegségek és a szívvel kapcsolatos tünetek</w:t>
            </w:r>
          </w:p>
        </w:tc>
        <w:tc>
          <w:tcPr>
            <w:tcW w:w="1701" w:type="dxa"/>
            <w:shd w:val="clear" w:color="auto" w:fill="auto"/>
          </w:tcPr>
          <w:p w14:paraId="55C43E6D" w14:textId="77777777" w:rsidR="00A74B21" w:rsidRPr="009E58F7" w:rsidRDefault="00A74B21"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649BB998" w14:textId="48CA13E3" w:rsidR="00A74B21" w:rsidRPr="009E58F7" w:rsidRDefault="00A74B21" w:rsidP="007070F2">
            <w:pPr>
              <w:autoSpaceDE w:val="0"/>
              <w:autoSpaceDN w:val="0"/>
              <w:adjustRightInd w:val="0"/>
              <w:spacing w:line="240" w:lineRule="auto"/>
              <w:ind w:left="120"/>
              <w:rPr>
                <w:color w:val="000000"/>
              </w:rPr>
            </w:pPr>
            <w:r w:rsidRPr="009E58F7">
              <w:t>cardialis fibrillatio (beleértve a pitvarfibrillatiót is), arrhythmia*, szívelégtelenség (beleértve a bal- és a jobb kamrait is)*, myocardialis ischaemia, ventricularis dysfunctio*</w:t>
            </w:r>
          </w:p>
        </w:tc>
      </w:tr>
      <w:tr w:rsidR="00A74B21" w:rsidRPr="009E58F7" w14:paraId="525D1AC2" w14:textId="77777777" w:rsidTr="00E64005">
        <w:tc>
          <w:tcPr>
            <w:tcW w:w="1838" w:type="dxa"/>
            <w:vMerge/>
            <w:shd w:val="clear" w:color="auto" w:fill="auto"/>
          </w:tcPr>
          <w:p w14:paraId="3FDF16AE"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6C75DEFC" w14:textId="77777777" w:rsidR="00A74B21" w:rsidRPr="009E58F7" w:rsidRDefault="00A74B21">
            <w:pPr>
              <w:overflowPunct w:val="0"/>
              <w:autoSpaceDE w:val="0"/>
              <w:autoSpaceDN w:val="0"/>
              <w:adjustRightInd w:val="0"/>
              <w:spacing w:line="240" w:lineRule="auto"/>
              <w:rPr>
                <w:color w:val="000000"/>
              </w:rPr>
            </w:pPr>
            <w:r w:rsidRPr="009E58F7">
              <w:rPr>
                <w:color w:val="000000"/>
              </w:rPr>
              <w:t>Nem gyakori</w:t>
            </w:r>
          </w:p>
        </w:tc>
        <w:tc>
          <w:tcPr>
            <w:tcW w:w="5795" w:type="dxa"/>
            <w:shd w:val="clear" w:color="auto" w:fill="auto"/>
          </w:tcPr>
          <w:p w14:paraId="00F85838" w14:textId="77777777" w:rsidR="00A74B21" w:rsidRPr="009E58F7" w:rsidRDefault="00A74B21">
            <w:pPr>
              <w:autoSpaceDE w:val="0"/>
              <w:autoSpaceDN w:val="0"/>
              <w:adjustRightInd w:val="0"/>
              <w:spacing w:line="240" w:lineRule="auto"/>
              <w:ind w:left="120"/>
              <w:rPr>
                <w:color w:val="000000"/>
              </w:rPr>
            </w:pPr>
            <w:r w:rsidRPr="009E58F7">
              <w:t>cardiovascularis kórképek (beleértve a cardiogen shockot is)</w:t>
            </w:r>
          </w:p>
        </w:tc>
      </w:tr>
      <w:tr w:rsidR="00A74B21" w:rsidRPr="009E58F7" w14:paraId="12BBD44B" w14:textId="77777777" w:rsidTr="00E64005">
        <w:trPr>
          <w:trHeight w:val="615"/>
        </w:trPr>
        <w:tc>
          <w:tcPr>
            <w:tcW w:w="1838" w:type="dxa"/>
            <w:shd w:val="clear" w:color="auto" w:fill="auto"/>
          </w:tcPr>
          <w:p w14:paraId="58D86A14" w14:textId="0B69CC33" w:rsidR="00A74B21" w:rsidRPr="009E58F7" w:rsidRDefault="00A74B21" w:rsidP="00D7256D">
            <w:pPr>
              <w:autoSpaceDE w:val="0"/>
              <w:autoSpaceDN w:val="0"/>
              <w:adjustRightInd w:val="0"/>
              <w:spacing w:line="240" w:lineRule="auto"/>
              <w:rPr>
                <w:color w:val="000000"/>
              </w:rPr>
            </w:pPr>
            <w:r w:rsidRPr="009E58F7">
              <w:rPr>
                <w:color w:val="000000"/>
              </w:rPr>
              <w:t>Érbetegségek és tünetek</w:t>
            </w:r>
          </w:p>
        </w:tc>
        <w:tc>
          <w:tcPr>
            <w:tcW w:w="1701" w:type="dxa"/>
            <w:shd w:val="clear" w:color="auto" w:fill="auto"/>
          </w:tcPr>
          <w:p w14:paraId="016A7243" w14:textId="77777777" w:rsidR="00A74B21" w:rsidRPr="009E58F7" w:rsidRDefault="00A74B21"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6BAE2484" w14:textId="77777777" w:rsidR="00A74B21" w:rsidRPr="009E58F7" w:rsidRDefault="00A74B21" w:rsidP="007070F2">
            <w:pPr>
              <w:overflowPunct w:val="0"/>
              <w:autoSpaceDE w:val="0"/>
              <w:autoSpaceDN w:val="0"/>
              <w:adjustRightInd w:val="0"/>
              <w:spacing w:line="240" w:lineRule="auto"/>
              <w:ind w:left="120"/>
              <w:rPr>
                <w:color w:val="000000"/>
              </w:rPr>
            </w:pPr>
            <w:r w:rsidRPr="009E58F7">
              <w:t>hypertonia*, hypotonia*, orthostaticus hypotonia</w:t>
            </w:r>
          </w:p>
        </w:tc>
      </w:tr>
      <w:tr w:rsidR="00A74B21" w:rsidRPr="009E58F7" w14:paraId="1E370CD7" w14:textId="77777777" w:rsidTr="00E64005">
        <w:tc>
          <w:tcPr>
            <w:tcW w:w="1838" w:type="dxa"/>
            <w:vMerge w:val="restart"/>
            <w:shd w:val="clear" w:color="auto" w:fill="auto"/>
            <w:vAlign w:val="bottom"/>
          </w:tcPr>
          <w:p w14:paraId="7D3E52BB" w14:textId="02A10B33" w:rsidR="00A74B21" w:rsidRPr="009E58F7" w:rsidRDefault="00A74B21" w:rsidP="00D7256D">
            <w:pPr>
              <w:autoSpaceDE w:val="0"/>
              <w:autoSpaceDN w:val="0"/>
              <w:adjustRightInd w:val="0"/>
              <w:spacing w:line="240" w:lineRule="auto"/>
              <w:rPr>
                <w:color w:val="000000"/>
              </w:rPr>
            </w:pPr>
            <w:r w:rsidRPr="009E58F7">
              <w:rPr>
                <w:color w:val="000000"/>
              </w:rPr>
              <w:t>Légzőrendszeri, mellkasi és mediastinalis betegségek és tünetek</w:t>
            </w:r>
          </w:p>
          <w:p w14:paraId="5AF8CD70" w14:textId="77777777" w:rsidR="002C61C3" w:rsidRPr="009E58F7" w:rsidRDefault="002C61C3" w:rsidP="007070F2">
            <w:pPr>
              <w:autoSpaceDE w:val="0"/>
              <w:autoSpaceDN w:val="0"/>
              <w:adjustRightInd w:val="0"/>
              <w:spacing w:line="240" w:lineRule="auto"/>
              <w:rPr>
                <w:color w:val="000000"/>
              </w:rPr>
            </w:pPr>
          </w:p>
          <w:p w14:paraId="15EE251F" w14:textId="77777777" w:rsidR="002C61C3" w:rsidRPr="009E58F7" w:rsidRDefault="002C61C3" w:rsidP="007070F2">
            <w:pPr>
              <w:autoSpaceDE w:val="0"/>
              <w:autoSpaceDN w:val="0"/>
              <w:adjustRightInd w:val="0"/>
              <w:spacing w:line="240" w:lineRule="auto"/>
              <w:rPr>
                <w:color w:val="000000"/>
              </w:rPr>
            </w:pPr>
          </w:p>
          <w:p w14:paraId="6C12CB29" w14:textId="77777777" w:rsidR="002C61C3" w:rsidRPr="009E58F7" w:rsidRDefault="002C61C3" w:rsidP="003D25C3">
            <w:pPr>
              <w:autoSpaceDE w:val="0"/>
              <w:autoSpaceDN w:val="0"/>
              <w:adjustRightInd w:val="0"/>
              <w:spacing w:line="240" w:lineRule="auto"/>
              <w:rPr>
                <w:color w:val="000000"/>
              </w:rPr>
            </w:pPr>
          </w:p>
          <w:p w14:paraId="2808C6E0" w14:textId="77777777" w:rsidR="002C61C3" w:rsidRPr="009E58F7" w:rsidRDefault="002C61C3">
            <w:pPr>
              <w:autoSpaceDE w:val="0"/>
              <w:autoSpaceDN w:val="0"/>
              <w:adjustRightInd w:val="0"/>
              <w:spacing w:line="240" w:lineRule="auto"/>
              <w:rPr>
                <w:color w:val="000000"/>
              </w:rPr>
            </w:pPr>
          </w:p>
          <w:p w14:paraId="73C25743" w14:textId="77777777" w:rsidR="002C61C3" w:rsidRPr="009E58F7" w:rsidRDefault="002C61C3">
            <w:pPr>
              <w:autoSpaceDE w:val="0"/>
              <w:autoSpaceDN w:val="0"/>
              <w:adjustRightInd w:val="0"/>
              <w:spacing w:line="240" w:lineRule="auto"/>
              <w:rPr>
                <w:color w:val="000000"/>
              </w:rPr>
            </w:pPr>
          </w:p>
          <w:p w14:paraId="4ACBF552" w14:textId="77777777" w:rsidR="002C61C3" w:rsidRPr="009E58F7" w:rsidRDefault="002C61C3">
            <w:pPr>
              <w:autoSpaceDE w:val="0"/>
              <w:autoSpaceDN w:val="0"/>
              <w:adjustRightInd w:val="0"/>
              <w:spacing w:line="240" w:lineRule="auto"/>
            </w:pPr>
          </w:p>
        </w:tc>
        <w:tc>
          <w:tcPr>
            <w:tcW w:w="1701" w:type="dxa"/>
            <w:shd w:val="clear" w:color="auto" w:fill="auto"/>
          </w:tcPr>
          <w:p w14:paraId="0D8F2DD9" w14:textId="77777777" w:rsidR="00A74B21" w:rsidRPr="009E58F7" w:rsidRDefault="00A74B21">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48DE9641" w14:textId="77777777" w:rsidR="00A74B21" w:rsidRPr="009E58F7" w:rsidRDefault="00A74B21">
            <w:pPr>
              <w:overflowPunct w:val="0"/>
              <w:autoSpaceDE w:val="0"/>
              <w:autoSpaceDN w:val="0"/>
              <w:adjustRightInd w:val="0"/>
              <w:spacing w:line="240" w:lineRule="auto"/>
              <w:ind w:left="120"/>
              <w:rPr>
                <w:color w:val="000000"/>
              </w:rPr>
            </w:pPr>
            <w:r w:rsidRPr="009E58F7">
              <w:rPr>
                <w:color w:val="000000"/>
              </w:rPr>
              <w:t>dyspnoe*, köhögés*, csuklás</w:t>
            </w:r>
          </w:p>
        </w:tc>
      </w:tr>
      <w:tr w:rsidR="00A74B21" w:rsidRPr="009E58F7" w14:paraId="432DBF0B" w14:textId="77777777" w:rsidTr="00E64005">
        <w:trPr>
          <w:trHeight w:val="863"/>
        </w:trPr>
        <w:tc>
          <w:tcPr>
            <w:tcW w:w="1838" w:type="dxa"/>
            <w:vMerge/>
            <w:shd w:val="clear" w:color="auto" w:fill="auto"/>
          </w:tcPr>
          <w:p w14:paraId="40F443AF"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75D57786" w14:textId="77777777" w:rsidR="00A74B21" w:rsidRPr="009E58F7" w:rsidRDefault="00A74B21">
            <w:pPr>
              <w:overflowPunct w:val="0"/>
              <w:autoSpaceDE w:val="0"/>
              <w:autoSpaceDN w:val="0"/>
              <w:adjustRightInd w:val="0"/>
              <w:spacing w:line="240" w:lineRule="auto"/>
              <w:rPr>
                <w:color w:val="000000"/>
              </w:rPr>
            </w:pPr>
            <w:r w:rsidRPr="009E58F7">
              <w:rPr>
                <w:color w:val="000000"/>
              </w:rPr>
              <w:t>Nem gyakori</w:t>
            </w:r>
          </w:p>
        </w:tc>
        <w:tc>
          <w:tcPr>
            <w:tcW w:w="5795" w:type="dxa"/>
            <w:shd w:val="clear" w:color="auto" w:fill="auto"/>
          </w:tcPr>
          <w:p w14:paraId="19573F8D" w14:textId="12C3822E" w:rsidR="00A74B21" w:rsidRPr="009E58F7" w:rsidRDefault="00A74B21">
            <w:pPr>
              <w:autoSpaceDE w:val="0"/>
              <w:autoSpaceDN w:val="0"/>
              <w:adjustRightInd w:val="0"/>
              <w:spacing w:line="240" w:lineRule="auto"/>
              <w:ind w:left="120"/>
              <w:rPr>
                <w:color w:val="000000"/>
              </w:rPr>
            </w:pPr>
            <w:r w:rsidRPr="009E58F7">
              <w:t>akut respiratoricus distress szindróma, pulmonalis embolia, pneumonitis, pulmonalis hypertonia, pulmonalis oedema (beleértve az akut formát is)</w:t>
            </w:r>
          </w:p>
        </w:tc>
      </w:tr>
      <w:tr w:rsidR="00A74B21" w:rsidRPr="009E58F7" w14:paraId="7F02BEFE" w14:textId="77777777" w:rsidTr="00E64005">
        <w:tc>
          <w:tcPr>
            <w:tcW w:w="1838" w:type="dxa"/>
            <w:vMerge w:val="restart"/>
            <w:shd w:val="clear" w:color="auto" w:fill="auto"/>
          </w:tcPr>
          <w:p w14:paraId="4D06D306" w14:textId="6B8D9DFA" w:rsidR="00A74B21" w:rsidRPr="009E58F7" w:rsidRDefault="00A74B21" w:rsidP="00D7256D">
            <w:pPr>
              <w:autoSpaceDE w:val="0"/>
              <w:autoSpaceDN w:val="0"/>
              <w:adjustRightInd w:val="0"/>
              <w:spacing w:line="240" w:lineRule="auto"/>
              <w:rPr>
                <w:color w:val="000000"/>
              </w:rPr>
            </w:pPr>
            <w:r w:rsidRPr="009E58F7">
              <w:rPr>
                <w:color w:val="000000"/>
              </w:rPr>
              <w:t>Emésztőrendszeri betegségek és tünetek</w:t>
            </w:r>
          </w:p>
        </w:tc>
        <w:tc>
          <w:tcPr>
            <w:tcW w:w="1701" w:type="dxa"/>
            <w:shd w:val="clear" w:color="auto" w:fill="auto"/>
          </w:tcPr>
          <w:p w14:paraId="19DA78B4" w14:textId="32F269D8" w:rsidR="00A74B21" w:rsidRPr="009E58F7" w:rsidRDefault="00A74B21" w:rsidP="007070F2">
            <w:pPr>
              <w:overflowPunct w:val="0"/>
              <w:autoSpaceDE w:val="0"/>
              <w:autoSpaceDN w:val="0"/>
              <w:adjustRightInd w:val="0"/>
              <w:spacing w:line="240" w:lineRule="auto"/>
              <w:rPr>
                <w:color w:val="000000"/>
              </w:rPr>
            </w:pPr>
            <w:r w:rsidRPr="009E58F7">
              <w:rPr>
                <w:color w:val="000000"/>
              </w:rPr>
              <w:t>Nagyon</w:t>
            </w:r>
            <w:r w:rsidRPr="009E58F7">
              <w:rPr>
                <w:iCs/>
                <w:color w:val="000000"/>
              </w:rPr>
              <w:t xml:space="preserve"> </w:t>
            </w:r>
            <w:r w:rsidRPr="009E58F7">
              <w:rPr>
                <w:color w:val="000000"/>
              </w:rPr>
              <w:t>gyakori</w:t>
            </w:r>
          </w:p>
        </w:tc>
        <w:tc>
          <w:tcPr>
            <w:tcW w:w="5795" w:type="dxa"/>
            <w:shd w:val="clear" w:color="auto" w:fill="auto"/>
          </w:tcPr>
          <w:p w14:paraId="6D555DF7" w14:textId="7FD1EFD1" w:rsidR="00A74B21" w:rsidRPr="009E58F7" w:rsidRDefault="00A74B21" w:rsidP="007070F2">
            <w:pPr>
              <w:autoSpaceDE w:val="0"/>
              <w:autoSpaceDN w:val="0"/>
              <w:adjustRightInd w:val="0"/>
              <w:spacing w:line="240" w:lineRule="auto"/>
              <w:ind w:left="120"/>
              <w:rPr>
                <w:color w:val="000000"/>
              </w:rPr>
            </w:pPr>
            <w:r w:rsidRPr="009E58F7">
              <w:t>hányinger és hányás tünetei*, diarrhoea*, stomatitis*, székrekedés</w:t>
            </w:r>
          </w:p>
        </w:tc>
      </w:tr>
      <w:tr w:rsidR="00A74B21" w:rsidRPr="009E58F7" w14:paraId="10280648" w14:textId="77777777" w:rsidTr="00E64005">
        <w:trPr>
          <w:trHeight w:val="1144"/>
        </w:trPr>
        <w:tc>
          <w:tcPr>
            <w:tcW w:w="1838" w:type="dxa"/>
            <w:vMerge/>
            <w:shd w:val="clear" w:color="auto" w:fill="auto"/>
          </w:tcPr>
          <w:p w14:paraId="276616A1"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127ED7D0" w14:textId="77777777" w:rsidR="00A74B21" w:rsidRPr="009E58F7" w:rsidRDefault="00A74B21">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2729F851" w14:textId="5F52E7E8" w:rsidR="00A74B21" w:rsidRPr="009E58F7" w:rsidRDefault="00A74B21">
            <w:pPr>
              <w:autoSpaceDE w:val="0"/>
              <w:autoSpaceDN w:val="0"/>
              <w:adjustRightInd w:val="0"/>
              <w:spacing w:line="240" w:lineRule="auto"/>
              <w:ind w:left="120"/>
              <w:rPr>
                <w:color w:val="000000"/>
              </w:rPr>
            </w:pPr>
            <w:r w:rsidRPr="009E58F7">
              <w:t>gastrointestinalis vérzés (beleértve a mucosalisat is)*, hasi distensio, dyspepsia, oropharyngealis fájdalom*, gastritis*, oralis fekélyképződés*, hasi diszkomfort, dysphagia, gastrointestinalis gyulladás*, hasi fájdalom (beleértve a gastrointestinalis és splenicus fájdalmat is)*, szájbetegség*</w:t>
            </w:r>
          </w:p>
        </w:tc>
      </w:tr>
      <w:tr w:rsidR="00A74B21" w:rsidRPr="009E58F7" w14:paraId="6E73C569" w14:textId="77777777" w:rsidTr="00E64005">
        <w:trPr>
          <w:trHeight w:val="442"/>
        </w:trPr>
        <w:tc>
          <w:tcPr>
            <w:tcW w:w="1838" w:type="dxa"/>
            <w:vMerge/>
            <w:shd w:val="clear" w:color="auto" w:fill="auto"/>
          </w:tcPr>
          <w:p w14:paraId="6A85BD3D"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27B9B922" w14:textId="77777777" w:rsidR="00A74B21" w:rsidRPr="009E58F7" w:rsidRDefault="00A74B21">
            <w:pPr>
              <w:overflowPunct w:val="0"/>
              <w:autoSpaceDE w:val="0"/>
              <w:autoSpaceDN w:val="0"/>
              <w:adjustRightInd w:val="0"/>
              <w:spacing w:line="240" w:lineRule="auto"/>
              <w:rPr>
                <w:color w:val="000000"/>
              </w:rPr>
            </w:pPr>
            <w:r w:rsidRPr="009E58F7">
              <w:rPr>
                <w:color w:val="000000"/>
              </w:rPr>
              <w:t>Nem gyakori</w:t>
            </w:r>
          </w:p>
        </w:tc>
        <w:tc>
          <w:tcPr>
            <w:tcW w:w="5795" w:type="dxa"/>
            <w:shd w:val="clear" w:color="auto" w:fill="auto"/>
          </w:tcPr>
          <w:p w14:paraId="1B001D61" w14:textId="629CE98D" w:rsidR="00A74B21" w:rsidRPr="009E58F7" w:rsidRDefault="00A74B21">
            <w:pPr>
              <w:autoSpaceDE w:val="0"/>
              <w:autoSpaceDN w:val="0"/>
              <w:adjustRightInd w:val="0"/>
              <w:spacing w:line="240" w:lineRule="auto"/>
              <w:ind w:left="120"/>
              <w:rPr>
                <w:color w:val="000000"/>
              </w:rPr>
            </w:pPr>
            <w:r w:rsidRPr="009E58F7">
              <w:t xml:space="preserve">colitis (beleértve a </w:t>
            </w:r>
            <w:r w:rsidR="001C4B29">
              <w:t>C</w:t>
            </w:r>
            <w:r w:rsidRPr="009E58F7">
              <w:t>lostridium difficile okozta colitist is)*</w:t>
            </w:r>
          </w:p>
        </w:tc>
      </w:tr>
      <w:tr w:rsidR="00A74B21" w:rsidRPr="009E58F7" w14:paraId="5DCED067" w14:textId="77777777" w:rsidTr="00E64005">
        <w:tc>
          <w:tcPr>
            <w:tcW w:w="1838" w:type="dxa"/>
            <w:vMerge w:val="restart"/>
            <w:shd w:val="clear" w:color="auto" w:fill="auto"/>
          </w:tcPr>
          <w:p w14:paraId="6A694FAB" w14:textId="76F20833" w:rsidR="00A74B21" w:rsidRPr="009E58F7" w:rsidRDefault="00A74B21" w:rsidP="00D7256D">
            <w:pPr>
              <w:autoSpaceDE w:val="0"/>
              <w:autoSpaceDN w:val="0"/>
              <w:adjustRightInd w:val="0"/>
              <w:spacing w:line="240" w:lineRule="auto"/>
              <w:rPr>
                <w:color w:val="000000"/>
              </w:rPr>
            </w:pPr>
            <w:r w:rsidRPr="009E58F7">
              <w:rPr>
                <w:color w:val="000000"/>
              </w:rPr>
              <w:t>Máj- és epebetegségek, illetve tünetek</w:t>
            </w:r>
          </w:p>
        </w:tc>
        <w:tc>
          <w:tcPr>
            <w:tcW w:w="1701" w:type="dxa"/>
            <w:shd w:val="clear" w:color="auto" w:fill="auto"/>
          </w:tcPr>
          <w:p w14:paraId="65223D25" w14:textId="77777777" w:rsidR="00A74B21" w:rsidRPr="009E58F7" w:rsidRDefault="00A74B21"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6D908F1A" w14:textId="77777777" w:rsidR="00A74B21" w:rsidRPr="009E58F7" w:rsidRDefault="00A74B21" w:rsidP="007070F2">
            <w:pPr>
              <w:overflowPunct w:val="0"/>
              <w:autoSpaceDE w:val="0"/>
              <w:autoSpaceDN w:val="0"/>
              <w:adjustRightInd w:val="0"/>
              <w:spacing w:line="240" w:lineRule="auto"/>
              <w:ind w:left="120"/>
              <w:rPr>
                <w:color w:val="000000"/>
              </w:rPr>
            </w:pPr>
            <w:r w:rsidRPr="009E58F7">
              <w:t>hepatotoxicitás (beleértve a májbetegséget is)</w:t>
            </w:r>
          </w:p>
        </w:tc>
      </w:tr>
      <w:tr w:rsidR="00A74B21" w:rsidRPr="009E58F7" w14:paraId="114DBDD6" w14:textId="77777777" w:rsidTr="00E64005">
        <w:trPr>
          <w:trHeight w:val="562"/>
        </w:trPr>
        <w:tc>
          <w:tcPr>
            <w:tcW w:w="1838" w:type="dxa"/>
            <w:vMerge/>
            <w:shd w:val="clear" w:color="auto" w:fill="auto"/>
          </w:tcPr>
          <w:p w14:paraId="621DF847" w14:textId="77777777" w:rsidR="00A74B21" w:rsidRPr="009E58F7" w:rsidRDefault="00A74B21">
            <w:pPr>
              <w:autoSpaceDE w:val="0"/>
              <w:autoSpaceDN w:val="0"/>
              <w:adjustRightInd w:val="0"/>
              <w:spacing w:line="240" w:lineRule="auto"/>
              <w:rPr>
                <w:color w:val="000000"/>
              </w:rPr>
            </w:pPr>
          </w:p>
        </w:tc>
        <w:tc>
          <w:tcPr>
            <w:tcW w:w="1701" w:type="dxa"/>
            <w:shd w:val="clear" w:color="auto" w:fill="auto"/>
          </w:tcPr>
          <w:p w14:paraId="32CA951C" w14:textId="77777777" w:rsidR="00A74B21" w:rsidRPr="009E58F7" w:rsidRDefault="00A74B21">
            <w:pPr>
              <w:overflowPunct w:val="0"/>
              <w:autoSpaceDE w:val="0"/>
              <w:autoSpaceDN w:val="0"/>
              <w:adjustRightInd w:val="0"/>
              <w:spacing w:line="240" w:lineRule="auto"/>
              <w:rPr>
                <w:color w:val="000000"/>
              </w:rPr>
            </w:pPr>
            <w:r w:rsidRPr="009E58F7">
              <w:rPr>
                <w:color w:val="000000"/>
              </w:rPr>
              <w:t>Nem gyakori</w:t>
            </w:r>
          </w:p>
        </w:tc>
        <w:tc>
          <w:tcPr>
            <w:tcW w:w="5795" w:type="dxa"/>
            <w:shd w:val="clear" w:color="auto" w:fill="auto"/>
          </w:tcPr>
          <w:p w14:paraId="20C71A6E" w14:textId="3E318D7B" w:rsidR="00A74B21" w:rsidRPr="009E58F7" w:rsidRDefault="00A74B21">
            <w:pPr>
              <w:overflowPunct w:val="0"/>
              <w:autoSpaceDE w:val="0"/>
              <w:autoSpaceDN w:val="0"/>
              <w:adjustRightInd w:val="0"/>
              <w:spacing w:line="240" w:lineRule="auto"/>
              <w:ind w:left="120"/>
              <w:rPr>
                <w:color w:val="000000"/>
              </w:rPr>
            </w:pPr>
            <w:r w:rsidRPr="009E58F7">
              <w:rPr>
                <w:color w:val="000000"/>
              </w:rPr>
              <w:t>májelégtelenség</w:t>
            </w:r>
          </w:p>
        </w:tc>
      </w:tr>
      <w:tr w:rsidR="00A74B21" w:rsidRPr="009E58F7" w14:paraId="32C803FC" w14:textId="77777777" w:rsidTr="00E64005">
        <w:tc>
          <w:tcPr>
            <w:tcW w:w="1838" w:type="dxa"/>
            <w:vMerge w:val="restart"/>
            <w:shd w:val="clear" w:color="auto" w:fill="auto"/>
          </w:tcPr>
          <w:p w14:paraId="6E788658" w14:textId="18DC2A43" w:rsidR="00A74B21" w:rsidRPr="009E58F7" w:rsidRDefault="00A74B21" w:rsidP="00D7256D">
            <w:pPr>
              <w:overflowPunct w:val="0"/>
              <w:autoSpaceDE w:val="0"/>
              <w:autoSpaceDN w:val="0"/>
              <w:adjustRightInd w:val="0"/>
              <w:spacing w:line="240" w:lineRule="auto"/>
              <w:rPr>
                <w:color w:val="000000"/>
              </w:rPr>
            </w:pPr>
            <w:r w:rsidRPr="009E58F7">
              <w:rPr>
                <w:color w:val="000000"/>
              </w:rPr>
              <w:t>A bőr és a bőr alatti szövetek betegségei és tünetei</w:t>
            </w:r>
          </w:p>
        </w:tc>
        <w:tc>
          <w:tcPr>
            <w:tcW w:w="1701" w:type="dxa"/>
            <w:shd w:val="clear" w:color="auto" w:fill="auto"/>
          </w:tcPr>
          <w:p w14:paraId="20C6C260" w14:textId="514E068F" w:rsidR="00A74B21" w:rsidRPr="009E58F7" w:rsidRDefault="00A74B21" w:rsidP="007070F2">
            <w:pPr>
              <w:overflowPunct w:val="0"/>
              <w:autoSpaceDE w:val="0"/>
              <w:autoSpaceDN w:val="0"/>
              <w:adjustRightInd w:val="0"/>
              <w:spacing w:line="240" w:lineRule="auto"/>
              <w:rPr>
                <w:color w:val="000000"/>
              </w:rPr>
            </w:pPr>
            <w:r w:rsidRPr="009E58F7">
              <w:rPr>
                <w:color w:val="000000"/>
              </w:rPr>
              <w:t>Nagyon</w:t>
            </w:r>
            <w:r w:rsidRPr="009E58F7">
              <w:rPr>
                <w:iCs/>
                <w:color w:val="000000"/>
              </w:rPr>
              <w:t xml:space="preserve"> </w:t>
            </w:r>
            <w:r w:rsidRPr="009E58F7">
              <w:rPr>
                <w:color w:val="000000"/>
              </w:rPr>
              <w:t>gyakori</w:t>
            </w:r>
          </w:p>
        </w:tc>
        <w:tc>
          <w:tcPr>
            <w:tcW w:w="5795" w:type="dxa"/>
            <w:shd w:val="clear" w:color="auto" w:fill="auto"/>
          </w:tcPr>
          <w:p w14:paraId="041B9FA4" w14:textId="395E7AF6" w:rsidR="00A74B21" w:rsidRPr="009E58F7" w:rsidRDefault="00A74B21" w:rsidP="007070F2">
            <w:pPr>
              <w:overflowPunct w:val="0"/>
              <w:autoSpaceDE w:val="0"/>
              <w:autoSpaceDN w:val="0"/>
              <w:adjustRightInd w:val="0"/>
              <w:spacing w:line="240" w:lineRule="auto"/>
              <w:ind w:left="120"/>
              <w:rPr>
                <w:color w:val="000000"/>
              </w:rPr>
            </w:pPr>
            <w:r w:rsidRPr="009E58F7">
              <w:rPr>
                <w:color w:val="000000"/>
              </w:rPr>
              <w:t>hajbetegség*</w:t>
            </w:r>
          </w:p>
        </w:tc>
      </w:tr>
      <w:tr w:rsidR="00A74B21" w:rsidRPr="009E58F7" w14:paraId="088F2818" w14:textId="77777777" w:rsidTr="00E64005">
        <w:tc>
          <w:tcPr>
            <w:tcW w:w="1838" w:type="dxa"/>
            <w:vMerge/>
            <w:shd w:val="clear" w:color="auto" w:fill="auto"/>
          </w:tcPr>
          <w:p w14:paraId="65352C35"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43EDE032" w14:textId="25826470" w:rsidR="00A74B21" w:rsidRPr="009E58F7" w:rsidRDefault="00A74B21">
            <w:pPr>
              <w:overflowPunct w:val="0"/>
              <w:autoSpaceDE w:val="0"/>
              <w:autoSpaceDN w:val="0"/>
              <w:adjustRightInd w:val="0"/>
              <w:spacing w:line="240" w:lineRule="auto"/>
              <w:rPr>
                <w:color w:val="000000"/>
              </w:rPr>
            </w:pPr>
            <w:r w:rsidRPr="009E58F7">
              <w:rPr>
                <w:iCs/>
                <w:color w:val="000000"/>
              </w:rPr>
              <w:t>Nem gyakori</w:t>
            </w:r>
          </w:p>
        </w:tc>
        <w:tc>
          <w:tcPr>
            <w:tcW w:w="5795" w:type="dxa"/>
            <w:shd w:val="clear" w:color="auto" w:fill="auto"/>
          </w:tcPr>
          <w:p w14:paraId="17BEAA12" w14:textId="1653E718" w:rsidR="00A74B21" w:rsidRPr="009E58F7" w:rsidRDefault="00A74B21">
            <w:pPr>
              <w:overflowPunct w:val="0"/>
              <w:autoSpaceDE w:val="0"/>
              <w:autoSpaceDN w:val="0"/>
              <w:adjustRightInd w:val="0"/>
              <w:spacing w:line="240" w:lineRule="auto"/>
              <w:ind w:left="120"/>
            </w:pPr>
            <w:r w:rsidRPr="009E58F7">
              <w:t>pruritus*, dermatitis*, bőrkiütés*</w:t>
            </w:r>
          </w:p>
        </w:tc>
      </w:tr>
      <w:tr w:rsidR="00A74B21" w:rsidRPr="009E58F7" w14:paraId="603F2E09" w14:textId="77777777" w:rsidTr="00E64005">
        <w:trPr>
          <w:trHeight w:val="1519"/>
        </w:trPr>
        <w:tc>
          <w:tcPr>
            <w:tcW w:w="1838" w:type="dxa"/>
            <w:shd w:val="clear" w:color="auto" w:fill="auto"/>
          </w:tcPr>
          <w:p w14:paraId="4318608C" w14:textId="11B83557" w:rsidR="00A74B21" w:rsidRPr="009E58F7" w:rsidRDefault="00A74B21" w:rsidP="00D7256D">
            <w:pPr>
              <w:autoSpaceDE w:val="0"/>
              <w:autoSpaceDN w:val="0"/>
              <w:adjustRightInd w:val="0"/>
              <w:spacing w:line="240" w:lineRule="auto"/>
              <w:rPr>
                <w:color w:val="000000"/>
              </w:rPr>
            </w:pPr>
            <w:r w:rsidRPr="009E58F7">
              <w:rPr>
                <w:color w:val="000000"/>
              </w:rPr>
              <w:t>A csont- és izomrendszer, valamint a kötőszövet betegségei és tünetei</w:t>
            </w:r>
          </w:p>
        </w:tc>
        <w:tc>
          <w:tcPr>
            <w:tcW w:w="1701" w:type="dxa"/>
            <w:shd w:val="clear" w:color="auto" w:fill="auto"/>
          </w:tcPr>
          <w:p w14:paraId="193CAE1B" w14:textId="77777777" w:rsidR="00A74B21" w:rsidRPr="009E58F7" w:rsidRDefault="00A74B21"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47F01414" w14:textId="77777777" w:rsidR="00A74B21" w:rsidRPr="009E58F7" w:rsidRDefault="00A74B21" w:rsidP="007070F2">
            <w:pPr>
              <w:overflowPunct w:val="0"/>
              <w:autoSpaceDE w:val="0"/>
              <w:autoSpaceDN w:val="0"/>
              <w:adjustRightInd w:val="0"/>
              <w:spacing w:line="240" w:lineRule="auto"/>
              <w:ind w:left="120"/>
              <w:rPr>
                <w:color w:val="000000"/>
              </w:rPr>
            </w:pPr>
            <w:r w:rsidRPr="009E58F7">
              <w:t>izomspasmus*, musculoskeletalis fájdalom*, végtagfájdalom</w:t>
            </w:r>
          </w:p>
        </w:tc>
      </w:tr>
      <w:tr w:rsidR="00A74B21" w:rsidRPr="009E58F7" w14:paraId="2B71F002" w14:textId="77777777" w:rsidTr="00E64005">
        <w:trPr>
          <w:trHeight w:val="850"/>
        </w:trPr>
        <w:tc>
          <w:tcPr>
            <w:tcW w:w="1838" w:type="dxa"/>
            <w:shd w:val="clear" w:color="auto" w:fill="auto"/>
          </w:tcPr>
          <w:p w14:paraId="72D60940" w14:textId="3C847769" w:rsidR="00A74B21" w:rsidRPr="009E58F7" w:rsidRDefault="00A74B21" w:rsidP="00D7256D">
            <w:pPr>
              <w:autoSpaceDE w:val="0"/>
              <w:autoSpaceDN w:val="0"/>
              <w:adjustRightInd w:val="0"/>
              <w:spacing w:line="240" w:lineRule="auto"/>
              <w:rPr>
                <w:color w:val="000000"/>
              </w:rPr>
            </w:pPr>
            <w:r w:rsidRPr="009E58F7">
              <w:rPr>
                <w:color w:val="000000"/>
              </w:rPr>
              <w:t>Vese- és húgyúti betegségek és tünetek</w:t>
            </w:r>
          </w:p>
        </w:tc>
        <w:tc>
          <w:tcPr>
            <w:tcW w:w="1701" w:type="dxa"/>
            <w:shd w:val="clear" w:color="auto" w:fill="auto"/>
          </w:tcPr>
          <w:p w14:paraId="182DD15E" w14:textId="77777777" w:rsidR="00A74B21" w:rsidRPr="009E58F7" w:rsidRDefault="00A74B21"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30C5B307" w14:textId="77777777" w:rsidR="00A74B21" w:rsidRPr="009E58F7" w:rsidRDefault="00A74B21" w:rsidP="007070F2">
            <w:pPr>
              <w:overflowPunct w:val="0"/>
              <w:autoSpaceDE w:val="0"/>
              <w:autoSpaceDN w:val="0"/>
              <w:adjustRightInd w:val="0"/>
              <w:spacing w:line="240" w:lineRule="auto"/>
              <w:ind w:left="120"/>
              <w:rPr>
                <w:color w:val="000000"/>
              </w:rPr>
            </w:pPr>
            <w:r w:rsidRPr="009E58F7">
              <w:rPr>
                <w:color w:val="000000"/>
              </w:rPr>
              <w:t>húgyúti fertőzés*</w:t>
            </w:r>
          </w:p>
        </w:tc>
      </w:tr>
      <w:tr w:rsidR="00A74B21" w:rsidRPr="009E58F7" w14:paraId="6416FB9E" w14:textId="77777777" w:rsidTr="00E64005">
        <w:tc>
          <w:tcPr>
            <w:tcW w:w="1838" w:type="dxa"/>
            <w:vMerge w:val="restart"/>
            <w:shd w:val="clear" w:color="auto" w:fill="auto"/>
          </w:tcPr>
          <w:p w14:paraId="4D1135BF" w14:textId="0B16AFF6" w:rsidR="00A74B21" w:rsidRPr="009E58F7" w:rsidRDefault="00A74B21" w:rsidP="00D7256D">
            <w:pPr>
              <w:autoSpaceDE w:val="0"/>
              <w:autoSpaceDN w:val="0"/>
              <w:adjustRightInd w:val="0"/>
              <w:spacing w:line="240" w:lineRule="auto"/>
              <w:rPr>
                <w:color w:val="000000"/>
              </w:rPr>
            </w:pPr>
            <w:bookmarkStart w:id="31" w:name="page54"/>
            <w:bookmarkEnd w:id="31"/>
            <w:r w:rsidRPr="009E58F7">
              <w:rPr>
                <w:color w:val="000000"/>
              </w:rPr>
              <w:t>Általános tünetek, az alkalmazás helyén fellépő reakciók</w:t>
            </w:r>
          </w:p>
        </w:tc>
        <w:tc>
          <w:tcPr>
            <w:tcW w:w="1701" w:type="dxa"/>
            <w:shd w:val="clear" w:color="auto" w:fill="auto"/>
          </w:tcPr>
          <w:p w14:paraId="2847C2FE" w14:textId="00692E0A" w:rsidR="00A74B21" w:rsidRPr="009E58F7" w:rsidRDefault="00A74B21" w:rsidP="007070F2">
            <w:pPr>
              <w:overflowPunct w:val="0"/>
              <w:autoSpaceDE w:val="0"/>
              <w:autoSpaceDN w:val="0"/>
              <w:adjustRightInd w:val="0"/>
              <w:spacing w:line="240" w:lineRule="auto"/>
              <w:rPr>
                <w:color w:val="000000"/>
              </w:rPr>
            </w:pPr>
            <w:r w:rsidRPr="009E58F7">
              <w:rPr>
                <w:color w:val="000000"/>
              </w:rPr>
              <w:t>Nagyon</w:t>
            </w:r>
            <w:r w:rsidRPr="009E58F7">
              <w:rPr>
                <w:iCs/>
                <w:color w:val="000000"/>
              </w:rPr>
              <w:t xml:space="preserve"> </w:t>
            </w:r>
            <w:r w:rsidRPr="009E58F7">
              <w:rPr>
                <w:color w:val="000000"/>
              </w:rPr>
              <w:t>gyakori</w:t>
            </w:r>
          </w:p>
        </w:tc>
        <w:tc>
          <w:tcPr>
            <w:tcW w:w="5795" w:type="dxa"/>
            <w:shd w:val="clear" w:color="auto" w:fill="auto"/>
          </w:tcPr>
          <w:p w14:paraId="6410659C" w14:textId="38B8A1DC" w:rsidR="00A74B21" w:rsidRPr="009E58F7" w:rsidRDefault="00A74B21" w:rsidP="007070F2">
            <w:pPr>
              <w:overflowPunct w:val="0"/>
              <w:autoSpaceDE w:val="0"/>
              <w:autoSpaceDN w:val="0"/>
              <w:adjustRightInd w:val="0"/>
              <w:spacing w:line="240" w:lineRule="auto"/>
              <w:ind w:left="120"/>
              <w:rPr>
                <w:color w:val="000000"/>
              </w:rPr>
            </w:pPr>
            <w:r w:rsidRPr="009E58F7">
              <w:rPr>
                <w:color w:val="000000"/>
              </w:rPr>
              <w:t>láz*, fáradtságérzet, asthenia</w:t>
            </w:r>
          </w:p>
        </w:tc>
      </w:tr>
      <w:tr w:rsidR="00A74B21" w:rsidRPr="009E58F7" w14:paraId="1AC129FC" w14:textId="77777777" w:rsidTr="00E64005">
        <w:trPr>
          <w:trHeight w:val="559"/>
        </w:trPr>
        <w:tc>
          <w:tcPr>
            <w:tcW w:w="1838" w:type="dxa"/>
            <w:vMerge/>
            <w:shd w:val="clear" w:color="auto" w:fill="auto"/>
          </w:tcPr>
          <w:p w14:paraId="60BFD674" w14:textId="77777777" w:rsidR="00A74B21" w:rsidRPr="009E58F7" w:rsidRDefault="00A74B21">
            <w:pPr>
              <w:overflowPunct w:val="0"/>
              <w:autoSpaceDE w:val="0"/>
              <w:autoSpaceDN w:val="0"/>
              <w:adjustRightInd w:val="0"/>
              <w:spacing w:line="240" w:lineRule="auto"/>
              <w:rPr>
                <w:color w:val="000000"/>
              </w:rPr>
            </w:pPr>
          </w:p>
        </w:tc>
        <w:tc>
          <w:tcPr>
            <w:tcW w:w="1701" w:type="dxa"/>
            <w:shd w:val="clear" w:color="auto" w:fill="auto"/>
          </w:tcPr>
          <w:p w14:paraId="3A931C39" w14:textId="77777777" w:rsidR="00A74B21" w:rsidRPr="009E58F7" w:rsidRDefault="00A74B21">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38AE88C1" w14:textId="67CE58C7" w:rsidR="00A74B21" w:rsidRPr="009E58F7" w:rsidRDefault="00A74B21">
            <w:pPr>
              <w:autoSpaceDE w:val="0"/>
              <w:autoSpaceDN w:val="0"/>
              <w:adjustRightInd w:val="0"/>
              <w:spacing w:line="240" w:lineRule="auto"/>
              <w:ind w:left="120"/>
              <w:rPr>
                <w:color w:val="000000"/>
              </w:rPr>
            </w:pPr>
            <w:r w:rsidRPr="009E58F7">
              <w:rPr>
                <w:color w:val="000000"/>
              </w:rPr>
              <w:t>oedema (beleértve a perifériás oedemát is), hidegrázás, reakció az injekció beadási helyén*, rossz közérzet*</w:t>
            </w:r>
          </w:p>
        </w:tc>
      </w:tr>
      <w:tr w:rsidR="00A74B21" w:rsidRPr="009E58F7" w14:paraId="6ABB6858" w14:textId="77777777" w:rsidTr="00E64005">
        <w:trPr>
          <w:trHeight w:val="981"/>
        </w:trPr>
        <w:tc>
          <w:tcPr>
            <w:tcW w:w="1838" w:type="dxa"/>
            <w:shd w:val="clear" w:color="auto" w:fill="auto"/>
          </w:tcPr>
          <w:p w14:paraId="7F74622A" w14:textId="7230CB64" w:rsidR="00A74B21" w:rsidRPr="009E58F7" w:rsidRDefault="00A74B21" w:rsidP="00D7256D">
            <w:pPr>
              <w:autoSpaceDE w:val="0"/>
              <w:autoSpaceDN w:val="0"/>
              <w:adjustRightInd w:val="0"/>
              <w:spacing w:line="240" w:lineRule="auto"/>
              <w:rPr>
                <w:color w:val="000000"/>
              </w:rPr>
            </w:pPr>
            <w:r w:rsidRPr="009E58F7">
              <w:rPr>
                <w:color w:val="000000"/>
              </w:rPr>
              <w:lastRenderedPageBreak/>
              <w:t>Laboratóriumi és egyéb vizsgálatok eredményei</w:t>
            </w:r>
          </w:p>
        </w:tc>
        <w:tc>
          <w:tcPr>
            <w:tcW w:w="1701" w:type="dxa"/>
            <w:shd w:val="clear" w:color="auto" w:fill="auto"/>
          </w:tcPr>
          <w:p w14:paraId="2EE6D940" w14:textId="77777777" w:rsidR="00A74B21" w:rsidRPr="009E58F7" w:rsidRDefault="00A74B21" w:rsidP="007070F2">
            <w:pPr>
              <w:overflowPunct w:val="0"/>
              <w:autoSpaceDE w:val="0"/>
              <w:autoSpaceDN w:val="0"/>
              <w:adjustRightInd w:val="0"/>
              <w:spacing w:line="240" w:lineRule="auto"/>
              <w:rPr>
                <w:color w:val="000000"/>
              </w:rPr>
            </w:pPr>
            <w:r w:rsidRPr="009E58F7">
              <w:rPr>
                <w:color w:val="000000"/>
              </w:rPr>
              <w:t>Gyakori</w:t>
            </w:r>
          </w:p>
        </w:tc>
        <w:tc>
          <w:tcPr>
            <w:tcW w:w="5795" w:type="dxa"/>
            <w:shd w:val="clear" w:color="auto" w:fill="auto"/>
          </w:tcPr>
          <w:p w14:paraId="6929269E" w14:textId="3F7FF6D0" w:rsidR="00A74B21" w:rsidRPr="009E58F7" w:rsidRDefault="00A74B21" w:rsidP="007070F2">
            <w:pPr>
              <w:autoSpaceDE w:val="0"/>
              <w:autoSpaceDN w:val="0"/>
              <w:adjustRightInd w:val="0"/>
              <w:spacing w:line="240" w:lineRule="auto"/>
              <w:ind w:left="120"/>
              <w:rPr>
                <w:color w:val="000000"/>
              </w:rPr>
            </w:pPr>
            <w:r w:rsidRPr="009E58F7">
              <w:t>hyperbilirubinaemia*, kóros proteinvizsgálati eredmények*, testtömegcsökkenés, testtömeg-növekedés</w:t>
            </w:r>
          </w:p>
        </w:tc>
      </w:tr>
    </w:tbl>
    <w:p w14:paraId="75BD8650" w14:textId="18ACA7FC" w:rsidR="00764C16" w:rsidRPr="009E58F7" w:rsidRDefault="00764C16" w:rsidP="00D7256D">
      <w:pPr>
        <w:widowControl w:val="0"/>
        <w:autoSpaceDE w:val="0"/>
        <w:autoSpaceDN w:val="0"/>
        <w:adjustRightInd w:val="0"/>
        <w:spacing w:line="240" w:lineRule="auto"/>
      </w:pPr>
      <w:r w:rsidRPr="009E58F7">
        <w:t>*</w:t>
      </w:r>
      <w:r w:rsidRPr="009E58F7">
        <w:tab/>
      </w:r>
      <w:r w:rsidRPr="009E58F7">
        <w:rPr>
          <w:sz w:val="18"/>
          <w:szCs w:val="18"/>
        </w:rPr>
        <w:t>Több mint egy MedDRA preferált szakkifejezés összefoglalása.</w:t>
      </w:r>
    </w:p>
    <w:p w14:paraId="74033B93" w14:textId="77777777" w:rsidR="00764C16" w:rsidRPr="009E58F7" w:rsidRDefault="00764C16" w:rsidP="007070F2">
      <w:pPr>
        <w:widowControl w:val="0"/>
        <w:autoSpaceDE w:val="0"/>
        <w:autoSpaceDN w:val="0"/>
        <w:adjustRightInd w:val="0"/>
        <w:spacing w:line="240" w:lineRule="auto"/>
        <w:rPr>
          <w:i/>
          <w:u w:val="single"/>
        </w:rPr>
      </w:pPr>
    </w:p>
    <w:p w14:paraId="3AE6F798" w14:textId="2B2C60C8" w:rsidR="004D6470" w:rsidRPr="009E58F7" w:rsidRDefault="001C4B29" w:rsidP="007070F2">
      <w:pPr>
        <w:keepNext/>
        <w:widowControl w:val="0"/>
        <w:autoSpaceDE w:val="0"/>
        <w:autoSpaceDN w:val="0"/>
        <w:adjustRightInd w:val="0"/>
        <w:spacing w:line="240" w:lineRule="auto"/>
        <w:rPr>
          <w:u w:val="single"/>
        </w:rPr>
      </w:pPr>
      <w:r>
        <w:rPr>
          <w:u w:val="single"/>
        </w:rPr>
        <w:t>Egyes k</w:t>
      </w:r>
      <w:r w:rsidR="004D6470" w:rsidRPr="009E58F7">
        <w:rPr>
          <w:u w:val="single"/>
        </w:rPr>
        <w:t>iválasztott mellékhatások leírása</w:t>
      </w:r>
    </w:p>
    <w:p w14:paraId="49B54F9F" w14:textId="60899C9D" w:rsidR="004D6470" w:rsidRPr="009E58F7" w:rsidRDefault="004D6470" w:rsidP="003D25C3">
      <w:pPr>
        <w:keepNext/>
        <w:widowControl w:val="0"/>
        <w:autoSpaceDE w:val="0"/>
        <w:autoSpaceDN w:val="0"/>
        <w:adjustRightInd w:val="0"/>
        <w:spacing w:line="240" w:lineRule="auto"/>
      </w:pPr>
      <w:r w:rsidRPr="009E58F7">
        <w:rPr>
          <w:i/>
        </w:rPr>
        <w:t>Herpes zoster</w:t>
      </w:r>
      <w:r w:rsidR="001C4B29">
        <w:rPr>
          <w:i/>
        </w:rPr>
        <w:t>-</w:t>
      </w:r>
      <w:r w:rsidRPr="009E58F7">
        <w:rPr>
          <w:i/>
        </w:rPr>
        <w:t>vírus reaktiváció</w:t>
      </w:r>
    </w:p>
    <w:p w14:paraId="12B93DCE" w14:textId="319AEA42" w:rsidR="004D6470" w:rsidRPr="009E58F7" w:rsidRDefault="004D6470">
      <w:pPr>
        <w:keepNext/>
        <w:autoSpaceDE w:val="0"/>
        <w:autoSpaceDN w:val="0"/>
        <w:adjustRightInd w:val="0"/>
        <w:spacing w:line="240" w:lineRule="auto"/>
      </w:pPr>
      <w:r w:rsidRPr="009E58F7">
        <w:t>Myeloma multiplex</w:t>
      </w:r>
    </w:p>
    <w:p w14:paraId="6A82D8B0" w14:textId="6C9498AE" w:rsidR="00556CCD" w:rsidRDefault="004D6470">
      <w:pPr>
        <w:spacing w:line="240" w:lineRule="auto"/>
        <w:contextualSpacing/>
      </w:pPr>
      <w:r w:rsidRPr="009E58F7">
        <w:t>A betegek 26%</w:t>
      </w:r>
      <w:r w:rsidR="00621E19">
        <w:t>-</w:t>
      </w:r>
      <w:r w:rsidRPr="009E58F7">
        <w:t xml:space="preserve">a részesült antivirális profilaxisban a </w:t>
      </w:r>
      <w:r w:rsidR="00E708C1" w:rsidRPr="009E58F7">
        <w:t>Bz</w:t>
      </w:r>
      <w:r w:rsidRPr="009E58F7">
        <w:t xml:space="preserve">+M+P-karon. A </w:t>
      </w:r>
      <w:r w:rsidR="00E708C1" w:rsidRPr="009E58F7">
        <w:t>Bz</w:t>
      </w:r>
      <w:r w:rsidRPr="009E58F7">
        <w:t>+M+P kezelési csoportba tartozó betegek körében a herpes zoster előfordulása 17%</w:t>
      </w:r>
      <w:r w:rsidR="00621E19">
        <w:t>-</w:t>
      </w:r>
      <w:r w:rsidRPr="009E58F7">
        <w:t>os volt azok között, akik nem részesültek antivirális profilaxisban, szemben az antivirális profilaxisban részesültek közötti 3%</w:t>
      </w:r>
      <w:r w:rsidR="00621E19">
        <w:t>-</w:t>
      </w:r>
      <w:r w:rsidRPr="009E58F7">
        <w:t>kal.</w:t>
      </w:r>
    </w:p>
    <w:p w14:paraId="43226B94" w14:textId="77777777" w:rsidR="000A40DE" w:rsidRPr="009E58F7" w:rsidRDefault="000A40DE">
      <w:pPr>
        <w:spacing w:line="240" w:lineRule="auto"/>
        <w:contextualSpacing/>
      </w:pPr>
    </w:p>
    <w:p w14:paraId="38BFD06C" w14:textId="77777777" w:rsidR="004D6470" w:rsidRPr="009E58F7" w:rsidRDefault="004D6470">
      <w:pPr>
        <w:widowControl w:val="0"/>
        <w:autoSpaceDE w:val="0"/>
        <w:autoSpaceDN w:val="0"/>
        <w:adjustRightInd w:val="0"/>
        <w:spacing w:line="240" w:lineRule="auto"/>
      </w:pPr>
      <w:r w:rsidRPr="009E58F7">
        <w:t>Köpenysejtes lymphoma</w:t>
      </w:r>
    </w:p>
    <w:p w14:paraId="1F8F3A67" w14:textId="1BB22FD8" w:rsidR="004D6470" w:rsidRPr="009E58F7" w:rsidRDefault="00C5286C">
      <w:pPr>
        <w:spacing w:line="240" w:lineRule="auto"/>
        <w:contextualSpacing/>
      </w:pPr>
      <w:r w:rsidRPr="009E58F7">
        <w:t>Vírusellenes profilaxist</w:t>
      </w:r>
      <w:r w:rsidR="004D6470" w:rsidRPr="009E58F7">
        <w:t xml:space="preserve"> alkalmaztak a </w:t>
      </w:r>
      <w:r w:rsidR="00E708C1" w:rsidRPr="009E58F7">
        <w:t>BzR</w:t>
      </w:r>
      <w:r w:rsidR="004D6470" w:rsidRPr="009E58F7">
        <w:t>-CAP-kar 240</w:t>
      </w:r>
      <w:r w:rsidR="004C73CB" w:rsidRPr="009E58F7">
        <w:t> </w:t>
      </w:r>
      <w:r w:rsidR="004D6470" w:rsidRPr="009E58F7">
        <w:t xml:space="preserve">betege közül 137-nél (57%). A herpes zoster előfordulási gyakorisága a </w:t>
      </w:r>
      <w:r w:rsidR="00E708C1" w:rsidRPr="009E58F7">
        <w:t>BzR</w:t>
      </w:r>
      <w:r w:rsidR="004D6470" w:rsidRPr="009E58F7">
        <w:t xml:space="preserve">-CAP-kar betegeinél 10,7% volt azoknál a betegeknél, akiknek nem adtak </w:t>
      </w:r>
      <w:r w:rsidRPr="009E58F7">
        <w:t>vírusellenes</w:t>
      </w:r>
      <w:r w:rsidR="004D6470" w:rsidRPr="009E58F7">
        <w:t xml:space="preserve"> profilaxist, szemben az antiviralis profilaxisban részesült betegeknél észlelt 3,6%</w:t>
      </w:r>
      <w:r w:rsidR="00621E19">
        <w:t>-</w:t>
      </w:r>
      <w:r w:rsidR="004D6470" w:rsidRPr="009E58F7">
        <w:t>kal (lásd 4.4 pont).</w:t>
      </w:r>
    </w:p>
    <w:p w14:paraId="54C04F6B" w14:textId="77777777" w:rsidR="004D6470" w:rsidRPr="009E58F7" w:rsidRDefault="004D6470">
      <w:pPr>
        <w:widowControl w:val="0"/>
        <w:autoSpaceDE w:val="0"/>
        <w:autoSpaceDN w:val="0"/>
        <w:adjustRightInd w:val="0"/>
        <w:spacing w:line="240" w:lineRule="auto"/>
      </w:pPr>
    </w:p>
    <w:p w14:paraId="70B39914" w14:textId="77777777" w:rsidR="004D6470" w:rsidRPr="009E58F7" w:rsidRDefault="004D6470">
      <w:pPr>
        <w:keepNext/>
        <w:overflowPunct w:val="0"/>
        <w:autoSpaceDE w:val="0"/>
        <w:autoSpaceDN w:val="0"/>
        <w:adjustRightInd w:val="0"/>
        <w:spacing w:line="240" w:lineRule="auto"/>
        <w:rPr>
          <w:i/>
        </w:rPr>
      </w:pPr>
      <w:r w:rsidRPr="009E58F7">
        <w:rPr>
          <w:i/>
        </w:rPr>
        <w:t>Hepatitis B vírus (HBV) reaktiváció és fertőzés</w:t>
      </w:r>
      <w:r w:rsidRPr="009E58F7">
        <w:rPr>
          <w:i/>
          <w:iCs/>
        </w:rPr>
        <w:t xml:space="preserve"> </w:t>
      </w:r>
    </w:p>
    <w:p w14:paraId="0B8713EE" w14:textId="0996675C" w:rsidR="004D6470" w:rsidRPr="009E58F7" w:rsidRDefault="004D6470">
      <w:pPr>
        <w:keepNext/>
        <w:overflowPunct w:val="0"/>
        <w:autoSpaceDE w:val="0"/>
        <w:autoSpaceDN w:val="0"/>
        <w:adjustRightInd w:val="0"/>
        <w:spacing w:line="240" w:lineRule="auto"/>
      </w:pPr>
      <w:r w:rsidRPr="009E58F7">
        <w:t>Köpenysejtes lymphoma</w:t>
      </w:r>
    </w:p>
    <w:p w14:paraId="58145126" w14:textId="069C798D" w:rsidR="004D6470" w:rsidRPr="009E58F7" w:rsidRDefault="004D6470">
      <w:pPr>
        <w:spacing w:line="240" w:lineRule="auto"/>
        <w:contextualSpacing/>
      </w:pPr>
      <w:r w:rsidRPr="009E58F7">
        <w:t xml:space="preserve">A bortezomib nélküli </w:t>
      </w:r>
      <w:r w:rsidR="00C5286C" w:rsidRPr="009E58F7">
        <w:t>kezelés</w:t>
      </w:r>
      <w:r w:rsidR="00C77F80" w:rsidRPr="009E58F7">
        <w:t>ben</w:t>
      </w:r>
      <w:r w:rsidR="002B2D33" w:rsidRPr="009E58F7">
        <w:t xml:space="preserve"> </w:t>
      </w:r>
      <w:r w:rsidRPr="009E58F7">
        <w:t>(rituximab, ciklofoszfamid, doxorubicin, vinkrisztin és prednizon</w:t>
      </w:r>
      <w:r w:rsidR="00C77F80" w:rsidRPr="009E58F7">
        <w:t>;</w:t>
      </w:r>
      <w:r w:rsidR="0086272C" w:rsidRPr="009E58F7">
        <w:t xml:space="preserve"> R</w:t>
      </w:r>
      <w:r w:rsidR="003F0F42">
        <w:t>-</w:t>
      </w:r>
      <w:r w:rsidR="0086272C" w:rsidRPr="009E58F7">
        <w:t>CHOP</w:t>
      </w:r>
      <w:r w:rsidRPr="009E58F7">
        <w:t xml:space="preserve">) </w:t>
      </w:r>
      <w:r w:rsidR="002B2D33" w:rsidRPr="009E58F7">
        <w:t xml:space="preserve">részesülő </w:t>
      </w:r>
      <w:r w:rsidRPr="009E58F7">
        <w:t>betegek kö</w:t>
      </w:r>
      <w:r w:rsidR="002B2D33" w:rsidRPr="009E58F7">
        <w:t>zül</w:t>
      </w:r>
      <w:r w:rsidRPr="009E58F7">
        <w:t xml:space="preserve"> 0,8% (</w:t>
      </w:r>
      <w:r w:rsidR="003212C5" w:rsidRPr="009E58F7">
        <w:t>n = </w:t>
      </w:r>
      <w:r w:rsidRPr="009E58F7">
        <w:t>2), míg a rituximabbal, ciklofoszfamiddal, doxorubicinnel és prednizonnal kombinációban adott bortezomib (</w:t>
      </w:r>
      <w:r w:rsidR="00E708C1" w:rsidRPr="009E58F7">
        <w:t>BzR</w:t>
      </w:r>
      <w:r w:rsidR="003F0F42">
        <w:t>-</w:t>
      </w:r>
      <w:r w:rsidRPr="009E58F7">
        <w:t>CAP) kezelést kapó betegek körében 0,4% (</w:t>
      </w:r>
      <w:r w:rsidR="003212C5" w:rsidRPr="009E58F7">
        <w:t>n = </w:t>
      </w:r>
      <w:r w:rsidRPr="009E58F7">
        <w:t>1) volt a végzetes kimenetelű HBV</w:t>
      </w:r>
      <w:r w:rsidR="003F0F42">
        <w:t>-</w:t>
      </w:r>
      <w:r w:rsidRPr="009E58F7">
        <w:t>fertőzés gyakorisága A hepatitis</w:t>
      </w:r>
      <w:r w:rsidR="00C77F80" w:rsidRPr="009E58F7">
        <w:t> </w:t>
      </w:r>
      <w:r w:rsidRPr="009E58F7">
        <w:t>B</w:t>
      </w:r>
      <w:r w:rsidR="001C4B29">
        <w:t>-</w:t>
      </w:r>
      <w:r w:rsidRPr="009E58F7">
        <w:t xml:space="preserve">fertőzések teljes előfordulási gyakorisága a </w:t>
      </w:r>
      <w:r w:rsidR="00E708C1" w:rsidRPr="009E58F7">
        <w:t>BzR</w:t>
      </w:r>
      <w:r w:rsidR="003F0F42">
        <w:t>-</w:t>
      </w:r>
      <w:r w:rsidRPr="009E58F7">
        <w:t>CAP-pal vagy R</w:t>
      </w:r>
      <w:r w:rsidR="003F0F42">
        <w:t>-</w:t>
      </w:r>
      <w:r w:rsidRPr="009E58F7">
        <w:t>CHOP-pal kezelt betegeknél hasonló volt (sorrendben 0,8% vs 1,2%).</w:t>
      </w:r>
    </w:p>
    <w:p w14:paraId="1E7A07C8" w14:textId="77777777" w:rsidR="004D6470" w:rsidRPr="009E58F7" w:rsidRDefault="004D6470">
      <w:pPr>
        <w:widowControl w:val="0"/>
        <w:autoSpaceDE w:val="0"/>
        <w:autoSpaceDN w:val="0"/>
        <w:adjustRightInd w:val="0"/>
        <w:spacing w:line="240" w:lineRule="auto"/>
      </w:pPr>
    </w:p>
    <w:p w14:paraId="4A89497D" w14:textId="77777777" w:rsidR="004D6470" w:rsidRPr="009E58F7" w:rsidRDefault="004D6470">
      <w:pPr>
        <w:keepNext/>
        <w:autoSpaceDE w:val="0"/>
        <w:autoSpaceDN w:val="0"/>
        <w:adjustRightInd w:val="0"/>
        <w:spacing w:line="240" w:lineRule="auto"/>
      </w:pPr>
      <w:r w:rsidRPr="009E58F7">
        <w:rPr>
          <w:i/>
        </w:rPr>
        <w:t>Perifériás neuropátia kombinált kezelés esetén</w:t>
      </w:r>
    </w:p>
    <w:p w14:paraId="7F0647C7" w14:textId="25B6B6E5" w:rsidR="004D6470" w:rsidRPr="009E58F7" w:rsidRDefault="004D6470">
      <w:pPr>
        <w:keepNext/>
        <w:autoSpaceDE w:val="0"/>
        <w:autoSpaceDN w:val="0"/>
        <w:adjustRightInd w:val="0"/>
        <w:spacing w:line="240" w:lineRule="auto"/>
      </w:pPr>
      <w:r w:rsidRPr="009E58F7">
        <w:t>Myeloma multiplex</w:t>
      </w:r>
    </w:p>
    <w:p w14:paraId="2EFCA0F1" w14:textId="7E55A9DD" w:rsidR="004D6470" w:rsidRPr="009E58F7" w:rsidRDefault="004D6470">
      <w:pPr>
        <w:spacing w:line="240" w:lineRule="auto"/>
        <w:contextualSpacing/>
      </w:pPr>
      <w:r w:rsidRPr="009E58F7">
        <w:t xml:space="preserve">Azokban a vizsgálatokban, amelyekben a </w:t>
      </w:r>
      <w:r w:rsidR="008B6253" w:rsidRPr="009E58F7">
        <w:t>bortezomib</w:t>
      </w:r>
      <w:r w:rsidR="00C77F80" w:rsidRPr="009E58F7">
        <w:t>o</w:t>
      </w:r>
      <w:r w:rsidR="00C5286C" w:rsidRPr="009E58F7">
        <w:t>t</w:t>
      </w:r>
      <w:r w:rsidRPr="009E58F7">
        <w:t xml:space="preserve"> indukciós terápiáként </w:t>
      </w:r>
      <w:r w:rsidR="00C5286C" w:rsidRPr="009E58F7">
        <w:t>dexametazo</w:t>
      </w:r>
      <w:r w:rsidR="00C77F80" w:rsidRPr="009E58F7">
        <w:t>n</w:t>
      </w:r>
      <w:r w:rsidR="00C5286C" w:rsidRPr="009E58F7">
        <w:t>nal</w:t>
      </w:r>
      <w:r w:rsidRPr="009E58F7">
        <w:t xml:space="preserve"> (IFM</w:t>
      </w:r>
      <w:r w:rsidR="003F0F42">
        <w:t>-</w:t>
      </w:r>
      <w:r w:rsidRPr="009E58F7">
        <w:t>2005</w:t>
      </w:r>
      <w:r w:rsidR="003F0F42">
        <w:t>-</w:t>
      </w:r>
      <w:r w:rsidRPr="009E58F7">
        <w:t>01</w:t>
      </w:r>
      <w:r w:rsidR="00C77F80" w:rsidRPr="009E58F7">
        <w:t> </w:t>
      </w:r>
      <w:r w:rsidRPr="009E58F7">
        <w:t>vizsgálat), valamint talidomiddal és dexametazonnal (MMY</w:t>
      </w:r>
      <w:r w:rsidR="003F0F42">
        <w:t>-</w:t>
      </w:r>
      <w:r w:rsidRPr="009E58F7">
        <w:t>3010</w:t>
      </w:r>
      <w:r w:rsidR="00C77F80" w:rsidRPr="009E58F7">
        <w:t> </w:t>
      </w:r>
      <w:r w:rsidRPr="009E58F7">
        <w:t>vizsgálat) kombináltan alkalmazták, a kombinált kezelés során a perifériás neuropathia előfordulását az alábbi táblázat mutatja be:</w:t>
      </w:r>
    </w:p>
    <w:p w14:paraId="2CB71CF0" w14:textId="77777777" w:rsidR="004D6470" w:rsidRPr="009E58F7" w:rsidRDefault="004D6470">
      <w:pPr>
        <w:widowControl w:val="0"/>
        <w:autoSpaceDE w:val="0"/>
        <w:autoSpaceDN w:val="0"/>
        <w:adjustRightInd w:val="0"/>
        <w:spacing w:line="240" w:lineRule="auto"/>
        <w:rPr>
          <w:sz w:val="24"/>
          <w:szCs w:val="24"/>
        </w:rPr>
      </w:pPr>
    </w:p>
    <w:p w14:paraId="1ED0CE7A" w14:textId="177E9D23" w:rsidR="00C77F80" w:rsidRPr="009E58F7" w:rsidRDefault="00C77F80">
      <w:pPr>
        <w:pStyle w:val="Nincstrkz"/>
        <w:ind w:left="1410" w:hanging="1410"/>
        <w:rPr>
          <w:i/>
          <w:noProof/>
        </w:rPr>
      </w:pPr>
      <w:r w:rsidRPr="009E58F7">
        <w:rPr>
          <w:i/>
          <w:noProof/>
        </w:rPr>
        <w:t>9. táblázat:</w:t>
      </w:r>
      <w:r w:rsidRPr="009E58F7">
        <w:rPr>
          <w:i/>
          <w:noProof/>
        </w:rPr>
        <w:tab/>
      </w:r>
      <w:r w:rsidR="005B27B7" w:rsidRPr="009E58F7">
        <w:rPr>
          <w:i/>
          <w:noProof/>
        </w:rPr>
        <w:t>A peripheriás neuropathia incidenciája az indukciós kezelés alatt a toxicitás mértéke és a perifériás neuropathia miatt megszakított kezelések száma szerint</w:t>
      </w:r>
    </w:p>
    <w:tbl>
      <w:tblPr>
        <w:tblStyle w:val="Rcsostblzat"/>
        <w:tblW w:w="9498" w:type="dxa"/>
        <w:tblInd w:w="108" w:type="dxa"/>
        <w:tblLook w:val="04A0" w:firstRow="1" w:lastRow="0" w:firstColumn="1" w:lastColumn="0" w:noHBand="0" w:noVBand="1"/>
      </w:tblPr>
      <w:tblGrid>
        <w:gridCol w:w="3402"/>
        <w:gridCol w:w="1575"/>
        <w:gridCol w:w="1575"/>
        <w:gridCol w:w="1386"/>
        <w:gridCol w:w="1560"/>
      </w:tblGrid>
      <w:tr w:rsidR="00C77F80" w:rsidRPr="009E58F7" w14:paraId="260C80FE" w14:textId="77777777" w:rsidTr="00E64005">
        <w:tc>
          <w:tcPr>
            <w:tcW w:w="3402" w:type="dxa"/>
            <w:tcBorders>
              <w:left w:val="nil"/>
              <w:bottom w:val="nil"/>
              <w:right w:val="nil"/>
            </w:tcBorders>
          </w:tcPr>
          <w:p w14:paraId="652D14CC" w14:textId="77777777" w:rsidR="00C77F80" w:rsidRPr="009E58F7" w:rsidRDefault="00C77F80" w:rsidP="007070F2">
            <w:pPr>
              <w:pStyle w:val="Nincstrkz"/>
              <w:rPr>
                <w:i/>
                <w:noProof/>
                <w:sz w:val="22"/>
                <w:szCs w:val="22"/>
              </w:rPr>
            </w:pPr>
          </w:p>
        </w:tc>
        <w:tc>
          <w:tcPr>
            <w:tcW w:w="3150" w:type="dxa"/>
            <w:gridSpan w:val="2"/>
            <w:tcBorders>
              <w:left w:val="nil"/>
              <w:bottom w:val="nil"/>
              <w:right w:val="nil"/>
            </w:tcBorders>
          </w:tcPr>
          <w:p w14:paraId="124954B3" w14:textId="1A2E045C" w:rsidR="00C77F80" w:rsidRPr="009E58F7" w:rsidRDefault="00C77F80" w:rsidP="007070F2">
            <w:pPr>
              <w:pStyle w:val="Nincstrkz"/>
              <w:jc w:val="center"/>
              <w:rPr>
                <w:i/>
                <w:noProof/>
                <w:sz w:val="22"/>
                <w:szCs w:val="22"/>
              </w:rPr>
            </w:pPr>
            <w:r w:rsidRPr="009E58F7">
              <w:rPr>
                <w:u w:val="single"/>
              </w:rPr>
              <w:t>IFM-2005-01</w:t>
            </w:r>
          </w:p>
        </w:tc>
        <w:tc>
          <w:tcPr>
            <w:tcW w:w="2946" w:type="dxa"/>
            <w:gridSpan w:val="2"/>
            <w:tcBorders>
              <w:left w:val="nil"/>
              <w:bottom w:val="nil"/>
              <w:right w:val="nil"/>
            </w:tcBorders>
          </w:tcPr>
          <w:p w14:paraId="02021C83" w14:textId="5B6B885C" w:rsidR="00C77F80" w:rsidRPr="009E58F7" w:rsidRDefault="00C77F80" w:rsidP="007070F2">
            <w:pPr>
              <w:pStyle w:val="Nincstrkz"/>
              <w:jc w:val="center"/>
              <w:rPr>
                <w:i/>
                <w:noProof/>
                <w:sz w:val="22"/>
                <w:szCs w:val="22"/>
              </w:rPr>
            </w:pPr>
            <w:r w:rsidRPr="009E58F7">
              <w:rPr>
                <w:u w:val="single"/>
              </w:rPr>
              <w:t>MMY-3010</w:t>
            </w:r>
          </w:p>
        </w:tc>
      </w:tr>
      <w:tr w:rsidR="00C77F80" w:rsidRPr="009E58F7" w14:paraId="1D8BF909" w14:textId="77777777" w:rsidTr="00E64005">
        <w:tc>
          <w:tcPr>
            <w:tcW w:w="3402" w:type="dxa"/>
            <w:tcBorders>
              <w:top w:val="nil"/>
              <w:left w:val="nil"/>
              <w:bottom w:val="single" w:sz="4" w:space="0" w:color="auto"/>
              <w:right w:val="nil"/>
            </w:tcBorders>
          </w:tcPr>
          <w:p w14:paraId="48BD5AFB" w14:textId="77777777" w:rsidR="00C77F80" w:rsidRPr="009E58F7" w:rsidRDefault="00C77F80" w:rsidP="00D7256D">
            <w:pPr>
              <w:pStyle w:val="Nincstrkz"/>
              <w:rPr>
                <w:i/>
                <w:noProof/>
                <w:sz w:val="22"/>
                <w:szCs w:val="22"/>
              </w:rPr>
            </w:pPr>
          </w:p>
        </w:tc>
        <w:tc>
          <w:tcPr>
            <w:tcW w:w="1575" w:type="dxa"/>
            <w:tcBorders>
              <w:top w:val="nil"/>
              <w:left w:val="nil"/>
              <w:bottom w:val="single" w:sz="4" w:space="0" w:color="auto"/>
              <w:right w:val="nil"/>
            </w:tcBorders>
          </w:tcPr>
          <w:p w14:paraId="7A61EA48" w14:textId="719CF452" w:rsidR="00C77F80" w:rsidRPr="009E58F7" w:rsidRDefault="00C77F80" w:rsidP="007070F2">
            <w:pPr>
              <w:jc w:val="center"/>
              <w:rPr>
                <w:noProof/>
                <w:sz w:val="22"/>
                <w:szCs w:val="22"/>
              </w:rPr>
            </w:pPr>
            <w:r w:rsidRPr="009E58F7">
              <w:t>VDDx</w:t>
            </w:r>
          </w:p>
          <w:p w14:paraId="23581D56" w14:textId="1965CE02" w:rsidR="00C77F80" w:rsidRPr="009E58F7" w:rsidRDefault="00C77F80" w:rsidP="007070F2">
            <w:pPr>
              <w:pStyle w:val="Nincstrkz"/>
              <w:jc w:val="center"/>
              <w:rPr>
                <w:i/>
                <w:noProof/>
                <w:sz w:val="22"/>
                <w:szCs w:val="22"/>
              </w:rPr>
            </w:pPr>
            <w:r w:rsidRPr="009E58F7">
              <w:rPr>
                <w:noProof/>
              </w:rPr>
              <w:t>(N = </w:t>
            </w:r>
            <w:r w:rsidRPr="009E58F7">
              <w:t>239)</w:t>
            </w:r>
          </w:p>
        </w:tc>
        <w:tc>
          <w:tcPr>
            <w:tcW w:w="1575" w:type="dxa"/>
            <w:tcBorders>
              <w:top w:val="nil"/>
              <w:left w:val="nil"/>
              <w:bottom w:val="single" w:sz="4" w:space="0" w:color="auto"/>
              <w:right w:val="nil"/>
            </w:tcBorders>
          </w:tcPr>
          <w:p w14:paraId="1D691402" w14:textId="02806183" w:rsidR="00C77F80" w:rsidRPr="009E58F7" w:rsidRDefault="00C77F80" w:rsidP="007070F2">
            <w:pPr>
              <w:jc w:val="center"/>
              <w:rPr>
                <w:noProof/>
                <w:sz w:val="22"/>
                <w:szCs w:val="22"/>
              </w:rPr>
            </w:pPr>
            <w:r w:rsidRPr="009E58F7">
              <w:rPr>
                <w:noProof/>
              </w:rPr>
              <w:t>BzDx</w:t>
            </w:r>
          </w:p>
          <w:p w14:paraId="066A3108" w14:textId="63314EEA" w:rsidR="00C77F80" w:rsidRPr="009E58F7" w:rsidRDefault="00C77F80" w:rsidP="007070F2">
            <w:pPr>
              <w:pStyle w:val="Nincstrkz"/>
              <w:jc w:val="center"/>
              <w:rPr>
                <w:i/>
                <w:noProof/>
                <w:sz w:val="22"/>
                <w:szCs w:val="22"/>
              </w:rPr>
            </w:pPr>
            <w:r w:rsidRPr="009E58F7">
              <w:rPr>
                <w:noProof/>
              </w:rPr>
              <w:t>(N = </w:t>
            </w:r>
            <w:r w:rsidRPr="009E58F7">
              <w:t>239)</w:t>
            </w:r>
          </w:p>
        </w:tc>
        <w:tc>
          <w:tcPr>
            <w:tcW w:w="1386" w:type="dxa"/>
            <w:tcBorders>
              <w:top w:val="nil"/>
              <w:left w:val="nil"/>
              <w:bottom w:val="single" w:sz="4" w:space="0" w:color="auto"/>
              <w:right w:val="nil"/>
            </w:tcBorders>
          </w:tcPr>
          <w:p w14:paraId="5C7601A9" w14:textId="1892F6A5" w:rsidR="00C77F80" w:rsidRPr="009E58F7" w:rsidRDefault="00C77F80" w:rsidP="007070F2">
            <w:pPr>
              <w:jc w:val="center"/>
              <w:rPr>
                <w:noProof/>
                <w:sz w:val="22"/>
                <w:szCs w:val="22"/>
              </w:rPr>
            </w:pPr>
            <w:r w:rsidRPr="009E58F7">
              <w:rPr>
                <w:noProof/>
              </w:rPr>
              <w:t>TDx</w:t>
            </w:r>
          </w:p>
          <w:p w14:paraId="32E7A9A4" w14:textId="362A873D" w:rsidR="00C77F80" w:rsidRPr="009E58F7" w:rsidRDefault="00C77F80" w:rsidP="007070F2">
            <w:pPr>
              <w:pStyle w:val="Nincstrkz"/>
              <w:jc w:val="center"/>
              <w:rPr>
                <w:i/>
                <w:noProof/>
                <w:sz w:val="22"/>
                <w:szCs w:val="22"/>
              </w:rPr>
            </w:pPr>
            <w:r w:rsidRPr="009E58F7">
              <w:rPr>
                <w:noProof/>
              </w:rPr>
              <w:t>(N = </w:t>
            </w:r>
            <w:r w:rsidRPr="009E58F7">
              <w:t>126)</w:t>
            </w:r>
          </w:p>
        </w:tc>
        <w:tc>
          <w:tcPr>
            <w:tcW w:w="1560" w:type="dxa"/>
            <w:tcBorders>
              <w:top w:val="nil"/>
              <w:left w:val="nil"/>
              <w:bottom w:val="single" w:sz="4" w:space="0" w:color="auto"/>
              <w:right w:val="nil"/>
            </w:tcBorders>
          </w:tcPr>
          <w:p w14:paraId="0082BF01" w14:textId="1229A254" w:rsidR="00C77F80" w:rsidRPr="009E58F7" w:rsidRDefault="00C77F80" w:rsidP="007070F2">
            <w:pPr>
              <w:jc w:val="center"/>
              <w:rPr>
                <w:noProof/>
                <w:sz w:val="22"/>
                <w:szCs w:val="22"/>
              </w:rPr>
            </w:pPr>
            <w:r w:rsidRPr="009E58F7">
              <w:rPr>
                <w:noProof/>
              </w:rPr>
              <w:t>BzTDx</w:t>
            </w:r>
          </w:p>
          <w:p w14:paraId="7C63D915" w14:textId="32E637D2" w:rsidR="00C77F80" w:rsidRPr="009E58F7" w:rsidRDefault="00C77F80" w:rsidP="007070F2">
            <w:pPr>
              <w:pStyle w:val="Nincstrkz"/>
              <w:jc w:val="center"/>
              <w:rPr>
                <w:i/>
                <w:noProof/>
                <w:sz w:val="22"/>
                <w:szCs w:val="22"/>
              </w:rPr>
            </w:pPr>
            <w:r w:rsidRPr="009E58F7">
              <w:rPr>
                <w:noProof/>
              </w:rPr>
              <w:t>(N = </w:t>
            </w:r>
            <w:r w:rsidRPr="009E58F7">
              <w:t>130)</w:t>
            </w:r>
          </w:p>
        </w:tc>
      </w:tr>
      <w:tr w:rsidR="00C77F80" w:rsidRPr="009E58F7" w14:paraId="1568D640" w14:textId="77777777" w:rsidTr="00E64005">
        <w:tc>
          <w:tcPr>
            <w:tcW w:w="3402" w:type="dxa"/>
            <w:tcBorders>
              <w:left w:val="nil"/>
              <w:bottom w:val="nil"/>
              <w:right w:val="nil"/>
            </w:tcBorders>
          </w:tcPr>
          <w:p w14:paraId="1DDD923B" w14:textId="1C3A67F2" w:rsidR="00C77F80" w:rsidRPr="009E58F7" w:rsidRDefault="00C77F80" w:rsidP="00D7256D">
            <w:pPr>
              <w:pStyle w:val="Nincstrkz"/>
              <w:rPr>
                <w:i/>
                <w:noProof/>
                <w:sz w:val="22"/>
                <w:szCs w:val="22"/>
              </w:rPr>
            </w:pPr>
            <w:r w:rsidRPr="009E58F7">
              <w:t>PN incidenciája (%)</w:t>
            </w:r>
          </w:p>
        </w:tc>
        <w:tc>
          <w:tcPr>
            <w:tcW w:w="1575" w:type="dxa"/>
            <w:tcBorders>
              <w:left w:val="nil"/>
              <w:bottom w:val="nil"/>
              <w:right w:val="nil"/>
            </w:tcBorders>
          </w:tcPr>
          <w:p w14:paraId="583FB19B" w14:textId="77777777" w:rsidR="00C77F80" w:rsidRPr="009E58F7" w:rsidRDefault="00C77F80" w:rsidP="007070F2">
            <w:pPr>
              <w:pStyle w:val="Nincstrkz"/>
              <w:rPr>
                <w:i/>
                <w:noProof/>
                <w:sz w:val="22"/>
                <w:szCs w:val="22"/>
              </w:rPr>
            </w:pPr>
          </w:p>
        </w:tc>
        <w:tc>
          <w:tcPr>
            <w:tcW w:w="1575" w:type="dxa"/>
            <w:tcBorders>
              <w:left w:val="nil"/>
              <w:bottom w:val="nil"/>
              <w:right w:val="nil"/>
            </w:tcBorders>
          </w:tcPr>
          <w:p w14:paraId="1E8D6EC9" w14:textId="77777777" w:rsidR="00C77F80" w:rsidRPr="009E58F7" w:rsidRDefault="00C77F80" w:rsidP="007070F2">
            <w:pPr>
              <w:pStyle w:val="Nincstrkz"/>
              <w:rPr>
                <w:i/>
                <w:noProof/>
                <w:sz w:val="22"/>
                <w:szCs w:val="22"/>
              </w:rPr>
            </w:pPr>
          </w:p>
        </w:tc>
        <w:tc>
          <w:tcPr>
            <w:tcW w:w="1386" w:type="dxa"/>
            <w:tcBorders>
              <w:left w:val="nil"/>
              <w:bottom w:val="nil"/>
              <w:right w:val="nil"/>
            </w:tcBorders>
          </w:tcPr>
          <w:p w14:paraId="32DFE8F1" w14:textId="77777777" w:rsidR="00C77F80" w:rsidRPr="009E58F7" w:rsidRDefault="00C77F80" w:rsidP="003D25C3">
            <w:pPr>
              <w:pStyle w:val="Nincstrkz"/>
              <w:rPr>
                <w:i/>
                <w:noProof/>
                <w:sz w:val="22"/>
                <w:szCs w:val="22"/>
              </w:rPr>
            </w:pPr>
          </w:p>
        </w:tc>
        <w:tc>
          <w:tcPr>
            <w:tcW w:w="1560" w:type="dxa"/>
            <w:tcBorders>
              <w:left w:val="nil"/>
              <w:bottom w:val="nil"/>
              <w:right w:val="nil"/>
            </w:tcBorders>
          </w:tcPr>
          <w:p w14:paraId="52F829CF" w14:textId="77777777" w:rsidR="00C77F80" w:rsidRPr="009E58F7" w:rsidRDefault="00C77F80">
            <w:pPr>
              <w:pStyle w:val="Nincstrkz"/>
              <w:rPr>
                <w:i/>
                <w:noProof/>
                <w:sz w:val="22"/>
                <w:szCs w:val="22"/>
              </w:rPr>
            </w:pPr>
          </w:p>
        </w:tc>
      </w:tr>
      <w:tr w:rsidR="00C77F80" w:rsidRPr="009E58F7" w14:paraId="083AB2C3" w14:textId="77777777" w:rsidTr="00E64005">
        <w:tc>
          <w:tcPr>
            <w:tcW w:w="3402" w:type="dxa"/>
            <w:tcBorders>
              <w:top w:val="nil"/>
              <w:left w:val="nil"/>
              <w:bottom w:val="nil"/>
              <w:right w:val="nil"/>
            </w:tcBorders>
          </w:tcPr>
          <w:p w14:paraId="71F005E0" w14:textId="7B3B954A" w:rsidR="00C77F80" w:rsidRPr="009E58F7" w:rsidRDefault="00C77F80" w:rsidP="00D7256D">
            <w:pPr>
              <w:pStyle w:val="Nincstrkz"/>
              <w:rPr>
                <w:i/>
                <w:noProof/>
                <w:sz w:val="22"/>
                <w:szCs w:val="22"/>
              </w:rPr>
            </w:pPr>
            <w:r w:rsidRPr="009E58F7">
              <w:t>PN minden súlyossági foka</w:t>
            </w:r>
          </w:p>
        </w:tc>
        <w:tc>
          <w:tcPr>
            <w:tcW w:w="1575" w:type="dxa"/>
            <w:tcBorders>
              <w:top w:val="nil"/>
              <w:left w:val="nil"/>
              <w:bottom w:val="nil"/>
              <w:right w:val="nil"/>
            </w:tcBorders>
          </w:tcPr>
          <w:p w14:paraId="201E5E29" w14:textId="62452BC9" w:rsidR="00C77F80" w:rsidRPr="009E58F7" w:rsidRDefault="00C77F80" w:rsidP="007070F2">
            <w:pPr>
              <w:pStyle w:val="Nincstrkz"/>
              <w:jc w:val="center"/>
              <w:rPr>
                <w:noProof/>
                <w:sz w:val="22"/>
                <w:szCs w:val="22"/>
              </w:rPr>
            </w:pPr>
            <w:r w:rsidRPr="009E58F7">
              <w:rPr>
                <w:noProof/>
              </w:rPr>
              <w:t>3</w:t>
            </w:r>
          </w:p>
        </w:tc>
        <w:tc>
          <w:tcPr>
            <w:tcW w:w="1575" w:type="dxa"/>
            <w:tcBorders>
              <w:top w:val="nil"/>
              <w:left w:val="nil"/>
              <w:bottom w:val="nil"/>
              <w:right w:val="nil"/>
            </w:tcBorders>
          </w:tcPr>
          <w:p w14:paraId="480F0111" w14:textId="3B8C0D43" w:rsidR="00C77F80" w:rsidRPr="009E58F7" w:rsidRDefault="00C77F80" w:rsidP="007070F2">
            <w:pPr>
              <w:pStyle w:val="Nincstrkz"/>
              <w:jc w:val="center"/>
              <w:rPr>
                <w:noProof/>
                <w:sz w:val="22"/>
                <w:szCs w:val="22"/>
              </w:rPr>
            </w:pPr>
            <w:r w:rsidRPr="009E58F7">
              <w:rPr>
                <w:noProof/>
              </w:rPr>
              <w:t>15</w:t>
            </w:r>
          </w:p>
        </w:tc>
        <w:tc>
          <w:tcPr>
            <w:tcW w:w="1386" w:type="dxa"/>
            <w:tcBorders>
              <w:top w:val="nil"/>
              <w:left w:val="nil"/>
              <w:bottom w:val="nil"/>
              <w:right w:val="nil"/>
            </w:tcBorders>
          </w:tcPr>
          <w:p w14:paraId="02A8CF88" w14:textId="42A3611D" w:rsidR="00C77F80" w:rsidRPr="009E58F7" w:rsidRDefault="00C77F80" w:rsidP="007070F2">
            <w:pPr>
              <w:pStyle w:val="Nincstrkz"/>
              <w:jc w:val="center"/>
              <w:rPr>
                <w:noProof/>
                <w:sz w:val="22"/>
                <w:szCs w:val="22"/>
              </w:rPr>
            </w:pPr>
            <w:r w:rsidRPr="009E58F7">
              <w:rPr>
                <w:noProof/>
              </w:rPr>
              <w:t>12</w:t>
            </w:r>
          </w:p>
        </w:tc>
        <w:tc>
          <w:tcPr>
            <w:tcW w:w="1560" w:type="dxa"/>
            <w:tcBorders>
              <w:top w:val="nil"/>
              <w:left w:val="nil"/>
              <w:bottom w:val="nil"/>
              <w:right w:val="nil"/>
            </w:tcBorders>
          </w:tcPr>
          <w:p w14:paraId="212E4C88" w14:textId="2EB4B2F2" w:rsidR="00C77F80" w:rsidRPr="009E58F7" w:rsidRDefault="00C77F80" w:rsidP="007070F2">
            <w:pPr>
              <w:pStyle w:val="Nincstrkz"/>
              <w:jc w:val="center"/>
              <w:rPr>
                <w:noProof/>
                <w:sz w:val="22"/>
                <w:szCs w:val="22"/>
              </w:rPr>
            </w:pPr>
            <w:r w:rsidRPr="009E58F7">
              <w:rPr>
                <w:noProof/>
              </w:rPr>
              <w:t>45</w:t>
            </w:r>
          </w:p>
        </w:tc>
      </w:tr>
      <w:tr w:rsidR="00C77F80" w:rsidRPr="009E58F7" w14:paraId="7E58EE73" w14:textId="77777777" w:rsidTr="00E64005">
        <w:tc>
          <w:tcPr>
            <w:tcW w:w="3402" w:type="dxa"/>
            <w:tcBorders>
              <w:top w:val="nil"/>
              <w:left w:val="nil"/>
              <w:bottom w:val="nil"/>
              <w:right w:val="nil"/>
            </w:tcBorders>
          </w:tcPr>
          <w:p w14:paraId="4EE8938B" w14:textId="26BD7C5B" w:rsidR="00C77F80" w:rsidRPr="009E58F7" w:rsidRDefault="00C77F80" w:rsidP="00D7256D">
            <w:pPr>
              <w:pStyle w:val="Nincstrkz"/>
              <w:rPr>
                <w:i/>
                <w:noProof/>
                <w:sz w:val="22"/>
                <w:szCs w:val="22"/>
              </w:rPr>
            </w:pPr>
            <w:r w:rsidRPr="009E58F7">
              <w:t>≥</w:t>
            </w:r>
            <w:r w:rsidRPr="009E58F7">
              <w:rPr>
                <w:noProof/>
              </w:rPr>
              <w:t> </w:t>
            </w:r>
            <w:r w:rsidRPr="009E58F7">
              <w:t>2-es súlyossági fokú PN</w:t>
            </w:r>
          </w:p>
        </w:tc>
        <w:tc>
          <w:tcPr>
            <w:tcW w:w="1575" w:type="dxa"/>
            <w:tcBorders>
              <w:top w:val="nil"/>
              <w:left w:val="nil"/>
              <w:bottom w:val="nil"/>
              <w:right w:val="nil"/>
            </w:tcBorders>
          </w:tcPr>
          <w:p w14:paraId="4B7117E2" w14:textId="12ADA280" w:rsidR="00C77F80" w:rsidRPr="009E58F7" w:rsidRDefault="00C77F80" w:rsidP="007070F2">
            <w:pPr>
              <w:pStyle w:val="Nincstrkz"/>
              <w:jc w:val="center"/>
              <w:rPr>
                <w:noProof/>
                <w:sz w:val="22"/>
                <w:szCs w:val="22"/>
              </w:rPr>
            </w:pPr>
            <w:r w:rsidRPr="009E58F7">
              <w:rPr>
                <w:noProof/>
              </w:rPr>
              <w:t>1</w:t>
            </w:r>
          </w:p>
        </w:tc>
        <w:tc>
          <w:tcPr>
            <w:tcW w:w="1575" w:type="dxa"/>
            <w:tcBorders>
              <w:top w:val="nil"/>
              <w:left w:val="nil"/>
              <w:bottom w:val="nil"/>
              <w:right w:val="nil"/>
            </w:tcBorders>
          </w:tcPr>
          <w:p w14:paraId="4CAE1184" w14:textId="06E592B1" w:rsidR="00C77F80" w:rsidRPr="009E58F7" w:rsidRDefault="00C77F80" w:rsidP="007070F2">
            <w:pPr>
              <w:pStyle w:val="Nincstrkz"/>
              <w:jc w:val="center"/>
              <w:rPr>
                <w:noProof/>
                <w:sz w:val="22"/>
                <w:szCs w:val="22"/>
              </w:rPr>
            </w:pPr>
            <w:r w:rsidRPr="009E58F7">
              <w:rPr>
                <w:noProof/>
              </w:rPr>
              <w:t>10</w:t>
            </w:r>
          </w:p>
        </w:tc>
        <w:tc>
          <w:tcPr>
            <w:tcW w:w="1386" w:type="dxa"/>
            <w:tcBorders>
              <w:top w:val="nil"/>
              <w:left w:val="nil"/>
              <w:bottom w:val="nil"/>
              <w:right w:val="nil"/>
            </w:tcBorders>
          </w:tcPr>
          <w:p w14:paraId="4CE2DBAE" w14:textId="10D15B99" w:rsidR="00C77F80" w:rsidRPr="009E58F7" w:rsidRDefault="00C77F80" w:rsidP="007070F2">
            <w:pPr>
              <w:pStyle w:val="Nincstrkz"/>
              <w:jc w:val="center"/>
              <w:rPr>
                <w:noProof/>
                <w:sz w:val="22"/>
                <w:szCs w:val="22"/>
              </w:rPr>
            </w:pPr>
            <w:r w:rsidRPr="009E58F7">
              <w:rPr>
                <w:noProof/>
              </w:rPr>
              <w:t>2</w:t>
            </w:r>
          </w:p>
        </w:tc>
        <w:tc>
          <w:tcPr>
            <w:tcW w:w="1560" w:type="dxa"/>
            <w:tcBorders>
              <w:top w:val="nil"/>
              <w:left w:val="nil"/>
              <w:bottom w:val="nil"/>
              <w:right w:val="nil"/>
            </w:tcBorders>
          </w:tcPr>
          <w:p w14:paraId="36127D2D" w14:textId="6541C2A8" w:rsidR="00C77F80" w:rsidRPr="009E58F7" w:rsidRDefault="00C77F80" w:rsidP="007070F2">
            <w:pPr>
              <w:pStyle w:val="Nincstrkz"/>
              <w:jc w:val="center"/>
              <w:rPr>
                <w:noProof/>
                <w:sz w:val="22"/>
                <w:szCs w:val="22"/>
              </w:rPr>
            </w:pPr>
            <w:r w:rsidRPr="009E58F7">
              <w:rPr>
                <w:noProof/>
              </w:rPr>
              <w:t>31</w:t>
            </w:r>
          </w:p>
        </w:tc>
      </w:tr>
      <w:tr w:rsidR="00C77F80" w:rsidRPr="009E58F7" w14:paraId="7F277F51" w14:textId="77777777" w:rsidTr="00E64005">
        <w:tc>
          <w:tcPr>
            <w:tcW w:w="3402" w:type="dxa"/>
            <w:tcBorders>
              <w:top w:val="nil"/>
              <w:left w:val="nil"/>
              <w:bottom w:val="single" w:sz="4" w:space="0" w:color="auto"/>
              <w:right w:val="nil"/>
            </w:tcBorders>
          </w:tcPr>
          <w:p w14:paraId="34C0C071" w14:textId="2707AA38" w:rsidR="00C77F80" w:rsidRPr="009E58F7" w:rsidRDefault="00C77F80" w:rsidP="00D7256D">
            <w:pPr>
              <w:pStyle w:val="Nincstrkz"/>
              <w:rPr>
                <w:i/>
                <w:noProof/>
                <w:sz w:val="22"/>
                <w:szCs w:val="22"/>
              </w:rPr>
            </w:pPr>
            <w:r w:rsidRPr="009E58F7">
              <w:t>≥</w:t>
            </w:r>
            <w:r w:rsidRPr="009E58F7">
              <w:rPr>
                <w:noProof/>
              </w:rPr>
              <w:t> </w:t>
            </w:r>
            <w:r w:rsidRPr="009E58F7">
              <w:t>3-as súlyossági fokú PN</w:t>
            </w:r>
          </w:p>
        </w:tc>
        <w:tc>
          <w:tcPr>
            <w:tcW w:w="1575" w:type="dxa"/>
            <w:tcBorders>
              <w:top w:val="nil"/>
              <w:left w:val="nil"/>
              <w:bottom w:val="single" w:sz="4" w:space="0" w:color="auto"/>
              <w:right w:val="nil"/>
            </w:tcBorders>
          </w:tcPr>
          <w:p w14:paraId="61A382E5" w14:textId="3BA35287" w:rsidR="00C77F80" w:rsidRPr="009E58F7" w:rsidRDefault="00C77F80" w:rsidP="007070F2">
            <w:pPr>
              <w:pStyle w:val="Nincstrkz"/>
              <w:jc w:val="center"/>
              <w:rPr>
                <w:noProof/>
                <w:sz w:val="22"/>
                <w:szCs w:val="22"/>
              </w:rPr>
            </w:pPr>
            <w:r w:rsidRPr="009E58F7">
              <w:t>&lt;</w:t>
            </w:r>
            <w:r w:rsidRPr="009E58F7">
              <w:rPr>
                <w:noProof/>
              </w:rPr>
              <w:t> </w:t>
            </w:r>
            <w:r w:rsidRPr="009E58F7">
              <w:t>1</w:t>
            </w:r>
          </w:p>
        </w:tc>
        <w:tc>
          <w:tcPr>
            <w:tcW w:w="1575" w:type="dxa"/>
            <w:tcBorders>
              <w:top w:val="nil"/>
              <w:left w:val="nil"/>
              <w:bottom w:val="single" w:sz="4" w:space="0" w:color="auto"/>
              <w:right w:val="nil"/>
            </w:tcBorders>
          </w:tcPr>
          <w:p w14:paraId="58E16ED8" w14:textId="3039517D" w:rsidR="00C77F80" w:rsidRPr="009E58F7" w:rsidRDefault="00C77F80" w:rsidP="007070F2">
            <w:pPr>
              <w:pStyle w:val="Nincstrkz"/>
              <w:jc w:val="center"/>
              <w:rPr>
                <w:noProof/>
                <w:sz w:val="22"/>
                <w:szCs w:val="22"/>
              </w:rPr>
            </w:pPr>
            <w:r w:rsidRPr="009E58F7">
              <w:rPr>
                <w:noProof/>
              </w:rPr>
              <w:t>5</w:t>
            </w:r>
          </w:p>
        </w:tc>
        <w:tc>
          <w:tcPr>
            <w:tcW w:w="1386" w:type="dxa"/>
            <w:tcBorders>
              <w:top w:val="nil"/>
              <w:left w:val="nil"/>
              <w:bottom w:val="single" w:sz="4" w:space="0" w:color="auto"/>
              <w:right w:val="nil"/>
            </w:tcBorders>
          </w:tcPr>
          <w:p w14:paraId="5B6644A3" w14:textId="4AB3A9B0" w:rsidR="00C77F80" w:rsidRPr="009E58F7" w:rsidRDefault="00C77F80" w:rsidP="007070F2">
            <w:pPr>
              <w:pStyle w:val="Nincstrkz"/>
              <w:jc w:val="center"/>
              <w:rPr>
                <w:noProof/>
                <w:sz w:val="22"/>
                <w:szCs w:val="22"/>
              </w:rPr>
            </w:pPr>
            <w:r w:rsidRPr="009E58F7">
              <w:rPr>
                <w:noProof/>
              </w:rPr>
              <w:t>0</w:t>
            </w:r>
          </w:p>
        </w:tc>
        <w:tc>
          <w:tcPr>
            <w:tcW w:w="1560" w:type="dxa"/>
            <w:tcBorders>
              <w:top w:val="nil"/>
              <w:left w:val="nil"/>
              <w:bottom w:val="single" w:sz="4" w:space="0" w:color="auto"/>
              <w:right w:val="nil"/>
            </w:tcBorders>
          </w:tcPr>
          <w:p w14:paraId="7D63F7D4" w14:textId="26D59195" w:rsidR="00C77F80" w:rsidRPr="009E58F7" w:rsidRDefault="00C77F80" w:rsidP="007070F2">
            <w:pPr>
              <w:pStyle w:val="Nincstrkz"/>
              <w:jc w:val="center"/>
              <w:rPr>
                <w:noProof/>
                <w:sz w:val="22"/>
                <w:szCs w:val="22"/>
              </w:rPr>
            </w:pPr>
            <w:r w:rsidRPr="009E58F7">
              <w:rPr>
                <w:noProof/>
              </w:rPr>
              <w:t>5</w:t>
            </w:r>
          </w:p>
        </w:tc>
      </w:tr>
      <w:tr w:rsidR="00C77F80" w:rsidRPr="009E58F7" w14:paraId="528EF9EB" w14:textId="77777777" w:rsidTr="00E64005">
        <w:tc>
          <w:tcPr>
            <w:tcW w:w="3402" w:type="dxa"/>
            <w:tcBorders>
              <w:left w:val="nil"/>
              <w:right w:val="nil"/>
            </w:tcBorders>
          </w:tcPr>
          <w:p w14:paraId="294C37A5" w14:textId="6FC25ECF" w:rsidR="00C77F80" w:rsidRPr="009E58F7" w:rsidRDefault="00C77F80" w:rsidP="00D7256D">
            <w:pPr>
              <w:pStyle w:val="Nincstrkz"/>
              <w:rPr>
                <w:i/>
                <w:noProof/>
                <w:sz w:val="22"/>
                <w:szCs w:val="22"/>
              </w:rPr>
            </w:pPr>
            <w:r w:rsidRPr="009E58F7">
              <w:rPr>
                <w:noProof/>
              </w:rPr>
              <w:t>Kezelés</w:t>
            </w:r>
            <w:r w:rsidRPr="009E58F7">
              <w:t xml:space="preserve"> megszakítása PN miatt (%)</w:t>
            </w:r>
          </w:p>
        </w:tc>
        <w:tc>
          <w:tcPr>
            <w:tcW w:w="1575" w:type="dxa"/>
            <w:tcBorders>
              <w:left w:val="nil"/>
              <w:right w:val="nil"/>
            </w:tcBorders>
          </w:tcPr>
          <w:p w14:paraId="6BFF7A19" w14:textId="5CF8456B" w:rsidR="00C77F80" w:rsidRPr="009E58F7" w:rsidRDefault="00C77F80" w:rsidP="007070F2">
            <w:pPr>
              <w:pStyle w:val="Nincstrkz"/>
              <w:jc w:val="center"/>
              <w:rPr>
                <w:noProof/>
                <w:sz w:val="22"/>
                <w:szCs w:val="22"/>
              </w:rPr>
            </w:pPr>
            <w:r w:rsidRPr="009E58F7">
              <w:t>&lt;</w:t>
            </w:r>
            <w:r w:rsidRPr="009E58F7">
              <w:rPr>
                <w:noProof/>
              </w:rPr>
              <w:t> </w:t>
            </w:r>
            <w:r w:rsidRPr="009E58F7">
              <w:t>1</w:t>
            </w:r>
          </w:p>
        </w:tc>
        <w:tc>
          <w:tcPr>
            <w:tcW w:w="1575" w:type="dxa"/>
            <w:tcBorders>
              <w:left w:val="nil"/>
              <w:right w:val="nil"/>
            </w:tcBorders>
          </w:tcPr>
          <w:p w14:paraId="42FC0406" w14:textId="21F8034D" w:rsidR="00C77F80" w:rsidRPr="009E58F7" w:rsidRDefault="00C77F80" w:rsidP="007070F2">
            <w:pPr>
              <w:pStyle w:val="Nincstrkz"/>
              <w:jc w:val="center"/>
              <w:rPr>
                <w:noProof/>
                <w:sz w:val="22"/>
                <w:szCs w:val="22"/>
              </w:rPr>
            </w:pPr>
            <w:r w:rsidRPr="009E58F7">
              <w:rPr>
                <w:noProof/>
              </w:rPr>
              <w:t>2</w:t>
            </w:r>
          </w:p>
        </w:tc>
        <w:tc>
          <w:tcPr>
            <w:tcW w:w="1386" w:type="dxa"/>
            <w:tcBorders>
              <w:left w:val="nil"/>
              <w:right w:val="nil"/>
            </w:tcBorders>
          </w:tcPr>
          <w:p w14:paraId="5933263B" w14:textId="6981AC1D" w:rsidR="00C77F80" w:rsidRPr="009E58F7" w:rsidRDefault="00C77F80" w:rsidP="007070F2">
            <w:pPr>
              <w:pStyle w:val="Nincstrkz"/>
              <w:jc w:val="center"/>
              <w:rPr>
                <w:noProof/>
                <w:sz w:val="22"/>
                <w:szCs w:val="22"/>
              </w:rPr>
            </w:pPr>
            <w:r w:rsidRPr="009E58F7">
              <w:rPr>
                <w:noProof/>
              </w:rPr>
              <w:t>1</w:t>
            </w:r>
          </w:p>
        </w:tc>
        <w:tc>
          <w:tcPr>
            <w:tcW w:w="1560" w:type="dxa"/>
            <w:tcBorders>
              <w:left w:val="nil"/>
              <w:right w:val="nil"/>
            </w:tcBorders>
          </w:tcPr>
          <w:p w14:paraId="1A4E8D49" w14:textId="6A3EBFD7" w:rsidR="00C77F80" w:rsidRPr="009E58F7" w:rsidRDefault="00C77F80" w:rsidP="007070F2">
            <w:pPr>
              <w:pStyle w:val="Nincstrkz"/>
              <w:jc w:val="center"/>
              <w:rPr>
                <w:noProof/>
                <w:sz w:val="22"/>
                <w:szCs w:val="22"/>
              </w:rPr>
            </w:pPr>
            <w:r w:rsidRPr="009E58F7">
              <w:rPr>
                <w:noProof/>
              </w:rPr>
              <w:t>5</w:t>
            </w:r>
          </w:p>
        </w:tc>
      </w:tr>
    </w:tbl>
    <w:p w14:paraId="412E9A52" w14:textId="3F9766E1" w:rsidR="0052704C" w:rsidRPr="005F2BC9" w:rsidRDefault="005B27B7" w:rsidP="00D7256D">
      <w:pPr>
        <w:pStyle w:val="NormlWeb"/>
        <w:rPr>
          <w:sz w:val="18"/>
          <w:szCs w:val="18"/>
          <w:lang w:val="hu-HU"/>
        </w:rPr>
      </w:pPr>
      <w:r w:rsidRPr="005F2BC9">
        <w:rPr>
          <w:sz w:val="18"/>
          <w:szCs w:val="18"/>
          <w:lang w:val="hu-HU"/>
        </w:rPr>
        <w:t>VDDx</w:t>
      </w:r>
      <w:r w:rsidRPr="005F2BC9">
        <w:rPr>
          <w:noProof/>
          <w:sz w:val="18"/>
          <w:szCs w:val="18"/>
          <w:lang w:val="hu-HU" w:eastAsia="hu-HU"/>
        </w:rPr>
        <w:t> = </w:t>
      </w:r>
      <w:r w:rsidRPr="005F2BC9">
        <w:rPr>
          <w:sz w:val="18"/>
          <w:szCs w:val="18"/>
          <w:lang w:val="hu-HU"/>
        </w:rPr>
        <w:t xml:space="preserve">vinkrisztin, doxorubicin, dexametazon; </w:t>
      </w:r>
      <w:r w:rsidRPr="005F2BC9">
        <w:rPr>
          <w:noProof/>
          <w:sz w:val="18"/>
          <w:szCs w:val="18"/>
          <w:lang w:val="hu-HU" w:eastAsia="hu-HU"/>
        </w:rPr>
        <w:t>B</w:t>
      </w:r>
      <w:r w:rsidR="0052704C" w:rsidRPr="005F2BC9">
        <w:rPr>
          <w:noProof/>
          <w:sz w:val="18"/>
          <w:szCs w:val="18"/>
          <w:lang w:val="hu-HU" w:eastAsia="hu-HU"/>
        </w:rPr>
        <w:t>z</w:t>
      </w:r>
      <w:r w:rsidRPr="005F2BC9">
        <w:rPr>
          <w:noProof/>
          <w:sz w:val="18"/>
          <w:szCs w:val="18"/>
          <w:lang w:val="hu-HU" w:eastAsia="hu-HU"/>
        </w:rPr>
        <w:t>Dx = </w:t>
      </w:r>
      <w:r w:rsidRPr="005F2BC9">
        <w:rPr>
          <w:sz w:val="18"/>
          <w:szCs w:val="18"/>
          <w:lang w:val="hu-HU"/>
        </w:rPr>
        <w:t>bortezomib, dexametazon; TDx</w:t>
      </w:r>
      <w:r w:rsidRPr="005F2BC9">
        <w:rPr>
          <w:noProof/>
          <w:sz w:val="18"/>
          <w:szCs w:val="18"/>
          <w:lang w:val="hu-HU" w:eastAsia="hu-HU"/>
        </w:rPr>
        <w:t> = </w:t>
      </w:r>
      <w:r w:rsidRPr="005F2BC9">
        <w:rPr>
          <w:sz w:val="18"/>
          <w:szCs w:val="18"/>
          <w:lang w:val="hu-HU"/>
        </w:rPr>
        <w:t>talidomid, dexametazon;</w:t>
      </w:r>
    </w:p>
    <w:p w14:paraId="35B90B88" w14:textId="4146C0D4" w:rsidR="005B27B7" w:rsidRPr="005F2BC9" w:rsidRDefault="005B27B7" w:rsidP="007070F2">
      <w:pPr>
        <w:pStyle w:val="NormlWeb"/>
        <w:rPr>
          <w:sz w:val="18"/>
          <w:szCs w:val="18"/>
          <w:lang w:val="hu-HU"/>
        </w:rPr>
      </w:pPr>
      <w:r w:rsidRPr="009E58F7">
        <w:rPr>
          <w:noProof/>
          <w:sz w:val="18"/>
          <w:szCs w:val="18"/>
          <w:lang w:val="hu-HU" w:eastAsia="hu-HU"/>
        </w:rPr>
        <w:t>B</w:t>
      </w:r>
      <w:r w:rsidR="0052704C" w:rsidRPr="009E58F7">
        <w:rPr>
          <w:noProof/>
          <w:sz w:val="18"/>
          <w:szCs w:val="18"/>
          <w:lang w:val="hu-HU" w:eastAsia="hu-HU"/>
        </w:rPr>
        <w:t>z</w:t>
      </w:r>
      <w:r w:rsidRPr="009E58F7">
        <w:rPr>
          <w:noProof/>
          <w:sz w:val="18"/>
          <w:szCs w:val="18"/>
          <w:lang w:val="hu-HU" w:eastAsia="hu-HU"/>
        </w:rPr>
        <w:t>TDx = </w:t>
      </w:r>
      <w:r w:rsidRPr="009E58F7">
        <w:rPr>
          <w:sz w:val="18"/>
          <w:szCs w:val="18"/>
          <w:lang w:val="hu-HU"/>
        </w:rPr>
        <w:t>bortezomib, talidomid, dexametazon; PN</w:t>
      </w:r>
      <w:r w:rsidRPr="009E58F7">
        <w:rPr>
          <w:noProof/>
          <w:sz w:val="18"/>
          <w:szCs w:val="18"/>
          <w:lang w:val="hu-HU" w:eastAsia="hu-HU"/>
        </w:rPr>
        <w:t> = perifériás</w:t>
      </w:r>
      <w:r w:rsidRPr="009E58F7">
        <w:rPr>
          <w:sz w:val="18"/>
          <w:szCs w:val="18"/>
          <w:lang w:val="hu-HU"/>
        </w:rPr>
        <w:t xml:space="preserve"> neuropathia</w:t>
      </w:r>
    </w:p>
    <w:p w14:paraId="16FC3215" w14:textId="2380256F" w:rsidR="005B27B7" w:rsidRPr="009E58F7" w:rsidRDefault="005B27B7" w:rsidP="007070F2">
      <w:pPr>
        <w:spacing w:line="240" w:lineRule="auto"/>
        <w:rPr>
          <w:i/>
          <w:sz w:val="18"/>
          <w:szCs w:val="18"/>
        </w:rPr>
      </w:pPr>
      <w:r w:rsidRPr="009E58F7">
        <w:rPr>
          <w:sz w:val="18"/>
          <w:szCs w:val="18"/>
        </w:rPr>
        <w:t xml:space="preserve">Megjegyzés: </w:t>
      </w:r>
      <w:r w:rsidRPr="009E58F7">
        <w:rPr>
          <w:noProof/>
          <w:sz w:val="18"/>
          <w:szCs w:val="18"/>
          <w:lang w:eastAsia="hu-HU"/>
        </w:rPr>
        <w:t>A perifériás</w:t>
      </w:r>
      <w:r w:rsidRPr="009E58F7">
        <w:rPr>
          <w:sz w:val="18"/>
          <w:szCs w:val="18"/>
        </w:rPr>
        <w:t xml:space="preserve"> neuropathia </w:t>
      </w:r>
      <w:r w:rsidRPr="009E58F7">
        <w:rPr>
          <w:noProof/>
          <w:sz w:val="18"/>
          <w:szCs w:val="18"/>
          <w:lang w:eastAsia="hu-HU"/>
        </w:rPr>
        <w:t>a következő preferált szakkifejezéseket</w:t>
      </w:r>
      <w:r w:rsidRPr="009E58F7">
        <w:rPr>
          <w:sz w:val="18"/>
          <w:szCs w:val="18"/>
        </w:rPr>
        <w:t xml:space="preserve"> foglalja</w:t>
      </w:r>
      <w:r w:rsidRPr="009E58F7">
        <w:rPr>
          <w:noProof/>
          <w:sz w:val="18"/>
          <w:szCs w:val="18"/>
          <w:lang w:eastAsia="hu-HU"/>
        </w:rPr>
        <w:t xml:space="preserve"> magában: perifériás</w:t>
      </w:r>
      <w:r w:rsidRPr="009E58F7">
        <w:rPr>
          <w:sz w:val="18"/>
          <w:szCs w:val="18"/>
        </w:rPr>
        <w:t xml:space="preserve"> neuropathia, motoros </w:t>
      </w:r>
      <w:r w:rsidRPr="009E58F7">
        <w:rPr>
          <w:noProof/>
          <w:sz w:val="18"/>
          <w:szCs w:val="18"/>
          <w:lang w:eastAsia="hu-HU"/>
        </w:rPr>
        <w:t>peripheriás</w:t>
      </w:r>
      <w:r w:rsidRPr="009E58F7">
        <w:rPr>
          <w:sz w:val="18"/>
          <w:szCs w:val="18"/>
        </w:rPr>
        <w:t xml:space="preserve"> neuropathia, </w:t>
      </w:r>
      <w:r w:rsidRPr="009E58F7">
        <w:rPr>
          <w:noProof/>
          <w:sz w:val="18"/>
          <w:szCs w:val="18"/>
          <w:lang w:eastAsia="hu-HU"/>
        </w:rPr>
        <w:t>peripheriás</w:t>
      </w:r>
      <w:r w:rsidRPr="009E58F7">
        <w:rPr>
          <w:sz w:val="18"/>
          <w:szCs w:val="18"/>
        </w:rPr>
        <w:t xml:space="preserve"> sensoros neuropathia és polyneuropathia meghatározásait.</w:t>
      </w:r>
    </w:p>
    <w:p w14:paraId="641A02A7" w14:textId="77777777" w:rsidR="002B2D33" w:rsidRPr="009E58F7" w:rsidRDefault="002B2D33" w:rsidP="003D25C3">
      <w:pPr>
        <w:widowControl w:val="0"/>
        <w:autoSpaceDE w:val="0"/>
        <w:autoSpaceDN w:val="0"/>
        <w:adjustRightInd w:val="0"/>
        <w:spacing w:line="240" w:lineRule="auto"/>
        <w:rPr>
          <w:color w:val="000000"/>
        </w:rPr>
      </w:pPr>
    </w:p>
    <w:p w14:paraId="54E4B541" w14:textId="77777777" w:rsidR="004D6470" w:rsidRPr="009E58F7" w:rsidRDefault="004D6470">
      <w:pPr>
        <w:pStyle w:val="Nincstrkz"/>
        <w:keepNext/>
        <w:rPr>
          <w:sz w:val="24"/>
        </w:rPr>
      </w:pPr>
      <w:r w:rsidRPr="009E58F7">
        <w:lastRenderedPageBreak/>
        <w:t>Köpenysejtes lymphoma</w:t>
      </w:r>
    </w:p>
    <w:p w14:paraId="650A70BA" w14:textId="2A216BE5" w:rsidR="004D6470" w:rsidRPr="009E58F7" w:rsidRDefault="004D6470">
      <w:pPr>
        <w:pStyle w:val="Nincstrkz"/>
        <w:keepNext/>
        <w:rPr>
          <w:sz w:val="24"/>
        </w:rPr>
      </w:pPr>
      <w:r w:rsidRPr="009E58F7">
        <w:t>A LYM</w:t>
      </w:r>
      <w:r w:rsidR="003F0F42">
        <w:t>-</w:t>
      </w:r>
      <w:r w:rsidRPr="009E58F7">
        <w:t>3002</w:t>
      </w:r>
      <w:r w:rsidR="00AF4376">
        <w:t xml:space="preserve"> </w:t>
      </w:r>
      <w:r w:rsidRPr="009E58F7">
        <w:t xml:space="preserve">vizsgálatban, amelyben </w:t>
      </w:r>
      <w:r w:rsidR="00C5286C" w:rsidRPr="009E58F7">
        <w:rPr>
          <w:rFonts w:eastAsia="Times New Roman"/>
        </w:rPr>
        <w:t xml:space="preserve">rituximabbal, </w:t>
      </w:r>
      <w:r w:rsidRPr="009E58F7">
        <w:t xml:space="preserve">ciklofoszfamiddal, doxorubicinnel és prednizonnal </w:t>
      </w:r>
      <w:r w:rsidR="0052704C" w:rsidRPr="009E58F7">
        <w:t>(R</w:t>
      </w:r>
      <w:r w:rsidR="003F0F42">
        <w:t>-</w:t>
      </w:r>
      <w:r w:rsidRPr="009E58F7">
        <w:t>CAP) kombinált bortezomib</w:t>
      </w:r>
      <w:r w:rsidR="00FE5B85">
        <w:t>-</w:t>
      </w:r>
      <w:r w:rsidRPr="009E58F7">
        <w:t>kezelést adtak</w:t>
      </w:r>
      <w:r w:rsidR="0052704C" w:rsidRPr="009E58F7">
        <w:t>,</w:t>
      </w:r>
      <w:r w:rsidRPr="009E58F7">
        <w:t xml:space="preserve"> a kombinált rezsim mellett előforduló perifériás neuropathia gyakoriságát az alábbi táblázat mutatja.</w:t>
      </w:r>
    </w:p>
    <w:p w14:paraId="5C9381E9" w14:textId="77777777" w:rsidR="004D6470" w:rsidRPr="009E58F7" w:rsidRDefault="004D6470">
      <w:pPr>
        <w:widowControl w:val="0"/>
        <w:autoSpaceDE w:val="0"/>
        <w:autoSpaceDN w:val="0"/>
        <w:adjustRightInd w:val="0"/>
        <w:spacing w:line="240" w:lineRule="auto"/>
      </w:pPr>
    </w:p>
    <w:p w14:paraId="21EBA887" w14:textId="53D3B157" w:rsidR="009F300F" w:rsidRPr="009E58F7" w:rsidRDefault="009F300F">
      <w:pPr>
        <w:keepNext/>
        <w:spacing w:line="240" w:lineRule="auto"/>
        <w:ind w:left="1410" w:hanging="1410"/>
      </w:pPr>
      <w:r w:rsidRPr="009E58F7">
        <w:rPr>
          <w:i/>
          <w:iCs/>
          <w:noProof/>
          <w:lang w:eastAsia="de-AT"/>
        </w:rPr>
        <w:t xml:space="preserve">10. </w:t>
      </w:r>
      <w:bookmarkStart w:id="32" w:name="page55"/>
      <w:bookmarkEnd w:id="32"/>
      <w:r w:rsidRPr="009E58F7">
        <w:rPr>
          <w:i/>
        </w:rPr>
        <w:t>táblázat:</w:t>
      </w:r>
      <w:r w:rsidR="0052704C" w:rsidRPr="009E58F7">
        <w:rPr>
          <w:i/>
        </w:rPr>
        <w:tab/>
      </w:r>
      <w:r w:rsidRPr="009E58F7">
        <w:rPr>
          <w:i/>
        </w:rPr>
        <w:t>A perifériás neuropathia előfordulási gyak</w:t>
      </w:r>
      <w:r w:rsidR="00522BE6" w:rsidRPr="009E58F7">
        <w:rPr>
          <w:i/>
        </w:rPr>
        <w:t>orisága a LYM-3002-vizsgálatban</w:t>
      </w:r>
      <w:r w:rsidRPr="009E58F7">
        <w:rPr>
          <w:i/>
          <w:noProof/>
          <w:lang w:eastAsia="hu-HU"/>
        </w:rPr>
        <w:t xml:space="preserve"> a toxicitás mértéke</w:t>
      </w:r>
      <w:r w:rsidRPr="009E58F7">
        <w:rPr>
          <w:i/>
        </w:rPr>
        <w:t xml:space="preserve"> és a perifériás neuropathia </w:t>
      </w:r>
      <w:r w:rsidRPr="009E58F7">
        <w:rPr>
          <w:i/>
          <w:noProof/>
          <w:lang w:eastAsia="hu-HU"/>
        </w:rPr>
        <w:t>miatt megszakított kezelések száma szerint</w:t>
      </w:r>
    </w:p>
    <w:tbl>
      <w:tblPr>
        <w:tblStyle w:val="Rcsostblzat"/>
        <w:tblW w:w="8789" w:type="dxa"/>
        <w:tblInd w:w="108" w:type="dxa"/>
        <w:tblLook w:val="04A0" w:firstRow="1" w:lastRow="0" w:firstColumn="1" w:lastColumn="0" w:noHBand="0" w:noVBand="1"/>
      </w:tblPr>
      <w:tblGrid>
        <w:gridCol w:w="4395"/>
        <w:gridCol w:w="1984"/>
        <w:gridCol w:w="2410"/>
      </w:tblGrid>
      <w:tr w:rsidR="0052704C" w:rsidRPr="009E58F7" w14:paraId="3C8A64CB" w14:textId="77777777" w:rsidTr="00E64005">
        <w:tc>
          <w:tcPr>
            <w:tcW w:w="4395" w:type="dxa"/>
            <w:tcBorders>
              <w:top w:val="single" w:sz="4" w:space="0" w:color="auto"/>
              <w:left w:val="nil"/>
              <w:bottom w:val="single" w:sz="4" w:space="0" w:color="auto"/>
              <w:right w:val="nil"/>
            </w:tcBorders>
          </w:tcPr>
          <w:p w14:paraId="47626008" w14:textId="77777777" w:rsidR="0052704C" w:rsidRPr="009E58F7" w:rsidRDefault="0052704C" w:rsidP="00E26B3B">
            <w:pPr>
              <w:pStyle w:val="Nincstrkz"/>
              <w:keepNext/>
              <w:rPr>
                <w:i/>
                <w:noProof/>
                <w:sz w:val="22"/>
                <w:szCs w:val="22"/>
              </w:rPr>
            </w:pPr>
          </w:p>
        </w:tc>
        <w:tc>
          <w:tcPr>
            <w:tcW w:w="1984" w:type="dxa"/>
            <w:tcBorders>
              <w:top w:val="single" w:sz="4" w:space="0" w:color="auto"/>
              <w:left w:val="nil"/>
              <w:bottom w:val="single" w:sz="4" w:space="0" w:color="auto"/>
              <w:right w:val="nil"/>
            </w:tcBorders>
          </w:tcPr>
          <w:p w14:paraId="24A8F93C" w14:textId="5F34EBE8" w:rsidR="0052704C" w:rsidRPr="009E58F7" w:rsidRDefault="0052704C" w:rsidP="00E26B3B">
            <w:pPr>
              <w:keepNext/>
              <w:jc w:val="center"/>
              <w:rPr>
                <w:noProof/>
                <w:sz w:val="22"/>
                <w:szCs w:val="22"/>
              </w:rPr>
            </w:pPr>
            <w:r w:rsidRPr="009E58F7">
              <w:rPr>
                <w:noProof/>
                <w:sz w:val="22"/>
                <w:szCs w:val="22"/>
              </w:rPr>
              <w:t>BzR</w:t>
            </w:r>
            <w:r w:rsidR="003F0F42">
              <w:rPr>
                <w:noProof/>
                <w:sz w:val="22"/>
                <w:szCs w:val="22"/>
              </w:rPr>
              <w:t>-</w:t>
            </w:r>
            <w:r w:rsidRPr="009E58F7">
              <w:rPr>
                <w:noProof/>
                <w:sz w:val="22"/>
                <w:szCs w:val="22"/>
              </w:rPr>
              <w:t>CAP</w:t>
            </w:r>
          </w:p>
          <w:p w14:paraId="016E491E" w14:textId="56D14A0F" w:rsidR="0052704C" w:rsidRPr="009E58F7" w:rsidRDefault="0052704C" w:rsidP="00E26B3B">
            <w:pPr>
              <w:pStyle w:val="Nincstrkz"/>
              <w:keepNext/>
              <w:jc w:val="center"/>
              <w:rPr>
                <w:i/>
                <w:noProof/>
                <w:sz w:val="22"/>
                <w:szCs w:val="22"/>
              </w:rPr>
            </w:pPr>
            <w:r w:rsidRPr="009E58F7">
              <w:rPr>
                <w:noProof/>
                <w:sz w:val="22"/>
                <w:szCs w:val="22"/>
              </w:rPr>
              <w:t>(N = </w:t>
            </w:r>
            <w:r w:rsidRPr="009E58F7">
              <w:rPr>
                <w:sz w:val="22"/>
                <w:szCs w:val="22"/>
              </w:rPr>
              <w:t>240)</w:t>
            </w:r>
          </w:p>
        </w:tc>
        <w:tc>
          <w:tcPr>
            <w:tcW w:w="2410" w:type="dxa"/>
            <w:tcBorders>
              <w:top w:val="single" w:sz="4" w:space="0" w:color="auto"/>
              <w:left w:val="nil"/>
              <w:bottom w:val="single" w:sz="4" w:space="0" w:color="auto"/>
              <w:right w:val="nil"/>
            </w:tcBorders>
          </w:tcPr>
          <w:p w14:paraId="7EF7C0F6" w14:textId="0C4B1A92" w:rsidR="0052704C" w:rsidRPr="009E58F7" w:rsidRDefault="0052704C" w:rsidP="00E26B3B">
            <w:pPr>
              <w:keepNext/>
              <w:jc w:val="center"/>
              <w:rPr>
                <w:noProof/>
                <w:sz w:val="22"/>
                <w:szCs w:val="22"/>
              </w:rPr>
            </w:pPr>
            <w:r w:rsidRPr="009E58F7">
              <w:rPr>
                <w:noProof/>
                <w:sz w:val="22"/>
                <w:szCs w:val="22"/>
              </w:rPr>
              <w:t>R</w:t>
            </w:r>
            <w:r w:rsidR="003F0F42">
              <w:rPr>
                <w:noProof/>
                <w:sz w:val="22"/>
                <w:szCs w:val="22"/>
              </w:rPr>
              <w:t>-</w:t>
            </w:r>
            <w:r w:rsidRPr="009E58F7">
              <w:rPr>
                <w:noProof/>
                <w:sz w:val="22"/>
                <w:szCs w:val="22"/>
              </w:rPr>
              <w:t>CHOP</w:t>
            </w:r>
          </w:p>
          <w:p w14:paraId="01B29F00" w14:textId="1A6A49F7" w:rsidR="0052704C" w:rsidRPr="009E58F7" w:rsidRDefault="0052704C" w:rsidP="00E26B3B">
            <w:pPr>
              <w:pStyle w:val="Nincstrkz"/>
              <w:keepNext/>
              <w:jc w:val="center"/>
              <w:rPr>
                <w:i/>
                <w:noProof/>
                <w:sz w:val="22"/>
                <w:szCs w:val="22"/>
              </w:rPr>
            </w:pPr>
            <w:r w:rsidRPr="009E58F7">
              <w:rPr>
                <w:noProof/>
                <w:sz w:val="22"/>
                <w:szCs w:val="22"/>
              </w:rPr>
              <w:t>(N = </w:t>
            </w:r>
            <w:r w:rsidRPr="009E58F7">
              <w:rPr>
                <w:sz w:val="22"/>
                <w:szCs w:val="22"/>
              </w:rPr>
              <w:t>242)</w:t>
            </w:r>
          </w:p>
        </w:tc>
      </w:tr>
      <w:tr w:rsidR="0052704C" w:rsidRPr="009E58F7" w14:paraId="56BEDBFD" w14:textId="77777777" w:rsidTr="00E64005">
        <w:tc>
          <w:tcPr>
            <w:tcW w:w="4395" w:type="dxa"/>
            <w:tcBorders>
              <w:left w:val="nil"/>
              <w:bottom w:val="nil"/>
              <w:right w:val="nil"/>
            </w:tcBorders>
          </w:tcPr>
          <w:p w14:paraId="24499684" w14:textId="77777777" w:rsidR="0052704C" w:rsidRPr="009E58F7" w:rsidRDefault="0052704C" w:rsidP="00E26B3B">
            <w:pPr>
              <w:pStyle w:val="Nincstrkz"/>
              <w:keepNext/>
              <w:rPr>
                <w:i/>
                <w:noProof/>
                <w:sz w:val="22"/>
                <w:szCs w:val="22"/>
              </w:rPr>
            </w:pPr>
            <w:r w:rsidRPr="009E58F7">
              <w:rPr>
                <w:sz w:val="22"/>
                <w:szCs w:val="22"/>
              </w:rPr>
              <w:t>PN incidenciája (%)</w:t>
            </w:r>
          </w:p>
        </w:tc>
        <w:tc>
          <w:tcPr>
            <w:tcW w:w="1984" w:type="dxa"/>
            <w:tcBorders>
              <w:left w:val="nil"/>
              <w:bottom w:val="nil"/>
              <w:right w:val="nil"/>
            </w:tcBorders>
          </w:tcPr>
          <w:p w14:paraId="61748FA6" w14:textId="77777777" w:rsidR="0052704C" w:rsidRPr="009E58F7" w:rsidRDefault="0052704C" w:rsidP="00E26B3B">
            <w:pPr>
              <w:pStyle w:val="Nincstrkz"/>
              <w:keepNext/>
              <w:rPr>
                <w:i/>
                <w:noProof/>
                <w:sz w:val="22"/>
                <w:szCs w:val="22"/>
              </w:rPr>
            </w:pPr>
          </w:p>
        </w:tc>
        <w:tc>
          <w:tcPr>
            <w:tcW w:w="2410" w:type="dxa"/>
            <w:tcBorders>
              <w:left w:val="nil"/>
              <w:bottom w:val="nil"/>
              <w:right w:val="nil"/>
            </w:tcBorders>
          </w:tcPr>
          <w:p w14:paraId="4FB7BC47" w14:textId="77777777" w:rsidR="0052704C" w:rsidRPr="009E58F7" w:rsidRDefault="0052704C" w:rsidP="00E26B3B">
            <w:pPr>
              <w:pStyle w:val="Nincstrkz"/>
              <w:keepNext/>
              <w:rPr>
                <w:i/>
                <w:noProof/>
                <w:sz w:val="22"/>
                <w:szCs w:val="22"/>
              </w:rPr>
            </w:pPr>
          </w:p>
        </w:tc>
      </w:tr>
      <w:tr w:rsidR="0052704C" w:rsidRPr="009E58F7" w14:paraId="412D4934" w14:textId="77777777" w:rsidTr="00E64005">
        <w:tc>
          <w:tcPr>
            <w:tcW w:w="4395" w:type="dxa"/>
            <w:tcBorders>
              <w:top w:val="nil"/>
              <w:left w:val="nil"/>
              <w:bottom w:val="nil"/>
              <w:right w:val="nil"/>
            </w:tcBorders>
          </w:tcPr>
          <w:p w14:paraId="730A5DD6" w14:textId="77777777" w:rsidR="0052704C" w:rsidRPr="009E58F7" w:rsidRDefault="0052704C" w:rsidP="00D7256D">
            <w:pPr>
              <w:pStyle w:val="Nincstrkz"/>
              <w:rPr>
                <w:i/>
                <w:noProof/>
                <w:sz w:val="22"/>
                <w:szCs w:val="22"/>
              </w:rPr>
            </w:pPr>
            <w:r w:rsidRPr="009E58F7">
              <w:rPr>
                <w:sz w:val="22"/>
                <w:szCs w:val="22"/>
              </w:rPr>
              <w:t>PN minden súlyossági foka</w:t>
            </w:r>
          </w:p>
        </w:tc>
        <w:tc>
          <w:tcPr>
            <w:tcW w:w="1984" w:type="dxa"/>
            <w:tcBorders>
              <w:top w:val="nil"/>
              <w:left w:val="nil"/>
              <w:bottom w:val="nil"/>
              <w:right w:val="nil"/>
            </w:tcBorders>
          </w:tcPr>
          <w:p w14:paraId="426AF72D" w14:textId="0F799E77" w:rsidR="0052704C" w:rsidRPr="009E58F7" w:rsidRDefault="0052704C" w:rsidP="007070F2">
            <w:pPr>
              <w:pStyle w:val="Nincstrkz"/>
              <w:jc w:val="center"/>
              <w:rPr>
                <w:noProof/>
                <w:sz w:val="22"/>
                <w:szCs w:val="22"/>
              </w:rPr>
            </w:pPr>
            <w:r w:rsidRPr="009E58F7">
              <w:rPr>
                <w:noProof/>
                <w:sz w:val="22"/>
                <w:szCs w:val="22"/>
              </w:rPr>
              <w:t>30</w:t>
            </w:r>
          </w:p>
        </w:tc>
        <w:tc>
          <w:tcPr>
            <w:tcW w:w="2410" w:type="dxa"/>
            <w:tcBorders>
              <w:top w:val="nil"/>
              <w:left w:val="nil"/>
              <w:bottom w:val="nil"/>
              <w:right w:val="nil"/>
            </w:tcBorders>
          </w:tcPr>
          <w:p w14:paraId="1C9953B7" w14:textId="45B62F0D" w:rsidR="0052704C" w:rsidRPr="009E58F7" w:rsidRDefault="0052704C" w:rsidP="007070F2">
            <w:pPr>
              <w:pStyle w:val="Nincstrkz"/>
              <w:jc w:val="center"/>
              <w:rPr>
                <w:noProof/>
                <w:sz w:val="22"/>
                <w:szCs w:val="22"/>
              </w:rPr>
            </w:pPr>
            <w:r w:rsidRPr="009E58F7">
              <w:rPr>
                <w:noProof/>
                <w:sz w:val="22"/>
                <w:szCs w:val="22"/>
              </w:rPr>
              <w:t>29</w:t>
            </w:r>
          </w:p>
        </w:tc>
      </w:tr>
      <w:tr w:rsidR="0052704C" w:rsidRPr="009E58F7" w14:paraId="77D778F4" w14:textId="77777777" w:rsidTr="00E64005">
        <w:tc>
          <w:tcPr>
            <w:tcW w:w="4395" w:type="dxa"/>
            <w:tcBorders>
              <w:top w:val="nil"/>
              <w:left w:val="nil"/>
              <w:bottom w:val="nil"/>
              <w:right w:val="nil"/>
            </w:tcBorders>
          </w:tcPr>
          <w:p w14:paraId="015E32CD" w14:textId="77777777" w:rsidR="0052704C" w:rsidRPr="009E58F7" w:rsidRDefault="0052704C" w:rsidP="00D7256D">
            <w:pPr>
              <w:pStyle w:val="Nincstrkz"/>
              <w:rPr>
                <w:i/>
                <w:noProof/>
                <w:sz w:val="22"/>
                <w:szCs w:val="22"/>
              </w:rPr>
            </w:pPr>
            <w:r w:rsidRPr="009E58F7">
              <w:rPr>
                <w:sz w:val="22"/>
                <w:szCs w:val="22"/>
              </w:rPr>
              <w:t>≥</w:t>
            </w:r>
            <w:r w:rsidRPr="009E58F7">
              <w:rPr>
                <w:noProof/>
                <w:sz w:val="22"/>
                <w:szCs w:val="22"/>
              </w:rPr>
              <w:t> </w:t>
            </w:r>
            <w:r w:rsidRPr="009E58F7">
              <w:rPr>
                <w:sz w:val="22"/>
                <w:szCs w:val="22"/>
              </w:rPr>
              <w:t>2-es súlyossági fokú PN</w:t>
            </w:r>
          </w:p>
        </w:tc>
        <w:tc>
          <w:tcPr>
            <w:tcW w:w="1984" w:type="dxa"/>
            <w:tcBorders>
              <w:top w:val="nil"/>
              <w:left w:val="nil"/>
              <w:bottom w:val="nil"/>
              <w:right w:val="nil"/>
            </w:tcBorders>
          </w:tcPr>
          <w:p w14:paraId="25D1184A" w14:textId="4EEBAEED" w:rsidR="0052704C" w:rsidRPr="009E58F7" w:rsidRDefault="0052704C" w:rsidP="007070F2">
            <w:pPr>
              <w:pStyle w:val="Nincstrkz"/>
              <w:jc w:val="center"/>
              <w:rPr>
                <w:noProof/>
                <w:sz w:val="22"/>
                <w:szCs w:val="22"/>
              </w:rPr>
            </w:pPr>
            <w:r w:rsidRPr="009E58F7">
              <w:rPr>
                <w:noProof/>
                <w:sz w:val="22"/>
                <w:szCs w:val="22"/>
              </w:rPr>
              <w:t>18</w:t>
            </w:r>
          </w:p>
        </w:tc>
        <w:tc>
          <w:tcPr>
            <w:tcW w:w="2410" w:type="dxa"/>
            <w:tcBorders>
              <w:top w:val="nil"/>
              <w:left w:val="nil"/>
              <w:bottom w:val="nil"/>
              <w:right w:val="nil"/>
            </w:tcBorders>
          </w:tcPr>
          <w:p w14:paraId="619DA533" w14:textId="09F22B5F" w:rsidR="0052704C" w:rsidRPr="009E58F7" w:rsidRDefault="0052704C" w:rsidP="007070F2">
            <w:pPr>
              <w:pStyle w:val="Nincstrkz"/>
              <w:jc w:val="center"/>
              <w:rPr>
                <w:noProof/>
                <w:sz w:val="22"/>
                <w:szCs w:val="22"/>
              </w:rPr>
            </w:pPr>
            <w:r w:rsidRPr="009E58F7">
              <w:rPr>
                <w:noProof/>
                <w:sz w:val="22"/>
                <w:szCs w:val="22"/>
              </w:rPr>
              <w:t>9</w:t>
            </w:r>
          </w:p>
        </w:tc>
      </w:tr>
      <w:tr w:rsidR="0052704C" w:rsidRPr="009E58F7" w14:paraId="45D10AEF" w14:textId="77777777" w:rsidTr="00E64005">
        <w:tc>
          <w:tcPr>
            <w:tcW w:w="4395" w:type="dxa"/>
            <w:tcBorders>
              <w:top w:val="nil"/>
              <w:left w:val="nil"/>
              <w:bottom w:val="single" w:sz="4" w:space="0" w:color="auto"/>
              <w:right w:val="nil"/>
            </w:tcBorders>
          </w:tcPr>
          <w:p w14:paraId="20482A45" w14:textId="77777777" w:rsidR="0052704C" w:rsidRPr="009E58F7" w:rsidRDefault="0052704C" w:rsidP="00D7256D">
            <w:pPr>
              <w:pStyle w:val="Nincstrkz"/>
              <w:rPr>
                <w:i/>
                <w:noProof/>
                <w:sz w:val="22"/>
                <w:szCs w:val="22"/>
              </w:rPr>
            </w:pPr>
            <w:r w:rsidRPr="009E58F7">
              <w:rPr>
                <w:sz w:val="22"/>
                <w:szCs w:val="22"/>
              </w:rPr>
              <w:t>≥</w:t>
            </w:r>
            <w:r w:rsidRPr="009E58F7">
              <w:rPr>
                <w:noProof/>
                <w:sz w:val="22"/>
                <w:szCs w:val="22"/>
              </w:rPr>
              <w:t> </w:t>
            </w:r>
            <w:r w:rsidRPr="009E58F7">
              <w:rPr>
                <w:sz w:val="22"/>
                <w:szCs w:val="22"/>
              </w:rPr>
              <w:t>3-as súlyossági fokú PN</w:t>
            </w:r>
          </w:p>
        </w:tc>
        <w:tc>
          <w:tcPr>
            <w:tcW w:w="1984" w:type="dxa"/>
            <w:tcBorders>
              <w:top w:val="nil"/>
              <w:left w:val="nil"/>
              <w:bottom w:val="single" w:sz="4" w:space="0" w:color="auto"/>
              <w:right w:val="nil"/>
            </w:tcBorders>
          </w:tcPr>
          <w:p w14:paraId="3CBD8F74" w14:textId="7354215F" w:rsidR="0052704C" w:rsidRPr="009E58F7" w:rsidRDefault="0052704C" w:rsidP="007070F2">
            <w:pPr>
              <w:pStyle w:val="Nincstrkz"/>
              <w:jc w:val="center"/>
              <w:rPr>
                <w:noProof/>
                <w:sz w:val="22"/>
                <w:szCs w:val="22"/>
              </w:rPr>
            </w:pPr>
            <w:r w:rsidRPr="009E58F7">
              <w:rPr>
                <w:noProof/>
                <w:sz w:val="22"/>
                <w:szCs w:val="22"/>
              </w:rPr>
              <w:t>8</w:t>
            </w:r>
          </w:p>
        </w:tc>
        <w:tc>
          <w:tcPr>
            <w:tcW w:w="2410" w:type="dxa"/>
            <w:tcBorders>
              <w:top w:val="nil"/>
              <w:left w:val="nil"/>
              <w:bottom w:val="single" w:sz="4" w:space="0" w:color="auto"/>
              <w:right w:val="nil"/>
            </w:tcBorders>
          </w:tcPr>
          <w:p w14:paraId="4F352B75" w14:textId="22AE6232" w:rsidR="0052704C" w:rsidRPr="009E58F7" w:rsidRDefault="0052704C" w:rsidP="007070F2">
            <w:pPr>
              <w:pStyle w:val="Nincstrkz"/>
              <w:jc w:val="center"/>
              <w:rPr>
                <w:noProof/>
                <w:sz w:val="22"/>
                <w:szCs w:val="22"/>
              </w:rPr>
            </w:pPr>
            <w:r w:rsidRPr="009E58F7">
              <w:rPr>
                <w:noProof/>
                <w:sz w:val="22"/>
                <w:szCs w:val="22"/>
              </w:rPr>
              <w:t>4</w:t>
            </w:r>
          </w:p>
        </w:tc>
      </w:tr>
      <w:tr w:rsidR="0052704C" w:rsidRPr="009E58F7" w14:paraId="2EB80DD0" w14:textId="77777777" w:rsidTr="00E64005">
        <w:tc>
          <w:tcPr>
            <w:tcW w:w="4395" w:type="dxa"/>
            <w:tcBorders>
              <w:left w:val="nil"/>
              <w:right w:val="nil"/>
            </w:tcBorders>
          </w:tcPr>
          <w:p w14:paraId="7F9D4E15" w14:textId="77777777" w:rsidR="0052704C" w:rsidRPr="009E58F7" w:rsidRDefault="0052704C" w:rsidP="00D7256D">
            <w:pPr>
              <w:pStyle w:val="Nincstrkz"/>
              <w:rPr>
                <w:i/>
                <w:noProof/>
                <w:sz w:val="22"/>
                <w:szCs w:val="22"/>
              </w:rPr>
            </w:pPr>
            <w:r w:rsidRPr="009E58F7">
              <w:rPr>
                <w:noProof/>
                <w:sz w:val="22"/>
                <w:szCs w:val="22"/>
              </w:rPr>
              <w:t>Kezelés</w:t>
            </w:r>
            <w:r w:rsidRPr="009E58F7">
              <w:rPr>
                <w:sz w:val="22"/>
                <w:szCs w:val="22"/>
              </w:rPr>
              <w:t xml:space="preserve"> megszakítása PN miatt (%)</w:t>
            </w:r>
          </w:p>
        </w:tc>
        <w:tc>
          <w:tcPr>
            <w:tcW w:w="1984" w:type="dxa"/>
            <w:tcBorders>
              <w:left w:val="nil"/>
              <w:right w:val="nil"/>
            </w:tcBorders>
          </w:tcPr>
          <w:p w14:paraId="1EEF5EA5" w14:textId="4720B613" w:rsidR="0052704C" w:rsidRPr="009E58F7" w:rsidRDefault="0052704C" w:rsidP="007070F2">
            <w:pPr>
              <w:pStyle w:val="Nincstrkz"/>
              <w:jc w:val="center"/>
              <w:rPr>
                <w:noProof/>
                <w:sz w:val="22"/>
                <w:szCs w:val="22"/>
              </w:rPr>
            </w:pPr>
            <w:r w:rsidRPr="009E58F7">
              <w:rPr>
                <w:noProof/>
                <w:sz w:val="22"/>
                <w:szCs w:val="22"/>
              </w:rPr>
              <w:t>2</w:t>
            </w:r>
          </w:p>
        </w:tc>
        <w:tc>
          <w:tcPr>
            <w:tcW w:w="2410" w:type="dxa"/>
            <w:tcBorders>
              <w:left w:val="nil"/>
              <w:right w:val="nil"/>
            </w:tcBorders>
          </w:tcPr>
          <w:p w14:paraId="600EB163" w14:textId="298AF329" w:rsidR="0052704C" w:rsidRPr="009E58F7" w:rsidRDefault="0052704C" w:rsidP="007070F2">
            <w:pPr>
              <w:pStyle w:val="Nincstrkz"/>
              <w:jc w:val="center"/>
              <w:rPr>
                <w:noProof/>
                <w:sz w:val="22"/>
                <w:szCs w:val="22"/>
              </w:rPr>
            </w:pPr>
            <w:r w:rsidRPr="009E58F7">
              <w:rPr>
                <w:noProof/>
                <w:sz w:val="22"/>
                <w:szCs w:val="22"/>
              </w:rPr>
              <w:t>&lt; 1</w:t>
            </w:r>
          </w:p>
        </w:tc>
      </w:tr>
    </w:tbl>
    <w:p w14:paraId="18560B31" w14:textId="52434E11" w:rsidR="004D4002" w:rsidRPr="009E58F7" w:rsidRDefault="00BD4CF0" w:rsidP="00602E58">
      <w:pPr>
        <w:spacing w:line="240" w:lineRule="auto"/>
        <w:contextualSpacing/>
        <w:rPr>
          <w:sz w:val="18"/>
          <w:szCs w:val="18"/>
        </w:rPr>
      </w:pPr>
      <w:r w:rsidRPr="009E58F7">
        <w:rPr>
          <w:sz w:val="18"/>
          <w:szCs w:val="18"/>
        </w:rPr>
        <w:t>Bz</w:t>
      </w:r>
      <w:r w:rsidR="00C5286C" w:rsidRPr="009E58F7">
        <w:rPr>
          <w:sz w:val="18"/>
          <w:szCs w:val="18"/>
        </w:rPr>
        <w:t>R-CAP</w:t>
      </w:r>
      <w:r w:rsidR="0052704C" w:rsidRPr="009E58F7">
        <w:rPr>
          <w:sz w:val="18"/>
          <w:szCs w:val="18"/>
        </w:rPr>
        <w:t> </w:t>
      </w:r>
      <w:r w:rsidR="00C5286C" w:rsidRPr="009E58F7">
        <w:rPr>
          <w:sz w:val="18"/>
          <w:szCs w:val="18"/>
        </w:rPr>
        <w:t>=</w:t>
      </w:r>
      <w:r w:rsidR="0052704C" w:rsidRPr="009E58F7">
        <w:rPr>
          <w:sz w:val="18"/>
          <w:szCs w:val="18"/>
        </w:rPr>
        <w:t> </w:t>
      </w:r>
      <w:r w:rsidR="008B6253" w:rsidRPr="009E58F7">
        <w:rPr>
          <w:sz w:val="18"/>
          <w:szCs w:val="18"/>
        </w:rPr>
        <w:t>bortezomib</w:t>
      </w:r>
      <w:r w:rsidR="00C5286C" w:rsidRPr="009E58F7">
        <w:rPr>
          <w:sz w:val="18"/>
          <w:szCs w:val="18"/>
        </w:rPr>
        <w:t>, rituximab, ciklofoszfamid, doxorubicin és prednizon; R-CHOP</w:t>
      </w:r>
      <w:r w:rsidR="0052704C" w:rsidRPr="009E58F7">
        <w:rPr>
          <w:sz w:val="18"/>
          <w:szCs w:val="18"/>
        </w:rPr>
        <w:t> = </w:t>
      </w:r>
      <w:r w:rsidR="00C5286C" w:rsidRPr="009E58F7">
        <w:rPr>
          <w:sz w:val="18"/>
          <w:szCs w:val="18"/>
        </w:rPr>
        <w:t>rituximab, ciklofoszfamid, doxorubicin, vinkrisztin és prednizon; PN</w:t>
      </w:r>
      <w:r w:rsidR="0052704C" w:rsidRPr="009E58F7">
        <w:rPr>
          <w:sz w:val="18"/>
          <w:szCs w:val="18"/>
        </w:rPr>
        <w:t> </w:t>
      </w:r>
      <w:r w:rsidR="00C5286C" w:rsidRPr="009E58F7">
        <w:rPr>
          <w:sz w:val="18"/>
          <w:szCs w:val="18"/>
        </w:rPr>
        <w:t>=</w:t>
      </w:r>
      <w:r w:rsidR="0052704C" w:rsidRPr="009E58F7">
        <w:rPr>
          <w:sz w:val="18"/>
          <w:szCs w:val="18"/>
        </w:rPr>
        <w:t> </w:t>
      </w:r>
      <w:r w:rsidR="00C5286C" w:rsidRPr="009E58F7">
        <w:rPr>
          <w:sz w:val="18"/>
          <w:szCs w:val="18"/>
        </w:rPr>
        <w:t>perifériás neuropathia</w:t>
      </w:r>
    </w:p>
    <w:p w14:paraId="77AC54BE" w14:textId="7B16BCC3" w:rsidR="0052704C" w:rsidRPr="009E58F7" w:rsidRDefault="00C5286C" w:rsidP="00602E58">
      <w:pPr>
        <w:spacing w:line="240" w:lineRule="auto"/>
        <w:contextualSpacing/>
        <w:rPr>
          <w:sz w:val="18"/>
          <w:szCs w:val="18"/>
        </w:rPr>
      </w:pPr>
      <w:r w:rsidRPr="009E58F7">
        <w:rPr>
          <w:rFonts w:eastAsiaTheme="minorHAnsi" w:cstheme="minorBidi"/>
          <w:sz w:val="18"/>
          <w:szCs w:val="18"/>
        </w:rPr>
        <w:t>A perifériás neuropathia a következő preferált szakkifejezéseket tartalmazza: perifériás szenzoros neuropathia, perifériás neuropathia, perifériás motoros neuropathia és perifériás szenzomotoros neuropathia.</w:t>
      </w:r>
    </w:p>
    <w:p w14:paraId="30E05229" w14:textId="6D3942EB" w:rsidR="009F300F" w:rsidRPr="009E58F7" w:rsidRDefault="009F300F" w:rsidP="00D7256D">
      <w:pPr>
        <w:pStyle w:val="Nincstrkz"/>
        <w:rPr>
          <w:i/>
        </w:rPr>
      </w:pPr>
    </w:p>
    <w:p w14:paraId="28BCC18B" w14:textId="17D11EE1" w:rsidR="004D6470" w:rsidRPr="009E58F7" w:rsidRDefault="003E6BA3" w:rsidP="007070F2">
      <w:pPr>
        <w:pStyle w:val="Nincstrkz"/>
        <w:rPr>
          <w:i/>
        </w:rPr>
      </w:pPr>
      <w:r w:rsidRPr="009E58F7">
        <w:rPr>
          <w:i/>
        </w:rPr>
        <w:t>K</w:t>
      </w:r>
      <w:r w:rsidR="004D6470" w:rsidRPr="009E58F7">
        <w:rPr>
          <w:i/>
        </w:rPr>
        <w:t>öpenysejtes lymphomában szenvedő</w:t>
      </w:r>
      <w:r w:rsidRPr="009E58F7">
        <w:rPr>
          <w:i/>
        </w:rPr>
        <w:t xml:space="preserve"> idős</w:t>
      </w:r>
      <w:r w:rsidR="004D6470" w:rsidRPr="009E58F7">
        <w:rPr>
          <w:i/>
        </w:rPr>
        <w:t xml:space="preserve"> betegek</w:t>
      </w:r>
    </w:p>
    <w:p w14:paraId="6C59B262" w14:textId="74C4ECF9" w:rsidR="004D6470" w:rsidRPr="009E58F7" w:rsidRDefault="004D6470" w:rsidP="007070F2">
      <w:pPr>
        <w:tabs>
          <w:tab w:val="left" w:pos="622"/>
        </w:tabs>
        <w:spacing w:line="240" w:lineRule="auto"/>
        <w:contextualSpacing/>
      </w:pPr>
      <w:r w:rsidRPr="009E58F7">
        <w:t xml:space="preserve">A </w:t>
      </w:r>
      <w:r w:rsidR="00BD4CF0" w:rsidRPr="009E58F7">
        <w:t>BzR</w:t>
      </w:r>
      <w:r w:rsidR="003F0F42">
        <w:t>-</w:t>
      </w:r>
      <w:r w:rsidRPr="009E58F7">
        <w:t>CAP kezelésben részesülő betegek 42,9%</w:t>
      </w:r>
      <w:r w:rsidR="00621E19">
        <w:t>-</w:t>
      </w:r>
      <w:r w:rsidRPr="009E58F7">
        <w:t>a volt 65</w:t>
      </w:r>
      <w:r w:rsidR="00FE5B85">
        <w:t>–</w:t>
      </w:r>
      <w:r w:rsidRPr="009E58F7">
        <w:t>74 éves, és 10,4%</w:t>
      </w:r>
      <w:r w:rsidR="003F0F42">
        <w:t>-</w:t>
      </w:r>
      <w:r w:rsidRPr="009E58F7">
        <w:t>a volt ≥</w:t>
      </w:r>
      <w:r w:rsidR="00777790" w:rsidRPr="009E58F7">
        <w:t> </w:t>
      </w:r>
      <w:r w:rsidRPr="009E58F7">
        <w:t xml:space="preserve">75 éves. </w:t>
      </w:r>
      <w:r w:rsidR="008555BA" w:rsidRPr="009E58F7">
        <w:t>Habár a</w:t>
      </w:r>
      <w:r w:rsidRPr="009E58F7">
        <w:t xml:space="preserve"> ≥ 75 éves betegek </w:t>
      </w:r>
      <w:r w:rsidR="008555BA" w:rsidRPr="009E58F7">
        <w:t>sem a BzR</w:t>
      </w:r>
      <w:r w:rsidR="003F0F42">
        <w:t>-</w:t>
      </w:r>
      <w:r w:rsidR="008555BA" w:rsidRPr="009E58F7">
        <w:t>CAP, sem a R</w:t>
      </w:r>
      <w:r w:rsidR="003F0F42">
        <w:t>-</w:t>
      </w:r>
      <w:r w:rsidR="008555BA" w:rsidRPr="009E58F7">
        <w:t xml:space="preserve">CHOP kezelési rendeket nem </w:t>
      </w:r>
      <w:r w:rsidRPr="009E58F7">
        <w:t xml:space="preserve">tolerálták </w:t>
      </w:r>
      <w:r w:rsidR="008555BA" w:rsidRPr="009E58F7">
        <w:t>jól</w:t>
      </w:r>
      <w:r w:rsidRPr="009E58F7">
        <w:t xml:space="preserve">, a súlyos mellékhatások gyakorisága </w:t>
      </w:r>
      <w:r w:rsidR="008555BA" w:rsidRPr="009E58F7">
        <w:t>a BzR</w:t>
      </w:r>
      <w:r w:rsidR="003F0F42">
        <w:t>-</w:t>
      </w:r>
      <w:r w:rsidR="008555BA" w:rsidRPr="009E58F7">
        <w:t xml:space="preserve">CAP-karon </w:t>
      </w:r>
      <w:r w:rsidRPr="009E58F7">
        <w:t>68% volt</w:t>
      </w:r>
      <w:r w:rsidR="008555BA" w:rsidRPr="009E58F7">
        <w:t>, szemben az R</w:t>
      </w:r>
      <w:r w:rsidR="003F0F42">
        <w:t>-</w:t>
      </w:r>
      <w:r w:rsidR="008555BA" w:rsidRPr="009E58F7">
        <w:t xml:space="preserve">CHOP kezelést kapók </w:t>
      </w:r>
      <w:r w:rsidRPr="009E58F7">
        <w:t>42%</w:t>
      </w:r>
      <w:r w:rsidR="00621E19">
        <w:t>-</w:t>
      </w:r>
      <w:r w:rsidR="008555BA" w:rsidRPr="009E58F7">
        <w:t>ával</w:t>
      </w:r>
      <w:r w:rsidRPr="009E58F7">
        <w:t>.</w:t>
      </w:r>
    </w:p>
    <w:p w14:paraId="481D3EFB" w14:textId="77777777" w:rsidR="004D6470" w:rsidRPr="009E58F7" w:rsidRDefault="004D6470" w:rsidP="003D25C3">
      <w:pPr>
        <w:widowControl w:val="0"/>
        <w:autoSpaceDE w:val="0"/>
        <w:autoSpaceDN w:val="0"/>
        <w:adjustRightInd w:val="0"/>
        <w:spacing w:line="240" w:lineRule="auto"/>
      </w:pPr>
    </w:p>
    <w:p w14:paraId="7069F0A0" w14:textId="1770C655" w:rsidR="004D6470" w:rsidRPr="009E58F7" w:rsidRDefault="004D6470">
      <w:pPr>
        <w:widowControl w:val="0"/>
        <w:overflowPunct w:val="0"/>
        <w:autoSpaceDE w:val="0"/>
        <w:autoSpaceDN w:val="0"/>
        <w:adjustRightInd w:val="0"/>
        <w:spacing w:line="240" w:lineRule="auto"/>
      </w:pPr>
      <w:r w:rsidRPr="009E58F7">
        <w:rPr>
          <w:i/>
          <w:color w:val="000000"/>
        </w:rPr>
        <w:t xml:space="preserve">A biztonságossági profil jelentős különbségei a </w:t>
      </w:r>
      <w:r w:rsidRPr="009E58F7">
        <w:rPr>
          <w:i/>
        </w:rPr>
        <w:t>bortezomib</w:t>
      </w:r>
      <w:r w:rsidRPr="009E58F7">
        <w:rPr>
          <w:i/>
          <w:iCs/>
          <w:color w:val="000000"/>
        </w:rPr>
        <w:t xml:space="preserve"> monoterápi</w:t>
      </w:r>
      <w:r w:rsidR="005B27B7" w:rsidRPr="009E58F7">
        <w:rPr>
          <w:i/>
          <w:iCs/>
          <w:color w:val="000000"/>
        </w:rPr>
        <w:t xml:space="preserve">a </w:t>
      </w:r>
      <w:r w:rsidRPr="009E58F7">
        <w:rPr>
          <w:i/>
          <w:iCs/>
          <w:color w:val="000000"/>
        </w:rPr>
        <w:t>intravénás</w:t>
      </w:r>
      <w:r w:rsidR="008555BA" w:rsidRPr="009E58F7">
        <w:rPr>
          <w:i/>
          <w:iCs/>
          <w:color w:val="000000"/>
        </w:rPr>
        <w:t xml:space="preserve"> alkalmazásakor</w:t>
      </w:r>
      <w:r w:rsidR="003E6BA3" w:rsidRPr="009E58F7">
        <w:rPr>
          <w:i/>
          <w:iCs/>
          <w:color w:val="000000"/>
        </w:rPr>
        <w:t>,</w:t>
      </w:r>
      <w:r w:rsidRPr="009E58F7">
        <w:rPr>
          <w:i/>
          <w:color w:val="000000"/>
        </w:rPr>
        <w:t xml:space="preserve"> illetve subcutan </w:t>
      </w:r>
      <w:r w:rsidRPr="009E58F7">
        <w:rPr>
          <w:i/>
          <w:iCs/>
          <w:color w:val="000000"/>
        </w:rPr>
        <w:t>alkalmaz</w:t>
      </w:r>
      <w:r w:rsidR="003E6BA3" w:rsidRPr="009E58F7">
        <w:rPr>
          <w:i/>
          <w:iCs/>
          <w:color w:val="000000"/>
        </w:rPr>
        <w:t>va</w:t>
      </w:r>
    </w:p>
    <w:p w14:paraId="2B412DED" w14:textId="600B1B85" w:rsidR="004D6470" w:rsidRPr="009E58F7" w:rsidRDefault="004D6470">
      <w:pPr>
        <w:spacing w:line="240" w:lineRule="auto"/>
        <w:contextualSpacing/>
      </w:pPr>
      <w:r w:rsidRPr="009E58F7">
        <w:t>A III</w:t>
      </w:r>
      <w:r w:rsidR="008555BA" w:rsidRPr="009E58F7">
        <w:t>.</w:t>
      </w:r>
      <w:r w:rsidR="00621E19">
        <w:t> </w:t>
      </w:r>
      <w:r w:rsidR="008555BA" w:rsidRPr="009E58F7">
        <w:t>fázisú</w:t>
      </w:r>
      <w:r w:rsidRPr="009E58F7">
        <w:t xml:space="preserve"> vizsgálatban </w:t>
      </w:r>
      <w:r w:rsidR="008B6253" w:rsidRPr="009E58F7">
        <w:t>bortezomib</w:t>
      </w:r>
      <w:r w:rsidR="008555BA" w:rsidRPr="009E58F7">
        <w:t>o</w:t>
      </w:r>
      <w:r w:rsidR="00C5286C" w:rsidRPr="009E58F7">
        <w:t>t</w:t>
      </w:r>
      <w:r w:rsidRPr="009E58F7">
        <w:t xml:space="preserve"> subcutan kapó betegeket összehasonlítva </w:t>
      </w:r>
      <w:r w:rsidR="005B27B7" w:rsidRPr="009E58F7">
        <w:t xml:space="preserve">azokkal, akik a gyógyszert </w:t>
      </w:r>
      <w:r w:rsidRPr="009E58F7">
        <w:t>intravénásan kap</w:t>
      </w:r>
      <w:r w:rsidR="005B27B7" w:rsidRPr="009E58F7">
        <w:t>ták</w:t>
      </w:r>
      <w:r w:rsidRPr="009E58F7">
        <w:t xml:space="preserve">, a kezeléssel összefüggő mellékhatások </w:t>
      </w:r>
      <w:r w:rsidR="00AF4376">
        <w:t>–</w:t>
      </w:r>
      <w:r w:rsidRPr="009E58F7">
        <w:t xml:space="preserve"> amelyek toxicitás szempontjából 3-as vagy magasabb súlyossági fokúak voltak </w:t>
      </w:r>
      <w:r w:rsidR="00AF4376">
        <w:t>–</w:t>
      </w:r>
      <w:r w:rsidRPr="009E58F7">
        <w:t xml:space="preserve"> összesített előfordulási gyakorisága 13%</w:t>
      </w:r>
      <w:r w:rsidR="00621E19">
        <w:t>-</w:t>
      </w:r>
      <w:r w:rsidRPr="009E58F7">
        <w:t>kal, a bortezomib</w:t>
      </w:r>
      <w:r w:rsidR="00FE5B85">
        <w:rPr>
          <w:iCs/>
        </w:rPr>
        <w:t>-</w:t>
      </w:r>
      <w:r w:rsidRPr="009E58F7">
        <w:t>kezelést abbahagyók aránya 5%</w:t>
      </w:r>
      <w:r w:rsidR="00621E19">
        <w:t>-</w:t>
      </w:r>
      <w:r w:rsidRPr="009E58F7">
        <w:t>kal volt alacsonyabb. A subcutan csoportban az intravénás csoporthoz képest az összesített előfordulási gyakoriság 12</w:t>
      </w:r>
      <w:r w:rsidR="00621E19">
        <w:t>–</w:t>
      </w:r>
      <w:r w:rsidRPr="009E58F7">
        <w:t>15%</w:t>
      </w:r>
      <w:r w:rsidR="00621E19">
        <w:t>-</w:t>
      </w:r>
      <w:r w:rsidRPr="009E58F7">
        <w:t xml:space="preserve">kal alacsonyabb volt: diarrhoea, gastrointestinalis és hasi fájdalom, asthenias állapotok, felső légúti fertőzések és perifériás neuropathiák. Továbbá </w:t>
      </w:r>
      <w:r w:rsidR="008555BA" w:rsidRPr="009E58F7">
        <w:t xml:space="preserve">a </w:t>
      </w:r>
      <w:r w:rsidRPr="009E58F7">
        <w:t>subcutan csoportban az intravénás csoporthoz képest a 3-as vagy magasabb súlyossági fokú perifériás neuropathiák előfordulási gyakorisága 10%</w:t>
      </w:r>
      <w:r w:rsidR="00621E19">
        <w:t>-</w:t>
      </w:r>
      <w:r w:rsidRPr="009E58F7">
        <w:t>kal, a perifériás neuropathia miatti kezelésmegszakítás előfordulási aránya 8%</w:t>
      </w:r>
      <w:r w:rsidR="00621E19">
        <w:t>-</w:t>
      </w:r>
      <w:r w:rsidRPr="009E58F7">
        <w:t>kal volt alacsonyabb.</w:t>
      </w:r>
    </w:p>
    <w:p w14:paraId="7E8BA40D" w14:textId="77777777" w:rsidR="004D6470" w:rsidRPr="009E58F7" w:rsidRDefault="004D6470">
      <w:pPr>
        <w:pStyle w:val="Nincstrkz"/>
      </w:pPr>
    </w:p>
    <w:p w14:paraId="4E218773" w14:textId="14472BB9" w:rsidR="004D6470" w:rsidRPr="009E58F7" w:rsidRDefault="004D6470">
      <w:pPr>
        <w:pStyle w:val="Nincstrkz"/>
      </w:pPr>
      <w:r w:rsidRPr="009E58F7">
        <w:t>A subcutan alkalmazás miatt a betegek 6%</w:t>
      </w:r>
      <w:r w:rsidR="00621E19">
        <w:t>-</w:t>
      </w:r>
      <w:r w:rsidRPr="009E58F7">
        <w:t>ánál lépett fel helyi reakció, többségében bőrvörösség. Az esetek átlagosan 6</w:t>
      </w:r>
      <w:r w:rsidR="00AF4376">
        <w:t> </w:t>
      </w:r>
      <w:r w:rsidRPr="009E58F7">
        <w:t>nap alatt sz</w:t>
      </w:r>
      <w:r w:rsidR="008555BA" w:rsidRPr="009E58F7">
        <w:t>ű</w:t>
      </w:r>
      <w:r w:rsidRPr="009E58F7">
        <w:t xml:space="preserve">ntek meg, </w:t>
      </w:r>
      <w:r w:rsidR="00AF4376">
        <w:t>2 </w:t>
      </w:r>
      <w:r w:rsidRPr="009E58F7">
        <w:t xml:space="preserve">betegnél az adag módosítására volt szükség. </w:t>
      </w:r>
      <w:r w:rsidR="008555BA" w:rsidRPr="009E58F7">
        <w:t>2 betegnél</w:t>
      </w:r>
      <w:r w:rsidRPr="009E58F7">
        <w:t xml:space="preserve"> (1%) lépett fel súlyos reakció, 1 esetben pruritus és 1 esetben bőrvörösség.</w:t>
      </w:r>
    </w:p>
    <w:p w14:paraId="77562303" w14:textId="77777777" w:rsidR="004D6470" w:rsidRPr="009E58F7" w:rsidRDefault="004D6470">
      <w:pPr>
        <w:pStyle w:val="Nincstrkz"/>
      </w:pPr>
    </w:p>
    <w:p w14:paraId="3E8A1AEF" w14:textId="4F0C69CC" w:rsidR="004D6470" w:rsidRPr="009E58F7" w:rsidRDefault="004D6470">
      <w:pPr>
        <w:pStyle w:val="Nincstrkz"/>
      </w:pPr>
      <w:r w:rsidRPr="009E58F7">
        <w:t>A kezelés alatti halálozás incidenciája 5% volt a subcutan</w:t>
      </w:r>
      <w:r w:rsidR="00AF4376">
        <w:t>,</w:t>
      </w:r>
      <w:r w:rsidRPr="009E58F7">
        <w:t xml:space="preserve"> és 7% az intravénás</w:t>
      </w:r>
      <w:r w:rsidR="005B27B7" w:rsidRPr="009E58F7">
        <w:t xml:space="preserve"> kezelési csoportban</w:t>
      </w:r>
      <w:r w:rsidRPr="009E58F7">
        <w:t>. A betegség progressziója miatti halálozás incidenciája 18% volt a subcutan</w:t>
      </w:r>
      <w:r w:rsidR="00AF4376">
        <w:t>,</w:t>
      </w:r>
      <w:r w:rsidRPr="009E58F7">
        <w:t xml:space="preserve"> és 9% az intravénás csoportban.</w:t>
      </w:r>
    </w:p>
    <w:p w14:paraId="53380B94" w14:textId="77777777" w:rsidR="004D6470" w:rsidRPr="009E58F7" w:rsidRDefault="004D6470">
      <w:pPr>
        <w:widowControl w:val="0"/>
        <w:autoSpaceDE w:val="0"/>
        <w:autoSpaceDN w:val="0"/>
        <w:adjustRightInd w:val="0"/>
        <w:spacing w:line="240" w:lineRule="auto"/>
      </w:pPr>
    </w:p>
    <w:p w14:paraId="282114EB" w14:textId="77777777" w:rsidR="004D6470" w:rsidRPr="009E58F7" w:rsidRDefault="004D6470">
      <w:pPr>
        <w:widowControl w:val="0"/>
        <w:autoSpaceDE w:val="0"/>
        <w:autoSpaceDN w:val="0"/>
        <w:adjustRightInd w:val="0"/>
        <w:spacing w:line="240" w:lineRule="auto"/>
      </w:pPr>
      <w:r w:rsidRPr="009E58F7">
        <w:rPr>
          <w:i/>
          <w:color w:val="000000"/>
        </w:rPr>
        <w:t>Myeloma multiplexben szenvedő, visszaeső betegek ismételt kezelése</w:t>
      </w:r>
    </w:p>
    <w:p w14:paraId="182C4148" w14:textId="58B84E70" w:rsidR="004D6470" w:rsidRPr="009E58F7" w:rsidRDefault="004D6470">
      <w:pPr>
        <w:spacing w:line="240" w:lineRule="auto"/>
        <w:contextualSpacing/>
        <w:rPr>
          <w:color w:val="000000"/>
        </w:rPr>
      </w:pPr>
      <w:r w:rsidRPr="009E58F7">
        <w:rPr>
          <w:color w:val="000000"/>
        </w:rPr>
        <w:t xml:space="preserve">Egy vizsgálatban, amelyben 130, myeloma multiplexben szenvedő, </w:t>
      </w:r>
      <w:r w:rsidR="005B27B7" w:rsidRPr="009E58F7">
        <w:rPr>
          <w:color w:val="000000"/>
        </w:rPr>
        <w:t xml:space="preserve">olyan </w:t>
      </w:r>
      <w:r w:rsidRPr="009E58F7">
        <w:rPr>
          <w:color w:val="000000"/>
        </w:rPr>
        <w:t xml:space="preserve">visszaeső betegnél alkalmazták a megismételt </w:t>
      </w:r>
      <w:r w:rsidRPr="009E58F7">
        <w:t>bortezomib</w:t>
      </w:r>
      <w:r w:rsidR="00FE5B85">
        <w:rPr>
          <w:iCs/>
        </w:rPr>
        <w:t>-</w:t>
      </w:r>
      <w:r w:rsidRPr="009E58F7">
        <w:rPr>
          <w:color w:val="000000"/>
        </w:rPr>
        <w:t xml:space="preserve">kezelést, akik korábban legalább részlegesen reagáltak a </w:t>
      </w:r>
      <w:r w:rsidR="008B6253" w:rsidRPr="009E58F7">
        <w:t>bortezomib</w:t>
      </w:r>
      <w:r w:rsidR="009B200B" w:rsidRPr="009E58F7">
        <w:t>o</w:t>
      </w:r>
      <w:r w:rsidR="00C5286C" w:rsidRPr="009E58F7">
        <w:t>t</w:t>
      </w:r>
      <w:r w:rsidRPr="009E58F7">
        <w:t xml:space="preserve"> </w:t>
      </w:r>
      <w:r w:rsidRPr="009E58F7">
        <w:rPr>
          <w:color w:val="000000"/>
        </w:rPr>
        <w:t xml:space="preserve">is tartalmazó </w:t>
      </w:r>
      <w:r w:rsidR="00C5286C" w:rsidRPr="009E58F7">
        <w:t>kezelésre</w:t>
      </w:r>
      <w:r w:rsidRPr="009E58F7">
        <w:rPr>
          <w:color w:val="000000"/>
        </w:rPr>
        <w:t>, a betegek legalább 25%</w:t>
      </w:r>
      <w:r w:rsidR="00621E19">
        <w:rPr>
          <w:color w:val="000000"/>
        </w:rPr>
        <w:t>-</w:t>
      </w:r>
      <w:r w:rsidRPr="009E58F7">
        <w:rPr>
          <w:color w:val="000000"/>
        </w:rPr>
        <w:t xml:space="preserve">ánál előforduló, valamennyi súlyossági osztályban megfigyelt leggyakoribb mellékhatás a thrombocytopenia (55%), </w:t>
      </w:r>
      <w:r w:rsidR="00AF4376">
        <w:rPr>
          <w:color w:val="000000"/>
        </w:rPr>
        <w:t xml:space="preserve">a </w:t>
      </w:r>
      <w:r w:rsidRPr="009E58F7">
        <w:rPr>
          <w:color w:val="000000"/>
        </w:rPr>
        <w:t xml:space="preserve">neuropathia (40%), </w:t>
      </w:r>
      <w:r w:rsidR="00AF4376">
        <w:rPr>
          <w:color w:val="000000"/>
        </w:rPr>
        <w:t xml:space="preserve">az </w:t>
      </w:r>
      <w:r w:rsidRPr="009E58F7">
        <w:rPr>
          <w:color w:val="000000"/>
        </w:rPr>
        <w:t xml:space="preserve">anaemia (37%), </w:t>
      </w:r>
      <w:r w:rsidR="00AF4376">
        <w:rPr>
          <w:color w:val="000000"/>
        </w:rPr>
        <w:t xml:space="preserve">a </w:t>
      </w:r>
      <w:r w:rsidRPr="009E58F7">
        <w:rPr>
          <w:color w:val="000000"/>
        </w:rPr>
        <w:t xml:space="preserve">hasmenés (35%) és </w:t>
      </w:r>
      <w:r w:rsidR="00AF4376">
        <w:rPr>
          <w:color w:val="000000"/>
        </w:rPr>
        <w:t xml:space="preserve">a </w:t>
      </w:r>
      <w:r w:rsidRPr="009E58F7">
        <w:rPr>
          <w:color w:val="000000"/>
        </w:rPr>
        <w:t>constipatio (28%) volt. Perifériás neuropathiát minden súlyossági fokban, illetve ≥</w:t>
      </w:r>
      <w:r w:rsidR="009B200B" w:rsidRPr="009E58F7">
        <w:rPr>
          <w:color w:val="000000"/>
        </w:rPr>
        <w:t> </w:t>
      </w:r>
      <w:r w:rsidRPr="009E58F7">
        <w:rPr>
          <w:color w:val="000000"/>
        </w:rPr>
        <w:t>3</w:t>
      </w:r>
      <w:r w:rsidR="00BD5400">
        <w:rPr>
          <w:color w:val="000000"/>
        </w:rPr>
        <w:t>-</w:t>
      </w:r>
      <w:r w:rsidRPr="009E58F7">
        <w:rPr>
          <w:color w:val="000000"/>
        </w:rPr>
        <w:t xml:space="preserve">as súlyossági fokban a betegek </w:t>
      </w:r>
      <w:r w:rsidR="005B27B7" w:rsidRPr="009E58F7">
        <w:rPr>
          <w:color w:val="000000"/>
        </w:rPr>
        <w:t xml:space="preserve">sorrendben </w:t>
      </w:r>
      <w:r w:rsidRPr="009E58F7">
        <w:rPr>
          <w:color w:val="000000"/>
        </w:rPr>
        <w:t>40%</w:t>
      </w:r>
      <w:r w:rsidR="00621E19">
        <w:rPr>
          <w:color w:val="000000"/>
        </w:rPr>
        <w:t>-</w:t>
      </w:r>
      <w:r w:rsidRPr="009E58F7">
        <w:rPr>
          <w:color w:val="000000"/>
        </w:rPr>
        <w:t xml:space="preserve">ánál, </w:t>
      </w:r>
      <w:r w:rsidR="005B27B7" w:rsidRPr="009E58F7">
        <w:rPr>
          <w:color w:val="000000"/>
        </w:rPr>
        <w:t>illetve</w:t>
      </w:r>
      <w:r w:rsidRPr="009E58F7">
        <w:rPr>
          <w:color w:val="000000"/>
        </w:rPr>
        <w:t xml:space="preserve"> 8,5%</w:t>
      </w:r>
      <w:r w:rsidR="00621E19">
        <w:rPr>
          <w:color w:val="000000"/>
        </w:rPr>
        <w:t>-</w:t>
      </w:r>
      <w:r w:rsidRPr="009E58F7">
        <w:rPr>
          <w:color w:val="000000"/>
        </w:rPr>
        <w:t>ánál figyeltek meg.</w:t>
      </w:r>
    </w:p>
    <w:p w14:paraId="74D12CB0" w14:textId="77777777" w:rsidR="004D6470" w:rsidRPr="009E58F7" w:rsidRDefault="004D6470">
      <w:pPr>
        <w:widowControl w:val="0"/>
        <w:overflowPunct w:val="0"/>
        <w:autoSpaceDE w:val="0"/>
        <w:autoSpaceDN w:val="0"/>
        <w:adjustRightInd w:val="0"/>
        <w:spacing w:line="240" w:lineRule="auto"/>
        <w:rPr>
          <w:color w:val="000000"/>
        </w:rPr>
      </w:pPr>
    </w:p>
    <w:p w14:paraId="17AC4B5C" w14:textId="77777777" w:rsidR="004D6470" w:rsidRPr="009E58F7" w:rsidRDefault="004D6470">
      <w:pPr>
        <w:keepNext/>
        <w:autoSpaceDE w:val="0"/>
        <w:autoSpaceDN w:val="0"/>
        <w:adjustRightInd w:val="0"/>
        <w:spacing w:line="240" w:lineRule="auto"/>
      </w:pPr>
      <w:bookmarkStart w:id="33" w:name="page119"/>
      <w:bookmarkEnd w:id="33"/>
      <w:r w:rsidRPr="009E58F7">
        <w:rPr>
          <w:color w:val="000000"/>
          <w:u w:val="single"/>
        </w:rPr>
        <w:t>Feltételezett mellékhatások bejelentése</w:t>
      </w:r>
    </w:p>
    <w:p w14:paraId="47D3BFCB" w14:textId="09DDC230" w:rsidR="004D6470" w:rsidRPr="009E58F7" w:rsidRDefault="004D6470">
      <w:pPr>
        <w:keepNext/>
        <w:overflowPunct w:val="0"/>
        <w:autoSpaceDE w:val="0"/>
        <w:autoSpaceDN w:val="0"/>
        <w:adjustRightInd w:val="0"/>
        <w:spacing w:line="240" w:lineRule="auto"/>
      </w:pPr>
      <w:r w:rsidRPr="009E58F7">
        <w:rPr>
          <w:color w:val="000000"/>
        </w:rPr>
        <w:t xml:space="preserve">A gyógyszer engedélyezését követően lényeges </w:t>
      </w:r>
      <w:r w:rsidR="009B200B" w:rsidRPr="009E58F7">
        <w:rPr>
          <w:color w:val="000000"/>
        </w:rPr>
        <w:t>a</w:t>
      </w:r>
      <w:r w:rsidRPr="009E58F7">
        <w:rPr>
          <w:color w:val="000000"/>
        </w:rPr>
        <w:t xml:space="preserve"> feltételezett mellékhatások bejelentése, mert ez fontos eszköze annak, hogy a gyógyszer előny/kockázat profilját folyamatosan figyelemmel lehessen kísérni. Az </w:t>
      </w:r>
      <w:r w:rsidRPr="009E58F7">
        <w:rPr>
          <w:color w:val="000000"/>
        </w:rPr>
        <w:lastRenderedPageBreak/>
        <w:t xml:space="preserve">egészségügyi szakembereket kérjük, hogy jelentsék be a feltételezett mellékhatásokat a </w:t>
      </w:r>
      <w:r w:rsidRPr="009E58F7">
        <w:t xml:space="preserve">hatóság részére az </w:t>
      </w:r>
      <w:hyperlink r:id="rId8" w:history="1">
        <w:r w:rsidRPr="007E179E">
          <w:rPr>
            <w:rStyle w:val="Hiperhivatkozs"/>
            <w:highlight w:val="lightGray"/>
          </w:rPr>
          <w:t>V. függelékben</w:t>
        </w:r>
      </w:hyperlink>
      <w:r w:rsidRPr="007E179E">
        <w:rPr>
          <w:highlight w:val="lightGray"/>
        </w:rPr>
        <w:t xml:space="preserve"> található elérhetőségek valamelyikén keresztül</w:t>
      </w:r>
      <w:r w:rsidRPr="009E58F7">
        <w:t>.</w:t>
      </w:r>
    </w:p>
    <w:bookmarkStart w:id="34" w:name="page56"/>
    <w:bookmarkEnd w:id="34"/>
    <w:p w14:paraId="2171B181" w14:textId="1A59CB87" w:rsidR="004D6470" w:rsidRPr="009E58F7" w:rsidRDefault="004D6470" w:rsidP="00602E58">
      <w:pPr>
        <w:widowControl w:val="0"/>
        <w:overflowPunct w:val="0"/>
        <w:autoSpaceDE w:val="0"/>
        <w:autoSpaceDN w:val="0"/>
        <w:adjustRightInd w:val="0"/>
        <w:spacing w:line="240" w:lineRule="auto"/>
      </w:pPr>
      <w:r w:rsidRPr="009E58F7">
        <w:rPr>
          <w:noProof/>
          <w:lang w:eastAsia="hu-HU"/>
        </w:rPr>
        <mc:AlternateContent>
          <mc:Choice Requires="wps">
            <w:drawing>
              <wp:anchor distT="4294967295" distB="4294967295" distL="114300" distR="114300" simplePos="0" relativeHeight="251661312" behindDoc="1" locked="0" layoutInCell="0" allowOverlap="1" wp14:anchorId="2CFB1253" wp14:editId="36FACA67">
                <wp:simplePos x="0" y="0"/>
                <wp:positionH relativeFrom="column">
                  <wp:posOffset>0</wp:posOffset>
                </wp:positionH>
                <wp:positionV relativeFrom="paragraph">
                  <wp:posOffset>-22861</wp:posOffset>
                </wp:positionV>
                <wp:extent cx="861060" cy="0"/>
                <wp:effectExtent l="0" t="0" r="15240" b="19050"/>
                <wp:wrapNone/>
                <wp:docPr id="202" name="Egyenes összekötő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line">
                          <a:avLst/>
                        </a:prstGeom>
                        <a:noFill/>
                        <a:ln w="6096">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line w14:anchorId="57F81368" id="Egyenes összekötő 202"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8pt" to="67.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emcLAIAADsEAAAOAAAAZHJzL2Uyb0RvYy54bWysU12O0zAQfkfiDpbfu0lKCW3UdIWahpcF&#10;Ku1yANd2Emsd27LdpgVxCC6zF1hxL8buj7rwghB5cMaemc/ffDOe3+57iXbcOqFVibObFCOuqGZC&#10;tSX+8lCPphg5TxQjUite4gN3+Hbx+tV8MAUf605Lxi0CEOWKwZS4894USeJox3vibrThCpyNtj3x&#10;sLVtwiwZAL2XyThN82TQlhmrKXcOTqujEy8iftNw6j83jeMeyRIDNx9XG9dNWJPFnBStJaYT9ESD&#10;/AOLnggFl16gKuIJ2lrxB1QvqNVON/6G6j7RTSMojzVANVn6WzX3HTE81gLiOHORyf0/WPppt7ZI&#10;sBKP0zFGivTQpFV74Io79Pzk3Ff++Pzkf/5AwQ9qDcYVkLRUaxvqpXt1b+40fXRI6WVHVMsj64eD&#10;AaAsZCQvUsLGGbhzM3zUDGLI1uso3b6xfYAEUdA+duhw6RDfe0ThcJpnaQ59pGdXQopznrHOf+C6&#10;R8EosRQqaEcKsrtzPvAgxTkkHCtdCylj/6VCQ4nzdJbHBKelYMEZwpxtN0tp0Y6ECYKvrmNR4LkO&#10;s3qrWATrOGGrk+2JkEcbLpcq4EElQOdkHUfk2yydraar6WQ0Geer0SStqtH7ejkZ5XX27m31plou&#10;q+x7oJZNik4wxlVgdx7XbPJ343B6OMdBuwzsRYbkJXrUC8ie/5F0bGXo3nEONpod1vbcYpjQGHx6&#10;TeEJXO/Bvn7zi18AAAD//wMAUEsDBBQABgAIAAAAIQC2TgIj2QAAAAYBAAAPAAAAZHJzL2Rvd25y&#10;ZXYueG1sTI9PT8MwDMXvSHyHyEjcthQmKlSaThN/xBE2kLh6jddUNE5p0rV8ezxxgJvtZ733e+V6&#10;9p060hDbwAaulhko4jrYlhsD729Pi1tQMSFb7AKTgW+KsK7Oz0osbJh4S8ddapSYcCzQgEupL7SO&#10;tSOPcRl6YtEOYfCYZB0abQecxNx3+jrLcu2xZUlw2NO9o/pzN3rJfbZpE17Gj213eMgfM3x1XzgZ&#10;c3kxb+5AJZrT3zOc8AUdKmHah5FtVJ0BKZIMLFY5qJO6upFh/3vQVan/41c/AAAA//8DAFBLAQIt&#10;ABQABgAIAAAAIQC2gziS/gAAAOEBAAATAAAAAAAAAAAAAAAAAAAAAABbQ29udGVudF9UeXBlc10u&#10;eG1sUEsBAi0AFAAGAAgAAAAhADj9If/WAAAAlAEAAAsAAAAAAAAAAAAAAAAALwEAAF9yZWxzLy5y&#10;ZWxzUEsBAi0AFAAGAAgAAAAhAE196ZwsAgAAOwQAAA4AAAAAAAAAAAAAAAAALgIAAGRycy9lMm9E&#10;b2MueG1sUEsBAi0AFAAGAAgAAAAhALZOAiPZAAAABgEAAA8AAAAAAAAAAAAAAAAAhgQAAGRycy9k&#10;b3ducmV2LnhtbFBLBQYAAAAABAAEAPMAAACMBQAAAAA=&#10;" o:allowincell="f" strokecolor="blue" strokeweight=".48pt"/>
            </w:pict>
          </mc:Fallback>
        </mc:AlternateContent>
      </w:r>
    </w:p>
    <w:p w14:paraId="21B364C7" w14:textId="246EA634" w:rsidR="004D6470" w:rsidRPr="009E58F7" w:rsidRDefault="004D6470" w:rsidP="00602E58">
      <w:pPr>
        <w:keepNext/>
        <w:numPr>
          <w:ilvl w:val="0"/>
          <w:numId w:val="15"/>
        </w:numPr>
        <w:tabs>
          <w:tab w:val="clear" w:pos="720"/>
          <w:tab w:val="num" w:pos="564"/>
        </w:tabs>
        <w:overflowPunct w:val="0"/>
        <w:autoSpaceDE w:val="0"/>
        <w:autoSpaceDN w:val="0"/>
        <w:adjustRightInd w:val="0"/>
        <w:spacing w:line="240" w:lineRule="auto"/>
        <w:ind w:left="0" w:firstLine="0"/>
        <w:rPr>
          <w:b/>
        </w:rPr>
      </w:pPr>
      <w:r w:rsidRPr="009E58F7">
        <w:rPr>
          <w:b/>
        </w:rPr>
        <w:t>Túladagolás</w:t>
      </w:r>
    </w:p>
    <w:p w14:paraId="7A2DE1A2" w14:textId="77777777" w:rsidR="004D6470" w:rsidRPr="009E58F7" w:rsidRDefault="004D6470" w:rsidP="00D7256D">
      <w:pPr>
        <w:keepNext/>
        <w:autoSpaceDE w:val="0"/>
        <w:autoSpaceDN w:val="0"/>
        <w:adjustRightInd w:val="0"/>
        <w:spacing w:line="240" w:lineRule="auto"/>
      </w:pPr>
    </w:p>
    <w:p w14:paraId="4D35FEA9" w14:textId="416D02B3" w:rsidR="004D6470" w:rsidRPr="009E58F7" w:rsidRDefault="004D6470" w:rsidP="007070F2">
      <w:pPr>
        <w:keepNext/>
        <w:overflowPunct w:val="0"/>
        <w:autoSpaceDE w:val="0"/>
        <w:autoSpaceDN w:val="0"/>
        <w:adjustRightInd w:val="0"/>
        <w:spacing w:line="240" w:lineRule="auto"/>
      </w:pPr>
      <w:r w:rsidRPr="009E58F7">
        <w:t>Az ajánlott dózis több mint kétszeres adagban akut, halálos kimenetelű szimptómás hypotoniát és thrombocytopeniát okozott. Lásd az 5.3 pontban a preklinikai cardiovascularis biztonság</w:t>
      </w:r>
      <w:r w:rsidR="009B200B" w:rsidRPr="009E58F7">
        <w:t>osság</w:t>
      </w:r>
      <w:r w:rsidRPr="009E58F7">
        <w:t>i farmakológiai vizsgálatok fejezetet.</w:t>
      </w:r>
    </w:p>
    <w:p w14:paraId="2B776825" w14:textId="77777777" w:rsidR="004D6470" w:rsidRPr="009E58F7" w:rsidRDefault="004D6470" w:rsidP="007070F2">
      <w:pPr>
        <w:widowControl w:val="0"/>
        <w:autoSpaceDE w:val="0"/>
        <w:autoSpaceDN w:val="0"/>
        <w:adjustRightInd w:val="0"/>
        <w:spacing w:line="240" w:lineRule="auto"/>
      </w:pPr>
    </w:p>
    <w:p w14:paraId="1EE3299C" w14:textId="595945FD" w:rsidR="004D6470" w:rsidRPr="009E58F7" w:rsidRDefault="004D6470" w:rsidP="003D25C3">
      <w:pPr>
        <w:spacing w:line="240" w:lineRule="auto"/>
        <w:contextualSpacing/>
      </w:pPr>
      <w:r w:rsidRPr="009E58F7">
        <w:t xml:space="preserve">A bortezomib </w:t>
      </w:r>
      <w:r w:rsidR="00C5286C" w:rsidRPr="009E58F7">
        <w:t>túladagolás</w:t>
      </w:r>
      <w:r w:rsidR="009B200B" w:rsidRPr="009E58F7">
        <w:t>nak</w:t>
      </w:r>
      <w:r w:rsidRPr="009E58F7">
        <w:t xml:space="preserve"> nincs ismert</w:t>
      </w:r>
      <w:r w:rsidR="00AF4376">
        <w:t>,</w:t>
      </w:r>
      <w:r w:rsidRPr="009E58F7">
        <w:t xml:space="preserve"> specifikus antidotuma. Túladagolás esetén </w:t>
      </w:r>
      <w:r w:rsidR="003E6BA3" w:rsidRPr="009E58F7">
        <w:t xml:space="preserve">a </w:t>
      </w:r>
      <w:r w:rsidRPr="009E58F7">
        <w:t xml:space="preserve">beteg vitális paramétereit monitorozni kell, és szükség esetén szupportív kezelést kell nyújtani a megfelelő vérnyomás (folyadékpótlás, vérnyomásemelő és/vagy inotrop hatású </w:t>
      </w:r>
      <w:r w:rsidR="003E6BA3" w:rsidRPr="009E58F7">
        <w:t>gyógy</w:t>
      </w:r>
      <w:r w:rsidRPr="009E58F7">
        <w:t>szerek adása) és a testhőmérséklet fenntartása érdekében (lásd 4.2 és 4.4 pont).</w:t>
      </w:r>
    </w:p>
    <w:p w14:paraId="0BC01B2B" w14:textId="77777777" w:rsidR="004D6470" w:rsidRPr="009E58F7" w:rsidRDefault="004D6470">
      <w:pPr>
        <w:widowControl w:val="0"/>
        <w:autoSpaceDE w:val="0"/>
        <w:autoSpaceDN w:val="0"/>
        <w:adjustRightInd w:val="0"/>
        <w:spacing w:line="240" w:lineRule="auto"/>
      </w:pPr>
    </w:p>
    <w:p w14:paraId="63DEFDC3" w14:textId="77777777" w:rsidR="004D6470" w:rsidRPr="009E58F7" w:rsidRDefault="004D6470">
      <w:pPr>
        <w:widowControl w:val="0"/>
        <w:autoSpaceDE w:val="0"/>
        <w:autoSpaceDN w:val="0"/>
        <w:adjustRightInd w:val="0"/>
        <w:spacing w:line="240" w:lineRule="auto"/>
      </w:pPr>
    </w:p>
    <w:p w14:paraId="7CBA0411" w14:textId="207999D4" w:rsidR="004D6470" w:rsidRPr="009E58F7" w:rsidRDefault="004D6470" w:rsidP="00602E58">
      <w:pPr>
        <w:keepNext/>
        <w:numPr>
          <w:ilvl w:val="0"/>
          <w:numId w:val="16"/>
        </w:numPr>
        <w:tabs>
          <w:tab w:val="left" w:pos="567"/>
        </w:tabs>
        <w:overflowPunct w:val="0"/>
        <w:autoSpaceDE w:val="0"/>
        <w:autoSpaceDN w:val="0"/>
        <w:adjustRightInd w:val="0"/>
        <w:spacing w:line="240" w:lineRule="auto"/>
        <w:ind w:left="0" w:firstLine="0"/>
        <w:rPr>
          <w:b/>
        </w:rPr>
      </w:pPr>
      <w:r w:rsidRPr="009E58F7">
        <w:rPr>
          <w:b/>
        </w:rPr>
        <w:t>FARMAKOLÓGIAI TULAJDONSÁGOK</w:t>
      </w:r>
    </w:p>
    <w:p w14:paraId="073B0567" w14:textId="77777777" w:rsidR="004D6470" w:rsidRPr="009E58F7" w:rsidRDefault="004D6470" w:rsidP="00D7256D">
      <w:pPr>
        <w:keepNext/>
        <w:autoSpaceDE w:val="0"/>
        <w:autoSpaceDN w:val="0"/>
        <w:adjustRightInd w:val="0"/>
        <w:spacing w:line="240" w:lineRule="auto"/>
      </w:pPr>
    </w:p>
    <w:p w14:paraId="7E4AF264" w14:textId="6E5A0B65" w:rsidR="004D6470" w:rsidRPr="009E58F7" w:rsidRDefault="004D6470" w:rsidP="00602E58">
      <w:pPr>
        <w:keepNext/>
        <w:numPr>
          <w:ilvl w:val="0"/>
          <w:numId w:val="17"/>
        </w:numPr>
        <w:tabs>
          <w:tab w:val="clear" w:pos="720"/>
          <w:tab w:val="num" w:pos="564"/>
        </w:tabs>
        <w:overflowPunct w:val="0"/>
        <w:autoSpaceDE w:val="0"/>
        <w:autoSpaceDN w:val="0"/>
        <w:adjustRightInd w:val="0"/>
        <w:spacing w:line="240" w:lineRule="auto"/>
        <w:ind w:left="0" w:firstLine="0"/>
        <w:rPr>
          <w:b/>
        </w:rPr>
      </w:pPr>
      <w:r w:rsidRPr="009E58F7">
        <w:rPr>
          <w:b/>
        </w:rPr>
        <w:t>Farmakodinámiás tulajdonságok</w:t>
      </w:r>
    </w:p>
    <w:p w14:paraId="1C41EC74" w14:textId="77777777" w:rsidR="004D6470" w:rsidRPr="009E58F7" w:rsidRDefault="004D6470" w:rsidP="00D7256D">
      <w:pPr>
        <w:keepNext/>
        <w:autoSpaceDE w:val="0"/>
        <w:autoSpaceDN w:val="0"/>
        <w:adjustRightInd w:val="0"/>
        <w:spacing w:line="240" w:lineRule="auto"/>
      </w:pPr>
    </w:p>
    <w:p w14:paraId="2818D703" w14:textId="0F740D97" w:rsidR="004D6470" w:rsidRPr="009E58F7" w:rsidRDefault="004D6470" w:rsidP="007070F2">
      <w:pPr>
        <w:autoSpaceDE w:val="0"/>
        <w:autoSpaceDN w:val="0"/>
        <w:adjustRightInd w:val="0"/>
        <w:spacing w:line="240" w:lineRule="auto"/>
      </w:pPr>
      <w:r w:rsidRPr="009E58F7">
        <w:t>Farmakoterápiás csoport: Daganatellenes szerek, egyéb daganatellenes szerek, ATC kód: L01XX32.</w:t>
      </w:r>
    </w:p>
    <w:p w14:paraId="5BFD62C2" w14:textId="77777777" w:rsidR="004D6470" w:rsidRPr="009E58F7" w:rsidRDefault="004D6470" w:rsidP="007070F2">
      <w:pPr>
        <w:autoSpaceDE w:val="0"/>
        <w:autoSpaceDN w:val="0"/>
        <w:adjustRightInd w:val="0"/>
        <w:spacing w:line="240" w:lineRule="auto"/>
      </w:pPr>
    </w:p>
    <w:p w14:paraId="22C2900F" w14:textId="77777777" w:rsidR="004D6470" w:rsidRPr="009E58F7" w:rsidRDefault="004D6470" w:rsidP="003D25C3">
      <w:pPr>
        <w:pStyle w:val="Nincstrkz"/>
        <w:rPr>
          <w:u w:val="single"/>
        </w:rPr>
      </w:pPr>
      <w:r w:rsidRPr="009E58F7">
        <w:rPr>
          <w:u w:val="single"/>
        </w:rPr>
        <w:t>Hatásmechanizmus</w:t>
      </w:r>
    </w:p>
    <w:p w14:paraId="1D1D524A" w14:textId="0D4F396A" w:rsidR="004D6470" w:rsidRPr="009E58F7" w:rsidRDefault="004D6470">
      <w:pPr>
        <w:pStyle w:val="Nincstrkz"/>
      </w:pPr>
      <w:r w:rsidRPr="009E58F7">
        <w:t>A bortezomib proteaszóma</w:t>
      </w:r>
      <w:r w:rsidR="00AF4376">
        <w:t>-</w:t>
      </w:r>
      <w:r w:rsidRPr="009E58F7">
        <w:t>inhibitor, amelyet speciálisan az emlőssejtekben jelen lévő 26S</w:t>
      </w:r>
      <w:r w:rsidR="002A36E9" w:rsidRPr="009E58F7">
        <w:t> </w:t>
      </w:r>
      <w:r w:rsidRPr="009E58F7">
        <w:t>proteaszóma kimotripszinszerű aktivitásának gátlására fejlesztettek ki. A 26S</w:t>
      </w:r>
      <w:r w:rsidR="002A36E9" w:rsidRPr="009E58F7">
        <w:t> </w:t>
      </w:r>
      <w:r w:rsidRPr="009E58F7">
        <w:t>proteaszóma egy nagyméretű fehérjekomplex, amely lebontja azokat a fehérjéket, amelyekhez ubikvitin kötődött. Az ubikvitin-proteaszóma reakcióút esszenciális szerepet játszik a specifikus fehérjék ciklusának szabályozásában, ezáltal a sejteken belüli homeostasis fenntartásában. A 26S</w:t>
      </w:r>
      <w:r w:rsidR="002A36E9" w:rsidRPr="009E58F7">
        <w:t> </w:t>
      </w:r>
      <w:r w:rsidRPr="009E58F7">
        <w:t>proteaszóma gátlása megakadályozza ezt a célzott proteolysist</w:t>
      </w:r>
      <w:r w:rsidR="00AF4376">
        <w:t>,</w:t>
      </w:r>
      <w:r w:rsidRPr="009E58F7">
        <w:t xml:space="preserve"> és befolyásolja a sejten belüli többszörös jelsorozatot, ami végső soron a daganatsejt pusztulásához vezet.</w:t>
      </w:r>
    </w:p>
    <w:p w14:paraId="08EA9543" w14:textId="77777777" w:rsidR="004D6470" w:rsidRPr="009E58F7" w:rsidRDefault="004D6470">
      <w:pPr>
        <w:pStyle w:val="Nincstrkz"/>
      </w:pPr>
    </w:p>
    <w:p w14:paraId="2A6CDD8B" w14:textId="29EA37FF" w:rsidR="004D6470" w:rsidRPr="009E58F7" w:rsidRDefault="004D6470">
      <w:pPr>
        <w:pStyle w:val="Nincstrkz"/>
      </w:pPr>
      <w:r w:rsidRPr="009E58F7">
        <w:t>A bortezomib nagyfokú szelektivitást mutat a proteaszóma iránt. 10 </w:t>
      </w:r>
      <w:r w:rsidR="00EF01B4" w:rsidRPr="009E58F7">
        <w:t>mikro</w:t>
      </w:r>
      <w:r w:rsidRPr="009E58F7">
        <w:t>M koncentrációnál a bortezomib nem gátolja a nagyszámú, különféle vizsgált receptort és proteázenzimet, és 1500</w:t>
      </w:r>
      <w:r w:rsidR="00FE5B85">
        <w:t>-</w:t>
      </w:r>
      <w:r w:rsidRPr="009E58F7">
        <w:t xml:space="preserve">szor nagyobb aktivitást mutat a proteaszóma iránt, mint a soron következő preferált enzim iránt. A proteaszómagátlás kinetikáját </w:t>
      </w:r>
      <w:r w:rsidRPr="009E58F7">
        <w:rPr>
          <w:i/>
        </w:rPr>
        <w:t>in</w:t>
      </w:r>
      <w:r w:rsidR="00330BD7" w:rsidRPr="009E58F7">
        <w:rPr>
          <w:i/>
        </w:rPr>
        <w:t> </w:t>
      </w:r>
      <w:r w:rsidRPr="009E58F7">
        <w:rPr>
          <w:i/>
        </w:rPr>
        <w:t>vitro</w:t>
      </w:r>
      <w:r w:rsidRPr="009E58F7">
        <w:t xml:space="preserve"> vizsgálva kimutatták, hogy a bortezomib a proteaszómáról 20 perces felezési idővel (t</w:t>
      </w:r>
      <w:r w:rsidRPr="009E58F7">
        <w:rPr>
          <w:vertAlign w:val="subscript"/>
        </w:rPr>
        <w:t>1/2</w:t>
      </w:r>
      <w:r w:rsidRPr="009E58F7">
        <w:t>) disszociál, így bebizonyosodott, hogy a bortezomib reverz</w:t>
      </w:r>
      <w:r w:rsidR="00330BD7" w:rsidRPr="009E58F7">
        <w:t>i</w:t>
      </w:r>
      <w:r w:rsidRPr="009E58F7">
        <w:t>bilisen gátolja a proteaszómát.</w:t>
      </w:r>
    </w:p>
    <w:p w14:paraId="2D7BEBCC" w14:textId="77777777" w:rsidR="004D6470" w:rsidRPr="009E58F7" w:rsidRDefault="004D6470">
      <w:pPr>
        <w:pStyle w:val="Nincstrkz"/>
      </w:pPr>
    </w:p>
    <w:p w14:paraId="0611C3D6" w14:textId="7364746D" w:rsidR="004D6470" w:rsidRPr="009E58F7" w:rsidRDefault="004D6470">
      <w:pPr>
        <w:pStyle w:val="Nincstrkz"/>
      </w:pPr>
      <w:r w:rsidRPr="009E58F7">
        <w:t>A bortezomib mediált</w:t>
      </w:r>
      <w:r w:rsidR="00AF4376">
        <w:t>a</w:t>
      </w:r>
      <w:r w:rsidRPr="009E58F7">
        <w:t xml:space="preserve"> proteaszómagátlás sokféle módon befolyásolja a daganatsejteket, a teljesség igénye nélkül ideértve a regulációs fehérjék megváltoztatását, amelyek szabályozzák a sejtciklust és a nuclearis faktor kappa</w:t>
      </w:r>
      <w:r w:rsidR="00CC026C">
        <w:t>-</w:t>
      </w:r>
      <w:r w:rsidRPr="009E58F7">
        <w:t>B (NF</w:t>
      </w:r>
      <w:r w:rsidR="003F0F42">
        <w:t>-</w:t>
      </w:r>
      <w:r w:rsidRPr="009E58F7">
        <w:t>kB) aktivációt. A proteaszóma gátlása leállítja a sejtciklust és apoptosishoz vezet. Az NF</w:t>
      </w:r>
      <w:r w:rsidR="003F0F42">
        <w:t>-</w:t>
      </w:r>
      <w:r w:rsidRPr="009E58F7">
        <w:t>kB egy transzkripciós faktor, amelynek aktivációja a tumorgenesisben több szempontból is jelentős, beleértve a sejtek növekedését és túlélését, az angiogenesist, a sejt</w:t>
      </w:r>
      <w:r w:rsidR="003F0F42">
        <w:t>-</w:t>
      </w:r>
      <w:r w:rsidRPr="009E58F7">
        <w:t>sejt kölcsönhatásokat és a metastasisképződést. Myelom</w:t>
      </w:r>
      <w:r w:rsidR="002A36E9" w:rsidRPr="009E58F7">
        <w:t>ában</w:t>
      </w:r>
      <w:r w:rsidRPr="009E58F7">
        <w:t xml:space="preserve"> a bortezomib a myeloma sejteknek azt a képességét befolyásolja, hogy kölcsönhatásba tudnak lépni a csontvelő mikrokörnyezetével.</w:t>
      </w:r>
    </w:p>
    <w:p w14:paraId="72928A3B" w14:textId="77777777" w:rsidR="004D6470" w:rsidRPr="009E58F7" w:rsidRDefault="004D6470">
      <w:pPr>
        <w:pStyle w:val="Nincstrkz"/>
      </w:pPr>
    </w:p>
    <w:p w14:paraId="7ACE010D" w14:textId="1F0B7E30" w:rsidR="004D6470" w:rsidRPr="009E58F7" w:rsidRDefault="004D6470">
      <w:pPr>
        <w:spacing w:line="240" w:lineRule="auto"/>
        <w:contextualSpacing/>
      </w:pPr>
      <w:r w:rsidRPr="009E58F7">
        <w:t xml:space="preserve">Kísérletekben igazolták, hogy a bortezomib citotoxikus hatást fejt ki különböző típusú </w:t>
      </w:r>
      <w:r w:rsidR="00C5286C" w:rsidRPr="009E58F7">
        <w:t>tumorsejtekre</w:t>
      </w:r>
      <w:r w:rsidRPr="009E58F7">
        <w:t xml:space="preserve">, és hogy a daganatsejtek érzékenyebbek a proteaszómagátlás okozta proapoptotikus hatásokra, mint a normál sejtek. Több </w:t>
      </w:r>
      <w:r w:rsidRPr="009E58F7">
        <w:rPr>
          <w:i/>
        </w:rPr>
        <w:t>in</w:t>
      </w:r>
      <w:r w:rsidR="00330BD7" w:rsidRPr="009E58F7">
        <w:rPr>
          <w:i/>
        </w:rPr>
        <w:t> </w:t>
      </w:r>
      <w:r w:rsidRPr="009E58F7">
        <w:rPr>
          <w:i/>
        </w:rPr>
        <w:t>vivo</w:t>
      </w:r>
      <w:r w:rsidRPr="009E58F7">
        <w:t xml:space="preserve"> preklinikai tumormodellen, így myeloma multiplexben vizsgálva</w:t>
      </w:r>
      <w:r w:rsidR="00CC026C">
        <w:t>,</w:t>
      </w:r>
      <w:r w:rsidRPr="009E58F7">
        <w:t xml:space="preserve"> a bortezomib a tumor növekedésének redukciójához vezetett.</w:t>
      </w:r>
    </w:p>
    <w:p w14:paraId="4C0B473C" w14:textId="77777777" w:rsidR="004D6470" w:rsidRPr="009E58F7" w:rsidRDefault="004D6470">
      <w:pPr>
        <w:pStyle w:val="Nincstrkz"/>
        <w:rPr>
          <w:color w:val="000000"/>
        </w:rPr>
      </w:pPr>
      <w:bookmarkStart w:id="35" w:name="page121"/>
      <w:bookmarkEnd w:id="35"/>
    </w:p>
    <w:p w14:paraId="67B897D8" w14:textId="45198FFD" w:rsidR="004D6470" w:rsidRPr="009E58F7" w:rsidRDefault="004D6470">
      <w:pPr>
        <w:pStyle w:val="Nincstrkz"/>
      </w:pPr>
      <w:r w:rsidRPr="009E58F7">
        <w:rPr>
          <w:color w:val="000000"/>
        </w:rPr>
        <w:t xml:space="preserve">A bortezomib </w:t>
      </w:r>
      <w:r w:rsidRPr="009E58F7">
        <w:rPr>
          <w:i/>
          <w:color w:val="000000"/>
        </w:rPr>
        <w:t>in</w:t>
      </w:r>
      <w:r w:rsidR="00330BD7" w:rsidRPr="009E58F7">
        <w:rPr>
          <w:i/>
          <w:color w:val="000000"/>
        </w:rPr>
        <w:t> </w:t>
      </w:r>
      <w:r w:rsidRPr="009E58F7">
        <w:rPr>
          <w:i/>
          <w:color w:val="000000"/>
        </w:rPr>
        <w:t>vitro</w:t>
      </w:r>
      <w:r w:rsidRPr="009E58F7">
        <w:rPr>
          <w:color w:val="000000"/>
        </w:rPr>
        <w:t xml:space="preserve">, </w:t>
      </w:r>
      <w:r w:rsidRPr="009E58F7">
        <w:rPr>
          <w:i/>
          <w:color w:val="000000"/>
        </w:rPr>
        <w:t>ex</w:t>
      </w:r>
      <w:r w:rsidR="00330BD7" w:rsidRPr="009E58F7">
        <w:rPr>
          <w:i/>
          <w:color w:val="000000"/>
        </w:rPr>
        <w:t> </w:t>
      </w:r>
      <w:r w:rsidRPr="009E58F7">
        <w:rPr>
          <w:i/>
          <w:color w:val="000000"/>
        </w:rPr>
        <w:t>vivo</w:t>
      </w:r>
      <w:r w:rsidRPr="009E58F7">
        <w:rPr>
          <w:color w:val="000000"/>
        </w:rPr>
        <w:t xml:space="preserve"> és állati modelljeiből származó adatok arra utalnak, hogy a bortezomib fokozza az osteoblast</w:t>
      </w:r>
      <w:r w:rsidR="00CC026C">
        <w:rPr>
          <w:color w:val="000000"/>
        </w:rPr>
        <w:t>-</w:t>
      </w:r>
      <w:r w:rsidRPr="009E58F7">
        <w:rPr>
          <w:color w:val="000000"/>
        </w:rPr>
        <w:t xml:space="preserve">differenciálódást és </w:t>
      </w:r>
      <w:r w:rsidR="00CC026C">
        <w:rPr>
          <w:color w:val="000000"/>
        </w:rPr>
        <w:t>-</w:t>
      </w:r>
      <w:r w:rsidRPr="009E58F7">
        <w:rPr>
          <w:color w:val="000000"/>
        </w:rPr>
        <w:t>aktivitást, valamint gátolja az osteoclast</w:t>
      </w:r>
      <w:r w:rsidR="00CC026C">
        <w:rPr>
          <w:color w:val="000000"/>
        </w:rPr>
        <w:t>-</w:t>
      </w:r>
      <w:r w:rsidRPr="009E58F7">
        <w:rPr>
          <w:color w:val="000000"/>
        </w:rPr>
        <w:t xml:space="preserve">funkciót. Ezeket a </w:t>
      </w:r>
      <w:r w:rsidRPr="009E58F7">
        <w:rPr>
          <w:color w:val="000000"/>
        </w:rPr>
        <w:lastRenderedPageBreak/>
        <w:t>hatásokat bortezomibbal kezelt, előrehaladott osteolyticus betegségben szenvedő, myeloma multiplexes betegeken is megfigyelték.</w:t>
      </w:r>
    </w:p>
    <w:p w14:paraId="2FA62B83" w14:textId="77777777" w:rsidR="004D6470" w:rsidRPr="009E58F7" w:rsidRDefault="004D6470">
      <w:pPr>
        <w:pStyle w:val="Nincstrkz"/>
      </w:pPr>
    </w:p>
    <w:p w14:paraId="14E0059A" w14:textId="77777777" w:rsidR="004D6470" w:rsidRPr="009E58F7" w:rsidRDefault="004D6470" w:rsidP="00E26B3B">
      <w:pPr>
        <w:pStyle w:val="Nincstrkz"/>
        <w:keepNext/>
        <w:rPr>
          <w:u w:val="single"/>
        </w:rPr>
      </w:pPr>
      <w:r w:rsidRPr="009E58F7">
        <w:rPr>
          <w:color w:val="000000"/>
          <w:u w:val="single"/>
        </w:rPr>
        <w:t>Klinikai hatásosság korábban nem kezelt myeloma multiplexben</w:t>
      </w:r>
    </w:p>
    <w:p w14:paraId="7143A395" w14:textId="7DA1C591" w:rsidR="004D6470" w:rsidRPr="009E58F7" w:rsidRDefault="004D6470">
      <w:pPr>
        <w:spacing w:line="240" w:lineRule="auto"/>
        <w:contextualSpacing/>
      </w:pPr>
      <w:r w:rsidRPr="009E58F7">
        <w:t>Prospektív, III</w:t>
      </w:r>
      <w:r w:rsidR="00C5286C" w:rsidRPr="009E58F7">
        <w:t>.</w:t>
      </w:r>
      <w:r w:rsidR="00CC026C">
        <w:t> </w:t>
      </w:r>
      <w:r w:rsidR="00C5286C" w:rsidRPr="009E58F7">
        <w:t>fázisú</w:t>
      </w:r>
      <w:r w:rsidRPr="009E58F7">
        <w:t xml:space="preserve">, nemzetközi, randomizált (1:1), nyílt </w:t>
      </w:r>
      <w:r w:rsidR="00CC026C">
        <w:t xml:space="preserve">elrendezésű </w:t>
      </w:r>
      <w:r w:rsidRPr="009E58F7">
        <w:t>vizsgálatot (MMY</w:t>
      </w:r>
      <w:r w:rsidR="003F0F42">
        <w:t>-</w:t>
      </w:r>
      <w:r w:rsidRPr="009E58F7">
        <w:t xml:space="preserve">3002; VISTA) végeztek 682 beteggel annak megállapítására, hogy a korábban nem kezelt myeloma multiplexben szenvedő </w:t>
      </w:r>
      <w:r w:rsidR="00C5286C" w:rsidRPr="009E58F7">
        <w:t>betegek</w:t>
      </w:r>
      <w:r w:rsidR="00330BD7" w:rsidRPr="009E58F7">
        <w:t>nél</w:t>
      </w:r>
      <w:r w:rsidRPr="009E58F7">
        <w:t xml:space="preserve"> a bortezomib (intravénásan </w:t>
      </w:r>
      <w:r w:rsidR="00C5286C" w:rsidRPr="009E58F7">
        <w:t>alkalmaz</w:t>
      </w:r>
      <w:r w:rsidR="00330BD7" w:rsidRPr="009E58F7">
        <w:t>va</w:t>
      </w:r>
      <w:r w:rsidRPr="009E58F7">
        <w:t xml:space="preserve"> 1,3 mg/m</w:t>
      </w:r>
      <w:r w:rsidRPr="009E58F7">
        <w:rPr>
          <w:vertAlign w:val="superscript"/>
        </w:rPr>
        <w:t>2</w:t>
      </w:r>
      <w:r w:rsidRPr="009E58F7">
        <w:t xml:space="preserve"> dózisban) melfalánnal (9 mg/m</w:t>
      </w:r>
      <w:r w:rsidRPr="009E58F7">
        <w:rPr>
          <w:vertAlign w:val="superscript"/>
        </w:rPr>
        <w:t>2</w:t>
      </w:r>
      <w:r w:rsidRPr="009E58F7">
        <w:t>) és prednizonnal (60 mg/m</w:t>
      </w:r>
      <w:r w:rsidRPr="009E58F7">
        <w:rPr>
          <w:vertAlign w:val="superscript"/>
        </w:rPr>
        <w:t>2</w:t>
      </w:r>
      <w:r w:rsidRPr="009E58F7">
        <w:t>) kombinációban javítja-e a progresszióig eltelt időt (TTP) a melfalánnal (9 mg/m</w:t>
      </w:r>
      <w:r w:rsidRPr="009E58F7">
        <w:rPr>
          <w:vertAlign w:val="superscript"/>
        </w:rPr>
        <w:t>2</w:t>
      </w:r>
      <w:r w:rsidRPr="009E58F7">
        <w:t>) és</w:t>
      </w:r>
      <w:bookmarkStart w:id="36" w:name="page57"/>
      <w:bookmarkEnd w:id="36"/>
      <w:r w:rsidRPr="009E58F7">
        <w:t xml:space="preserve"> prednizonnal (60 mg/m</w:t>
      </w:r>
      <w:r w:rsidRPr="009E58F7">
        <w:rPr>
          <w:vertAlign w:val="superscript"/>
        </w:rPr>
        <w:t>2</w:t>
      </w:r>
      <w:r w:rsidRPr="009E58F7">
        <w:t xml:space="preserve">) összehasonlítva. A terápiát legfeljebb 9 ciklusig (kb. 54 hét) alkalmazták és betegségprogresszió vagy elfogadhatatlan toxicitás miatt állították le idő előtt. A vizsgálat betegeinek medián életkora 71 év, a férfiak aránya 50%, a kaukázusi rassz aránya 88% </w:t>
      </w:r>
      <w:r w:rsidR="00C5286C" w:rsidRPr="009E58F7">
        <w:t xml:space="preserve">és </w:t>
      </w:r>
      <w:r w:rsidRPr="009E58F7">
        <w:t>a Karnofsky teljesítménystátusz mediánértéke 80 volt. Az IgG/IgA/könnyű lánc myeloma arány 63%/25%/8%, a hemoglobin mediánja 105 g/l</w:t>
      </w:r>
      <w:r w:rsidR="00CC026C">
        <w:t>,</w:t>
      </w:r>
      <w:r w:rsidRPr="009E58F7">
        <w:t xml:space="preserve"> és a vérlemezkeszám mediánértéke 221,5 × 10</w:t>
      </w:r>
      <w:r w:rsidRPr="009E58F7">
        <w:rPr>
          <w:vertAlign w:val="superscript"/>
        </w:rPr>
        <w:t>9</w:t>
      </w:r>
      <w:r w:rsidRPr="009E58F7">
        <w:t xml:space="preserve">/l volt. </w:t>
      </w:r>
      <w:r w:rsidR="002A36E9" w:rsidRPr="009E58F7">
        <w:t>Hasonló volt a</w:t>
      </w:r>
      <w:r w:rsidRPr="009E58F7">
        <w:t>zon betegek aránya, aki</w:t>
      </w:r>
      <w:r w:rsidR="00EC6443" w:rsidRPr="009E58F7">
        <w:t>k</w:t>
      </w:r>
      <w:r w:rsidRPr="009E58F7">
        <w:t>nél a kreatinin</w:t>
      </w:r>
      <w:r w:rsidR="003F0F42">
        <w:t>-</w:t>
      </w:r>
      <w:r w:rsidRPr="009E58F7">
        <w:t xml:space="preserve">clearance </w:t>
      </w:r>
      <w:r w:rsidRPr="009E58F7">
        <w:rPr>
          <w:bCs/>
        </w:rPr>
        <w:t>&lt;</w:t>
      </w:r>
      <w:r w:rsidRPr="009E58F7">
        <w:t>30 ml/perc</w:t>
      </w:r>
      <w:r w:rsidR="002A36E9" w:rsidRPr="009E58F7">
        <w:t>nek bizonyult</w:t>
      </w:r>
      <w:r w:rsidRPr="009E58F7">
        <w:t xml:space="preserve"> (3% az egyes terápiás karokon).</w:t>
      </w:r>
    </w:p>
    <w:p w14:paraId="4AE785A3" w14:textId="42254044" w:rsidR="004D6470" w:rsidRPr="009E58F7" w:rsidRDefault="004D6470">
      <w:pPr>
        <w:spacing w:line="240" w:lineRule="auto"/>
        <w:contextualSpacing/>
      </w:pPr>
      <w:r w:rsidRPr="009E58F7">
        <w:t>Az előre meghatározott közbenső értékeléskor az elsődleges végpont, a progresszióig eltelt idő</w:t>
      </w:r>
      <w:r w:rsidR="00CC026C">
        <w:t>,</w:t>
      </w:r>
      <w:r w:rsidRPr="009E58F7">
        <w:t xml:space="preserve"> teljesült és az M+P-kar betegeinek </w:t>
      </w:r>
      <w:r w:rsidR="00E708C1" w:rsidRPr="009E58F7">
        <w:t>Bz</w:t>
      </w:r>
      <w:r w:rsidRPr="009E58F7">
        <w:t>+M+P-terápiát ajánlottak fel. Az utánkövetés mediánja 16,3 hónap volt. A túlélés végső aktualizálását 60,1 hónapos medián követési időtartam alapján végezték. Statisztikailag szignifikáns túlélési előnyt (HR</w:t>
      </w:r>
      <w:r w:rsidR="00330BD7" w:rsidRPr="009E58F7">
        <w:t> </w:t>
      </w:r>
      <w:r w:rsidRPr="009E58F7">
        <w:t>=</w:t>
      </w:r>
      <w:r w:rsidR="00330BD7" w:rsidRPr="009E58F7">
        <w:t> </w:t>
      </w:r>
      <w:r w:rsidRPr="009E58F7">
        <w:t>0,695; p</w:t>
      </w:r>
      <w:r w:rsidR="00330BD7" w:rsidRPr="009E58F7">
        <w:t> </w:t>
      </w:r>
      <w:r w:rsidRPr="009E58F7">
        <w:t>=</w:t>
      </w:r>
      <w:r w:rsidR="00330BD7" w:rsidRPr="009E58F7">
        <w:t> </w:t>
      </w:r>
      <w:r w:rsidRPr="009E58F7">
        <w:t xml:space="preserve">0,00043) figyeltek meg a </w:t>
      </w:r>
      <w:r w:rsidR="00E708C1" w:rsidRPr="009E58F7">
        <w:t>Bz</w:t>
      </w:r>
      <w:r w:rsidRPr="009E58F7">
        <w:t>+M+P terápiás csoport javára a további</w:t>
      </w:r>
      <w:r w:rsidR="002A36E9" w:rsidRPr="009E58F7">
        <w:t xml:space="preserve"> kezelések ellenére is, melyek b</w:t>
      </w:r>
      <w:r w:rsidRPr="009E58F7">
        <w:t>ortezomib</w:t>
      </w:r>
      <w:r w:rsidR="003F0F42">
        <w:t>-</w:t>
      </w:r>
      <w:r w:rsidRPr="009E58F7">
        <w:t xml:space="preserve">alapú kezelési sémákat is tartalmazhattak. A medián túlélés értéke összehasonlítva a </w:t>
      </w:r>
      <w:r w:rsidR="00E708C1" w:rsidRPr="009E58F7">
        <w:t>Bz</w:t>
      </w:r>
      <w:r w:rsidRPr="009E58F7">
        <w:t>+M+P és az M+P kezelési csoportokat 56,4 hónap</w:t>
      </w:r>
      <w:r w:rsidR="00CC026C">
        <w:t>,</w:t>
      </w:r>
      <w:r w:rsidRPr="009E58F7">
        <w:t xml:space="preserve"> illetve 43,1 hónap volt. A hatásossági eredményeket a 11.</w:t>
      </w:r>
      <w:r w:rsidR="00330BD7" w:rsidRPr="009E58F7">
        <w:t> </w:t>
      </w:r>
      <w:r w:rsidRPr="009E58F7">
        <w:t>táblázat mutatja be:</w:t>
      </w:r>
    </w:p>
    <w:p w14:paraId="2EFE9775" w14:textId="07960A70" w:rsidR="002A36E9" w:rsidRPr="009E58F7" w:rsidRDefault="002A36E9">
      <w:pPr>
        <w:pStyle w:val="Nincstrkz"/>
      </w:pPr>
    </w:p>
    <w:p w14:paraId="780523CA" w14:textId="2A1F3C75" w:rsidR="005E104E" w:rsidRPr="009E58F7" w:rsidRDefault="00330BD7">
      <w:pPr>
        <w:pStyle w:val="Nincstrkz"/>
        <w:keepNext/>
        <w:ind w:left="1410" w:hanging="1410"/>
        <w:rPr>
          <w:i/>
        </w:rPr>
      </w:pPr>
      <w:r w:rsidRPr="009E58F7">
        <w:rPr>
          <w:i/>
          <w:noProof/>
        </w:rPr>
        <w:t>11. </w:t>
      </w:r>
      <w:r w:rsidR="005E104E" w:rsidRPr="009E58F7">
        <w:rPr>
          <w:i/>
        </w:rPr>
        <w:t>táblázat:</w:t>
      </w:r>
      <w:r w:rsidRPr="009E58F7">
        <w:rPr>
          <w:i/>
        </w:rPr>
        <w:tab/>
      </w:r>
      <w:r w:rsidR="005E104E" w:rsidRPr="009E58F7">
        <w:rPr>
          <w:i/>
        </w:rPr>
        <w:t>Hatásossági eredmények azt kö</w:t>
      </w:r>
      <w:r w:rsidRPr="009E58F7">
        <w:rPr>
          <w:i/>
        </w:rPr>
        <w:t>vetően, hogy a túlélést a VISTA</w:t>
      </w:r>
      <w:r w:rsidR="003F0F42">
        <w:rPr>
          <w:i/>
        </w:rPr>
        <w:t>-</w:t>
      </w:r>
      <w:r w:rsidR="005E104E" w:rsidRPr="009E58F7">
        <w:rPr>
          <w:i/>
        </w:rPr>
        <w:t>vizsgálat alapján aktualizálták</w:t>
      </w:r>
    </w:p>
    <w:tbl>
      <w:tblPr>
        <w:tblW w:w="904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4360"/>
        <w:gridCol w:w="2220"/>
        <w:gridCol w:w="2465"/>
      </w:tblGrid>
      <w:tr w:rsidR="00C27CC8" w:rsidRPr="009E58F7" w14:paraId="1FD4982B" w14:textId="77777777" w:rsidTr="00E26B3B">
        <w:trPr>
          <w:trHeight w:val="219"/>
          <w:tblHeader/>
        </w:trPr>
        <w:tc>
          <w:tcPr>
            <w:tcW w:w="4360" w:type="dxa"/>
            <w:vAlign w:val="bottom"/>
          </w:tcPr>
          <w:p w14:paraId="72845DDA" w14:textId="77777777" w:rsidR="00C27CC8" w:rsidRPr="009E58F7" w:rsidRDefault="00C27CC8" w:rsidP="007070F2">
            <w:pPr>
              <w:spacing w:line="240" w:lineRule="auto"/>
              <w:contextualSpacing/>
              <w:jc w:val="both"/>
            </w:pPr>
            <w:r w:rsidRPr="009E58F7">
              <w:rPr>
                <w:b/>
                <w:bCs/>
              </w:rPr>
              <w:t>Hatásossági végpont</w:t>
            </w:r>
          </w:p>
        </w:tc>
        <w:tc>
          <w:tcPr>
            <w:tcW w:w="2220" w:type="dxa"/>
            <w:vAlign w:val="bottom"/>
          </w:tcPr>
          <w:p w14:paraId="5B115B85" w14:textId="53313DFE" w:rsidR="00C27CC8" w:rsidRPr="009E58F7" w:rsidRDefault="008D0FD1" w:rsidP="007070F2">
            <w:pPr>
              <w:spacing w:line="240" w:lineRule="auto"/>
              <w:contextualSpacing/>
              <w:jc w:val="center"/>
              <w:rPr>
                <w:b/>
                <w:bCs/>
              </w:rPr>
            </w:pPr>
            <w:r w:rsidRPr="009E58F7">
              <w:rPr>
                <w:b/>
                <w:bCs/>
              </w:rPr>
              <w:t>Bz+</w:t>
            </w:r>
            <w:r w:rsidR="00C27CC8" w:rsidRPr="009E58F7">
              <w:rPr>
                <w:b/>
                <w:bCs/>
              </w:rPr>
              <w:t>M+P</w:t>
            </w:r>
          </w:p>
        </w:tc>
        <w:tc>
          <w:tcPr>
            <w:tcW w:w="2465" w:type="dxa"/>
            <w:vAlign w:val="bottom"/>
          </w:tcPr>
          <w:p w14:paraId="0C43CB22" w14:textId="77777777" w:rsidR="00C27CC8" w:rsidRPr="009E58F7" w:rsidRDefault="00C27CC8" w:rsidP="007070F2">
            <w:pPr>
              <w:spacing w:line="240" w:lineRule="auto"/>
              <w:contextualSpacing/>
              <w:jc w:val="center"/>
              <w:rPr>
                <w:b/>
                <w:bCs/>
              </w:rPr>
            </w:pPr>
            <w:r w:rsidRPr="009E58F7">
              <w:rPr>
                <w:b/>
                <w:bCs/>
              </w:rPr>
              <w:t>M+P</w:t>
            </w:r>
          </w:p>
        </w:tc>
      </w:tr>
      <w:tr w:rsidR="00C27CC8" w:rsidRPr="009E58F7" w14:paraId="1CF27272" w14:textId="77777777" w:rsidTr="00E26B3B">
        <w:trPr>
          <w:trHeight w:val="264"/>
          <w:tblHeader/>
        </w:trPr>
        <w:tc>
          <w:tcPr>
            <w:tcW w:w="4360" w:type="dxa"/>
            <w:vAlign w:val="bottom"/>
          </w:tcPr>
          <w:p w14:paraId="2355B1DE" w14:textId="77777777" w:rsidR="00C27CC8" w:rsidRPr="009E58F7" w:rsidRDefault="00C27CC8" w:rsidP="007070F2">
            <w:pPr>
              <w:spacing w:line="240" w:lineRule="auto"/>
              <w:contextualSpacing/>
              <w:jc w:val="both"/>
            </w:pPr>
          </w:p>
        </w:tc>
        <w:tc>
          <w:tcPr>
            <w:tcW w:w="2220" w:type="dxa"/>
            <w:vAlign w:val="bottom"/>
          </w:tcPr>
          <w:p w14:paraId="299555D6" w14:textId="118A0B5D" w:rsidR="00C27CC8" w:rsidRPr="009E58F7" w:rsidRDefault="00C27CC8" w:rsidP="007070F2">
            <w:pPr>
              <w:spacing w:line="240" w:lineRule="auto"/>
              <w:contextualSpacing/>
              <w:jc w:val="center"/>
              <w:rPr>
                <w:b/>
                <w:bCs/>
              </w:rPr>
            </w:pPr>
            <w:r w:rsidRPr="009E58F7">
              <w:rPr>
                <w:b/>
                <w:bCs/>
              </w:rPr>
              <w:t>n = 344</w:t>
            </w:r>
          </w:p>
        </w:tc>
        <w:tc>
          <w:tcPr>
            <w:tcW w:w="2465" w:type="dxa"/>
            <w:vAlign w:val="bottom"/>
          </w:tcPr>
          <w:p w14:paraId="7246B09D" w14:textId="4AD408E5" w:rsidR="00C27CC8" w:rsidRPr="009E58F7" w:rsidRDefault="00C27CC8" w:rsidP="007070F2">
            <w:pPr>
              <w:spacing w:line="240" w:lineRule="auto"/>
              <w:contextualSpacing/>
              <w:jc w:val="center"/>
              <w:rPr>
                <w:b/>
                <w:bCs/>
              </w:rPr>
            </w:pPr>
            <w:r w:rsidRPr="009E58F7">
              <w:rPr>
                <w:b/>
                <w:bCs/>
              </w:rPr>
              <w:t>n = 338</w:t>
            </w:r>
          </w:p>
        </w:tc>
      </w:tr>
      <w:tr w:rsidR="00C27CC8" w:rsidRPr="009E58F7" w14:paraId="1A8788F5" w14:textId="77777777" w:rsidTr="00C27CC8">
        <w:trPr>
          <w:trHeight w:val="252"/>
        </w:trPr>
        <w:tc>
          <w:tcPr>
            <w:tcW w:w="4360" w:type="dxa"/>
            <w:vAlign w:val="bottom"/>
          </w:tcPr>
          <w:p w14:paraId="2BBC5232" w14:textId="77777777" w:rsidR="00C27CC8" w:rsidRPr="009E58F7" w:rsidRDefault="00C27CC8" w:rsidP="007070F2">
            <w:pPr>
              <w:spacing w:line="240" w:lineRule="auto"/>
              <w:contextualSpacing/>
              <w:jc w:val="both"/>
            </w:pPr>
            <w:r w:rsidRPr="009E58F7">
              <w:rPr>
                <w:b/>
                <w:bCs/>
              </w:rPr>
              <w:t>A progresszióig eltelt idő</w:t>
            </w:r>
          </w:p>
          <w:p w14:paraId="422E73A6" w14:textId="72AA024E" w:rsidR="00C27CC8" w:rsidRPr="009E58F7" w:rsidRDefault="00C27CC8" w:rsidP="007070F2">
            <w:pPr>
              <w:spacing w:line="240" w:lineRule="auto"/>
              <w:contextualSpacing/>
              <w:jc w:val="both"/>
            </w:pPr>
            <w:r w:rsidRPr="009E58F7">
              <w:t>Események n (%)</w:t>
            </w:r>
          </w:p>
        </w:tc>
        <w:tc>
          <w:tcPr>
            <w:tcW w:w="2220" w:type="dxa"/>
            <w:vAlign w:val="bottom"/>
          </w:tcPr>
          <w:p w14:paraId="0B178CD6" w14:textId="77777777" w:rsidR="00C27CC8" w:rsidRPr="009E58F7" w:rsidRDefault="00C27CC8" w:rsidP="007070F2">
            <w:pPr>
              <w:spacing w:line="240" w:lineRule="auto"/>
              <w:contextualSpacing/>
              <w:jc w:val="center"/>
            </w:pPr>
            <w:r w:rsidRPr="009E58F7">
              <w:t>101 (29)</w:t>
            </w:r>
          </w:p>
        </w:tc>
        <w:tc>
          <w:tcPr>
            <w:tcW w:w="2465" w:type="dxa"/>
            <w:vAlign w:val="bottom"/>
          </w:tcPr>
          <w:p w14:paraId="2C24CADF" w14:textId="77777777" w:rsidR="00C27CC8" w:rsidRPr="009E58F7" w:rsidRDefault="00C27CC8" w:rsidP="007070F2">
            <w:pPr>
              <w:spacing w:line="240" w:lineRule="auto"/>
              <w:contextualSpacing/>
              <w:jc w:val="center"/>
            </w:pPr>
            <w:r w:rsidRPr="009E58F7">
              <w:t>152 (45)</w:t>
            </w:r>
          </w:p>
        </w:tc>
      </w:tr>
      <w:tr w:rsidR="00C27CC8" w:rsidRPr="009E58F7" w14:paraId="0C8DF5E9" w14:textId="77777777" w:rsidTr="00C27CC8">
        <w:trPr>
          <w:trHeight w:val="214"/>
        </w:trPr>
        <w:tc>
          <w:tcPr>
            <w:tcW w:w="4360" w:type="dxa"/>
            <w:vAlign w:val="bottom"/>
          </w:tcPr>
          <w:p w14:paraId="2F6C75AA" w14:textId="77777777" w:rsidR="00C27CC8" w:rsidRPr="009E58F7" w:rsidRDefault="00C27CC8" w:rsidP="007070F2">
            <w:pPr>
              <w:spacing w:line="240" w:lineRule="auto"/>
              <w:contextualSpacing/>
              <w:jc w:val="both"/>
            </w:pPr>
            <w:r w:rsidRPr="009E58F7">
              <w:t>Medián</w:t>
            </w:r>
            <w:r w:rsidRPr="009E58F7">
              <w:rPr>
                <w:vertAlign w:val="superscript"/>
              </w:rPr>
              <w:t>a</w:t>
            </w:r>
            <w:r w:rsidRPr="009E58F7">
              <w:t xml:space="preserve"> (95%-os CI)</w:t>
            </w:r>
          </w:p>
        </w:tc>
        <w:tc>
          <w:tcPr>
            <w:tcW w:w="2220" w:type="dxa"/>
            <w:vAlign w:val="center"/>
          </w:tcPr>
          <w:p w14:paraId="561E4626" w14:textId="77777777" w:rsidR="00C27CC8" w:rsidRPr="009E58F7" w:rsidRDefault="00C27CC8" w:rsidP="007070F2">
            <w:pPr>
              <w:spacing w:line="240" w:lineRule="auto"/>
              <w:contextualSpacing/>
              <w:jc w:val="center"/>
            </w:pPr>
            <w:r w:rsidRPr="009E58F7">
              <w:t>20,7 hónap</w:t>
            </w:r>
          </w:p>
          <w:p w14:paraId="6EEACCF4" w14:textId="627606C1" w:rsidR="00C27CC8" w:rsidRPr="009E58F7" w:rsidRDefault="00C27CC8" w:rsidP="007070F2">
            <w:pPr>
              <w:spacing w:line="240" w:lineRule="auto"/>
              <w:contextualSpacing/>
              <w:jc w:val="center"/>
            </w:pPr>
            <w:r w:rsidRPr="009E58F7">
              <w:t>(17,6; 24,7)</w:t>
            </w:r>
          </w:p>
        </w:tc>
        <w:tc>
          <w:tcPr>
            <w:tcW w:w="2465" w:type="dxa"/>
            <w:vAlign w:val="center"/>
          </w:tcPr>
          <w:p w14:paraId="0129BAFC" w14:textId="77777777" w:rsidR="00C27CC8" w:rsidRPr="009E58F7" w:rsidRDefault="00C27CC8" w:rsidP="007070F2">
            <w:pPr>
              <w:spacing w:line="240" w:lineRule="auto"/>
              <w:contextualSpacing/>
              <w:jc w:val="center"/>
            </w:pPr>
            <w:r w:rsidRPr="009E58F7">
              <w:t>15,0 hónap</w:t>
            </w:r>
          </w:p>
          <w:p w14:paraId="76433D27" w14:textId="38F6FB63" w:rsidR="00C27CC8" w:rsidRPr="009E58F7" w:rsidRDefault="00C27CC8" w:rsidP="007070F2">
            <w:pPr>
              <w:spacing w:line="240" w:lineRule="auto"/>
              <w:contextualSpacing/>
              <w:jc w:val="center"/>
            </w:pPr>
            <w:r w:rsidRPr="009E58F7">
              <w:t>(14,1; 17,9)</w:t>
            </w:r>
          </w:p>
        </w:tc>
      </w:tr>
      <w:tr w:rsidR="00C27CC8" w:rsidRPr="009E58F7" w14:paraId="58E63610" w14:textId="77777777" w:rsidTr="00C27CC8">
        <w:trPr>
          <w:trHeight w:val="214"/>
        </w:trPr>
        <w:tc>
          <w:tcPr>
            <w:tcW w:w="4360" w:type="dxa"/>
          </w:tcPr>
          <w:p w14:paraId="46490090" w14:textId="77777777" w:rsidR="00C27CC8" w:rsidRPr="009E58F7" w:rsidRDefault="00C27CC8" w:rsidP="00D7256D">
            <w:pPr>
              <w:spacing w:line="240" w:lineRule="auto"/>
              <w:contextualSpacing/>
              <w:rPr>
                <w:rFonts w:ascii="Times" w:hAnsi="Times"/>
                <w:vertAlign w:val="superscript"/>
              </w:rPr>
            </w:pPr>
            <w:r w:rsidRPr="009E58F7">
              <w:t>Relatív hazárd</w:t>
            </w:r>
            <w:r w:rsidRPr="009E58F7">
              <w:rPr>
                <w:rFonts w:ascii="Times" w:hAnsi="Times"/>
                <w:vertAlign w:val="superscript"/>
              </w:rPr>
              <w:t>b</w:t>
            </w:r>
          </w:p>
          <w:p w14:paraId="220B0B2D" w14:textId="79A7744B" w:rsidR="00C27CC8" w:rsidRPr="009E58F7" w:rsidRDefault="00C27CC8" w:rsidP="007070F2">
            <w:pPr>
              <w:spacing w:line="240" w:lineRule="auto"/>
              <w:contextualSpacing/>
            </w:pPr>
            <w:r w:rsidRPr="009E58F7">
              <w:t>(95%-os CI)</w:t>
            </w:r>
          </w:p>
        </w:tc>
        <w:tc>
          <w:tcPr>
            <w:tcW w:w="4685" w:type="dxa"/>
            <w:gridSpan w:val="2"/>
            <w:vAlign w:val="center"/>
          </w:tcPr>
          <w:p w14:paraId="38B25114" w14:textId="77777777" w:rsidR="00C27CC8" w:rsidRPr="009E58F7" w:rsidRDefault="00C27CC8" w:rsidP="007070F2">
            <w:pPr>
              <w:spacing w:line="240" w:lineRule="auto"/>
              <w:contextualSpacing/>
              <w:jc w:val="center"/>
            </w:pPr>
            <w:r w:rsidRPr="009E58F7">
              <w:t>0,54</w:t>
            </w:r>
          </w:p>
          <w:p w14:paraId="20899357" w14:textId="680F2756" w:rsidR="00C27CC8" w:rsidRPr="009E58F7" w:rsidRDefault="00C27CC8" w:rsidP="007070F2">
            <w:pPr>
              <w:spacing w:line="240" w:lineRule="auto"/>
              <w:contextualSpacing/>
              <w:jc w:val="center"/>
            </w:pPr>
            <w:r w:rsidRPr="009E58F7">
              <w:t>(0,42; 0,70)</w:t>
            </w:r>
          </w:p>
        </w:tc>
      </w:tr>
      <w:tr w:rsidR="00C27CC8" w:rsidRPr="009E58F7" w14:paraId="590D82B8" w14:textId="77777777" w:rsidTr="008C4734">
        <w:trPr>
          <w:trHeight w:val="214"/>
        </w:trPr>
        <w:tc>
          <w:tcPr>
            <w:tcW w:w="4360" w:type="dxa"/>
            <w:vAlign w:val="bottom"/>
          </w:tcPr>
          <w:p w14:paraId="2C7F4675" w14:textId="17D4944F" w:rsidR="00C27CC8" w:rsidRPr="009E58F7" w:rsidRDefault="00C27CC8" w:rsidP="007070F2">
            <w:pPr>
              <w:spacing w:line="240" w:lineRule="auto"/>
              <w:contextualSpacing/>
              <w:jc w:val="both"/>
            </w:pPr>
            <w:r w:rsidRPr="009E58F7">
              <w:t>p-érték</w:t>
            </w:r>
            <w:r w:rsidRPr="009E58F7">
              <w:rPr>
                <w:vertAlign w:val="superscript"/>
              </w:rPr>
              <w:t>c</w:t>
            </w:r>
          </w:p>
        </w:tc>
        <w:tc>
          <w:tcPr>
            <w:tcW w:w="4685" w:type="dxa"/>
            <w:gridSpan w:val="2"/>
            <w:vAlign w:val="bottom"/>
          </w:tcPr>
          <w:p w14:paraId="28A18F91" w14:textId="2526D355" w:rsidR="00C27CC8" w:rsidRPr="009E58F7" w:rsidRDefault="00C27CC8" w:rsidP="007070F2">
            <w:pPr>
              <w:spacing w:line="240" w:lineRule="auto"/>
              <w:contextualSpacing/>
              <w:jc w:val="center"/>
            </w:pPr>
            <w:r w:rsidRPr="009E58F7">
              <w:t>0,000002</w:t>
            </w:r>
          </w:p>
        </w:tc>
      </w:tr>
      <w:tr w:rsidR="00C27CC8" w:rsidRPr="009E58F7" w14:paraId="07B4D894" w14:textId="77777777" w:rsidTr="00C27CC8">
        <w:trPr>
          <w:trHeight w:val="252"/>
        </w:trPr>
        <w:tc>
          <w:tcPr>
            <w:tcW w:w="4360" w:type="dxa"/>
            <w:vAlign w:val="bottom"/>
          </w:tcPr>
          <w:p w14:paraId="3697811F" w14:textId="77777777" w:rsidR="00C27CC8" w:rsidRPr="009E58F7" w:rsidRDefault="00C27CC8" w:rsidP="007070F2">
            <w:pPr>
              <w:spacing w:line="240" w:lineRule="auto"/>
              <w:contextualSpacing/>
              <w:jc w:val="both"/>
            </w:pPr>
            <w:r w:rsidRPr="009E58F7">
              <w:rPr>
                <w:b/>
                <w:bCs/>
              </w:rPr>
              <w:t>Progressziómentes túlélés</w:t>
            </w:r>
          </w:p>
          <w:p w14:paraId="14CC7F96" w14:textId="6D4153A2" w:rsidR="00C27CC8" w:rsidRPr="009E58F7" w:rsidRDefault="00C27CC8" w:rsidP="007070F2">
            <w:pPr>
              <w:spacing w:line="240" w:lineRule="auto"/>
              <w:contextualSpacing/>
              <w:jc w:val="both"/>
            </w:pPr>
            <w:r w:rsidRPr="009E58F7">
              <w:t>Események n (%)</w:t>
            </w:r>
          </w:p>
        </w:tc>
        <w:tc>
          <w:tcPr>
            <w:tcW w:w="2220" w:type="dxa"/>
            <w:vAlign w:val="bottom"/>
          </w:tcPr>
          <w:p w14:paraId="044759E3" w14:textId="77777777" w:rsidR="00C27CC8" w:rsidRPr="009E58F7" w:rsidRDefault="00C27CC8" w:rsidP="007070F2">
            <w:pPr>
              <w:spacing w:line="240" w:lineRule="auto"/>
              <w:contextualSpacing/>
              <w:jc w:val="center"/>
            </w:pPr>
            <w:r w:rsidRPr="009E58F7">
              <w:t>135 (39)</w:t>
            </w:r>
          </w:p>
        </w:tc>
        <w:tc>
          <w:tcPr>
            <w:tcW w:w="2465" w:type="dxa"/>
            <w:vAlign w:val="bottom"/>
          </w:tcPr>
          <w:p w14:paraId="5C5D7095" w14:textId="77777777" w:rsidR="00C27CC8" w:rsidRPr="009E58F7" w:rsidRDefault="00C27CC8" w:rsidP="007070F2">
            <w:pPr>
              <w:spacing w:line="240" w:lineRule="auto"/>
              <w:contextualSpacing/>
              <w:jc w:val="center"/>
            </w:pPr>
            <w:r w:rsidRPr="009E58F7">
              <w:t>190 (56)</w:t>
            </w:r>
          </w:p>
        </w:tc>
      </w:tr>
      <w:tr w:rsidR="00C27CC8" w:rsidRPr="009E58F7" w14:paraId="34DB0A37" w14:textId="77777777" w:rsidTr="00C27CC8">
        <w:trPr>
          <w:trHeight w:val="214"/>
        </w:trPr>
        <w:tc>
          <w:tcPr>
            <w:tcW w:w="4360" w:type="dxa"/>
            <w:vAlign w:val="bottom"/>
          </w:tcPr>
          <w:p w14:paraId="68850170" w14:textId="77777777" w:rsidR="00C27CC8" w:rsidRPr="009E58F7" w:rsidRDefault="00C27CC8" w:rsidP="007070F2">
            <w:pPr>
              <w:spacing w:line="240" w:lineRule="auto"/>
              <w:contextualSpacing/>
              <w:jc w:val="both"/>
            </w:pPr>
            <w:r w:rsidRPr="009E58F7">
              <w:t>Medián</w:t>
            </w:r>
            <w:r w:rsidRPr="009E58F7">
              <w:rPr>
                <w:vertAlign w:val="superscript"/>
              </w:rPr>
              <w:t>a</w:t>
            </w:r>
          </w:p>
          <w:p w14:paraId="5AF12477" w14:textId="519506B8" w:rsidR="00C27CC8" w:rsidRPr="009E58F7" w:rsidRDefault="00C27CC8" w:rsidP="007070F2">
            <w:pPr>
              <w:spacing w:line="240" w:lineRule="auto"/>
              <w:contextualSpacing/>
              <w:jc w:val="both"/>
            </w:pPr>
            <w:r w:rsidRPr="009E58F7">
              <w:t>(95%-os CI)</w:t>
            </w:r>
          </w:p>
        </w:tc>
        <w:tc>
          <w:tcPr>
            <w:tcW w:w="2220" w:type="dxa"/>
            <w:vAlign w:val="center"/>
          </w:tcPr>
          <w:p w14:paraId="6C2042B5" w14:textId="77777777" w:rsidR="00C27CC8" w:rsidRPr="009E58F7" w:rsidRDefault="00C27CC8" w:rsidP="007070F2">
            <w:pPr>
              <w:spacing w:line="240" w:lineRule="auto"/>
              <w:contextualSpacing/>
              <w:jc w:val="center"/>
            </w:pPr>
            <w:r w:rsidRPr="009E58F7">
              <w:t>18,3 hónap</w:t>
            </w:r>
          </w:p>
          <w:p w14:paraId="7010C2D8" w14:textId="51187C1E" w:rsidR="00C27CC8" w:rsidRPr="009E58F7" w:rsidRDefault="00C27CC8" w:rsidP="007070F2">
            <w:pPr>
              <w:spacing w:line="240" w:lineRule="auto"/>
              <w:contextualSpacing/>
              <w:jc w:val="center"/>
            </w:pPr>
            <w:r w:rsidRPr="009E58F7">
              <w:t>(16,6; 21,7)</w:t>
            </w:r>
          </w:p>
        </w:tc>
        <w:tc>
          <w:tcPr>
            <w:tcW w:w="2465" w:type="dxa"/>
            <w:vAlign w:val="center"/>
          </w:tcPr>
          <w:p w14:paraId="434F2F91" w14:textId="77777777" w:rsidR="00C27CC8" w:rsidRPr="009E58F7" w:rsidRDefault="00C27CC8" w:rsidP="007070F2">
            <w:pPr>
              <w:spacing w:line="240" w:lineRule="auto"/>
              <w:contextualSpacing/>
              <w:jc w:val="center"/>
            </w:pPr>
            <w:r w:rsidRPr="009E58F7">
              <w:t>14,0 hónap</w:t>
            </w:r>
          </w:p>
          <w:p w14:paraId="4C9CC269" w14:textId="2DE534C4" w:rsidR="00C27CC8" w:rsidRPr="009E58F7" w:rsidRDefault="00C27CC8" w:rsidP="007070F2">
            <w:pPr>
              <w:spacing w:line="240" w:lineRule="auto"/>
              <w:contextualSpacing/>
              <w:jc w:val="center"/>
            </w:pPr>
            <w:r w:rsidRPr="009E58F7">
              <w:t>(11,1; 15,0)</w:t>
            </w:r>
          </w:p>
        </w:tc>
      </w:tr>
      <w:tr w:rsidR="00C27CC8" w:rsidRPr="009E58F7" w14:paraId="589EE4A4" w14:textId="77777777" w:rsidTr="00C27CC8">
        <w:trPr>
          <w:trHeight w:val="597"/>
        </w:trPr>
        <w:tc>
          <w:tcPr>
            <w:tcW w:w="4360" w:type="dxa"/>
          </w:tcPr>
          <w:p w14:paraId="3B43BF88" w14:textId="77777777" w:rsidR="00C27CC8" w:rsidRPr="009E58F7" w:rsidRDefault="00C27CC8" w:rsidP="00D7256D">
            <w:pPr>
              <w:spacing w:line="240" w:lineRule="auto"/>
              <w:contextualSpacing/>
              <w:rPr>
                <w:rFonts w:ascii="Times" w:hAnsi="Times"/>
                <w:vertAlign w:val="superscript"/>
              </w:rPr>
            </w:pPr>
            <w:r w:rsidRPr="009E58F7">
              <w:t>Relatív hazárd</w:t>
            </w:r>
            <w:r w:rsidRPr="009E58F7">
              <w:rPr>
                <w:rFonts w:ascii="Times" w:hAnsi="Times"/>
                <w:vertAlign w:val="superscript"/>
              </w:rPr>
              <w:t>b</w:t>
            </w:r>
          </w:p>
          <w:p w14:paraId="709E6EDE" w14:textId="31178AFD" w:rsidR="00C27CC8" w:rsidRPr="009E58F7" w:rsidRDefault="00C27CC8" w:rsidP="007070F2">
            <w:pPr>
              <w:spacing w:line="240" w:lineRule="auto"/>
              <w:contextualSpacing/>
            </w:pPr>
            <w:r w:rsidRPr="009E58F7">
              <w:t>(95%-os CI)</w:t>
            </w:r>
          </w:p>
        </w:tc>
        <w:tc>
          <w:tcPr>
            <w:tcW w:w="4685" w:type="dxa"/>
            <w:gridSpan w:val="2"/>
            <w:vAlign w:val="center"/>
          </w:tcPr>
          <w:p w14:paraId="09103E60" w14:textId="77777777" w:rsidR="00C27CC8" w:rsidRPr="009E58F7" w:rsidRDefault="00C27CC8" w:rsidP="007070F2">
            <w:pPr>
              <w:spacing w:line="240" w:lineRule="auto"/>
              <w:contextualSpacing/>
              <w:jc w:val="center"/>
            </w:pPr>
            <w:r w:rsidRPr="009E58F7">
              <w:t>0,61</w:t>
            </w:r>
          </w:p>
          <w:p w14:paraId="4F35A8F0" w14:textId="331D4C9D" w:rsidR="00C27CC8" w:rsidRPr="009E58F7" w:rsidRDefault="00C27CC8" w:rsidP="007070F2">
            <w:pPr>
              <w:spacing w:line="240" w:lineRule="auto"/>
              <w:contextualSpacing/>
              <w:jc w:val="center"/>
            </w:pPr>
            <w:r w:rsidRPr="009E58F7">
              <w:t>(0,49; 0,76)</w:t>
            </w:r>
          </w:p>
        </w:tc>
      </w:tr>
      <w:tr w:rsidR="00C27CC8" w:rsidRPr="009E58F7" w14:paraId="3DBD4C7E" w14:textId="77777777" w:rsidTr="00C27CC8">
        <w:trPr>
          <w:trHeight w:val="227"/>
        </w:trPr>
        <w:tc>
          <w:tcPr>
            <w:tcW w:w="4360" w:type="dxa"/>
            <w:vAlign w:val="bottom"/>
          </w:tcPr>
          <w:p w14:paraId="3DDF41DF" w14:textId="77777777" w:rsidR="00C27CC8" w:rsidRPr="009E58F7" w:rsidRDefault="00C27CC8" w:rsidP="007070F2">
            <w:pPr>
              <w:spacing w:line="240" w:lineRule="auto"/>
              <w:contextualSpacing/>
              <w:jc w:val="both"/>
            </w:pPr>
            <w:r w:rsidRPr="009E58F7">
              <w:t>p-érték</w:t>
            </w:r>
            <w:r w:rsidRPr="009E58F7">
              <w:rPr>
                <w:vertAlign w:val="superscript"/>
              </w:rPr>
              <w:t>c</w:t>
            </w:r>
          </w:p>
        </w:tc>
        <w:tc>
          <w:tcPr>
            <w:tcW w:w="4685" w:type="dxa"/>
            <w:gridSpan w:val="2"/>
            <w:vAlign w:val="center"/>
          </w:tcPr>
          <w:p w14:paraId="38EED710" w14:textId="77777777" w:rsidR="00C27CC8" w:rsidRPr="009E58F7" w:rsidRDefault="00C27CC8" w:rsidP="007070F2">
            <w:pPr>
              <w:spacing w:line="240" w:lineRule="auto"/>
              <w:contextualSpacing/>
              <w:jc w:val="center"/>
            </w:pPr>
            <w:r w:rsidRPr="009E58F7">
              <w:t>0,00001</w:t>
            </w:r>
          </w:p>
        </w:tc>
      </w:tr>
      <w:tr w:rsidR="00C27CC8" w:rsidRPr="009E58F7" w14:paraId="7D8DCF1C" w14:textId="77777777" w:rsidTr="00C27CC8">
        <w:trPr>
          <w:trHeight w:val="252"/>
        </w:trPr>
        <w:tc>
          <w:tcPr>
            <w:tcW w:w="4360" w:type="dxa"/>
            <w:vAlign w:val="bottom"/>
          </w:tcPr>
          <w:p w14:paraId="37D87F40" w14:textId="77777777" w:rsidR="00C27CC8" w:rsidRPr="009E58F7" w:rsidRDefault="00C27CC8" w:rsidP="007070F2">
            <w:pPr>
              <w:spacing w:line="240" w:lineRule="auto"/>
              <w:contextualSpacing/>
              <w:jc w:val="both"/>
              <w:rPr>
                <w:b/>
                <w:bCs/>
              </w:rPr>
            </w:pPr>
            <w:r w:rsidRPr="009E58F7">
              <w:rPr>
                <w:b/>
                <w:bCs/>
              </w:rPr>
              <w:t>Teljes túlélés*</w:t>
            </w:r>
          </w:p>
          <w:p w14:paraId="471707A9" w14:textId="07969CDC" w:rsidR="00C27CC8" w:rsidRPr="009E58F7" w:rsidRDefault="00C27CC8" w:rsidP="007070F2">
            <w:pPr>
              <w:spacing w:line="240" w:lineRule="auto"/>
              <w:contextualSpacing/>
              <w:jc w:val="both"/>
            </w:pPr>
            <w:r w:rsidRPr="009E58F7">
              <w:t>Események (halál) n (%)</w:t>
            </w:r>
          </w:p>
        </w:tc>
        <w:tc>
          <w:tcPr>
            <w:tcW w:w="2220" w:type="dxa"/>
            <w:vAlign w:val="bottom"/>
          </w:tcPr>
          <w:p w14:paraId="598DCA5E" w14:textId="77777777" w:rsidR="00C27CC8" w:rsidRPr="009E58F7" w:rsidRDefault="00C27CC8" w:rsidP="007070F2">
            <w:pPr>
              <w:spacing w:line="240" w:lineRule="auto"/>
              <w:contextualSpacing/>
              <w:jc w:val="center"/>
            </w:pPr>
            <w:r w:rsidRPr="009E58F7">
              <w:t>176 (51,2)</w:t>
            </w:r>
          </w:p>
        </w:tc>
        <w:tc>
          <w:tcPr>
            <w:tcW w:w="2465" w:type="dxa"/>
            <w:vAlign w:val="bottom"/>
          </w:tcPr>
          <w:p w14:paraId="282A65BD" w14:textId="77777777" w:rsidR="00C27CC8" w:rsidRPr="009E58F7" w:rsidRDefault="00C27CC8" w:rsidP="007070F2">
            <w:pPr>
              <w:spacing w:line="240" w:lineRule="auto"/>
              <w:contextualSpacing/>
              <w:jc w:val="center"/>
            </w:pPr>
            <w:r w:rsidRPr="009E58F7">
              <w:t>211 (62,4)</w:t>
            </w:r>
          </w:p>
        </w:tc>
      </w:tr>
      <w:tr w:rsidR="00C27CC8" w:rsidRPr="009E58F7" w14:paraId="03D73AD5" w14:textId="77777777" w:rsidTr="00C27CC8">
        <w:trPr>
          <w:trHeight w:val="214"/>
        </w:trPr>
        <w:tc>
          <w:tcPr>
            <w:tcW w:w="4360" w:type="dxa"/>
            <w:vAlign w:val="bottom"/>
          </w:tcPr>
          <w:p w14:paraId="1B87CE6D" w14:textId="77777777" w:rsidR="008D0FD1" w:rsidRPr="009E58F7" w:rsidRDefault="00C27CC8" w:rsidP="007070F2">
            <w:pPr>
              <w:spacing w:line="240" w:lineRule="auto"/>
              <w:contextualSpacing/>
              <w:jc w:val="both"/>
              <w:rPr>
                <w:vertAlign w:val="superscript"/>
              </w:rPr>
            </w:pPr>
            <w:r w:rsidRPr="009E58F7">
              <w:t>Medián</w:t>
            </w:r>
            <w:r w:rsidRPr="009E58F7">
              <w:rPr>
                <w:vertAlign w:val="superscript"/>
              </w:rPr>
              <w:t>a</w:t>
            </w:r>
          </w:p>
          <w:p w14:paraId="346F8B84" w14:textId="4406DC73" w:rsidR="00C27CC8" w:rsidRPr="009E58F7" w:rsidRDefault="008D0FD1" w:rsidP="007070F2">
            <w:pPr>
              <w:spacing w:line="240" w:lineRule="auto"/>
              <w:contextualSpacing/>
              <w:jc w:val="both"/>
            </w:pPr>
            <w:r w:rsidRPr="009E58F7">
              <w:t>(95%-os CI)</w:t>
            </w:r>
          </w:p>
        </w:tc>
        <w:tc>
          <w:tcPr>
            <w:tcW w:w="2220" w:type="dxa"/>
            <w:vAlign w:val="center"/>
          </w:tcPr>
          <w:p w14:paraId="67DC6C3A" w14:textId="77777777" w:rsidR="008D0FD1" w:rsidRPr="009E58F7" w:rsidRDefault="00C27CC8" w:rsidP="007070F2">
            <w:pPr>
              <w:spacing w:line="240" w:lineRule="auto"/>
              <w:contextualSpacing/>
              <w:jc w:val="center"/>
            </w:pPr>
            <w:r w:rsidRPr="009E58F7">
              <w:t>56,4 hónap</w:t>
            </w:r>
          </w:p>
          <w:p w14:paraId="364827E9" w14:textId="0E30D885" w:rsidR="00C27CC8" w:rsidRPr="009E58F7" w:rsidRDefault="008D0FD1" w:rsidP="007070F2">
            <w:pPr>
              <w:spacing w:line="240" w:lineRule="auto"/>
              <w:contextualSpacing/>
              <w:jc w:val="center"/>
            </w:pPr>
            <w:r w:rsidRPr="009E58F7">
              <w:t>(52,8; 60,9)</w:t>
            </w:r>
          </w:p>
        </w:tc>
        <w:tc>
          <w:tcPr>
            <w:tcW w:w="2465" w:type="dxa"/>
            <w:vAlign w:val="center"/>
          </w:tcPr>
          <w:p w14:paraId="4481FB21" w14:textId="77777777" w:rsidR="008D0FD1" w:rsidRPr="009E58F7" w:rsidRDefault="00C27CC8" w:rsidP="007070F2">
            <w:pPr>
              <w:spacing w:line="240" w:lineRule="auto"/>
              <w:contextualSpacing/>
              <w:jc w:val="center"/>
            </w:pPr>
            <w:r w:rsidRPr="009E58F7">
              <w:t>43,1 hónap</w:t>
            </w:r>
          </w:p>
          <w:p w14:paraId="0F4276E0" w14:textId="498C0B3D" w:rsidR="00C27CC8" w:rsidRPr="009E58F7" w:rsidRDefault="008D0FD1" w:rsidP="007070F2">
            <w:pPr>
              <w:spacing w:line="240" w:lineRule="auto"/>
              <w:contextualSpacing/>
              <w:jc w:val="center"/>
            </w:pPr>
            <w:r w:rsidRPr="009E58F7">
              <w:t>(35,3; 48,3)</w:t>
            </w:r>
          </w:p>
        </w:tc>
      </w:tr>
      <w:tr w:rsidR="00C27CC8" w:rsidRPr="009E58F7" w14:paraId="78A47323" w14:textId="77777777" w:rsidTr="00C27CC8">
        <w:trPr>
          <w:trHeight w:val="214"/>
        </w:trPr>
        <w:tc>
          <w:tcPr>
            <w:tcW w:w="4360" w:type="dxa"/>
            <w:vAlign w:val="bottom"/>
          </w:tcPr>
          <w:p w14:paraId="6C34F1FD" w14:textId="77777777" w:rsidR="008D0FD1" w:rsidRPr="009E58F7" w:rsidRDefault="00C27CC8" w:rsidP="007070F2">
            <w:pPr>
              <w:spacing w:line="240" w:lineRule="auto"/>
              <w:contextualSpacing/>
              <w:jc w:val="both"/>
              <w:rPr>
                <w:rFonts w:ascii="Times" w:hAnsi="Times"/>
                <w:vertAlign w:val="superscript"/>
              </w:rPr>
            </w:pPr>
            <w:r w:rsidRPr="009E58F7">
              <w:t>Relatív hazárd</w:t>
            </w:r>
            <w:r w:rsidRPr="009E58F7">
              <w:rPr>
                <w:rFonts w:ascii="Times" w:hAnsi="Times"/>
                <w:vertAlign w:val="superscript"/>
              </w:rPr>
              <w:t>b</w:t>
            </w:r>
          </w:p>
          <w:p w14:paraId="1E0F21BD" w14:textId="46347A7C" w:rsidR="00C27CC8" w:rsidRPr="009E58F7" w:rsidRDefault="008D0FD1" w:rsidP="007070F2">
            <w:pPr>
              <w:spacing w:line="240" w:lineRule="auto"/>
              <w:contextualSpacing/>
              <w:jc w:val="both"/>
            </w:pPr>
            <w:r w:rsidRPr="009E58F7">
              <w:t>(95%-os CI)</w:t>
            </w:r>
          </w:p>
        </w:tc>
        <w:tc>
          <w:tcPr>
            <w:tcW w:w="4685" w:type="dxa"/>
            <w:gridSpan w:val="2"/>
            <w:vAlign w:val="center"/>
          </w:tcPr>
          <w:p w14:paraId="1C611DB6" w14:textId="77777777" w:rsidR="008D0FD1" w:rsidRPr="009E58F7" w:rsidRDefault="00C27CC8" w:rsidP="007070F2">
            <w:pPr>
              <w:spacing w:line="240" w:lineRule="auto"/>
              <w:contextualSpacing/>
              <w:jc w:val="center"/>
            </w:pPr>
            <w:r w:rsidRPr="009E58F7">
              <w:t>0,695</w:t>
            </w:r>
          </w:p>
          <w:p w14:paraId="458E2168" w14:textId="6BE7B128" w:rsidR="00C27CC8" w:rsidRPr="009E58F7" w:rsidRDefault="008D0FD1" w:rsidP="007070F2">
            <w:pPr>
              <w:spacing w:line="240" w:lineRule="auto"/>
              <w:contextualSpacing/>
              <w:jc w:val="center"/>
            </w:pPr>
            <w:r w:rsidRPr="009E58F7">
              <w:t>(0,567; 0,852)</w:t>
            </w:r>
          </w:p>
        </w:tc>
      </w:tr>
      <w:tr w:rsidR="008D0FD1" w:rsidRPr="009E58F7" w14:paraId="3ABCF099" w14:textId="77777777" w:rsidTr="008C4734">
        <w:trPr>
          <w:trHeight w:val="227"/>
        </w:trPr>
        <w:tc>
          <w:tcPr>
            <w:tcW w:w="4360" w:type="dxa"/>
            <w:vAlign w:val="bottom"/>
          </w:tcPr>
          <w:p w14:paraId="096BF895" w14:textId="77777777" w:rsidR="008D0FD1" w:rsidRPr="009E58F7" w:rsidRDefault="008D0FD1" w:rsidP="007070F2">
            <w:pPr>
              <w:spacing w:line="240" w:lineRule="auto"/>
              <w:contextualSpacing/>
              <w:jc w:val="both"/>
            </w:pPr>
            <w:r w:rsidRPr="009E58F7">
              <w:t>p-érték</w:t>
            </w:r>
            <w:r w:rsidRPr="009E58F7">
              <w:rPr>
                <w:vertAlign w:val="superscript"/>
              </w:rPr>
              <w:t>c</w:t>
            </w:r>
          </w:p>
        </w:tc>
        <w:tc>
          <w:tcPr>
            <w:tcW w:w="4685" w:type="dxa"/>
            <w:gridSpan w:val="2"/>
            <w:vAlign w:val="center"/>
          </w:tcPr>
          <w:p w14:paraId="500714FC" w14:textId="0377D1D9" w:rsidR="008D0FD1" w:rsidRPr="009E58F7" w:rsidRDefault="008D0FD1" w:rsidP="007070F2">
            <w:pPr>
              <w:spacing w:line="240" w:lineRule="auto"/>
              <w:contextualSpacing/>
              <w:jc w:val="center"/>
            </w:pPr>
            <w:r w:rsidRPr="009E58F7">
              <w:t>0,00043</w:t>
            </w:r>
          </w:p>
        </w:tc>
      </w:tr>
      <w:tr w:rsidR="00C27CC8" w:rsidRPr="009E58F7" w14:paraId="638F444F" w14:textId="77777777" w:rsidTr="008D0FD1">
        <w:trPr>
          <w:trHeight w:val="203"/>
        </w:trPr>
        <w:tc>
          <w:tcPr>
            <w:tcW w:w="4360" w:type="dxa"/>
            <w:vAlign w:val="bottom"/>
          </w:tcPr>
          <w:p w14:paraId="42523C85" w14:textId="77777777" w:rsidR="008D0FD1" w:rsidRPr="009E58F7" w:rsidRDefault="00C27CC8" w:rsidP="00E26B3B">
            <w:pPr>
              <w:keepNext/>
              <w:spacing w:line="240" w:lineRule="auto"/>
              <w:contextualSpacing/>
              <w:jc w:val="both"/>
            </w:pPr>
            <w:r w:rsidRPr="009E58F7">
              <w:rPr>
                <w:b/>
                <w:bCs/>
              </w:rPr>
              <w:lastRenderedPageBreak/>
              <w:t>Válaszarány</w:t>
            </w:r>
          </w:p>
          <w:p w14:paraId="703A9268" w14:textId="6DB8126B" w:rsidR="00C27CC8" w:rsidRPr="009E58F7" w:rsidRDefault="008D0FD1" w:rsidP="00E26B3B">
            <w:pPr>
              <w:keepNext/>
              <w:spacing w:line="240" w:lineRule="auto"/>
              <w:contextualSpacing/>
              <w:jc w:val="both"/>
            </w:pPr>
            <w:r w:rsidRPr="009E58F7">
              <w:t>Populáció</w:t>
            </w:r>
            <w:r w:rsidRPr="009E58F7">
              <w:rPr>
                <w:vertAlign w:val="superscript"/>
              </w:rPr>
              <w:t>e</w:t>
            </w:r>
            <w:r w:rsidRPr="009E58F7">
              <w:t xml:space="preserve"> n = 668</w:t>
            </w:r>
          </w:p>
        </w:tc>
        <w:tc>
          <w:tcPr>
            <w:tcW w:w="2220" w:type="dxa"/>
            <w:vAlign w:val="bottom"/>
          </w:tcPr>
          <w:p w14:paraId="120F93B3" w14:textId="4B43E76C" w:rsidR="00C27CC8" w:rsidRPr="009E58F7" w:rsidRDefault="008D0FD1" w:rsidP="00E26B3B">
            <w:pPr>
              <w:keepNext/>
              <w:spacing w:line="240" w:lineRule="auto"/>
              <w:contextualSpacing/>
              <w:jc w:val="center"/>
            </w:pPr>
            <w:r w:rsidRPr="009E58F7">
              <w:t>n = </w:t>
            </w:r>
            <w:r w:rsidR="00C27CC8" w:rsidRPr="009E58F7">
              <w:t>337</w:t>
            </w:r>
          </w:p>
        </w:tc>
        <w:tc>
          <w:tcPr>
            <w:tcW w:w="2465" w:type="dxa"/>
            <w:vAlign w:val="bottom"/>
          </w:tcPr>
          <w:p w14:paraId="31213F89" w14:textId="2509BC30" w:rsidR="00C27CC8" w:rsidRPr="009E58F7" w:rsidRDefault="008D0FD1" w:rsidP="00E26B3B">
            <w:pPr>
              <w:keepNext/>
              <w:spacing w:line="240" w:lineRule="auto"/>
              <w:jc w:val="center"/>
            </w:pPr>
            <w:r w:rsidRPr="009E58F7">
              <w:t>n = </w:t>
            </w:r>
            <w:r w:rsidR="00C27CC8" w:rsidRPr="009E58F7">
              <w:t>331</w:t>
            </w:r>
          </w:p>
        </w:tc>
      </w:tr>
      <w:tr w:rsidR="00C27CC8" w:rsidRPr="009E58F7" w14:paraId="4857F250" w14:textId="77777777" w:rsidTr="00C27CC8">
        <w:trPr>
          <w:trHeight w:val="227"/>
        </w:trPr>
        <w:tc>
          <w:tcPr>
            <w:tcW w:w="4360" w:type="dxa"/>
            <w:vAlign w:val="bottom"/>
          </w:tcPr>
          <w:p w14:paraId="265DC720" w14:textId="77777777" w:rsidR="00C27CC8" w:rsidRPr="009E58F7" w:rsidRDefault="00C27CC8" w:rsidP="00E26B3B">
            <w:pPr>
              <w:keepNext/>
              <w:spacing w:line="240" w:lineRule="auto"/>
              <w:contextualSpacing/>
              <w:jc w:val="both"/>
            </w:pPr>
            <w:r w:rsidRPr="009E58F7">
              <w:t>Teljes remisszió (CR)</w:t>
            </w:r>
            <w:r w:rsidRPr="009E58F7">
              <w:rPr>
                <w:vertAlign w:val="superscript"/>
              </w:rPr>
              <w:t>f</w:t>
            </w:r>
            <w:r w:rsidRPr="009E58F7">
              <w:t xml:space="preserve"> n (%)</w:t>
            </w:r>
          </w:p>
        </w:tc>
        <w:tc>
          <w:tcPr>
            <w:tcW w:w="2220" w:type="dxa"/>
            <w:vAlign w:val="center"/>
          </w:tcPr>
          <w:p w14:paraId="76ACE359" w14:textId="77777777" w:rsidR="00C27CC8" w:rsidRPr="009E58F7" w:rsidRDefault="00C27CC8" w:rsidP="00E26B3B">
            <w:pPr>
              <w:keepNext/>
              <w:spacing w:line="240" w:lineRule="auto"/>
              <w:contextualSpacing/>
              <w:jc w:val="center"/>
            </w:pPr>
            <w:r w:rsidRPr="009E58F7">
              <w:t>102 (30)</w:t>
            </w:r>
          </w:p>
        </w:tc>
        <w:tc>
          <w:tcPr>
            <w:tcW w:w="2465" w:type="dxa"/>
            <w:vAlign w:val="center"/>
          </w:tcPr>
          <w:p w14:paraId="0ACBD285" w14:textId="77777777" w:rsidR="00C27CC8" w:rsidRPr="009E58F7" w:rsidRDefault="00C27CC8" w:rsidP="00E26B3B">
            <w:pPr>
              <w:keepNext/>
              <w:spacing w:line="240" w:lineRule="auto"/>
              <w:contextualSpacing/>
              <w:jc w:val="center"/>
            </w:pPr>
            <w:r w:rsidRPr="009E58F7">
              <w:t>12 (4)</w:t>
            </w:r>
          </w:p>
        </w:tc>
      </w:tr>
      <w:tr w:rsidR="00C27CC8" w:rsidRPr="009E58F7" w14:paraId="44880C40" w14:textId="77777777" w:rsidTr="00C27CC8">
        <w:trPr>
          <w:trHeight w:val="228"/>
        </w:trPr>
        <w:tc>
          <w:tcPr>
            <w:tcW w:w="4360" w:type="dxa"/>
            <w:vAlign w:val="bottom"/>
          </w:tcPr>
          <w:p w14:paraId="69548ABF" w14:textId="77777777" w:rsidR="00C27CC8" w:rsidRPr="009E58F7" w:rsidRDefault="00C27CC8" w:rsidP="00E26B3B">
            <w:pPr>
              <w:keepNext/>
              <w:spacing w:line="240" w:lineRule="auto"/>
              <w:contextualSpacing/>
              <w:jc w:val="both"/>
            </w:pPr>
            <w:r w:rsidRPr="009E58F7">
              <w:t>Részleges remisszió (PR)</w:t>
            </w:r>
            <w:r w:rsidRPr="009E58F7">
              <w:rPr>
                <w:vertAlign w:val="superscript"/>
              </w:rPr>
              <w:t>f</w:t>
            </w:r>
            <w:r w:rsidRPr="009E58F7">
              <w:t xml:space="preserve"> n (%)</w:t>
            </w:r>
          </w:p>
        </w:tc>
        <w:tc>
          <w:tcPr>
            <w:tcW w:w="2220" w:type="dxa"/>
            <w:vAlign w:val="center"/>
          </w:tcPr>
          <w:p w14:paraId="6B5BB034" w14:textId="77777777" w:rsidR="00C27CC8" w:rsidRPr="009E58F7" w:rsidRDefault="00C27CC8" w:rsidP="00E26B3B">
            <w:pPr>
              <w:keepNext/>
              <w:spacing w:line="240" w:lineRule="auto"/>
              <w:contextualSpacing/>
              <w:jc w:val="center"/>
            </w:pPr>
            <w:r w:rsidRPr="009E58F7">
              <w:t>136 (40)</w:t>
            </w:r>
          </w:p>
        </w:tc>
        <w:tc>
          <w:tcPr>
            <w:tcW w:w="2465" w:type="dxa"/>
            <w:vAlign w:val="center"/>
          </w:tcPr>
          <w:p w14:paraId="51A510F3" w14:textId="77777777" w:rsidR="00C27CC8" w:rsidRPr="009E58F7" w:rsidRDefault="00C27CC8" w:rsidP="00E26B3B">
            <w:pPr>
              <w:keepNext/>
              <w:spacing w:line="240" w:lineRule="auto"/>
              <w:contextualSpacing/>
              <w:jc w:val="center"/>
            </w:pPr>
            <w:r w:rsidRPr="009E58F7">
              <w:t>103 (31)</w:t>
            </w:r>
          </w:p>
        </w:tc>
      </w:tr>
      <w:tr w:rsidR="00C27CC8" w:rsidRPr="009E58F7" w14:paraId="3BCEF900" w14:textId="77777777" w:rsidTr="00C27CC8">
        <w:trPr>
          <w:trHeight w:val="227"/>
        </w:trPr>
        <w:tc>
          <w:tcPr>
            <w:tcW w:w="4360" w:type="dxa"/>
            <w:vAlign w:val="bottom"/>
          </w:tcPr>
          <w:p w14:paraId="79070FE8" w14:textId="49A78A62" w:rsidR="00C27CC8" w:rsidRPr="009E58F7" w:rsidRDefault="00C27CC8" w:rsidP="00E26B3B">
            <w:pPr>
              <w:keepNext/>
              <w:spacing w:line="240" w:lineRule="auto"/>
              <w:contextualSpacing/>
              <w:jc w:val="both"/>
            </w:pPr>
            <w:r w:rsidRPr="009E58F7">
              <w:t xml:space="preserve">Közel teljes remisszió </w:t>
            </w:r>
            <w:r w:rsidR="008D0FD1" w:rsidRPr="009E58F7">
              <w:t xml:space="preserve">(nCR) </w:t>
            </w:r>
            <w:r w:rsidRPr="009E58F7">
              <w:t>n (%)</w:t>
            </w:r>
          </w:p>
        </w:tc>
        <w:tc>
          <w:tcPr>
            <w:tcW w:w="2220" w:type="dxa"/>
            <w:vAlign w:val="center"/>
          </w:tcPr>
          <w:p w14:paraId="1EFA2AE6" w14:textId="77777777" w:rsidR="00C27CC8" w:rsidRPr="009E58F7" w:rsidRDefault="00C27CC8" w:rsidP="00E26B3B">
            <w:pPr>
              <w:keepNext/>
              <w:spacing w:line="240" w:lineRule="auto"/>
              <w:contextualSpacing/>
              <w:jc w:val="center"/>
            </w:pPr>
            <w:r w:rsidRPr="009E58F7">
              <w:t>5 (1)</w:t>
            </w:r>
          </w:p>
        </w:tc>
        <w:tc>
          <w:tcPr>
            <w:tcW w:w="2465" w:type="dxa"/>
            <w:vAlign w:val="center"/>
          </w:tcPr>
          <w:p w14:paraId="56920B79" w14:textId="77777777" w:rsidR="00C27CC8" w:rsidRPr="009E58F7" w:rsidRDefault="00C27CC8" w:rsidP="00E26B3B">
            <w:pPr>
              <w:keepNext/>
              <w:spacing w:line="240" w:lineRule="auto"/>
              <w:contextualSpacing/>
              <w:jc w:val="center"/>
            </w:pPr>
            <w:r w:rsidRPr="009E58F7">
              <w:t>0</w:t>
            </w:r>
          </w:p>
        </w:tc>
      </w:tr>
      <w:tr w:rsidR="00C27CC8" w:rsidRPr="009E58F7" w14:paraId="00D9429D" w14:textId="77777777" w:rsidTr="00C27CC8">
        <w:trPr>
          <w:trHeight w:val="227"/>
        </w:trPr>
        <w:tc>
          <w:tcPr>
            <w:tcW w:w="4360" w:type="dxa"/>
            <w:vAlign w:val="bottom"/>
          </w:tcPr>
          <w:p w14:paraId="5E1A25AB" w14:textId="77777777" w:rsidR="00C27CC8" w:rsidRPr="009E58F7" w:rsidRDefault="00C27CC8" w:rsidP="007070F2">
            <w:pPr>
              <w:spacing w:line="240" w:lineRule="auto"/>
              <w:contextualSpacing/>
              <w:jc w:val="both"/>
            </w:pPr>
            <w:r w:rsidRPr="009E58F7">
              <w:t>Teljes + részleges remisszió (CR+PR)</w:t>
            </w:r>
            <w:r w:rsidRPr="009E58F7">
              <w:rPr>
                <w:vertAlign w:val="superscript"/>
              </w:rPr>
              <w:t>f</w:t>
            </w:r>
            <w:r w:rsidRPr="009E58F7">
              <w:t xml:space="preserve"> n (%)</w:t>
            </w:r>
          </w:p>
        </w:tc>
        <w:tc>
          <w:tcPr>
            <w:tcW w:w="2220" w:type="dxa"/>
            <w:vAlign w:val="center"/>
          </w:tcPr>
          <w:p w14:paraId="2C23FCB8" w14:textId="77777777" w:rsidR="00C27CC8" w:rsidRPr="009E58F7" w:rsidRDefault="00C27CC8" w:rsidP="007070F2">
            <w:pPr>
              <w:spacing w:line="240" w:lineRule="auto"/>
              <w:contextualSpacing/>
              <w:jc w:val="center"/>
            </w:pPr>
            <w:r w:rsidRPr="009E58F7">
              <w:t>238 (71)</w:t>
            </w:r>
          </w:p>
        </w:tc>
        <w:tc>
          <w:tcPr>
            <w:tcW w:w="2465" w:type="dxa"/>
            <w:vAlign w:val="center"/>
          </w:tcPr>
          <w:p w14:paraId="3539AE1C" w14:textId="77777777" w:rsidR="00C27CC8" w:rsidRPr="009E58F7" w:rsidRDefault="00C27CC8" w:rsidP="007070F2">
            <w:pPr>
              <w:spacing w:line="240" w:lineRule="auto"/>
              <w:contextualSpacing/>
              <w:jc w:val="center"/>
            </w:pPr>
            <w:r w:rsidRPr="009E58F7">
              <w:t>115 (35)</w:t>
            </w:r>
          </w:p>
        </w:tc>
      </w:tr>
      <w:tr w:rsidR="00C27CC8" w:rsidRPr="009E58F7" w14:paraId="366CDB4A" w14:textId="77777777" w:rsidTr="00C27CC8">
        <w:trPr>
          <w:trHeight w:val="228"/>
        </w:trPr>
        <w:tc>
          <w:tcPr>
            <w:tcW w:w="4360" w:type="dxa"/>
            <w:vAlign w:val="bottom"/>
          </w:tcPr>
          <w:p w14:paraId="2795E75C" w14:textId="77777777" w:rsidR="00C27CC8" w:rsidRPr="009E58F7" w:rsidRDefault="00C27CC8" w:rsidP="007070F2">
            <w:pPr>
              <w:spacing w:line="240" w:lineRule="auto"/>
              <w:contextualSpacing/>
              <w:jc w:val="both"/>
            </w:pPr>
            <w:r w:rsidRPr="009E58F7">
              <w:t>p-érték</w:t>
            </w:r>
            <w:r w:rsidRPr="009E58F7">
              <w:rPr>
                <w:vertAlign w:val="superscript"/>
              </w:rPr>
              <w:t>d</w:t>
            </w:r>
          </w:p>
        </w:tc>
        <w:tc>
          <w:tcPr>
            <w:tcW w:w="4685" w:type="dxa"/>
            <w:gridSpan w:val="2"/>
            <w:vAlign w:val="center"/>
          </w:tcPr>
          <w:p w14:paraId="7BE25F3F" w14:textId="7B86DDE7" w:rsidR="00C27CC8" w:rsidRPr="009E58F7" w:rsidRDefault="008D0FD1" w:rsidP="007070F2">
            <w:pPr>
              <w:spacing w:line="240" w:lineRule="auto"/>
              <w:contextualSpacing/>
              <w:jc w:val="center"/>
            </w:pPr>
            <w:r w:rsidRPr="009E58F7">
              <w:t>&lt; </w:t>
            </w:r>
            <w:r w:rsidR="00C27CC8" w:rsidRPr="009E58F7">
              <w:t>10</w:t>
            </w:r>
            <w:r w:rsidRPr="009E58F7">
              <w:rPr>
                <w:rFonts w:ascii="Times" w:hAnsi="Times"/>
                <w:vertAlign w:val="superscript"/>
              </w:rPr>
              <w:t>-</w:t>
            </w:r>
            <w:r w:rsidR="00C27CC8" w:rsidRPr="009E58F7">
              <w:rPr>
                <w:rFonts w:ascii="Times" w:hAnsi="Times"/>
                <w:vertAlign w:val="superscript"/>
              </w:rPr>
              <w:t>10</w:t>
            </w:r>
          </w:p>
        </w:tc>
      </w:tr>
      <w:tr w:rsidR="00C27CC8" w:rsidRPr="009E58F7" w14:paraId="712E8541" w14:textId="77777777" w:rsidTr="00C27CC8">
        <w:trPr>
          <w:trHeight w:val="203"/>
        </w:trPr>
        <w:tc>
          <w:tcPr>
            <w:tcW w:w="4360" w:type="dxa"/>
            <w:vAlign w:val="bottom"/>
          </w:tcPr>
          <w:p w14:paraId="7CB3441F" w14:textId="23FBE4CF" w:rsidR="00C27CC8" w:rsidRPr="009E58F7" w:rsidRDefault="00C27CC8" w:rsidP="007070F2">
            <w:pPr>
              <w:spacing w:line="240" w:lineRule="auto"/>
              <w:contextualSpacing/>
              <w:jc w:val="both"/>
            </w:pPr>
          </w:p>
        </w:tc>
        <w:tc>
          <w:tcPr>
            <w:tcW w:w="2220" w:type="dxa"/>
            <w:vAlign w:val="center"/>
          </w:tcPr>
          <w:p w14:paraId="044944F0" w14:textId="4BE59345" w:rsidR="00C27CC8" w:rsidRPr="009E58F7" w:rsidRDefault="00C27CC8" w:rsidP="007070F2">
            <w:pPr>
              <w:spacing w:line="240" w:lineRule="auto"/>
              <w:contextualSpacing/>
              <w:jc w:val="center"/>
            </w:pPr>
          </w:p>
        </w:tc>
        <w:tc>
          <w:tcPr>
            <w:tcW w:w="2465" w:type="dxa"/>
            <w:vAlign w:val="center"/>
          </w:tcPr>
          <w:p w14:paraId="65E73022" w14:textId="20F40160" w:rsidR="00C27CC8" w:rsidRPr="009E58F7" w:rsidRDefault="00C27CC8" w:rsidP="007070F2">
            <w:pPr>
              <w:spacing w:line="240" w:lineRule="auto"/>
              <w:contextualSpacing/>
              <w:jc w:val="center"/>
            </w:pPr>
          </w:p>
        </w:tc>
      </w:tr>
      <w:tr w:rsidR="008D0FD1" w:rsidRPr="009E58F7" w14:paraId="07C8660F" w14:textId="77777777" w:rsidTr="008D0FD1">
        <w:trPr>
          <w:trHeight w:val="262"/>
        </w:trPr>
        <w:tc>
          <w:tcPr>
            <w:tcW w:w="4360" w:type="dxa"/>
            <w:vAlign w:val="bottom"/>
          </w:tcPr>
          <w:p w14:paraId="5AAACEC6" w14:textId="0B5F207C" w:rsidR="008D0FD1" w:rsidRPr="009E58F7" w:rsidRDefault="008D0FD1" w:rsidP="007070F2">
            <w:pPr>
              <w:spacing w:line="240" w:lineRule="auto"/>
              <w:contextualSpacing/>
              <w:jc w:val="both"/>
            </w:pPr>
            <w:r w:rsidRPr="009E58F7">
              <w:rPr>
                <w:b/>
                <w:bCs/>
              </w:rPr>
              <w:t>Szérum M-proteinszint</w:t>
            </w:r>
            <w:r w:rsidR="00CC026C">
              <w:rPr>
                <w:b/>
                <w:bCs/>
              </w:rPr>
              <w:t>-</w:t>
            </w:r>
            <w:r w:rsidRPr="009E58F7">
              <w:rPr>
                <w:b/>
                <w:bCs/>
              </w:rPr>
              <w:t>csökkenés</w:t>
            </w:r>
          </w:p>
          <w:p w14:paraId="42066754" w14:textId="65CB7AA3" w:rsidR="008D0FD1" w:rsidRPr="009E58F7" w:rsidRDefault="008D0FD1" w:rsidP="007070F2">
            <w:pPr>
              <w:spacing w:line="240" w:lineRule="auto"/>
              <w:contextualSpacing/>
              <w:jc w:val="both"/>
            </w:pPr>
            <w:r w:rsidRPr="009E58F7">
              <w:t>Populáció</w:t>
            </w:r>
            <w:r w:rsidRPr="009E58F7">
              <w:rPr>
                <w:vertAlign w:val="superscript"/>
              </w:rPr>
              <w:t>g</w:t>
            </w:r>
            <w:r w:rsidRPr="009E58F7">
              <w:t xml:space="preserve"> n = 667</w:t>
            </w:r>
          </w:p>
        </w:tc>
        <w:tc>
          <w:tcPr>
            <w:tcW w:w="2220" w:type="dxa"/>
            <w:vAlign w:val="bottom"/>
          </w:tcPr>
          <w:p w14:paraId="0AB6CD32" w14:textId="0BC32C2C" w:rsidR="008D0FD1" w:rsidRPr="009E58F7" w:rsidRDefault="008D0FD1" w:rsidP="007070F2">
            <w:pPr>
              <w:spacing w:line="240" w:lineRule="auto"/>
              <w:contextualSpacing/>
              <w:jc w:val="center"/>
            </w:pPr>
            <w:r w:rsidRPr="009E58F7">
              <w:t>n = 336</w:t>
            </w:r>
          </w:p>
        </w:tc>
        <w:tc>
          <w:tcPr>
            <w:tcW w:w="2465" w:type="dxa"/>
            <w:vAlign w:val="bottom"/>
          </w:tcPr>
          <w:p w14:paraId="4541C8FD" w14:textId="54F58EBB" w:rsidR="008D0FD1" w:rsidRPr="009E58F7" w:rsidRDefault="008D0FD1" w:rsidP="007070F2">
            <w:pPr>
              <w:spacing w:line="240" w:lineRule="auto"/>
              <w:contextualSpacing/>
              <w:jc w:val="center"/>
            </w:pPr>
            <w:r w:rsidRPr="009E58F7">
              <w:t>n = 331</w:t>
            </w:r>
          </w:p>
        </w:tc>
      </w:tr>
      <w:tr w:rsidR="008D0FD1" w:rsidRPr="009E58F7" w14:paraId="36888268" w14:textId="77777777" w:rsidTr="00C27CC8">
        <w:trPr>
          <w:trHeight w:val="227"/>
        </w:trPr>
        <w:tc>
          <w:tcPr>
            <w:tcW w:w="4360" w:type="dxa"/>
            <w:vAlign w:val="bottom"/>
          </w:tcPr>
          <w:p w14:paraId="511676EF" w14:textId="34BC519D" w:rsidR="008D0FD1" w:rsidRPr="009E58F7" w:rsidRDefault="008D0FD1" w:rsidP="007070F2">
            <w:pPr>
              <w:spacing w:line="240" w:lineRule="auto"/>
              <w:contextualSpacing/>
              <w:jc w:val="both"/>
            </w:pPr>
            <w:r w:rsidRPr="009E58F7">
              <w:t>≥ 90% n (%)</w:t>
            </w:r>
          </w:p>
        </w:tc>
        <w:tc>
          <w:tcPr>
            <w:tcW w:w="2220" w:type="dxa"/>
            <w:vAlign w:val="center"/>
          </w:tcPr>
          <w:p w14:paraId="65DD86F0" w14:textId="77777777" w:rsidR="008D0FD1" w:rsidRPr="009E58F7" w:rsidRDefault="008D0FD1" w:rsidP="007070F2">
            <w:pPr>
              <w:spacing w:line="240" w:lineRule="auto"/>
              <w:contextualSpacing/>
              <w:jc w:val="center"/>
            </w:pPr>
            <w:r w:rsidRPr="009E58F7">
              <w:t>151 (45)</w:t>
            </w:r>
          </w:p>
        </w:tc>
        <w:tc>
          <w:tcPr>
            <w:tcW w:w="2465" w:type="dxa"/>
            <w:vAlign w:val="center"/>
          </w:tcPr>
          <w:p w14:paraId="3F2CD8DE" w14:textId="77777777" w:rsidR="008D0FD1" w:rsidRPr="009E58F7" w:rsidRDefault="008D0FD1" w:rsidP="007070F2">
            <w:pPr>
              <w:spacing w:line="240" w:lineRule="auto"/>
              <w:contextualSpacing/>
              <w:jc w:val="center"/>
            </w:pPr>
            <w:r w:rsidRPr="009E58F7">
              <w:t>34 (10)</w:t>
            </w:r>
          </w:p>
        </w:tc>
      </w:tr>
      <w:tr w:rsidR="008D0FD1" w:rsidRPr="009E58F7" w14:paraId="6AA72135" w14:textId="77777777" w:rsidTr="008C4734">
        <w:trPr>
          <w:trHeight w:val="210"/>
        </w:trPr>
        <w:tc>
          <w:tcPr>
            <w:tcW w:w="4360" w:type="dxa"/>
            <w:vAlign w:val="bottom"/>
          </w:tcPr>
          <w:p w14:paraId="44B92352" w14:textId="0EABFEE4" w:rsidR="008D0FD1" w:rsidRPr="009E58F7" w:rsidRDefault="008D0FD1" w:rsidP="00D7256D">
            <w:pPr>
              <w:spacing w:line="240" w:lineRule="auto"/>
              <w:contextualSpacing/>
            </w:pPr>
            <w:r w:rsidRPr="009E58F7">
              <w:rPr>
                <w:b/>
                <w:bCs/>
              </w:rPr>
              <w:t>Az első válaszig eltelt idő teljes+részleges remisszióban</w:t>
            </w:r>
          </w:p>
        </w:tc>
        <w:tc>
          <w:tcPr>
            <w:tcW w:w="4685" w:type="dxa"/>
            <w:gridSpan w:val="2"/>
            <w:vAlign w:val="center"/>
          </w:tcPr>
          <w:p w14:paraId="633B07CD" w14:textId="77777777" w:rsidR="008D0FD1" w:rsidRPr="009E58F7" w:rsidRDefault="008D0FD1" w:rsidP="007070F2">
            <w:pPr>
              <w:spacing w:line="240" w:lineRule="auto"/>
              <w:contextualSpacing/>
              <w:jc w:val="center"/>
            </w:pPr>
          </w:p>
        </w:tc>
      </w:tr>
      <w:tr w:rsidR="008D0FD1" w:rsidRPr="009E58F7" w14:paraId="52339393" w14:textId="77777777" w:rsidTr="00C27CC8">
        <w:trPr>
          <w:trHeight w:val="227"/>
        </w:trPr>
        <w:tc>
          <w:tcPr>
            <w:tcW w:w="4360" w:type="dxa"/>
            <w:vAlign w:val="bottom"/>
          </w:tcPr>
          <w:p w14:paraId="558E6139" w14:textId="77777777" w:rsidR="008D0FD1" w:rsidRPr="009E58F7" w:rsidRDefault="008D0FD1" w:rsidP="007070F2">
            <w:pPr>
              <w:spacing w:line="240" w:lineRule="auto"/>
              <w:contextualSpacing/>
              <w:jc w:val="both"/>
            </w:pPr>
            <w:r w:rsidRPr="009E58F7">
              <w:t>Medián</w:t>
            </w:r>
          </w:p>
        </w:tc>
        <w:tc>
          <w:tcPr>
            <w:tcW w:w="2220" w:type="dxa"/>
            <w:vAlign w:val="center"/>
          </w:tcPr>
          <w:p w14:paraId="5234AD75" w14:textId="77777777" w:rsidR="008D0FD1" w:rsidRPr="009E58F7" w:rsidRDefault="008D0FD1" w:rsidP="007070F2">
            <w:pPr>
              <w:spacing w:line="240" w:lineRule="auto"/>
              <w:contextualSpacing/>
              <w:jc w:val="center"/>
            </w:pPr>
            <w:r w:rsidRPr="009E58F7">
              <w:t>1,4 hónap</w:t>
            </w:r>
          </w:p>
        </w:tc>
        <w:tc>
          <w:tcPr>
            <w:tcW w:w="2465" w:type="dxa"/>
            <w:vAlign w:val="center"/>
          </w:tcPr>
          <w:p w14:paraId="7D9B8468" w14:textId="77777777" w:rsidR="008D0FD1" w:rsidRPr="009E58F7" w:rsidRDefault="008D0FD1" w:rsidP="007070F2">
            <w:pPr>
              <w:spacing w:line="240" w:lineRule="auto"/>
              <w:contextualSpacing/>
              <w:jc w:val="center"/>
            </w:pPr>
            <w:r w:rsidRPr="009E58F7">
              <w:t>4,2 hónap</w:t>
            </w:r>
          </w:p>
        </w:tc>
      </w:tr>
      <w:tr w:rsidR="008D0FD1" w:rsidRPr="009E58F7" w14:paraId="53F1026C" w14:textId="77777777" w:rsidTr="008C4734">
        <w:trPr>
          <w:trHeight w:val="227"/>
        </w:trPr>
        <w:tc>
          <w:tcPr>
            <w:tcW w:w="4360" w:type="dxa"/>
            <w:vAlign w:val="bottom"/>
          </w:tcPr>
          <w:p w14:paraId="6F66C19B" w14:textId="77777777" w:rsidR="008D0FD1" w:rsidRPr="009E58F7" w:rsidRDefault="008D0FD1" w:rsidP="007070F2">
            <w:pPr>
              <w:spacing w:line="240" w:lineRule="auto"/>
              <w:contextualSpacing/>
              <w:jc w:val="both"/>
            </w:pPr>
            <w:r w:rsidRPr="009E58F7">
              <w:rPr>
                <w:b/>
                <w:bCs/>
              </w:rPr>
              <w:t>A válasz tartamának mediánja</w:t>
            </w:r>
            <w:r w:rsidRPr="009E58F7">
              <w:rPr>
                <w:vertAlign w:val="superscript"/>
              </w:rPr>
              <w:t>a</w:t>
            </w:r>
          </w:p>
        </w:tc>
        <w:tc>
          <w:tcPr>
            <w:tcW w:w="4685" w:type="dxa"/>
            <w:gridSpan w:val="2"/>
            <w:vAlign w:val="center"/>
          </w:tcPr>
          <w:p w14:paraId="4F74EE91" w14:textId="77777777" w:rsidR="008D0FD1" w:rsidRPr="009E58F7" w:rsidRDefault="008D0FD1" w:rsidP="007070F2">
            <w:pPr>
              <w:spacing w:line="240" w:lineRule="auto"/>
              <w:contextualSpacing/>
              <w:jc w:val="center"/>
            </w:pPr>
          </w:p>
        </w:tc>
      </w:tr>
      <w:tr w:rsidR="008D0FD1" w:rsidRPr="009E58F7" w14:paraId="70BB3E74" w14:textId="77777777" w:rsidTr="00C27CC8">
        <w:trPr>
          <w:trHeight w:val="228"/>
        </w:trPr>
        <w:tc>
          <w:tcPr>
            <w:tcW w:w="4360" w:type="dxa"/>
            <w:vAlign w:val="bottom"/>
          </w:tcPr>
          <w:p w14:paraId="19A09653" w14:textId="77777777" w:rsidR="008D0FD1" w:rsidRPr="009E58F7" w:rsidRDefault="008D0FD1" w:rsidP="007070F2">
            <w:pPr>
              <w:spacing w:line="240" w:lineRule="auto"/>
              <w:contextualSpacing/>
              <w:jc w:val="both"/>
            </w:pPr>
            <w:r w:rsidRPr="009E58F7">
              <w:t>Teljes remisszió (CR)</w:t>
            </w:r>
            <w:r w:rsidRPr="009E58F7">
              <w:rPr>
                <w:vertAlign w:val="superscript"/>
              </w:rPr>
              <w:t>f</w:t>
            </w:r>
          </w:p>
        </w:tc>
        <w:tc>
          <w:tcPr>
            <w:tcW w:w="2220" w:type="dxa"/>
            <w:vAlign w:val="center"/>
          </w:tcPr>
          <w:p w14:paraId="40B3BA48" w14:textId="77777777" w:rsidR="008D0FD1" w:rsidRPr="009E58F7" w:rsidRDefault="008D0FD1" w:rsidP="007070F2">
            <w:pPr>
              <w:spacing w:line="240" w:lineRule="auto"/>
              <w:contextualSpacing/>
              <w:jc w:val="center"/>
            </w:pPr>
            <w:r w:rsidRPr="009E58F7">
              <w:t>24,0 hónap</w:t>
            </w:r>
          </w:p>
        </w:tc>
        <w:tc>
          <w:tcPr>
            <w:tcW w:w="2465" w:type="dxa"/>
            <w:vAlign w:val="center"/>
          </w:tcPr>
          <w:p w14:paraId="35CF6750" w14:textId="77777777" w:rsidR="008D0FD1" w:rsidRPr="009E58F7" w:rsidRDefault="008D0FD1" w:rsidP="007070F2">
            <w:pPr>
              <w:spacing w:line="240" w:lineRule="auto"/>
              <w:contextualSpacing/>
              <w:jc w:val="center"/>
            </w:pPr>
            <w:r w:rsidRPr="009E58F7">
              <w:t>12,8 hónap</w:t>
            </w:r>
          </w:p>
        </w:tc>
      </w:tr>
      <w:tr w:rsidR="008D0FD1" w:rsidRPr="009E58F7" w14:paraId="637D747B" w14:textId="77777777" w:rsidTr="00C27CC8">
        <w:trPr>
          <w:trHeight w:val="227"/>
        </w:trPr>
        <w:tc>
          <w:tcPr>
            <w:tcW w:w="4360" w:type="dxa"/>
            <w:vAlign w:val="bottom"/>
          </w:tcPr>
          <w:p w14:paraId="7634CF45" w14:textId="77777777" w:rsidR="008D0FD1" w:rsidRPr="009E58F7" w:rsidRDefault="008D0FD1" w:rsidP="007070F2">
            <w:pPr>
              <w:spacing w:line="240" w:lineRule="auto"/>
              <w:contextualSpacing/>
              <w:jc w:val="both"/>
            </w:pPr>
            <w:r w:rsidRPr="009E58F7">
              <w:t>Teljes+részleges remisszió (CR+PR)</w:t>
            </w:r>
            <w:r w:rsidRPr="009E58F7">
              <w:rPr>
                <w:vertAlign w:val="superscript"/>
              </w:rPr>
              <w:t>f</w:t>
            </w:r>
          </w:p>
        </w:tc>
        <w:tc>
          <w:tcPr>
            <w:tcW w:w="2220" w:type="dxa"/>
            <w:vAlign w:val="center"/>
          </w:tcPr>
          <w:p w14:paraId="630093C8" w14:textId="77777777" w:rsidR="008D0FD1" w:rsidRPr="009E58F7" w:rsidRDefault="008D0FD1" w:rsidP="007070F2">
            <w:pPr>
              <w:spacing w:line="240" w:lineRule="auto"/>
              <w:contextualSpacing/>
              <w:jc w:val="center"/>
            </w:pPr>
            <w:r w:rsidRPr="009E58F7">
              <w:t>19,9 hónap</w:t>
            </w:r>
          </w:p>
        </w:tc>
        <w:tc>
          <w:tcPr>
            <w:tcW w:w="2465" w:type="dxa"/>
            <w:vAlign w:val="center"/>
          </w:tcPr>
          <w:p w14:paraId="2EC555E8" w14:textId="77777777" w:rsidR="008D0FD1" w:rsidRPr="009E58F7" w:rsidRDefault="008D0FD1" w:rsidP="007070F2">
            <w:pPr>
              <w:spacing w:line="240" w:lineRule="auto"/>
              <w:contextualSpacing/>
              <w:jc w:val="center"/>
            </w:pPr>
            <w:r w:rsidRPr="009E58F7">
              <w:t>13,1 hónap</w:t>
            </w:r>
          </w:p>
        </w:tc>
      </w:tr>
      <w:tr w:rsidR="008D0FD1" w:rsidRPr="009E58F7" w14:paraId="3BF57FF6" w14:textId="77777777" w:rsidTr="008D0FD1">
        <w:trPr>
          <w:trHeight w:val="227"/>
        </w:trPr>
        <w:tc>
          <w:tcPr>
            <w:tcW w:w="4360" w:type="dxa"/>
          </w:tcPr>
          <w:p w14:paraId="68B5186A" w14:textId="77777777" w:rsidR="008D0FD1" w:rsidRPr="009E58F7" w:rsidRDefault="008D0FD1" w:rsidP="00D7256D">
            <w:pPr>
              <w:spacing w:line="240" w:lineRule="auto"/>
              <w:rPr>
                <w:noProof/>
              </w:rPr>
            </w:pPr>
            <w:r w:rsidRPr="009E58F7">
              <w:rPr>
                <w:b/>
                <w:bCs/>
                <w:noProof/>
              </w:rPr>
              <w:t>A következő kezelésig eltelt idő</w:t>
            </w:r>
          </w:p>
          <w:p w14:paraId="26D0EB82" w14:textId="06768343" w:rsidR="008D0FD1" w:rsidRPr="009E58F7" w:rsidRDefault="008D0FD1" w:rsidP="007070F2">
            <w:pPr>
              <w:spacing w:line="240" w:lineRule="auto"/>
              <w:contextualSpacing/>
              <w:jc w:val="both"/>
            </w:pPr>
            <w:r w:rsidRPr="009E58F7">
              <w:rPr>
                <w:noProof/>
              </w:rPr>
              <w:t xml:space="preserve">Események n (%) </w:t>
            </w:r>
          </w:p>
        </w:tc>
        <w:tc>
          <w:tcPr>
            <w:tcW w:w="2220" w:type="dxa"/>
            <w:vAlign w:val="bottom"/>
          </w:tcPr>
          <w:p w14:paraId="37E79AE4" w14:textId="0C0DF120" w:rsidR="008D0FD1" w:rsidRPr="009E58F7" w:rsidRDefault="008D0FD1" w:rsidP="007070F2">
            <w:pPr>
              <w:spacing w:line="240" w:lineRule="auto"/>
              <w:contextualSpacing/>
              <w:jc w:val="center"/>
            </w:pPr>
            <w:r w:rsidRPr="009E58F7">
              <w:t>224 (65,1)</w:t>
            </w:r>
          </w:p>
        </w:tc>
        <w:tc>
          <w:tcPr>
            <w:tcW w:w="2465" w:type="dxa"/>
            <w:vAlign w:val="bottom"/>
          </w:tcPr>
          <w:p w14:paraId="4B2DED4D" w14:textId="0DE810F9" w:rsidR="008D0FD1" w:rsidRPr="009E58F7" w:rsidRDefault="008D0FD1" w:rsidP="007070F2">
            <w:pPr>
              <w:spacing w:line="240" w:lineRule="auto"/>
              <w:contextualSpacing/>
              <w:jc w:val="center"/>
            </w:pPr>
            <w:r w:rsidRPr="009E58F7">
              <w:t>260 (76,9)</w:t>
            </w:r>
          </w:p>
        </w:tc>
      </w:tr>
      <w:tr w:rsidR="008D0FD1" w:rsidRPr="009E58F7" w14:paraId="040BE369" w14:textId="77777777" w:rsidTr="008C4734">
        <w:trPr>
          <w:trHeight w:val="227"/>
        </w:trPr>
        <w:tc>
          <w:tcPr>
            <w:tcW w:w="4360" w:type="dxa"/>
          </w:tcPr>
          <w:p w14:paraId="0B965246" w14:textId="77777777" w:rsidR="008D0FD1" w:rsidRPr="009E58F7" w:rsidRDefault="008D0FD1" w:rsidP="00D7256D">
            <w:pPr>
              <w:spacing w:line="240" w:lineRule="auto"/>
              <w:rPr>
                <w:noProof/>
              </w:rPr>
            </w:pPr>
            <w:r w:rsidRPr="009E58F7">
              <w:rPr>
                <w:noProof/>
              </w:rPr>
              <w:t>Medián</w:t>
            </w:r>
            <w:r w:rsidRPr="009E58F7">
              <w:rPr>
                <w:noProof/>
                <w:vertAlign w:val="superscript"/>
              </w:rPr>
              <w:t>a</w:t>
            </w:r>
            <w:r w:rsidRPr="009E58F7">
              <w:rPr>
                <w:noProof/>
              </w:rPr>
              <w:t xml:space="preserve"> </w:t>
            </w:r>
          </w:p>
          <w:p w14:paraId="715A3A28" w14:textId="20DEEBFF" w:rsidR="008D0FD1" w:rsidRPr="009E58F7" w:rsidRDefault="008D0FD1" w:rsidP="007070F2">
            <w:pPr>
              <w:spacing w:line="240" w:lineRule="auto"/>
              <w:contextualSpacing/>
              <w:jc w:val="both"/>
            </w:pPr>
            <w:r w:rsidRPr="009E58F7">
              <w:rPr>
                <w:noProof/>
              </w:rPr>
              <w:t xml:space="preserve">(95%-os CI) </w:t>
            </w:r>
          </w:p>
        </w:tc>
        <w:tc>
          <w:tcPr>
            <w:tcW w:w="2220" w:type="dxa"/>
            <w:vAlign w:val="center"/>
          </w:tcPr>
          <w:p w14:paraId="440D1092" w14:textId="77777777" w:rsidR="008D0FD1" w:rsidRPr="009E58F7" w:rsidRDefault="008D0FD1" w:rsidP="007070F2">
            <w:pPr>
              <w:spacing w:line="240" w:lineRule="auto"/>
              <w:contextualSpacing/>
              <w:jc w:val="center"/>
            </w:pPr>
            <w:r w:rsidRPr="009E58F7">
              <w:t>27,0 hónap</w:t>
            </w:r>
          </w:p>
          <w:p w14:paraId="2D75FB75" w14:textId="7A08EC2B" w:rsidR="008D0FD1" w:rsidRPr="009E58F7" w:rsidRDefault="008D0FD1" w:rsidP="007070F2">
            <w:pPr>
              <w:spacing w:line="240" w:lineRule="auto"/>
              <w:contextualSpacing/>
              <w:jc w:val="center"/>
            </w:pPr>
            <w:r w:rsidRPr="009E58F7">
              <w:t>(24,7; 31,1)</w:t>
            </w:r>
          </w:p>
        </w:tc>
        <w:tc>
          <w:tcPr>
            <w:tcW w:w="2465" w:type="dxa"/>
            <w:vAlign w:val="center"/>
          </w:tcPr>
          <w:p w14:paraId="478C0ABD" w14:textId="77777777" w:rsidR="008D0FD1" w:rsidRPr="009E58F7" w:rsidRDefault="008D0FD1" w:rsidP="007070F2">
            <w:pPr>
              <w:spacing w:line="240" w:lineRule="auto"/>
              <w:contextualSpacing/>
              <w:jc w:val="center"/>
            </w:pPr>
            <w:r w:rsidRPr="009E58F7">
              <w:t>19,2 hónap</w:t>
            </w:r>
          </w:p>
          <w:p w14:paraId="223C72C6" w14:textId="0B78C1A7" w:rsidR="008D0FD1" w:rsidRPr="009E58F7" w:rsidRDefault="008D0FD1" w:rsidP="007070F2">
            <w:pPr>
              <w:spacing w:line="240" w:lineRule="auto"/>
              <w:contextualSpacing/>
              <w:jc w:val="center"/>
            </w:pPr>
            <w:r w:rsidRPr="009E58F7">
              <w:t>(17,0; 21,0)</w:t>
            </w:r>
          </w:p>
        </w:tc>
      </w:tr>
      <w:tr w:rsidR="008D0FD1" w:rsidRPr="009E58F7" w14:paraId="5DE0E959" w14:textId="77777777" w:rsidTr="008C4734">
        <w:trPr>
          <w:trHeight w:val="227"/>
        </w:trPr>
        <w:tc>
          <w:tcPr>
            <w:tcW w:w="4360" w:type="dxa"/>
          </w:tcPr>
          <w:p w14:paraId="231061B1" w14:textId="77777777" w:rsidR="008D0FD1" w:rsidRPr="009E58F7" w:rsidRDefault="008D0FD1" w:rsidP="00D7256D">
            <w:pPr>
              <w:spacing w:line="240" w:lineRule="auto"/>
              <w:rPr>
                <w:noProof/>
              </w:rPr>
            </w:pPr>
            <w:r w:rsidRPr="009E58F7">
              <w:rPr>
                <w:noProof/>
              </w:rPr>
              <w:t>Relatív hazárd</w:t>
            </w:r>
            <w:r w:rsidRPr="009E58F7">
              <w:rPr>
                <w:noProof/>
                <w:vertAlign w:val="superscript"/>
              </w:rPr>
              <w:t>b</w:t>
            </w:r>
            <w:r w:rsidRPr="009E58F7">
              <w:rPr>
                <w:noProof/>
              </w:rPr>
              <w:t xml:space="preserve"> </w:t>
            </w:r>
          </w:p>
          <w:p w14:paraId="490081B8" w14:textId="468084CA" w:rsidR="008D0FD1" w:rsidRPr="009E58F7" w:rsidRDefault="008D0FD1" w:rsidP="007070F2">
            <w:pPr>
              <w:spacing w:line="240" w:lineRule="auto"/>
              <w:contextualSpacing/>
              <w:jc w:val="both"/>
            </w:pPr>
            <w:r w:rsidRPr="009E58F7">
              <w:rPr>
                <w:noProof/>
              </w:rPr>
              <w:t xml:space="preserve">(95%-os CI) </w:t>
            </w:r>
          </w:p>
        </w:tc>
        <w:tc>
          <w:tcPr>
            <w:tcW w:w="4685" w:type="dxa"/>
            <w:gridSpan w:val="2"/>
            <w:vAlign w:val="center"/>
          </w:tcPr>
          <w:p w14:paraId="517F51F3" w14:textId="77777777" w:rsidR="008D0FD1" w:rsidRPr="009E58F7" w:rsidRDefault="008D0FD1" w:rsidP="007070F2">
            <w:pPr>
              <w:spacing w:line="240" w:lineRule="auto"/>
              <w:contextualSpacing/>
              <w:jc w:val="center"/>
            </w:pPr>
            <w:r w:rsidRPr="009E58F7">
              <w:t>0,557</w:t>
            </w:r>
          </w:p>
          <w:p w14:paraId="6B0FF2C2" w14:textId="4298D84D" w:rsidR="008D0FD1" w:rsidRPr="009E58F7" w:rsidRDefault="008D0FD1" w:rsidP="007070F2">
            <w:pPr>
              <w:spacing w:line="240" w:lineRule="auto"/>
              <w:contextualSpacing/>
              <w:jc w:val="center"/>
            </w:pPr>
            <w:r w:rsidRPr="009E58F7">
              <w:t>(0,462; 0,671)</w:t>
            </w:r>
          </w:p>
        </w:tc>
      </w:tr>
      <w:tr w:rsidR="008D0FD1" w:rsidRPr="009E58F7" w14:paraId="7739CDEA" w14:textId="77777777" w:rsidTr="008C4734">
        <w:trPr>
          <w:trHeight w:val="227"/>
        </w:trPr>
        <w:tc>
          <w:tcPr>
            <w:tcW w:w="4360" w:type="dxa"/>
          </w:tcPr>
          <w:p w14:paraId="5C9FDDD4" w14:textId="4B7309C8" w:rsidR="008D0FD1" w:rsidRPr="009E58F7" w:rsidRDefault="008D0FD1" w:rsidP="007070F2">
            <w:pPr>
              <w:spacing w:line="240" w:lineRule="auto"/>
              <w:contextualSpacing/>
              <w:jc w:val="both"/>
            </w:pPr>
            <w:r w:rsidRPr="009E58F7">
              <w:rPr>
                <w:noProof/>
              </w:rPr>
              <w:t>p-érték</w:t>
            </w:r>
            <w:r w:rsidRPr="009E58F7">
              <w:rPr>
                <w:noProof/>
                <w:vertAlign w:val="superscript"/>
              </w:rPr>
              <w:t>c</w:t>
            </w:r>
          </w:p>
        </w:tc>
        <w:tc>
          <w:tcPr>
            <w:tcW w:w="4685" w:type="dxa"/>
            <w:gridSpan w:val="2"/>
            <w:vAlign w:val="center"/>
          </w:tcPr>
          <w:p w14:paraId="3E44FA0E" w14:textId="393BDFC3" w:rsidR="008D0FD1" w:rsidRPr="009E58F7" w:rsidRDefault="008D0FD1" w:rsidP="007070F2">
            <w:pPr>
              <w:spacing w:line="240" w:lineRule="auto"/>
              <w:contextualSpacing/>
              <w:jc w:val="center"/>
            </w:pPr>
            <w:r w:rsidRPr="009E58F7">
              <w:t>&lt; 0,000001</w:t>
            </w:r>
          </w:p>
        </w:tc>
      </w:tr>
    </w:tbl>
    <w:p w14:paraId="698478E9" w14:textId="5B6DEF91" w:rsidR="005E104E" w:rsidRPr="009E58F7" w:rsidRDefault="005E104E" w:rsidP="00D7256D">
      <w:pPr>
        <w:tabs>
          <w:tab w:val="left" w:pos="426"/>
        </w:tabs>
        <w:spacing w:line="240" w:lineRule="auto"/>
        <w:ind w:left="426" w:hanging="426"/>
        <w:rPr>
          <w:sz w:val="18"/>
          <w:szCs w:val="18"/>
        </w:rPr>
      </w:pPr>
      <w:r w:rsidRPr="009E58F7">
        <w:rPr>
          <w:noProof/>
          <w:sz w:val="18"/>
          <w:szCs w:val="18"/>
          <w:vertAlign w:val="superscript"/>
        </w:rPr>
        <w:t>a</w:t>
      </w:r>
      <w:r w:rsidRPr="009E58F7">
        <w:rPr>
          <w:noProof/>
          <w:sz w:val="18"/>
          <w:szCs w:val="18"/>
        </w:rPr>
        <w:tab/>
      </w:r>
      <w:r w:rsidRPr="009E58F7">
        <w:rPr>
          <w:sz w:val="18"/>
          <w:szCs w:val="18"/>
        </w:rPr>
        <w:t>Kaplan</w:t>
      </w:r>
      <w:r w:rsidR="002A60FC">
        <w:rPr>
          <w:sz w:val="18"/>
          <w:szCs w:val="18"/>
        </w:rPr>
        <w:t>–</w:t>
      </w:r>
      <w:r w:rsidRPr="009E58F7">
        <w:rPr>
          <w:sz w:val="18"/>
          <w:szCs w:val="18"/>
        </w:rPr>
        <w:t>Meier becslés.</w:t>
      </w:r>
    </w:p>
    <w:p w14:paraId="1A1F74B0" w14:textId="238C6232" w:rsidR="005E104E" w:rsidRPr="009E58F7" w:rsidRDefault="005E104E" w:rsidP="007070F2">
      <w:pPr>
        <w:tabs>
          <w:tab w:val="left" w:pos="0"/>
          <w:tab w:val="left" w:pos="426"/>
        </w:tabs>
        <w:spacing w:line="240" w:lineRule="auto"/>
        <w:ind w:left="426" w:hanging="426"/>
        <w:rPr>
          <w:sz w:val="18"/>
          <w:szCs w:val="18"/>
        </w:rPr>
      </w:pPr>
      <w:r w:rsidRPr="009E58F7">
        <w:rPr>
          <w:noProof/>
          <w:sz w:val="18"/>
          <w:szCs w:val="18"/>
          <w:vertAlign w:val="superscript"/>
        </w:rPr>
        <w:t>b</w:t>
      </w:r>
      <w:r w:rsidRPr="009E58F7">
        <w:rPr>
          <w:noProof/>
          <w:sz w:val="18"/>
          <w:szCs w:val="18"/>
          <w:vertAlign w:val="superscript"/>
        </w:rPr>
        <w:tab/>
      </w:r>
      <w:r w:rsidRPr="009E58F7">
        <w:rPr>
          <w:sz w:val="18"/>
          <w:szCs w:val="18"/>
        </w:rPr>
        <w:t xml:space="preserve">A relatív hazárd becslése a </w:t>
      </w:r>
      <w:r w:rsidRPr="009E58F7">
        <w:rPr>
          <w:noProof/>
          <w:sz w:val="18"/>
          <w:szCs w:val="18"/>
        </w:rPr>
        <w:t>béta</w:t>
      </w:r>
      <w:r w:rsidRPr="009E58F7">
        <w:rPr>
          <w:noProof/>
          <w:sz w:val="18"/>
          <w:szCs w:val="18"/>
          <w:vertAlign w:val="subscript"/>
        </w:rPr>
        <w:t>2</w:t>
      </w:r>
      <w:r w:rsidRPr="009E58F7">
        <w:rPr>
          <w:sz w:val="18"/>
          <w:szCs w:val="18"/>
        </w:rPr>
        <w:t>-mikroglobulin, albumin és régióstratifikációs faktorokkal korrigált, Cox-féle arányos-kockázat modellen alapul. A VMP előnyét jelzi az 1</w:t>
      </w:r>
      <w:r w:rsidR="00BD5400">
        <w:rPr>
          <w:noProof/>
          <w:sz w:val="18"/>
          <w:szCs w:val="18"/>
        </w:rPr>
        <w:t>-</w:t>
      </w:r>
      <w:r w:rsidRPr="009E58F7">
        <w:rPr>
          <w:sz w:val="18"/>
          <w:szCs w:val="18"/>
        </w:rPr>
        <w:t>nél kisebb relatív hazárd.</w:t>
      </w:r>
    </w:p>
    <w:p w14:paraId="43CC48F2" w14:textId="506C22C8" w:rsidR="005E104E" w:rsidRPr="009E58F7" w:rsidRDefault="005E104E" w:rsidP="007070F2">
      <w:pPr>
        <w:tabs>
          <w:tab w:val="left" w:pos="426"/>
        </w:tabs>
        <w:spacing w:line="240" w:lineRule="auto"/>
        <w:ind w:left="426" w:hanging="426"/>
        <w:rPr>
          <w:sz w:val="18"/>
          <w:szCs w:val="18"/>
        </w:rPr>
      </w:pPr>
      <w:r w:rsidRPr="009E58F7">
        <w:rPr>
          <w:noProof/>
          <w:sz w:val="18"/>
          <w:szCs w:val="18"/>
          <w:vertAlign w:val="superscript"/>
        </w:rPr>
        <w:t>c</w:t>
      </w:r>
      <w:r w:rsidRPr="009E58F7">
        <w:rPr>
          <w:noProof/>
          <w:sz w:val="18"/>
          <w:szCs w:val="18"/>
        </w:rPr>
        <w:tab/>
      </w:r>
      <w:r w:rsidRPr="009E58F7">
        <w:rPr>
          <w:sz w:val="18"/>
          <w:szCs w:val="18"/>
        </w:rPr>
        <w:t xml:space="preserve">A </w:t>
      </w:r>
      <w:r w:rsidRPr="009E58F7">
        <w:rPr>
          <w:noProof/>
          <w:sz w:val="18"/>
          <w:szCs w:val="18"/>
        </w:rPr>
        <w:t>béta</w:t>
      </w:r>
      <w:r w:rsidRPr="009E58F7">
        <w:rPr>
          <w:noProof/>
          <w:sz w:val="18"/>
          <w:szCs w:val="18"/>
          <w:vertAlign w:val="subscript"/>
        </w:rPr>
        <w:t>2</w:t>
      </w:r>
      <w:r w:rsidRPr="009E58F7">
        <w:rPr>
          <w:sz w:val="18"/>
          <w:szCs w:val="18"/>
        </w:rPr>
        <w:t>-mikroglobulin, albumin és régióstratifikációs faktorokkal korrigált stratifikált log</w:t>
      </w:r>
      <w:r w:rsidR="003F0F42">
        <w:rPr>
          <w:sz w:val="18"/>
          <w:szCs w:val="18"/>
        </w:rPr>
        <w:t>-</w:t>
      </w:r>
      <w:r w:rsidRPr="009E58F7">
        <w:rPr>
          <w:sz w:val="18"/>
          <w:szCs w:val="18"/>
        </w:rPr>
        <w:t>rank teszt névleges p</w:t>
      </w:r>
      <w:r w:rsidR="003F0F42">
        <w:rPr>
          <w:sz w:val="18"/>
          <w:szCs w:val="18"/>
        </w:rPr>
        <w:t>-</w:t>
      </w:r>
      <w:r w:rsidRPr="009E58F7">
        <w:rPr>
          <w:sz w:val="18"/>
          <w:szCs w:val="18"/>
        </w:rPr>
        <w:t>értéke.</w:t>
      </w:r>
    </w:p>
    <w:p w14:paraId="0F1750EC" w14:textId="2D0D71B2" w:rsidR="005E104E" w:rsidRPr="009E58F7" w:rsidRDefault="005E104E" w:rsidP="003D25C3">
      <w:pPr>
        <w:tabs>
          <w:tab w:val="left" w:pos="426"/>
        </w:tabs>
        <w:spacing w:line="240" w:lineRule="auto"/>
        <w:ind w:left="426" w:hanging="426"/>
        <w:rPr>
          <w:sz w:val="18"/>
          <w:szCs w:val="18"/>
        </w:rPr>
      </w:pPr>
      <w:r w:rsidRPr="009E58F7">
        <w:rPr>
          <w:noProof/>
          <w:sz w:val="18"/>
          <w:szCs w:val="18"/>
          <w:vertAlign w:val="superscript"/>
        </w:rPr>
        <w:t>d</w:t>
      </w:r>
      <w:r w:rsidRPr="009E58F7">
        <w:rPr>
          <w:noProof/>
          <w:sz w:val="18"/>
          <w:szCs w:val="18"/>
        </w:rPr>
        <w:tab/>
      </w:r>
      <w:r w:rsidRPr="009E58F7">
        <w:rPr>
          <w:sz w:val="18"/>
          <w:szCs w:val="18"/>
        </w:rPr>
        <w:t>A stratifikációs faktorokkal korrigált Cochran</w:t>
      </w:r>
      <w:r w:rsidR="002A60FC">
        <w:rPr>
          <w:sz w:val="18"/>
          <w:szCs w:val="18"/>
        </w:rPr>
        <w:t>–</w:t>
      </w:r>
      <w:r w:rsidRPr="009E58F7">
        <w:rPr>
          <w:sz w:val="18"/>
          <w:szCs w:val="18"/>
        </w:rPr>
        <w:t>Mantel</w:t>
      </w:r>
      <w:r w:rsidR="002A60FC">
        <w:rPr>
          <w:sz w:val="18"/>
          <w:szCs w:val="18"/>
        </w:rPr>
        <w:t>–</w:t>
      </w:r>
      <w:r w:rsidRPr="009E58F7">
        <w:rPr>
          <w:sz w:val="18"/>
          <w:szCs w:val="18"/>
        </w:rPr>
        <w:t xml:space="preserve">Haenszel </w:t>
      </w:r>
      <w:r w:rsidR="00FD4D95" w:rsidRPr="009E58F7">
        <w:rPr>
          <w:sz w:val="18"/>
          <w:szCs w:val="18"/>
        </w:rPr>
        <w:t>k</w:t>
      </w:r>
      <w:r w:rsidRPr="009E58F7">
        <w:rPr>
          <w:sz w:val="18"/>
          <w:szCs w:val="18"/>
        </w:rPr>
        <w:t>h</w:t>
      </w:r>
      <w:r w:rsidR="00FD4D95" w:rsidRPr="009E58F7">
        <w:rPr>
          <w:sz w:val="18"/>
          <w:szCs w:val="18"/>
        </w:rPr>
        <w:t>í</w:t>
      </w:r>
      <w:r w:rsidR="003F0F42">
        <w:rPr>
          <w:sz w:val="18"/>
          <w:szCs w:val="18"/>
        </w:rPr>
        <w:t>-</w:t>
      </w:r>
      <w:r w:rsidRPr="009E58F7">
        <w:rPr>
          <w:sz w:val="18"/>
          <w:szCs w:val="18"/>
        </w:rPr>
        <w:t>négyzet próbából származó válaszarány (teljes remisszió + részleges remisszió) p</w:t>
      </w:r>
      <w:r w:rsidR="003F0F42">
        <w:rPr>
          <w:sz w:val="18"/>
          <w:szCs w:val="18"/>
        </w:rPr>
        <w:t>-</w:t>
      </w:r>
      <w:r w:rsidRPr="009E58F7">
        <w:rPr>
          <w:sz w:val="18"/>
          <w:szCs w:val="18"/>
        </w:rPr>
        <w:t>értéke.</w:t>
      </w:r>
    </w:p>
    <w:p w14:paraId="0C881B85" w14:textId="57E3B818" w:rsidR="005E104E" w:rsidRPr="009E58F7" w:rsidRDefault="005E104E">
      <w:pPr>
        <w:tabs>
          <w:tab w:val="left" w:pos="426"/>
        </w:tabs>
        <w:spacing w:line="240" w:lineRule="auto"/>
        <w:ind w:left="426" w:hanging="426"/>
        <w:rPr>
          <w:sz w:val="18"/>
          <w:szCs w:val="18"/>
        </w:rPr>
      </w:pPr>
      <w:r w:rsidRPr="009E58F7">
        <w:rPr>
          <w:noProof/>
          <w:sz w:val="18"/>
          <w:szCs w:val="18"/>
          <w:vertAlign w:val="superscript"/>
        </w:rPr>
        <w:t>e</w:t>
      </w:r>
      <w:r w:rsidRPr="009E58F7">
        <w:rPr>
          <w:noProof/>
          <w:sz w:val="18"/>
          <w:szCs w:val="18"/>
        </w:rPr>
        <w:tab/>
      </w:r>
      <w:r w:rsidRPr="009E58F7">
        <w:rPr>
          <w:sz w:val="18"/>
          <w:szCs w:val="18"/>
        </w:rPr>
        <w:t xml:space="preserve">A válaszpopuláció azokat a </w:t>
      </w:r>
      <w:r w:rsidRPr="009E58F7">
        <w:rPr>
          <w:noProof/>
          <w:sz w:val="18"/>
          <w:szCs w:val="18"/>
        </w:rPr>
        <w:t>betegeket</w:t>
      </w:r>
      <w:r w:rsidRPr="009E58F7">
        <w:rPr>
          <w:sz w:val="18"/>
          <w:szCs w:val="18"/>
        </w:rPr>
        <w:t xml:space="preserve"> tartalmazza, akiknek kiinduláskor kimutatható betegsége volt.</w:t>
      </w:r>
    </w:p>
    <w:p w14:paraId="5C94701E" w14:textId="76DA589D" w:rsidR="005E104E" w:rsidRPr="009E58F7" w:rsidRDefault="005E104E">
      <w:pPr>
        <w:tabs>
          <w:tab w:val="left" w:pos="426"/>
        </w:tabs>
        <w:spacing w:line="240" w:lineRule="auto"/>
        <w:ind w:left="426" w:hanging="426"/>
        <w:rPr>
          <w:sz w:val="18"/>
          <w:szCs w:val="18"/>
        </w:rPr>
      </w:pPr>
      <w:r w:rsidRPr="009E58F7">
        <w:rPr>
          <w:noProof/>
          <w:sz w:val="18"/>
          <w:szCs w:val="18"/>
          <w:vertAlign w:val="superscript"/>
        </w:rPr>
        <w:t>f</w:t>
      </w:r>
      <w:r w:rsidRPr="009E58F7">
        <w:rPr>
          <w:noProof/>
          <w:sz w:val="18"/>
          <w:szCs w:val="18"/>
        </w:rPr>
        <w:tab/>
      </w:r>
      <w:r w:rsidRPr="009E58F7">
        <w:rPr>
          <w:sz w:val="18"/>
          <w:szCs w:val="18"/>
        </w:rPr>
        <w:t>CR</w:t>
      </w:r>
      <w:r w:rsidR="008D0FD1" w:rsidRPr="009E58F7">
        <w:rPr>
          <w:sz w:val="18"/>
          <w:szCs w:val="18"/>
        </w:rPr>
        <w:t> </w:t>
      </w:r>
      <w:r w:rsidRPr="009E58F7">
        <w:rPr>
          <w:sz w:val="18"/>
          <w:szCs w:val="18"/>
        </w:rPr>
        <w:t>=</w:t>
      </w:r>
      <w:r w:rsidR="008D0FD1" w:rsidRPr="009E58F7">
        <w:rPr>
          <w:sz w:val="18"/>
          <w:szCs w:val="18"/>
        </w:rPr>
        <w:t> </w:t>
      </w:r>
      <w:r w:rsidRPr="009E58F7">
        <w:rPr>
          <w:noProof/>
          <w:sz w:val="18"/>
          <w:szCs w:val="18"/>
        </w:rPr>
        <w:t>teljes</w:t>
      </w:r>
      <w:r w:rsidRPr="009E58F7">
        <w:rPr>
          <w:sz w:val="18"/>
          <w:szCs w:val="18"/>
        </w:rPr>
        <w:t xml:space="preserve"> remisszió</w:t>
      </w:r>
      <w:r w:rsidRPr="009E58F7">
        <w:rPr>
          <w:noProof/>
          <w:sz w:val="18"/>
          <w:szCs w:val="18"/>
        </w:rPr>
        <w:t>;</w:t>
      </w:r>
      <w:r w:rsidRPr="009E58F7">
        <w:rPr>
          <w:sz w:val="18"/>
          <w:szCs w:val="18"/>
        </w:rPr>
        <w:t xml:space="preserve"> PR</w:t>
      </w:r>
      <w:r w:rsidR="008D0FD1" w:rsidRPr="009E58F7">
        <w:rPr>
          <w:sz w:val="18"/>
          <w:szCs w:val="18"/>
        </w:rPr>
        <w:t> </w:t>
      </w:r>
      <w:r w:rsidRPr="009E58F7">
        <w:rPr>
          <w:sz w:val="18"/>
          <w:szCs w:val="18"/>
        </w:rPr>
        <w:t>=</w:t>
      </w:r>
      <w:r w:rsidR="008D0FD1" w:rsidRPr="009E58F7">
        <w:rPr>
          <w:sz w:val="18"/>
          <w:szCs w:val="18"/>
        </w:rPr>
        <w:t> </w:t>
      </w:r>
      <w:r w:rsidRPr="009E58F7">
        <w:rPr>
          <w:noProof/>
          <w:sz w:val="18"/>
          <w:szCs w:val="18"/>
        </w:rPr>
        <w:t>részleges</w:t>
      </w:r>
      <w:r w:rsidRPr="009E58F7">
        <w:rPr>
          <w:sz w:val="18"/>
          <w:szCs w:val="18"/>
        </w:rPr>
        <w:t xml:space="preserve"> remisszió. EBMT kritériumok.</w:t>
      </w:r>
    </w:p>
    <w:p w14:paraId="459E0E95" w14:textId="77777777" w:rsidR="005E104E" w:rsidRPr="009E58F7" w:rsidRDefault="005E104E">
      <w:pPr>
        <w:tabs>
          <w:tab w:val="left" w:pos="426"/>
        </w:tabs>
        <w:spacing w:line="240" w:lineRule="auto"/>
        <w:ind w:left="426" w:hanging="426"/>
        <w:rPr>
          <w:sz w:val="18"/>
          <w:szCs w:val="18"/>
        </w:rPr>
      </w:pPr>
      <w:r w:rsidRPr="009E58F7">
        <w:rPr>
          <w:noProof/>
          <w:sz w:val="18"/>
          <w:szCs w:val="18"/>
          <w:vertAlign w:val="superscript"/>
        </w:rPr>
        <w:t>g</w:t>
      </w:r>
      <w:r w:rsidRPr="009E58F7">
        <w:rPr>
          <w:noProof/>
          <w:sz w:val="18"/>
          <w:szCs w:val="18"/>
        </w:rPr>
        <w:tab/>
      </w:r>
      <w:r w:rsidRPr="009E58F7">
        <w:rPr>
          <w:sz w:val="18"/>
          <w:szCs w:val="18"/>
        </w:rPr>
        <w:t>Minden randomizált, szekretoros betegségben szenvedő beteg.</w:t>
      </w:r>
    </w:p>
    <w:p w14:paraId="5BA2423E" w14:textId="0EB54588" w:rsidR="00EC6443" w:rsidRPr="009E58F7" w:rsidRDefault="005E104E">
      <w:pPr>
        <w:tabs>
          <w:tab w:val="left" w:pos="426"/>
        </w:tabs>
        <w:spacing w:line="240" w:lineRule="auto"/>
        <w:ind w:left="426" w:hanging="426"/>
        <w:rPr>
          <w:sz w:val="18"/>
          <w:szCs w:val="18"/>
        </w:rPr>
      </w:pPr>
      <w:r w:rsidRPr="009E58F7">
        <w:rPr>
          <w:noProof/>
          <w:sz w:val="18"/>
          <w:szCs w:val="18"/>
        </w:rPr>
        <w:t>*</w:t>
      </w:r>
      <w:r w:rsidRPr="009E58F7">
        <w:rPr>
          <w:noProof/>
          <w:sz w:val="18"/>
          <w:szCs w:val="18"/>
        </w:rPr>
        <w:tab/>
      </w:r>
      <w:r w:rsidRPr="009E58F7">
        <w:rPr>
          <w:sz w:val="18"/>
          <w:szCs w:val="18"/>
        </w:rPr>
        <w:t>Az aktualizált túlélési érték 60,1</w:t>
      </w:r>
      <w:r w:rsidR="00C56156" w:rsidRPr="009E58F7">
        <w:rPr>
          <w:sz w:val="18"/>
          <w:szCs w:val="18"/>
        </w:rPr>
        <w:t> </w:t>
      </w:r>
      <w:r w:rsidRPr="009E58F7">
        <w:rPr>
          <w:sz w:val="18"/>
          <w:szCs w:val="18"/>
        </w:rPr>
        <w:t>hónapos medián követési időtartamon alapul.</w:t>
      </w:r>
    </w:p>
    <w:p w14:paraId="7AD435BD" w14:textId="77CF82CA" w:rsidR="005E104E" w:rsidRPr="009E58F7" w:rsidRDefault="005E104E">
      <w:pPr>
        <w:tabs>
          <w:tab w:val="left" w:pos="426"/>
        </w:tabs>
        <w:spacing w:line="240" w:lineRule="auto"/>
        <w:ind w:left="426" w:hanging="426"/>
        <w:rPr>
          <w:sz w:val="18"/>
          <w:szCs w:val="18"/>
        </w:rPr>
      </w:pPr>
      <w:r w:rsidRPr="009E58F7">
        <w:rPr>
          <w:sz w:val="18"/>
          <w:szCs w:val="18"/>
        </w:rPr>
        <w:t>CI</w:t>
      </w:r>
      <w:r w:rsidRPr="009E58F7">
        <w:rPr>
          <w:noProof/>
          <w:sz w:val="18"/>
          <w:szCs w:val="18"/>
        </w:rPr>
        <w:t> = konfidencia</w:t>
      </w:r>
      <w:r w:rsidRPr="009E58F7">
        <w:rPr>
          <w:sz w:val="18"/>
          <w:szCs w:val="18"/>
        </w:rPr>
        <w:t>intervallum</w:t>
      </w:r>
      <w:r w:rsidRPr="009E58F7">
        <w:rPr>
          <w:noProof/>
          <w:sz w:val="18"/>
          <w:szCs w:val="18"/>
        </w:rPr>
        <w:t>.</w:t>
      </w:r>
    </w:p>
    <w:p w14:paraId="3A1E7F1C" w14:textId="77777777" w:rsidR="004D6470" w:rsidRPr="009E58F7" w:rsidRDefault="004D6470" w:rsidP="00602E58">
      <w:pPr>
        <w:widowControl w:val="0"/>
        <w:overflowPunct w:val="0"/>
        <w:autoSpaceDE w:val="0"/>
        <w:autoSpaceDN w:val="0"/>
        <w:adjustRightInd w:val="0"/>
        <w:spacing w:line="240" w:lineRule="auto"/>
        <w:rPr>
          <w:color w:val="000000"/>
        </w:rPr>
      </w:pPr>
    </w:p>
    <w:p w14:paraId="3EFF1AEE" w14:textId="77777777" w:rsidR="004D6470" w:rsidRPr="009E58F7" w:rsidRDefault="004D6470" w:rsidP="00D7256D">
      <w:pPr>
        <w:keepNext/>
        <w:autoSpaceDE w:val="0"/>
        <w:autoSpaceDN w:val="0"/>
        <w:adjustRightInd w:val="0"/>
        <w:spacing w:line="240" w:lineRule="auto"/>
      </w:pPr>
      <w:r w:rsidRPr="009E58F7">
        <w:rPr>
          <w:i/>
          <w:color w:val="000000"/>
        </w:rPr>
        <w:t>Őssejt transzplantációra alkalmas betegek</w:t>
      </w:r>
    </w:p>
    <w:p w14:paraId="626BD288" w14:textId="1C06B164" w:rsidR="004D6470" w:rsidRPr="009E58F7" w:rsidRDefault="004D6470" w:rsidP="007070F2">
      <w:pPr>
        <w:pStyle w:val="Nincstrkz"/>
        <w:keepNext/>
      </w:pPr>
      <w:r w:rsidRPr="009E58F7">
        <w:t>Két randomizált, nyílt</w:t>
      </w:r>
      <w:r w:rsidR="005B300B">
        <w:t xml:space="preserve"> elrendezésű</w:t>
      </w:r>
      <w:r w:rsidRPr="009E58F7">
        <w:t>, multicenteres</w:t>
      </w:r>
      <w:r w:rsidR="00C56156" w:rsidRPr="009E58F7">
        <w:t>,</w:t>
      </w:r>
      <w:r w:rsidRPr="009E58F7">
        <w:t xml:space="preserve"> III</w:t>
      </w:r>
      <w:r w:rsidR="00C56156" w:rsidRPr="009E58F7">
        <w:t>.</w:t>
      </w:r>
      <w:r w:rsidR="005B300B">
        <w:t> </w:t>
      </w:r>
      <w:r w:rsidR="00C56156" w:rsidRPr="009E58F7">
        <w:t>fázisú</w:t>
      </w:r>
      <w:r w:rsidRPr="009E58F7">
        <w:t xml:space="preserve"> vizsgálatot (IFM</w:t>
      </w:r>
      <w:r w:rsidR="003F0F42">
        <w:t>-</w:t>
      </w:r>
      <w:r w:rsidRPr="009E58F7">
        <w:t>2005</w:t>
      </w:r>
      <w:r w:rsidR="003F0F42">
        <w:t>-</w:t>
      </w:r>
      <w:r w:rsidRPr="009E58F7">
        <w:t>01, MMY</w:t>
      </w:r>
      <w:r w:rsidR="003F0F42">
        <w:t>-</w:t>
      </w:r>
      <w:r w:rsidRPr="009E58F7">
        <w:t xml:space="preserve">3010) végeztek a bortezomib más kemoterápiás szerekkel képzett kettős és hármas kombinációja biztonságosságának és hatásosságának igazolására, az őssejtbeültetés előtti indukciós kezelésként, korábban még </w:t>
      </w:r>
      <w:r w:rsidR="00C56156" w:rsidRPr="009E58F7">
        <w:t xml:space="preserve">nem </w:t>
      </w:r>
      <w:r w:rsidRPr="009E58F7">
        <w:t>kezelt myeloma multiplexes betegeken.</w:t>
      </w:r>
    </w:p>
    <w:p w14:paraId="5D788851" w14:textId="280641BA" w:rsidR="004D6470" w:rsidRPr="009E58F7" w:rsidRDefault="004D6470" w:rsidP="007070F2">
      <w:pPr>
        <w:spacing w:line="240" w:lineRule="auto"/>
        <w:contextualSpacing/>
      </w:pPr>
      <w:r w:rsidRPr="009E58F7">
        <w:t>Az IFM</w:t>
      </w:r>
      <w:r w:rsidR="003F0F42">
        <w:t>-</w:t>
      </w:r>
      <w:r w:rsidRPr="009E58F7">
        <w:t>2005-01</w:t>
      </w:r>
      <w:r w:rsidR="00BD5400">
        <w:t>-</w:t>
      </w:r>
      <w:r w:rsidRPr="009E58F7">
        <w:t>es vizsgálatban bortezomib</w:t>
      </w:r>
      <w:r w:rsidR="00C56156" w:rsidRPr="009E58F7">
        <w:t xml:space="preserve"> és</w:t>
      </w:r>
      <w:r w:rsidRPr="009E58F7">
        <w:t xml:space="preserve"> dexametazon kombinációját (</w:t>
      </w:r>
      <w:r w:rsidR="00881966" w:rsidRPr="009E58F7">
        <w:t>BzDx</w:t>
      </w:r>
      <w:r w:rsidRPr="009E58F7">
        <w:t xml:space="preserve">, </w:t>
      </w:r>
      <w:r w:rsidR="003212C5" w:rsidRPr="009E58F7">
        <w:t>n = </w:t>
      </w:r>
      <w:r w:rsidRPr="009E58F7">
        <w:t xml:space="preserve">240) hasonlították össze vinkrisztin-doxorubicin-dexametazon kombinációval (VDDx, </w:t>
      </w:r>
      <w:r w:rsidR="003212C5" w:rsidRPr="009E58F7">
        <w:t>n = </w:t>
      </w:r>
      <w:r w:rsidRPr="009E58F7">
        <w:t xml:space="preserve">242). A </w:t>
      </w:r>
      <w:r w:rsidR="00881966" w:rsidRPr="009E58F7">
        <w:t>BzDx</w:t>
      </w:r>
      <w:r w:rsidRPr="009E58F7">
        <w:t xml:space="preserve"> kezelési csoport betegei négy, 21 napos ciklusos kezelésben részesültek, mindegyik tartalmazott </w:t>
      </w:r>
      <w:r w:rsidR="008B6253" w:rsidRPr="009E58F7">
        <w:t>bortezomib</w:t>
      </w:r>
      <w:r w:rsidR="00C56156" w:rsidRPr="009E58F7">
        <w:t>o</w:t>
      </w:r>
      <w:r w:rsidR="00C5286C" w:rsidRPr="009E58F7">
        <w:t>t</w:t>
      </w:r>
      <w:r w:rsidRPr="009E58F7">
        <w:t xml:space="preserve"> (hetente kétszer iv.1,3 mg/m</w:t>
      </w:r>
      <w:r w:rsidRPr="009E58F7">
        <w:rPr>
          <w:vertAlign w:val="superscript"/>
        </w:rPr>
        <w:t>2</w:t>
      </w:r>
      <w:r w:rsidRPr="009E58F7">
        <w:t xml:space="preserve"> az 1., 4., 8. és 11.</w:t>
      </w:r>
      <w:r w:rsidR="00C56156" w:rsidRPr="009E58F7">
        <w:t> </w:t>
      </w:r>
      <w:r w:rsidRPr="009E58F7">
        <w:t>napon) és orális dexametazont (40 mg/nap az 1</w:t>
      </w:r>
      <w:r w:rsidR="005B300B">
        <w:t>–</w:t>
      </w:r>
      <w:r w:rsidRPr="009E58F7">
        <w:t>4</w:t>
      </w:r>
      <w:r w:rsidR="005B300B">
        <w:t>.</w:t>
      </w:r>
      <w:r w:rsidRPr="009E58F7">
        <w:t xml:space="preserve"> és a 9</w:t>
      </w:r>
      <w:r w:rsidR="005B300B">
        <w:t>–</w:t>
      </w:r>
      <w:r w:rsidRPr="009E58F7">
        <w:t>12.</w:t>
      </w:r>
      <w:r w:rsidR="00C56156" w:rsidRPr="009E58F7">
        <w:t> </w:t>
      </w:r>
      <w:r w:rsidRPr="009E58F7">
        <w:t>napokon, az 1. és 2.</w:t>
      </w:r>
      <w:r w:rsidR="00C56156" w:rsidRPr="009E58F7">
        <w:t> </w:t>
      </w:r>
      <w:r w:rsidRPr="009E58F7">
        <w:t>ciklusban és az 1–4</w:t>
      </w:r>
      <w:r w:rsidR="005B300B">
        <w:t>.</w:t>
      </w:r>
      <w:r w:rsidRPr="009E58F7">
        <w:t> napokon a 3. és 4.</w:t>
      </w:r>
      <w:r w:rsidR="00C56156" w:rsidRPr="009E58F7">
        <w:t> </w:t>
      </w:r>
      <w:r w:rsidRPr="009E58F7">
        <w:t>ciklusban).</w:t>
      </w:r>
    </w:p>
    <w:p w14:paraId="74126E41" w14:textId="47B01CEC" w:rsidR="004D6470" w:rsidRPr="009E58F7" w:rsidRDefault="004D6470" w:rsidP="003D25C3">
      <w:pPr>
        <w:spacing w:line="240" w:lineRule="auto"/>
        <w:contextualSpacing/>
      </w:pPr>
      <w:r w:rsidRPr="009E58F7">
        <w:t>Autológ ős</w:t>
      </w:r>
      <w:r w:rsidR="005E104E" w:rsidRPr="009E58F7">
        <w:t>sejt</w:t>
      </w:r>
      <w:r w:rsidR="00C5286C" w:rsidRPr="009E58F7">
        <w:t xml:space="preserve">beültetésben </w:t>
      </w:r>
      <w:r w:rsidR="005E104E" w:rsidRPr="009E58F7">
        <w:t xml:space="preserve">198 beteg (82%) </w:t>
      </w:r>
      <w:r w:rsidR="00C56156" w:rsidRPr="009E58F7">
        <w:t>részesült</w:t>
      </w:r>
      <w:r w:rsidR="005E104E" w:rsidRPr="009E58F7">
        <w:t xml:space="preserve"> a VDDx</w:t>
      </w:r>
      <w:r w:rsidR="005B300B">
        <w:t>,</w:t>
      </w:r>
      <w:r w:rsidR="005E104E" w:rsidRPr="009E58F7">
        <w:t xml:space="preserve"> és 208 </w:t>
      </w:r>
      <w:r w:rsidRPr="009E58F7">
        <w:t xml:space="preserve">beteg (87%) a </w:t>
      </w:r>
      <w:r w:rsidR="00881966" w:rsidRPr="009E58F7">
        <w:t>BzDx</w:t>
      </w:r>
      <w:r w:rsidR="004C69E2">
        <w:t>-</w:t>
      </w:r>
      <w:r w:rsidRPr="009E58F7">
        <w:t>csoportban. A betegek többsége egy</w:t>
      </w:r>
      <w:r w:rsidR="00EC6443" w:rsidRPr="009E58F7">
        <w:t>etlen</w:t>
      </w:r>
      <w:r w:rsidRPr="009E58F7">
        <w:t xml:space="preserve"> egyszeres transzplantációban részesült. A betegek demográfiai</w:t>
      </w:r>
      <w:r w:rsidR="005B300B">
        <w:t>-</w:t>
      </w:r>
      <w:r w:rsidRPr="009E58F7">
        <w:t xml:space="preserve"> és kiindulási kórképjellemzői hasonlóak voltak a két kezelési csoportban. A </w:t>
      </w:r>
      <w:r w:rsidR="005E104E" w:rsidRPr="009E58F7">
        <w:t>betegek életkorának mediánja 57 </w:t>
      </w:r>
      <w:r w:rsidRPr="009E58F7">
        <w:t>év volt, 55% volt férfi</w:t>
      </w:r>
      <w:r w:rsidR="00C56156" w:rsidRPr="009E58F7">
        <w:t>,</w:t>
      </w:r>
      <w:r w:rsidRPr="009E58F7">
        <w:t xml:space="preserve"> és a betegek 48%-a volt citogenetikailag nagy kockázatú. A kezelés </w:t>
      </w:r>
      <w:r w:rsidR="00C5286C" w:rsidRPr="009E58F7">
        <w:t>időtartamának</w:t>
      </w:r>
      <w:r w:rsidRPr="009E58F7">
        <w:t xml:space="preserve"> mediánja </w:t>
      </w:r>
      <w:bookmarkStart w:id="37" w:name="page125"/>
      <w:bookmarkEnd w:id="37"/>
      <w:r w:rsidR="005E104E" w:rsidRPr="009E58F7">
        <w:t>13 hét volt a VDDx</w:t>
      </w:r>
      <w:r w:rsidR="004C69E2">
        <w:t>-</w:t>
      </w:r>
      <w:r w:rsidR="005B300B">
        <w:t>,</w:t>
      </w:r>
      <w:r w:rsidR="005E104E" w:rsidRPr="009E58F7">
        <w:t xml:space="preserve"> és 11 </w:t>
      </w:r>
      <w:r w:rsidRPr="009E58F7">
        <w:t xml:space="preserve">hét a </w:t>
      </w:r>
      <w:r w:rsidR="00881966" w:rsidRPr="009E58F7">
        <w:t>BzDx</w:t>
      </w:r>
      <w:r w:rsidR="004C69E2">
        <w:t>-</w:t>
      </w:r>
      <w:r w:rsidRPr="009E58F7">
        <w:t xml:space="preserve">csoportban. A kezelés </w:t>
      </w:r>
      <w:r w:rsidR="00C5286C" w:rsidRPr="009E58F7">
        <w:t>ciklusszámának</w:t>
      </w:r>
      <w:r w:rsidRPr="009E58F7">
        <w:t xml:space="preserve"> mediánja mindkét csoportban 4 volt. A vizsgálat </w:t>
      </w:r>
      <w:r w:rsidR="00C5286C" w:rsidRPr="009E58F7">
        <w:t>elsődleges</w:t>
      </w:r>
      <w:r w:rsidRPr="009E58F7">
        <w:t xml:space="preserve"> hatásossági végpontja az indukció utáni válaszarány volt </w:t>
      </w:r>
      <w:r w:rsidRPr="009E58F7">
        <w:lastRenderedPageBreak/>
        <w:t xml:space="preserve">(CR+nCR). Statisztikailag szignifikáns különbség a CR+nCR-ben volt </w:t>
      </w:r>
      <w:r w:rsidR="00C5286C" w:rsidRPr="009E58F7">
        <w:t>megfigyelhető</w:t>
      </w:r>
      <w:r w:rsidRPr="009E58F7">
        <w:t xml:space="preserve"> a dexametazonnal kombinált bortezomib javára. A vizsgálat másodlagos hatásossági végpontjai közé tartoztak a transzplantáció utáni válaszarányok (CR+nCR, CR+nCR+VGPR+PR), a progressziómentes túlélés és </w:t>
      </w:r>
      <w:r w:rsidR="00C5286C" w:rsidRPr="009E58F7">
        <w:t xml:space="preserve">a teljes </w:t>
      </w:r>
      <w:r w:rsidRPr="009E58F7">
        <w:t>túlélés. A fő hatásossági eredményeket a 12.</w:t>
      </w:r>
      <w:r w:rsidR="00C56156" w:rsidRPr="009E58F7">
        <w:t> </w:t>
      </w:r>
      <w:r w:rsidRPr="009E58F7">
        <w:t>táblázat mutatja be.</w:t>
      </w:r>
    </w:p>
    <w:p w14:paraId="021CA3DC" w14:textId="77777777" w:rsidR="005E104E" w:rsidRPr="009E58F7" w:rsidRDefault="005E104E">
      <w:pPr>
        <w:spacing w:line="240" w:lineRule="auto"/>
        <w:rPr>
          <w:i/>
        </w:rPr>
      </w:pPr>
    </w:p>
    <w:p w14:paraId="1FC6E64C" w14:textId="66119618" w:rsidR="005E104E" w:rsidRPr="009E58F7" w:rsidRDefault="005E104E" w:rsidP="00E26B3B">
      <w:pPr>
        <w:keepNext/>
        <w:spacing w:line="240" w:lineRule="auto"/>
        <w:rPr>
          <w:i/>
        </w:rPr>
      </w:pPr>
      <w:r w:rsidRPr="009E58F7">
        <w:rPr>
          <w:i/>
        </w:rPr>
        <w:t>12. táblázat:</w:t>
      </w:r>
      <w:r w:rsidR="00FD0DFA" w:rsidRPr="009E58F7">
        <w:rPr>
          <w:i/>
          <w:iCs/>
          <w:noProof/>
        </w:rPr>
        <w:tab/>
      </w:r>
      <w:r w:rsidRPr="009E58F7">
        <w:rPr>
          <w:i/>
        </w:rPr>
        <w:t>Az IFM-2005-01 vizsgálat hatásossági eredményei</w:t>
      </w:r>
    </w:p>
    <w:tbl>
      <w:tblPr>
        <w:tblW w:w="9923" w:type="dxa"/>
        <w:tblInd w:w="10" w:type="dxa"/>
        <w:tblLayout w:type="fixed"/>
        <w:tblCellMar>
          <w:left w:w="0" w:type="dxa"/>
          <w:right w:w="0" w:type="dxa"/>
        </w:tblCellMar>
        <w:tblLook w:val="04A0" w:firstRow="1" w:lastRow="0" w:firstColumn="1" w:lastColumn="0" w:noHBand="0" w:noVBand="1"/>
      </w:tblPr>
      <w:tblGrid>
        <w:gridCol w:w="2451"/>
        <w:gridCol w:w="2369"/>
        <w:gridCol w:w="1418"/>
        <w:gridCol w:w="992"/>
        <w:gridCol w:w="2693"/>
      </w:tblGrid>
      <w:tr w:rsidR="00FD0DFA" w:rsidRPr="009E58F7" w14:paraId="1D33A7C2" w14:textId="77777777" w:rsidTr="00E64005">
        <w:trPr>
          <w:trHeight w:val="220"/>
        </w:trPr>
        <w:tc>
          <w:tcPr>
            <w:tcW w:w="2451" w:type="dxa"/>
            <w:tcBorders>
              <w:top w:val="single" w:sz="8" w:space="0" w:color="auto"/>
              <w:left w:val="single" w:sz="8" w:space="0" w:color="auto"/>
              <w:bottom w:val="single" w:sz="8" w:space="0" w:color="auto"/>
              <w:right w:val="single" w:sz="8" w:space="0" w:color="auto"/>
            </w:tcBorders>
            <w:vAlign w:val="bottom"/>
          </w:tcPr>
          <w:p w14:paraId="4A73418F" w14:textId="77777777" w:rsidR="00FD0DFA" w:rsidRPr="009E58F7" w:rsidRDefault="00FD0DFA" w:rsidP="00E26B3B">
            <w:pPr>
              <w:keepNext/>
              <w:spacing w:line="240" w:lineRule="auto"/>
              <w:contextualSpacing/>
              <w:jc w:val="both"/>
            </w:pPr>
            <w:r w:rsidRPr="009E58F7">
              <w:rPr>
                <w:b/>
                <w:bCs/>
              </w:rPr>
              <w:t>Hatásossági végpont</w:t>
            </w:r>
          </w:p>
        </w:tc>
        <w:tc>
          <w:tcPr>
            <w:tcW w:w="2369" w:type="dxa"/>
            <w:tcBorders>
              <w:top w:val="single" w:sz="8" w:space="0" w:color="auto"/>
              <w:bottom w:val="single" w:sz="8" w:space="0" w:color="auto"/>
              <w:right w:val="single" w:sz="8" w:space="0" w:color="auto"/>
            </w:tcBorders>
            <w:vAlign w:val="bottom"/>
          </w:tcPr>
          <w:p w14:paraId="42A6E1CB" w14:textId="77777777" w:rsidR="00FD0DFA" w:rsidRPr="009E58F7" w:rsidRDefault="00FD0DFA" w:rsidP="00E26B3B">
            <w:pPr>
              <w:keepNext/>
              <w:spacing w:line="240" w:lineRule="auto"/>
              <w:contextualSpacing/>
              <w:jc w:val="center"/>
              <w:rPr>
                <w:b/>
                <w:bCs/>
              </w:rPr>
            </w:pPr>
            <w:r w:rsidRPr="009E58F7">
              <w:rPr>
                <w:b/>
                <w:bCs/>
              </w:rPr>
              <w:t>BzDx</w:t>
            </w:r>
          </w:p>
        </w:tc>
        <w:tc>
          <w:tcPr>
            <w:tcW w:w="2410" w:type="dxa"/>
            <w:gridSpan w:val="2"/>
            <w:tcBorders>
              <w:top w:val="single" w:sz="8" w:space="0" w:color="auto"/>
              <w:bottom w:val="single" w:sz="8" w:space="0" w:color="auto"/>
              <w:right w:val="single" w:sz="8" w:space="0" w:color="auto"/>
            </w:tcBorders>
            <w:vAlign w:val="bottom"/>
          </w:tcPr>
          <w:p w14:paraId="4B7CC5D9" w14:textId="77777777" w:rsidR="00FD0DFA" w:rsidRPr="009E58F7" w:rsidRDefault="00FD0DFA" w:rsidP="00E26B3B">
            <w:pPr>
              <w:keepNext/>
              <w:spacing w:line="240" w:lineRule="auto"/>
              <w:contextualSpacing/>
              <w:jc w:val="center"/>
              <w:rPr>
                <w:b/>
                <w:bCs/>
              </w:rPr>
            </w:pPr>
            <w:r w:rsidRPr="009E58F7">
              <w:rPr>
                <w:b/>
                <w:bCs/>
              </w:rPr>
              <w:t>VDDx</w:t>
            </w:r>
          </w:p>
        </w:tc>
        <w:tc>
          <w:tcPr>
            <w:tcW w:w="2693" w:type="dxa"/>
            <w:tcBorders>
              <w:top w:val="single" w:sz="8" w:space="0" w:color="auto"/>
              <w:bottom w:val="single" w:sz="8" w:space="0" w:color="auto"/>
              <w:right w:val="single" w:sz="8" w:space="0" w:color="auto"/>
            </w:tcBorders>
            <w:vAlign w:val="bottom"/>
          </w:tcPr>
          <w:p w14:paraId="0CBEFB70" w14:textId="77777777" w:rsidR="00FD0DFA" w:rsidRPr="009E58F7" w:rsidRDefault="00FD0DFA" w:rsidP="00E26B3B">
            <w:pPr>
              <w:keepNext/>
              <w:spacing w:line="240" w:lineRule="auto"/>
              <w:contextualSpacing/>
              <w:jc w:val="center"/>
              <w:rPr>
                <w:b/>
                <w:bCs/>
              </w:rPr>
            </w:pPr>
            <w:r w:rsidRPr="009E58F7">
              <w:rPr>
                <w:b/>
                <w:bCs/>
              </w:rPr>
              <w:t>OR; 95%-os CI; p-érték</w:t>
            </w:r>
            <w:r w:rsidRPr="009E58F7">
              <w:rPr>
                <w:rFonts w:ascii="Times" w:hAnsi="Times"/>
                <w:b/>
                <w:bCs/>
                <w:vertAlign w:val="superscript"/>
              </w:rPr>
              <w:t>a</w:t>
            </w:r>
          </w:p>
        </w:tc>
      </w:tr>
      <w:tr w:rsidR="00FD0DFA" w:rsidRPr="009E58F7" w14:paraId="241D8DDB" w14:textId="77777777" w:rsidTr="00E64005">
        <w:trPr>
          <w:trHeight w:val="227"/>
        </w:trPr>
        <w:tc>
          <w:tcPr>
            <w:tcW w:w="2451" w:type="dxa"/>
            <w:tcBorders>
              <w:left w:val="single" w:sz="8" w:space="0" w:color="auto"/>
              <w:bottom w:val="single" w:sz="8" w:space="0" w:color="auto"/>
              <w:right w:val="single" w:sz="8" w:space="0" w:color="auto"/>
            </w:tcBorders>
            <w:vAlign w:val="bottom"/>
          </w:tcPr>
          <w:p w14:paraId="61B779CB" w14:textId="77777777" w:rsidR="00FD0DFA" w:rsidRPr="009E58F7" w:rsidRDefault="00FD0DFA" w:rsidP="007070F2">
            <w:pPr>
              <w:spacing w:line="240" w:lineRule="auto"/>
              <w:contextualSpacing/>
              <w:jc w:val="both"/>
              <w:rPr>
                <w:b/>
              </w:rPr>
            </w:pPr>
            <w:r w:rsidRPr="009E58F7">
              <w:rPr>
                <w:b/>
              </w:rPr>
              <w:t>IFM-2005-01</w:t>
            </w:r>
          </w:p>
        </w:tc>
        <w:tc>
          <w:tcPr>
            <w:tcW w:w="2369" w:type="dxa"/>
            <w:tcBorders>
              <w:bottom w:val="single" w:sz="8" w:space="0" w:color="auto"/>
              <w:right w:val="single" w:sz="8" w:space="0" w:color="auto"/>
            </w:tcBorders>
            <w:vAlign w:val="bottom"/>
          </w:tcPr>
          <w:p w14:paraId="56C8430D" w14:textId="5834CD33" w:rsidR="00FD0DFA" w:rsidRPr="009E58F7" w:rsidRDefault="00FD0DFA" w:rsidP="007070F2">
            <w:pPr>
              <w:spacing w:line="240" w:lineRule="auto"/>
              <w:contextualSpacing/>
              <w:jc w:val="center"/>
            </w:pPr>
            <w:r w:rsidRPr="009E58F7">
              <w:t>n = 240 (ITT populáció)</w:t>
            </w:r>
          </w:p>
        </w:tc>
        <w:tc>
          <w:tcPr>
            <w:tcW w:w="2410" w:type="dxa"/>
            <w:gridSpan w:val="2"/>
            <w:tcBorders>
              <w:bottom w:val="single" w:sz="8" w:space="0" w:color="auto"/>
              <w:right w:val="single" w:sz="8" w:space="0" w:color="auto"/>
            </w:tcBorders>
            <w:vAlign w:val="bottom"/>
          </w:tcPr>
          <w:p w14:paraId="5BC12F8D" w14:textId="2C1182B1" w:rsidR="00FD0DFA" w:rsidRPr="009E58F7" w:rsidRDefault="00FD0DFA" w:rsidP="007070F2">
            <w:pPr>
              <w:spacing w:line="240" w:lineRule="auto"/>
              <w:contextualSpacing/>
              <w:jc w:val="center"/>
            </w:pPr>
            <w:r w:rsidRPr="009E58F7">
              <w:t>n = 242 (ITT populáció)</w:t>
            </w:r>
          </w:p>
        </w:tc>
        <w:tc>
          <w:tcPr>
            <w:tcW w:w="2693" w:type="dxa"/>
            <w:tcBorders>
              <w:bottom w:val="single" w:sz="8" w:space="0" w:color="auto"/>
              <w:right w:val="single" w:sz="8" w:space="0" w:color="auto"/>
            </w:tcBorders>
            <w:vAlign w:val="bottom"/>
          </w:tcPr>
          <w:p w14:paraId="1D4A084B" w14:textId="77777777" w:rsidR="00FD0DFA" w:rsidRPr="009E58F7" w:rsidRDefault="00FD0DFA" w:rsidP="007070F2">
            <w:pPr>
              <w:spacing w:line="240" w:lineRule="auto"/>
              <w:contextualSpacing/>
              <w:jc w:val="both"/>
            </w:pPr>
          </w:p>
        </w:tc>
      </w:tr>
      <w:tr w:rsidR="00FD0DFA" w:rsidRPr="009E58F7" w14:paraId="5519FE0E" w14:textId="77777777" w:rsidTr="00E64005">
        <w:trPr>
          <w:trHeight w:val="193"/>
        </w:trPr>
        <w:tc>
          <w:tcPr>
            <w:tcW w:w="2451" w:type="dxa"/>
            <w:tcBorders>
              <w:left w:val="single" w:sz="8" w:space="0" w:color="auto"/>
              <w:right w:val="single" w:sz="8" w:space="0" w:color="auto"/>
            </w:tcBorders>
            <w:vAlign w:val="bottom"/>
          </w:tcPr>
          <w:p w14:paraId="1CD7E24D" w14:textId="77777777" w:rsidR="00FD0DFA" w:rsidRPr="009E58F7" w:rsidRDefault="00FD0DFA" w:rsidP="007070F2">
            <w:pPr>
              <w:spacing w:line="240" w:lineRule="auto"/>
              <w:contextualSpacing/>
              <w:jc w:val="both"/>
            </w:pPr>
            <w:r w:rsidRPr="009E58F7">
              <w:rPr>
                <w:i/>
                <w:iCs/>
              </w:rPr>
              <w:t>RR (indukció utáni)</w:t>
            </w:r>
          </w:p>
        </w:tc>
        <w:tc>
          <w:tcPr>
            <w:tcW w:w="2369" w:type="dxa"/>
            <w:tcBorders>
              <w:right w:val="single" w:sz="8" w:space="0" w:color="auto"/>
            </w:tcBorders>
            <w:vAlign w:val="bottom"/>
          </w:tcPr>
          <w:p w14:paraId="2111725A" w14:textId="77777777" w:rsidR="00FD0DFA" w:rsidRPr="009E58F7" w:rsidRDefault="00FD0DFA" w:rsidP="007070F2">
            <w:pPr>
              <w:spacing w:line="240" w:lineRule="auto"/>
              <w:contextualSpacing/>
              <w:jc w:val="center"/>
            </w:pPr>
          </w:p>
        </w:tc>
        <w:tc>
          <w:tcPr>
            <w:tcW w:w="2410" w:type="dxa"/>
            <w:gridSpan w:val="2"/>
            <w:vMerge w:val="restart"/>
            <w:tcBorders>
              <w:right w:val="single" w:sz="8" w:space="0" w:color="auto"/>
            </w:tcBorders>
            <w:vAlign w:val="bottom"/>
          </w:tcPr>
          <w:p w14:paraId="355C9A06" w14:textId="77777777" w:rsidR="00FD0DFA" w:rsidRPr="009E58F7" w:rsidRDefault="00FD0DFA" w:rsidP="007070F2">
            <w:pPr>
              <w:spacing w:line="240" w:lineRule="auto"/>
              <w:contextualSpacing/>
              <w:jc w:val="center"/>
            </w:pPr>
            <w:r w:rsidRPr="009E58F7">
              <w:t>6,2 (3.5; 10,0)</w:t>
            </w:r>
          </w:p>
        </w:tc>
        <w:tc>
          <w:tcPr>
            <w:tcW w:w="2693" w:type="dxa"/>
            <w:vMerge w:val="restart"/>
            <w:tcBorders>
              <w:left w:val="single" w:sz="8" w:space="0" w:color="auto"/>
              <w:right w:val="single" w:sz="8" w:space="0" w:color="auto"/>
            </w:tcBorders>
            <w:vAlign w:val="bottom"/>
          </w:tcPr>
          <w:p w14:paraId="3C8D9BEA" w14:textId="77777777" w:rsidR="00FD0DFA" w:rsidRPr="009E58F7" w:rsidRDefault="00FD0DFA" w:rsidP="007070F2">
            <w:pPr>
              <w:spacing w:line="240" w:lineRule="auto"/>
              <w:contextualSpacing/>
              <w:jc w:val="center"/>
            </w:pPr>
            <w:r w:rsidRPr="009E58F7">
              <w:t>2,58 (1,37; 4,85); 0,003</w:t>
            </w:r>
          </w:p>
        </w:tc>
      </w:tr>
      <w:tr w:rsidR="00FD0DFA" w:rsidRPr="009E58F7" w14:paraId="7D0C2335" w14:textId="77777777" w:rsidTr="00E64005">
        <w:trPr>
          <w:trHeight w:val="216"/>
        </w:trPr>
        <w:tc>
          <w:tcPr>
            <w:tcW w:w="2451" w:type="dxa"/>
            <w:tcBorders>
              <w:left w:val="single" w:sz="8" w:space="0" w:color="auto"/>
              <w:right w:val="single" w:sz="8" w:space="0" w:color="auto"/>
            </w:tcBorders>
            <w:vAlign w:val="bottom"/>
          </w:tcPr>
          <w:p w14:paraId="613431E1" w14:textId="77777777" w:rsidR="00FD0DFA" w:rsidRPr="009E58F7" w:rsidRDefault="00FD0DFA" w:rsidP="007070F2">
            <w:pPr>
              <w:spacing w:line="240" w:lineRule="auto"/>
              <w:contextualSpacing/>
              <w:jc w:val="both"/>
            </w:pPr>
            <w:r w:rsidRPr="009E58F7">
              <w:t>*CR+nCR</w:t>
            </w:r>
          </w:p>
        </w:tc>
        <w:tc>
          <w:tcPr>
            <w:tcW w:w="2369" w:type="dxa"/>
            <w:tcBorders>
              <w:right w:val="single" w:sz="8" w:space="0" w:color="auto"/>
            </w:tcBorders>
            <w:vAlign w:val="bottom"/>
          </w:tcPr>
          <w:p w14:paraId="2A6A79EE" w14:textId="77777777" w:rsidR="00FD0DFA" w:rsidRPr="009E58F7" w:rsidRDefault="00FD0DFA" w:rsidP="007070F2">
            <w:pPr>
              <w:spacing w:line="240" w:lineRule="auto"/>
              <w:contextualSpacing/>
              <w:jc w:val="center"/>
            </w:pPr>
            <w:r w:rsidRPr="009E58F7">
              <w:t>14,6 (10,4; 19,7)</w:t>
            </w:r>
          </w:p>
        </w:tc>
        <w:tc>
          <w:tcPr>
            <w:tcW w:w="2410" w:type="dxa"/>
            <w:gridSpan w:val="2"/>
            <w:vMerge/>
            <w:tcBorders>
              <w:right w:val="single" w:sz="8" w:space="0" w:color="auto"/>
            </w:tcBorders>
            <w:vAlign w:val="bottom"/>
          </w:tcPr>
          <w:p w14:paraId="51D4563C" w14:textId="77777777" w:rsidR="00FD0DFA" w:rsidRPr="009E58F7" w:rsidRDefault="00FD0DFA" w:rsidP="007070F2">
            <w:pPr>
              <w:spacing w:line="240" w:lineRule="auto"/>
              <w:contextualSpacing/>
              <w:jc w:val="center"/>
            </w:pPr>
          </w:p>
        </w:tc>
        <w:tc>
          <w:tcPr>
            <w:tcW w:w="2693" w:type="dxa"/>
            <w:vMerge/>
            <w:tcBorders>
              <w:left w:val="single" w:sz="8" w:space="0" w:color="auto"/>
              <w:right w:val="single" w:sz="8" w:space="0" w:color="auto"/>
            </w:tcBorders>
            <w:vAlign w:val="bottom"/>
          </w:tcPr>
          <w:p w14:paraId="59FD0D2B" w14:textId="77777777" w:rsidR="00FD0DFA" w:rsidRPr="009E58F7" w:rsidRDefault="00FD0DFA" w:rsidP="007070F2">
            <w:pPr>
              <w:spacing w:line="240" w:lineRule="auto"/>
              <w:contextualSpacing/>
              <w:jc w:val="center"/>
            </w:pPr>
          </w:p>
        </w:tc>
      </w:tr>
      <w:tr w:rsidR="00FD0DFA" w:rsidRPr="009E58F7" w14:paraId="18C15027" w14:textId="77777777" w:rsidTr="00E64005">
        <w:trPr>
          <w:trHeight w:val="217"/>
        </w:trPr>
        <w:tc>
          <w:tcPr>
            <w:tcW w:w="2451" w:type="dxa"/>
            <w:tcBorders>
              <w:left w:val="single" w:sz="8" w:space="0" w:color="auto"/>
              <w:right w:val="single" w:sz="8" w:space="0" w:color="auto"/>
            </w:tcBorders>
            <w:vAlign w:val="bottom"/>
          </w:tcPr>
          <w:p w14:paraId="55AF98DF" w14:textId="77777777" w:rsidR="00FD0DFA" w:rsidRPr="009E58F7" w:rsidRDefault="00FD0DFA" w:rsidP="007070F2">
            <w:pPr>
              <w:spacing w:line="240" w:lineRule="auto"/>
              <w:contextualSpacing/>
              <w:jc w:val="both"/>
            </w:pPr>
            <w:r w:rsidRPr="009E58F7">
              <w:t>CR+nCR+VGPR+PR</w:t>
            </w:r>
          </w:p>
        </w:tc>
        <w:tc>
          <w:tcPr>
            <w:tcW w:w="2369" w:type="dxa"/>
            <w:tcBorders>
              <w:right w:val="single" w:sz="8" w:space="0" w:color="auto"/>
            </w:tcBorders>
            <w:vAlign w:val="bottom"/>
          </w:tcPr>
          <w:p w14:paraId="4C887D26" w14:textId="77777777" w:rsidR="00FD0DFA" w:rsidRPr="009E58F7" w:rsidRDefault="00FD0DFA" w:rsidP="007070F2">
            <w:pPr>
              <w:spacing w:line="240" w:lineRule="auto"/>
              <w:contextualSpacing/>
              <w:jc w:val="center"/>
            </w:pPr>
            <w:r w:rsidRPr="009E58F7">
              <w:t>77,1 (71,2; 82,2)</w:t>
            </w:r>
          </w:p>
        </w:tc>
        <w:tc>
          <w:tcPr>
            <w:tcW w:w="2410" w:type="dxa"/>
            <w:gridSpan w:val="2"/>
            <w:tcBorders>
              <w:right w:val="single" w:sz="8" w:space="0" w:color="auto"/>
            </w:tcBorders>
            <w:vAlign w:val="bottom"/>
          </w:tcPr>
          <w:p w14:paraId="2B36085A" w14:textId="77777777" w:rsidR="00FD0DFA" w:rsidRPr="009E58F7" w:rsidRDefault="00FD0DFA" w:rsidP="007070F2">
            <w:pPr>
              <w:spacing w:line="240" w:lineRule="auto"/>
              <w:contextualSpacing/>
              <w:jc w:val="center"/>
            </w:pPr>
            <w:r w:rsidRPr="009E58F7">
              <w:t>60,7(54,3, 66,9)</w:t>
            </w:r>
          </w:p>
        </w:tc>
        <w:tc>
          <w:tcPr>
            <w:tcW w:w="2693" w:type="dxa"/>
            <w:tcBorders>
              <w:right w:val="single" w:sz="8" w:space="0" w:color="auto"/>
            </w:tcBorders>
            <w:vAlign w:val="bottom"/>
          </w:tcPr>
          <w:p w14:paraId="52EB2D9A" w14:textId="4BB80C81" w:rsidR="00FD0DFA" w:rsidRPr="009E58F7" w:rsidRDefault="00FD0DFA" w:rsidP="007070F2">
            <w:pPr>
              <w:spacing w:line="240" w:lineRule="auto"/>
              <w:contextualSpacing/>
              <w:jc w:val="center"/>
            </w:pPr>
            <w:r w:rsidRPr="009E58F7">
              <w:t>2,18 (1,46; 3,24); &lt; 0,001</w:t>
            </w:r>
          </w:p>
        </w:tc>
      </w:tr>
      <w:tr w:rsidR="00FD0DFA" w:rsidRPr="009E58F7" w14:paraId="47B5B221" w14:textId="77777777" w:rsidTr="00E64005">
        <w:trPr>
          <w:trHeight w:val="228"/>
        </w:trPr>
        <w:tc>
          <w:tcPr>
            <w:tcW w:w="2451" w:type="dxa"/>
            <w:tcBorders>
              <w:left w:val="single" w:sz="8" w:space="0" w:color="auto"/>
              <w:bottom w:val="single" w:sz="8" w:space="0" w:color="auto"/>
              <w:right w:val="single" w:sz="8" w:space="0" w:color="auto"/>
            </w:tcBorders>
            <w:vAlign w:val="bottom"/>
          </w:tcPr>
          <w:p w14:paraId="4B2CAE73" w14:textId="77777777" w:rsidR="00FD0DFA" w:rsidRPr="009E58F7" w:rsidRDefault="00FD0DFA" w:rsidP="007070F2">
            <w:pPr>
              <w:spacing w:line="240" w:lineRule="auto"/>
              <w:contextualSpacing/>
              <w:jc w:val="both"/>
            </w:pPr>
            <w:r w:rsidRPr="009E58F7">
              <w:t>% (95%-os CI)</w:t>
            </w:r>
          </w:p>
        </w:tc>
        <w:tc>
          <w:tcPr>
            <w:tcW w:w="2369" w:type="dxa"/>
            <w:tcBorders>
              <w:bottom w:val="single" w:sz="8" w:space="0" w:color="auto"/>
              <w:right w:val="single" w:sz="8" w:space="0" w:color="auto"/>
            </w:tcBorders>
            <w:vAlign w:val="bottom"/>
          </w:tcPr>
          <w:p w14:paraId="0C2D5A28" w14:textId="77777777" w:rsidR="00FD0DFA" w:rsidRPr="009E58F7" w:rsidRDefault="00FD0DFA" w:rsidP="007070F2">
            <w:pPr>
              <w:spacing w:line="240" w:lineRule="auto"/>
              <w:contextualSpacing/>
              <w:jc w:val="center"/>
            </w:pPr>
          </w:p>
        </w:tc>
        <w:tc>
          <w:tcPr>
            <w:tcW w:w="1418" w:type="dxa"/>
            <w:tcBorders>
              <w:bottom w:val="single" w:sz="8" w:space="0" w:color="auto"/>
            </w:tcBorders>
            <w:vAlign w:val="bottom"/>
          </w:tcPr>
          <w:p w14:paraId="42E864FB" w14:textId="77777777" w:rsidR="00FD0DFA" w:rsidRPr="009E58F7" w:rsidRDefault="00FD0DFA" w:rsidP="007070F2">
            <w:pPr>
              <w:spacing w:line="240" w:lineRule="auto"/>
              <w:contextualSpacing/>
              <w:jc w:val="center"/>
            </w:pPr>
          </w:p>
        </w:tc>
        <w:tc>
          <w:tcPr>
            <w:tcW w:w="992" w:type="dxa"/>
            <w:tcBorders>
              <w:bottom w:val="single" w:sz="8" w:space="0" w:color="auto"/>
              <w:right w:val="single" w:sz="8" w:space="0" w:color="auto"/>
            </w:tcBorders>
            <w:vAlign w:val="bottom"/>
          </w:tcPr>
          <w:p w14:paraId="6876D0B7" w14:textId="77777777" w:rsidR="00FD0DFA" w:rsidRPr="009E58F7" w:rsidRDefault="00FD0DFA" w:rsidP="007070F2">
            <w:pPr>
              <w:spacing w:line="240" w:lineRule="auto"/>
              <w:contextualSpacing/>
              <w:jc w:val="center"/>
            </w:pPr>
          </w:p>
        </w:tc>
        <w:tc>
          <w:tcPr>
            <w:tcW w:w="2693" w:type="dxa"/>
            <w:tcBorders>
              <w:bottom w:val="single" w:sz="8" w:space="0" w:color="auto"/>
              <w:right w:val="single" w:sz="8" w:space="0" w:color="auto"/>
            </w:tcBorders>
            <w:vAlign w:val="bottom"/>
          </w:tcPr>
          <w:p w14:paraId="3131ED06" w14:textId="77777777" w:rsidR="00FD0DFA" w:rsidRPr="009E58F7" w:rsidRDefault="00FD0DFA" w:rsidP="007070F2">
            <w:pPr>
              <w:spacing w:line="240" w:lineRule="auto"/>
              <w:contextualSpacing/>
              <w:jc w:val="center"/>
            </w:pPr>
          </w:p>
        </w:tc>
      </w:tr>
      <w:tr w:rsidR="00FD0DFA" w:rsidRPr="009E58F7" w14:paraId="70E1AEC3" w14:textId="77777777" w:rsidTr="00E64005">
        <w:trPr>
          <w:trHeight w:val="188"/>
        </w:trPr>
        <w:tc>
          <w:tcPr>
            <w:tcW w:w="2451" w:type="dxa"/>
            <w:tcBorders>
              <w:left w:val="single" w:sz="8" w:space="0" w:color="auto"/>
              <w:right w:val="single" w:sz="8" w:space="0" w:color="auto"/>
            </w:tcBorders>
            <w:vAlign w:val="bottom"/>
          </w:tcPr>
          <w:p w14:paraId="207F68A4" w14:textId="77777777" w:rsidR="00FD0DFA" w:rsidRPr="009E58F7" w:rsidRDefault="00FD0DFA" w:rsidP="007070F2">
            <w:pPr>
              <w:spacing w:line="240" w:lineRule="auto"/>
              <w:contextualSpacing/>
              <w:jc w:val="both"/>
            </w:pPr>
            <w:r w:rsidRPr="009E58F7">
              <w:rPr>
                <w:i/>
                <w:iCs/>
              </w:rPr>
              <w:t>RR (transzplantáció</w:t>
            </w:r>
          </w:p>
        </w:tc>
        <w:tc>
          <w:tcPr>
            <w:tcW w:w="2369" w:type="dxa"/>
            <w:tcBorders>
              <w:right w:val="single" w:sz="8" w:space="0" w:color="auto"/>
            </w:tcBorders>
            <w:vAlign w:val="bottom"/>
          </w:tcPr>
          <w:p w14:paraId="52DE2E73" w14:textId="77777777" w:rsidR="00FD0DFA" w:rsidRPr="009E58F7" w:rsidRDefault="00FD0DFA" w:rsidP="007070F2">
            <w:pPr>
              <w:spacing w:line="240" w:lineRule="auto"/>
              <w:contextualSpacing/>
              <w:jc w:val="center"/>
            </w:pPr>
          </w:p>
        </w:tc>
        <w:tc>
          <w:tcPr>
            <w:tcW w:w="1418" w:type="dxa"/>
            <w:vAlign w:val="bottom"/>
          </w:tcPr>
          <w:p w14:paraId="30A8C792" w14:textId="77777777" w:rsidR="00FD0DFA" w:rsidRPr="009E58F7" w:rsidRDefault="00FD0DFA" w:rsidP="007070F2">
            <w:pPr>
              <w:spacing w:line="240" w:lineRule="auto"/>
              <w:contextualSpacing/>
              <w:jc w:val="center"/>
            </w:pPr>
          </w:p>
        </w:tc>
        <w:tc>
          <w:tcPr>
            <w:tcW w:w="992" w:type="dxa"/>
            <w:tcBorders>
              <w:right w:val="single" w:sz="8" w:space="0" w:color="auto"/>
            </w:tcBorders>
            <w:vAlign w:val="bottom"/>
          </w:tcPr>
          <w:p w14:paraId="55FD050E" w14:textId="77777777" w:rsidR="00FD0DFA" w:rsidRPr="009E58F7" w:rsidRDefault="00FD0DFA" w:rsidP="007070F2">
            <w:pPr>
              <w:spacing w:line="240" w:lineRule="auto"/>
              <w:contextualSpacing/>
              <w:jc w:val="center"/>
            </w:pPr>
          </w:p>
        </w:tc>
        <w:tc>
          <w:tcPr>
            <w:tcW w:w="2693" w:type="dxa"/>
            <w:tcBorders>
              <w:right w:val="single" w:sz="8" w:space="0" w:color="auto"/>
            </w:tcBorders>
            <w:vAlign w:val="bottom"/>
          </w:tcPr>
          <w:p w14:paraId="66B7BBD5" w14:textId="77777777" w:rsidR="00FD0DFA" w:rsidRPr="009E58F7" w:rsidRDefault="00FD0DFA" w:rsidP="007070F2">
            <w:pPr>
              <w:spacing w:line="240" w:lineRule="auto"/>
              <w:contextualSpacing/>
              <w:jc w:val="center"/>
            </w:pPr>
          </w:p>
        </w:tc>
      </w:tr>
      <w:tr w:rsidR="00FD0DFA" w:rsidRPr="009E58F7" w14:paraId="1E210250" w14:textId="77777777" w:rsidTr="00E64005">
        <w:trPr>
          <w:trHeight w:val="221"/>
        </w:trPr>
        <w:tc>
          <w:tcPr>
            <w:tcW w:w="2451" w:type="dxa"/>
            <w:tcBorders>
              <w:left w:val="single" w:sz="8" w:space="0" w:color="auto"/>
              <w:right w:val="single" w:sz="8" w:space="0" w:color="auto"/>
            </w:tcBorders>
            <w:vAlign w:val="bottom"/>
          </w:tcPr>
          <w:p w14:paraId="1CFA6155" w14:textId="77777777" w:rsidR="00FD0DFA" w:rsidRPr="009E58F7" w:rsidRDefault="00FD0DFA" w:rsidP="007070F2">
            <w:pPr>
              <w:spacing w:line="240" w:lineRule="auto"/>
              <w:contextualSpacing/>
              <w:jc w:val="both"/>
            </w:pPr>
            <w:r w:rsidRPr="009E58F7">
              <w:rPr>
                <w:i/>
                <w:iCs/>
              </w:rPr>
              <w:t>utáni)</w:t>
            </w:r>
            <w:r w:rsidRPr="009E58F7">
              <w:rPr>
                <w:i/>
                <w:iCs/>
                <w:vertAlign w:val="superscript"/>
              </w:rPr>
              <w:t>b</w:t>
            </w:r>
          </w:p>
        </w:tc>
        <w:tc>
          <w:tcPr>
            <w:tcW w:w="2369" w:type="dxa"/>
            <w:tcBorders>
              <w:right w:val="single" w:sz="8" w:space="0" w:color="auto"/>
            </w:tcBorders>
            <w:vAlign w:val="bottom"/>
          </w:tcPr>
          <w:p w14:paraId="4C74C256" w14:textId="6EC49F61" w:rsidR="00FD0DFA" w:rsidRPr="009E58F7" w:rsidRDefault="00FD0DFA" w:rsidP="00D7256D">
            <w:pPr>
              <w:spacing w:line="240" w:lineRule="auto"/>
              <w:contextualSpacing/>
            </w:pPr>
          </w:p>
        </w:tc>
        <w:tc>
          <w:tcPr>
            <w:tcW w:w="2410" w:type="dxa"/>
            <w:gridSpan w:val="2"/>
            <w:tcBorders>
              <w:right w:val="single" w:sz="8" w:space="0" w:color="auto"/>
            </w:tcBorders>
            <w:vAlign w:val="bottom"/>
          </w:tcPr>
          <w:p w14:paraId="36502985" w14:textId="0823495F" w:rsidR="00FD0DFA" w:rsidRPr="009E58F7" w:rsidRDefault="00FD0DFA" w:rsidP="007070F2">
            <w:pPr>
              <w:spacing w:line="240" w:lineRule="auto"/>
              <w:contextualSpacing/>
              <w:jc w:val="center"/>
            </w:pPr>
          </w:p>
        </w:tc>
        <w:tc>
          <w:tcPr>
            <w:tcW w:w="2693" w:type="dxa"/>
            <w:tcBorders>
              <w:right w:val="single" w:sz="8" w:space="0" w:color="auto"/>
            </w:tcBorders>
            <w:vAlign w:val="bottom"/>
          </w:tcPr>
          <w:p w14:paraId="3C55A9B6" w14:textId="4CC2822D" w:rsidR="00FD0DFA" w:rsidRPr="009E58F7" w:rsidRDefault="00FD0DFA" w:rsidP="007070F2">
            <w:pPr>
              <w:spacing w:line="240" w:lineRule="auto"/>
              <w:contextualSpacing/>
              <w:jc w:val="center"/>
            </w:pPr>
          </w:p>
        </w:tc>
      </w:tr>
      <w:tr w:rsidR="00FD0DFA" w:rsidRPr="009E58F7" w14:paraId="57897015" w14:textId="77777777" w:rsidTr="00E64005">
        <w:trPr>
          <w:trHeight w:val="217"/>
        </w:trPr>
        <w:tc>
          <w:tcPr>
            <w:tcW w:w="2451" w:type="dxa"/>
            <w:tcBorders>
              <w:left w:val="single" w:sz="8" w:space="0" w:color="auto"/>
              <w:right w:val="single" w:sz="8" w:space="0" w:color="auto"/>
            </w:tcBorders>
            <w:vAlign w:val="bottom"/>
          </w:tcPr>
          <w:p w14:paraId="7362740D" w14:textId="77777777" w:rsidR="00FD0DFA" w:rsidRPr="009E58F7" w:rsidRDefault="00FD0DFA" w:rsidP="007070F2">
            <w:pPr>
              <w:spacing w:line="240" w:lineRule="auto"/>
              <w:contextualSpacing/>
              <w:jc w:val="both"/>
            </w:pPr>
            <w:r w:rsidRPr="009E58F7">
              <w:t>CR+nCR</w:t>
            </w:r>
          </w:p>
        </w:tc>
        <w:tc>
          <w:tcPr>
            <w:tcW w:w="2369" w:type="dxa"/>
            <w:tcBorders>
              <w:right w:val="single" w:sz="8" w:space="0" w:color="auto"/>
            </w:tcBorders>
            <w:vAlign w:val="bottom"/>
          </w:tcPr>
          <w:p w14:paraId="230B1162" w14:textId="350CFD47" w:rsidR="00FD0DFA" w:rsidRPr="009E58F7" w:rsidRDefault="00FD0DFA" w:rsidP="007070F2">
            <w:pPr>
              <w:spacing w:line="240" w:lineRule="auto"/>
              <w:contextualSpacing/>
              <w:jc w:val="center"/>
            </w:pPr>
            <w:r w:rsidRPr="009E58F7">
              <w:t xml:space="preserve"> 37,5 (31,4; 44,0)</w:t>
            </w:r>
          </w:p>
        </w:tc>
        <w:tc>
          <w:tcPr>
            <w:tcW w:w="2410" w:type="dxa"/>
            <w:gridSpan w:val="2"/>
            <w:tcBorders>
              <w:right w:val="single" w:sz="8" w:space="0" w:color="auto"/>
            </w:tcBorders>
            <w:vAlign w:val="bottom"/>
          </w:tcPr>
          <w:p w14:paraId="7AA69D69" w14:textId="4E5D503A" w:rsidR="00FD0DFA" w:rsidRPr="009E58F7" w:rsidRDefault="00FD0DFA" w:rsidP="007070F2">
            <w:pPr>
              <w:spacing w:line="240" w:lineRule="auto"/>
              <w:contextualSpacing/>
              <w:jc w:val="center"/>
            </w:pPr>
            <w:r w:rsidRPr="009E58F7">
              <w:t>23,1(18,0; 29,0)</w:t>
            </w:r>
          </w:p>
        </w:tc>
        <w:tc>
          <w:tcPr>
            <w:tcW w:w="2693" w:type="dxa"/>
            <w:tcBorders>
              <w:right w:val="single" w:sz="8" w:space="0" w:color="auto"/>
            </w:tcBorders>
            <w:vAlign w:val="bottom"/>
          </w:tcPr>
          <w:p w14:paraId="64F1C9EA" w14:textId="6CDBAD30" w:rsidR="00FD0DFA" w:rsidRPr="009E58F7" w:rsidRDefault="00FD0DFA" w:rsidP="007070F2">
            <w:pPr>
              <w:spacing w:line="240" w:lineRule="auto"/>
              <w:contextualSpacing/>
              <w:jc w:val="center"/>
            </w:pPr>
            <w:r w:rsidRPr="009E58F7">
              <w:t>1,98 (1,33, 2,95); 0,001</w:t>
            </w:r>
          </w:p>
        </w:tc>
      </w:tr>
      <w:tr w:rsidR="00FD0DFA" w:rsidRPr="009E58F7" w14:paraId="5F4B4222" w14:textId="77777777" w:rsidTr="008C4734">
        <w:trPr>
          <w:trHeight w:val="215"/>
        </w:trPr>
        <w:tc>
          <w:tcPr>
            <w:tcW w:w="2451" w:type="dxa"/>
            <w:tcBorders>
              <w:left w:val="single" w:sz="8" w:space="0" w:color="auto"/>
              <w:right w:val="single" w:sz="8" w:space="0" w:color="auto"/>
            </w:tcBorders>
            <w:vAlign w:val="bottom"/>
          </w:tcPr>
          <w:p w14:paraId="4E9DBAB5" w14:textId="77777777" w:rsidR="00FD0DFA" w:rsidRPr="009E58F7" w:rsidRDefault="00FD0DFA" w:rsidP="007070F2">
            <w:pPr>
              <w:spacing w:line="240" w:lineRule="auto"/>
              <w:contextualSpacing/>
              <w:jc w:val="both"/>
            </w:pPr>
            <w:r w:rsidRPr="009E58F7">
              <w:t>CR+nCR+VGPR+PR</w:t>
            </w:r>
          </w:p>
        </w:tc>
        <w:tc>
          <w:tcPr>
            <w:tcW w:w="2369" w:type="dxa"/>
            <w:tcBorders>
              <w:right w:val="single" w:sz="8" w:space="0" w:color="auto"/>
            </w:tcBorders>
            <w:vAlign w:val="bottom"/>
          </w:tcPr>
          <w:p w14:paraId="14108CDF" w14:textId="3A97DF5E" w:rsidR="00FD0DFA" w:rsidRPr="009E58F7" w:rsidRDefault="00FD0DFA" w:rsidP="007070F2">
            <w:pPr>
              <w:spacing w:line="240" w:lineRule="auto"/>
              <w:contextualSpacing/>
              <w:jc w:val="center"/>
            </w:pPr>
            <w:r w:rsidRPr="009E58F7">
              <w:t>79,6 (73,9; 84,5)</w:t>
            </w:r>
          </w:p>
        </w:tc>
        <w:tc>
          <w:tcPr>
            <w:tcW w:w="2410" w:type="dxa"/>
            <w:gridSpan w:val="2"/>
            <w:tcBorders>
              <w:right w:val="single" w:sz="8" w:space="0" w:color="auto"/>
            </w:tcBorders>
            <w:vAlign w:val="bottom"/>
          </w:tcPr>
          <w:p w14:paraId="3EF6675C" w14:textId="78DF6F27" w:rsidR="00FD0DFA" w:rsidRPr="009E58F7" w:rsidRDefault="00FD0DFA" w:rsidP="007070F2">
            <w:pPr>
              <w:spacing w:line="240" w:lineRule="auto"/>
              <w:contextualSpacing/>
              <w:jc w:val="center"/>
            </w:pPr>
            <w:r w:rsidRPr="009E58F7">
              <w:t>74,4(68,4, 79,8)</w:t>
            </w:r>
          </w:p>
        </w:tc>
        <w:tc>
          <w:tcPr>
            <w:tcW w:w="2693" w:type="dxa"/>
            <w:tcBorders>
              <w:right w:val="single" w:sz="8" w:space="0" w:color="auto"/>
            </w:tcBorders>
            <w:vAlign w:val="bottom"/>
          </w:tcPr>
          <w:p w14:paraId="0DE80905" w14:textId="2B307350" w:rsidR="00FD0DFA" w:rsidRPr="009E58F7" w:rsidRDefault="00FD0DFA" w:rsidP="007070F2">
            <w:pPr>
              <w:spacing w:line="240" w:lineRule="auto"/>
              <w:contextualSpacing/>
              <w:jc w:val="center"/>
            </w:pPr>
            <w:r w:rsidRPr="009E58F7">
              <w:t>1,34 (0,87; 2,05); 0,179</w:t>
            </w:r>
          </w:p>
        </w:tc>
      </w:tr>
      <w:tr w:rsidR="00FD0DFA" w:rsidRPr="009E58F7" w14:paraId="2CEC2A30" w14:textId="77777777" w:rsidTr="00E64005">
        <w:trPr>
          <w:trHeight w:val="231"/>
        </w:trPr>
        <w:tc>
          <w:tcPr>
            <w:tcW w:w="2451" w:type="dxa"/>
            <w:tcBorders>
              <w:left w:val="single" w:sz="8" w:space="0" w:color="auto"/>
              <w:bottom w:val="single" w:sz="8" w:space="0" w:color="auto"/>
              <w:right w:val="single" w:sz="8" w:space="0" w:color="auto"/>
            </w:tcBorders>
            <w:vAlign w:val="bottom"/>
          </w:tcPr>
          <w:p w14:paraId="6534ECB7" w14:textId="77777777" w:rsidR="00FD0DFA" w:rsidRPr="009E58F7" w:rsidRDefault="00FD0DFA" w:rsidP="007070F2">
            <w:pPr>
              <w:spacing w:line="240" w:lineRule="auto"/>
              <w:contextualSpacing/>
              <w:jc w:val="both"/>
            </w:pPr>
            <w:r w:rsidRPr="009E58F7">
              <w:t>% (95%-os CI)</w:t>
            </w:r>
          </w:p>
        </w:tc>
        <w:tc>
          <w:tcPr>
            <w:tcW w:w="2369" w:type="dxa"/>
            <w:tcBorders>
              <w:bottom w:val="single" w:sz="8" w:space="0" w:color="auto"/>
              <w:right w:val="single" w:sz="8" w:space="0" w:color="auto"/>
            </w:tcBorders>
            <w:vAlign w:val="bottom"/>
          </w:tcPr>
          <w:p w14:paraId="3A6A0491" w14:textId="77777777" w:rsidR="00FD0DFA" w:rsidRPr="009E58F7" w:rsidRDefault="00FD0DFA" w:rsidP="007070F2">
            <w:pPr>
              <w:spacing w:line="240" w:lineRule="auto"/>
              <w:contextualSpacing/>
              <w:jc w:val="center"/>
            </w:pPr>
          </w:p>
        </w:tc>
        <w:tc>
          <w:tcPr>
            <w:tcW w:w="1418" w:type="dxa"/>
            <w:tcBorders>
              <w:bottom w:val="single" w:sz="8" w:space="0" w:color="auto"/>
            </w:tcBorders>
            <w:vAlign w:val="bottom"/>
          </w:tcPr>
          <w:p w14:paraId="103E1196" w14:textId="77777777" w:rsidR="00FD0DFA" w:rsidRPr="009E58F7" w:rsidRDefault="00FD0DFA" w:rsidP="007070F2">
            <w:pPr>
              <w:spacing w:line="240" w:lineRule="auto"/>
              <w:contextualSpacing/>
              <w:jc w:val="center"/>
            </w:pPr>
          </w:p>
        </w:tc>
        <w:tc>
          <w:tcPr>
            <w:tcW w:w="992" w:type="dxa"/>
            <w:tcBorders>
              <w:bottom w:val="single" w:sz="8" w:space="0" w:color="auto"/>
              <w:right w:val="single" w:sz="8" w:space="0" w:color="auto"/>
            </w:tcBorders>
            <w:vAlign w:val="bottom"/>
          </w:tcPr>
          <w:p w14:paraId="383551FA" w14:textId="77777777" w:rsidR="00FD0DFA" w:rsidRPr="009E58F7" w:rsidRDefault="00FD0DFA" w:rsidP="007070F2">
            <w:pPr>
              <w:spacing w:line="240" w:lineRule="auto"/>
              <w:contextualSpacing/>
              <w:jc w:val="center"/>
            </w:pPr>
          </w:p>
        </w:tc>
        <w:tc>
          <w:tcPr>
            <w:tcW w:w="2693" w:type="dxa"/>
            <w:tcBorders>
              <w:bottom w:val="single" w:sz="8" w:space="0" w:color="auto"/>
              <w:right w:val="single" w:sz="8" w:space="0" w:color="auto"/>
            </w:tcBorders>
            <w:vAlign w:val="bottom"/>
          </w:tcPr>
          <w:p w14:paraId="7096BD48" w14:textId="77777777" w:rsidR="00FD0DFA" w:rsidRPr="009E58F7" w:rsidRDefault="00FD0DFA" w:rsidP="007070F2">
            <w:pPr>
              <w:spacing w:line="240" w:lineRule="auto"/>
              <w:contextualSpacing/>
              <w:jc w:val="center"/>
            </w:pPr>
          </w:p>
        </w:tc>
      </w:tr>
    </w:tbl>
    <w:p w14:paraId="1A6A0144" w14:textId="68FB15A2" w:rsidR="00FD0DFA" w:rsidRPr="009E58F7" w:rsidRDefault="005E104E" w:rsidP="00D7256D">
      <w:pPr>
        <w:spacing w:line="240" w:lineRule="auto"/>
        <w:rPr>
          <w:sz w:val="18"/>
          <w:szCs w:val="18"/>
        </w:rPr>
      </w:pPr>
      <w:bookmarkStart w:id="38" w:name="page59"/>
      <w:bookmarkEnd w:id="38"/>
      <w:r w:rsidRPr="009E58F7">
        <w:rPr>
          <w:sz w:val="18"/>
          <w:szCs w:val="18"/>
        </w:rPr>
        <w:t>CI</w:t>
      </w:r>
      <w:r w:rsidRPr="009E58F7">
        <w:rPr>
          <w:iCs/>
          <w:noProof/>
          <w:sz w:val="18"/>
          <w:szCs w:val="18"/>
        </w:rPr>
        <w:t> = </w:t>
      </w:r>
      <w:r w:rsidRPr="009E58F7">
        <w:rPr>
          <w:sz w:val="18"/>
          <w:szCs w:val="18"/>
        </w:rPr>
        <w:t>konfidecia intervallum; CR</w:t>
      </w:r>
      <w:r w:rsidRPr="009E58F7">
        <w:rPr>
          <w:iCs/>
          <w:noProof/>
          <w:sz w:val="18"/>
          <w:szCs w:val="18"/>
        </w:rPr>
        <w:t> = </w:t>
      </w:r>
      <w:r w:rsidRPr="009E58F7">
        <w:rPr>
          <w:sz w:val="18"/>
          <w:szCs w:val="18"/>
        </w:rPr>
        <w:t>teljes remisszió; nCR</w:t>
      </w:r>
      <w:r w:rsidRPr="009E58F7">
        <w:rPr>
          <w:iCs/>
          <w:noProof/>
          <w:sz w:val="18"/>
          <w:szCs w:val="18"/>
        </w:rPr>
        <w:t> = </w:t>
      </w:r>
      <w:r w:rsidRPr="009E58F7">
        <w:rPr>
          <w:sz w:val="18"/>
          <w:szCs w:val="18"/>
        </w:rPr>
        <w:t>közel teljes remisszió; ITT</w:t>
      </w:r>
      <w:r w:rsidRPr="009E58F7">
        <w:rPr>
          <w:iCs/>
          <w:noProof/>
          <w:sz w:val="18"/>
          <w:szCs w:val="18"/>
        </w:rPr>
        <w:t> = </w:t>
      </w:r>
      <w:r w:rsidRPr="009E58F7">
        <w:rPr>
          <w:sz w:val="18"/>
          <w:szCs w:val="18"/>
        </w:rPr>
        <w:t>kezel</w:t>
      </w:r>
      <w:r w:rsidR="00FE3E05" w:rsidRPr="009E58F7">
        <w:rPr>
          <w:sz w:val="18"/>
          <w:szCs w:val="18"/>
        </w:rPr>
        <w:t>ésbe bevont</w:t>
      </w:r>
      <w:r w:rsidRPr="009E58F7">
        <w:rPr>
          <w:sz w:val="18"/>
          <w:szCs w:val="18"/>
        </w:rPr>
        <w:t>;</w:t>
      </w:r>
      <w:r w:rsidRPr="009E58F7">
        <w:rPr>
          <w:iCs/>
          <w:noProof/>
          <w:sz w:val="18"/>
          <w:szCs w:val="18"/>
        </w:rPr>
        <w:t xml:space="preserve"> </w:t>
      </w:r>
      <w:r w:rsidRPr="009E58F7">
        <w:rPr>
          <w:sz w:val="18"/>
          <w:szCs w:val="18"/>
        </w:rPr>
        <w:t>RR</w:t>
      </w:r>
      <w:r w:rsidRPr="009E58F7">
        <w:rPr>
          <w:iCs/>
          <w:noProof/>
          <w:sz w:val="18"/>
          <w:szCs w:val="18"/>
        </w:rPr>
        <w:t> = </w:t>
      </w:r>
      <w:r w:rsidRPr="009E58F7">
        <w:rPr>
          <w:sz w:val="18"/>
          <w:szCs w:val="18"/>
        </w:rPr>
        <w:t>válaszadási arány;</w:t>
      </w:r>
    </w:p>
    <w:p w14:paraId="1BCF3C00" w14:textId="0F8A41DA" w:rsidR="005E104E" w:rsidRPr="009E58F7" w:rsidRDefault="005E104E" w:rsidP="007070F2">
      <w:pPr>
        <w:spacing w:line="240" w:lineRule="auto"/>
        <w:rPr>
          <w:sz w:val="18"/>
          <w:szCs w:val="18"/>
        </w:rPr>
      </w:pPr>
      <w:r w:rsidRPr="009E58F7">
        <w:rPr>
          <w:iCs/>
          <w:noProof/>
          <w:sz w:val="18"/>
          <w:szCs w:val="18"/>
        </w:rPr>
        <w:t>B</w:t>
      </w:r>
      <w:r w:rsidR="00FD0DFA" w:rsidRPr="009E58F7">
        <w:rPr>
          <w:iCs/>
          <w:noProof/>
          <w:sz w:val="18"/>
          <w:szCs w:val="18"/>
        </w:rPr>
        <w:t>z</w:t>
      </w:r>
      <w:r w:rsidRPr="009E58F7">
        <w:rPr>
          <w:iCs/>
          <w:noProof/>
          <w:sz w:val="18"/>
          <w:szCs w:val="18"/>
        </w:rPr>
        <w:t> = </w:t>
      </w:r>
      <w:r w:rsidRPr="009E58F7">
        <w:rPr>
          <w:sz w:val="18"/>
          <w:szCs w:val="18"/>
        </w:rPr>
        <w:t xml:space="preserve">bortezomib; </w:t>
      </w:r>
      <w:r w:rsidRPr="009E58F7">
        <w:rPr>
          <w:iCs/>
          <w:noProof/>
          <w:sz w:val="18"/>
          <w:szCs w:val="18"/>
        </w:rPr>
        <w:t>B</w:t>
      </w:r>
      <w:r w:rsidR="00FD0DFA" w:rsidRPr="009E58F7">
        <w:rPr>
          <w:iCs/>
          <w:noProof/>
          <w:sz w:val="18"/>
          <w:szCs w:val="18"/>
        </w:rPr>
        <w:t>z</w:t>
      </w:r>
      <w:r w:rsidRPr="009E58F7">
        <w:rPr>
          <w:iCs/>
          <w:noProof/>
          <w:sz w:val="18"/>
          <w:szCs w:val="18"/>
        </w:rPr>
        <w:t>Dx = </w:t>
      </w:r>
      <w:r w:rsidRPr="009E58F7">
        <w:rPr>
          <w:sz w:val="18"/>
          <w:szCs w:val="18"/>
        </w:rPr>
        <w:t>bortezomib, dexametazon; VDDx</w:t>
      </w:r>
      <w:r w:rsidRPr="009E58F7">
        <w:rPr>
          <w:iCs/>
          <w:noProof/>
          <w:sz w:val="18"/>
          <w:szCs w:val="18"/>
        </w:rPr>
        <w:t> = </w:t>
      </w:r>
      <w:r w:rsidRPr="009E58F7">
        <w:rPr>
          <w:sz w:val="18"/>
          <w:szCs w:val="18"/>
        </w:rPr>
        <w:t>vinkrisztin, doxorubicin, dexametazon; VGPR</w:t>
      </w:r>
      <w:r w:rsidRPr="009E58F7">
        <w:rPr>
          <w:iCs/>
          <w:noProof/>
          <w:sz w:val="18"/>
          <w:szCs w:val="18"/>
        </w:rPr>
        <w:t> = </w:t>
      </w:r>
      <w:r w:rsidRPr="009E58F7">
        <w:rPr>
          <w:sz w:val="18"/>
          <w:szCs w:val="18"/>
        </w:rPr>
        <w:t>nagyon jó részleges remisszió; PR</w:t>
      </w:r>
      <w:r w:rsidRPr="009E58F7">
        <w:rPr>
          <w:iCs/>
          <w:noProof/>
          <w:sz w:val="18"/>
          <w:szCs w:val="18"/>
        </w:rPr>
        <w:t> = </w:t>
      </w:r>
      <w:r w:rsidRPr="009E58F7">
        <w:rPr>
          <w:sz w:val="18"/>
          <w:szCs w:val="18"/>
        </w:rPr>
        <w:t>részleges remisszió; OR</w:t>
      </w:r>
      <w:r w:rsidRPr="009E58F7">
        <w:rPr>
          <w:iCs/>
          <w:noProof/>
          <w:sz w:val="18"/>
          <w:szCs w:val="18"/>
        </w:rPr>
        <w:t> = </w:t>
      </w:r>
      <w:r w:rsidRPr="009E58F7">
        <w:rPr>
          <w:sz w:val="18"/>
          <w:szCs w:val="18"/>
        </w:rPr>
        <w:t>esélyhányados.</w:t>
      </w:r>
    </w:p>
    <w:p w14:paraId="783D955A" w14:textId="460D13A6" w:rsidR="005E104E" w:rsidRPr="009E58F7" w:rsidRDefault="005E104E" w:rsidP="007070F2">
      <w:pPr>
        <w:spacing w:line="240" w:lineRule="auto"/>
        <w:rPr>
          <w:sz w:val="18"/>
          <w:szCs w:val="18"/>
        </w:rPr>
      </w:pPr>
      <w:r w:rsidRPr="009E58F7">
        <w:rPr>
          <w:sz w:val="18"/>
          <w:szCs w:val="18"/>
        </w:rPr>
        <w:t>* Elsődleges végpont</w:t>
      </w:r>
    </w:p>
    <w:p w14:paraId="6D97973A" w14:textId="2AEF4113" w:rsidR="005E104E" w:rsidRPr="009E58F7" w:rsidRDefault="005E104E" w:rsidP="003D25C3">
      <w:pPr>
        <w:spacing w:line="240" w:lineRule="auto"/>
        <w:rPr>
          <w:sz w:val="18"/>
          <w:szCs w:val="18"/>
        </w:rPr>
      </w:pPr>
      <w:r w:rsidRPr="009E58F7">
        <w:rPr>
          <w:iCs/>
          <w:noProof/>
          <w:sz w:val="18"/>
          <w:szCs w:val="18"/>
          <w:vertAlign w:val="superscript"/>
        </w:rPr>
        <w:t>a</w:t>
      </w:r>
      <w:r w:rsidRPr="009E58F7">
        <w:rPr>
          <w:iCs/>
          <w:noProof/>
          <w:sz w:val="18"/>
          <w:szCs w:val="18"/>
        </w:rPr>
        <w:t xml:space="preserve"> </w:t>
      </w:r>
      <w:r w:rsidRPr="009E58F7">
        <w:rPr>
          <w:sz w:val="18"/>
          <w:szCs w:val="18"/>
        </w:rPr>
        <w:t xml:space="preserve">az OR a </w:t>
      </w:r>
      <w:r w:rsidRPr="009E58F7">
        <w:rPr>
          <w:iCs/>
          <w:noProof/>
          <w:sz w:val="18"/>
          <w:szCs w:val="18"/>
        </w:rPr>
        <w:t>válaszadási</w:t>
      </w:r>
      <w:r w:rsidRPr="009E58F7">
        <w:rPr>
          <w:sz w:val="18"/>
          <w:szCs w:val="18"/>
        </w:rPr>
        <w:t xml:space="preserve"> arányokra a leggyakrabban használt Mantel</w:t>
      </w:r>
      <w:r w:rsidR="005B300B">
        <w:rPr>
          <w:sz w:val="18"/>
          <w:szCs w:val="18"/>
        </w:rPr>
        <w:t>–</w:t>
      </w:r>
      <w:r w:rsidRPr="009E58F7">
        <w:rPr>
          <w:sz w:val="18"/>
          <w:szCs w:val="18"/>
        </w:rPr>
        <w:t>Haenszel</w:t>
      </w:r>
      <w:r w:rsidR="005B300B">
        <w:rPr>
          <w:sz w:val="18"/>
          <w:szCs w:val="18"/>
        </w:rPr>
        <w:t>-</w:t>
      </w:r>
      <w:r w:rsidRPr="009E58F7">
        <w:rPr>
          <w:sz w:val="18"/>
          <w:szCs w:val="18"/>
        </w:rPr>
        <w:t>féle becslés szerinti esélyhányados alapján készült; p-értékek a Cochran</w:t>
      </w:r>
      <w:r w:rsidR="005B300B">
        <w:rPr>
          <w:sz w:val="18"/>
          <w:szCs w:val="18"/>
        </w:rPr>
        <w:t>–</w:t>
      </w:r>
      <w:r w:rsidRPr="009E58F7">
        <w:rPr>
          <w:sz w:val="18"/>
          <w:szCs w:val="18"/>
        </w:rPr>
        <w:t>Mantel</w:t>
      </w:r>
      <w:r w:rsidR="005B300B">
        <w:rPr>
          <w:sz w:val="18"/>
          <w:szCs w:val="18"/>
        </w:rPr>
        <w:t>–</w:t>
      </w:r>
      <w:r w:rsidRPr="009E58F7">
        <w:rPr>
          <w:sz w:val="18"/>
          <w:szCs w:val="18"/>
        </w:rPr>
        <w:t>Haenszel</w:t>
      </w:r>
      <w:r w:rsidR="005B300B">
        <w:rPr>
          <w:sz w:val="18"/>
          <w:szCs w:val="18"/>
        </w:rPr>
        <w:t>-</w:t>
      </w:r>
      <w:r w:rsidRPr="009E58F7">
        <w:rPr>
          <w:sz w:val="18"/>
          <w:szCs w:val="18"/>
        </w:rPr>
        <w:t>teszt szerint.</w:t>
      </w:r>
    </w:p>
    <w:p w14:paraId="6B917DE2" w14:textId="1C08FEBB" w:rsidR="005E104E" w:rsidRPr="009E58F7" w:rsidRDefault="005E104E">
      <w:pPr>
        <w:spacing w:line="240" w:lineRule="auto"/>
        <w:rPr>
          <w:sz w:val="18"/>
          <w:szCs w:val="18"/>
        </w:rPr>
      </w:pPr>
      <w:r w:rsidRPr="009E58F7">
        <w:rPr>
          <w:iCs/>
          <w:noProof/>
          <w:sz w:val="18"/>
          <w:szCs w:val="18"/>
          <w:vertAlign w:val="superscript"/>
        </w:rPr>
        <w:t>b</w:t>
      </w:r>
      <w:r w:rsidRPr="009E58F7">
        <w:rPr>
          <w:iCs/>
          <w:noProof/>
          <w:sz w:val="18"/>
          <w:szCs w:val="18"/>
        </w:rPr>
        <w:t xml:space="preserve"> </w:t>
      </w:r>
      <w:r w:rsidRPr="009E58F7">
        <w:rPr>
          <w:sz w:val="18"/>
          <w:szCs w:val="18"/>
        </w:rPr>
        <w:t>A második transzplantáció utáni betegek válaszarányára vonatkozik, akik 2. transzplantációban is részesültek (42/240 [18</w:t>
      </w:r>
      <w:r w:rsidRPr="009E58F7">
        <w:rPr>
          <w:iCs/>
          <w:noProof/>
          <w:sz w:val="18"/>
          <w:szCs w:val="18"/>
        </w:rPr>
        <w:t>%]</w:t>
      </w:r>
      <w:r w:rsidRPr="009E58F7">
        <w:rPr>
          <w:sz w:val="18"/>
          <w:szCs w:val="18"/>
        </w:rPr>
        <w:t xml:space="preserve"> a </w:t>
      </w:r>
      <w:r w:rsidRPr="009E58F7">
        <w:rPr>
          <w:iCs/>
          <w:noProof/>
          <w:sz w:val="18"/>
          <w:szCs w:val="18"/>
        </w:rPr>
        <w:t>B</w:t>
      </w:r>
      <w:r w:rsidR="00FD0DFA" w:rsidRPr="009E58F7">
        <w:rPr>
          <w:iCs/>
          <w:noProof/>
          <w:sz w:val="18"/>
          <w:szCs w:val="18"/>
        </w:rPr>
        <w:t>z</w:t>
      </w:r>
      <w:r w:rsidRPr="009E58F7">
        <w:rPr>
          <w:iCs/>
          <w:noProof/>
          <w:sz w:val="18"/>
          <w:szCs w:val="18"/>
        </w:rPr>
        <w:t>Dx</w:t>
      </w:r>
      <w:r w:rsidR="004C69E2">
        <w:rPr>
          <w:sz w:val="18"/>
          <w:szCs w:val="18"/>
        </w:rPr>
        <w:t>-</w:t>
      </w:r>
      <w:r w:rsidRPr="009E58F7">
        <w:rPr>
          <w:sz w:val="18"/>
          <w:szCs w:val="18"/>
        </w:rPr>
        <w:t>csoportban</w:t>
      </w:r>
      <w:r w:rsidR="005B300B">
        <w:rPr>
          <w:sz w:val="18"/>
          <w:szCs w:val="18"/>
        </w:rPr>
        <w:t>,</w:t>
      </w:r>
      <w:r w:rsidRPr="009E58F7">
        <w:rPr>
          <w:sz w:val="18"/>
          <w:szCs w:val="18"/>
        </w:rPr>
        <w:t xml:space="preserve"> és 52/242 [21%] a VDDx</w:t>
      </w:r>
      <w:r w:rsidR="004C69E2">
        <w:rPr>
          <w:sz w:val="18"/>
          <w:szCs w:val="18"/>
        </w:rPr>
        <w:t>-</w:t>
      </w:r>
      <w:r w:rsidRPr="009E58F7">
        <w:rPr>
          <w:sz w:val="18"/>
          <w:szCs w:val="18"/>
        </w:rPr>
        <w:t>csoportban).</w:t>
      </w:r>
    </w:p>
    <w:p w14:paraId="47974402" w14:textId="20211FEE" w:rsidR="005E104E" w:rsidRPr="009E58F7" w:rsidRDefault="005E104E">
      <w:pPr>
        <w:spacing w:line="240" w:lineRule="auto"/>
        <w:rPr>
          <w:sz w:val="18"/>
          <w:szCs w:val="18"/>
        </w:rPr>
      </w:pPr>
      <w:r w:rsidRPr="009E58F7">
        <w:rPr>
          <w:sz w:val="18"/>
          <w:szCs w:val="18"/>
        </w:rPr>
        <w:t>Megjegyzés: OR &gt;</w:t>
      </w:r>
      <w:r w:rsidRPr="009E58F7">
        <w:rPr>
          <w:iCs/>
          <w:noProof/>
          <w:sz w:val="18"/>
          <w:szCs w:val="18"/>
        </w:rPr>
        <w:t> </w:t>
      </w:r>
      <w:r w:rsidRPr="009E58F7">
        <w:rPr>
          <w:sz w:val="18"/>
          <w:szCs w:val="18"/>
        </w:rPr>
        <w:t xml:space="preserve">1 azt jelenti, hogy előnyösebb a </w:t>
      </w:r>
      <w:r w:rsidRPr="009E58F7">
        <w:rPr>
          <w:iCs/>
          <w:noProof/>
          <w:sz w:val="18"/>
          <w:szCs w:val="18"/>
        </w:rPr>
        <w:t>B</w:t>
      </w:r>
      <w:r w:rsidR="00FD0DFA" w:rsidRPr="009E58F7">
        <w:rPr>
          <w:iCs/>
          <w:noProof/>
          <w:sz w:val="18"/>
          <w:szCs w:val="18"/>
        </w:rPr>
        <w:t>z</w:t>
      </w:r>
      <w:r w:rsidR="005B300B">
        <w:rPr>
          <w:sz w:val="18"/>
          <w:szCs w:val="18"/>
        </w:rPr>
        <w:t>-</w:t>
      </w:r>
      <w:r w:rsidRPr="009E58F7">
        <w:rPr>
          <w:sz w:val="18"/>
          <w:szCs w:val="18"/>
        </w:rPr>
        <w:t xml:space="preserve">tartalmú indukciós </w:t>
      </w:r>
      <w:r w:rsidRPr="009E58F7">
        <w:rPr>
          <w:iCs/>
          <w:noProof/>
          <w:sz w:val="18"/>
          <w:szCs w:val="18"/>
        </w:rPr>
        <w:t>kezelés</w:t>
      </w:r>
      <w:r w:rsidRPr="009E58F7">
        <w:rPr>
          <w:sz w:val="18"/>
          <w:szCs w:val="18"/>
        </w:rPr>
        <w:t>.</w:t>
      </w:r>
    </w:p>
    <w:p w14:paraId="1118D2C7" w14:textId="77777777" w:rsidR="004D6470" w:rsidRPr="009E58F7" w:rsidRDefault="004D6470">
      <w:pPr>
        <w:pStyle w:val="Nincstrkz"/>
      </w:pPr>
    </w:p>
    <w:p w14:paraId="005ACBCD" w14:textId="01D8E052" w:rsidR="004D6470" w:rsidRPr="009E58F7" w:rsidRDefault="004D6470">
      <w:pPr>
        <w:pStyle w:val="Nincstrkz"/>
        <w:rPr>
          <w:color w:val="000000"/>
        </w:rPr>
      </w:pPr>
      <w:r w:rsidRPr="009E58F7">
        <w:rPr>
          <w:color w:val="000000"/>
        </w:rPr>
        <w:t>Az MMY</w:t>
      </w:r>
      <w:r w:rsidR="003F0F42">
        <w:rPr>
          <w:color w:val="000000"/>
        </w:rPr>
        <w:t>-</w:t>
      </w:r>
      <w:r w:rsidRPr="009E58F7">
        <w:rPr>
          <w:color w:val="000000"/>
        </w:rPr>
        <w:t xml:space="preserve">3010 vizsgálatban az indukciós kezelésként adott </w:t>
      </w:r>
      <w:r w:rsidR="008B6253" w:rsidRPr="009E58F7">
        <w:t>bortezomib</w:t>
      </w:r>
      <w:r w:rsidR="00FD0DFA" w:rsidRPr="009E58F7">
        <w:t>o</w:t>
      </w:r>
      <w:r w:rsidR="00C5286C" w:rsidRPr="009E58F7">
        <w:t>t</w:t>
      </w:r>
      <w:r w:rsidRPr="009E58F7">
        <w:t xml:space="preserve"> </w:t>
      </w:r>
      <w:r w:rsidRPr="009E58F7">
        <w:rPr>
          <w:color w:val="000000"/>
        </w:rPr>
        <w:t>talidomiddal és dexametazonnal kombinációban [</w:t>
      </w:r>
      <w:r w:rsidR="00E708C1" w:rsidRPr="009E58F7">
        <w:t>BzTDx</w:t>
      </w:r>
      <w:r w:rsidRPr="009E58F7">
        <w:rPr>
          <w:color w:val="000000"/>
        </w:rPr>
        <w:t xml:space="preserve">, </w:t>
      </w:r>
      <w:r w:rsidR="003212C5" w:rsidRPr="009E58F7">
        <w:rPr>
          <w:color w:val="000000"/>
        </w:rPr>
        <w:t>n = </w:t>
      </w:r>
      <w:r w:rsidRPr="009E58F7">
        <w:rPr>
          <w:color w:val="000000"/>
        </w:rPr>
        <w:t xml:space="preserve">130] adva hasonlították össze a talidomid-dexametazonnal [TDx, </w:t>
      </w:r>
      <w:r w:rsidR="003212C5" w:rsidRPr="009E58F7">
        <w:rPr>
          <w:color w:val="000000"/>
        </w:rPr>
        <w:t>n = </w:t>
      </w:r>
      <w:r w:rsidRPr="009E58F7">
        <w:rPr>
          <w:color w:val="000000"/>
        </w:rPr>
        <w:t xml:space="preserve">127]. A </w:t>
      </w:r>
      <w:r w:rsidR="00E708C1" w:rsidRPr="009E58F7">
        <w:t>Bz</w:t>
      </w:r>
      <w:r w:rsidR="00C5286C" w:rsidRPr="009E58F7">
        <w:t>TDx</w:t>
      </w:r>
      <w:r w:rsidR="005B300B">
        <w:rPr>
          <w:color w:val="000000"/>
        </w:rPr>
        <w:t>-</w:t>
      </w:r>
      <w:r w:rsidR="003212C5" w:rsidRPr="009E58F7">
        <w:rPr>
          <w:color w:val="000000"/>
        </w:rPr>
        <w:t>csoportban lévő betegek hat, 4 </w:t>
      </w:r>
      <w:r w:rsidRPr="009E58F7">
        <w:rPr>
          <w:color w:val="000000"/>
        </w:rPr>
        <w:t xml:space="preserve">hetes ciklust kaptak, amelyek mindegyike </w:t>
      </w:r>
      <w:r w:rsidR="008B6253" w:rsidRPr="009E58F7">
        <w:t>bortezomib</w:t>
      </w:r>
      <w:r w:rsidR="000E7E14" w:rsidRPr="009E58F7">
        <w:t>o</w:t>
      </w:r>
      <w:r w:rsidR="00C5286C" w:rsidRPr="009E58F7">
        <w:t>t</w:t>
      </w:r>
      <w:r w:rsidRPr="009E58F7">
        <w:t xml:space="preserve"> </w:t>
      </w:r>
      <w:r w:rsidRPr="009E58F7">
        <w:rPr>
          <w:color w:val="000000"/>
        </w:rPr>
        <w:t>(hetente kétszer 1,3 mg/m</w:t>
      </w:r>
      <w:r w:rsidRPr="009E58F7">
        <w:rPr>
          <w:color w:val="000000"/>
          <w:vertAlign w:val="superscript"/>
        </w:rPr>
        <w:t>2</w:t>
      </w:r>
      <w:r w:rsidRPr="009E58F7">
        <w:rPr>
          <w:color w:val="000000"/>
        </w:rPr>
        <w:t xml:space="preserve"> az 1., 4., 8. és 11.</w:t>
      </w:r>
      <w:r w:rsidR="000E7E14" w:rsidRPr="009E58F7">
        <w:rPr>
          <w:color w:val="000000"/>
        </w:rPr>
        <w:t> </w:t>
      </w:r>
      <w:r w:rsidRPr="009E58F7">
        <w:rPr>
          <w:color w:val="000000"/>
        </w:rPr>
        <w:t>napon, amit a12.</w:t>
      </w:r>
      <w:r w:rsidR="000E7E14" w:rsidRPr="009E58F7">
        <w:rPr>
          <w:color w:val="000000"/>
        </w:rPr>
        <w:t> </w:t>
      </w:r>
      <w:r w:rsidRPr="009E58F7">
        <w:rPr>
          <w:color w:val="000000"/>
        </w:rPr>
        <w:t>naptól a 28.</w:t>
      </w:r>
      <w:r w:rsidR="000E7E14" w:rsidRPr="009E58F7">
        <w:rPr>
          <w:color w:val="000000"/>
        </w:rPr>
        <w:t> </w:t>
      </w:r>
      <w:r w:rsidRPr="009E58F7">
        <w:rPr>
          <w:color w:val="000000"/>
        </w:rPr>
        <w:t>napig tartó 17 napos szünet követ), dexametazont (orálisan 40 mg/nap az 1</w:t>
      </w:r>
      <w:r w:rsidR="00BD5400">
        <w:rPr>
          <w:color w:val="000000"/>
        </w:rPr>
        <w:t>–</w:t>
      </w:r>
      <w:r w:rsidRPr="009E58F7">
        <w:rPr>
          <w:color w:val="000000"/>
        </w:rPr>
        <w:t>4</w:t>
      </w:r>
      <w:r w:rsidR="005B300B">
        <w:rPr>
          <w:color w:val="000000"/>
        </w:rPr>
        <w:t>.</w:t>
      </w:r>
      <w:r w:rsidRPr="009E58F7">
        <w:rPr>
          <w:color w:val="000000"/>
        </w:rPr>
        <w:t xml:space="preserve"> és a 8</w:t>
      </w:r>
      <w:r w:rsidR="00BD5400">
        <w:rPr>
          <w:color w:val="000000"/>
        </w:rPr>
        <w:t>–</w:t>
      </w:r>
      <w:r w:rsidRPr="009E58F7">
        <w:rPr>
          <w:color w:val="000000"/>
        </w:rPr>
        <w:t>11</w:t>
      </w:r>
      <w:r w:rsidR="005B300B">
        <w:rPr>
          <w:color w:val="000000"/>
        </w:rPr>
        <w:t>.</w:t>
      </w:r>
      <w:r w:rsidR="000E7E14" w:rsidRPr="009E58F7">
        <w:rPr>
          <w:color w:val="000000"/>
        </w:rPr>
        <w:t> </w:t>
      </w:r>
      <w:r w:rsidRPr="009E58F7">
        <w:rPr>
          <w:color w:val="000000"/>
        </w:rPr>
        <w:t>napokon)</w:t>
      </w:r>
      <w:r w:rsidR="00A02A1A">
        <w:rPr>
          <w:color w:val="000000"/>
        </w:rPr>
        <w:t>,</w:t>
      </w:r>
      <w:r w:rsidRPr="009E58F7">
        <w:rPr>
          <w:color w:val="000000"/>
        </w:rPr>
        <w:t xml:space="preserve"> és talidomidot (orálisan 50 mg/nap az 1</w:t>
      </w:r>
      <w:r w:rsidR="00A02A1A">
        <w:rPr>
          <w:color w:val="000000"/>
        </w:rPr>
        <w:noBreakHyphen/>
      </w:r>
      <w:r w:rsidRPr="009E58F7">
        <w:rPr>
          <w:color w:val="000000"/>
        </w:rPr>
        <w:t>14.</w:t>
      </w:r>
      <w:r w:rsidR="00A02A1A">
        <w:rPr>
          <w:color w:val="000000"/>
        </w:rPr>
        <w:t> </w:t>
      </w:r>
      <w:r w:rsidRPr="009E58F7">
        <w:rPr>
          <w:color w:val="000000"/>
        </w:rPr>
        <w:t>napokon, amit 100 mg-ra emeltek a 15</w:t>
      </w:r>
      <w:r w:rsidR="00FE5B85">
        <w:rPr>
          <w:color w:val="000000"/>
        </w:rPr>
        <w:t>–</w:t>
      </w:r>
      <w:r w:rsidRPr="009E58F7">
        <w:rPr>
          <w:color w:val="000000"/>
        </w:rPr>
        <w:t>28.</w:t>
      </w:r>
      <w:r w:rsidR="00A02A1A">
        <w:rPr>
          <w:color w:val="000000"/>
        </w:rPr>
        <w:t> </w:t>
      </w:r>
      <w:r w:rsidRPr="009E58F7">
        <w:rPr>
          <w:color w:val="000000"/>
        </w:rPr>
        <w:t>napokon, majd azt követően napi 200 mg-ra emelték) tartalmazott.</w:t>
      </w:r>
    </w:p>
    <w:p w14:paraId="76F0AAAA" w14:textId="77777777" w:rsidR="007B2A67" w:rsidRPr="009E58F7" w:rsidRDefault="007B2A67">
      <w:pPr>
        <w:pStyle w:val="Nincstrkz"/>
      </w:pPr>
    </w:p>
    <w:p w14:paraId="36493118" w14:textId="5549D175" w:rsidR="004D6470" w:rsidRPr="009E58F7" w:rsidRDefault="004D6470">
      <w:pPr>
        <w:spacing w:line="240" w:lineRule="auto"/>
        <w:contextualSpacing/>
        <w:rPr>
          <w:color w:val="000000"/>
        </w:rPr>
      </w:pPr>
      <w:r w:rsidRPr="009E58F7">
        <w:rPr>
          <w:color w:val="000000"/>
        </w:rPr>
        <w:t>Egy</w:t>
      </w:r>
      <w:r w:rsidR="005E104E" w:rsidRPr="009E58F7">
        <w:rPr>
          <w:color w:val="000000"/>
        </w:rPr>
        <w:t>etlen</w:t>
      </w:r>
      <w:r w:rsidRPr="009E58F7">
        <w:rPr>
          <w:color w:val="000000"/>
        </w:rPr>
        <w:t>, egyszeres autológ őssejt</w:t>
      </w:r>
      <w:r w:rsidR="00A02A1A">
        <w:rPr>
          <w:color w:val="000000"/>
        </w:rPr>
        <w:t>-</w:t>
      </w:r>
      <w:r w:rsidRPr="009E58F7">
        <w:rPr>
          <w:color w:val="000000"/>
        </w:rPr>
        <w:t>transzplantációban 105</w:t>
      </w:r>
      <w:r w:rsidR="000E7E14" w:rsidRPr="009E58F7">
        <w:rPr>
          <w:color w:val="000000"/>
        </w:rPr>
        <w:t> </w:t>
      </w:r>
      <w:r w:rsidRPr="009E58F7">
        <w:rPr>
          <w:color w:val="000000"/>
        </w:rPr>
        <w:t xml:space="preserve">beteg (81%) </w:t>
      </w:r>
      <w:r w:rsidR="005E104E" w:rsidRPr="009E58F7">
        <w:rPr>
          <w:color w:val="000000"/>
        </w:rPr>
        <w:t xml:space="preserve">részesült </w:t>
      </w:r>
      <w:r w:rsidRPr="009E58F7">
        <w:rPr>
          <w:color w:val="000000"/>
        </w:rPr>
        <w:t xml:space="preserve">a </w:t>
      </w:r>
      <w:r w:rsidR="00E708C1" w:rsidRPr="009E58F7">
        <w:t>Bz</w:t>
      </w:r>
      <w:r w:rsidR="00C5286C" w:rsidRPr="009E58F7">
        <w:t>TDx</w:t>
      </w:r>
      <w:r w:rsidR="00A02A1A">
        <w:t>-,</w:t>
      </w:r>
      <w:r w:rsidRPr="009E58F7">
        <w:rPr>
          <w:color w:val="000000"/>
        </w:rPr>
        <w:t xml:space="preserve"> és 78</w:t>
      </w:r>
      <w:r w:rsidR="000E7E14" w:rsidRPr="009E58F7">
        <w:rPr>
          <w:color w:val="000000"/>
        </w:rPr>
        <w:t> </w:t>
      </w:r>
      <w:r w:rsidRPr="009E58F7">
        <w:rPr>
          <w:color w:val="000000"/>
        </w:rPr>
        <w:t>beteg (61%) a TDx</w:t>
      </w:r>
      <w:r w:rsidR="00A02A1A">
        <w:rPr>
          <w:color w:val="000000"/>
        </w:rPr>
        <w:t>-</w:t>
      </w:r>
      <w:r w:rsidRPr="009E58F7">
        <w:rPr>
          <w:color w:val="000000"/>
        </w:rPr>
        <w:t xml:space="preserve">csoportban. A betegek demográfiai és kiindulási kórkép jellemzői hasonlóak voltak a két kezelési csoportban. A </w:t>
      </w:r>
      <w:r w:rsidR="00E708C1" w:rsidRPr="009E58F7">
        <w:t>Bz</w:t>
      </w:r>
      <w:r w:rsidR="00C5286C" w:rsidRPr="009E58F7">
        <w:t>TDx</w:t>
      </w:r>
      <w:r w:rsidR="00A02A1A">
        <w:t>-</w:t>
      </w:r>
      <w:r w:rsidRPr="009E58F7">
        <w:rPr>
          <w:color w:val="000000"/>
        </w:rPr>
        <w:t xml:space="preserve"> és a TDx</w:t>
      </w:r>
      <w:r w:rsidR="00A02A1A">
        <w:rPr>
          <w:color w:val="000000"/>
        </w:rPr>
        <w:t>-</w:t>
      </w:r>
      <w:r w:rsidRPr="009E58F7">
        <w:rPr>
          <w:color w:val="000000"/>
        </w:rPr>
        <w:t>csoportban az életkoruk mediánja sorrendben 57 vs. 56</w:t>
      </w:r>
      <w:r w:rsidR="000E7E14" w:rsidRPr="009E58F7">
        <w:rPr>
          <w:color w:val="000000"/>
        </w:rPr>
        <w:t> </w:t>
      </w:r>
      <w:r w:rsidRPr="009E58F7">
        <w:rPr>
          <w:color w:val="000000"/>
        </w:rPr>
        <w:t xml:space="preserve">év volt, 99% vs. 98% volt fehérbőrű, és 58% vs. 54% volt férfi. A </w:t>
      </w:r>
      <w:r w:rsidR="00E708C1" w:rsidRPr="009E58F7">
        <w:t>Bz</w:t>
      </w:r>
      <w:r w:rsidR="00C5286C" w:rsidRPr="009E58F7">
        <w:t>TDx</w:t>
      </w:r>
      <w:r w:rsidR="00A02A1A">
        <w:rPr>
          <w:color w:val="000000"/>
        </w:rPr>
        <w:t>-</w:t>
      </w:r>
      <w:r w:rsidRPr="009E58F7">
        <w:rPr>
          <w:color w:val="000000"/>
        </w:rPr>
        <w:t>csoportban a betegek 12%</w:t>
      </w:r>
      <w:r w:rsidR="003F0F42">
        <w:rPr>
          <w:color w:val="000000"/>
        </w:rPr>
        <w:t>-</w:t>
      </w:r>
      <w:r w:rsidRPr="009E58F7">
        <w:rPr>
          <w:color w:val="000000"/>
        </w:rPr>
        <w:t>a tartozott a citogenetikai szempontból nagy</w:t>
      </w:r>
      <w:r w:rsidR="005E104E" w:rsidRPr="009E58F7">
        <w:rPr>
          <w:color w:val="000000"/>
        </w:rPr>
        <w:t xml:space="preserve"> </w:t>
      </w:r>
      <w:r w:rsidRPr="009E58F7">
        <w:rPr>
          <w:color w:val="000000"/>
        </w:rPr>
        <w:t>kockázatú csoportba, míg a TDx</w:t>
      </w:r>
      <w:r w:rsidR="00A02A1A">
        <w:rPr>
          <w:color w:val="000000"/>
        </w:rPr>
        <w:t>-</w:t>
      </w:r>
      <w:r w:rsidRPr="009E58F7">
        <w:rPr>
          <w:color w:val="000000"/>
        </w:rPr>
        <w:t>csoportban ez az arány 16% volt.</w:t>
      </w:r>
      <w:r w:rsidR="005E104E" w:rsidRPr="009E58F7">
        <w:rPr>
          <w:color w:val="000000"/>
        </w:rPr>
        <w:t xml:space="preserve"> A kezelés medián időtartama 24 </w:t>
      </w:r>
      <w:r w:rsidRPr="009E58F7">
        <w:rPr>
          <w:color w:val="000000"/>
        </w:rPr>
        <w:t>hét</w:t>
      </w:r>
      <w:r w:rsidR="005E104E" w:rsidRPr="009E58F7">
        <w:rPr>
          <w:color w:val="000000"/>
        </w:rPr>
        <w:t>,</w:t>
      </w:r>
      <w:r w:rsidRPr="009E58F7">
        <w:rPr>
          <w:color w:val="000000"/>
        </w:rPr>
        <w:t xml:space="preserve"> a kezelési ciklusok </w:t>
      </w:r>
      <w:r w:rsidR="005E104E" w:rsidRPr="009E58F7">
        <w:rPr>
          <w:color w:val="000000"/>
        </w:rPr>
        <w:t xml:space="preserve">számának </w:t>
      </w:r>
      <w:r w:rsidRPr="009E58F7">
        <w:rPr>
          <w:color w:val="000000"/>
        </w:rPr>
        <w:t>medián</w:t>
      </w:r>
      <w:r w:rsidR="005E104E" w:rsidRPr="009E58F7">
        <w:rPr>
          <w:color w:val="000000"/>
        </w:rPr>
        <w:t xml:space="preserve"> értéke</w:t>
      </w:r>
      <w:r w:rsidRPr="009E58F7">
        <w:rPr>
          <w:color w:val="000000"/>
        </w:rPr>
        <w:t xml:space="preserve"> 6,0 volt mindkét kezelési csoportban.</w:t>
      </w:r>
    </w:p>
    <w:p w14:paraId="09D030F3" w14:textId="77777777" w:rsidR="007B2A67" w:rsidRPr="009E58F7" w:rsidRDefault="007B2A67">
      <w:pPr>
        <w:spacing w:line="240" w:lineRule="auto"/>
        <w:contextualSpacing/>
      </w:pPr>
    </w:p>
    <w:p w14:paraId="30ED3359" w14:textId="04330C83" w:rsidR="004D6470" w:rsidRPr="009E58F7" w:rsidRDefault="004D6470">
      <w:pPr>
        <w:spacing w:line="240" w:lineRule="auto"/>
        <w:contextualSpacing/>
      </w:pPr>
      <w:r w:rsidRPr="009E58F7">
        <w:rPr>
          <w:color w:val="000000"/>
        </w:rPr>
        <w:t>A vizsgálat elsődleges hat</w:t>
      </w:r>
      <w:r w:rsidR="005E104E" w:rsidRPr="009E58F7">
        <w:rPr>
          <w:color w:val="000000"/>
        </w:rPr>
        <w:t>ásossági</w:t>
      </w:r>
      <w:r w:rsidRPr="009E58F7">
        <w:rPr>
          <w:color w:val="000000"/>
        </w:rPr>
        <w:t xml:space="preserve"> végpontja az indukció utáni és a transzplantáció utáni </w:t>
      </w:r>
      <w:r w:rsidR="00C5286C" w:rsidRPr="009E58F7">
        <w:t>válaszarány</w:t>
      </w:r>
      <w:r w:rsidRPr="009E58F7">
        <w:rPr>
          <w:color w:val="000000"/>
        </w:rPr>
        <w:t xml:space="preserve"> volt (CR+nCR). Statisztikailag szignifikáns (különbség a CR+nCR-ben) volt megfigyelhető a </w:t>
      </w:r>
      <w:r w:rsidRPr="009E58F7">
        <w:t>bortezomib</w:t>
      </w:r>
      <w:r w:rsidR="00EC6443" w:rsidRPr="009E58F7">
        <w:t xml:space="preserve"> </w:t>
      </w:r>
      <w:r w:rsidRPr="009E58F7">
        <w:rPr>
          <w:color w:val="000000"/>
        </w:rPr>
        <w:t>+ dexametazon + talidomid kombináció javára. A másodlagos hatásossági végpontok a progressziómentes túlélés (PFS) és a teljes túlélés (OS) voltak. A fő hatásossági eredményeket a 13. táblázat mutatja be.</w:t>
      </w:r>
    </w:p>
    <w:p w14:paraId="16D7A617" w14:textId="77777777" w:rsidR="004D6470" w:rsidRPr="009E58F7" w:rsidRDefault="004D6470">
      <w:pPr>
        <w:widowControl w:val="0"/>
        <w:autoSpaceDE w:val="0"/>
        <w:autoSpaceDN w:val="0"/>
        <w:adjustRightInd w:val="0"/>
        <w:spacing w:line="240" w:lineRule="auto"/>
        <w:rPr>
          <w:i/>
          <w:color w:val="000000"/>
        </w:rPr>
      </w:pPr>
      <w:bookmarkStart w:id="39" w:name="page127"/>
      <w:bookmarkEnd w:id="39"/>
    </w:p>
    <w:p w14:paraId="6A0B8224" w14:textId="0BF55C75" w:rsidR="003212C5" w:rsidRPr="009E58F7" w:rsidRDefault="003212C5" w:rsidP="00A02A1A">
      <w:pPr>
        <w:keepNext/>
        <w:spacing w:line="240" w:lineRule="auto"/>
        <w:rPr>
          <w:i/>
        </w:rPr>
      </w:pPr>
      <w:r w:rsidRPr="009E58F7">
        <w:rPr>
          <w:i/>
        </w:rPr>
        <w:lastRenderedPageBreak/>
        <w:t>13. táblázat:</w:t>
      </w:r>
      <w:r w:rsidR="000E7E14" w:rsidRPr="009E58F7">
        <w:rPr>
          <w:i/>
          <w:iCs/>
          <w:noProof/>
        </w:rPr>
        <w:tab/>
      </w:r>
      <w:r w:rsidRPr="009E58F7">
        <w:rPr>
          <w:i/>
        </w:rPr>
        <w:t>Az MMY</w:t>
      </w:r>
      <w:r w:rsidR="003F0F42">
        <w:rPr>
          <w:i/>
        </w:rPr>
        <w:t>-</w:t>
      </w:r>
      <w:r w:rsidRPr="009E58F7">
        <w:rPr>
          <w:i/>
        </w:rPr>
        <w:t>3010 vizsgálat hatásossági eredményei</w:t>
      </w:r>
    </w:p>
    <w:tbl>
      <w:tblPr>
        <w:tblW w:w="9392" w:type="dxa"/>
        <w:tblLayout w:type="fixed"/>
        <w:tblCellMar>
          <w:left w:w="0" w:type="dxa"/>
          <w:right w:w="0" w:type="dxa"/>
        </w:tblCellMar>
        <w:tblLook w:val="04A0" w:firstRow="1" w:lastRow="0" w:firstColumn="1" w:lastColumn="0" w:noHBand="0" w:noVBand="1"/>
      </w:tblPr>
      <w:tblGrid>
        <w:gridCol w:w="2985"/>
        <w:gridCol w:w="1985"/>
        <w:gridCol w:w="1842"/>
        <w:gridCol w:w="2552"/>
        <w:gridCol w:w="28"/>
      </w:tblGrid>
      <w:tr w:rsidR="000E7E14" w:rsidRPr="009E58F7" w14:paraId="0CC01140" w14:textId="77777777" w:rsidTr="000E7E14">
        <w:trPr>
          <w:trHeight w:val="220"/>
        </w:trPr>
        <w:tc>
          <w:tcPr>
            <w:tcW w:w="2985" w:type="dxa"/>
            <w:tcBorders>
              <w:top w:val="single" w:sz="6" w:space="0" w:color="auto"/>
              <w:left w:val="single" w:sz="6" w:space="0" w:color="auto"/>
              <w:bottom w:val="single" w:sz="8" w:space="0" w:color="auto"/>
              <w:right w:val="single" w:sz="6" w:space="0" w:color="auto"/>
            </w:tcBorders>
            <w:vAlign w:val="bottom"/>
          </w:tcPr>
          <w:p w14:paraId="41A59287" w14:textId="77777777" w:rsidR="000E7E14" w:rsidRPr="009E58F7" w:rsidRDefault="000E7E14" w:rsidP="00E26B3B">
            <w:pPr>
              <w:keepNext/>
              <w:spacing w:line="240" w:lineRule="auto"/>
              <w:contextualSpacing/>
              <w:jc w:val="both"/>
              <w:rPr>
                <w:b/>
              </w:rPr>
            </w:pPr>
            <w:r w:rsidRPr="009E58F7">
              <w:rPr>
                <w:b/>
              </w:rPr>
              <w:t>Hatásossági végpont</w:t>
            </w:r>
          </w:p>
        </w:tc>
        <w:tc>
          <w:tcPr>
            <w:tcW w:w="1985" w:type="dxa"/>
            <w:tcBorders>
              <w:top w:val="single" w:sz="6" w:space="0" w:color="auto"/>
              <w:left w:val="single" w:sz="6" w:space="0" w:color="auto"/>
              <w:bottom w:val="single" w:sz="8" w:space="0" w:color="auto"/>
              <w:right w:val="single" w:sz="6" w:space="0" w:color="auto"/>
            </w:tcBorders>
            <w:vAlign w:val="bottom"/>
          </w:tcPr>
          <w:p w14:paraId="07F31692" w14:textId="77777777" w:rsidR="000E7E14" w:rsidRPr="009E58F7" w:rsidRDefault="000E7E14" w:rsidP="00E26B3B">
            <w:pPr>
              <w:keepNext/>
              <w:spacing w:line="240" w:lineRule="auto"/>
              <w:contextualSpacing/>
              <w:jc w:val="center"/>
              <w:rPr>
                <w:b/>
              </w:rPr>
            </w:pPr>
            <w:r w:rsidRPr="009E58F7">
              <w:rPr>
                <w:b/>
              </w:rPr>
              <w:t>BzTDx</w:t>
            </w:r>
          </w:p>
        </w:tc>
        <w:tc>
          <w:tcPr>
            <w:tcW w:w="1842" w:type="dxa"/>
            <w:tcBorders>
              <w:top w:val="single" w:sz="6" w:space="0" w:color="auto"/>
              <w:left w:val="single" w:sz="6" w:space="0" w:color="auto"/>
              <w:bottom w:val="single" w:sz="8" w:space="0" w:color="auto"/>
              <w:right w:val="single" w:sz="6" w:space="0" w:color="auto"/>
            </w:tcBorders>
            <w:vAlign w:val="bottom"/>
          </w:tcPr>
          <w:p w14:paraId="13B58422" w14:textId="77777777" w:rsidR="000E7E14" w:rsidRPr="009E58F7" w:rsidRDefault="000E7E14" w:rsidP="00E26B3B">
            <w:pPr>
              <w:keepNext/>
              <w:spacing w:line="240" w:lineRule="auto"/>
              <w:contextualSpacing/>
              <w:jc w:val="center"/>
              <w:rPr>
                <w:b/>
              </w:rPr>
            </w:pPr>
            <w:r w:rsidRPr="009E58F7">
              <w:rPr>
                <w:b/>
              </w:rPr>
              <w:t>TDx</w:t>
            </w:r>
          </w:p>
        </w:tc>
        <w:tc>
          <w:tcPr>
            <w:tcW w:w="2552" w:type="dxa"/>
            <w:tcBorders>
              <w:top w:val="single" w:sz="6" w:space="0" w:color="auto"/>
              <w:left w:val="single" w:sz="6" w:space="0" w:color="auto"/>
              <w:bottom w:val="single" w:sz="8" w:space="0" w:color="auto"/>
              <w:right w:val="single" w:sz="6" w:space="0" w:color="auto"/>
            </w:tcBorders>
            <w:vAlign w:val="bottom"/>
          </w:tcPr>
          <w:p w14:paraId="359ABC75" w14:textId="77777777" w:rsidR="000E7E14" w:rsidRPr="009E58F7" w:rsidRDefault="000E7E14" w:rsidP="00E26B3B">
            <w:pPr>
              <w:keepNext/>
              <w:spacing w:line="240" w:lineRule="auto"/>
              <w:contextualSpacing/>
              <w:jc w:val="center"/>
              <w:rPr>
                <w:b/>
              </w:rPr>
            </w:pPr>
            <w:r w:rsidRPr="009E58F7">
              <w:rPr>
                <w:b/>
              </w:rPr>
              <w:t>OR; 95%-os CI; p-érték</w:t>
            </w:r>
            <w:r w:rsidRPr="009E58F7">
              <w:rPr>
                <w:rFonts w:ascii="Times" w:hAnsi="Times"/>
                <w:b/>
                <w:vertAlign w:val="superscript"/>
              </w:rPr>
              <w:t>a</w:t>
            </w:r>
          </w:p>
        </w:tc>
        <w:tc>
          <w:tcPr>
            <w:tcW w:w="28" w:type="dxa"/>
            <w:tcBorders>
              <w:left w:val="single" w:sz="6" w:space="0" w:color="auto"/>
            </w:tcBorders>
            <w:vAlign w:val="bottom"/>
          </w:tcPr>
          <w:p w14:paraId="0C3C9F83" w14:textId="77777777" w:rsidR="000E7E14" w:rsidRPr="009E58F7" w:rsidRDefault="000E7E14" w:rsidP="00E26B3B">
            <w:pPr>
              <w:keepNext/>
              <w:spacing w:line="240" w:lineRule="auto"/>
              <w:contextualSpacing/>
              <w:jc w:val="both"/>
            </w:pPr>
          </w:p>
        </w:tc>
      </w:tr>
      <w:tr w:rsidR="000E7E14" w:rsidRPr="009E58F7" w14:paraId="4A97E3DA" w14:textId="77777777" w:rsidTr="000E7E14">
        <w:trPr>
          <w:trHeight w:val="193"/>
        </w:trPr>
        <w:tc>
          <w:tcPr>
            <w:tcW w:w="2985" w:type="dxa"/>
            <w:tcBorders>
              <w:left w:val="single" w:sz="6" w:space="0" w:color="auto"/>
              <w:right w:val="single" w:sz="6" w:space="0" w:color="auto"/>
            </w:tcBorders>
            <w:vAlign w:val="bottom"/>
          </w:tcPr>
          <w:p w14:paraId="3F62819E" w14:textId="77777777" w:rsidR="000E7E14" w:rsidRPr="009E58F7" w:rsidRDefault="000E7E14" w:rsidP="00E26B3B">
            <w:pPr>
              <w:keepNext/>
              <w:spacing w:line="240" w:lineRule="auto"/>
              <w:contextualSpacing/>
              <w:jc w:val="both"/>
            </w:pPr>
            <w:r w:rsidRPr="009E58F7">
              <w:rPr>
                <w:b/>
                <w:bCs/>
              </w:rPr>
              <w:t>MMY-</w:t>
            </w:r>
            <w:r w:rsidRPr="009E58F7">
              <w:rPr>
                <w:b/>
              </w:rPr>
              <w:t>3010</w:t>
            </w:r>
          </w:p>
        </w:tc>
        <w:tc>
          <w:tcPr>
            <w:tcW w:w="1985" w:type="dxa"/>
            <w:tcBorders>
              <w:left w:val="single" w:sz="6" w:space="0" w:color="auto"/>
              <w:right w:val="single" w:sz="6" w:space="0" w:color="auto"/>
            </w:tcBorders>
            <w:vAlign w:val="bottom"/>
          </w:tcPr>
          <w:p w14:paraId="41135B2C" w14:textId="1C962309" w:rsidR="000E7E14" w:rsidRPr="009E58F7" w:rsidRDefault="000E7E14" w:rsidP="00E26B3B">
            <w:pPr>
              <w:keepNext/>
              <w:spacing w:line="240" w:lineRule="auto"/>
              <w:contextualSpacing/>
              <w:jc w:val="center"/>
            </w:pPr>
            <w:r w:rsidRPr="009E58F7">
              <w:t>n = 130</w:t>
            </w:r>
          </w:p>
        </w:tc>
        <w:tc>
          <w:tcPr>
            <w:tcW w:w="1842" w:type="dxa"/>
            <w:tcBorders>
              <w:left w:val="single" w:sz="6" w:space="0" w:color="auto"/>
              <w:right w:val="single" w:sz="6" w:space="0" w:color="auto"/>
            </w:tcBorders>
            <w:vAlign w:val="bottom"/>
          </w:tcPr>
          <w:p w14:paraId="1E9D797C" w14:textId="6EE923D8" w:rsidR="000E7E14" w:rsidRPr="009E58F7" w:rsidRDefault="000E7E14" w:rsidP="00E26B3B">
            <w:pPr>
              <w:keepNext/>
              <w:spacing w:line="240" w:lineRule="auto"/>
              <w:contextualSpacing/>
              <w:jc w:val="center"/>
            </w:pPr>
            <w:r w:rsidRPr="009E58F7">
              <w:t>n = 127</w:t>
            </w:r>
          </w:p>
        </w:tc>
        <w:tc>
          <w:tcPr>
            <w:tcW w:w="2552" w:type="dxa"/>
            <w:tcBorders>
              <w:left w:val="single" w:sz="6" w:space="0" w:color="auto"/>
              <w:right w:val="single" w:sz="6" w:space="0" w:color="auto"/>
            </w:tcBorders>
            <w:vAlign w:val="bottom"/>
          </w:tcPr>
          <w:p w14:paraId="1A4A3D00" w14:textId="77777777" w:rsidR="000E7E14" w:rsidRPr="009E58F7" w:rsidRDefault="000E7E14" w:rsidP="00E26B3B">
            <w:pPr>
              <w:keepNext/>
              <w:spacing w:line="240" w:lineRule="auto"/>
              <w:contextualSpacing/>
              <w:jc w:val="both"/>
            </w:pPr>
          </w:p>
        </w:tc>
        <w:tc>
          <w:tcPr>
            <w:tcW w:w="28" w:type="dxa"/>
            <w:tcBorders>
              <w:left w:val="single" w:sz="6" w:space="0" w:color="auto"/>
            </w:tcBorders>
            <w:vAlign w:val="bottom"/>
          </w:tcPr>
          <w:p w14:paraId="2D12F042" w14:textId="77777777" w:rsidR="000E7E14" w:rsidRPr="009E58F7" w:rsidRDefault="000E7E14" w:rsidP="00E26B3B">
            <w:pPr>
              <w:keepNext/>
              <w:spacing w:line="240" w:lineRule="auto"/>
              <w:contextualSpacing/>
              <w:jc w:val="both"/>
            </w:pPr>
          </w:p>
        </w:tc>
      </w:tr>
      <w:tr w:rsidR="000E7E14" w:rsidRPr="009E58F7" w14:paraId="0DB03D31" w14:textId="77777777" w:rsidTr="000E7E14">
        <w:trPr>
          <w:trHeight w:val="229"/>
        </w:trPr>
        <w:tc>
          <w:tcPr>
            <w:tcW w:w="2985" w:type="dxa"/>
            <w:tcBorders>
              <w:left w:val="single" w:sz="6" w:space="0" w:color="auto"/>
              <w:bottom w:val="single" w:sz="8" w:space="0" w:color="auto"/>
              <w:right w:val="single" w:sz="6" w:space="0" w:color="auto"/>
            </w:tcBorders>
            <w:vAlign w:val="bottom"/>
          </w:tcPr>
          <w:p w14:paraId="400CEDCC" w14:textId="77777777" w:rsidR="000E7E14" w:rsidRPr="009E58F7" w:rsidRDefault="000E7E14" w:rsidP="00E26B3B">
            <w:pPr>
              <w:keepNext/>
              <w:spacing w:line="240" w:lineRule="auto"/>
              <w:contextualSpacing/>
              <w:jc w:val="both"/>
            </w:pPr>
          </w:p>
        </w:tc>
        <w:tc>
          <w:tcPr>
            <w:tcW w:w="1985" w:type="dxa"/>
            <w:tcBorders>
              <w:left w:val="single" w:sz="6" w:space="0" w:color="auto"/>
              <w:bottom w:val="single" w:sz="8" w:space="0" w:color="auto"/>
              <w:right w:val="single" w:sz="6" w:space="0" w:color="auto"/>
            </w:tcBorders>
            <w:vAlign w:val="bottom"/>
          </w:tcPr>
          <w:p w14:paraId="4B0B8F83" w14:textId="77777777" w:rsidR="000E7E14" w:rsidRPr="009E58F7" w:rsidRDefault="000E7E14" w:rsidP="00E26B3B">
            <w:pPr>
              <w:keepNext/>
              <w:spacing w:line="240" w:lineRule="auto"/>
              <w:contextualSpacing/>
              <w:jc w:val="center"/>
            </w:pPr>
            <w:r w:rsidRPr="009E58F7">
              <w:t>(ITT populáció)</w:t>
            </w:r>
          </w:p>
        </w:tc>
        <w:tc>
          <w:tcPr>
            <w:tcW w:w="1842" w:type="dxa"/>
            <w:tcBorders>
              <w:left w:val="single" w:sz="6" w:space="0" w:color="auto"/>
              <w:bottom w:val="single" w:sz="8" w:space="0" w:color="auto"/>
              <w:right w:val="single" w:sz="6" w:space="0" w:color="auto"/>
            </w:tcBorders>
            <w:vAlign w:val="bottom"/>
          </w:tcPr>
          <w:p w14:paraId="158D7DB8" w14:textId="77777777" w:rsidR="000E7E14" w:rsidRPr="009E58F7" w:rsidRDefault="000E7E14" w:rsidP="00E26B3B">
            <w:pPr>
              <w:keepNext/>
              <w:spacing w:line="240" w:lineRule="auto"/>
              <w:contextualSpacing/>
              <w:jc w:val="center"/>
            </w:pPr>
            <w:r w:rsidRPr="009E58F7">
              <w:t>(ITT populáció)</w:t>
            </w:r>
          </w:p>
        </w:tc>
        <w:tc>
          <w:tcPr>
            <w:tcW w:w="2552" w:type="dxa"/>
            <w:tcBorders>
              <w:left w:val="single" w:sz="6" w:space="0" w:color="auto"/>
              <w:bottom w:val="single" w:sz="8" w:space="0" w:color="auto"/>
              <w:right w:val="single" w:sz="6" w:space="0" w:color="auto"/>
            </w:tcBorders>
            <w:vAlign w:val="bottom"/>
          </w:tcPr>
          <w:p w14:paraId="701CA93F" w14:textId="77777777" w:rsidR="000E7E14" w:rsidRPr="009E58F7" w:rsidRDefault="000E7E14" w:rsidP="00E26B3B">
            <w:pPr>
              <w:keepNext/>
              <w:spacing w:line="240" w:lineRule="auto"/>
              <w:contextualSpacing/>
              <w:jc w:val="both"/>
            </w:pPr>
          </w:p>
        </w:tc>
        <w:tc>
          <w:tcPr>
            <w:tcW w:w="28" w:type="dxa"/>
            <w:tcBorders>
              <w:left w:val="single" w:sz="6" w:space="0" w:color="auto"/>
            </w:tcBorders>
            <w:vAlign w:val="bottom"/>
          </w:tcPr>
          <w:p w14:paraId="1695D8F0" w14:textId="77777777" w:rsidR="000E7E14" w:rsidRPr="009E58F7" w:rsidRDefault="000E7E14" w:rsidP="00E26B3B">
            <w:pPr>
              <w:keepNext/>
              <w:spacing w:line="240" w:lineRule="auto"/>
              <w:contextualSpacing/>
              <w:jc w:val="both"/>
            </w:pPr>
          </w:p>
        </w:tc>
      </w:tr>
      <w:tr w:rsidR="000E7E14" w:rsidRPr="009E58F7" w14:paraId="4B344186" w14:textId="77777777" w:rsidTr="000E7E14">
        <w:trPr>
          <w:trHeight w:val="193"/>
        </w:trPr>
        <w:tc>
          <w:tcPr>
            <w:tcW w:w="2985" w:type="dxa"/>
            <w:tcBorders>
              <w:left w:val="single" w:sz="6" w:space="0" w:color="auto"/>
              <w:right w:val="single" w:sz="6" w:space="0" w:color="auto"/>
            </w:tcBorders>
            <w:vAlign w:val="bottom"/>
          </w:tcPr>
          <w:p w14:paraId="3D2837A6" w14:textId="77777777" w:rsidR="000E7E14" w:rsidRPr="009E58F7" w:rsidRDefault="000E7E14" w:rsidP="00E26B3B">
            <w:pPr>
              <w:keepNext/>
              <w:spacing w:line="240" w:lineRule="auto"/>
              <w:contextualSpacing/>
              <w:jc w:val="both"/>
            </w:pPr>
            <w:r w:rsidRPr="009E58F7">
              <w:rPr>
                <w:i/>
                <w:iCs/>
              </w:rPr>
              <w:t>*RR (indukció utáni)</w:t>
            </w:r>
          </w:p>
        </w:tc>
        <w:tc>
          <w:tcPr>
            <w:tcW w:w="1985" w:type="dxa"/>
            <w:tcBorders>
              <w:left w:val="single" w:sz="6" w:space="0" w:color="auto"/>
              <w:right w:val="single" w:sz="6" w:space="0" w:color="auto"/>
            </w:tcBorders>
            <w:vAlign w:val="bottom"/>
          </w:tcPr>
          <w:p w14:paraId="4AEBB3A5" w14:textId="77777777" w:rsidR="000E7E14" w:rsidRPr="009E58F7" w:rsidRDefault="000E7E14" w:rsidP="00E26B3B">
            <w:pPr>
              <w:keepNext/>
              <w:spacing w:line="240" w:lineRule="auto"/>
              <w:contextualSpacing/>
              <w:jc w:val="both"/>
            </w:pPr>
          </w:p>
        </w:tc>
        <w:tc>
          <w:tcPr>
            <w:tcW w:w="1842" w:type="dxa"/>
            <w:tcBorders>
              <w:left w:val="single" w:sz="6" w:space="0" w:color="auto"/>
              <w:right w:val="single" w:sz="6" w:space="0" w:color="auto"/>
            </w:tcBorders>
            <w:vAlign w:val="bottom"/>
          </w:tcPr>
          <w:p w14:paraId="4F57A0B3" w14:textId="77777777" w:rsidR="000E7E14" w:rsidRPr="009E58F7" w:rsidRDefault="000E7E14" w:rsidP="00E26B3B">
            <w:pPr>
              <w:keepNext/>
              <w:spacing w:line="240" w:lineRule="auto"/>
              <w:contextualSpacing/>
              <w:jc w:val="both"/>
            </w:pPr>
          </w:p>
        </w:tc>
        <w:tc>
          <w:tcPr>
            <w:tcW w:w="2552" w:type="dxa"/>
            <w:tcBorders>
              <w:left w:val="single" w:sz="6" w:space="0" w:color="auto"/>
              <w:right w:val="single" w:sz="6" w:space="0" w:color="auto"/>
            </w:tcBorders>
            <w:vAlign w:val="bottom"/>
          </w:tcPr>
          <w:p w14:paraId="6FBCD21C" w14:textId="77777777" w:rsidR="000E7E14" w:rsidRPr="009E58F7" w:rsidRDefault="000E7E14" w:rsidP="00E26B3B">
            <w:pPr>
              <w:keepNext/>
              <w:spacing w:line="240" w:lineRule="auto"/>
              <w:contextualSpacing/>
              <w:jc w:val="both"/>
            </w:pPr>
          </w:p>
        </w:tc>
        <w:tc>
          <w:tcPr>
            <w:tcW w:w="28" w:type="dxa"/>
            <w:tcBorders>
              <w:left w:val="single" w:sz="6" w:space="0" w:color="auto"/>
            </w:tcBorders>
            <w:vAlign w:val="bottom"/>
          </w:tcPr>
          <w:p w14:paraId="39D56945" w14:textId="77777777" w:rsidR="000E7E14" w:rsidRPr="009E58F7" w:rsidRDefault="000E7E14" w:rsidP="00E26B3B">
            <w:pPr>
              <w:keepNext/>
              <w:spacing w:line="240" w:lineRule="auto"/>
              <w:contextualSpacing/>
              <w:jc w:val="both"/>
            </w:pPr>
          </w:p>
        </w:tc>
      </w:tr>
      <w:tr w:rsidR="000E7E14" w:rsidRPr="009E58F7" w14:paraId="4537C20A" w14:textId="77777777" w:rsidTr="000E7E14">
        <w:trPr>
          <w:trHeight w:val="215"/>
        </w:trPr>
        <w:tc>
          <w:tcPr>
            <w:tcW w:w="2985" w:type="dxa"/>
            <w:tcBorders>
              <w:left w:val="single" w:sz="6" w:space="0" w:color="auto"/>
              <w:right w:val="single" w:sz="6" w:space="0" w:color="auto"/>
            </w:tcBorders>
            <w:vAlign w:val="bottom"/>
          </w:tcPr>
          <w:p w14:paraId="2EC29A22" w14:textId="77777777" w:rsidR="000E7E14" w:rsidRPr="009E58F7" w:rsidRDefault="000E7E14" w:rsidP="00E26B3B">
            <w:pPr>
              <w:keepNext/>
              <w:spacing w:line="240" w:lineRule="auto"/>
              <w:contextualSpacing/>
              <w:jc w:val="both"/>
            </w:pPr>
            <w:r w:rsidRPr="009E58F7">
              <w:t>CR+nCR</w:t>
            </w:r>
          </w:p>
        </w:tc>
        <w:tc>
          <w:tcPr>
            <w:tcW w:w="1985" w:type="dxa"/>
            <w:tcBorders>
              <w:left w:val="single" w:sz="6" w:space="0" w:color="auto"/>
              <w:right w:val="single" w:sz="6" w:space="0" w:color="auto"/>
            </w:tcBorders>
            <w:vAlign w:val="bottom"/>
          </w:tcPr>
          <w:p w14:paraId="7A9FC5C4" w14:textId="77777777" w:rsidR="000E7E14" w:rsidRPr="009E58F7" w:rsidRDefault="000E7E14" w:rsidP="00E26B3B">
            <w:pPr>
              <w:keepNext/>
              <w:spacing w:line="240" w:lineRule="auto"/>
              <w:contextualSpacing/>
              <w:jc w:val="center"/>
            </w:pPr>
            <w:r w:rsidRPr="009E58F7">
              <w:t>49,2 (40,4; 58,1)</w:t>
            </w:r>
          </w:p>
        </w:tc>
        <w:tc>
          <w:tcPr>
            <w:tcW w:w="1842" w:type="dxa"/>
            <w:tcBorders>
              <w:left w:val="single" w:sz="6" w:space="0" w:color="auto"/>
              <w:right w:val="single" w:sz="6" w:space="0" w:color="auto"/>
            </w:tcBorders>
            <w:vAlign w:val="bottom"/>
          </w:tcPr>
          <w:p w14:paraId="5E72F1FA" w14:textId="77777777" w:rsidR="000E7E14" w:rsidRPr="009E58F7" w:rsidRDefault="000E7E14" w:rsidP="00E26B3B">
            <w:pPr>
              <w:keepNext/>
              <w:spacing w:line="240" w:lineRule="auto"/>
              <w:contextualSpacing/>
              <w:jc w:val="center"/>
            </w:pPr>
            <w:r w:rsidRPr="009E58F7">
              <w:t>17,3 (11,2; 25,0)</w:t>
            </w:r>
          </w:p>
        </w:tc>
        <w:tc>
          <w:tcPr>
            <w:tcW w:w="2552" w:type="dxa"/>
            <w:tcBorders>
              <w:left w:val="single" w:sz="6" w:space="0" w:color="auto"/>
              <w:right w:val="single" w:sz="6" w:space="0" w:color="auto"/>
            </w:tcBorders>
            <w:vAlign w:val="bottom"/>
          </w:tcPr>
          <w:p w14:paraId="7AB9F4BC" w14:textId="0111123B" w:rsidR="000E7E14" w:rsidRPr="009E58F7" w:rsidRDefault="000E7E14" w:rsidP="00E26B3B">
            <w:pPr>
              <w:keepNext/>
              <w:spacing w:line="240" w:lineRule="auto"/>
              <w:contextualSpacing/>
              <w:jc w:val="center"/>
            </w:pPr>
            <w:r w:rsidRPr="009E58F7">
              <w:t>4,63 (2,61; 8,22); &lt; 0,001</w:t>
            </w:r>
            <w:r w:rsidRPr="009E58F7">
              <w:rPr>
                <w:rFonts w:ascii="Times" w:hAnsi="Times"/>
                <w:vertAlign w:val="superscript"/>
              </w:rPr>
              <w:t>a</w:t>
            </w:r>
          </w:p>
        </w:tc>
        <w:tc>
          <w:tcPr>
            <w:tcW w:w="28" w:type="dxa"/>
            <w:tcBorders>
              <w:left w:val="single" w:sz="6" w:space="0" w:color="auto"/>
            </w:tcBorders>
            <w:vAlign w:val="bottom"/>
          </w:tcPr>
          <w:p w14:paraId="4AEEC63C" w14:textId="77777777" w:rsidR="000E7E14" w:rsidRPr="009E58F7" w:rsidRDefault="000E7E14" w:rsidP="00E26B3B">
            <w:pPr>
              <w:keepNext/>
              <w:spacing w:line="240" w:lineRule="auto"/>
              <w:contextualSpacing/>
              <w:jc w:val="both"/>
            </w:pPr>
          </w:p>
        </w:tc>
      </w:tr>
      <w:tr w:rsidR="000E7E14" w:rsidRPr="009E58F7" w14:paraId="3CA4BDC0" w14:textId="77777777" w:rsidTr="000E7E14">
        <w:trPr>
          <w:trHeight w:val="217"/>
        </w:trPr>
        <w:tc>
          <w:tcPr>
            <w:tcW w:w="2985" w:type="dxa"/>
            <w:tcBorders>
              <w:left w:val="single" w:sz="6" w:space="0" w:color="auto"/>
              <w:right w:val="single" w:sz="6" w:space="0" w:color="auto"/>
            </w:tcBorders>
            <w:vAlign w:val="bottom"/>
          </w:tcPr>
          <w:p w14:paraId="071BD619" w14:textId="75E6B2B1" w:rsidR="000E7E14" w:rsidRPr="009E58F7" w:rsidRDefault="000E7E14" w:rsidP="00E26B3B">
            <w:pPr>
              <w:keepNext/>
              <w:spacing w:line="240" w:lineRule="auto"/>
              <w:contextualSpacing/>
              <w:jc w:val="both"/>
            </w:pPr>
            <w:r w:rsidRPr="009E58F7">
              <w:t>CR+nCR+PR % (95%-os CI)</w:t>
            </w:r>
          </w:p>
        </w:tc>
        <w:tc>
          <w:tcPr>
            <w:tcW w:w="1985" w:type="dxa"/>
            <w:tcBorders>
              <w:left w:val="single" w:sz="6" w:space="0" w:color="auto"/>
              <w:right w:val="single" w:sz="6" w:space="0" w:color="auto"/>
            </w:tcBorders>
            <w:vAlign w:val="bottom"/>
          </w:tcPr>
          <w:p w14:paraId="51F1361A" w14:textId="77777777" w:rsidR="000E7E14" w:rsidRPr="009E58F7" w:rsidRDefault="000E7E14" w:rsidP="00E26B3B">
            <w:pPr>
              <w:keepNext/>
              <w:spacing w:line="240" w:lineRule="auto"/>
              <w:contextualSpacing/>
              <w:jc w:val="center"/>
            </w:pPr>
            <w:r w:rsidRPr="009E58F7">
              <w:t>84,6 (77,2; 90,3)</w:t>
            </w:r>
          </w:p>
        </w:tc>
        <w:tc>
          <w:tcPr>
            <w:tcW w:w="1842" w:type="dxa"/>
            <w:tcBorders>
              <w:left w:val="single" w:sz="6" w:space="0" w:color="auto"/>
              <w:right w:val="single" w:sz="6" w:space="0" w:color="auto"/>
            </w:tcBorders>
            <w:vAlign w:val="bottom"/>
          </w:tcPr>
          <w:p w14:paraId="2DB5660D" w14:textId="77777777" w:rsidR="000E7E14" w:rsidRPr="009E58F7" w:rsidRDefault="000E7E14" w:rsidP="00E26B3B">
            <w:pPr>
              <w:keepNext/>
              <w:spacing w:line="240" w:lineRule="auto"/>
              <w:contextualSpacing/>
              <w:jc w:val="center"/>
            </w:pPr>
            <w:r w:rsidRPr="009E58F7">
              <w:t>61,4 (52,4; 69,9)</w:t>
            </w:r>
          </w:p>
        </w:tc>
        <w:tc>
          <w:tcPr>
            <w:tcW w:w="2552" w:type="dxa"/>
            <w:tcBorders>
              <w:left w:val="single" w:sz="6" w:space="0" w:color="auto"/>
              <w:right w:val="single" w:sz="6" w:space="0" w:color="auto"/>
            </w:tcBorders>
            <w:vAlign w:val="bottom"/>
          </w:tcPr>
          <w:p w14:paraId="2318DC10" w14:textId="7FEE65D2" w:rsidR="000E7E14" w:rsidRPr="009E58F7" w:rsidRDefault="000E7E14" w:rsidP="00E26B3B">
            <w:pPr>
              <w:keepNext/>
              <w:spacing w:line="240" w:lineRule="auto"/>
              <w:contextualSpacing/>
              <w:jc w:val="center"/>
            </w:pPr>
            <w:r w:rsidRPr="009E58F7">
              <w:t>3,46 (1,90, 6,27); &lt; 0,001</w:t>
            </w:r>
            <w:r w:rsidRPr="009E58F7">
              <w:rPr>
                <w:rFonts w:ascii="Times" w:hAnsi="Times"/>
                <w:vertAlign w:val="superscript"/>
              </w:rPr>
              <w:t>a</w:t>
            </w:r>
          </w:p>
        </w:tc>
        <w:tc>
          <w:tcPr>
            <w:tcW w:w="28" w:type="dxa"/>
            <w:tcBorders>
              <w:left w:val="single" w:sz="6" w:space="0" w:color="auto"/>
            </w:tcBorders>
            <w:vAlign w:val="bottom"/>
          </w:tcPr>
          <w:p w14:paraId="0BBF1567" w14:textId="77777777" w:rsidR="000E7E14" w:rsidRPr="009E58F7" w:rsidRDefault="000E7E14" w:rsidP="00E26B3B">
            <w:pPr>
              <w:keepNext/>
              <w:spacing w:line="240" w:lineRule="auto"/>
              <w:contextualSpacing/>
              <w:jc w:val="both"/>
            </w:pPr>
          </w:p>
        </w:tc>
      </w:tr>
      <w:tr w:rsidR="000E7E14" w:rsidRPr="009E58F7" w14:paraId="4C67ACF1" w14:textId="77777777" w:rsidTr="000E7E14">
        <w:trPr>
          <w:trHeight w:val="229"/>
        </w:trPr>
        <w:tc>
          <w:tcPr>
            <w:tcW w:w="2985" w:type="dxa"/>
            <w:tcBorders>
              <w:left w:val="single" w:sz="6" w:space="0" w:color="auto"/>
              <w:bottom w:val="single" w:sz="8" w:space="0" w:color="auto"/>
              <w:right w:val="single" w:sz="6" w:space="0" w:color="auto"/>
            </w:tcBorders>
            <w:vAlign w:val="bottom"/>
          </w:tcPr>
          <w:p w14:paraId="17104479" w14:textId="77C51405" w:rsidR="000E7E14" w:rsidRPr="009E58F7" w:rsidRDefault="000E7E14" w:rsidP="00E26B3B">
            <w:pPr>
              <w:keepNext/>
              <w:spacing w:line="240" w:lineRule="auto"/>
              <w:contextualSpacing/>
              <w:jc w:val="both"/>
            </w:pPr>
          </w:p>
        </w:tc>
        <w:tc>
          <w:tcPr>
            <w:tcW w:w="1985" w:type="dxa"/>
            <w:tcBorders>
              <w:left w:val="single" w:sz="6" w:space="0" w:color="auto"/>
              <w:bottom w:val="single" w:sz="8" w:space="0" w:color="auto"/>
              <w:right w:val="single" w:sz="6" w:space="0" w:color="auto"/>
            </w:tcBorders>
            <w:vAlign w:val="bottom"/>
          </w:tcPr>
          <w:p w14:paraId="661F81A3" w14:textId="77777777" w:rsidR="000E7E14" w:rsidRPr="009E58F7" w:rsidRDefault="000E7E14" w:rsidP="00E26B3B">
            <w:pPr>
              <w:keepNext/>
              <w:spacing w:line="240" w:lineRule="auto"/>
              <w:contextualSpacing/>
              <w:jc w:val="center"/>
            </w:pPr>
          </w:p>
        </w:tc>
        <w:tc>
          <w:tcPr>
            <w:tcW w:w="1842" w:type="dxa"/>
            <w:tcBorders>
              <w:left w:val="single" w:sz="6" w:space="0" w:color="auto"/>
              <w:bottom w:val="single" w:sz="8" w:space="0" w:color="auto"/>
              <w:right w:val="single" w:sz="6" w:space="0" w:color="auto"/>
            </w:tcBorders>
            <w:vAlign w:val="bottom"/>
          </w:tcPr>
          <w:p w14:paraId="61BD4672" w14:textId="77777777" w:rsidR="000E7E14" w:rsidRPr="009E58F7" w:rsidRDefault="000E7E14" w:rsidP="00E26B3B">
            <w:pPr>
              <w:keepNext/>
              <w:spacing w:line="240" w:lineRule="auto"/>
              <w:contextualSpacing/>
              <w:jc w:val="center"/>
            </w:pPr>
          </w:p>
        </w:tc>
        <w:tc>
          <w:tcPr>
            <w:tcW w:w="2552" w:type="dxa"/>
            <w:tcBorders>
              <w:left w:val="single" w:sz="6" w:space="0" w:color="auto"/>
              <w:bottom w:val="single" w:sz="8" w:space="0" w:color="auto"/>
              <w:right w:val="single" w:sz="6" w:space="0" w:color="auto"/>
            </w:tcBorders>
            <w:vAlign w:val="bottom"/>
          </w:tcPr>
          <w:p w14:paraId="35446366" w14:textId="77777777" w:rsidR="000E7E14" w:rsidRPr="009E58F7" w:rsidRDefault="000E7E14" w:rsidP="00E26B3B">
            <w:pPr>
              <w:keepNext/>
              <w:spacing w:line="240" w:lineRule="auto"/>
              <w:contextualSpacing/>
              <w:jc w:val="center"/>
            </w:pPr>
          </w:p>
        </w:tc>
        <w:tc>
          <w:tcPr>
            <w:tcW w:w="28" w:type="dxa"/>
            <w:tcBorders>
              <w:left w:val="single" w:sz="6" w:space="0" w:color="auto"/>
            </w:tcBorders>
            <w:vAlign w:val="bottom"/>
          </w:tcPr>
          <w:p w14:paraId="1BA60DAF" w14:textId="77777777" w:rsidR="000E7E14" w:rsidRPr="009E58F7" w:rsidRDefault="000E7E14" w:rsidP="00E26B3B">
            <w:pPr>
              <w:keepNext/>
              <w:spacing w:line="240" w:lineRule="auto"/>
              <w:contextualSpacing/>
              <w:jc w:val="both"/>
            </w:pPr>
          </w:p>
        </w:tc>
      </w:tr>
      <w:tr w:rsidR="000E7E14" w:rsidRPr="009E58F7" w14:paraId="3515BD99" w14:textId="77777777" w:rsidTr="000E7E14">
        <w:trPr>
          <w:trHeight w:val="192"/>
        </w:trPr>
        <w:tc>
          <w:tcPr>
            <w:tcW w:w="2985" w:type="dxa"/>
            <w:tcBorders>
              <w:left w:val="single" w:sz="6" w:space="0" w:color="auto"/>
              <w:right w:val="single" w:sz="6" w:space="0" w:color="auto"/>
            </w:tcBorders>
            <w:vAlign w:val="bottom"/>
          </w:tcPr>
          <w:p w14:paraId="4062867F" w14:textId="77777777" w:rsidR="000E7E14" w:rsidRPr="009E58F7" w:rsidRDefault="000E7E14" w:rsidP="00E26B3B">
            <w:pPr>
              <w:keepNext/>
              <w:spacing w:line="240" w:lineRule="auto"/>
              <w:contextualSpacing/>
              <w:jc w:val="both"/>
            </w:pPr>
            <w:r w:rsidRPr="009E58F7">
              <w:rPr>
                <w:i/>
                <w:iCs/>
              </w:rPr>
              <w:t>*RR (transzplantáció utáni)</w:t>
            </w:r>
          </w:p>
        </w:tc>
        <w:tc>
          <w:tcPr>
            <w:tcW w:w="1985" w:type="dxa"/>
            <w:vMerge w:val="restart"/>
            <w:tcBorders>
              <w:left w:val="single" w:sz="6" w:space="0" w:color="auto"/>
              <w:right w:val="single" w:sz="6" w:space="0" w:color="auto"/>
            </w:tcBorders>
            <w:vAlign w:val="bottom"/>
          </w:tcPr>
          <w:p w14:paraId="1ECE9406" w14:textId="77777777" w:rsidR="000E7E14" w:rsidRPr="009E58F7" w:rsidRDefault="000E7E14" w:rsidP="00E26B3B">
            <w:pPr>
              <w:keepNext/>
              <w:spacing w:line="240" w:lineRule="auto"/>
              <w:contextualSpacing/>
              <w:jc w:val="center"/>
            </w:pPr>
            <w:r w:rsidRPr="009E58F7">
              <w:t>55,4 (46,4; 64,1)</w:t>
            </w:r>
          </w:p>
        </w:tc>
        <w:tc>
          <w:tcPr>
            <w:tcW w:w="1842" w:type="dxa"/>
            <w:vMerge w:val="restart"/>
            <w:tcBorders>
              <w:left w:val="single" w:sz="6" w:space="0" w:color="auto"/>
              <w:right w:val="single" w:sz="6" w:space="0" w:color="auto"/>
            </w:tcBorders>
            <w:vAlign w:val="bottom"/>
          </w:tcPr>
          <w:p w14:paraId="76117481" w14:textId="77777777" w:rsidR="000E7E14" w:rsidRPr="009E58F7" w:rsidRDefault="000E7E14" w:rsidP="00E26B3B">
            <w:pPr>
              <w:keepNext/>
              <w:spacing w:line="240" w:lineRule="auto"/>
              <w:contextualSpacing/>
              <w:jc w:val="center"/>
            </w:pPr>
            <w:r w:rsidRPr="009E58F7">
              <w:t>34,6 (26,4; 43,6)</w:t>
            </w:r>
          </w:p>
        </w:tc>
        <w:tc>
          <w:tcPr>
            <w:tcW w:w="2552" w:type="dxa"/>
            <w:vMerge w:val="restart"/>
            <w:tcBorders>
              <w:left w:val="single" w:sz="6" w:space="0" w:color="auto"/>
              <w:right w:val="single" w:sz="6" w:space="0" w:color="auto"/>
            </w:tcBorders>
            <w:vAlign w:val="bottom"/>
          </w:tcPr>
          <w:p w14:paraId="16AF8043" w14:textId="5E9E0D9C" w:rsidR="000E7E14" w:rsidRPr="009E58F7" w:rsidRDefault="000E7E14" w:rsidP="00E26B3B">
            <w:pPr>
              <w:keepNext/>
              <w:spacing w:line="240" w:lineRule="auto"/>
              <w:contextualSpacing/>
              <w:jc w:val="center"/>
            </w:pPr>
            <w:r w:rsidRPr="009E58F7">
              <w:t>2,34 (1,42; 3,87); 0,001</w:t>
            </w:r>
            <w:r w:rsidRPr="009E58F7">
              <w:rPr>
                <w:rFonts w:ascii="Times" w:hAnsi="Times"/>
                <w:vertAlign w:val="superscript"/>
              </w:rPr>
              <w:t>a</w:t>
            </w:r>
          </w:p>
        </w:tc>
        <w:tc>
          <w:tcPr>
            <w:tcW w:w="28" w:type="dxa"/>
            <w:tcBorders>
              <w:left w:val="single" w:sz="6" w:space="0" w:color="auto"/>
            </w:tcBorders>
            <w:vAlign w:val="bottom"/>
          </w:tcPr>
          <w:p w14:paraId="65D84681" w14:textId="77777777" w:rsidR="000E7E14" w:rsidRPr="009E58F7" w:rsidRDefault="000E7E14" w:rsidP="00E26B3B">
            <w:pPr>
              <w:keepNext/>
              <w:spacing w:line="240" w:lineRule="auto"/>
              <w:contextualSpacing/>
              <w:jc w:val="both"/>
            </w:pPr>
          </w:p>
        </w:tc>
      </w:tr>
      <w:tr w:rsidR="000E7E14" w:rsidRPr="009E58F7" w14:paraId="56143ED0" w14:textId="77777777" w:rsidTr="000E7E14">
        <w:trPr>
          <w:trHeight w:val="217"/>
        </w:trPr>
        <w:tc>
          <w:tcPr>
            <w:tcW w:w="2985" w:type="dxa"/>
            <w:tcBorders>
              <w:left w:val="single" w:sz="6" w:space="0" w:color="auto"/>
              <w:right w:val="single" w:sz="6" w:space="0" w:color="auto"/>
            </w:tcBorders>
            <w:vAlign w:val="bottom"/>
          </w:tcPr>
          <w:p w14:paraId="1E175E4A" w14:textId="77777777" w:rsidR="000E7E14" w:rsidRPr="009E58F7" w:rsidRDefault="000E7E14" w:rsidP="00E26B3B">
            <w:pPr>
              <w:keepNext/>
              <w:spacing w:line="240" w:lineRule="auto"/>
              <w:contextualSpacing/>
              <w:jc w:val="both"/>
            </w:pPr>
            <w:r w:rsidRPr="009E58F7">
              <w:t>CR+nCR</w:t>
            </w:r>
          </w:p>
        </w:tc>
        <w:tc>
          <w:tcPr>
            <w:tcW w:w="1985" w:type="dxa"/>
            <w:vMerge/>
            <w:tcBorders>
              <w:left w:val="single" w:sz="6" w:space="0" w:color="auto"/>
              <w:right w:val="single" w:sz="6" w:space="0" w:color="auto"/>
            </w:tcBorders>
            <w:vAlign w:val="bottom"/>
          </w:tcPr>
          <w:p w14:paraId="01891035" w14:textId="77777777" w:rsidR="000E7E14" w:rsidRPr="009E58F7" w:rsidRDefault="000E7E14" w:rsidP="00E26B3B">
            <w:pPr>
              <w:keepNext/>
              <w:spacing w:line="240" w:lineRule="auto"/>
              <w:contextualSpacing/>
              <w:jc w:val="center"/>
            </w:pPr>
          </w:p>
        </w:tc>
        <w:tc>
          <w:tcPr>
            <w:tcW w:w="1842" w:type="dxa"/>
            <w:vMerge/>
            <w:tcBorders>
              <w:left w:val="single" w:sz="6" w:space="0" w:color="auto"/>
              <w:right w:val="single" w:sz="6" w:space="0" w:color="auto"/>
            </w:tcBorders>
            <w:vAlign w:val="bottom"/>
          </w:tcPr>
          <w:p w14:paraId="023F7422" w14:textId="77777777" w:rsidR="000E7E14" w:rsidRPr="009E58F7" w:rsidRDefault="000E7E14" w:rsidP="00E26B3B">
            <w:pPr>
              <w:keepNext/>
              <w:spacing w:line="240" w:lineRule="auto"/>
              <w:contextualSpacing/>
              <w:jc w:val="center"/>
            </w:pPr>
          </w:p>
        </w:tc>
        <w:tc>
          <w:tcPr>
            <w:tcW w:w="2552" w:type="dxa"/>
            <w:vMerge/>
            <w:tcBorders>
              <w:left w:val="single" w:sz="6" w:space="0" w:color="auto"/>
              <w:right w:val="single" w:sz="6" w:space="0" w:color="auto"/>
            </w:tcBorders>
            <w:vAlign w:val="bottom"/>
          </w:tcPr>
          <w:p w14:paraId="5756FCA4" w14:textId="77777777" w:rsidR="000E7E14" w:rsidRPr="009E58F7" w:rsidRDefault="000E7E14" w:rsidP="00E26B3B">
            <w:pPr>
              <w:keepNext/>
              <w:spacing w:line="240" w:lineRule="auto"/>
              <w:contextualSpacing/>
              <w:jc w:val="center"/>
            </w:pPr>
          </w:p>
        </w:tc>
        <w:tc>
          <w:tcPr>
            <w:tcW w:w="28" w:type="dxa"/>
            <w:tcBorders>
              <w:left w:val="single" w:sz="6" w:space="0" w:color="auto"/>
            </w:tcBorders>
            <w:vAlign w:val="bottom"/>
          </w:tcPr>
          <w:p w14:paraId="3F26FF13" w14:textId="77777777" w:rsidR="000E7E14" w:rsidRPr="009E58F7" w:rsidRDefault="000E7E14" w:rsidP="00E26B3B">
            <w:pPr>
              <w:keepNext/>
              <w:spacing w:line="240" w:lineRule="auto"/>
              <w:contextualSpacing/>
              <w:jc w:val="both"/>
            </w:pPr>
          </w:p>
        </w:tc>
      </w:tr>
      <w:tr w:rsidR="000E7E14" w:rsidRPr="009E58F7" w14:paraId="6E621889" w14:textId="77777777" w:rsidTr="000E7E14">
        <w:trPr>
          <w:trHeight w:val="216"/>
        </w:trPr>
        <w:tc>
          <w:tcPr>
            <w:tcW w:w="2985" w:type="dxa"/>
            <w:tcBorders>
              <w:left w:val="single" w:sz="6" w:space="0" w:color="auto"/>
              <w:right w:val="single" w:sz="6" w:space="0" w:color="auto"/>
            </w:tcBorders>
            <w:vAlign w:val="bottom"/>
          </w:tcPr>
          <w:p w14:paraId="61BA9344" w14:textId="0756F4B3" w:rsidR="000E7E14" w:rsidRPr="009E58F7" w:rsidRDefault="000E7E14" w:rsidP="007070F2">
            <w:pPr>
              <w:spacing w:line="240" w:lineRule="auto"/>
              <w:contextualSpacing/>
              <w:jc w:val="both"/>
            </w:pPr>
            <w:r w:rsidRPr="009E58F7">
              <w:t>CR+nCR+PR % (95%-os CI)</w:t>
            </w:r>
          </w:p>
        </w:tc>
        <w:tc>
          <w:tcPr>
            <w:tcW w:w="1985" w:type="dxa"/>
            <w:tcBorders>
              <w:left w:val="single" w:sz="6" w:space="0" w:color="auto"/>
              <w:right w:val="single" w:sz="6" w:space="0" w:color="auto"/>
            </w:tcBorders>
            <w:vAlign w:val="bottom"/>
          </w:tcPr>
          <w:p w14:paraId="4DB09283" w14:textId="77777777" w:rsidR="000E7E14" w:rsidRPr="009E58F7" w:rsidRDefault="000E7E14" w:rsidP="007070F2">
            <w:pPr>
              <w:spacing w:line="240" w:lineRule="auto"/>
              <w:contextualSpacing/>
              <w:jc w:val="center"/>
            </w:pPr>
            <w:r w:rsidRPr="009E58F7">
              <w:t>77,7 (69,6; 84,5)</w:t>
            </w:r>
          </w:p>
        </w:tc>
        <w:tc>
          <w:tcPr>
            <w:tcW w:w="1842" w:type="dxa"/>
            <w:tcBorders>
              <w:left w:val="single" w:sz="6" w:space="0" w:color="auto"/>
              <w:right w:val="single" w:sz="6" w:space="0" w:color="auto"/>
            </w:tcBorders>
            <w:vAlign w:val="bottom"/>
          </w:tcPr>
          <w:p w14:paraId="09F17A45" w14:textId="77777777" w:rsidR="000E7E14" w:rsidRPr="009E58F7" w:rsidRDefault="000E7E14" w:rsidP="007070F2">
            <w:pPr>
              <w:spacing w:line="240" w:lineRule="auto"/>
              <w:contextualSpacing/>
              <w:jc w:val="center"/>
            </w:pPr>
            <w:r w:rsidRPr="009E58F7">
              <w:t>56,7 (47,6; 65,5)</w:t>
            </w:r>
          </w:p>
        </w:tc>
        <w:tc>
          <w:tcPr>
            <w:tcW w:w="2552" w:type="dxa"/>
            <w:tcBorders>
              <w:left w:val="single" w:sz="6" w:space="0" w:color="auto"/>
              <w:right w:val="single" w:sz="6" w:space="0" w:color="auto"/>
            </w:tcBorders>
            <w:vAlign w:val="bottom"/>
          </w:tcPr>
          <w:p w14:paraId="0FEC51E8" w14:textId="707CF502" w:rsidR="000E7E14" w:rsidRPr="009E58F7" w:rsidRDefault="000E7E14" w:rsidP="007070F2">
            <w:pPr>
              <w:spacing w:line="240" w:lineRule="auto"/>
              <w:contextualSpacing/>
              <w:jc w:val="center"/>
            </w:pPr>
            <w:r w:rsidRPr="009E58F7">
              <w:t>2,66 (1,55; 4,57); &lt; 0,00</w:t>
            </w:r>
            <w:r w:rsidRPr="009E58F7">
              <w:rPr>
                <w:rFonts w:ascii="Times" w:hAnsi="Times"/>
                <w:vertAlign w:val="superscript"/>
              </w:rPr>
              <w:t>a</w:t>
            </w:r>
          </w:p>
        </w:tc>
        <w:tc>
          <w:tcPr>
            <w:tcW w:w="28" w:type="dxa"/>
            <w:tcBorders>
              <w:left w:val="single" w:sz="6" w:space="0" w:color="auto"/>
            </w:tcBorders>
            <w:vAlign w:val="bottom"/>
          </w:tcPr>
          <w:p w14:paraId="780EE487" w14:textId="77777777" w:rsidR="000E7E14" w:rsidRPr="009E58F7" w:rsidRDefault="000E7E14" w:rsidP="007070F2">
            <w:pPr>
              <w:spacing w:line="240" w:lineRule="auto"/>
              <w:contextualSpacing/>
              <w:jc w:val="both"/>
            </w:pPr>
          </w:p>
        </w:tc>
      </w:tr>
      <w:tr w:rsidR="000E7E14" w:rsidRPr="009E58F7" w14:paraId="0925B69C" w14:textId="77777777" w:rsidTr="000E7E14">
        <w:trPr>
          <w:trHeight w:val="227"/>
        </w:trPr>
        <w:tc>
          <w:tcPr>
            <w:tcW w:w="2985" w:type="dxa"/>
            <w:tcBorders>
              <w:left w:val="single" w:sz="6" w:space="0" w:color="auto"/>
              <w:bottom w:val="single" w:sz="6" w:space="0" w:color="auto"/>
              <w:right w:val="single" w:sz="6" w:space="0" w:color="auto"/>
            </w:tcBorders>
            <w:vAlign w:val="bottom"/>
          </w:tcPr>
          <w:p w14:paraId="44542599" w14:textId="04D037AE" w:rsidR="000E7E14" w:rsidRPr="009E58F7" w:rsidRDefault="000E7E14" w:rsidP="007070F2">
            <w:pPr>
              <w:spacing w:line="240" w:lineRule="auto"/>
              <w:contextualSpacing/>
              <w:jc w:val="both"/>
            </w:pPr>
          </w:p>
        </w:tc>
        <w:tc>
          <w:tcPr>
            <w:tcW w:w="1985" w:type="dxa"/>
            <w:tcBorders>
              <w:left w:val="single" w:sz="6" w:space="0" w:color="auto"/>
              <w:bottom w:val="single" w:sz="6" w:space="0" w:color="auto"/>
              <w:right w:val="single" w:sz="6" w:space="0" w:color="auto"/>
            </w:tcBorders>
            <w:vAlign w:val="bottom"/>
          </w:tcPr>
          <w:p w14:paraId="6B3332B9" w14:textId="77777777" w:rsidR="000E7E14" w:rsidRPr="009E58F7" w:rsidRDefault="000E7E14" w:rsidP="007070F2">
            <w:pPr>
              <w:spacing w:line="240" w:lineRule="auto"/>
              <w:contextualSpacing/>
              <w:jc w:val="both"/>
            </w:pPr>
          </w:p>
        </w:tc>
        <w:tc>
          <w:tcPr>
            <w:tcW w:w="1842" w:type="dxa"/>
            <w:tcBorders>
              <w:left w:val="single" w:sz="6" w:space="0" w:color="auto"/>
              <w:bottom w:val="single" w:sz="6" w:space="0" w:color="auto"/>
              <w:right w:val="single" w:sz="6" w:space="0" w:color="auto"/>
            </w:tcBorders>
            <w:vAlign w:val="bottom"/>
          </w:tcPr>
          <w:p w14:paraId="262DE2BD" w14:textId="77777777" w:rsidR="000E7E14" w:rsidRPr="009E58F7" w:rsidRDefault="000E7E14" w:rsidP="007070F2">
            <w:pPr>
              <w:spacing w:line="240" w:lineRule="auto"/>
              <w:contextualSpacing/>
              <w:jc w:val="both"/>
            </w:pPr>
          </w:p>
        </w:tc>
        <w:tc>
          <w:tcPr>
            <w:tcW w:w="2552" w:type="dxa"/>
            <w:tcBorders>
              <w:left w:val="single" w:sz="6" w:space="0" w:color="auto"/>
              <w:bottom w:val="single" w:sz="6" w:space="0" w:color="auto"/>
              <w:right w:val="single" w:sz="6" w:space="0" w:color="auto"/>
            </w:tcBorders>
            <w:vAlign w:val="bottom"/>
          </w:tcPr>
          <w:p w14:paraId="49602621" w14:textId="77777777" w:rsidR="000E7E14" w:rsidRPr="009E58F7" w:rsidRDefault="000E7E14" w:rsidP="007070F2">
            <w:pPr>
              <w:spacing w:line="240" w:lineRule="auto"/>
              <w:contextualSpacing/>
              <w:jc w:val="both"/>
            </w:pPr>
          </w:p>
        </w:tc>
        <w:tc>
          <w:tcPr>
            <w:tcW w:w="28" w:type="dxa"/>
            <w:tcBorders>
              <w:left w:val="single" w:sz="6" w:space="0" w:color="auto"/>
            </w:tcBorders>
            <w:vAlign w:val="bottom"/>
          </w:tcPr>
          <w:p w14:paraId="08A3A60B" w14:textId="77777777" w:rsidR="000E7E14" w:rsidRPr="009E58F7" w:rsidRDefault="000E7E14" w:rsidP="007070F2">
            <w:pPr>
              <w:spacing w:line="240" w:lineRule="auto"/>
              <w:contextualSpacing/>
              <w:jc w:val="both"/>
            </w:pPr>
          </w:p>
        </w:tc>
      </w:tr>
    </w:tbl>
    <w:p w14:paraId="79D15A93" w14:textId="5EE8BE02" w:rsidR="003212C5" w:rsidRPr="009E58F7" w:rsidRDefault="003212C5" w:rsidP="00602E58">
      <w:pPr>
        <w:tabs>
          <w:tab w:val="left" w:pos="788"/>
        </w:tabs>
        <w:spacing w:line="240" w:lineRule="auto"/>
        <w:contextualSpacing/>
        <w:rPr>
          <w:sz w:val="18"/>
          <w:szCs w:val="18"/>
        </w:rPr>
      </w:pPr>
      <w:r w:rsidRPr="009E58F7">
        <w:rPr>
          <w:sz w:val="18"/>
          <w:szCs w:val="18"/>
        </w:rPr>
        <w:t>CI</w:t>
      </w:r>
      <w:r w:rsidRPr="009E58F7">
        <w:rPr>
          <w:noProof/>
          <w:sz w:val="18"/>
          <w:szCs w:val="18"/>
        </w:rPr>
        <w:t> = </w:t>
      </w:r>
      <w:r w:rsidRPr="009E58F7">
        <w:rPr>
          <w:sz w:val="18"/>
          <w:szCs w:val="18"/>
        </w:rPr>
        <w:t>konfidenciaintervallum; CR</w:t>
      </w:r>
      <w:r w:rsidRPr="009E58F7">
        <w:rPr>
          <w:noProof/>
          <w:sz w:val="18"/>
          <w:szCs w:val="18"/>
        </w:rPr>
        <w:t> = </w:t>
      </w:r>
      <w:r w:rsidRPr="009E58F7">
        <w:rPr>
          <w:sz w:val="18"/>
          <w:szCs w:val="18"/>
        </w:rPr>
        <w:t>teljes remisszió; nCR</w:t>
      </w:r>
      <w:r w:rsidRPr="009E58F7">
        <w:rPr>
          <w:noProof/>
          <w:sz w:val="18"/>
          <w:szCs w:val="18"/>
        </w:rPr>
        <w:t> = </w:t>
      </w:r>
      <w:r w:rsidRPr="009E58F7">
        <w:rPr>
          <w:sz w:val="18"/>
          <w:szCs w:val="18"/>
        </w:rPr>
        <w:t>közel teljes remisszió; ITT</w:t>
      </w:r>
      <w:r w:rsidRPr="009E58F7">
        <w:rPr>
          <w:noProof/>
          <w:sz w:val="18"/>
          <w:szCs w:val="18"/>
        </w:rPr>
        <w:t> = </w:t>
      </w:r>
      <w:r w:rsidRPr="009E58F7">
        <w:rPr>
          <w:sz w:val="18"/>
          <w:szCs w:val="18"/>
        </w:rPr>
        <w:t>kezel</w:t>
      </w:r>
      <w:r w:rsidR="00FE3E05" w:rsidRPr="009E58F7">
        <w:rPr>
          <w:sz w:val="18"/>
          <w:szCs w:val="18"/>
        </w:rPr>
        <w:t>ésbe bevont</w:t>
      </w:r>
      <w:r w:rsidRPr="009E58F7">
        <w:rPr>
          <w:sz w:val="18"/>
          <w:szCs w:val="18"/>
        </w:rPr>
        <w:t>;</w:t>
      </w:r>
      <w:r w:rsidRPr="009E58F7">
        <w:rPr>
          <w:noProof/>
          <w:sz w:val="18"/>
          <w:szCs w:val="18"/>
        </w:rPr>
        <w:t xml:space="preserve"> </w:t>
      </w:r>
      <w:r w:rsidRPr="009E58F7">
        <w:rPr>
          <w:sz w:val="18"/>
          <w:szCs w:val="18"/>
        </w:rPr>
        <w:t>RR</w:t>
      </w:r>
      <w:r w:rsidRPr="009E58F7">
        <w:rPr>
          <w:noProof/>
          <w:sz w:val="18"/>
          <w:szCs w:val="18"/>
        </w:rPr>
        <w:t> = </w:t>
      </w:r>
      <w:r w:rsidRPr="009E58F7">
        <w:rPr>
          <w:sz w:val="18"/>
          <w:szCs w:val="18"/>
        </w:rPr>
        <w:t xml:space="preserve">válaszadási arány; </w:t>
      </w:r>
      <w:r w:rsidR="00045E1D" w:rsidRPr="009E58F7">
        <w:rPr>
          <w:sz w:val="18"/>
          <w:szCs w:val="18"/>
        </w:rPr>
        <w:t>Bz</w:t>
      </w:r>
      <w:r w:rsidR="000E7E14" w:rsidRPr="009E58F7">
        <w:rPr>
          <w:sz w:val="18"/>
          <w:szCs w:val="18"/>
        </w:rPr>
        <w:t> </w:t>
      </w:r>
      <w:r w:rsidRPr="009E58F7">
        <w:rPr>
          <w:noProof/>
          <w:sz w:val="18"/>
          <w:szCs w:val="18"/>
        </w:rPr>
        <w:t>= </w:t>
      </w:r>
      <w:r w:rsidRPr="009E58F7">
        <w:rPr>
          <w:sz w:val="18"/>
          <w:szCs w:val="18"/>
        </w:rPr>
        <w:t xml:space="preserve">bortezomib; </w:t>
      </w:r>
      <w:r w:rsidR="00045E1D" w:rsidRPr="009E58F7">
        <w:rPr>
          <w:sz w:val="18"/>
          <w:szCs w:val="18"/>
        </w:rPr>
        <w:t>Bz</w:t>
      </w:r>
      <w:r w:rsidR="00C5286C" w:rsidRPr="009E58F7">
        <w:rPr>
          <w:sz w:val="18"/>
          <w:szCs w:val="18"/>
        </w:rPr>
        <w:t>TDx</w:t>
      </w:r>
      <w:r w:rsidRPr="009E58F7">
        <w:rPr>
          <w:noProof/>
          <w:sz w:val="18"/>
          <w:szCs w:val="18"/>
        </w:rPr>
        <w:t> = </w:t>
      </w:r>
      <w:r w:rsidRPr="009E58F7">
        <w:rPr>
          <w:sz w:val="18"/>
          <w:szCs w:val="18"/>
        </w:rPr>
        <w:t>bortezomib, talidomid, dexametazon; TDx</w:t>
      </w:r>
      <w:r w:rsidRPr="009E58F7">
        <w:rPr>
          <w:noProof/>
          <w:sz w:val="18"/>
          <w:szCs w:val="18"/>
        </w:rPr>
        <w:t> = </w:t>
      </w:r>
      <w:r w:rsidRPr="009E58F7">
        <w:rPr>
          <w:sz w:val="18"/>
          <w:szCs w:val="18"/>
        </w:rPr>
        <w:t>talidomid, dexametazon; PR</w:t>
      </w:r>
      <w:r w:rsidRPr="009E58F7">
        <w:rPr>
          <w:noProof/>
          <w:sz w:val="18"/>
          <w:szCs w:val="18"/>
        </w:rPr>
        <w:t> = </w:t>
      </w:r>
      <w:r w:rsidRPr="009E58F7">
        <w:rPr>
          <w:sz w:val="18"/>
          <w:szCs w:val="18"/>
        </w:rPr>
        <w:t>részleges remisszió; OR</w:t>
      </w:r>
      <w:r w:rsidRPr="009E58F7">
        <w:rPr>
          <w:noProof/>
          <w:sz w:val="18"/>
          <w:szCs w:val="18"/>
        </w:rPr>
        <w:t> = </w:t>
      </w:r>
      <w:r w:rsidRPr="009E58F7">
        <w:rPr>
          <w:sz w:val="18"/>
          <w:szCs w:val="18"/>
        </w:rPr>
        <w:t>esélyhányados</w:t>
      </w:r>
      <w:r w:rsidRPr="009E58F7">
        <w:rPr>
          <w:noProof/>
          <w:sz w:val="18"/>
          <w:szCs w:val="18"/>
        </w:rPr>
        <w:t xml:space="preserve"> </w:t>
      </w:r>
    </w:p>
    <w:p w14:paraId="6F8CB3AF" w14:textId="5FB065CD" w:rsidR="003212C5" w:rsidRPr="009E58F7" w:rsidRDefault="00C5286C" w:rsidP="00602E58">
      <w:pPr>
        <w:numPr>
          <w:ilvl w:val="0"/>
          <w:numId w:val="136"/>
        </w:numPr>
        <w:tabs>
          <w:tab w:val="left" w:pos="142"/>
        </w:tabs>
        <w:spacing w:line="240" w:lineRule="auto"/>
        <w:contextualSpacing/>
        <w:rPr>
          <w:sz w:val="18"/>
          <w:szCs w:val="18"/>
          <w:vertAlign w:val="superscript"/>
        </w:rPr>
      </w:pPr>
      <w:r w:rsidRPr="009E58F7">
        <w:rPr>
          <w:sz w:val="18"/>
          <w:szCs w:val="18"/>
        </w:rPr>
        <w:t>Elsődleges</w:t>
      </w:r>
      <w:r w:rsidR="003212C5" w:rsidRPr="009E58F7">
        <w:rPr>
          <w:sz w:val="18"/>
          <w:szCs w:val="18"/>
        </w:rPr>
        <w:t xml:space="preserve"> végpont</w:t>
      </w:r>
    </w:p>
    <w:p w14:paraId="03D62B34" w14:textId="78D2C0D1" w:rsidR="003212C5" w:rsidRPr="009E58F7" w:rsidRDefault="003212C5" w:rsidP="00D7256D">
      <w:pPr>
        <w:tabs>
          <w:tab w:val="left" w:pos="142"/>
        </w:tabs>
        <w:spacing w:line="240" w:lineRule="auto"/>
        <w:rPr>
          <w:sz w:val="18"/>
          <w:szCs w:val="18"/>
        </w:rPr>
      </w:pPr>
      <w:r w:rsidRPr="009E58F7">
        <w:rPr>
          <w:noProof/>
          <w:sz w:val="18"/>
          <w:szCs w:val="18"/>
          <w:vertAlign w:val="superscript"/>
        </w:rPr>
        <w:t>a</w:t>
      </w:r>
      <w:r w:rsidR="000E7E14" w:rsidRPr="009E58F7">
        <w:rPr>
          <w:noProof/>
          <w:sz w:val="18"/>
          <w:szCs w:val="18"/>
          <w:vertAlign w:val="superscript"/>
        </w:rPr>
        <w:tab/>
      </w:r>
      <w:r w:rsidRPr="009E58F7">
        <w:rPr>
          <w:sz w:val="18"/>
          <w:szCs w:val="18"/>
        </w:rPr>
        <w:t>az OR a válasz arányokra leggyakrabban használt Mantel</w:t>
      </w:r>
      <w:r w:rsidR="00A02A1A">
        <w:rPr>
          <w:sz w:val="18"/>
          <w:szCs w:val="18"/>
        </w:rPr>
        <w:t>–</w:t>
      </w:r>
      <w:r w:rsidRPr="009E58F7">
        <w:rPr>
          <w:sz w:val="18"/>
          <w:szCs w:val="18"/>
        </w:rPr>
        <w:t>Haenszel</w:t>
      </w:r>
      <w:r w:rsidR="00A02A1A">
        <w:rPr>
          <w:sz w:val="18"/>
          <w:szCs w:val="18"/>
        </w:rPr>
        <w:t>-</w:t>
      </w:r>
      <w:r w:rsidRPr="009E58F7">
        <w:rPr>
          <w:sz w:val="18"/>
          <w:szCs w:val="18"/>
        </w:rPr>
        <w:t>féle becslés szerinti esélyhányados alapján készült; p</w:t>
      </w:r>
      <w:r w:rsidR="003F0F42">
        <w:rPr>
          <w:sz w:val="18"/>
          <w:szCs w:val="18"/>
        </w:rPr>
        <w:t>-</w:t>
      </w:r>
      <w:r w:rsidRPr="009E58F7">
        <w:rPr>
          <w:sz w:val="18"/>
          <w:szCs w:val="18"/>
        </w:rPr>
        <w:t>értékek a Cochran</w:t>
      </w:r>
      <w:r w:rsidR="00A02A1A">
        <w:rPr>
          <w:sz w:val="18"/>
          <w:szCs w:val="18"/>
        </w:rPr>
        <w:t>–</w:t>
      </w:r>
      <w:r w:rsidRPr="009E58F7">
        <w:rPr>
          <w:sz w:val="18"/>
          <w:szCs w:val="18"/>
        </w:rPr>
        <w:t>Mantel</w:t>
      </w:r>
      <w:r w:rsidR="00A02A1A">
        <w:rPr>
          <w:sz w:val="18"/>
          <w:szCs w:val="18"/>
        </w:rPr>
        <w:t>–</w:t>
      </w:r>
      <w:r w:rsidRPr="009E58F7">
        <w:rPr>
          <w:sz w:val="18"/>
          <w:szCs w:val="18"/>
        </w:rPr>
        <w:t>Haenszel</w:t>
      </w:r>
      <w:r w:rsidR="00A02A1A">
        <w:rPr>
          <w:sz w:val="18"/>
          <w:szCs w:val="18"/>
        </w:rPr>
        <w:t>-</w:t>
      </w:r>
      <w:r w:rsidRPr="009E58F7">
        <w:rPr>
          <w:sz w:val="18"/>
          <w:szCs w:val="18"/>
        </w:rPr>
        <w:t>teszt szerint</w:t>
      </w:r>
    </w:p>
    <w:p w14:paraId="4A440949" w14:textId="080C5B64" w:rsidR="003212C5" w:rsidRPr="009E58F7" w:rsidRDefault="003212C5" w:rsidP="007070F2">
      <w:pPr>
        <w:spacing w:line="240" w:lineRule="auto"/>
        <w:rPr>
          <w:sz w:val="18"/>
          <w:szCs w:val="18"/>
        </w:rPr>
      </w:pPr>
      <w:r w:rsidRPr="009E58F7">
        <w:rPr>
          <w:sz w:val="18"/>
          <w:szCs w:val="18"/>
        </w:rPr>
        <w:t>Megjegyzés: OR &gt;</w:t>
      </w:r>
      <w:r w:rsidRPr="009E58F7">
        <w:rPr>
          <w:noProof/>
          <w:sz w:val="18"/>
          <w:szCs w:val="18"/>
        </w:rPr>
        <w:t> </w:t>
      </w:r>
      <w:r w:rsidRPr="009E58F7">
        <w:rPr>
          <w:sz w:val="18"/>
          <w:szCs w:val="18"/>
        </w:rPr>
        <w:t xml:space="preserve">1 azt jelenti, hogy előnyösebb a </w:t>
      </w:r>
      <w:r w:rsidRPr="009E58F7">
        <w:rPr>
          <w:noProof/>
          <w:sz w:val="18"/>
          <w:szCs w:val="18"/>
        </w:rPr>
        <w:t>bortezomib</w:t>
      </w:r>
      <w:r w:rsidRPr="009E58F7">
        <w:rPr>
          <w:sz w:val="18"/>
          <w:szCs w:val="18"/>
        </w:rPr>
        <w:t xml:space="preserve"> tartalmú indukciós kombináció.</w:t>
      </w:r>
    </w:p>
    <w:p w14:paraId="2F25137B" w14:textId="77777777" w:rsidR="004D6470" w:rsidRPr="009E58F7" w:rsidRDefault="004D6470" w:rsidP="007070F2">
      <w:pPr>
        <w:widowControl w:val="0"/>
        <w:autoSpaceDE w:val="0"/>
        <w:autoSpaceDN w:val="0"/>
        <w:adjustRightInd w:val="0"/>
        <w:spacing w:line="240" w:lineRule="auto"/>
      </w:pPr>
    </w:p>
    <w:p w14:paraId="3C6926FB" w14:textId="77777777" w:rsidR="004D6470" w:rsidRPr="009E58F7" w:rsidRDefault="004D6470" w:rsidP="003D25C3">
      <w:pPr>
        <w:keepNext/>
        <w:autoSpaceDE w:val="0"/>
        <w:autoSpaceDN w:val="0"/>
        <w:adjustRightInd w:val="0"/>
        <w:spacing w:line="240" w:lineRule="auto"/>
      </w:pPr>
      <w:r w:rsidRPr="009E58F7">
        <w:rPr>
          <w:color w:val="000000"/>
          <w:u w:val="single"/>
        </w:rPr>
        <w:t>Klinikai hatásosság relapszusban lévő vagy refrakter myeloma multiplexben</w:t>
      </w:r>
    </w:p>
    <w:p w14:paraId="29094819" w14:textId="065B7310" w:rsidR="004D6470" w:rsidRPr="009E58F7" w:rsidRDefault="004D6470">
      <w:pPr>
        <w:spacing w:line="240" w:lineRule="auto"/>
        <w:contextualSpacing/>
        <w:rPr>
          <w:color w:val="000000"/>
        </w:rPr>
      </w:pPr>
      <w:r w:rsidRPr="009E58F7">
        <w:rPr>
          <w:color w:val="000000"/>
        </w:rPr>
        <w:t xml:space="preserve">A </w:t>
      </w:r>
      <w:r w:rsidRPr="009E58F7">
        <w:t>bortezomib</w:t>
      </w:r>
      <w:r w:rsidR="00FE5B85">
        <w:t>-</w:t>
      </w:r>
      <w:r w:rsidRPr="009E58F7">
        <w:rPr>
          <w:color w:val="000000"/>
        </w:rPr>
        <w:t>kezelés (intravénásan alkalmazott) hatásosságát és biztonságosságát két vizsgálatban értékelték az ajánlott 1,3 mg/m</w:t>
      </w:r>
      <w:r w:rsidRPr="009E58F7">
        <w:rPr>
          <w:color w:val="000000"/>
          <w:vertAlign w:val="superscript"/>
        </w:rPr>
        <w:t>2</w:t>
      </w:r>
      <w:r w:rsidRPr="009E58F7">
        <w:rPr>
          <w:color w:val="000000"/>
        </w:rPr>
        <w:t xml:space="preserve"> dózisban. Az egyik egy </w:t>
      </w:r>
      <w:r w:rsidRPr="009E58F7">
        <w:t>III</w:t>
      </w:r>
      <w:r w:rsidR="00C5286C" w:rsidRPr="009E58F7">
        <w:t>.</w:t>
      </w:r>
      <w:r w:rsidR="00A02A1A">
        <w:t> </w:t>
      </w:r>
      <w:r w:rsidR="00C5286C" w:rsidRPr="009E58F7">
        <w:t>fázisú</w:t>
      </w:r>
      <w:r w:rsidRPr="009E58F7">
        <w:rPr>
          <w:color w:val="000000"/>
        </w:rPr>
        <w:t>, randomizált, összehasonlító vizsgálat (APEX) volt, ahol</w:t>
      </w:r>
      <w:r w:rsidR="009435CA" w:rsidRPr="009E58F7">
        <w:rPr>
          <w:color w:val="000000"/>
        </w:rPr>
        <w:t xml:space="preserve"> dexametazonnal (D</w:t>
      </w:r>
      <w:r w:rsidRPr="009E58F7">
        <w:rPr>
          <w:color w:val="000000"/>
        </w:rPr>
        <w:t>ex) szemben vizsgálták. Ebbe a vizsgálatba 669, refrakter vagy relapszusban lévő myeloma multiplexes beteget</w:t>
      </w:r>
      <w:r w:rsidR="008C4734" w:rsidRPr="009E58F7">
        <w:rPr>
          <w:color w:val="000000"/>
        </w:rPr>
        <w:t xml:space="preserve"> vontak be, akik korábban már 1</w:t>
      </w:r>
      <w:r w:rsidR="00A02A1A">
        <w:rPr>
          <w:color w:val="000000"/>
        </w:rPr>
        <w:t>–</w:t>
      </w:r>
      <w:r w:rsidRPr="009E58F7">
        <w:rPr>
          <w:color w:val="000000"/>
        </w:rPr>
        <w:t>3 kezelésbe</w:t>
      </w:r>
      <w:r w:rsidR="008C4734" w:rsidRPr="009E58F7">
        <w:rPr>
          <w:color w:val="000000"/>
        </w:rPr>
        <w:t xml:space="preserve">n részesültek. A másik egy </w:t>
      </w:r>
      <w:r w:rsidR="003212C5" w:rsidRPr="009E58F7">
        <w:rPr>
          <w:color w:val="000000"/>
        </w:rPr>
        <w:t>II</w:t>
      </w:r>
      <w:r w:rsidR="008C4734" w:rsidRPr="009E58F7">
        <w:rPr>
          <w:color w:val="000000"/>
        </w:rPr>
        <w:t>.</w:t>
      </w:r>
      <w:r w:rsidR="00A02A1A">
        <w:rPr>
          <w:color w:val="000000"/>
        </w:rPr>
        <w:t> </w:t>
      </w:r>
      <w:r w:rsidR="008C4734" w:rsidRPr="009E58F7">
        <w:rPr>
          <w:color w:val="000000"/>
        </w:rPr>
        <w:t>fázisú, egykaros</w:t>
      </w:r>
      <w:r w:rsidRPr="009E58F7">
        <w:rPr>
          <w:color w:val="000000"/>
        </w:rPr>
        <w:t xml:space="preserve"> vizsgálat volt, melybe 202, refrakter vagy relapszusban lévő myeloma multiplexes beteget v</w:t>
      </w:r>
      <w:r w:rsidR="003212C5" w:rsidRPr="009E58F7">
        <w:rPr>
          <w:color w:val="000000"/>
        </w:rPr>
        <w:t>álogattak</w:t>
      </w:r>
      <w:r w:rsidRPr="009E58F7">
        <w:rPr>
          <w:color w:val="000000"/>
        </w:rPr>
        <w:t xml:space="preserve"> be, akik korábban legalább 2 kezelésben részesültek</w:t>
      </w:r>
      <w:r w:rsidR="00A02A1A">
        <w:rPr>
          <w:color w:val="000000"/>
        </w:rPr>
        <w:t>,</w:t>
      </w:r>
      <w:r w:rsidRPr="009E58F7">
        <w:rPr>
          <w:color w:val="000000"/>
        </w:rPr>
        <w:t xml:space="preserve"> és a legutóbbi terápia során a betegségük progrediált.</w:t>
      </w:r>
    </w:p>
    <w:p w14:paraId="7EB37117" w14:textId="77777777" w:rsidR="007B2A67" w:rsidRPr="009E58F7" w:rsidRDefault="007B2A67">
      <w:pPr>
        <w:spacing w:line="240" w:lineRule="auto"/>
        <w:contextualSpacing/>
      </w:pPr>
    </w:p>
    <w:p w14:paraId="2CD2221A" w14:textId="4A563588" w:rsidR="004D6470" w:rsidRPr="009E58F7" w:rsidRDefault="00C5286C">
      <w:pPr>
        <w:spacing w:line="240" w:lineRule="auto"/>
        <w:contextualSpacing/>
      </w:pPr>
      <w:bookmarkStart w:id="40" w:name="page60"/>
      <w:bookmarkEnd w:id="40"/>
      <w:r w:rsidRPr="009E58F7">
        <w:t>A III.</w:t>
      </w:r>
      <w:r w:rsidR="00A02A1A">
        <w:t> </w:t>
      </w:r>
      <w:r w:rsidRPr="009E58F7">
        <w:t xml:space="preserve">fázisú vizsgálatban a </w:t>
      </w:r>
      <w:r w:rsidR="008B6253" w:rsidRPr="009E58F7">
        <w:t>bortezomib</w:t>
      </w:r>
      <w:r w:rsidR="00FE5B85">
        <w:t>-</w:t>
      </w:r>
      <w:r w:rsidR="004D6470" w:rsidRPr="009E58F7">
        <w:rPr>
          <w:color w:val="000000"/>
        </w:rPr>
        <w:t xml:space="preserve">kezelés minden beteg esetében </w:t>
      </w:r>
      <w:r w:rsidR="00A02A1A">
        <w:rPr>
          <w:color w:val="000000"/>
        </w:rPr>
        <w:t>–</w:t>
      </w:r>
      <w:r w:rsidR="004D6470" w:rsidRPr="009E58F7">
        <w:rPr>
          <w:color w:val="000000"/>
        </w:rPr>
        <w:t xml:space="preserve"> beleértve a korábban már egy terápiás próbálkozáson átesett betegeket is </w:t>
      </w:r>
      <w:r w:rsidR="00A02A1A">
        <w:rPr>
          <w:color w:val="000000"/>
        </w:rPr>
        <w:t>–</w:t>
      </w:r>
      <w:r w:rsidR="004D6470" w:rsidRPr="009E58F7">
        <w:rPr>
          <w:color w:val="000000"/>
        </w:rPr>
        <w:t xml:space="preserve"> szignifikánsan hosszabb progresszióig eltelt időt, szignifikánsan hosszabb túlélést</w:t>
      </w:r>
      <w:r w:rsidR="00A02A1A">
        <w:rPr>
          <w:color w:val="000000"/>
        </w:rPr>
        <w:t>,</w:t>
      </w:r>
      <w:r w:rsidR="004D6470" w:rsidRPr="009E58F7">
        <w:rPr>
          <w:color w:val="000000"/>
        </w:rPr>
        <w:t xml:space="preserve"> és szignifikánsan magasabb terápiás válaszarányt eredményezett a dexametazon</w:t>
      </w:r>
      <w:r w:rsidR="00FE5B85">
        <w:rPr>
          <w:color w:val="000000"/>
        </w:rPr>
        <w:t>-</w:t>
      </w:r>
      <w:r w:rsidR="004D6470" w:rsidRPr="009E58F7">
        <w:rPr>
          <w:color w:val="000000"/>
        </w:rPr>
        <w:t>kezeléshez viszonyítva (lásd 14.</w:t>
      </w:r>
      <w:r w:rsidR="00D63CB8" w:rsidRPr="009E58F7">
        <w:rPr>
          <w:color w:val="000000"/>
        </w:rPr>
        <w:t> </w:t>
      </w:r>
      <w:r w:rsidR="004D6470" w:rsidRPr="009E58F7">
        <w:rPr>
          <w:color w:val="000000"/>
        </w:rPr>
        <w:t>táblázat). Egy előre megtervezett, közbenső értékelés eredményeként, az adatokat ellenőrző bizottság ajánlására a dexametazon-</w:t>
      </w:r>
      <w:r w:rsidR="00D63CB8" w:rsidRPr="009E58F7">
        <w:rPr>
          <w:color w:val="000000"/>
        </w:rPr>
        <w:t>karon</w:t>
      </w:r>
      <w:r w:rsidR="004D6470" w:rsidRPr="009E58F7">
        <w:rPr>
          <w:color w:val="000000"/>
        </w:rPr>
        <w:t xml:space="preserve"> lévő betegeknek </w:t>
      </w:r>
      <w:r w:rsidR="00A02A1A">
        <w:rPr>
          <w:color w:val="000000"/>
        </w:rPr>
        <w:t>–</w:t>
      </w:r>
      <w:r w:rsidR="004D6470" w:rsidRPr="009E58F7">
        <w:rPr>
          <w:color w:val="000000"/>
        </w:rPr>
        <w:t xml:space="preserve"> a betegség státuszától függetlenül – </w:t>
      </w:r>
      <w:r w:rsidR="004D6470" w:rsidRPr="009E58F7">
        <w:t>bortezomib</w:t>
      </w:r>
      <w:r w:rsidR="00FE5B85">
        <w:t>-</w:t>
      </w:r>
      <w:r w:rsidR="004D6470" w:rsidRPr="009E58F7">
        <w:rPr>
          <w:color w:val="000000"/>
        </w:rPr>
        <w:t xml:space="preserve">kezelést ajánlottak fel. A korai váltásnak köszönhetően a túlélő betegek utánkövetésének középideje 8,3 hónap volt. A </w:t>
      </w:r>
      <w:r w:rsidR="004D6470" w:rsidRPr="009E58F7">
        <w:t>bortezomib</w:t>
      </w:r>
      <w:r w:rsidR="00A02A1A">
        <w:t>-</w:t>
      </w:r>
      <w:r w:rsidR="004D6470" w:rsidRPr="009E58F7">
        <w:rPr>
          <w:color w:val="000000"/>
        </w:rPr>
        <w:t>kezelési kar</w:t>
      </w:r>
      <w:r w:rsidR="00D63CB8" w:rsidRPr="009E58F7">
        <w:rPr>
          <w:color w:val="000000"/>
        </w:rPr>
        <w:t>on</w:t>
      </w:r>
      <w:r w:rsidR="004D6470" w:rsidRPr="009E58F7">
        <w:rPr>
          <w:color w:val="000000"/>
        </w:rPr>
        <w:t xml:space="preserve"> mind a korábbi terápia iránt rezisztens, mind az arra reagáló betegek esetében az összesített túlélés szignifikánsan hosszabb, a terápiás válasz aránya pedig szignifikánsan magasabb volt.</w:t>
      </w:r>
    </w:p>
    <w:p w14:paraId="14731D09" w14:textId="77777777" w:rsidR="004D6470" w:rsidRPr="009E58F7" w:rsidRDefault="004D6470">
      <w:pPr>
        <w:widowControl w:val="0"/>
        <w:autoSpaceDE w:val="0"/>
        <w:autoSpaceDN w:val="0"/>
        <w:adjustRightInd w:val="0"/>
        <w:spacing w:line="240" w:lineRule="auto"/>
      </w:pPr>
    </w:p>
    <w:p w14:paraId="1F2D90BA" w14:textId="6D1D5080" w:rsidR="004D6470" w:rsidRPr="009E58F7" w:rsidRDefault="004D6470">
      <w:pPr>
        <w:widowControl w:val="0"/>
        <w:overflowPunct w:val="0"/>
        <w:autoSpaceDE w:val="0"/>
        <w:autoSpaceDN w:val="0"/>
        <w:adjustRightInd w:val="0"/>
        <w:spacing w:line="240" w:lineRule="auto"/>
      </w:pPr>
      <w:r w:rsidRPr="009E58F7">
        <w:rPr>
          <w:color w:val="000000"/>
        </w:rPr>
        <w:t>A bev</w:t>
      </w:r>
      <w:r w:rsidR="003212C5" w:rsidRPr="009E58F7">
        <w:rPr>
          <w:color w:val="000000"/>
        </w:rPr>
        <w:t>álogatott</w:t>
      </w:r>
      <w:r w:rsidRPr="009E58F7">
        <w:rPr>
          <w:color w:val="000000"/>
        </w:rPr>
        <w:t xml:space="preserve"> 669 beteg közül 245 (37%) volt 65 éves vagy annál idősebb. A terápiás válasz paraméterei csakúgy, mint a progresszióig eltelt idő (TTP) </w:t>
      </w:r>
      <w:r w:rsidR="00A02A1A">
        <w:rPr>
          <w:color w:val="000000"/>
        </w:rPr>
        <w:t>–</w:t>
      </w:r>
      <w:r w:rsidRPr="009E58F7">
        <w:rPr>
          <w:color w:val="000000"/>
        </w:rPr>
        <w:t xml:space="preserve"> függetlenül az életkortól </w:t>
      </w:r>
      <w:r w:rsidR="00A02A1A">
        <w:rPr>
          <w:color w:val="000000"/>
        </w:rPr>
        <w:t>–</w:t>
      </w:r>
      <w:r w:rsidRPr="009E58F7">
        <w:rPr>
          <w:color w:val="000000"/>
        </w:rPr>
        <w:t xml:space="preserve"> szignifikánsan jobb maradt a </w:t>
      </w:r>
      <w:r w:rsidRPr="009E58F7">
        <w:t xml:space="preserve">bortezomib </w:t>
      </w:r>
      <w:r w:rsidRPr="009E58F7">
        <w:rPr>
          <w:color w:val="000000"/>
        </w:rPr>
        <w:t xml:space="preserve">esetében. A terápia kezdetén mért </w:t>
      </w:r>
      <w:r w:rsidR="00D63CB8" w:rsidRPr="009E58F7">
        <w:rPr>
          <w:color w:val="000000"/>
        </w:rPr>
        <w:t>béta</w:t>
      </w:r>
      <w:r w:rsidRPr="009E58F7">
        <w:rPr>
          <w:color w:val="000000"/>
          <w:vertAlign w:val="subscript"/>
        </w:rPr>
        <w:t>2</w:t>
      </w:r>
      <w:r w:rsidR="00BD5400">
        <w:rPr>
          <w:color w:val="000000"/>
        </w:rPr>
        <w:t>-</w:t>
      </w:r>
      <w:r w:rsidRPr="009E58F7">
        <w:rPr>
          <w:color w:val="000000"/>
        </w:rPr>
        <w:t xml:space="preserve">mikroglobulin szintjétől függetlenül, valamennyi, a hatásosságot jellemző paraméter (a progresszióig eltelt idő, </w:t>
      </w:r>
      <w:r w:rsidR="00D63CB8" w:rsidRPr="009E58F7">
        <w:rPr>
          <w:color w:val="000000"/>
        </w:rPr>
        <w:t>teljes</w:t>
      </w:r>
      <w:r w:rsidRPr="009E58F7">
        <w:rPr>
          <w:color w:val="000000"/>
        </w:rPr>
        <w:t xml:space="preserve"> túlélés, valamint a terápiára reagáló betegek aránya) a </w:t>
      </w:r>
      <w:r w:rsidRPr="009E58F7">
        <w:t>bortezomib</w:t>
      </w:r>
      <w:r w:rsidR="00A02A1A">
        <w:t>-</w:t>
      </w:r>
      <w:r w:rsidRPr="009E58F7">
        <w:rPr>
          <w:color w:val="000000"/>
        </w:rPr>
        <w:t>kar</w:t>
      </w:r>
      <w:r w:rsidR="00D63CB8" w:rsidRPr="009E58F7">
        <w:rPr>
          <w:color w:val="000000"/>
        </w:rPr>
        <w:t>on</w:t>
      </w:r>
      <w:r w:rsidRPr="009E58F7">
        <w:rPr>
          <w:color w:val="000000"/>
        </w:rPr>
        <w:t xml:space="preserve"> szignifikánsan javult.</w:t>
      </w:r>
    </w:p>
    <w:p w14:paraId="3215FAB9" w14:textId="77777777" w:rsidR="004D6470" w:rsidRPr="009E58F7" w:rsidRDefault="004D6470">
      <w:pPr>
        <w:widowControl w:val="0"/>
        <w:autoSpaceDE w:val="0"/>
        <w:autoSpaceDN w:val="0"/>
        <w:adjustRightInd w:val="0"/>
        <w:spacing w:line="240" w:lineRule="auto"/>
      </w:pPr>
    </w:p>
    <w:p w14:paraId="10406C2B" w14:textId="78BCC8AE" w:rsidR="004D6470" w:rsidRPr="009E58F7" w:rsidRDefault="004D6470">
      <w:pPr>
        <w:spacing w:line="240" w:lineRule="auto"/>
        <w:contextualSpacing/>
      </w:pPr>
      <w:r w:rsidRPr="009E58F7">
        <w:t>A II</w:t>
      </w:r>
      <w:r w:rsidR="00C5286C" w:rsidRPr="009E58F7">
        <w:t>.</w:t>
      </w:r>
      <w:r w:rsidR="00A02A1A">
        <w:t> </w:t>
      </w:r>
      <w:r w:rsidR="00C5286C" w:rsidRPr="009E58F7">
        <w:t>fázisú</w:t>
      </w:r>
      <w:r w:rsidRPr="009E58F7">
        <w:t xml:space="preserve"> vizsgálatokban a refrakter betegek esetében a terápiás válasz mértékét független értékelő bizottság határozta meg, az EBMT (</w:t>
      </w:r>
      <w:r w:rsidRPr="009E58F7">
        <w:rPr>
          <w:noProof/>
        </w:rPr>
        <w:t>European Group for Blood and Marrow Transplantation</w:t>
      </w:r>
      <w:r w:rsidRPr="009E58F7">
        <w:t>) értékelési kritériumai alapján. A vizsgálatba bevont betegek túlélési idejének mediánja 17 hónap (&lt;</w:t>
      </w:r>
      <w:r w:rsidR="00D63CB8" w:rsidRPr="009E58F7">
        <w:t> </w:t>
      </w:r>
      <w:r w:rsidRPr="009E58F7">
        <w:t xml:space="preserve">1 hónaptól több mint 36 hónap tartományban) volt. Ez a túlélés a klinikai vizsgálók tapasztalatai </w:t>
      </w:r>
      <w:r w:rsidR="00D414C9" w:rsidRPr="009E58F7">
        <w:t>szerint</w:t>
      </w:r>
      <w:r w:rsidRPr="009E58F7">
        <w:t xml:space="preserve"> magasabb volt, mint a hasonló populációban várható átlagosan 6</w:t>
      </w:r>
      <w:r w:rsidR="00FE5B85">
        <w:t>–</w:t>
      </w:r>
      <w:r w:rsidRPr="009E58F7">
        <w:t>9 hónapos túlélési idő. Multivariációs analízis alapján a terápiás válaszarány független volt a myeloma típusától, a teljesítménystátusztól, a 13-as kromoszóma deletiotól</w:t>
      </w:r>
      <w:r w:rsidR="00850FFC">
        <w:t>,</w:t>
      </w:r>
      <w:r w:rsidRPr="009E58F7">
        <w:t xml:space="preserve"> vagy a korábbi kezelések</w:t>
      </w:r>
      <w:bookmarkStart w:id="41" w:name="page129"/>
      <w:bookmarkEnd w:id="41"/>
      <w:r w:rsidRPr="009E58F7">
        <w:t xml:space="preserve"> számától és típusától. </w:t>
      </w:r>
      <w:r w:rsidR="00D414C9" w:rsidRPr="009E58F7">
        <w:t>Azok a betegek, akik korábban 2</w:t>
      </w:r>
      <w:r w:rsidR="00BD5400">
        <w:t>-</w:t>
      </w:r>
      <w:r w:rsidRPr="009E58F7">
        <w:t>3</w:t>
      </w:r>
      <w:r w:rsidR="00D414C9" w:rsidRPr="009E58F7">
        <w:t> </w:t>
      </w:r>
      <w:r w:rsidRPr="009E58F7">
        <w:t>terápiás próbálkozáson estek át, 32%</w:t>
      </w:r>
      <w:r w:rsidR="00621E19">
        <w:t>-</w:t>
      </w:r>
      <w:r w:rsidRPr="009E58F7">
        <w:t>ban (10/32) reagáltak a kezelésre, míg akik 7</w:t>
      </w:r>
      <w:r w:rsidR="00D414C9" w:rsidRPr="009E58F7">
        <w:t> </w:t>
      </w:r>
      <w:r w:rsidRPr="009E58F7">
        <w:t>terápiás próbálkozáson estek át, 31%-ban (21/67).</w:t>
      </w:r>
    </w:p>
    <w:p w14:paraId="128262C0" w14:textId="77777777" w:rsidR="004D6470" w:rsidRPr="009E58F7" w:rsidRDefault="004D6470">
      <w:pPr>
        <w:widowControl w:val="0"/>
        <w:autoSpaceDE w:val="0"/>
        <w:autoSpaceDN w:val="0"/>
        <w:adjustRightInd w:val="0"/>
        <w:spacing w:line="240" w:lineRule="auto"/>
      </w:pPr>
    </w:p>
    <w:p w14:paraId="2F130AE9" w14:textId="23FB9BC0" w:rsidR="008D2BC1" w:rsidRPr="009E58F7" w:rsidRDefault="008D2BC1">
      <w:pPr>
        <w:keepNext/>
        <w:tabs>
          <w:tab w:val="left" w:pos="1720"/>
        </w:tabs>
        <w:spacing w:line="240" w:lineRule="auto"/>
        <w:ind w:left="1440" w:hanging="1440"/>
        <w:contextualSpacing/>
        <w:rPr>
          <w:i/>
        </w:rPr>
      </w:pPr>
      <w:r w:rsidRPr="009E58F7">
        <w:rPr>
          <w:i/>
        </w:rPr>
        <w:t>14. táblázat:</w:t>
      </w:r>
      <w:r w:rsidR="00796810" w:rsidRPr="009E58F7">
        <w:rPr>
          <w:i/>
          <w:iCs/>
          <w:noProof/>
        </w:rPr>
        <w:tab/>
      </w:r>
      <w:r w:rsidRPr="009E58F7">
        <w:rPr>
          <w:i/>
        </w:rPr>
        <w:t xml:space="preserve">A </w:t>
      </w:r>
      <w:r w:rsidR="00D414C9" w:rsidRPr="009E58F7">
        <w:rPr>
          <w:i/>
        </w:rPr>
        <w:t>III</w:t>
      </w:r>
      <w:r w:rsidR="00C5286C" w:rsidRPr="009E58F7">
        <w:rPr>
          <w:i/>
          <w:iCs/>
        </w:rPr>
        <w:t>.</w:t>
      </w:r>
      <w:r w:rsidR="00974200" w:rsidRPr="009E58F7">
        <w:rPr>
          <w:i/>
          <w:iCs/>
        </w:rPr>
        <w:t xml:space="preserve"> fázisú </w:t>
      </w:r>
      <w:r w:rsidR="00C5286C" w:rsidRPr="009E58F7">
        <w:rPr>
          <w:i/>
          <w:iCs/>
        </w:rPr>
        <w:t>(</w:t>
      </w:r>
      <w:r w:rsidR="00D414C9" w:rsidRPr="009E58F7">
        <w:rPr>
          <w:i/>
        </w:rPr>
        <w:t>APEX) és II</w:t>
      </w:r>
      <w:r w:rsidR="00C5286C" w:rsidRPr="009E58F7">
        <w:rPr>
          <w:i/>
          <w:iCs/>
        </w:rPr>
        <w:t>. fázisú</w:t>
      </w:r>
      <w:r w:rsidR="00D414C9" w:rsidRPr="009E58F7">
        <w:rPr>
          <w:i/>
        </w:rPr>
        <w:t xml:space="preserve"> </w:t>
      </w:r>
      <w:r w:rsidRPr="009E58F7">
        <w:rPr>
          <w:i/>
        </w:rPr>
        <w:t>vizsgálatban tapasztalt terápiás kimenetelek összefoglalása</w:t>
      </w:r>
    </w:p>
    <w:tbl>
      <w:tblPr>
        <w:tblW w:w="9391" w:type="dxa"/>
        <w:tblInd w:w="10" w:type="dxa"/>
        <w:tblLayout w:type="fixed"/>
        <w:tblCellMar>
          <w:left w:w="0" w:type="dxa"/>
          <w:right w:w="0" w:type="dxa"/>
        </w:tblCellMar>
        <w:tblLook w:val="04A0" w:firstRow="1" w:lastRow="0" w:firstColumn="1" w:lastColumn="0" w:noHBand="0" w:noVBand="1"/>
      </w:tblPr>
      <w:tblGrid>
        <w:gridCol w:w="2054"/>
        <w:gridCol w:w="1060"/>
        <w:gridCol w:w="992"/>
        <w:gridCol w:w="992"/>
        <w:gridCol w:w="997"/>
        <w:gridCol w:w="1017"/>
        <w:gridCol w:w="997"/>
        <w:gridCol w:w="1242"/>
        <w:gridCol w:w="30"/>
        <w:gridCol w:w="10"/>
      </w:tblGrid>
      <w:tr w:rsidR="00796810" w:rsidRPr="009E58F7" w14:paraId="236106A1" w14:textId="77777777" w:rsidTr="00E64005">
        <w:trPr>
          <w:trHeight w:val="203"/>
        </w:trPr>
        <w:tc>
          <w:tcPr>
            <w:tcW w:w="2054" w:type="dxa"/>
            <w:vMerge w:val="restart"/>
            <w:tcBorders>
              <w:top w:val="single" w:sz="8" w:space="0" w:color="auto"/>
              <w:left w:val="single" w:sz="8" w:space="0" w:color="auto"/>
              <w:bottom w:val="single" w:sz="8" w:space="0" w:color="auto"/>
              <w:right w:val="single" w:sz="8" w:space="0" w:color="auto"/>
            </w:tcBorders>
            <w:vAlign w:val="bottom"/>
          </w:tcPr>
          <w:p w14:paraId="42337E81" w14:textId="77777777" w:rsidR="00796810" w:rsidRPr="009E58F7" w:rsidRDefault="00796810" w:rsidP="007070F2">
            <w:pPr>
              <w:keepNext/>
              <w:spacing w:line="240" w:lineRule="auto"/>
              <w:contextualSpacing/>
              <w:jc w:val="both"/>
            </w:pPr>
          </w:p>
        </w:tc>
        <w:tc>
          <w:tcPr>
            <w:tcW w:w="2052" w:type="dxa"/>
            <w:gridSpan w:val="2"/>
            <w:vMerge w:val="restart"/>
            <w:tcBorders>
              <w:top w:val="single" w:sz="8" w:space="0" w:color="auto"/>
              <w:left w:val="single" w:sz="8" w:space="0" w:color="auto"/>
              <w:bottom w:val="single" w:sz="8" w:space="0" w:color="auto"/>
              <w:right w:val="single" w:sz="8" w:space="0" w:color="auto"/>
            </w:tcBorders>
            <w:vAlign w:val="center"/>
          </w:tcPr>
          <w:p w14:paraId="3ADEA90F" w14:textId="5346A2B3" w:rsidR="00796810" w:rsidRPr="009E58F7" w:rsidRDefault="00796810" w:rsidP="007070F2">
            <w:pPr>
              <w:keepNext/>
              <w:spacing w:line="240" w:lineRule="auto"/>
              <w:contextualSpacing/>
              <w:jc w:val="center"/>
            </w:pPr>
            <w:r w:rsidRPr="009E58F7">
              <w:rPr>
                <w:b/>
                <w:bCs/>
              </w:rPr>
              <w:t>III. fázisú</w:t>
            </w:r>
            <w:r w:rsidR="00133EB1">
              <w:rPr>
                <w:b/>
                <w:bCs/>
              </w:rPr>
              <w:t xml:space="preserve"> </w:t>
            </w:r>
            <w:r w:rsidRPr="009E58F7">
              <w:rPr>
                <w:b/>
                <w:bCs/>
              </w:rPr>
              <w:t>vizsgálat</w:t>
            </w:r>
          </w:p>
        </w:tc>
        <w:tc>
          <w:tcPr>
            <w:tcW w:w="1989" w:type="dxa"/>
            <w:gridSpan w:val="2"/>
            <w:vMerge w:val="restart"/>
            <w:tcBorders>
              <w:top w:val="single" w:sz="8" w:space="0" w:color="auto"/>
              <w:left w:val="single" w:sz="8" w:space="0" w:color="auto"/>
              <w:bottom w:val="single" w:sz="8" w:space="0" w:color="auto"/>
              <w:right w:val="single" w:sz="8" w:space="0" w:color="auto"/>
            </w:tcBorders>
            <w:vAlign w:val="center"/>
          </w:tcPr>
          <w:p w14:paraId="0B086E2F" w14:textId="77777777" w:rsidR="00796810" w:rsidRPr="009E58F7" w:rsidRDefault="00796810" w:rsidP="007070F2">
            <w:pPr>
              <w:keepNext/>
              <w:spacing w:line="240" w:lineRule="auto"/>
              <w:contextualSpacing/>
              <w:jc w:val="center"/>
            </w:pPr>
            <w:r w:rsidRPr="009E58F7">
              <w:rPr>
                <w:b/>
                <w:bCs/>
              </w:rPr>
              <w:t>III. fázisú vizsgálat</w:t>
            </w:r>
          </w:p>
        </w:tc>
        <w:tc>
          <w:tcPr>
            <w:tcW w:w="2014" w:type="dxa"/>
            <w:gridSpan w:val="2"/>
            <w:vMerge w:val="restart"/>
            <w:tcBorders>
              <w:top w:val="single" w:sz="8" w:space="0" w:color="auto"/>
              <w:left w:val="single" w:sz="8" w:space="0" w:color="auto"/>
              <w:bottom w:val="single" w:sz="8" w:space="0" w:color="auto"/>
              <w:right w:val="single" w:sz="8" w:space="0" w:color="auto"/>
            </w:tcBorders>
            <w:vAlign w:val="center"/>
          </w:tcPr>
          <w:p w14:paraId="5D77AA5C" w14:textId="77777777" w:rsidR="00796810" w:rsidRPr="009E58F7" w:rsidRDefault="00796810" w:rsidP="007070F2">
            <w:pPr>
              <w:keepNext/>
              <w:spacing w:line="240" w:lineRule="auto"/>
              <w:contextualSpacing/>
              <w:jc w:val="center"/>
            </w:pPr>
            <w:r w:rsidRPr="009E58F7">
              <w:rPr>
                <w:b/>
                <w:bCs/>
              </w:rPr>
              <w:t>III. fázisú vizsgálat</w:t>
            </w:r>
          </w:p>
        </w:tc>
        <w:tc>
          <w:tcPr>
            <w:tcW w:w="1242" w:type="dxa"/>
            <w:vMerge w:val="restart"/>
            <w:tcBorders>
              <w:top w:val="single" w:sz="8" w:space="0" w:color="auto"/>
              <w:left w:val="single" w:sz="8" w:space="0" w:color="auto"/>
              <w:bottom w:val="single" w:sz="8" w:space="0" w:color="auto"/>
              <w:right w:val="single" w:sz="8" w:space="0" w:color="auto"/>
            </w:tcBorders>
            <w:vAlign w:val="center"/>
          </w:tcPr>
          <w:p w14:paraId="79E82773" w14:textId="486E66DD" w:rsidR="00796810" w:rsidRPr="009E58F7" w:rsidRDefault="00796810" w:rsidP="007070F2">
            <w:pPr>
              <w:keepNext/>
              <w:spacing w:line="240" w:lineRule="auto"/>
              <w:contextualSpacing/>
              <w:jc w:val="center"/>
            </w:pPr>
            <w:r w:rsidRPr="009E58F7">
              <w:rPr>
                <w:b/>
                <w:bCs/>
              </w:rPr>
              <w:t>II. fázisú vizsgálat</w:t>
            </w:r>
          </w:p>
        </w:tc>
        <w:tc>
          <w:tcPr>
            <w:tcW w:w="40" w:type="dxa"/>
            <w:gridSpan w:val="2"/>
            <w:tcBorders>
              <w:left w:val="single" w:sz="8" w:space="0" w:color="auto"/>
            </w:tcBorders>
            <w:vAlign w:val="bottom"/>
          </w:tcPr>
          <w:p w14:paraId="5A3E4EC7" w14:textId="77777777" w:rsidR="00796810" w:rsidRPr="009E58F7" w:rsidRDefault="00796810" w:rsidP="007070F2">
            <w:pPr>
              <w:keepNext/>
              <w:spacing w:line="240" w:lineRule="auto"/>
              <w:contextualSpacing/>
              <w:jc w:val="both"/>
            </w:pPr>
          </w:p>
        </w:tc>
      </w:tr>
      <w:tr w:rsidR="00796810" w:rsidRPr="009E58F7" w14:paraId="3980C979" w14:textId="77777777" w:rsidTr="00E64005">
        <w:trPr>
          <w:trHeight w:val="233"/>
        </w:trPr>
        <w:tc>
          <w:tcPr>
            <w:tcW w:w="2054" w:type="dxa"/>
            <w:vMerge/>
            <w:tcBorders>
              <w:top w:val="single" w:sz="8" w:space="0" w:color="auto"/>
              <w:left w:val="single" w:sz="8" w:space="0" w:color="auto"/>
              <w:bottom w:val="single" w:sz="8" w:space="0" w:color="auto"/>
              <w:right w:val="single" w:sz="8" w:space="0" w:color="auto"/>
            </w:tcBorders>
            <w:vAlign w:val="bottom"/>
          </w:tcPr>
          <w:p w14:paraId="5C481C43" w14:textId="77777777" w:rsidR="00796810" w:rsidRPr="009E58F7" w:rsidRDefault="00796810" w:rsidP="00602E58">
            <w:pPr>
              <w:keepNext/>
              <w:spacing w:line="240" w:lineRule="auto"/>
              <w:contextualSpacing/>
            </w:pPr>
          </w:p>
        </w:tc>
        <w:tc>
          <w:tcPr>
            <w:tcW w:w="2052" w:type="dxa"/>
            <w:gridSpan w:val="2"/>
            <w:vMerge/>
            <w:tcBorders>
              <w:top w:val="single" w:sz="8" w:space="0" w:color="auto"/>
              <w:left w:val="single" w:sz="8" w:space="0" w:color="auto"/>
              <w:bottom w:val="single" w:sz="8" w:space="0" w:color="auto"/>
              <w:right w:val="single" w:sz="8" w:space="0" w:color="auto"/>
            </w:tcBorders>
            <w:vAlign w:val="center"/>
          </w:tcPr>
          <w:p w14:paraId="55712502" w14:textId="77777777" w:rsidR="00796810" w:rsidRPr="009E58F7" w:rsidRDefault="00796810" w:rsidP="00602E58">
            <w:pPr>
              <w:keepNext/>
              <w:spacing w:line="240" w:lineRule="auto"/>
              <w:contextualSpacing/>
            </w:pPr>
          </w:p>
        </w:tc>
        <w:tc>
          <w:tcPr>
            <w:tcW w:w="1989" w:type="dxa"/>
            <w:gridSpan w:val="2"/>
            <w:vMerge/>
            <w:tcBorders>
              <w:top w:val="single" w:sz="8" w:space="0" w:color="auto"/>
              <w:left w:val="single" w:sz="8" w:space="0" w:color="auto"/>
              <w:bottom w:val="single" w:sz="8" w:space="0" w:color="auto"/>
              <w:right w:val="single" w:sz="8" w:space="0" w:color="auto"/>
            </w:tcBorders>
            <w:vAlign w:val="center"/>
          </w:tcPr>
          <w:p w14:paraId="70A5A26D" w14:textId="77777777" w:rsidR="00796810" w:rsidRPr="009E58F7" w:rsidRDefault="00796810" w:rsidP="00602E58">
            <w:pPr>
              <w:keepNext/>
              <w:spacing w:line="240" w:lineRule="auto"/>
              <w:contextualSpacing/>
            </w:pPr>
          </w:p>
        </w:tc>
        <w:tc>
          <w:tcPr>
            <w:tcW w:w="2014" w:type="dxa"/>
            <w:gridSpan w:val="2"/>
            <w:vMerge/>
            <w:tcBorders>
              <w:top w:val="single" w:sz="8" w:space="0" w:color="auto"/>
              <w:left w:val="single" w:sz="8" w:space="0" w:color="auto"/>
              <w:bottom w:val="single" w:sz="8" w:space="0" w:color="auto"/>
              <w:right w:val="single" w:sz="8" w:space="0" w:color="auto"/>
            </w:tcBorders>
            <w:vAlign w:val="center"/>
          </w:tcPr>
          <w:p w14:paraId="1D553499" w14:textId="77777777" w:rsidR="00796810" w:rsidRPr="009E58F7" w:rsidRDefault="00796810" w:rsidP="00602E58">
            <w:pPr>
              <w:keepNext/>
              <w:spacing w:line="240" w:lineRule="auto"/>
              <w:contextualSpacing/>
            </w:pPr>
          </w:p>
        </w:tc>
        <w:tc>
          <w:tcPr>
            <w:tcW w:w="1242" w:type="dxa"/>
            <w:vMerge/>
            <w:tcBorders>
              <w:top w:val="single" w:sz="8" w:space="0" w:color="auto"/>
              <w:left w:val="single" w:sz="8" w:space="0" w:color="auto"/>
              <w:bottom w:val="single" w:sz="8" w:space="0" w:color="auto"/>
              <w:right w:val="single" w:sz="8" w:space="0" w:color="auto"/>
            </w:tcBorders>
            <w:vAlign w:val="center"/>
          </w:tcPr>
          <w:p w14:paraId="68CF94F1" w14:textId="77777777" w:rsidR="00796810" w:rsidRPr="009E58F7" w:rsidRDefault="00796810" w:rsidP="00602E58">
            <w:pPr>
              <w:keepNext/>
              <w:spacing w:line="240" w:lineRule="auto"/>
              <w:contextualSpacing/>
            </w:pPr>
          </w:p>
        </w:tc>
        <w:tc>
          <w:tcPr>
            <w:tcW w:w="40" w:type="dxa"/>
            <w:gridSpan w:val="2"/>
            <w:tcBorders>
              <w:left w:val="single" w:sz="8" w:space="0" w:color="auto"/>
            </w:tcBorders>
            <w:vAlign w:val="bottom"/>
          </w:tcPr>
          <w:p w14:paraId="7E91C6B3" w14:textId="77777777" w:rsidR="00796810" w:rsidRPr="009E58F7" w:rsidRDefault="00796810" w:rsidP="00602E58">
            <w:pPr>
              <w:keepNext/>
              <w:spacing w:line="240" w:lineRule="auto"/>
              <w:contextualSpacing/>
            </w:pPr>
          </w:p>
        </w:tc>
      </w:tr>
      <w:tr w:rsidR="00796810" w:rsidRPr="009E58F7" w14:paraId="69F5536C" w14:textId="77777777" w:rsidTr="00E64005">
        <w:trPr>
          <w:trHeight w:val="188"/>
        </w:trPr>
        <w:tc>
          <w:tcPr>
            <w:tcW w:w="2054" w:type="dxa"/>
            <w:vMerge w:val="restart"/>
            <w:tcBorders>
              <w:top w:val="single" w:sz="8" w:space="0" w:color="auto"/>
              <w:left w:val="single" w:sz="8" w:space="0" w:color="auto"/>
              <w:bottom w:val="single" w:sz="8" w:space="0" w:color="auto"/>
              <w:right w:val="single" w:sz="8" w:space="0" w:color="auto"/>
            </w:tcBorders>
            <w:vAlign w:val="bottom"/>
          </w:tcPr>
          <w:p w14:paraId="1CBDF7F5" w14:textId="77777777" w:rsidR="00796810" w:rsidRPr="009E58F7" w:rsidRDefault="00796810" w:rsidP="007070F2">
            <w:pPr>
              <w:keepNext/>
              <w:spacing w:line="240" w:lineRule="auto"/>
              <w:contextualSpacing/>
              <w:jc w:val="both"/>
            </w:pPr>
          </w:p>
        </w:tc>
        <w:tc>
          <w:tcPr>
            <w:tcW w:w="2052" w:type="dxa"/>
            <w:gridSpan w:val="2"/>
            <w:vMerge w:val="restart"/>
            <w:tcBorders>
              <w:top w:val="single" w:sz="8" w:space="0" w:color="auto"/>
              <w:left w:val="single" w:sz="8" w:space="0" w:color="auto"/>
              <w:bottom w:val="single" w:sz="8" w:space="0" w:color="auto"/>
              <w:right w:val="single" w:sz="8" w:space="0" w:color="auto"/>
            </w:tcBorders>
            <w:vAlign w:val="center"/>
          </w:tcPr>
          <w:p w14:paraId="3EDE330B" w14:textId="77777777" w:rsidR="00796810" w:rsidRPr="009E58F7" w:rsidRDefault="00796810" w:rsidP="007070F2">
            <w:pPr>
              <w:keepNext/>
              <w:spacing w:line="240" w:lineRule="auto"/>
              <w:contextualSpacing/>
              <w:jc w:val="center"/>
            </w:pPr>
            <w:r w:rsidRPr="009E58F7">
              <w:rPr>
                <w:b/>
                <w:bCs/>
              </w:rPr>
              <w:t>Összes beteg</w:t>
            </w:r>
          </w:p>
        </w:tc>
        <w:tc>
          <w:tcPr>
            <w:tcW w:w="1989" w:type="dxa"/>
            <w:gridSpan w:val="2"/>
            <w:vMerge w:val="restart"/>
            <w:tcBorders>
              <w:top w:val="single" w:sz="8" w:space="0" w:color="auto"/>
              <w:left w:val="single" w:sz="8" w:space="0" w:color="auto"/>
              <w:bottom w:val="single" w:sz="8" w:space="0" w:color="auto"/>
              <w:right w:val="single" w:sz="8" w:space="0" w:color="auto"/>
            </w:tcBorders>
            <w:vAlign w:val="center"/>
          </w:tcPr>
          <w:p w14:paraId="6D58F9F2" w14:textId="77777777" w:rsidR="00796810" w:rsidRPr="009E58F7" w:rsidRDefault="00796810" w:rsidP="007070F2">
            <w:pPr>
              <w:keepNext/>
              <w:spacing w:line="240" w:lineRule="auto"/>
              <w:contextualSpacing/>
              <w:jc w:val="center"/>
            </w:pPr>
            <w:r w:rsidRPr="009E58F7">
              <w:rPr>
                <w:b/>
                <w:bCs/>
              </w:rPr>
              <w:t>Korábban egy</w:t>
            </w:r>
          </w:p>
          <w:p w14:paraId="0979A7A9" w14:textId="77777777" w:rsidR="00796810" w:rsidRPr="009E58F7" w:rsidRDefault="00796810" w:rsidP="007070F2">
            <w:pPr>
              <w:keepNext/>
              <w:spacing w:line="240" w:lineRule="auto"/>
              <w:contextualSpacing/>
              <w:jc w:val="center"/>
            </w:pPr>
            <w:r w:rsidRPr="009E58F7">
              <w:rPr>
                <w:b/>
                <w:bCs/>
              </w:rPr>
              <w:t>terápiás kezelés</w:t>
            </w:r>
          </w:p>
        </w:tc>
        <w:tc>
          <w:tcPr>
            <w:tcW w:w="2014" w:type="dxa"/>
            <w:gridSpan w:val="2"/>
            <w:vMerge w:val="restart"/>
            <w:tcBorders>
              <w:top w:val="single" w:sz="8" w:space="0" w:color="auto"/>
              <w:left w:val="single" w:sz="8" w:space="0" w:color="auto"/>
              <w:bottom w:val="single" w:sz="8" w:space="0" w:color="auto"/>
              <w:right w:val="single" w:sz="8" w:space="0" w:color="auto"/>
            </w:tcBorders>
            <w:vAlign w:val="center"/>
          </w:tcPr>
          <w:p w14:paraId="1B21C3DB" w14:textId="77777777" w:rsidR="00796810" w:rsidRPr="009E58F7" w:rsidRDefault="00796810" w:rsidP="007070F2">
            <w:pPr>
              <w:keepNext/>
              <w:spacing w:line="240" w:lineRule="auto"/>
              <w:contextualSpacing/>
              <w:jc w:val="center"/>
            </w:pPr>
            <w:r w:rsidRPr="009E58F7">
              <w:rPr>
                <w:b/>
                <w:bCs/>
              </w:rPr>
              <w:t>Korábban több mint</w:t>
            </w:r>
          </w:p>
          <w:p w14:paraId="79636AA4" w14:textId="77777777" w:rsidR="00796810" w:rsidRPr="009E58F7" w:rsidRDefault="00796810" w:rsidP="007070F2">
            <w:pPr>
              <w:keepNext/>
              <w:spacing w:line="240" w:lineRule="auto"/>
              <w:contextualSpacing/>
              <w:jc w:val="center"/>
            </w:pPr>
            <w:r w:rsidRPr="009E58F7">
              <w:rPr>
                <w:b/>
                <w:bCs/>
              </w:rPr>
              <w:t>egy terápiás kezelés</w:t>
            </w:r>
          </w:p>
        </w:tc>
        <w:tc>
          <w:tcPr>
            <w:tcW w:w="1242" w:type="dxa"/>
            <w:vMerge w:val="restart"/>
            <w:tcBorders>
              <w:top w:val="single" w:sz="8" w:space="0" w:color="auto"/>
              <w:left w:val="single" w:sz="8" w:space="0" w:color="auto"/>
              <w:bottom w:val="single" w:sz="8" w:space="0" w:color="auto"/>
              <w:right w:val="single" w:sz="8" w:space="0" w:color="auto"/>
            </w:tcBorders>
            <w:vAlign w:val="center"/>
          </w:tcPr>
          <w:p w14:paraId="75FF1DB8" w14:textId="77777777" w:rsidR="00796810" w:rsidRPr="009E58F7" w:rsidRDefault="00796810" w:rsidP="007070F2">
            <w:pPr>
              <w:keepNext/>
              <w:spacing w:line="240" w:lineRule="auto"/>
              <w:contextualSpacing/>
              <w:jc w:val="center"/>
            </w:pPr>
            <w:r w:rsidRPr="009E58F7">
              <w:rPr>
                <w:b/>
                <w:bCs/>
              </w:rPr>
              <w:t>Korábban</w:t>
            </w:r>
          </w:p>
          <w:p w14:paraId="57241DB2" w14:textId="77777777" w:rsidR="00796810" w:rsidRPr="009E58F7" w:rsidRDefault="00796810" w:rsidP="007070F2">
            <w:pPr>
              <w:keepNext/>
              <w:spacing w:line="240" w:lineRule="auto"/>
              <w:contextualSpacing/>
              <w:jc w:val="center"/>
            </w:pPr>
            <w:r w:rsidRPr="009E58F7">
              <w:rPr>
                <w:b/>
                <w:bCs/>
              </w:rPr>
              <w:t>kettő vagy</w:t>
            </w:r>
          </w:p>
          <w:p w14:paraId="1F940743" w14:textId="77777777" w:rsidR="00796810" w:rsidRPr="009E58F7" w:rsidRDefault="00796810" w:rsidP="007070F2">
            <w:pPr>
              <w:keepNext/>
              <w:spacing w:line="240" w:lineRule="auto"/>
              <w:contextualSpacing/>
              <w:jc w:val="center"/>
            </w:pPr>
            <w:r w:rsidRPr="009E58F7">
              <w:rPr>
                <w:b/>
                <w:bCs/>
              </w:rPr>
              <w:t>annál több</w:t>
            </w:r>
          </w:p>
          <w:p w14:paraId="0CE767C4" w14:textId="77777777" w:rsidR="00796810" w:rsidRPr="009E58F7" w:rsidRDefault="00796810" w:rsidP="007070F2">
            <w:pPr>
              <w:keepNext/>
              <w:spacing w:line="240" w:lineRule="auto"/>
              <w:contextualSpacing/>
              <w:jc w:val="center"/>
            </w:pPr>
            <w:r w:rsidRPr="009E58F7">
              <w:rPr>
                <w:b/>
                <w:bCs/>
              </w:rPr>
              <w:t>terápiás</w:t>
            </w:r>
          </w:p>
          <w:p w14:paraId="24847630" w14:textId="77777777" w:rsidR="00796810" w:rsidRPr="009E58F7" w:rsidRDefault="00796810" w:rsidP="007070F2">
            <w:pPr>
              <w:keepNext/>
              <w:spacing w:line="240" w:lineRule="auto"/>
              <w:contextualSpacing/>
              <w:jc w:val="center"/>
            </w:pPr>
            <w:r w:rsidRPr="009E58F7">
              <w:rPr>
                <w:b/>
                <w:bCs/>
              </w:rPr>
              <w:t>kezelés</w:t>
            </w:r>
          </w:p>
        </w:tc>
        <w:tc>
          <w:tcPr>
            <w:tcW w:w="40" w:type="dxa"/>
            <w:gridSpan w:val="2"/>
            <w:tcBorders>
              <w:left w:val="single" w:sz="8" w:space="0" w:color="auto"/>
            </w:tcBorders>
            <w:vAlign w:val="bottom"/>
          </w:tcPr>
          <w:p w14:paraId="08B6DAD2" w14:textId="77777777" w:rsidR="00796810" w:rsidRPr="009E58F7" w:rsidRDefault="00796810" w:rsidP="007070F2">
            <w:pPr>
              <w:keepNext/>
              <w:spacing w:line="240" w:lineRule="auto"/>
              <w:contextualSpacing/>
              <w:jc w:val="both"/>
            </w:pPr>
          </w:p>
        </w:tc>
      </w:tr>
      <w:tr w:rsidR="00796810" w:rsidRPr="009E58F7" w14:paraId="128D2319" w14:textId="77777777" w:rsidTr="00E64005">
        <w:trPr>
          <w:trHeight w:val="217"/>
        </w:trPr>
        <w:tc>
          <w:tcPr>
            <w:tcW w:w="2054" w:type="dxa"/>
            <w:vMerge/>
            <w:tcBorders>
              <w:top w:val="single" w:sz="8" w:space="0" w:color="auto"/>
              <w:left w:val="single" w:sz="8" w:space="0" w:color="auto"/>
              <w:bottom w:val="single" w:sz="8" w:space="0" w:color="auto"/>
              <w:right w:val="single" w:sz="8" w:space="0" w:color="auto"/>
            </w:tcBorders>
            <w:vAlign w:val="bottom"/>
          </w:tcPr>
          <w:p w14:paraId="038E4BBA" w14:textId="77777777" w:rsidR="00796810" w:rsidRPr="009E58F7" w:rsidRDefault="00796810" w:rsidP="00602E58">
            <w:pPr>
              <w:keepNext/>
              <w:spacing w:line="240" w:lineRule="auto"/>
              <w:contextualSpacing/>
            </w:pPr>
          </w:p>
        </w:tc>
        <w:tc>
          <w:tcPr>
            <w:tcW w:w="2052" w:type="dxa"/>
            <w:gridSpan w:val="2"/>
            <w:vMerge/>
            <w:tcBorders>
              <w:top w:val="single" w:sz="8" w:space="0" w:color="auto"/>
              <w:left w:val="single" w:sz="8" w:space="0" w:color="auto"/>
              <w:bottom w:val="single" w:sz="8" w:space="0" w:color="auto"/>
              <w:right w:val="single" w:sz="8" w:space="0" w:color="auto"/>
            </w:tcBorders>
            <w:vAlign w:val="center"/>
          </w:tcPr>
          <w:p w14:paraId="04FBCADB" w14:textId="77777777" w:rsidR="00796810" w:rsidRPr="009E58F7" w:rsidRDefault="00796810" w:rsidP="00602E58">
            <w:pPr>
              <w:keepNext/>
              <w:spacing w:line="240" w:lineRule="auto"/>
              <w:contextualSpacing/>
            </w:pPr>
          </w:p>
        </w:tc>
        <w:tc>
          <w:tcPr>
            <w:tcW w:w="1989" w:type="dxa"/>
            <w:gridSpan w:val="2"/>
            <w:vMerge/>
            <w:tcBorders>
              <w:top w:val="single" w:sz="8" w:space="0" w:color="auto"/>
              <w:left w:val="single" w:sz="8" w:space="0" w:color="auto"/>
              <w:bottom w:val="single" w:sz="8" w:space="0" w:color="auto"/>
              <w:right w:val="single" w:sz="8" w:space="0" w:color="auto"/>
            </w:tcBorders>
            <w:vAlign w:val="center"/>
          </w:tcPr>
          <w:p w14:paraId="4AA1F472" w14:textId="77777777" w:rsidR="00796810" w:rsidRPr="009E58F7" w:rsidRDefault="00796810" w:rsidP="00602E58">
            <w:pPr>
              <w:keepNext/>
              <w:spacing w:line="240" w:lineRule="auto"/>
              <w:contextualSpacing/>
            </w:pPr>
          </w:p>
        </w:tc>
        <w:tc>
          <w:tcPr>
            <w:tcW w:w="2014" w:type="dxa"/>
            <w:gridSpan w:val="2"/>
            <w:vMerge/>
            <w:tcBorders>
              <w:top w:val="single" w:sz="8" w:space="0" w:color="auto"/>
              <w:left w:val="single" w:sz="8" w:space="0" w:color="auto"/>
              <w:bottom w:val="single" w:sz="8" w:space="0" w:color="auto"/>
              <w:right w:val="single" w:sz="8" w:space="0" w:color="auto"/>
            </w:tcBorders>
            <w:vAlign w:val="center"/>
          </w:tcPr>
          <w:p w14:paraId="422B9ECB" w14:textId="77777777" w:rsidR="00796810" w:rsidRPr="009E58F7" w:rsidRDefault="00796810" w:rsidP="00602E58">
            <w:pPr>
              <w:keepNext/>
              <w:spacing w:line="240" w:lineRule="auto"/>
              <w:contextualSpacing/>
            </w:pPr>
          </w:p>
        </w:tc>
        <w:tc>
          <w:tcPr>
            <w:tcW w:w="1242" w:type="dxa"/>
            <w:vMerge/>
            <w:tcBorders>
              <w:top w:val="single" w:sz="8" w:space="0" w:color="auto"/>
              <w:left w:val="single" w:sz="8" w:space="0" w:color="auto"/>
              <w:bottom w:val="single" w:sz="8" w:space="0" w:color="auto"/>
              <w:right w:val="single" w:sz="8" w:space="0" w:color="auto"/>
            </w:tcBorders>
            <w:vAlign w:val="center"/>
          </w:tcPr>
          <w:p w14:paraId="1E77A25F" w14:textId="77777777" w:rsidR="00796810" w:rsidRPr="009E58F7" w:rsidRDefault="00796810" w:rsidP="00602E58">
            <w:pPr>
              <w:keepNext/>
              <w:spacing w:line="240" w:lineRule="auto"/>
              <w:contextualSpacing/>
            </w:pPr>
          </w:p>
        </w:tc>
        <w:tc>
          <w:tcPr>
            <w:tcW w:w="40" w:type="dxa"/>
            <w:gridSpan w:val="2"/>
            <w:tcBorders>
              <w:left w:val="single" w:sz="8" w:space="0" w:color="auto"/>
            </w:tcBorders>
            <w:vAlign w:val="bottom"/>
          </w:tcPr>
          <w:p w14:paraId="6E9CDB12" w14:textId="77777777" w:rsidR="00796810" w:rsidRPr="009E58F7" w:rsidRDefault="00796810" w:rsidP="00602E58">
            <w:pPr>
              <w:keepNext/>
              <w:spacing w:line="240" w:lineRule="auto"/>
              <w:contextualSpacing/>
            </w:pPr>
          </w:p>
        </w:tc>
      </w:tr>
      <w:tr w:rsidR="00796810" w:rsidRPr="009E58F7" w14:paraId="4DF14E9F" w14:textId="77777777" w:rsidTr="00E64005">
        <w:trPr>
          <w:trHeight w:val="216"/>
        </w:trPr>
        <w:tc>
          <w:tcPr>
            <w:tcW w:w="2054" w:type="dxa"/>
            <w:vMerge/>
            <w:tcBorders>
              <w:top w:val="single" w:sz="8" w:space="0" w:color="auto"/>
              <w:left w:val="single" w:sz="8" w:space="0" w:color="auto"/>
              <w:bottom w:val="single" w:sz="8" w:space="0" w:color="auto"/>
              <w:right w:val="single" w:sz="8" w:space="0" w:color="auto"/>
            </w:tcBorders>
            <w:vAlign w:val="bottom"/>
          </w:tcPr>
          <w:p w14:paraId="4B883CBD" w14:textId="77777777" w:rsidR="00796810" w:rsidRPr="009E58F7" w:rsidRDefault="00796810" w:rsidP="00602E58">
            <w:pPr>
              <w:keepNext/>
              <w:spacing w:line="240" w:lineRule="auto"/>
              <w:contextualSpacing/>
            </w:pPr>
          </w:p>
        </w:tc>
        <w:tc>
          <w:tcPr>
            <w:tcW w:w="2052" w:type="dxa"/>
            <w:gridSpan w:val="2"/>
            <w:vMerge/>
            <w:tcBorders>
              <w:top w:val="single" w:sz="8" w:space="0" w:color="auto"/>
              <w:left w:val="single" w:sz="8" w:space="0" w:color="auto"/>
              <w:bottom w:val="single" w:sz="8" w:space="0" w:color="auto"/>
              <w:right w:val="single" w:sz="8" w:space="0" w:color="auto"/>
            </w:tcBorders>
            <w:vAlign w:val="center"/>
          </w:tcPr>
          <w:p w14:paraId="448F0384" w14:textId="77777777" w:rsidR="00796810" w:rsidRPr="009E58F7" w:rsidRDefault="00796810" w:rsidP="00602E58">
            <w:pPr>
              <w:keepNext/>
              <w:spacing w:line="240" w:lineRule="auto"/>
              <w:contextualSpacing/>
            </w:pPr>
          </w:p>
        </w:tc>
        <w:tc>
          <w:tcPr>
            <w:tcW w:w="1989" w:type="dxa"/>
            <w:gridSpan w:val="2"/>
            <w:vMerge/>
            <w:tcBorders>
              <w:top w:val="single" w:sz="8" w:space="0" w:color="auto"/>
              <w:left w:val="single" w:sz="8" w:space="0" w:color="auto"/>
              <w:bottom w:val="single" w:sz="8" w:space="0" w:color="auto"/>
              <w:right w:val="single" w:sz="8" w:space="0" w:color="auto"/>
            </w:tcBorders>
            <w:vAlign w:val="center"/>
          </w:tcPr>
          <w:p w14:paraId="3D86A529" w14:textId="77777777" w:rsidR="00796810" w:rsidRPr="009E58F7" w:rsidRDefault="00796810" w:rsidP="00602E58">
            <w:pPr>
              <w:keepNext/>
              <w:spacing w:line="240" w:lineRule="auto"/>
              <w:contextualSpacing/>
            </w:pPr>
          </w:p>
        </w:tc>
        <w:tc>
          <w:tcPr>
            <w:tcW w:w="2014" w:type="dxa"/>
            <w:gridSpan w:val="2"/>
            <w:vMerge/>
            <w:tcBorders>
              <w:top w:val="single" w:sz="8" w:space="0" w:color="auto"/>
              <w:left w:val="single" w:sz="8" w:space="0" w:color="auto"/>
              <w:bottom w:val="single" w:sz="8" w:space="0" w:color="auto"/>
              <w:right w:val="single" w:sz="8" w:space="0" w:color="auto"/>
            </w:tcBorders>
            <w:vAlign w:val="center"/>
          </w:tcPr>
          <w:p w14:paraId="717AF74C" w14:textId="77777777" w:rsidR="00796810" w:rsidRPr="009E58F7" w:rsidRDefault="00796810" w:rsidP="00602E58">
            <w:pPr>
              <w:keepNext/>
              <w:spacing w:line="240" w:lineRule="auto"/>
              <w:contextualSpacing/>
            </w:pPr>
          </w:p>
        </w:tc>
        <w:tc>
          <w:tcPr>
            <w:tcW w:w="1242" w:type="dxa"/>
            <w:vMerge/>
            <w:tcBorders>
              <w:top w:val="single" w:sz="8" w:space="0" w:color="auto"/>
              <w:left w:val="single" w:sz="8" w:space="0" w:color="auto"/>
              <w:bottom w:val="single" w:sz="8" w:space="0" w:color="auto"/>
              <w:right w:val="single" w:sz="8" w:space="0" w:color="auto"/>
            </w:tcBorders>
            <w:vAlign w:val="center"/>
          </w:tcPr>
          <w:p w14:paraId="156E23E9" w14:textId="77777777" w:rsidR="00796810" w:rsidRPr="009E58F7" w:rsidRDefault="00796810" w:rsidP="00602E58">
            <w:pPr>
              <w:keepNext/>
              <w:spacing w:line="240" w:lineRule="auto"/>
              <w:contextualSpacing/>
            </w:pPr>
          </w:p>
        </w:tc>
        <w:tc>
          <w:tcPr>
            <w:tcW w:w="40" w:type="dxa"/>
            <w:gridSpan w:val="2"/>
            <w:tcBorders>
              <w:left w:val="single" w:sz="8" w:space="0" w:color="auto"/>
            </w:tcBorders>
            <w:vAlign w:val="bottom"/>
          </w:tcPr>
          <w:p w14:paraId="3D645A84" w14:textId="77777777" w:rsidR="00796810" w:rsidRPr="009E58F7" w:rsidRDefault="00796810" w:rsidP="00602E58">
            <w:pPr>
              <w:keepNext/>
              <w:spacing w:line="240" w:lineRule="auto"/>
              <w:contextualSpacing/>
            </w:pPr>
          </w:p>
        </w:tc>
      </w:tr>
      <w:tr w:rsidR="00796810" w:rsidRPr="009E58F7" w14:paraId="6830264E" w14:textId="77777777" w:rsidTr="00E64005">
        <w:trPr>
          <w:trHeight w:val="216"/>
        </w:trPr>
        <w:tc>
          <w:tcPr>
            <w:tcW w:w="2054" w:type="dxa"/>
            <w:vMerge/>
            <w:tcBorders>
              <w:top w:val="single" w:sz="8" w:space="0" w:color="auto"/>
              <w:left w:val="single" w:sz="8" w:space="0" w:color="auto"/>
              <w:bottom w:val="single" w:sz="8" w:space="0" w:color="auto"/>
              <w:right w:val="single" w:sz="8" w:space="0" w:color="auto"/>
            </w:tcBorders>
            <w:vAlign w:val="bottom"/>
          </w:tcPr>
          <w:p w14:paraId="3D620D58" w14:textId="77777777" w:rsidR="00796810" w:rsidRPr="009E58F7" w:rsidRDefault="00796810" w:rsidP="00602E58">
            <w:pPr>
              <w:keepNext/>
              <w:spacing w:line="240" w:lineRule="auto"/>
              <w:contextualSpacing/>
            </w:pPr>
          </w:p>
        </w:tc>
        <w:tc>
          <w:tcPr>
            <w:tcW w:w="2052" w:type="dxa"/>
            <w:gridSpan w:val="2"/>
            <w:vMerge/>
            <w:tcBorders>
              <w:top w:val="single" w:sz="8" w:space="0" w:color="auto"/>
              <w:left w:val="single" w:sz="8" w:space="0" w:color="auto"/>
              <w:bottom w:val="single" w:sz="8" w:space="0" w:color="auto"/>
              <w:right w:val="single" w:sz="8" w:space="0" w:color="auto"/>
            </w:tcBorders>
            <w:vAlign w:val="center"/>
          </w:tcPr>
          <w:p w14:paraId="75A6ABCD" w14:textId="77777777" w:rsidR="00796810" w:rsidRPr="009E58F7" w:rsidRDefault="00796810" w:rsidP="00602E58">
            <w:pPr>
              <w:keepNext/>
              <w:spacing w:line="240" w:lineRule="auto"/>
              <w:contextualSpacing/>
            </w:pPr>
          </w:p>
        </w:tc>
        <w:tc>
          <w:tcPr>
            <w:tcW w:w="1989" w:type="dxa"/>
            <w:gridSpan w:val="2"/>
            <w:vMerge/>
            <w:tcBorders>
              <w:top w:val="single" w:sz="8" w:space="0" w:color="auto"/>
              <w:left w:val="single" w:sz="8" w:space="0" w:color="auto"/>
              <w:bottom w:val="single" w:sz="8" w:space="0" w:color="auto"/>
              <w:right w:val="single" w:sz="8" w:space="0" w:color="auto"/>
            </w:tcBorders>
            <w:vAlign w:val="center"/>
          </w:tcPr>
          <w:p w14:paraId="1619D894" w14:textId="77777777" w:rsidR="00796810" w:rsidRPr="009E58F7" w:rsidRDefault="00796810" w:rsidP="00602E58">
            <w:pPr>
              <w:keepNext/>
              <w:spacing w:line="240" w:lineRule="auto"/>
              <w:contextualSpacing/>
            </w:pPr>
          </w:p>
        </w:tc>
        <w:tc>
          <w:tcPr>
            <w:tcW w:w="2014" w:type="dxa"/>
            <w:gridSpan w:val="2"/>
            <w:vMerge/>
            <w:tcBorders>
              <w:top w:val="single" w:sz="8" w:space="0" w:color="auto"/>
              <w:left w:val="single" w:sz="8" w:space="0" w:color="auto"/>
              <w:bottom w:val="single" w:sz="8" w:space="0" w:color="auto"/>
              <w:right w:val="single" w:sz="8" w:space="0" w:color="auto"/>
            </w:tcBorders>
            <w:vAlign w:val="center"/>
          </w:tcPr>
          <w:p w14:paraId="7896580A" w14:textId="77777777" w:rsidR="00796810" w:rsidRPr="009E58F7" w:rsidRDefault="00796810" w:rsidP="00602E58">
            <w:pPr>
              <w:keepNext/>
              <w:spacing w:line="240" w:lineRule="auto"/>
              <w:contextualSpacing/>
            </w:pPr>
          </w:p>
        </w:tc>
        <w:tc>
          <w:tcPr>
            <w:tcW w:w="1242" w:type="dxa"/>
            <w:vMerge/>
            <w:tcBorders>
              <w:top w:val="single" w:sz="8" w:space="0" w:color="auto"/>
              <w:left w:val="single" w:sz="8" w:space="0" w:color="auto"/>
              <w:bottom w:val="single" w:sz="8" w:space="0" w:color="auto"/>
              <w:right w:val="single" w:sz="8" w:space="0" w:color="auto"/>
            </w:tcBorders>
            <w:vAlign w:val="center"/>
          </w:tcPr>
          <w:p w14:paraId="3ABC7344" w14:textId="77777777" w:rsidR="00796810" w:rsidRPr="009E58F7" w:rsidRDefault="00796810" w:rsidP="00602E58">
            <w:pPr>
              <w:keepNext/>
              <w:spacing w:line="240" w:lineRule="auto"/>
              <w:contextualSpacing/>
            </w:pPr>
          </w:p>
        </w:tc>
        <w:tc>
          <w:tcPr>
            <w:tcW w:w="40" w:type="dxa"/>
            <w:gridSpan w:val="2"/>
            <w:tcBorders>
              <w:left w:val="single" w:sz="8" w:space="0" w:color="auto"/>
            </w:tcBorders>
            <w:vAlign w:val="bottom"/>
          </w:tcPr>
          <w:p w14:paraId="6A9EC673" w14:textId="77777777" w:rsidR="00796810" w:rsidRPr="009E58F7" w:rsidRDefault="00796810" w:rsidP="00602E58">
            <w:pPr>
              <w:keepNext/>
              <w:spacing w:line="240" w:lineRule="auto"/>
              <w:contextualSpacing/>
            </w:pPr>
          </w:p>
        </w:tc>
      </w:tr>
      <w:tr w:rsidR="00796810" w:rsidRPr="009E58F7" w14:paraId="1557FAC4" w14:textId="77777777" w:rsidTr="00E64005">
        <w:trPr>
          <w:trHeight w:val="233"/>
        </w:trPr>
        <w:tc>
          <w:tcPr>
            <w:tcW w:w="2054" w:type="dxa"/>
            <w:vMerge/>
            <w:tcBorders>
              <w:top w:val="single" w:sz="8" w:space="0" w:color="auto"/>
              <w:left w:val="single" w:sz="8" w:space="0" w:color="auto"/>
              <w:bottom w:val="single" w:sz="8" w:space="0" w:color="auto"/>
              <w:right w:val="single" w:sz="8" w:space="0" w:color="auto"/>
            </w:tcBorders>
            <w:vAlign w:val="bottom"/>
          </w:tcPr>
          <w:p w14:paraId="1A3A7A32" w14:textId="77777777" w:rsidR="00796810" w:rsidRPr="009E58F7" w:rsidRDefault="00796810" w:rsidP="00602E58">
            <w:pPr>
              <w:keepNext/>
              <w:spacing w:line="240" w:lineRule="auto"/>
              <w:contextualSpacing/>
            </w:pPr>
          </w:p>
        </w:tc>
        <w:tc>
          <w:tcPr>
            <w:tcW w:w="2052" w:type="dxa"/>
            <w:gridSpan w:val="2"/>
            <w:vMerge/>
            <w:tcBorders>
              <w:top w:val="single" w:sz="8" w:space="0" w:color="auto"/>
              <w:left w:val="single" w:sz="8" w:space="0" w:color="auto"/>
              <w:bottom w:val="single" w:sz="8" w:space="0" w:color="auto"/>
              <w:right w:val="single" w:sz="8" w:space="0" w:color="auto"/>
            </w:tcBorders>
            <w:vAlign w:val="center"/>
          </w:tcPr>
          <w:p w14:paraId="506E8D4E" w14:textId="77777777" w:rsidR="00796810" w:rsidRPr="009E58F7" w:rsidRDefault="00796810" w:rsidP="00602E58">
            <w:pPr>
              <w:keepNext/>
              <w:spacing w:line="240" w:lineRule="auto"/>
              <w:contextualSpacing/>
            </w:pPr>
          </w:p>
        </w:tc>
        <w:tc>
          <w:tcPr>
            <w:tcW w:w="1989" w:type="dxa"/>
            <w:gridSpan w:val="2"/>
            <w:vMerge/>
            <w:tcBorders>
              <w:top w:val="single" w:sz="8" w:space="0" w:color="auto"/>
              <w:left w:val="single" w:sz="8" w:space="0" w:color="auto"/>
              <w:bottom w:val="single" w:sz="8" w:space="0" w:color="auto"/>
              <w:right w:val="single" w:sz="8" w:space="0" w:color="auto"/>
            </w:tcBorders>
            <w:vAlign w:val="center"/>
          </w:tcPr>
          <w:p w14:paraId="3C2FCB91" w14:textId="77777777" w:rsidR="00796810" w:rsidRPr="009E58F7" w:rsidRDefault="00796810" w:rsidP="00602E58">
            <w:pPr>
              <w:keepNext/>
              <w:spacing w:line="240" w:lineRule="auto"/>
              <w:contextualSpacing/>
            </w:pPr>
          </w:p>
        </w:tc>
        <w:tc>
          <w:tcPr>
            <w:tcW w:w="2014" w:type="dxa"/>
            <w:gridSpan w:val="2"/>
            <w:vMerge/>
            <w:tcBorders>
              <w:top w:val="single" w:sz="8" w:space="0" w:color="auto"/>
              <w:left w:val="single" w:sz="8" w:space="0" w:color="auto"/>
              <w:bottom w:val="single" w:sz="8" w:space="0" w:color="auto"/>
              <w:right w:val="single" w:sz="8" w:space="0" w:color="auto"/>
            </w:tcBorders>
            <w:vAlign w:val="center"/>
          </w:tcPr>
          <w:p w14:paraId="10A1588A" w14:textId="77777777" w:rsidR="00796810" w:rsidRPr="009E58F7" w:rsidRDefault="00796810" w:rsidP="00602E58">
            <w:pPr>
              <w:keepNext/>
              <w:spacing w:line="240" w:lineRule="auto"/>
              <w:contextualSpacing/>
            </w:pPr>
          </w:p>
        </w:tc>
        <w:tc>
          <w:tcPr>
            <w:tcW w:w="1242" w:type="dxa"/>
            <w:vMerge/>
            <w:tcBorders>
              <w:top w:val="single" w:sz="8" w:space="0" w:color="auto"/>
              <w:left w:val="single" w:sz="8" w:space="0" w:color="auto"/>
              <w:bottom w:val="single" w:sz="8" w:space="0" w:color="auto"/>
              <w:right w:val="single" w:sz="8" w:space="0" w:color="auto"/>
            </w:tcBorders>
            <w:vAlign w:val="center"/>
          </w:tcPr>
          <w:p w14:paraId="18CE57F6" w14:textId="77777777" w:rsidR="00796810" w:rsidRPr="009E58F7" w:rsidRDefault="00796810" w:rsidP="00602E58">
            <w:pPr>
              <w:keepNext/>
              <w:spacing w:line="240" w:lineRule="auto"/>
              <w:contextualSpacing/>
            </w:pPr>
          </w:p>
        </w:tc>
        <w:tc>
          <w:tcPr>
            <w:tcW w:w="40" w:type="dxa"/>
            <w:gridSpan w:val="2"/>
            <w:tcBorders>
              <w:left w:val="single" w:sz="8" w:space="0" w:color="auto"/>
            </w:tcBorders>
            <w:vAlign w:val="bottom"/>
          </w:tcPr>
          <w:p w14:paraId="3F114A30" w14:textId="77777777" w:rsidR="00796810" w:rsidRPr="009E58F7" w:rsidRDefault="00796810" w:rsidP="00602E58">
            <w:pPr>
              <w:keepNext/>
              <w:spacing w:line="240" w:lineRule="auto"/>
              <w:contextualSpacing/>
            </w:pPr>
          </w:p>
        </w:tc>
      </w:tr>
      <w:tr w:rsidR="00974200" w:rsidRPr="009E58F7" w14:paraId="01BADACE" w14:textId="77777777" w:rsidTr="00E64005">
        <w:trPr>
          <w:trHeight w:val="189"/>
        </w:trPr>
        <w:tc>
          <w:tcPr>
            <w:tcW w:w="2054" w:type="dxa"/>
            <w:vMerge w:val="restart"/>
            <w:tcBorders>
              <w:top w:val="single" w:sz="8" w:space="0" w:color="auto"/>
              <w:left w:val="single" w:sz="8" w:space="0" w:color="auto"/>
              <w:bottom w:val="single" w:sz="8" w:space="0" w:color="auto"/>
              <w:right w:val="single" w:sz="8" w:space="0" w:color="auto"/>
            </w:tcBorders>
            <w:vAlign w:val="bottom"/>
          </w:tcPr>
          <w:p w14:paraId="6B3BF72F" w14:textId="77777777" w:rsidR="00974200" w:rsidRPr="009E58F7" w:rsidRDefault="00974200" w:rsidP="007070F2">
            <w:pPr>
              <w:keepNext/>
              <w:spacing w:line="240" w:lineRule="auto"/>
              <w:contextualSpacing/>
              <w:jc w:val="both"/>
              <w:rPr>
                <w:b/>
                <w:bCs/>
              </w:rPr>
            </w:pPr>
            <w:r w:rsidRPr="009E58F7">
              <w:rPr>
                <w:b/>
                <w:bCs/>
              </w:rPr>
              <w:t>Az eltelt idővel</w:t>
            </w:r>
          </w:p>
          <w:p w14:paraId="7686B8F0" w14:textId="77777777" w:rsidR="00974200" w:rsidRPr="009E58F7" w:rsidRDefault="00974200" w:rsidP="007070F2">
            <w:pPr>
              <w:keepNext/>
              <w:spacing w:line="240" w:lineRule="auto"/>
              <w:contextualSpacing/>
              <w:jc w:val="both"/>
              <w:rPr>
                <w:b/>
                <w:bCs/>
              </w:rPr>
            </w:pPr>
            <w:r w:rsidRPr="009E58F7">
              <w:rPr>
                <w:b/>
                <w:bCs/>
              </w:rPr>
              <w:t>összefüggő</w:t>
            </w:r>
          </w:p>
          <w:p w14:paraId="2971BA90" w14:textId="77777777" w:rsidR="00974200" w:rsidRPr="009E58F7" w:rsidRDefault="00974200" w:rsidP="007070F2">
            <w:pPr>
              <w:keepNext/>
              <w:spacing w:line="240" w:lineRule="auto"/>
              <w:contextualSpacing/>
              <w:jc w:val="both"/>
              <w:rPr>
                <w:b/>
                <w:bCs/>
              </w:rPr>
            </w:pPr>
            <w:r w:rsidRPr="009E58F7">
              <w:rPr>
                <w:b/>
                <w:bCs/>
              </w:rPr>
              <w:t>események</w:t>
            </w:r>
          </w:p>
        </w:tc>
        <w:tc>
          <w:tcPr>
            <w:tcW w:w="1060" w:type="dxa"/>
            <w:vMerge w:val="restart"/>
            <w:tcBorders>
              <w:top w:val="single" w:sz="8" w:space="0" w:color="auto"/>
              <w:bottom w:val="single" w:sz="8" w:space="0" w:color="auto"/>
              <w:right w:val="single" w:sz="8" w:space="0" w:color="auto"/>
            </w:tcBorders>
            <w:vAlign w:val="center"/>
          </w:tcPr>
          <w:p w14:paraId="0B0EE508" w14:textId="77777777" w:rsidR="00974200" w:rsidRPr="009E58F7" w:rsidRDefault="00974200" w:rsidP="007070F2">
            <w:pPr>
              <w:keepNext/>
              <w:spacing w:line="240" w:lineRule="auto"/>
              <w:contextualSpacing/>
              <w:jc w:val="center"/>
              <w:rPr>
                <w:b/>
                <w:bCs/>
              </w:rPr>
            </w:pPr>
            <w:r w:rsidRPr="009E58F7">
              <w:rPr>
                <w:b/>
                <w:bCs/>
              </w:rPr>
              <w:t>Bz</w:t>
            </w:r>
          </w:p>
          <w:p w14:paraId="557518A8" w14:textId="4637DAD1" w:rsidR="00974200" w:rsidRPr="009E58F7" w:rsidRDefault="00974200" w:rsidP="007070F2">
            <w:pPr>
              <w:keepNext/>
              <w:spacing w:line="240" w:lineRule="auto"/>
              <w:contextualSpacing/>
              <w:jc w:val="center"/>
              <w:rPr>
                <w:b/>
                <w:bCs/>
              </w:rPr>
            </w:pPr>
            <w:r w:rsidRPr="009E58F7">
              <w:rPr>
                <w:b/>
                <w:bCs/>
              </w:rPr>
              <w:t>n = 333</w:t>
            </w:r>
            <w:r w:rsidRPr="009E58F7">
              <w:rPr>
                <w:rFonts w:ascii="Times" w:hAnsi="Times"/>
                <w:b/>
                <w:bCs/>
                <w:vertAlign w:val="superscript"/>
              </w:rPr>
              <w:t>a</w:t>
            </w:r>
          </w:p>
        </w:tc>
        <w:tc>
          <w:tcPr>
            <w:tcW w:w="992" w:type="dxa"/>
            <w:vMerge w:val="restart"/>
            <w:tcBorders>
              <w:top w:val="single" w:sz="8" w:space="0" w:color="auto"/>
              <w:bottom w:val="single" w:sz="8" w:space="0" w:color="auto"/>
              <w:right w:val="single" w:sz="8" w:space="0" w:color="auto"/>
            </w:tcBorders>
            <w:vAlign w:val="center"/>
          </w:tcPr>
          <w:p w14:paraId="083FBA14" w14:textId="77777777" w:rsidR="00974200" w:rsidRPr="009E58F7" w:rsidRDefault="00974200" w:rsidP="007070F2">
            <w:pPr>
              <w:keepNext/>
              <w:spacing w:line="240" w:lineRule="auto"/>
              <w:contextualSpacing/>
              <w:jc w:val="center"/>
              <w:rPr>
                <w:b/>
                <w:bCs/>
              </w:rPr>
            </w:pPr>
            <w:r w:rsidRPr="009E58F7">
              <w:rPr>
                <w:b/>
                <w:bCs/>
              </w:rPr>
              <w:t>Dex</w:t>
            </w:r>
          </w:p>
          <w:p w14:paraId="0FD24AF7" w14:textId="0BB1C1E6" w:rsidR="00974200" w:rsidRPr="009E58F7" w:rsidRDefault="00974200" w:rsidP="007070F2">
            <w:pPr>
              <w:keepNext/>
              <w:spacing w:line="240" w:lineRule="auto"/>
              <w:contextualSpacing/>
              <w:jc w:val="center"/>
              <w:rPr>
                <w:b/>
                <w:bCs/>
              </w:rPr>
            </w:pPr>
            <w:r w:rsidRPr="009E58F7">
              <w:rPr>
                <w:b/>
                <w:bCs/>
              </w:rPr>
              <w:t>n = 336</w:t>
            </w:r>
            <w:r w:rsidRPr="009E58F7">
              <w:rPr>
                <w:rFonts w:ascii="Times" w:hAnsi="Times"/>
                <w:b/>
                <w:bCs/>
                <w:vertAlign w:val="superscript"/>
              </w:rPr>
              <w:t>a</w:t>
            </w:r>
          </w:p>
        </w:tc>
        <w:tc>
          <w:tcPr>
            <w:tcW w:w="992" w:type="dxa"/>
            <w:vMerge w:val="restart"/>
            <w:tcBorders>
              <w:top w:val="single" w:sz="8" w:space="0" w:color="auto"/>
              <w:bottom w:val="single" w:sz="8" w:space="0" w:color="auto"/>
              <w:right w:val="single" w:sz="8" w:space="0" w:color="auto"/>
            </w:tcBorders>
            <w:vAlign w:val="center"/>
          </w:tcPr>
          <w:p w14:paraId="119293F7" w14:textId="77777777" w:rsidR="00974200" w:rsidRPr="009E58F7" w:rsidRDefault="00974200" w:rsidP="007070F2">
            <w:pPr>
              <w:keepNext/>
              <w:spacing w:line="240" w:lineRule="auto"/>
              <w:contextualSpacing/>
              <w:jc w:val="center"/>
              <w:rPr>
                <w:b/>
                <w:bCs/>
              </w:rPr>
            </w:pPr>
            <w:r w:rsidRPr="009E58F7">
              <w:rPr>
                <w:b/>
                <w:bCs/>
              </w:rPr>
              <w:t>Bz</w:t>
            </w:r>
          </w:p>
          <w:p w14:paraId="3F4320FB" w14:textId="629AC3DB" w:rsidR="00974200" w:rsidRPr="009E58F7" w:rsidRDefault="00974200" w:rsidP="007070F2">
            <w:pPr>
              <w:keepNext/>
              <w:spacing w:line="240" w:lineRule="auto"/>
              <w:contextualSpacing/>
              <w:jc w:val="center"/>
              <w:rPr>
                <w:b/>
                <w:bCs/>
              </w:rPr>
            </w:pPr>
            <w:r w:rsidRPr="009E58F7">
              <w:rPr>
                <w:b/>
                <w:bCs/>
              </w:rPr>
              <w:t>n = 332</w:t>
            </w:r>
            <w:r w:rsidRPr="009E58F7">
              <w:rPr>
                <w:rFonts w:ascii="Times" w:hAnsi="Times"/>
                <w:b/>
                <w:bCs/>
                <w:vertAlign w:val="superscript"/>
              </w:rPr>
              <w:t>a</w:t>
            </w:r>
          </w:p>
        </w:tc>
        <w:tc>
          <w:tcPr>
            <w:tcW w:w="997" w:type="dxa"/>
            <w:vMerge w:val="restart"/>
            <w:tcBorders>
              <w:top w:val="single" w:sz="8" w:space="0" w:color="auto"/>
              <w:bottom w:val="single" w:sz="8" w:space="0" w:color="auto"/>
              <w:right w:val="single" w:sz="8" w:space="0" w:color="auto"/>
            </w:tcBorders>
            <w:vAlign w:val="center"/>
          </w:tcPr>
          <w:p w14:paraId="0D550425" w14:textId="77777777" w:rsidR="00974200" w:rsidRPr="009E58F7" w:rsidRDefault="00974200" w:rsidP="007070F2">
            <w:pPr>
              <w:keepNext/>
              <w:spacing w:line="240" w:lineRule="auto"/>
              <w:contextualSpacing/>
              <w:jc w:val="center"/>
              <w:rPr>
                <w:b/>
                <w:bCs/>
              </w:rPr>
            </w:pPr>
            <w:r w:rsidRPr="009E58F7">
              <w:rPr>
                <w:b/>
                <w:bCs/>
              </w:rPr>
              <w:t>Dex</w:t>
            </w:r>
          </w:p>
          <w:p w14:paraId="118CB372" w14:textId="6E6C7F42" w:rsidR="00974200" w:rsidRPr="009E58F7" w:rsidRDefault="00974200" w:rsidP="007070F2">
            <w:pPr>
              <w:keepNext/>
              <w:spacing w:line="240" w:lineRule="auto"/>
              <w:contextualSpacing/>
              <w:jc w:val="center"/>
              <w:rPr>
                <w:b/>
                <w:bCs/>
              </w:rPr>
            </w:pPr>
            <w:r w:rsidRPr="009E58F7">
              <w:rPr>
                <w:b/>
                <w:bCs/>
              </w:rPr>
              <w:t>n = 119</w:t>
            </w:r>
            <w:r w:rsidRPr="009E58F7">
              <w:rPr>
                <w:rFonts w:ascii="Times" w:hAnsi="Times"/>
                <w:b/>
                <w:bCs/>
                <w:vertAlign w:val="superscript"/>
              </w:rPr>
              <w:t>a</w:t>
            </w:r>
          </w:p>
        </w:tc>
        <w:tc>
          <w:tcPr>
            <w:tcW w:w="1017" w:type="dxa"/>
            <w:vMerge w:val="restart"/>
            <w:tcBorders>
              <w:top w:val="single" w:sz="8" w:space="0" w:color="auto"/>
              <w:bottom w:val="single" w:sz="8" w:space="0" w:color="auto"/>
              <w:right w:val="single" w:sz="8" w:space="0" w:color="auto"/>
            </w:tcBorders>
            <w:vAlign w:val="center"/>
          </w:tcPr>
          <w:p w14:paraId="5DCCD223" w14:textId="77777777" w:rsidR="00974200" w:rsidRPr="009E58F7" w:rsidRDefault="00974200" w:rsidP="007070F2">
            <w:pPr>
              <w:keepNext/>
              <w:spacing w:line="240" w:lineRule="auto"/>
              <w:contextualSpacing/>
              <w:jc w:val="center"/>
              <w:rPr>
                <w:b/>
                <w:bCs/>
              </w:rPr>
            </w:pPr>
            <w:r w:rsidRPr="009E58F7">
              <w:rPr>
                <w:b/>
                <w:bCs/>
              </w:rPr>
              <w:t>Bz</w:t>
            </w:r>
          </w:p>
          <w:p w14:paraId="15A66BA0" w14:textId="61557953" w:rsidR="00974200" w:rsidRPr="009E58F7" w:rsidRDefault="00974200" w:rsidP="007070F2">
            <w:pPr>
              <w:keepNext/>
              <w:spacing w:line="240" w:lineRule="auto"/>
              <w:contextualSpacing/>
              <w:jc w:val="center"/>
              <w:rPr>
                <w:b/>
                <w:bCs/>
              </w:rPr>
            </w:pPr>
            <w:r w:rsidRPr="009E58F7">
              <w:rPr>
                <w:b/>
                <w:bCs/>
              </w:rPr>
              <w:t>n = 200</w:t>
            </w:r>
            <w:r w:rsidRPr="009E58F7">
              <w:rPr>
                <w:rFonts w:ascii="Times" w:hAnsi="Times"/>
                <w:b/>
                <w:bCs/>
                <w:vertAlign w:val="superscript"/>
              </w:rPr>
              <w:t xml:space="preserve"> a</w:t>
            </w:r>
          </w:p>
        </w:tc>
        <w:tc>
          <w:tcPr>
            <w:tcW w:w="997" w:type="dxa"/>
            <w:vMerge w:val="restart"/>
            <w:tcBorders>
              <w:top w:val="single" w:sz="8" w:space="0" w:color="auto"/>
              <w:bottom w:val="single" w:sz="8" w:space="0" w:color="auto"/>
              <w:right w:val="single" w:sz="8" w:space="0" w:color="auto"/>
            </w:tcBorders>
            <w:vAlign w:val="center"/>
          </w:tcPr>
          <w:p w14:paraId="2C7B839C" w14:textId="77777777" w:rsidR="00974200" w:rsidRPr="009E58F7" w:rsidRDefault="00974200" w:rsidP="007070F2">
            <w:pPr>
              <w:keepNext/>
              <w:spacing w:line="240" w:lineRule="auto"/>
              <w:contextualSpacing/>
              <w:jc w:val="center"/>
              <w:rPr>
                <w:b/>
                <w:bCs/>
              </w:rPr>
            </w:pPr>
            <w:r w:rsidRPr="009E58F7">
              <w:rPr>
                <w:b/>
                <w:bCs/>
              </w:rPr>
              <w:t>Dex</w:t>
            </w:r>
          </w:p>
          <w:p w14:paraId="1974D124" w14:textId="04F961CC" w:rsidR="00974200" w:rsidRPr="009E58F7" w:rsidRDefault="00974200" w:rsidP="007070F2">
            <w:pPr>
              <w:keepNext/>
              <w:spacing w:line="240" w:lineRule="auto"/>
              <w:contextualSpacing/>
              <w:jc w:val="center"/>
              <w:rPr>
                <w:b/>
                <w:bCs/>
              </w:rPr>
            </w:pPr>
            <w:r w:rsidRPr="009E58F7">
              <w:rPr>
                <w:b/>
                <w:bCs/>
              </w:rPr>
              <w:t>n = 217</w:t>
            </w:r>
            <w:r w:rsidRPr="009E58F7">
              <w:rPr>
                <w:rFonts w:ascii="Times" w:hAnsi="Times"/>
                <w:b/>
                <w:bCs/>
                <w:vertAlign w:val="superscript"/>
              </w:rPr>
              <w:t>a</w:t>
            </w:r>
          </w:p>
        </w:tc>
        <w:tc>
          <w:tcPr>
            <w:tcW w:w="1242" w:type="dxa"/>
            <w:vMerge w:val="restart"/>
            <w:tcBorders>
              <w:top w:val="single" w:sz="8" w:space="0" w:color="auto"/>
              <w:bottom w:val="single" w:sz="8" w:space="0" w:color="auto"/>
              <w:right w:val="single" w:sz="8" w:space="0" w:color="auto"/>
            </w:tcBorders>
            <w:vAlign w:val="center"/>
          </w:tcPr>
          <w:p w14:paraId="318800E9" w14:textId="77777777" w:rsidR="00974200" w:rsidRPr="009E58F7" w:rsidRDefault="00974200" w:rsidP="007070F2">
            <w:pPr>
              <w:keepNext/>
              <w:spacing w:line="240" w:lineRule="auto"/>
              <w:contextualSpacing/>
              <w:jc w:val="center"/>
              <w:rPr>
                <w:b/>
                <w:bCs/>
              </w:rPr>
            </w:pPr>
            <w:r w:rsidRPr="009E58F7">
              <w:rPr>
                <w:b/>
                <w:bCs/>
              </w:rPr>
              <w:t>Bz</w:t>
            </w:r>
          </w:p>
          <w:p w14:paraId="4997B247" w14:textId="4B3B5260" w:rsidR="00974200" w:rsidRPr="009E58F7" w:rsidRDefault="00974200" w:rsidP="007070F2">
            <w:pPr>
              <w:keepNext/>
              <w:spacing w:line="240" w:lineRule="auto"/>
              <w:contextualSpacing/>
              <w:jc w:val="center"/>
              <w:rPr>
                <w:b/>
                <w:bCs/>
              </w:rPr>
            </w:pPr>
            <w:r w:rsidRPr="009E58F7">
              <w:rPr>
                <w:b/>
                <w:bCs/>
              </w:rPr>
              <w:t>n = 202</w:t>
            </w:r>
            <w:r w:rsidRPr="009E58F7">
              <w:rPr>
                <w:rFonts w:ascii="Times" w:hAnsi="Times"/>
                <w:b/>
                <w:bCs/>
                <w:vertAlign w:val="superscript"/>
              </w:rPr>
              <w:t>a</w:t>
            </w:r>
          </w:p>
        </w:tc>
        <w:tc>
          <w:tcPr>
            <w:tcW w:w="40" w:type="dxa"/>
            <w:gridSpan w:val="2"/>
            <w:tcBorders>
              <w:left w:val="single" w:sz="8" w:space="0" w:color="auto"/>
            </w:tcBorders>
            <w:vAlign w:val="bottom"/>
          </w:tcPr>
          <w:p w14:paraId="5B9F1A25" w14:textId="77777777" w:rsidR="00974200" w:rsidRPr="009E58F7" w:rsidRDefault="00974200" w:rsidP="007070F2">
            <w:pPr>
              <w:keepNext/>
              <w:spacing w:line="240" w:lineRule="auto"/>
              <w:contextualSpacing/>
              <w:jc w:val="both"/>
              <w:rPr>
                <w:b/>
                <w:bCs/>
                <w:w w:val="99"/>
              </w:rPr>
            </w:pPr>
          </w:p>
        </w:tc>
      </w:tr>
      <w:tr w:rsidR="00974200" w:rsidRPr="009E58F7" w14:paraId="26EEBCDD" w14:textId="77777777" w:rsidTr="00E64005">
        <w:trPr>
          <w:trHeight w:val="217"/>
        </w:trPr>
        <w:tc>
          <w:tcPr>
            <w:tcW w:w="2054" w:type="dxa"/>
            <w:vMerge/>
            <w:tcBorders>
              <w:top w:val="single" w:sz="8" w:space="0" w:color="auto"/>
              <w:left w:val="single" w:sz="8" w:space="0" w:color="auto"/>
              <w:bottom w:val="single" w:sz="8" w:space="0" w:color="auto"/>
              <w:right w:val="single" w:sz="8" w:space="0" w:color="auto"/>
            </w:tcBorders>
            <w:vAlign w:val="bottom"/>
          </w:tcPr>
          <w:p w14:paraId="7868D0BF" w14:textId="77777777" w:rsidR="00974200" w:rsidRPr="009E58F7" w:rsidRDefault="00974200" w:rsidP="00602E58">
            <w:pPr>
              <w:keepNext/>
              <w:spacing w:line="240" w:lineRule="auto"/>
              <w:contextualSpacing/>
            </w:pPr>
          </w:p>
        </w:tc>
        <w:tc>
          <w:tcPr>
            <w:tcW w:w="1060" w:type="dxa"/>
            <w:vMerge/>
            <w:tcBorders>
              <w:top w:val="single" w:sz="8" w:space="0" w:color="auto"/>
              <w:bottom w:val="single" w:sz="8" w:space="0" w:color="auto"/>
              <w:right w:val="single" w:sz="8" w:space="0" w:color="auto"/>
            </w:tcBorders>
            <w:vAlign w:val="center"/>
          </w:tcPr>
          <w:p w14:paraId="681D2D44" w14:textId="77777777" w:rsidR="00974200" w:rsidRPr="009E58F7" w:rsidRDefault="00974200" w:rsidP="00602E58">
            <w:pPr>
              <w:keepNext/>
              <w:spacing w:line="240" w:lineRule="auto"/>
              <w:contextualSpacing/>
              <w:rPr>
                <w:b/>
                <w:bCs/>
                <w:w w:val="99"/>
              </w:rPr>
            </w:pPr>
          </w:p>
        </w:tc>
        <w:tc>
          <w:tcPr>
            <w:tcW w:w="992" w:type="dxa"/>
            <w:vMerge/>
            <w:tcBorders>
              <w:top w:val="single" w:sz="8" w:space="0" w:color="auto"/>
              <w:bottom w:val="single" w:sz="8" w:space="0" w:color="auto"/>
              <w:right w:val="single" w:sz="8" w:space="0" w:color="auto"/>
            </w:tcBorders>
            <w:vAlign w:val="center"/>
          </w:tcPr>
          <w:p w14:paraId="425E809D" w14:textId="77777777" w:rsidR="00974200" w:rsidRPr="009E58F7" w:rsidRDefault="00974200" w:rsidP="00602E58">
            <w:pPr>
              <w:keepNext/>
              <w:spacing w:line="240" w:lineRule="auto"/>
              <w:contextualSpacing/>
              <w:rPr>
                <w:b/>
                <w:bCs/>
                <w:w w:val="99"/>
              </w:rPr>
            </w:pPr>
          </w:p>
        </w:tc>
        <w:tc>
          <w:tcPr>
            <w:tcW w:w="992" w:type="dxa"/>
            <w:vMerge/>
            <w:tcBorders>
              <w:top w:val="single" w:sz="8" w:space="0" w:color="auto"/>
              <w:bottom w:val="single" w:sz="8" w:space="0" w:color="auto"/>
              <w:right w:val="single" w:sz="8" w:space="0" w:color="auto"/>
            </w:tcBorders>
            <w:vAlign w:val="center"/>
          </w:tcPr>
          <w:p w14:paraId="3E78EAFD" w14:textId="77777777" w:rsidR="00974200" w:rsidRPr="009E58F7" w:rsidRDefault="00974200" w:rsidP="00602E58">
            <w:pPr>
              <w:keepNext/>
              <w:spacing w:line="240" w:lineRule="auto"/>
              <w:contextualSpacing/>
              <w:rPr>
                <w:b/>
                <w:bCs/>
                <w:w w:val="99"/>
              </w:rPr>
            </w:pPr>
          </w:p>
        </w:tc>
        <w:tc>
          <w:tcPr>
            <w:tcW w:w="997" w:type="dxa"/>
            <w:vMerge/>
            <w:tcBorders>
              <w:top w:val="single" w:sz="8" w:space="0" w:color="auto"/>
              <w:bottom w:val="single" w:sz="8" w:space="0" w:color="auto"/>
              <w:right w:val="single" w:sz="8" w:space="0" w:color="auto"/>
            </w:tcBorders>
            <w:vAlign w:val="center"/>
          </w:tcPr>
          <w:p w14:paraId="3FDBD197" w14:textId="77777777" w:rsidR="00974200" w:rsidRPr="009E58F7" w:rsidRDefault="00974200" w:rsidP="00602E58">
            <w:pPr>
              <w:keepNext/>
              <w:spacing w:line="240" w:lineRule="auto"/>
              <w:contextualSpacing/>
              <w:rPr>
                <w:b/>
                <w:bCs/>
                <w:w w:val="99"/>
              </w:rPr>
            </w:pPr>
          </w:p>
        </w:tc>
        <w:tc>
          <w:tcPr>
            <w:tcW w:w="1017" w:type="dxa"/>
            <w:vMerge/>
            <w:tcBorders>
              <w:top w:val="single" w:sz="8" w:space="0" w:color="auto"/>
              <w:bottom w:val="single" w:sz="8" w:space="0" w:color="auto"/>
              <w:right w:val="single" w:sz="8" w:space="0" w:color="auto"/>
            </w:tcBorders>
            <w:vAlign w:val="center"/>
          </w:tcPr>
          <w:p w14:paraId="6F0453FC" w14:textId="77777777" w:rsidR="00974200" w:rsidRPr="009E58F7" w:rsidRDefault="00974200" w:rsidP="00602E58">
            <w:pPr>
              <w:keepNext/>
              <w:spacing w:line="240" w:lineRule="auto"/>
              <w:contextualSpacing/>
              <w:rPr>
                <w:b/>
                <w:bCs/>
                <w:w w:val="99"/>
              </w:rPr>
            </w:pPr>
          </w:p>
        </w:tc>
        <w:tc>
          <w:tcPr>
            <w:tcW w:w="997" w:type="dxa"/>
            <w:vMerge/>
            <w:tcBorders>
              <w:top w:val="single" w:sz="8" w:space="0" w:color="auto"/>
              <w:bottom w:val="single" w:sz="8" w:space="0" w:color="auto"/>
              <w:right w:val="single" w:sz="8" w:space="0" w:color="auto"/>
            </w:tcBorders>
            <w:vAlign w:val="center"/>
          </w:tcPr>
          <w:p w14:paraId="1416EB5A" w14:textId="77777777" w:rsidR="00974200" w:rsidRPr="009E58F7" w:rsidRDefault="00974200" w:rsidP="00602E58">
            <w:pPr>
              <w:keepNext/>
              <w:spacing w:line="240" w:lineRule="auto"/>
              <w:contextualSpacing/>
              <w:rPr>
                <w:b/>
                <w:bCs/>
                <w:w w:val="99"/>
              </w:rPr>
            </w:pPr>
          </w:p>
        </w:tc>
        <w:tc>
          <w:tcPr>
            <w:tcW w:w="1242" w:type="dxa"/>
            <w:vMerge/>
            <w:tcBorders>
              <w:top w:val="single" w:sz="8" w:space="0" w:color="auto"/>
              <w:bottom w:val="single" w:sz="8" w:space="0" w:color="auto"/>
              <w:right w:val="single" w:sz="8" w:space="0" w:color="auto"/>
            </w:tcBorders>
            <w:vAlign w:val="center"/>
          </w:tcPr>
          <w:p w14:paraId="4E4F9876" w14:textId="77777777" w:rsidR="00974200" w:rsidRPr="009E58F7" w:rsidRDefault="00974200" w:rsidP="00602E58">
            <w:pPr>
              <w:keepNext/>
              <w:spacing w:line="240" w:lineRule="auto"/>
              <w:contextualSpacing/>
              <w:rPr>
                <w:b/>
                <w:bCs/>
                <w:w w:val="99"/>
              </w:rPr>
            </w:pPr>
          </w:p>
        </w:tc>
        <w:tc>
          <w:tcPr>
            <w:tcW w:w="40" w:type="dxa"/>
            <w:gridSpan w:val="2"/>
            <w:tcBorders>
              <w:left w:val="single" w:sz="8" w:space="0" w:color="auto"/>
            </w:tcBorders>
            <w:vAlign w:val="bottom"/>
          </w:tcPr>
          <w:p w14:paraId="5E98CC9E" w14:textId="77777777" w:rsidR="00974200" w:rsidRPr="009E58F7" w:rsidRDefault="00974200" w:rsidP="00602E58">
            <w:pPr>
              <w:keepNext/>
              <w:spacing w:line="240" w:lineRule="auto"/>
              <w:contextualSpacing/>
              <w:rPr>
                <w:b/>
                <w:bCs/>
                <w:w w:val="99"/>
              </w:rPr>
            </w:pPr>
          </w:p>
        </w:tc>
      </w:tr>
      <w:tr w:rsidR="00974200" w:rsidRPr="009E58F7" w14:paraId="3F480DF5" w14:textId="77777777" w:rsidTr="00E64005">
        <w:trPr>
          <w:trHeight w:val="127"/>
        </w:trPr>
        <w:tc>
          <w:tcPr>
            <w:tcW w:w="2054" w:type="dxa"/>
            <w:vMerge/>
            <w:tcBorders>
              <w:top w:val="single" w:sz="8" w:space="0" w:color="auto"/>
              <w:left w:val="single" w:sz="8" w:space="0" w:color="auto"/>
              <w:bottom w:val="single" w:sz="8" w:space="0" w:color="auto"/>
              <w:right w:val="single" w:sz="8" w:space="0" w:color="auto"/>
            </w:tcBorders>
            <w:vAlign w:val="bottom"/>
          </w:tcPr>
          <w:p w14:paraId="2FD0409B" w14:textId="77777777" w:rsidR="00974200" w:rsidRPr="009E58F7" w:rsidRDefault="00974200" w:rsidP="00602E58">
            <w:pPr>
              <w:keepNext/>
              <w:spacing w:line="240" w:lineRule="auto"/>
              <w:contextualSpacing/>
            </w:pPr>
          </w:p>
        </w:tc>
        <w:tc>
          <w:tcPr>
            <w:tcW w:w="1060" w:type="dxa"/>
            <w:vMerge/>
            <w:tcBorders>
              <w:top w:val="single" w:sz="8" w:space="0" w:color="auto"/>
              <w:bottom w:val="single" w:sz="8" w:space="0" w:color="auto"/>
              <w:right w:val="single" w:sz="8" w:space="0" w:color="auto"/>
            </w:tcBorders>
            <w:vAlign w:val="center"/>
          </w:tcPr>
          <w:p w14:paraId="634B3760" w14:textId="77777777" w:rsidR="00974200" w:rsidRPr="009E58F7" w:rsidRDefault="00974200" w:rsidP="00602E58">
            <w:pPr>
              <w:keepNext/>
              <w:spacing w:line="240" w:lineRule="auto"/>
              <w:contextualSpacing/>
              <w:rPr>
                <w:b/>
                <w:bCs/>
                <w:w w:val="99"/>
              </w:rPr>
            </w:pPr>
          </w:p>
        </w:tc>
        <w:tc>
          <w:tcPr>
            <w:tcW w:w="992" w:type="dxa"/>
            <w:vMerge/>
            <w:tcBorders>
              <w:top w:val="single" w:sz="8" w:space="0" w:color="auto"/>
              <w:bottom w:val="single" w:sz="8" w:space="0" w:color="auto"/>
              <w:right w:val="single" w:sz="8" w:space="0" w:color="auto"/>
            </w:tcBorders>
            <w:vAlign w:val="center"/>
          </w:tcPr>
          <w:p w14:paraId="57983923" w14:textId="77777777" w:rsidR="00974200" w:rsidRPr="009E58F7" w:rsidRDefault="00974200" w:rsidP="00602E58">
            <w:pPr>
              <w:keepNext/>
              <w:spacing w:line="240" w:lineRule="auto"/>
              <w:contextualSpacing/>
              <w:rPr>
                <w:b/>
                <w:bCs/>
                <w:w w:val="99"/>
              </w:rPr>
            </w:pPr>
          </w:p>
        </w:tc>
        <w:tc>
          <w:tcPr>
            <w:tcW w:w="992" w:type="dxa"/>
            <w:vMerge/>
            <w:tcBorders>
              <w:top w:val="single" w:sz="8" w:space="0" w:color="auto"/>
              <w:bottom w:val="single" w:sz="8" w:space="0" w:color="auto"/>
              <w:right w:val="single" w:sz="8" w:space="0" w:color="auto"/>
            </w:tcBorders>
            <w:vAlign w:val="center"/>
          </w:tcPr>
          <w:p w14:paraId="05D4D6B3" w14:textId="77777777" w:rsidR="00974200" w:rsidRPr="009E58F7" w:rsidRDefault="00974200" w:rsidP="00602E58">
            <w:pPr>
              <w:keepNext/>
              <w:spacing w:line="240" w:lineRule="auto"/>
              <w:contextualSpacing/>
              <w:rPr>
                <w:b/>
                <w:bCs/>
                <w:w w:val="99"/>
              </w:rPr>
            </w:pPr>
          </w:p>
        </w:tc>
        <w:tc>
          <w:tcPr>
            <w:tcW w:w="997" w:type="dxa"/>
            <w:vMerge/>
            <w:tcBorders>
              <w:top w:val="single" w:sz="8" w:space="0" w:color="auto"/>
              <w:bottom w:val="single" w:sz="8" w:space="0" w:color="auto"/>
              <w:right w:val="single" w:sz="8" w:space="0" w:color="auto"/>
            </w:tcBorders>
            <w:vAlign w:val="center"/>
          </w:tcPr>
          <w:p w14:paraId="513D427B" w14:textId="77777777" w:rsidR="00974200" w:rsidRPr="009E58F7" w:rsidRDefault="00974200" w:rsidP="00602E58">
            <w:pPr>
              <w:keepNext/>
              <w:spacing w:line="240" w:lineRule="auto"/>
              <w:contextualSpacing/>
              <w:rPr>
                <w:b/>
                <w:bCs/>
                <w:w w:val="99"/>
              </w:rPr>
            </w:pPr>
          </w:p>
        </w:tc>
        <w:tc>
          <w:tcPr>
            <w:tcW w:w="1017" w:type="dxa"/>
            <w:vMerge/>
            <w:tcBorders>
              <w:top w:val="single" w:sz="8" w:space="0" w:color="auto"/>
              <w:bottom w:val="single" w:sz="8" w:space="0" w:color="auto"/>
              <w:right w:val="single" w:sz="8" w:space="0" w:color="auto"/>
            </w:tcBorders>
            <w:vAlign w:val="center"/>
          </w:tcPr>
          <w:p w14:paraId="362C3E07" w14:textId="77777777" w:rsidR="00974200" w:rsidRPr="009E58F7" w:rsidRDefault="00974200" w:rsidP="00602E58">
            <w:pPr>
              <w:keepNext/>
              <w:spacing w:line="240" w:lineRule="auto"/>
              <w:contextualSpacing/>
              <w:rPr>
                <w:b/>
                <w:bCs/>
                <w:w w:val="99"/>
              </w:rPr>
            </w:pPr>
          </w:p>
        </w:tc>
        <w:tc>
          <w:tcPr>
            <w:tcW w:w="997" w:type="dxa"/>
            <w:vMerge/>
            <w:tcBorders>
              <w:top w:val="single" w:sz="8" w:space="0" w:color="auto"/>
              <w:bottom w:val="single" w:sz="8" w:space="0" w:color="auto"/>
              <w:right w:val="single" w:sz="8" w:space="0" w:color="auto"/>
            </w:tcBorders>
            <w:vAlign w:val="center"/>
          </w:tcPr>
          <w:p w14:paraId="5A54681C" w14:textId="77777777" w:rsidR="00974200" w:rsidRPr="009E58F7" w:rsidRDefault="00974200" w:rsidP="00602E58">
            <w:pPr>
              <w:keepNext/>
              <w:spacing w:line="240" w:lineRule="auto"/>
              <w:contextualSpacing/>
              <w:rPr>
                <w:b/>
                <w:bCs/>
                <w:w w:val="99"/>
              </w:rPr>
            </w:pPr>
          </w:p>
        </w:tc>
        <w:tc>
          <w:tcPr>
            <w:tcW w:w="1242" w:type="dxa"/>
            <w:vMerge/>
            <w:tcBorders>
              <w:top w:val="single" w:sz="8" w:space="0" w:color="auto"/>
              <w:bottom w:val="single" w:sz="8" w:space="0" w:color="auto"/>
              <w:right w:val="single" w:sz="8" w:space="0" w:color="auto"/>
            </w:tcBorders>
            <w:vAlign w:val="center"/>
          </w:tcPr>
          <w:p w14:paraId="732AE4A4" w14:textId="77777777" w:rsidR="00974200" w:rsidRPr="009E58F7" w:rsidRDefault="00974200" w:rsidP="00602E58">
            <w:pPr>
              <w:keepNext/>
              <w:spacing w:line="240" w:lineRule="auto"/>
              <w:contextualSpacing/>
              <w:rPr>
                <w:b/>
                <w:bCs/>
                <w:w w:val="99"/>
              </w:rPr>
            </w:pPr>
          </w:p>
        </w:tc>
        <w:tc>
          <w:tcPr>
            <w:tcW w:w="40" w:type="dxa"/>
            <w:gridSpan w:val="2"/>
            <w:tcBorders>
              <w:left w:val="single" w:sz="8" w:space="0" w:color="auto"/>
            </w:tcBorders>
            <w:vAlign w:val="bottom"/>
          </w:tcPr>
          <w:p w14:paraId="4F926C0D" w14:textId="77777777" w:rsidR="00974200" w:rsidRPr="009E58F7" w:rsidRDefault="00974200" w:rsidP="00602E58">
            <w:pPr>
              <w:keepNext/>
              <w:spacing w:line="240" w:lineRule="auto"/>
              <w:contextualSpacing/>
              <w:rPr>
                <w:b/>
                <w:bCs/>
                <w:w w:val="99"/>
              </w:rPr>
            </w:pPr>
          </w:p>
        </w:tc>
      </w:tr>
      <w:tr w:rsidR="00974200" w:rsidRPr="009E58F7" w14:paraId="4A823514" w14:textId="77777777" w:rsidTr="00E64005">
        <w:trPr>
          <w:trHeight w:val="192"/>
        </w:trPr>
        <w:tc>
          <w:tcPr>
            <w:tcW w:w="2054" w:type="dxa"/>
            <w:tcBorders>
              <w:top w:val="single" w:sz="8" w:space="0" w:color="auto"/>
              <w:left w:val="single" w:sz="8" w:space="0" w:color="auto"/>
              <w:bottom w:val="single" w:sz="8" w:space="0" w:color="auto"/>
              <w:right w:val="single" w:sz="8" w:space="0" w:color="auto"/>
            </w:tcBorders>
            <w:vAlign w:val="bottom"/>
          </w:tcPr>
          <w:p w14:paraId="4A4C44AC" w14:textId="068EA76F" w:rsidR="00974200" w:rsidRPr="009E58F7" w:rsidRDefault="00974200" w:rsidP="00D7256D">
            <w:pPr>
              <w:keepNext/>
              <w:spacing w:line="240" w:lineRule="auto"/>
              <w:contextualSpacing/>
            </w:pPr>
            <w:r w:rsidRPr="009E58F7">
              <w:t>A progresszióig eltelt idő (TTP), napok (95%-os CI)</w:t>
            </w:r>
          </w:p>
        </w:tc>
        <w:tc>
          <w:tcPr>
            <w:tcW w:w="1060" w:type="dxa"/>
            <w:tcBorders>
              <w:top w:val="single" w:sz="8" w:space="0" w:color="auto"/>
              <w:bottom w:val="single" w:sz="8" w:space="0" w:color="auto"/>
              <w:right w:val="single" w:sz="8" w:space="0" w:color="auto"/>
            </w:tcBorders>
            <w:vAlign w:val="center"/>
          </w:tcPr>
          <w:p w14:paraId="0250411D" w14:textId="77777777" w:rsidR="00974200" w:rsidRPr="009E58F7" w:rsidRDefault="00974200" w:rsidP="007070F2">
            <w:pPr>
              <w:keepNext/>
              <w:spacing w:line="240" w:lineRule="auto"/>
              <w:contextualSpacing/>
              <w:jc w:val="center"/>
              <w:rPr>
                <w:vertAlign w:val="superscript"/>
              </w:rPr>
            </w:pPr>
            <w:r w:rsidRPr="009E58F7">
              <w:t>189</w:t>
            </w:r>
            <w:r w:rsidRPr="009E58F7">
              <w:rPr>
                <w:vertAlign w:val="superscript"/>
              </w:rPr>
              <w:t>b</w:t>
            </w:r>
          </w:p>
          <w:p w14:paraId="6AF35E10" w14:textId="6BC0DBB6" w:rsidR="00974200" w:rsidRPr="009E58F7" w:rsidRDefault="00974200" w:rsidP="007070F2">
            <w:pPr>
              <w:keepNext/>
              <w:spacing w:line="240" w:lineRule="auto"/>
              <w:contextualSpacing/>
              <w:jc w:val="center"/>
            </w:pPr>
            <w:r w:rsidRPr="009E58F7">
              <w:t>(148, 211)</w:t>
            </w:r>
          </w:p>
        </w:tc>
        <w:tc>
          <w:tcPr>
            <w:tcW w:w="992" w:type="dxa"/>
            <w:tcBorders>
              <w:top w:val="single" w:sz="8" w:space="0" w:color="auto"/>
              <w:bottom w:val="single" w:sz="8" w:space="0" w:color="auto"/>
              <w:right w:val="single" w:sz="8" w:space="0" w:color="auto"/>
            </w:tcBorders>
            <w:vAlign w:val="center"/>
          </w:tcPr>
          <w:p w14:paraId="5C5AB272" w14:textId="3DD41BFE" w:rsidR="00974200" w:rsidRPr="009E58F7" w:rsidRDefault="00974200" w:rsidP="007070F2">
            <w:pPr>
              <w:keepNext/>
              <w:spacing w:line="240" w:lineRule="auto"/>
              <w:contextualSpacing/>
              <w:jc w:val="center"/>
              <w:rPr>
                <w:vertAlign w:val="superscript"/>
              </w:rPr>
            </w:pPr>
            <w:r w:rsidRPr="009E58F7">
              <w:t>106</w:t>
            </w:r>
            <w:r w:rsidRPr="009E58F7">
              <w:rPr>
                <w:vertAlign w:val="superscript"/>
              </w:rPr>
              <w:t>b</w:t>
            </w:r>
          </w:p>
          <w:p w14:paraId="156C7504" w14:textId="2D4C8192" w:rsidR="00974200" w:rsidRPr="009E58F7" w:rsidRDefault="00974200" w:rsidP="007070F2">
            <w:pPr>
              <w:keepNext/>
              <w:spacing w:line="240" w:lineRule="auto"/>
              <w:contextualSpacing/>
              <w:jc w:val="center"/>
              <w:rPr>
                <w:vertAlign w:val="superscript"/>
              </w:rPr>
            </w:pPr>
            <w:r w:rsidRPr="009E58F7">
              <w:t>(86,128)</w:t>
            </w:r>
          </w:p>
        </w:tc>
        <w:tc>
          <w:tcPr>
            <w:tcW w:w="992" w:type="dxa"/>
            <w:tcBorders>
              <w:top w:val="single" w:sz="8" w:space="0" w:color="auto"/>
              <w:bottom w:val="single" w:sz="8" w:space="0" w:color="auto"/>
              <w:right w:val="single" w:sz="8" w:space="0" w:color="auto"/>
            </w:tcBorders>
            <w:vAlign w:val="center"/>
          </w:tcPr>
          <w:p w14:paraId="4849EE26" w14:textId="77777777" w:rsidR="00974200" w:rsidRPr="009E58F7" w:rsidRDefault="00974200" w:rsidP="007070F2">
            <w:pPr>
              <w:keepNext/>
              <w:spacing w:line="240" w:lineRule="auto"/>
              <w:contextualSpacing/>
              <w:jc w:val="center"/>
              <w:rPr>
                <w:vertAlign w:val="superscript"/>
              </w:rPr>
            </w:pPr>
            <w:r w:rsidRPr="009E58F7">
              <w:t>212</w:t>
            </w:r>
            <w:r w:rsidRPr="009E58F7">
              <w:rPr>
                <w:vertAlign w:val="superscript"/>
              </w:rPr>
              <w:t>d</w:t>
            </w:r>
          </w:p>
          <w:p w14:paraId="7CD1CED3" w14:textId="4640FD15" w:rsidR="00974200" w:rsidRPr="009E58F7" w:rsidRDefault="00974200" w:rsidP="007070F2">
            <w:pPr>
              <w:keepNext/>
              <w:spacing w:line="240" w:lineRule="auto"/>
              <w:contextualSpacing/>
              <w:jc w:val="center"/>
            </w:pPr>
            <w:r w:rsidRPr="009E58F7">
              <w:t>(188, 267)</w:t>
            </w:r>
          </w:p>
        </w:tc>
        <w:tc>
          <w:tcPr>
            <w:tcW w:w="997" w:type="dxa"/>
            <w:tcBorders>
              <w:top w:val="single" w:sz="8" w:space="0" w:color="auto"/>
              <w:bottom w:val="single" w:sz="8" w:space="0" w:color="auto"/>
              <w:right w:val="single" w:sz="8" w:space="0" w:color="auto"/>
            </w:tcBorders>
            <w:vAlign w:val="center"/>
          </w:tcPr>
          <w:p w14:paraId="53D9365D" w14:textId="77777777" w:rsidR="00974200" w:rsidRPr="009E58F7" w:rsidRDefault="00974200" w:rsidP="007070F2">
            <w:pPr>
              <w:keepNext/>
              <w:spacing w:line="240" w:lineRule="auto"/>
              <w:contextualSpacing/>
              <w:jc w:val="center"/>
              <w:rPr>
                <w:vertAlign w:val="superscript"/>
              </w:rPr>
            </w:pPr>
            <w:r w:rsidRPr="009E58F7">
              <w:t>169</w:t>
            </w:r>
            <w:r w:rsidRPr="009E58F7">
              <w:rPr>
                <w:vertAlign w:val="superscript"/>
              </w:rPr>
              <w:t>d</w:t>
            </w:r>
          </w:p>
          <w:p w14:paraId="17F87395" w14:textId="4F076B38" w:rsidR="00974200" w:rsidRPr="009E58F7" w:rsidRDefault="00974200" w:rsidP="007070F2">
            <w:pPr>
              <w:keepNext/>
              <w:spacing w:line="240" w:lineRule="auto"/>
              <w:contextualSpacing/>
              <w:jc w:val="center"/>
            </w:pPr>
            <w:r w:rsidRPr="009E58F7">
              <w:t>(105, 191)</w:t>
            </w:r>
          </w:p>
        </w:tc>
        <w:tc>
          <w:tcPr>
            <w:tcW w:w="1017" w:type="dxa"/>
            <w:tcBorders>
              <w:top w:val="single" w:sz="8" w:space="0" w:color="auto"/>
              <w:bottom w:val="single" w:sz="8" w:space="0" w:color="auto"/>
              <w:right w:val="single" w:sz="8" w:space="0" w:color="auto"/>
            </w:tcBorders>
            <w:vAlign w:val="center"/>
          </w:tcPr>
          <w:p w14:paraId="646F03CA" w14:textId="77777777" w:rsidR="00974200" w:rsidRPr="009E58F7" w:rsidRDefault="00974200" w:rsidP="007070F2">
            <w:pPr>
              <w:keepNext/>
              <w:spacing w:line="240" w:lineRule="auto"/>
              <w:contextualSpacing/>
              <w:jc w:val="center"/>
              <w:rPr>
                <w:vertAlign w:val="superscript"/>
              </w:rPr>
            </w:pPr>
            <w:r w:rsidRPr="009E58F7">
              <w:t>148</w:t>
            </w:r>
            <w:r w:rsidRPr="009E58F7">
              <w:rPr>
                <w:vertAlign w:val="superscript"/>
              </w:rPr>
              <w:t>b</w:t>
            </w:r>
          </w:p>
          <w:p w14:paraId="3176E994" w14:textId="11F154A5" w:rsidR="00974200" w:rsidRPr="009E58F7" w:rsidRDefault="00974200" w:rsidP="007070F2">
            <w:pPr>
              <w:keepNext/>
              <w:spacing w:line="240" w:lineRule="auto"/>
              <w:contextualSpacing/>
              <w:jc w:val="center"/>
            </w:pPr>
            <w:r w:rsidRPr="009E58F7">
              <w:t>(129, 192)</w:t>
            </w:r>
          </w:p>
        </w:tc>
        <w:tc>
          <w:tcPr>
            <w:tcW w:w="997" w:type="dxa"/>
            <w:tcBorders>
              <w:top w:val="single" w:sz="8" w:space="0" w:color="auto"/>
              <w:bottom w:val="single" w:sz="8" w:space="0" w:color="auto"/>
              <w:right w:val="single" w:sz="8" w:space="0" w:color="auto"/>
            </w:tcBorders>
            <w:vAlign w:val="center"/>
          </w:tcPr>
          <w:p w14:paraId="6B0DB6B3" w14:textId="77777777" w:rsidR="00974200" w:rsidRPr="009E58F7" w:rsidRDefault="00974200" w:rsidP="007070F2">
            <w:pPr>
              <w:keepNext/>
              <w:spacing w:line="240" w:lineRule="auto"/>
              <w:contextualSpacing/>
              <w:jc w:val="center"/>
              <w:rPr>
                <w:vertAlign w:val="superscript"/>
              </w:rPr>
            </w:pPr>
            <w:r w:rsidRPr="009E58F7">
              <w:t>87</w:t>
            </w:r>
            <w:r w:rsidRPr="009E58F7">
              <w:rPr>
                <w:vertAlign w:val="superscript"/>
              </w:rPr>
              <w:t>b</w:t>
            </w:r>
          </w:p>
          <w:p w14:paraId="39EBB36C" w14:textId="0826E28C" w:rsidR="00974200" w:rsidRPr="009E58F7" w:rsidRDefault="00974200" w:rsidP="007070F2">
            <w:pPr>
              <w:keepNext/>
              <w:spacing w:line="240" w:lineRule="auto"/>
              <w:contextualSpacing/>
              <w:jc w:val="center"/>
            </w:pPr>
            <w:r w:rsidRPr="009E58F7">
              <w:t>(84, 107)</w:t>
            </w:r>
          </w:p>
        </w:tc>
        <w:tc>
          <w:tcPr>
            <w:tcW w:w="1242" w:type="dxa"/>
            <w:tcBorders>
              <w:top w:val="single" w:sz="8" w:space="0" w:color="auto"/>
              <w:bottom w:val="single" w:sz="8" w:space="0" w:color="auto"/>
              <w:right w:val="single" w:sz="8" w:space="0" w:color="auto"/>
            </w:tcBorders>
            <w:vAlign w:val="center"/>
          </w:tcPr>
          <w:p w14:paraId="6B6A677B" w14:textId="77777777" w:rsidR="00974200" w:rsidRPr="009E58F7" w:rsidRDefault="00974200" w:rsidP="007070F2">
            <w:pPr>
              <w:keepNext/>
              <w:spacing w:line="240" w:lineRule="auto"/>
              <w:contextualSpacing/>
              <w:jc w:val="center"/>
            </w:pPr>
            <w:r w:rsidRPr="009E58F7">
              <w:t>210</w:t>
            </w:r>
          </w:p>
          <w:p w14:paraId="224F1C37" w14:textId="6C10C248" w:rsidR="00974200" w:rsidRPr="009E58F7" w:rsidRDefault="00974200" w:rsidP="007070F2">
            <w:pPr>
              <w:keepNext/>
              <w:spacing w:line="240" w:lineRule="auto"/>
              <w:contextualSpacing/>
              <w:jc w:val="center"/>
            </w:pPr>
            <w:r w:rsidRPr="009E58F7">
              <w:t>(154, 281)</w:t>
            </w:r>
          </w:p>
        </w:tc>
        <w:tc>
          <w:tcPr>
            <w:tcW w:w="40" w:type="dxa"/>
            <w:gridSpan w:val="2"/>
            <w:tcBorders>
              <w:left w:val="single" w:sz="8" w:space="0" w:color="auto"/>
            </w:tcBorders>
            <w:vAlign w:val="bottom"/>
          </w:tcPr>
          <w:p w14:paraId="4FFA259F" w14:textId="77777777" w:rsidR="00974200" w:rsidRPr="009E58F7" w:rsidRDefault="00974200" w:rsidP="007070F2">
            <w:pPr>
              <w:keepNext/>
              <w:spacing w:line="240" w:lineRule="auto"/>
              <w:contextualSpacing/>
              <w:jc w:val="both"/>
            </w:pPr>
          </w:p>
        </w:tc>
      </w:tr>
      <w:tr w:rsidR="00974200" w:rsidRPr="009E58F7" w14:paraId="298F892D" w14:textId="77777777" w:rsidTr="00E64005">
        <w:trPr>
          <w:trHeight w:val="193"/>
        </w:trPr>
        <w:tc>
          <w:tcPr>
            <w:tcW w:w="2054" w:type="dxa"/>
            <w:tcBorders>
              <w:top w:val="single" w:sz="8" w:space="0" w:color="auto"/>
              <w:left w:val="single" w:sz="8" w:space="0" w:color="auto"/>
              <w:bottom w:val="single" w:sz="8" w:space="0" w:color="auto"/>
              <w:right w:val="single" w:sz="8" w:space="0" w:color="auto"/>
            </w:tcBorders>
            <w:vAlign w:val="bottom"/>
          </w:tcPr>
          <w:p w14:paraId="31955A5C" w14:textId="602091AC" w:rsidR="00974200" w:rsidRPr="009E58F7" w:rsidRDefault="00974200" w:rsidP="00D7256D">
            <w:pPr>
              <w:keepNext/>
              <w:spacing w:line="240" w:lineRule="auto"/>
              <w:contextualSpacing/>
            </w:pPr>
            <w:r w:rsidRPr="009E58F7">
              <w:t>1 éves túlélés, %</w:t>
            </w:r>
            <w:r w:rsidR="00796810" w:rsidRPr="009E58F7">
              <w:t xml:space="preserve"> (95%-os CI)</w:t>
            </w:r>
          </w:p>
        </w:tc>
        <w:tc>
          <w:tcPr>
            <w:tcW w:w="1060" w:type="dxa"/>
            <w:tcBorders>
              <w:top w:val="single" w:sz="8" w:space="0" w:color="auto"/>
              <w:bottom w:val="single" w:sz="8" w:space="0" w:color="auto"/>
              <w:right w:val="single" w:sz="8" w:space="0" w:color="auto"/>
            </w:tcBorders>
            <w:vAlign w:val="center"/>
          </w:tcPr>
          <w:p w14:paraId="3487D55F" w14:textId="0D42C76D" w:rsidR="00796810" w:rsidRPr="009E58F7" w:rsidRDefault="00974200" w:rsidP="007070F2">
            <w:pPr>
              <w:keepNext/>
              <w:spacing w:line="240" w:lineRule="auto"/>
              <w:contextualSpacing/>
              <w:jc w:val="center"/>
              <w:rPr>
                <w:vertAlign w:val="superscript"/>
              </w:rPr>
            </w:pPr>
            <w:r w:rsidRPr="009E58F7">
              <w:t>80</w:t>
            </w:r>
            <w:r w:rsidR="00796810" w:rsidRPr="009E58F7">
              <w:rPr>
                <w:vertAlign w:val="superscript"/>
              </w:rPr>
              <w:t>d</w:t>
            </w:r>
          </w:p>
          <w:p w14:paraId="49B83830" w14:textId="5A117D32" w:rsidR="00974200" w:rsidRPr="009E58F7" w:rsidRDefault="00796810" w:rsidP="007070F2">
            <w:pPr>
              <w:keepNext/>
              <w:spacing w:line="240" w:lineRule="auto"/>
              <w:contextualSpacing/>
              <w:jc w:val="center"/>
            </w:pPr>
            <w:r w:rsidRPr="009E58F7">
              <w:t>(74, 85)</w:t>
            </w:r>
          </w:p>
        </w:tc>
        <w:tc>
          <w:tcPr>
            <w:tcW w:w="992" w:type="dxa"/>
            <w:tcBorders>
              <w:top w:val="single" w:sz="8" w:space="0" w:color="auto"/>
              <w:bottom w:val="single" w:sz="8" w:space="0" w:color="auto"/>
              <w:right w:val="single" w:sz="8" w:space="0" w:color="auto"/>
            </w:tcBorders>
            <w:vAlign w:val="center"/>
          </w:tcPr>
          <w:p w14:paraId="65A7A4E8" w14:textId="55E96681" w:rsidR="00796810" w:rsidRPr="009E58F7" w:rsidRDefault="00974200" w:rsidP="007070F2">
            <w:pPr>
              <w:keepNext/>
              <w:spacing w:line="240" w:lineRule="auto"/>
              <w:contextualSpacing/>
              <w:jc w:val="center"/>
              <w:rPr>
                <w:vertAlign w:val="superscript"/>
              </w:rPr>
            </w:pPr>
            <w:r w:rsidRPr="009E58F7">
              <w:t>66</w:t>
            </w:r>
            <w:r w:rsidR="00796810" w:rsidRPr="009E58F7">
              <w:rPr>
                <w:vertAlign w:val="superscript"/>
              </w:rPr>
              <w:t>d</w:t>
            </w:r>
          </w:p>
          <w:p w14:paraId="3B506F31" w14:textId="6B6E47FF" w:rsidR="00974200" w:rsidRPr="009E58F7" w:rsidRDefault="00796810" w:rsidP="007070F2">
            <w:pPr>
              <w:keepNext/>
              <w:spacing w:line="240" w:lineRule="auto"/>
              <w:contextualSpacing/>
              <w:jc w:val="center"/>
            </w:pPr>
            <w:r w:rsidRPr="009E58F7">
              <w:t>(59, 72)</w:t>
            </w:r>
          </w:p>
        </w:tc>
        <w:tc>
          <w:tcPr>
            <w:tcW w:w="992" w:type="dxa"/>
            <w:tcBorders>
              <w:top w:val="single" w:sz="8" w:space="0" w:color="auto"/>
              <w:bottom w:val="single" w:sz="8" w:space="0" w:color="auto"/>
              <w:right w:val="single" w:sz="8" w:space="0" w:color="auto"/>
            </w:tcBorders>
            <w:vAlign w:val="center"/>
          </w:tcPr>
          <w:p w14:paraId="09D6C2AC" w14:textId="760E4EC2" w:rsidR="00796810" w:rsidRPr="009E58F7" w:rsidRDefault="00974200" w:rsidP="007070F2">
            <w:pPr>
              <w:keepNext/>
              <w:spacing w:line="240" w:lineRule="auto"/>
              <w:contextualSpacing/>
              <w:jc w:val="center"/>
              <w:rPr>
                <w:vertAlign w:val="superscript"/>
              </w:rPr>
            </w:pPr>
            <w:r w:rsidRPr="009E58F7">
              <w:t>89</w:t>
            </w:r>
            <w:r w:rsidR="00796810" w:rsidRPr="009E58F7">
              <w:rPr>
                <w:vertAlign w:val="superscript"/>
              </w:rPr>
              <w:t>d</w:t>
            </w:r>
          </w:p>
          <w:p w14:paraId="17C677E8" w14:textId="0EF6FE87" w:rsidR="00974200" w:rsidRPr="009E58F7" w:rsidRDefault="00796810" w:rsidP="007070F2">
            <w:pPr>
              <w:keepNext/>
              <w:spacing w:line="240" w:lineRule="auto"/>
              <w:contextualSpacing/>
              <w:jc w:val="center"/>
            </w:pPr>
            <w:r w:rsidRPr="009E58F7">
              <w:t>(82, 95)</w:t>
            </w:r>
          </w:p>
        </w:tc>
        <w:tc>
          <w:tcPr>
            <w:tcW w:w="997" w:type="dxa"/>
            <w:tcBorders>
              <w:top w:val="single" w:sz="8" w:space="0" w:color="auto"/>
              <w:bottom w:val="single" w:sz="8" w:space="0" w:color="auto"/>
              <w:right w:val="single" w:sz="8" w:space="0" w:color="auto"/>
            </w:tcBorders>
            <w:vAlign w:val="center"/>
          </w:tcPr>
          <w:p w14:paraId="6F45649C" w14:textId="1DF057E6" w:rsidR="00796810" w:rsidRPr="009E58F7" w:rsidRDefault="00974200" w:rsidP="007070F2">
            <w:pPr>
              <w:keepNext/>
              <w:spacing w:line="240" w:lineRule="auto"/>
              <w:contextualSpacing/>
              <w:jc w:val="center"/>
              <w:rPr>
                <w:vertAlign w:val="superscript"/>
              </w:rPr>
            </w:pPr>
            <w:r w:rsidRPr="009E58F7">
              <w:t>72</w:t>
            </w:r>
            <w:r w:rsidR="00796810" w:rsidRPr="009E58F7">
              <w:rPr>
                <w:vertAlign w:val="superscript"/>
              </w:rPr>
              <w:t>d</w:t>
            </w:r>
          </w:p>
          <w:p w14:paraId="33F2AF3D" w14:textId="5431AEF4" w:rsidR="00974200" w:rsidRPr="009E58F7" w:rsidRDefault="00796810" w:rsidP="007070F2">
            <w:pPr>
              <w:keepNext/>
              <w:spacing w:line="240" w:lineRule="auto"/>
              <w:contextualSpacing/>
              <w:jc w:val="center"/>
            </w:pPr>
            <w:r w:rsidRPr="009E58F7">
              <w:t>(62, 83)</w:t>
            </w:r>
          </w:p>
        </w:tc>
        <w:tc>
          <w:tcPr>
            <w:tcW w:w="1017" w:type="dxa"/>
            <w:tcBorders>
              <w:top w:val="single" w:sz="8" w:space="0" w:color="auto"/>
              <w:bottom w:val="single" w:sz="8" w:space="0" w:color="auto"/>
              <w:right w:val="single" w:sz="8" w:space="0" w:color="auto"/>
            </w:tcBorders>
            <w:vAlign w:val="center"/>
          </w:tcPr>
          <w:p w14:paraId="3175F550" w14:textId="77777777" w:rsidR="00796810" w:rsidRPr="009E58F7" w:rsidRDefault="00974200" w:rsidP="007070F2">
            <w:pPr>
              <w:keepNext/>
              <w:spacing w:line="240" w:lineRule="auto"/>
              <w:contextualSpacing/>
              <w:jc w:val="center"/>
            </w:pPr>
            <w:r w:rsidRPr="009E58F7">
              <w:t>73</w:t>
            </w:r>
          </w:p>
          <w:p w14:paraId="0039743B" w14:textId="1550D3DC" w:rsidR="00974200" w:rsidRPr="009E58F7" w:rsidRDefault="00796810" w:rsidP="007070F2">
            <w:pPr>
              <w:keepNext/>
              <w:spacing w:line="240" w:lineRule="auto"/>
              <w:contextualSpacing/>
              <w:jc w:val="center"/>
            </w:pPr>
            <w:r w:rsidRPr="009E58F7">
              <w:t>(64, 82)</w:t>
            </w:r>
          </w:p>
        </w:tc>
        <w:tc>
          <w:tcPr>
            <w:tcW w:w="997" w:type="dxa"/>
            <w:tcBorders>
              <w:top w:val="single" w:sz="8" w:space="0" w:color="auto"/>
              <w:bottom w:val="single" w:sz="8" w:space="0" w:color="auto"/>
              <w:right w:val="single" w:sz="8" w:space="0" w:color="auto"/>
            </w:tcBorders>
            <w:vAlign w:val="center"/>
          </w:tcPr>
          <w:p w14:paraId="79F6C40B" w14:textId="77777777" w:rsidR="00796810" w:rsidRPr="009E58F7" w:rsidRDefault="00974200" w:rsidP="007070F2">
            <w:pPr>
              <w:keepNext/>
              <w:spacing w:line="240" w:lineRule="auto"/>
              <w:contextualSpacing/>
              <w:jc w:val="center"/>
            </w:pPr>
            <w:r w:rsidRPr="009E58F7">
              <w:t>62</w:t>
            </w:r>
          </w:p>
          <w:p w14:paraId="372CB055" w14:textId="0ACBDDA6" w:rsidR="00974200" w:rsidRPr="009E58F7" w:rsidRDefault="00796810" w:rsidP="007070F2">
            <w:pPr>
              <w:keepNext/>
              <w:spacing w:line="240" w:lineRule="auto"/>
              <w:contextualSpacing/>
              <w:jc w:val="center"/>
            </w:pPr>
            <w:r w:rsidRPr="009E58F7">
              <w:t>(53, 71)</w:t>
            </w:r>
          </w:p>
        </w:tc>
        <w:tc>
          <w:tcPr>
            <w:tcW w:w="1242" w:type="dxa"/>
            <w:tcBorders>
              <w:top w:val="single" w:sz="8" w:space="0" w:color="auto"/>
              <w:bottom w:val="single" w:sz="8" w:space="0" w:color="auto"/>
              <w:right w:val="single" w:sz="8" w:space="0" w:color="auto"/>
            </w:tcBorders>
            <w:vAlign w:val="center"/>
          </w:tcPr>
          <w:p w14:paraId="48758FDC" w14:textId="3A80CF77" w:rsidR="00974200" w:rsidRPr="009E58F7" w:rsidRDefault="00796810" w:rsidP="007070F2">
            <w:pPr>
              <w:keepNext/>
              <w:spacing w:line="240" w:lineRule="auto"/>
              <w:contextualSpacing/>
              <w:jc w:val="center"/>
            </w:pPr>
            <w:r w:rsidRPr="009E58F7">
              <w:t>60</w:t>
            </w:r>
          </w:p>
        </w:tc>
        <w:tc>
          <w:tcPr>
            <w:tcW w:w="40" w:type="dxa"/>
            <w:gridSpan w:val="2"/>
            <w:tcBorders>
              <w:left w:val="single" w:sz="8" w:space="0" w:color="auto"/>
            </w:tcBorders>
            <w:vAlign w:val="bottom"/>
          </w:tcPr>
          <w:p w14:paraId="611CD11F" w14:textId="77777777" w:rsidR="00974200" w:rsidRPr="009E58F7" w:rsidRDefault="00974200" w:rsidP="007070F2">
            <w:pPr>
              <w:keepNext/>
              <w:spacing w:line="240" w:lineRule="auto"/>
              <w:contextualSpacing/>
              <w:jc w:val="both"/>
            </w:pPr>
          </w:p>
        </w:tc>
      </w:tr>
      <w:tr w:rsidR="00133EB1" w:rsidRPr="009E58F7" w14:paraId="2EBA6D10" w14:textId="77777777" w:rsidTr="00091B1A">
        <w:trPr>
          <w:gridAfter w:val="1"/>
          <w:wAfter w:w="10" w:type="dxa"/>
          <w:trHeight w:val="189"/>
        </w:trPr>
        <w:tc>
          <w:tcPr>
            <w:tcW w:w="2054" w:type="dxa"/>
            <w:vMerge w:val="restart"/>
            <w:tcBorders>
              <w:top w:val="single" w:sz="8" w:space="0" w:color="auto"/>
              <w:left w:val="single" w:sz="8" w:space="0" w:color="auto"/>
              <w:right w:val="single" w:sz="8" w:space="0" w:color="auto"/>
            </w:tcBorders>
            <w:vAlign w:val="bottom"/>
          </w:tcPr>
          <w:p w14:paraId="1FB9FBC2" w14:textId="77777777" w:rsidR="00133EB1" w:rsidRPr="009E58F7" w:rsidRDefault="00133EB1" w:rsidP="007070F2">
            <w:pPr>
              <w:keepNext/>
              <w:spacing w:line="240" w:lineRule="auto"/>
              <w:contextualSpacing/>
              <w:jc w:val="both"/>
              <w:rPr>
                <w:b/>
                <w:bCs/>
              </w:rPr>
            </w:pPr>
            <w:r w:rsidRPr="009E58F7">
              <w:rPr>
                <w:b/>
                <w:bCs/>
              </w:rPr>
              <w:t>Legjobb terápiás</w:t>
            </w:r>
          </w:p>
          <w:p w14:paraId="6ABD19B1" w14:textId="3CFC15C5" w:rsidR="00133EB1" w:rsidRPr="009E58F7" w:rsidRDefault="00133EB1" w:rsidP="007070F2">
            <w:pPr>
              <w:keepNext/>
              <w:spacing w:line="240" w:lineRule="auto"/>
              <w:contextualSpacing/>
              <w:jc w:val="both"/>
              <w:rPr>
                <w:b/>
                <w:bCs/>
              </w:rPr>
            </w:pPr>
            <w:r w:rsidRPr="009E58F7">
              <w:rPr>
                <w:b/>
                <w:bCs/>
              </w:rPr>
              <w:t>válasz (%)</w:t>
            </w:r>
          </w:p>
        </w:tc>
        <w:tc>
          <w:tcPr>
            <w:tcW w:w="1060" w:type="dxa"/>
            <w:vMerge w:val="restart"/>
            <w:tcBorders>
              <w:top w:val="single" w:sz="8" w:space="0" w:color="auto"/>
              <w:right w:val="single" w:sz="8" w:space="0" w:color="auto"/>
            </w:tcBorders>
            <w:vAlign w:val="center"/>
          </w:tcPr>
          <w:p w14:paraId="0354AD9B" w14:textId="77777777" w:rsidR="00133EB1" w:rsidRPr="009E58F7" w:rsidRDefault="00133EB1" w:rsidP="007070F2">
            <w:pPr>
              <w:keepNext/>
              <w:spacing w:line="240" w:lineRule="auto"/>
              <w:contextualSpacing/>
              <w:jc w:val="center"/>
              <w:rPr>
                <w:b/>
                <w:bCs/>
              </w:rPr>
            </w:pPr>
            <w:r w:rsidRPr="009E58F7">
              <w:rPr>
                <w:b/>
                <w:bCs/>
              </w:rPr>
              <w:t>Bz</w:t>
            </w:r>
          </w:p>
          <w:p w14:paraId="738F962E" w14:textId="6294B3FA" w:rsidR="00133EB1" w:rsidRPr="009E58F7" w:rsidRDefault="00133EB1" w:rsidP="007070F2">
            <w:pPr>
              <w:keepNext/>
              <w:spacing w:line="240" w:lineRule="auto"/>
              <w:contextualSpacing/>
              <w:jc w:val="center"/>
              <w:rPr>
                <w:b/>
                <w:bCs/>
              </w:rPr>
            </w:pPr>
            <w:r w:rsidRPr="009E58F7">
              <w:rPr>
                <w:b/>
                <w:bCs/>
              </w:rPr>
              <w:t>n = 315</w:t>
            </w:r>
            <w:r w:rsidRPr="009E58F7">
              <w:rPr>
                <w:rFonts w:ascii="Times" w:hAnsi="Times"/>
                <w:b/>
                <w:bCs/>
                <w:vertAlign w:val="superscript"/>
              </w:rPr>
              <w:t>c</w:t>
            </w:r>
          </w:p>
        </w:tc>
        <w:tc>
          <w:tcPr>
            <w:tcW w:w="992" w:type="dxa"/>
            <w:vMerge w:val="restart"/>
            <w:tcBorders>
              <w:top w:val="single" w:sz="8" w:space="0" w:color="auto"/>
              <w:right w:val="single" w:sz="8" w:space="0" w:color="auto"/>
            </w:tcBorders>
            <w:vAlign w:val="center"/>
          </w:tcPr>
          <w:p w14:paraId="38A93211" w14:textId="77777777" w:rsidR="00133EB1" w:rsidRPr="009E58F7" w:rsidRDefault="00133EB1" w:rsidP="007070F2">
            <w:pPr>
              <w:keepNext/>
              <w:spacing w:line="240" w:lineRule="auto"/>
              <w:contextualSpacing/>
              <w:jc w:val="center"/>
              <w:rPr>
                <w:b/>
                <w:bCs/>
              </w:rPr>
            </w:pPr>
            <w:r w:rsidRPr="009E58F7">
              <w:rPr>
                <w:b/>
                <w:bCs/>
              </w:rPr>
              <w:t>Dex</w:t>
            </w:r>
          </w:p>
          <w:p w14:paraId="66815EB7" w14:textId="4DF2988E" w:rsidR="00133EB1" w:rsidRPr="009E58F7" w:rsidRDefault="00133EB1" w:rsidP="007070F2">
            <w:pPr>
              <w:keepNext/>
              <w:spacing w:line="240" w:lineRule="auto"/>
              <w:contextualSpacing/>
              <w:jc w:val="center"/>
              <w:rPr>
                <w:b/>
                <w:bCs/>
              </w:rPr>
            </w:pPr>
            <w:r w:rsidRPr="009E58F7">
              <w:rPr>
                <w:b/>
                <w:bCs/>
              </w:rPr>
              <w:t>n = 312</w:t>
            </w:r>
            <w:r w:rsidRPr="009E58F7">
              <w:rPr>
                <w:rFonts w:ascii="Times" w:hAnsi="Times"/>
                <w:b/>
                <w:bCs/>
                <w:vertAlign w:val="superscript"/>
              </w:rPr>
              <w:t>c</w:t>
            </w:r>
            <w:r w:rsidRPr="009E58F7" w:rsidDel="00796810">
              <w:rPr>
                <w:b/>
                <w:bCs/>
              </w:rPr>
              <w:t xml:space="preserve"> </w:t>
            </w:r>
          </w:p>
        </w:tc>
        <w:tc>
          <w:tcPr>
            <w:tcW w:w="992" w:type="dxa"/>
            <w:vMerge w:val="restart"/>
            <w:tcBorders>
              <w:top w:val="single" w:sz="8" w:space="0" w:color="auto"/>
              <w:right w:val="single" w:sz="8" w:space="0" w:color="auto"/>
            </w:tcBorders>
            <w:vAlign w:val="center"/>
          </w:tcPr>
          <w:p w14:paraId="756FB2CA" w14:textId="77777777" w:rsidR="00133EB1" w:rsidRPr="009E58F7" w:rsidRDefault="00133EB1" w:rsidP="007070F2">
            <w:pPr>
              <w:keepNext/>
              <w:spacing w:line="240" w:lineRule="auto"/>
              <w:contextualSpacing/>
              <w:jc w:val="center"/>
              <w:rPr>
                <w:b/>
                <w:bCs/>
              </w:rPr>
            </w:pPr>
            <w:r w:rsidRPr="009E58F7">
              <w:rPr>
                <w:b/>
                <w:bCs/>
              </w:rPr>
              <w:t>Bz</w:t>
            </w:r>
          </w:p>
          <w:p w14:paraId="0C1B8400" w14:textId="592ADC41" w:rsidR="00133EB1" w:rsidRPr="009E58F7" w:rsidRDefault="00133EB1" w:rsidP="007070F2">
            <w:pPr>
              <w:keepNext/>
              <w:spacing w:line="240" w:lineRule="auto"/>
              <w:contextualSpacing/>
              <w:jc w:val="center"/>
              <w:rPr>
                <w:b/>
                <w:bCs/>
              </w:rPr>
            </w:pPr>
            <w:r w:rsidRPr="009E58F7">
              <w:rPr>
                <w:b/>
                <w:bCs/>
              </w:rPr>
              <w:t>n = 128</w:t>
            </w:r>
          </w:p>
        </w:tc>
        <w:tc>
          <w:tcPr>
            <w:tcW w:w="997" w:type="dxa"/>
            <w:vMerge w:val="restart"/>
            <w:tcBorders>
              <w:top w:val="single" w:sz="8" w:space="0" w:color="auto"/>
              <w:right w:val="single" w:sz="8" w:space="0" w:color="auto"/>
            </w:tcBorders>
            <w:vAlign w:val="center"/>
          </w:tcPr>
          <w:p w14:paraId="2DDB177B" w14:textId="77777777" w:rsidR="00133EB1" w:rsidRPr="009E58F7" w:rsidRDefault="00133EB1" w:rsidP="007070F2">
            <w:pPr>
              <w:keepNext/>
              <w:spacing w:line="240" w:lineRule="auto"/>
              <w:contextualSpacing/>
              <w:jc w:val="center"/>
              <w:rPr>
                <w:b/>
                <w:bCs/>
              </w:rPr>
            </w:pPr>
            <w:r w:rsidRPr="009E58F7">
              <w:rPr>
                <w:b/>
                <w:bCs/>
              </w:rPr>
              <w:t>Dex</w:t>
            </w:r>
          </w:p>
          <w:p w14:paraId="16A3AE99" w14:textId="49208E18" w:rsidR="00133EB1" w:rsidRPr="009E58F7" w:rsidRDefault="00133EB1" w:rsidP="007070F2">
            <w:pPr>
              <w:keepNext/>
              <w:spacing w:line="240" w:lineRule="auto"/>
              <w:contextualSpacing/>
              <w:jc w:val="center"/>
              <w:rPr>
                <w:b/>
                <w:bCs/>
              </w:rPr>
            </w:pPr>
            <w:r w:rsidRPr="009E58F7">
              <w:rPr>
                <w:b/>
                <w:bCs/>
              </w:rPr>
              <w:t>n = 110</w:t>
            </w:r>
          </w:p>
        </w:tc>
        <w:tc>
          <w:tcPr>
            <w:tcW w:w="1017" w:type="dxa"/>
            <w:vMerge w:val="restart"/>
            <w:tcBorders>
              <w:top w:val="single" w:sz="8" w:space="0" w:color="auto"/>
              <w:right w:val="single" w:sz="8" w:space="0" w:color="auto"/>
            </w:tcBorders>
            <w:vAlign w:val="center"/>
          </w:tcPr>
          <w:p w14:paraId="51A167FF" w14:textId="77777777" w:rsidR="00133EB1" w:rsidRPr="009E58F7" w:rsidRDefault="00133EB1" w:rsidP="007070F2">
            <w:pPr>
              <w:keepNext/>
              <w:spacing w:line="240" w:lineRule="auto"/>
              <w:contextualSpacing/>
              <w:jc w:val="center"/>
              <w:rPr>
                <w:b/>
                <w:bCs/>
              </w:rPr>
            </w:pPr>
            <w:r w:rsidRPr="009E58F7">
              <w:rPr>
                <w:b/>
                <w:bCs/>
              </w:rPr>
              <w:t>Bz</w:t>
            </w:r>
          </w:p>
          <w:p w14:paraId="206DD8B5" w14:textId="381F8EF5" w:rsidR="00133EB1" w:rsidRPr="009E58F7" w:rsidRDefault="00133EB1" w:rsidP="007070F2">
            <w:pPr>
              <w:keepNext/>
              <w:spacing w:line="240" w:lineRule="auto"/>
              <w:contextualSpacing/>
              <w:jc w:val="center"/>
              <w:rPr>
                <w:b/>
                <w:bCs/>
              </w:rPr>
            </w:pPr>
            <w:r w:rsidRPr="009E58F7">
              <w:rPr>
                <w:b/>
                <w:bCs/>
              </w:rPr>
              <w:t>n = 187</w:t>
            </w:r>
          </w:p>
        </w:tc>
        <w:tc>
          <w:tcPr>
            <w:tcW w:w="997" w:type="dxa"/>
            <w:vMerge w:val="restart"/>
            <w:tcBorders>
              <w:top w:val="single" w:sz="8" w:space="0" w:color="auto"/>
              <w:right w:val="single" w:sz="8" w:space="0" w:color="auto"/>
            </w:tcBorders>
            <w:vAlign w:val="center"/>
          </w:tcPr>
          <w:p w14:paraId="60A48611" w14:textId="77777777" w:rsidR="00133EB1" w:rsidRPr="009E58F7" w:rsidRDefault="00133EB1" w:rsidP="007070F2">
            <w:pPr>
              <w:keepNext/>
              <w:spacing w:line="240" w:lineRule="auto"/>
              <w:contextualSpacing/>
              <w:jc w:val="center"/>
              <w:rPr>
                <w:b/>
                <w:bCs/>
              </w:rPr>
            </w:pPr>
            <w:r w:rsidRPr="009E58F7">
              <w:rPr>
                <w:b/>
                <w:bCs/>
              </w:rPr>
              <w:t>Dex</w:t>
            </w:r>
          </w:p>
          <w:p w14:paraId="311F6947" w14:textId="22B81D3C" w:rsidR="00133EB1" w:rsidRPr="009E58F7" w:rsidRDefault="00133EB1" w:rsidP="007070F2">
            <w:pPr>
              <w:keepNext/>
              <w:spacing w:line="240" w:lineRule="auto"/>
              <w:contextualSpacing/>
              <w:jc w:val="center"/>
              <w:rPr>
                <w:b/>
                <w:bCs/>
              </w:rPr>
            </w:pPr>
            <w:r w:rsidRPr="009E58F7">
              <w:rPr>
                <w:b/>
                <w:bCs/>
              </w:rPr>
              <w:t>n = 202</w:t>
            </w:r>
          </w:p>
        </w:tc>
        <w:tc>
          <w:tcPr>
            <w:tcW w:w="1242" w:type="dxa"/>
            <w:vMerge w:val="restart"/>
            <w:tcBorders>
              <w:top w:val="single" w:sz="8" w:space="0" w:color="auto"/>
              <w:right w:val="single" w:sz="8" w:space="0" w:color="auto"/>
            </w:tcBorders>
            <w:vAlign w:val="center"/>
          </w:tcPr>
          <w:p w14:paraId="37ED28EF" w14:textId="77777777" w:rsidR="00133EB1" w:rsidRPr="009E58F7" w:rsidRDefault="00133EB1" w:rsidP="007070F2">
            <w:pPr>
              <w:keepNext/>
              <w:spacing w:line="240" w:lineRule="auto"/>
              <w:contextualSpacing/>
              <w:jc w:val="center"/>
              <w:rPr>
                <w:b/>
                <w:bCs/>
              </w:rPr>
            </w:pPr>
            <w:r w:rsidRPr="009E58F7">
              <w:rPr>
                <w:b/>
                <w:bCs/>
              </w:rPr>
              <w:t>Bz</w:t>
            </w:r>
          </w:p>
          <w:p w14:paraId="1D169440" w14:textId="2048185E" w:rsidR="00133EB1" w:rsidRPr="009E58F7" w:rsidRDefault="00133EB1" w:rsidP="007070F2">
            <w:pPr>
              <w:keepNext/>
              <w:spacing w:line="240" w:lineRule="auto"/>
              <w:contextualSpacing/>
              <w:jc w:val="center"/>
              <w:rPr>
                <w:b/>
                <w:bCs/>
              </w:rPr>
            </w:pPr>
            <w:r w:rsidRPr="009E58F7">
              <w:rPr>
                <w:b/>
                <w:bCs/>
              </w:rPr>
              <w:t>n = 193</w:t>
            </w:r>
          </w:p>
        </w:tc>
        <w:tc>
          <w:tcPr>
            <w:tcW w:w="30" w:type="dxa"/>
            <w:tcBorders>
              <w:left w:val="single" w:sz="8" w:space="0" w:color="auto"/>
            </w:tcBorders>
            <w:vAlign w:val="bottom"/>
          </w:tcPr>
          <w:p w14:paraId="06420B5C" w14:textId="77777777" w:rsidR="00133EB1" w:rsidRPr="009E58F7" w:rsidRDefault="00133EB1" w:rsidP="007070F2">
            <w:pPr>
              <w:keepNext/>
              <w:spacing w:line="240" w:lineRule="auto"/>
              <w:contextualSpacing/>
              <w:jc w:val="both"/>
            </w:pPr>
          </w:p>
        </w:tc>
      </w:tr>
      <w:tr w:rsidR="00133EB1" w:rsidRPr="009E58F7" w14:paraId="339776D4" w14:textId="77777777" w:rsidTr="00091B1A">
        <w:trPr>
          <w:gridAfter w:val="1"/>
          <w:wAfter w:w="10" w:type="dxa"/>
          <w:trHeight w:val="220"/>
        </w:trPr>
        <w:tc>
          <w:tcPr>
            <w:tcW w:w="2054" w:type="dxa"/>
            <w:vMerge/>
            <w:tcBorders>
              <w:left w:val="single" w:sz="8" w:space="0" w:color="auto"/>
              <w:bottom w:val="single" w:sz="8" w:space="0" w:color="auto"/>
              <w:right w:val="single" w:sz="8" w:space="0" w:color="auto"/>
            </w:tcBorders>
            <w:vAlign w:val="bottom"/>
          </w:tcPr>
          <w:p w14:paraId="40F6D1D5" w14:textId="3F404593" w:rsidR="00133EB1" w:rsidRPr="009E58F7" w:rsidRDefault="00133EB1" w:rsidP="007070F2">
            <w:pPr>
              <w:keepNext/>
              <w:spacing w:line="240" w:lineRule="auto"/>
              <w:contextualSpacing/>
              <w:jc w:val="both"/>
              <w:rPr>
                <w:b/>
                <w:bCs/>
              </w:rPr>
            </w:pPr>
          </w:p>
        </w:tc>
        <w:tc>
          <w:tcPr>
            <w:tcW w:w="1060" w:type="dxa"/>
            <w:vMerge/>
            <w:tcBorders>
              <w:bottom w:val="single" w:sz="8" w:space="0" w:color="auto"/>
              <w:right w:val="single" w:sz="8" w:space="0" w:color="auto"/>
            </w:tcBorders>
            <w:vAlign w:val="center"/>
          </w:tcPr>
          <w:p w14:paraId="57DCBC1B" w14:textId="24AC5C11" w:rsidR="00133EB1" w:rsidRPr="009E58F7" w:rsidRDefault="00133EB1" w:rsidP="007070F2">
            <w:pPr>
              <w:keepNext/>
              <w:spacing w:line="240" w:lineRule="auto"/>
              <w:contextualSpacing/>
              <w:jc w:val="center"/>
              <w:rPr>
                <w:b/>
                <w:bCs/>
              </w:rPr>
            </w:pPr>
          </w:p>
        </w:tc>
        <w:tc>
          <w:tcPr>
            <w:tcW w:w="992" w:type="dxa"/>
            <w:vMerge/>
            <w:tcBorders>
              <w:bottom w:val="single" w:sz="8" w:space="0" w:color="auto"/>
              <w:right w:val="single" w:sz="8" w:space="0" w:color="auto"/>
            </w:tcBorders>
            <w:vAlign w:val="center"/>
          </w:tcPr>
          <w:p w14:paraId="4A294EF2" w14:textId="494D61AE" w:rsidR="00133EB1" w:rsidRPr="009E58F7" w:rsidRDefault="00133EB1" w:rsidP="007070F2">
            <w:pPr>
              <w:keepNext/>
              <w:spacing w:line="240" w:lineRule="auto"/>
              <w:contextualSpacing/>
              <w:jc w:val="center"/>
              <w:rPr>
                <w:b/>
                <w:bCs/>
              </w:rPr>
            </w:pPr>
          </w:p>
        </w:tc>
        <w:tc>
          <w:tcPr>
            <w:tcW w:w="992" w:type="dxa"/>
            <w:vMerge/>
            <w:tcBorders>
              <w:bottom w:val="single" w:sz="8" w:space="0" w:color="auto"/>
              <w:right w:val="single" w:sz="8" w:space="0" w:color="auto"/>
            </w:tcBorders>
            <w:vAlign w:val="center"/>
          </w:tcPr>
          <w:p w14:paraId="2DC66C69" w14:textId="28EF0A6D" w:rsidR="00133EB1" w:rsidRPr="009E58F7" w:rsidRDefault="00133EB1" w:rsidP="007070F2">
            <w:pPr>
              <w:keepNext/>
              <w:spacing w:line="240" w:lineRule="auto"/>
              <w:contextualSpacing/>
              <w:jc w:val="center"/>
              <w:rPr>
                <w:b/>
                <w:bCs/>
              </w:rPr>
            </w:pPr>
          </w:p>
        </w:tc>
        <w:tc>
          <w:tcPr>
            <w:tcW w:w="997" w:type="dxa"/>
            <w:vMerge/>
            <w:tcBorders>
              <w:bottom w:val="single" w:sz="8" w:space="0" w:color="auto"/>
              <w:right w:val="single" w:sz="8" w:space="0" w:color="auto"/>
            </w:tcBorders>
            <w:vAlign w:val="center"/>
          </w:tcPr>
          <w:p w14:paraId="3039D176" w14:textId="13BBFCBA" w:rsidR="00133EB1" w:rsidRPr="009E58F7" w:rsidRDefault="00133EB1" w:rsidP="007070F2">
            <w:pPr>
              <w:keepNext/>
              <w:spacing w:line="240" w:lineRule="auto"/>
              <w:contextualSpacing/>
              <w:jc w:val="center"/>
              <w:rPr>
                <w:b/>
                <w:bCs/>
              </w:rPr>
            </w:pPr>
          </w:p>
        </w:tc>
        <w:tc>
          <w:tcPr>
            <w:tcW w:w="1017" w:type="dxa"/>
            <w:vMerge/>
            <w:tcBorders>
              <w:bottom w:val="single" w:sz="8" w:space="0" w:color="auto"/>
              <w:right w:val="single" w:sz="8" w:space="0" w:color="auto"/>
            </w:tcBorders>
            <w:vAlign w:val="center"/>
          </w:tcPr>
          <w:p w14:paraId="35256320" w14:textId="7056EBCF" w:rsidR="00133EB1" w:rsidRPr="009E58F7" w:rsidRDefault="00133EB1" w:rsidP="007070F2">
            <w:pPr>
              <w:keepNext/>
              <w:spacing w:line="240" w:lineRule="auto"/>
              <w:contextualSpacing/>
              <w:jc w:val="center"/>
              <w:rPr>
                <w:b/>
                <w:bCs/>
              </w:rPr>
            </w:pPr>
          </w:p>
        </w:tc>
        <w:tc>
          <w:tcPr>
            <w:tcW w:w="997" w:type="dxa"/>
            <w:vMerge/>
            <w:tcBorders>
              <w:bottom w:val="single" w:sz="8" w:space="0" w:color="auto"/>
              <w:right w:val="single" w:sz="8" w:space="0" w:color="auto"/>
            </w:tcBorders>
            <w:vAlign w:val="center"/>
          </w:tcPr>
          <w:p w14:paraId="7658927F" w14:textId="14D23E16" w:rsidR="00133EB1" w:rsidRPr="009E58F7" w:rsidRDefault="00133EB1" w:rsidP="007070F2">
            <w:pPr>
              <w:keepNext/>
              <w:spacing w:line="240" w:lineRule="auto"/>
              <w:contextualSpacing/>
              <w:jc w:val="center"/>
              <w:rPr>
                <w:b/>
                <w:bCs/>
              </w:rPr>
            </w:pPr>
          </w:p>
        </w:tc>
        <w:tc>
          <w:tcPr>
            <w:tcW w:w="1242" w:type="dxa"/>
            <w:vMerge/>
            <w:tcBorders>
              <w:bottom w:val="single" w:sz="8" w:space="0" w:color="auto"/>
              <w:right w:val="single" w:sz="8" w:space="0" w:color="auto"/>
            </w:tcBorders>
            <w:vAlign w:val="center"/>
          </w:tcPr>
          <w:p w14:paraId="3EF9041A" w14:textId="5565A80F" w:rsidR="00133EB1" w:rsidRPr="009E58F7" w:rsidRDefault="00133EB1" w:rsidP="007070F2">
            <w:pPr>
              <w:keepNext/>
              <w:spacing w:line="240" w:lineRule="auto"/>
              <w:contextualSpacing/>
              <w:jc w:val="center"/>
              <w:rPr>
                <w:b/>
                <w:bCs/>
              </w:rPr>
            </w:pPr>
          </w:p>
        </w:tc>
        <w:tc>
          <w:tcPr>
            <w:tcW w:w="30" w:type="dxa"/>
            <w:tcBorders>
              <w:left w:val="single" w:sz="8" w:space="0" w:color="auto"/>
            </w:tcBorders>
            <w:vAlign w:val="bottom"/>
          </w:tcPr>
          <w:p w14:paraId="721F3DEC" w14:textId="77777777" w:rsidR="00133EB1" w:rsidRPr="009E58F7" w:rsidRDefault="00133EB1" w:rsidP="007070F2">
            <w:pPr>
              <w:keepNext/>
              <w:spacing w:line="240" w:lineRule="auto"/>
              <w:contextualSpacing/>
              <w:jc w:val="both"/>
            </w:pPr>
          </w:p>
        </w:tc>
      </w:tr>
      <w:tr w:rsidR="00974200" w:rsidRPr="009E58F7" w14:paraId="675B8D62" w14:textId="77777777" w:rsidTr="00E64005">
        <w:trPr>
          <w:gridAfter w:val="1"/>
          <w:wAfter w:w="10" w:type="dxa"/>
          <w:trHeight w:val="206"/>
        </w:trPr>
        <w:tc>
          <w:tcPr>
            <w:tcW w:w="2054" w:type="dxa"/>
            <w:tcBorders>
              <w:top w:val="single" w:sz="8" w:space="0" w:color="auto"/>
              <w:left w:val="single" w:sz="8" w:space="0" w:color="auto"/>
              <w:bottom w:val="single" w:sz="8" w:space="0" w:color="auto"/>
              <w:right w:val="single" w:sz="8" w:space="0" w:color="auto"/>
            </w:tcBorders>
            <w:vAlign w:val="bottom"/>
          </w:tcPr>
          <w:p w14:paraId="54B672AA" w14:textId="77777777" w:rsidR="00974200" w:rsidRPr="009E58F7" w:rsidRDefault="00974200" w:rsidP="00D7256D">
            <w:pPr>
              <w:keepNext/>
              <w:spacing w:line="240" w:lineRule="auto"/>
              <w:contextualSpacing/>
            </w:pPr>
            <w:r w:rsidRPr="009E58F7">
              <w:t>CR</w:t>
            </w:r>
          </w:p>
        </w:tc>
        <w:tc>
          <w:tcPr>
            <w:tcW w:w="1060" w:type="dxa"/>
            <w:tcBorders>
              <w:top w:val="single" w:sz="8" w:space="0" w:color="auto"/>
              <w:bottom w:val="single" w:sz="8" w:space="0" w:color="auto"/>
              <w:right w:val="single" w:sz="8" w:space="0" w:color="auto"/>
            </w:tcBorders>
            <w:vAlign w:val="center"/>
          </w:tcPr>
          <w:p w14:paraId="7659C0D1" w14:textId="77777777" w:rsidR="00974200" w:rsidRPr="009E58F7" w:rsidRDefault="00974200" w:rsidP="007070F2">
            <w:pPr>
              <w:keepNext/>
              <w:spacing w:line="240" w:lineRule="auto"/>
              <w:contextualSpacing/>
              <w:jc w:val="center"/>
            </w:pPr>
            <w:r w:rsidRPr="009E58F7">
              <w:t>20 (6)</w:t>
            </w:r>
            <w:r w:rsidRPr="009E58F7">
              <w:rPr>
                <w:vertAlign w:val="superscript"/>
              </w:rPr>
              <w:t>b</w:t>
            </w:r>
          </w:p>
        </w:tc>
        <w:tc>
          <w:tcPr>
            <w:tcW w:w="992" w:type="dxa"/>
            <w:tcBorders>
              <w:top w:val="single" w:sz="8" w:space="0" w:color="auto"/>
              <w:bottom w:val="single" w:sz="8" w:space="0" w:color="auto"/>
              <w:right w:val="single" w:sz="8" w:space="0" w:color="auto"/>
            </w:tcBorders>
            <w:vAlign w:val="center"/>
          </w:tcPr>
          <w:p w14:paraId="6C4702B1" w14:textId="02ACBCF3" w:rsidR="00974200" w:rsidRPr="009E58F7" w:rsidRDefault="00974200" w:rsidP="007070F2">
            <w:pPr>
              <w:keepNext/>
              <w:spacing w:line="240" w:lineRule="auto"/>
              <w:contextualSpacing/>
              <w:jc w:val="center"/>
            </w:pPr>
            <w:r w:rsidRPr="009E58F7">
              <w:rPr>
                <w:w w:val="98"/>
              </w:rPr>
              <w:t>2 (&lt;</w:t>
            </w:r>
            <w:r w:rsidR="00796810" w:rsidRPr="009E58F7">
              <w:rPr>
                <w:w w:val="98"/>
              </w:rPr>
              <w:t> </w:t>
            </w:r>
            <w:r w:rsidRPr="009E58F7">
              <w:rPr>
                <w:w w:val="98"/>
              </w:rPr>
              <w:t>1)</w:t>
            </w:r>
            <w:r w:rsidRPr="009E58F7">
              <w:rPr>
                <w:w w:val="98"/>
                <w:vertAlign w:val="superscript"/>
              </w:rPr>
              <w:t>b</w:t>
            </w:r>
          </w:p>
        </w:tc>
        <w:tc>
          <w:tcPr>
            <w:tcW w:w="992" w:type="dxa"/>
            <w:tcBorders>
              <w:top w:val="single" w:sz="8" w:space="0" w:color="auto"/>
              <w:bottom w:val="single" w:sz="8" w:space="0" w:color="auto"/>
              <w:right w:val="single" w:sz="8" w:space="0" w:color="auto"/>
            </w:tcBorders>
            <w:vAlign w:val="center"/>
          </w:tcPr>
          <w:p w14:paraId="7B3F285F" w14:textId="77777777" w:rsidR="00974200" w:rsidRPr="009E58F7" w:rsidRDefault="00974200" w:rsidP="007070F2">
            <w:pPr>
              <w:keepNext/>
              <w:spacing w:line="240" w:lineRule="auto"/>
              <w:contextualSpacing/>
              <w:jc w:val="center"/>
            </w:pPr>
            <w:r w:rsidRPr="009E58F7">
              <w:rPr>
                <w:w w:val="98"/>
              </w:rPr>
              <w:t>8 (6)</w:t>
            </w:r>
          </w:p>
        </w:tc>
        <w:tc>
          <w:tcPr>
            <w:tcW w:w="997" w:type="dxa"/>
            <w:tcBorders>
              <w:top w:val="single" w:sz="8" w:space="0" w:color="auto"/>
              <w:bottom w:val="single" w:sz="8" w:space="0" w:color="auto"/>
              <w:right w:val="single" w:sz="8" w:space="0" w:color="auto"/>
            </w:tcBorders>
            <w:vAlign w:val="center"/>
          </w:tcPr>
          <w:p w14:paraId="40FCD041" w14:textId="77777777" w:rsidR="00974200" w:rsidRPr="009E58F7" w:rsidRDefault="00974200" w:rsidP="007070F2">
            <w:pPr>
              <w:keepNext/>
              <w:spacing w:line="240" w:lineRule="auto"/>
              <w:contextualSpacing/>
              <w:jc w:val="center"/>
            </w:pPr>
            <w:r w:rsidRPr="009E58F7">
              <w:rPr>
                <w:w w:val="98"/>
              </w:rPr>
              <w:t>2 (2)</w:t>
            </w:r>
          </w:p>
        </w:tc>
        <w:tc>
          <w:tcPr>
            <w:tcW w:w="1017" w:type="dxa"/>
            <w:tcBorders>
              <w:top w:val="single" w:sz="8" w:space="0" w:color="auto"/>
              <w:bottom w:val="single" w:sz="8" w:space="0" w:color="auto"/>
              <w:right w:val="single" w:sz="8" w:space="0" w:color="auto"/>
            </w:tcBorders>
            <w:vAlign w:val="center"/>
          </w:tcPr>
          <w:p w14:paraId="3DCE1E50" w14:textId="77777777" w:rsidR="00974200" w:rsidRPr="009E58F7" w:rsidRDefault="00974200" w:rsidP="007070F2">
            <w:pPr>
              <w:keepNext/>
              <w:spacing w:line="240" w:lineRule="auto"/>
              <w:contextualSpacing/>
              <w:jc w:val="center"/>
            </w:pPr>
            <w:r w:rsidRPr="009E58F7">
              <w:t>12 (6)</w:t>
            </w:r>
          </w:p>
        </w:tc>
        <w:tc>
          <w:tcPr>
            <w:tcW w:w="997" w:type="dxa"/>
            <w:tcBorders>
              <w:top w:val="single" w:sz="8" w:space="0" w:color="auto"/>
              <w:bottom w:val="single" w:sz="8" w:space="0" w:color="auto"/>
              <w:right w:val="single" w:sz="8" w:space="0" w:color="auto"/>
            </w:tcBorders>
            <w:vAlign w:val="center"/>
          </w:tcPr>
          <w:p w14:paraId="276DAE98" w14:textId="77777777" w:rsidR="00974200" w:rsidRPr="009E58F7" w:rsidRDefault="00974200" w:rsidP="007070F2">
            <w:pPr>
              <w:keepNext/>
              <w:spacing w:line="240" w:lineRule="auto"/>
              <w:contextualSpacing/>
              <w:jc w:val="center"/>
            </w:pPr>
            <w:r w:rsidRPr="009E58F7">
              <w:rPr>
                <w:w w:val="98"/>
              </w:rPr>
              <w:t>0 (0)</w:t>
            </w:r>
          </w:p>
        </w:tc>
        <w:tc>
          <w:tcPr>
            <w:tcW w:w="1242" w:type="dxa"/>
            <w:tcBorders>
              <w:top w:val="single" w:sz="8" w:space="0" w:color="auto"/>
              <w:bottom w:val="single" w:sz="8" w:space="0" w:color="auto"/>
              <w:right w:val="single" w:sz="8" w:space="0" w:color="auto"/>
            </w:tcBorders>
            <w:vAlign w:val="center"/>
          </w:tcPr>
          <w:p w14:paraId="35CFB44B" w14:textId="77777777" w:rsidR="00974200" w:rsidRPr="009E58F7" w:rsidRDefault="00974200" w:rsidP="007070F2">
            <w:pPr>
              <w:keepNext/>
              <w:spacing w:line="240" w:lineRule="auto"/>
              <w:contextualSpacing/>
              <w:jc w:val="center"/>
            </w:pPr>
            <w:r w:rsidRPr="009E58F7">
              <w:rPr>
                <w:w w:val="97"/>
              </w:rPr>
              <w:t>(4)**</w:t>
            </w:r>
          </w:p>
        </w:tc>
        <w:tc>
          <w:tcPr>
            <w:tcW w:w="30" w:type="dxa"/>
            <w:tcBorders>
              <w:left w:val="single" w:sz="8" w:space="0" w:color="auto"/>
            </w:tcBorders>
            <w:vAlign w:val="bottom"/>
          </w:tcPr>
          <w:p w14:paraId="7C446820" w14:textId="77777777" w:rsidR="00974200" w:rsidRPr="009E58F7" w:rsidRDefault="00974200" w:rsidP="007070F2">
            <w:pPr>
              <w:keepNext/>
              <w:spacing w:line="240" w:lineRule="auto"/>
              <w:contextualSpacing/>
              <w:jc w:val="both"/>
            </w:pPr>
          </w:p>
        </w:tc>
      </w:tr>
      <w:tr w:rsidR="00974200" w:rsidRPr="009E58F7" w14:paraId="6A368658" w14:textId="77777777" w:rsidTr="00E64005">
        <w:trPr>
          <w:gridAfter w:val="1"/>
          <w:wAfter w:w="10" w:type="dxa"/>
          <w:trHeight w:val="206"/>
        </w:trPr>
        <w:tc>
          <w:tcPr>
            <w:tcW w:w="2054" w:type="dxa"/>
            <w:tcBorders>
              <w:top w:val="single" w:sz="8" w:space="0" w:color="auto"/>
              <w:left w:val="single" w:sz="8" w:space="0" w:color="auto"/>
              <w:bottom w:val="single" w:sz="8" w:space="0" w:color="auto"/>
              <w:right w:val="single" w:sz="8" w:space="0" w:color="auto"/>
            </w:tcBorders>
            <w:vAlign w:val="bottom"/>
          </w:tcPr>
          <w:p w14:paraId="3E4BC8E3" w14:textId="77777777" w:rsidR="00974200" w:rsidRPr="009E58F7" w:rsidRDefault="00974200" w:rsidP="007070F2">
            <w:pPr>
              <w:keepNext/>
              <w:spacing w:line="240" w:lineRule="auto"/>
              <w:contextualSpacing/>
              <w:jc w:val="both"/>
            </w:pPr>
            <w:r w:rsidRPr="009E58F7">
              <w:t>CR+nCR</w:t>
            </w:r>
          </w:p>
        </w:tc>
        <w:tc>
          <w:tcPr>
            <w:tcW w:w="1060" w:type="dxa"/>
            <w:tcBorders>
              <w:top w:val="single" w:sz="8" w:space="0" w:color="auto"/>
              <w:bottom w:val="single" w:sz="8" w:space="0" w:color="auto"/>
              <w:right w:val="single" w:sz="8" w:space="0" w:color="auto"/>
            </w:tcBorders>
            <w:vAlign w:val="center"/>
          </w:tcPr>
          <w:p w14:paraId="7C666F99" w14:textId="37D95ACE" w:rsidR="00974200" w:rsidRPr="009E58F7" w:rsidRDefault="00974200" w:rsidP="007070F2">
            <w:pPr>
              <w:keepNext/>
              <w:spacing w:line="240" w:lineRule="auto"/>
              <w:contextualSpacing/>
              <w:jc w:val="center"/>
            </w:pPr>
            <w:r w:rsidRPr="009E58F7">
              <w:t>41 (13)</w:t>
            </w:r>
            <w:r w:rsidR="00796810" w:rsidRPr="009E58F7">
              <w:rPr>
                <w:vertAlign w:val="superscript"/>
              </w:rPr>
              <w:t>b</w:t>
            </w:r>
          </w:p>
        </w:tc>
        <w:tc>
          <w:tcPr>
            <w:tcW w:w="992" w:type="dxa"/>
            <w:tcBorders>
              <w:top w:val="single" w:sz="8" w:space="0" w:color="auto"/>
              <w:bottom w:val="single" w:sz="8" w:space="0" w:color="auto"/>
              <w:right w:val="single" w:sz="8" w:space="0" w:color="auto"/>
            </w:tcBorders>
            <w:vAlign w:val="center"/>
          </w:tcPr>
          <w:p w14:paraId="00D43733" w14:textId="287D6C97" w:rsidR="00974200" w:rsidRPr="009E58F7" w:rsidRDefault="00974200" w:rsidP="007070F2">
            <w:pPr>
              <w:keepNext/>
              <w:spacing w:line="240" w:lineRule="auto"/>
              <w:contextualSpacing/>
              <w:jc w:val="center"/>
            </w:pPr>
            <w:r w:rsidRPr="009E58F7">
              <w:t>5 (2)</w:t>
            </w:r>
            <w:r w:rsidR="00796810" w:rsidRPr="009E58F7">
              <w:rPr>
                <w:vertAlign w:val="superscript"/>
              </w:rPr>
              <w:t>b</w:t>
            </w:r>
          </w:p>
        </w:tc>
        <w:tc>
          <w:tcPr>
            <w:tcW w:w="992" w:type="dxa"/>
            <w:tcBorders>
              <w:top w:val="single" w:sz="8" w:space="0" w:color="auto"/>
              <w:bottom w:val="single" w:sz="8" w:space="0" w:color="auto"/>
              <w:right w:val="single" w:sz="8" w:space="0" w:color="auto"/>
            </w:tcBorders>
            <w:vAlign w:val="center"/>
          </w:tcPr>
          <w:p w14:paraId="68564151" w14:textId="77777777" w:rsidR="00974200" w:rsidRPr="009E58F7" w:rsidRDefault="00974200" w:rsidP="007070F2">
            <w:pPr>
              <w:keepNext/>
              <w:spacing w:line="240" w:lineRule="auto"/>
              <w:contextualSpacing/>
              <w:jc w:val="center"/>
            </w:pPr>
            <w:r w:rsidRPr="009E58F7">
              <w:t>16 (13)</w:t>
            </w:r>
          </w:p>
        </w:tc>
        <w:tc>
          <w:tcPr>
            <w:tcW w:w="997" w:type="dxa"/>
            <w:tcBorders>
              <w:top w:val="single" w:sz="8" w:space="0" w:color="auto"/>
              <w:bottom w:val="single" w:sz="8" w:space="0" w:color="auto"/>
              <w:right w:val="single" w:sz="8" w:space="0" w:color="auto"/>
            </w:tcBorders>
            <w:vAlign w:val="center"/>
          </w:tcPr>
          <w:p w14:paraId="5014BD8E" w14:textId="77777777" w:rsidR="00974200" w:rsidRPr="009E58F7" w:rsidRDefault="00974200" w:rsidP="007070F2">
            <w:pPr>
              <w:keepNext/>
              <w:spacing w:line="240" w:lineRule="auto"/>
              <w:contextualSpacing/>
              <w:jc w:val="center"/>
            </w:pPr>
            <w:r w:rsidRPr="009E58F7">
              <w:t>4 (4)</w:t>
            </w:r>
          </w:p>
        </w:tc>
        <w:tc>
          <w:tcPr>
            <w:tcW w:w="1017" w:type="dxa"/>
            <w:tcBorders>
              <w:top w:val="single" w:sz="8" w:space="0" w:color="auto"/>
              <w:bottom w:val="single" w:sz="8" w:space="0" w:color="auto"/>
              <w:right w:val="single" w:sz="8" w:space="0" w:color="auto"/>
            </w:tcBorders>
            <w:vAlign w:val="center"/>
          </w:tcPr>
          <w:p w14:paraId="46B8E2ED" w14:textId="77777777" w:rsidR="00974200" w:rsidRPr="009E58F7" w:rsidRDefault="00974200" w:rsidP="007070F2">
            <w:pPr>
              <w:keepNext/>
              <w:spacing w:line="240" w:lineRule="auto"/>
              <w:contextualSpacing/>
              <w:jc w:val="center"/>
            </w:pPr>
            <w:r w:rsidRPr="009E58F7">
              <w:t>25 (13)</w:t>
            </w:r>
          </w:p>
        </w:tc>
        <w:tc>
          <w:tcPr>
            <w:tcW w:w="997" w:type="dxa"/>
            <w:tcBorders>
              <w:top w:val="single" w:sz="8" w:space="0" w:color="auto"/>
              <w:bottom w:val="single" w:sz="8" w:space="0" w:color="auto"/>
              <w:right w:val="single" w:sz="8" w:space="0" w:color="auto"/>
            </w:tcBorders>
            <w:vAlign w:val="center"/>
          </w:tcPr>
          <w:p w14:paraId="3DE67EFB" w14:textId="6EBBA42F" w:rsidR="00974200" w:rsidRPr="009E58F7" w:rsidRDefault="00974200" w:rsidP="007070F2">
            <w:pPr>
              <w:keepNext/>
              <w:spacing w:line="240" w:lineRule="auto"/>
              <w:contextualSpacing/>
              <w:jc w:val="center"/>
            </w:pPr>
            <w:r w:rsidRPr="009E58F7">
              <w:t>1 (&lt;</w:t>
            </w:r>
            <w:r w:rsidR="00796810" w:rsidRPr="009E58F7">
              <w:t> </w:t>
            </w:r>
            <w:r w:rsidRPr="009E58F7">
              <w:t>1)</w:t>
            </w:r>
          </w:p>
        </w:tc>
        <w:tc>
          <w:tcPr>
            <w:tcW w:w="1242" w:type="dxa"/>
            <w:tcBorders>
              <w:top w:val="single" w:sz="8" w:space="0" w:color="auto"/>
              <w:bottom w:val="single" w:sz="8" w:space="0" w:color="auto"/>
              <w:right w:val="single" w:sz="8" w:space="0" w:color="auto"/>
            </w:tcBorders>
            <w:vAlign w:val="center"/>
          </w:tcPr>
          <w:p w14:paraId="4EA237B4" w14:textId="77777777" w:rsidR="00974200" w:rsidRPr="009E58F7" w:rsidRDefault="00974200" w:rsidP="007070F2">
            <w:pPr>
              <w:keepNext/>
              <w:spacing w:line="240" w:lineRule="auto"/>
              <w:contextualSpacing/>
              <w:jc w:val="center"/>
            </w:pPr>
            <w:r w:rsidRPr="009E58F7">
              <w:t>(10)**</w:t>
            </w:r>
          </w:p>
        </w:tc>
        <w:tc>
          <w:tcPr>
            <w:tcW w:w="30" w:type="dxa"/>
            <w:tcBorders>
              <w:left w:val="single" w:sz="8" w:space="0" w:color="auto"/>
            </w:tcBorders>
            <w:vAlign w:val="bottom"/>
          </w:tcPr>
          <w:p w14:paraId="403FCA09" w14:textId="77777777" w:rsidR="00974200" w:rsidRPr="009E58F7" w:rsidRDefault="00974200" w:rsidP="007070F2">
            <w:pPr>
              <w:keepNext/>
              <w:spacing w:line="240" w:lineRule="auto"/>
              <w:contextualSpacing/>
              <w:jc w:val="both"/>
            </w:pPr>
          </w:p>
        </w:tc>
      </w:tr>
      <w:tr w:rsidR="00974200" w:rsidRPr="009E58F7" w14:paraId="19C14945" w14:textId="77777777" w:rsidTr="00E64005">
        <w:trPr>
          <w:gridAfter w:val="1"/>
          <w:wAfter w:w="10" w:type="dxa"/>
          <w:trHeight w:val="193"/>
        </w:trPr>
        <w:tc>
          <w:tcPr>
            <w:tcW w:w="2054" w:type="dxa"/>
            <w:tcBorders>
              <w:top w:val="single" w:sz="8" w:space="0" w:color="auto"/>
              <w:left w:val="single" w:sz="8" w:space="0" w:color="auto"/>
              <w:bottom w:val="single" w:sz="8" w:space="0" w:color="auto"/>
              <w:right w:val="single" w:sz="8" w:space="0" w:color="auto"/>
            </w:tcBorders>
            <w:vAlign w:val="bottom"/>
          </w:tcPr>
          <w:p w14:paraId="48CCDE52" w14:textId="77777777" w:rsidR="00974200" w:rsidRPr="009E58F7" w:rsidRDefault="00974200" w:rsidP="007070F2">
            <w:pPr>
              <w:keepNext/>
              <w:spacing w:line="240" w:lineRule="auto"/>
              <w:contextualSpacing/>
              <w:jc w:val="both"/>
            </w:pPr>
            <w:r w:rsidRPr="009E58F7">
              <w:t>CR+nCR+PR</w:t>
            </w:r>
          </w:p>
        </w:tc>
        <w:tc>
          <w:tcPr>
            <w:tcW w:w="1060" w:type="dxa"/>
            <w:tcBorders>
              <w:top w:val="single" w:sz="8" w:space="0" w:color="auto"/>
              <w:bottom w:val="single" w:sz="8" w:space="0" w:color="auto"/>
              <w:right w:val="single" w:sz="8" w:space="0" w:color="auto"/>
            </w:tcBorders>
            <w:vAlign w:val="center"/>
          </w:tcPr>
          <w:p w14:paraId="7679CF65" w14:textId="7CF282DA" w:rsidR="00974200" w:rsidRPr="009E58F7" w:rsidRDefault="00974200" w:rsidP="007070F2">
            <w:pPr>
              <w:keepNext/>
              <w:spacing w:line="240" w:lineRule="auto"/>
              <w:contextualSpacing/>
              <w:jc w:val="center"/>
            </w:pPr>
            <w:r w:rsidRPr="009E58F7">
              <w:t>121</w:t>
            </w:r>
            <w:r w:rsidR="00796810" w:rsidRPr="009E58F7">
              <w:t xml:space="preserve"> (38)</w:t>
            </w:r>
            <w:r w:rsidR="00796810" w:rsidRPr="009E58F7">
              <w:rPr>
                <w:vertAlign w:val="superscript"/>
              </w:rPr>
              <w:t>b</w:t>
            </w:r>
          </w:p>
        </w:tc>
        <w:tc>
          <w:tcPr>
            <w:tcW w:w="992" w:type="dxa"/>
            <w:tcBorders>
              <w:top w:val="single" w:sz="8" w:space="0" w:color="auto"/>
              <w:bottom w:val="single" w:sz="8" w:space="0" w:color="auto"/>
              <w:right w:val="single" w:sz="8" w:space="0" w:color="auto"/>
            </w:tcBorders>
            <w:vAlign w:val="center"/>
          </w:tcPr>
          <w:p w14:paraId="3A164D34" w14:textId="53C5A022" w:rsidR="00974200" w:rsidRPr="009E58F7" w:rsidRDefault="00974200" w:rsidP="007070F2">
            <w:pPr>
              <w:keepNext/>
              <w:spacing w:line="240" w:lineRule="auto"/>
              <w:contextualSpacing/>
              <w:jc w:val="center"/>
            </w:pPr>
            <w:r w:rsidRPr="009E58F7">
              <w:t>56</w:t>
            </w:r>
            <w:r w:rsidR="00796810" w:rsidRPr="009E58F7">
              <w:t xml:space="preserve"> (18)</w:t>
            </w:r>
            <w:r w:rsidR="00796810" w:rsidRPr="009E58F7">
              <w:rPr>
                <w:vertAlign w:val="superscript"/>
              </w:rPr>
              <w:t>b</w:t>
            </w:r>
          </w:p>
        </w:tc>
        <w:tc>
          <w:tcPr>
            <w:tcW w:w="992" w:type="dxa"/>
            <w:tcBorders>
              <w:top w:val="single" w:sz="8" w:space="0" w:color="auto"/>
              <w:bottom w:val="single" w:sz="8" w:space="0" w:color="auto"/>
              <w:right w:val="single" w:sz="8" w:space="0" w:color="auto"/>
            </w:tcBorders>
            <w:vAlign w:val="center"/>
          </w:tcPr>
          <w:p w14:paraId="049C92F2" w14:textId="2F969C48" w:rsidR="00974200" w:rsidRPr="009E58F7" w:rsidRDefault="00974200" w:rsidP="007070F2">
            <w:pPr>
              <w:keepNext/>
              <w:spacing w:line="240" w:lineRule="auto"/>
              <w:contextualSpacing/>
              <w:jc w:val="center"/>
            </w:pPr>
            <w:r w:rsidRPr="009E58F7">
              <w:t>57 (45)</w:t>
            </w:r>
            <w:r w:rsidR="00796810" w:rsidRPr="009E58F7">
              <w:rPr>
                <w:vertAlign w:val="superscript"/>
              </w:rPr>
              <w:t>d</w:t>
            </w:r>
          </w:p>
        </w:tc>
        <w:tc>
          <w:tcPr>
            <w:tcW w:w="997" w:type="dxa"/>
            <w:tcBorders>
              <w:top w:val="single" w:sz="8" w:space="0" w:color="auto"/>
              <w:bottom w:val="single" w:sz="8" w:space="0" w:color="auto"/>
              <w:right w:val="single" w:sz="8" w:space="0" w:color="auto"/>
            </w:tcBorders>
            <w:vAlign w:val="center"/>
          </w:tcPr>
          <w:p w14:paraId="05BDF33B" w14:textId="3FF63DB7" w:rsidR="00974200" w:rsidRPr="009E58F7" w:rsidRDefault="00974200" w:rsidP="007070F2">
            <w:pPr>
              <w:keepNext/>
              <w:spacing w:line="240" w:lineRule="auto"/>
              <w:contextualSpacing/>
              <w:jc w:val="center"/>
            </w:pPr>
            <w:r w:rsidRPr="009E58F7">
              <w:t>29 (26)</w:t>
            </w:r>
            <w:r w:rsidR="00796810" w:rsidRPr="009E58F7">
              <w:rPr>
                <w:vertAlign w:val="superscript"/>
              </w:rPr>
              <w:t>d</w:t>
            </w:r>
          </w:p>
        </w:tc>
        <w:tc>
          <w:tcPr>
            <w:tcW w:w="1017" w:type="dxa"/>
            <w:tcBorders>
              <w:top w:val="single" w:sz="8" w:space="0" w:color="auto"/>
              <w:bottom w:val="single" w:sz="8" w:space="0" w:color="auto"/>
              <w:right w:val="single" w:sz="8" w:space="0" w:color="auto"/>
            </w:tcBorders>
            <w:vAlign w:val="center"/>
          </w:tcPr>
          <w:p w14:paraId="6328E371" w14:textId="64AA5ADD" w:rsidR="00974200" w:rsidRPr="009E58F7" w:rsidRDefault="00974200" w:rsidP="007070F2">
            <w:pPr>
              <w:keepNext/>
              <w:spacing w:line="240" w:lineRule="auto"/>
              <w:contextualSpacing/>
              <w:jc w:val="center"/>
            </w:pPr>
            <w:r w:rsidRPr="009E58F7">
              <w:t>64 (34)</w:t>
            </w:r>
            <w:r w:rsidR="00796810" w:rsidRPr="009E58F7">
              <w:rPr>
                <w:vertAlign w:val="superscript"/>
              </w:rPr>
              <w:t>b</w:t>
            </w:r>
          </w:p>
        </w:tc>
        <w:tc>
          <w:tcPr>
            <w:tcW w:w="997" w:type="dxa"/>
            <w:tcBorders>
              <w:top w:val="single" w:sz="8" w:space="0" w:color="auto"/>
              <w:bottom w:val="single" w:sz="8" w:space="0" w:color="auto"/>
              <w:right w:val="single" w:sz="8" w:space="0" w:color="auto"/>
            </w:tcBorders>
            <w:vAlign w:val="center"/>
          </w:tcPr>
          <w:p w14:paraId="32AA4B0E" w14:textId="766CB1C4" w:rsidR="00974200" w:rsidRPr="009E58F7" w:rsidRDefault="00974200" w:rsidP="007070F2">
            <w:pPr>
              <w:keepNext/>
              <w:spacing w:line="240" w:lineRule="auto"/>
              <w:contextualSpacing/>
              <w:jc w:val="center"/>
            </w:pPr>
            <w:r w:rsidRPr="009E58F7">
              <w:t>27 (13)</w:t>
            </w:r>
            <w:r w:rsidR="00796810" w:rsidRPr="009E58F7">
              <w:rPr>
                <w:vertAlign w:val="superscript"/>
              </w:rPr>
              <w:t>b</w:t>
            </w:r>
          </w:p>
        </w:tc>
        <w:tc>
          <w:tcPr>
            <w:tcW w:w="1242" w:type="dxa"/>
            <w:tcBorders>
              <w:top w:val="single" w:sz="8" w:space="0" w:color="auto"/>
              <w:bottom w:val="single" w:sz="8" w:space="0" w:color="auto"/>
              <w:right w:val="single" w:sz="8" w:space="0" w:color="auto"/>
            </w:tcBorders>
            <w:vAlign w:val="center"/>
          </w:tcPr>
          <w:p w14:paraId="4A0E2C3B" w14:textId="77777777" w:rsidR="00974200" w:rsidRPr="009E58F7" w:rsidRDefault="00974200" w:rsidP="007070F2">
            <w:pPr>
              <w:keepNext/>
              <w:spacing w:line="240" w:lineRule="auto"/>
              <w:contextualSpacing/>
              <w:jc w:val="center"/>
            </w:pPr>
            <w:r w:rsidRPr="009E58F7">
              <w:t>(27)**</w:t>
            </w:r>
          </w:p>
        </w:tc>
        <w:tc>
          <w:tcPr>
            <w:tcW w:w="30" w:type="dxa"/>
            <w:tcBorders>
              <w:left w:val="single" w:sz="8" w:space="0" w:color="auto"/>
            </w:tcBorders>
            <w:vAlign w:val="bottom"/>
          </w:tcPr>
          <w:p w14:paraId="1CC3AC9A" w14:textId="77777777" w:rsidR="00974200" w:rsidRPr="009E58F7" w:rsidRDefault="00974200" w:rsidP="007070F2">
            <w:pPr>
              <w:keepNext/>
              <w:spacing w:line="240" w:lineRule="auto"/>
              <w:contextualSpacing/>
              <w:jc w:val="both"/>
            </w:pPr>
          </w:p>
        </w:tc>
      </w:tr>
      <w:tr w:rsidR="00974200" w:rsidRPr="009E58F7" w14:paraId="1E00BEA5" w14:textId="77777777" w:rsidTr="00E64005">
        <w:trPr>
          <w:gridAfter w:val="1"/>
          <w:wAfter w:w="10" w:type="dxa"/>
          <w:trHeight w:val="193"/>
        </w:trPr>
        <w:tc>
          <w:tcPr>
            <w:tcW w:w="2054" w:type="dxa"/>
            <w:tcBorders>
              <w:top w:val="single" w:sz="8" w:space="0" w:color="auto"/>
              <w:left w:val="single" w:sz="8" w:space="0" w:color="auto"/>
              <w:bottom w:val="single" w:sz="8" w:space="0" w:color="auto"/>
              <w:right w:val="single" w:sz="8" w:space="0" w:color="auto"/>
            </w:tcBorders>
            <w:vAlign w:val="bottom"/>
          </w:tcPr>
          <w:p w14:paraId="2BE2DCDD" w14:textId="70BA11FE" w:rsidR="00974200" w:rsidRPr="009E58F7" w:rsidRDefault="00974200" w:rsidP="007070F2">
            <w:pPr>
              <w:keepNext/>
              <w:spacing w:line="240" w:lineRule="auto"/>
              <w:contextualSpacing/>
              <w:jc w:val="both"/>
            </w:pPr>
            <w:r w:rsidRPr="009E58F7">
              <w:t>CR+nCR+PR+M</w:t>
            </w:r>
            <w:r w:rsidR="00796810" w:rsidRPr="009E58F7">
              <w:t>R</w:t>
            </w:r>
          </w:p>
        </w:tc>
        <w:tc>
          <w:tcPr>
            <w:tcW w:w="1060" w:type="dxa"/>
            <w:tcBorders>
              <w:top w:val="single" w:sz="8" w:space="0" w:color="auto"/>
              <w:bottom w:val="single" w:sz="8" w:space="0" w:color="auto"/>
              <w:right w:val="single" w:sz="8" w:space="0" w:color="auto"/>
            </w:tcBorders>
            <w:vAlign w:val="center"/>
          </w:tcPr>
          <w:p w14:paraId="393FD211" w14:textId="77777777" w:rsidR="00974200" w:rsidRPr="009E58F7" w:rsidRDefault="00974200" w:rsidP="007070F2">
            <w:pPr>
              <w:keepNext/>
              <w:spacing w:line="240" w:lineRule="auto"/>
              <w:contextualSpacing/>
              <w:jc w:val="center"/>
            </w:pPr>
            <w:r w:rsidRPr="009E58F7">
              <w:t>146 (46)</w:t>
            </w:r>
          </w:p>
        </w:tc>
        <w:tc>
          <w:tcPr>
            <w:tcW w:w="992" w:type="dxa"/>
            <w:tcBorders>
              <w:top w:val="single" w:sz="8" w:space="0" w:color="auto"/>
              <w:bottom w:val="single" w:sz="8" w:space="0" w:color="auto"/>
              <w:right w:val="single" w:sz="8" w:space="0" w:color="auto"/>
            </w:tcBorders>
            <w:vAlign w:val="center"/>
          </w:tcPr>
          <w:p w14:paraId="606AB076" w14:textId="48CD913D" w:rsidR="00974200" w:rsidRPr="009E58F7" w:rsidRDefault="00974200" w:rsidP="007070F2">
            <w:pPr>
              <w:keepNext/>
              <w:spacing w:line="240" w:lineRule="auto"/>
              <w:contextualSpacing/>
              <w:jc w:val="center"/>
            </w:pPr>
            <w:r w:rsidRPr="009E58F7">
              <w:t>108</w:t>
            </w:r>
            <w:r w:rsidR="00796810" w:rsidRPr="009E58F7">
              <w:t xml:space="preserve"> (35)</w:t>
            </w:r>
          </w:p>
        </w:tc>
        <w:tc>
          <w:tcPr>
            <w:tcW w:w="992" w:type="dxa"/>
            <w:tcBorders>
              <w:top w:val="single" w:sz="8" w:space="0" w:color="auto"/>
              <w:bottom w:val="single" w:sz="8" w:space="0" w:color="auto"/>
              <w:right w:val="single" w:sz="8" w:space="0" w:color="auto"/>
            </w:tcBorders>
            <w:vAlign w:val="center"/>
          </w:tcPr>
          <w:p w14:paraId="78009A59" w14:textId="77777777" w:rsidR="00974200" w:rsidRPr="009E58F7" w:rsidRDefault="00974200" w:rsidP="007070F2">
            <w:pPr>
              <w:keepNext/>
              <w:spacing w:line="240" w:lineRule="auto"/>
              <w:contextualSpacing/>
              <w:jc w:val="center"/>
            </w:pPr>
            <w:r w:rsidRPr="009E58F7">
              <w:t>66 (52)</w:t>
            </w:r>
          </w:p>
        </w:tc>
        <w:tc>
          <w:tcPr>
            <w:tcW w:w="997" w:type="dxa"/>
            <w:tcBorders>
              <w:top w:val="single" w:sz="8" w:space="0" w:color="auto"/>
              <w:bottom w:val="single" w:sz="8" w:space="0" w:color="auto"/>
              <w:right w:val="single" w:sz="8" w:space="0" w:color="auto"/>
            </w:tcBorders>
            <w:vAlign w:val="center"/>
          </w:tcPr>
          <w:p w14:paraId="4A2E2F5C" w14:textId="77777777" w:rsidR="00974200" w:rsidRPr="009E58F7" w:rsidRDefault="00974200" w:rsidP="007070F2">
            <w:pPr>
              <w:keepNext/>
              <w:spacing w:line="240" w:lineRule="auto"/>
              <w:contextualSpacing/>
              <w:jc w:val="center"/>
            </w:pPr>
            <w:r w:rsidRPr="009E58F7">
              <w:t>45 (41)</w:t>
            </w:r>
          </w:p>
        </w:tc>
        <w:tc>
          <w:tcPr>
            <w:tcW w:w="1017" w:type="dxa"/>
            <w:tcBorders>
              <w:top w:val="single" w:sz="8" w:space="0" w:color="auto"/>
              <w:bottom w:val="single" w:sz="8" w:space="0" w:color="auto"/>
              <w:right w:val="single" w:sz="8" w:space="0" w:color="auto"/>
            </w:tcBorders>
            <w:vAlign w:val="center"/>
          </w:tcPr>
          <w:p w14:paraId="68DBACF8" w14:textId="77777777" w:rsidR="00974200" w:rsidRPr="009E58F7" w:rsidRDefault="00974200" w:rsidP="007070F2">
            <w:pPr>
              <w:keepNext/>
              <w:spacing w:line="240" w:lineRule="auto"/>
              <w:contextualSpacing/>
              <w:jc w:val="center"/>
            </w:pPr>
            <w:r w:rsidRPr="009E58F7">
              <w:t>80 (43)</w:t>
            </w:r>
          </w:p>
        </w:tc>
        <w:tc>
          <w:tcPr>
            <w:tcW w:w="997" w:type="dxa"/>
            <w:tcBorders>
              <w:top w:val="single" w:sz="8" w:space="0" w:color="auto"/>
              <w:bottom w:val="single" w:sz="8" w:space="0" w:color="auto"/>
              <w:right w:val="single" w:sz="8" w:space="0" w:color="auto"/>
            </w:tcBorders>
            <w:vAlign w:val="center"/>
          </w:tcPr>
          <w:p w14:paraId="4E878A0C" w14:textId="77777777" w:rsidR="00974200" w:rsidRPr="009E58F7" w:rsidRDefault="00974200" w:rsidP="007070F2">
            <w:pPr>
              <w:keepNext/>
              <w:spacing w:line="240" w:lineRule="auto"/>
              <w:contextualSpacing/>
              <w:jc w:val="center"/>
            </w:pPr>
            <w:r w:rsidRPr="009E58F7">
              <w:t>63 (31)</w:t>
            </w:r>
          </w:p>
        </w:tc>
        <w:tc>
          <w:tcPr>
            <w:tcW w:w="1242" w:type="dxa"/>
            <w:tcBorders>
              <w:top w:val="single" w:sz="8" w:space="0" w:color="auto"/>
              <w:bottom w:val="single" w:sz="8" w:space="0" w:color="auto"/>
              <w:right w:val="single" w:sz="8" w:space="0" w:color="auto"/>
            </w:tcBorders>
            <w:vAlign w:val="center"/>
          </w:tcPr>
          <w:p w14:paraId="40C7D40A" w14:textId="77777777" w:rsidR="00974200" w:rsidRPr="009E58F7" w:rsidRDefault="00974200" w:rsidP="007070F2">
            <w:pPr>
              <w:keepNext/>
              <w:spacing w:line="240" w:lineRule="auto"/>
              <w:contextualSpacing/>
              <w:jc w:val="center"/>
            </w:pPr>
            <w:r w:rsidRPr="009E58F7">
              <w:t>(35)**</w:t>
            </w:r>
          </w:p>
        </w:tc>
        <w:tc>
          <w:tcPr>
            <w:tcW w:w="30" w:type="dxa"/>
            <w:tcBorders>
              <w:left w:val="single" w:sz="8" w:space="0" w:color="auto"/>
            </w:tcBorders>
            <w:vAlign w:val="bottom"/>
          </w:tcPr>
          <w:p w14:paraId="4D1E49C4" w14:textId="77777777" w:rsidR="00974200" w:rsidRPr="009E58F7" w:rsidRDefault="00974200" w:rsidP="007070F2">
            <w:pPr>
              <w:keepNext/>
              <w:spacing w:line="240" w:lineRule="auto"/>
              <w:contextualSpacing/>
              <w:jc w:val="both"/>
            </w:pPr>
          </w:p>
        </w:tc>
      </w:tr>
      <w:tr w:rsidR="00796810" w:rsidRPr="009E58F7" w14:paraId="3A0A094A" w14:textId="77777777" w:rsidTr="00E64005">
        <w:trPr>
          <w:gridAfter w:val="1"/>
          <w:wAfter w:w="10" w:type="dxa"/>
          <w:trHeight w:val="188"/>
        </w:trPr>
        <w:tc>
          <w:tcPr>
            <w:tcW w:w="2054" w:type="dxa"/>
            <w:tcBorders>
              <w:top w:val="single" w:sz="8" w:space="0" w:color="auto"/>
              <w:left w:val="single" w:sz="8" w:space="0" w:color="auto"/>
              <w:bottom w:val="single" w:sz="8" w:space="0" w:color="auto"/>
              <w:right w:val="single" w:sz="8" w:space="0" w:color="auto"/>
            </w:tcBorders>
            <w:vAlign w:val="bottom"/>
          </w:tcPr>
          <w:p w14:paraId="68D1A28C" w14:textId="77777777" w:rsidR="00796810" w:rsidRPr="009E58F7" w:rsidRDefault="00796810" w:rsidP="00D7256D">
            <w:pPr>
              <w:keepNext/>
              <w:spacing w:line="240" w:lineRule="auto"/>
              <w:contextualSpacing/>
            </w:pPr>
            <w:r w:rsidRPr="009E58F7">
              <w:rPr>
                <w:b/>
                <w:bCs/>
              </w:rPr>
              <w:t>A terápiás válasz</w:t>
            </w:r>
            <w:r w:rsidRPr="009E58F7">
              <w:rPr>
                <w:bCs/>
              </w:rPr>
              <w:t xml:space="preserve"> </w:t>
            </w:r>
            <w:r w:rsidRPr="009E58F7">
              <w:rPr>
                <w:b/>
                <w:bCs/>
              </w:rPr>
              <w:t>időtartamának mediánja</w:t>
            </w:r>
            <w:r w:rsidRPr="009E58F7">
              <w:t xml:space="preserve"> </w:t>
            </w:r>
          </w:p>
          <w:p w14:paraId="552F7C4A" w14:textId="2995DACC" w:rsidR="00796810" w:rsidRPr="009E58F7" w:rsidRDefault="00796810" w:rsidP="007070F2">
            <w:pPr>
              <w:keepNext/>
              <w:spacing w:line="240" w:lineRule="auto"/>
              <w:contextualSpacing/>
            </w:pPr>
            <w:r w:rsidRPr="009E58F7">
              <w:t>Nap (hónap)</w:t>
            </w:r>
          </w:p>
        </w:tc>
        <w:tc>
          <w:tcPr>
            <w:tcW w:w="1060" w:type="dxa"/>
            <w:tcBorders>
              <w:top w:val="single" w:sz="8" w:space="0" w:color="auto"/>
              <w:bottom w:val="single" w:sz="8" w:space="0" w:color="auto"/>
              <w:right w:val="single" w:sz="8" w:space="0" w:color="auto"/>
            </w:tcBorders>
            <w:vAlign w:val="center"/>
          </w:tcPr>
          <w:p w14:paraId="78F82CB7" w14:textId="42EC921B" w:rsidR="00796810" w:rsidRPr="009E58F7" w:rsidRDefault="00796810" w:rsidP="007070F2">
            <w:pPr>
              <w:keepNext/>
              <w:spacing w:line="240" w:lineRule="auto"/>
              <w:contextualSpacing/>
              <w:jc w:val="center"/>
            </w:pPr>
            <w:r w:rsidRPr="009E58F7">
              <w:t>242 (8,0)</w:t>
            </w:r>
          </w:p>
        </w:tc>
        <w:tc>
          <w:tcPr>
            <w:tcW w:w="992" w:type="dxa"/>
            <w:tcBorders>
              <w:top w:val="single" w:sz="8" w:space="0" w:color="auto"/>
              <w:bottom w:val="single" w:sz="8" w:space="0" w:color="auto"/>
              <w:right w:val="single" w:sz="8" w:space="0" w:color="auto"/>
            </w:tcBorders>
            <w:vAlign w:val="center"/>
          </w:tcPr>
          <w:p w14:paraId="0006D565" w14:textId="08ADF0DA" w:rsidR="00796810" w:rsidRPr="009E58F7" w:rsidRDefault="00796810" w:rsidP="007070F2">
            <w:pPr>
              <w:keepNext/>
              <w:spacing w:line="240" w:lineRule="auto"/>
              <w:contextualSpacing/>
              <w:jc w:val="center"/>
            </w:pPr>
            <w:r w:rsidRPr="009E58F7">
              <w:t>169 (5,6)</w:t>
            </w:r>
          </w:p>
        </w:tc>
        <w:tc>
          <w:tcPr>
            <w:tcW w:w="992" w:type="dxa"/>
            <w:tcBorders>
              <w:top w:val="single" w:sz="8" w:space="0" w:color="auto"/>
              <w:bottom w:val="single" w:sz="8" w:space="0" w:color="auto"/>
              <w:right w:val="single" w:sz="8" w:space="0" w:color="auto"/>
            </w:tcBorders>
            <w:vAlign w:val="center"/>
          </w:tcPr>
          <w:p w14:paraId="10EE65AB" w14:textId="13FD82E9" w:rsidR="00796810" w:rsidRPr="009E58F7" w:rsidRDefault="00796810" w:rsidP="007070F2">
            <w:pPr>
              <w:keepNext/>
              <w:spacing w:line="240" w:lineRule="auto"/>
              <w:contextualSpacing/>
              <w:jc w:val="center"/>
            </w:pPr>
            <w:r w:rsidRPr="009E58F7">
              <w:t>246 (8,1)</w:t>
            </w:r>
          </w:p>
        </w:tc>
        <w:tc>
          <w:tcPr>
            <w:tcW w:w="997" w:type="dxa"/>
            <w:tcBorders>
              <w:top w:val="single" w:sz="8" w:space="0" w:color="auto"/>
              <w:bottom w:val="single" w:sz="8" w:space="0" w:color="auto"/>
              <w:right w:val="single" w:sz="8" w:space="0" w:color="auto"/>
            </w:tcBorders>
            <w:vAlign w:val="center"/>
          </w:tcPr>
          <w:p w14:paraId="24BF1682" w14:textId="7F93E275" w:rsidR="00796810" w:rsidRPr="009E58F7" w:rsidRDefault="00796810" w:rsidP="007070F2">
            <w:pPr>
              <w:keepNext/>
              <w:spacing w:line="240" w:lineRule="auto"/>
              <w:contextualSpacing/>
              <w:jc w:val="center"/>
            </w:pPr>
            <w:r w:rsidRPr="009E58F7">
              <w:t>189 (6,2)</w:t>
            </w:r>
          </w:p>
        </w:tc>
        <w:tc>
          <w:tcPr>
            <w:tcW w:w="1017" w:type="dxa"/>
            <w:tcBorders>
              <w:top w:val="single" w:sz="8" w:space="0" w:color="auto"/>
              <w:bottom w:val="single" w:sz="8" w:space="0" w:color="auto"/>
              <w:right w:val="single" w:sz="8" w:space="0" w:color="auto"/>
            </w:tcBorders>
            <w:vAlign w:val="center"/>
          </w:tcPr>
          <w:p w14:paraId="51CF3458" w14:textId="77777777" w:rsidR="00796810" w:rsidRPr="009E58F7" w:rsidRDefault="00796810" w:rsidP="007070F2">
            <w:pPr>
              <w:keepNext/>
              <w:spacing w:line="240" w:lineRule="auto"/>
              <w:contextualSpacing/>
              <w:jc w:val="center"/>
            </w:pPr>
            <w:r w:rsidRPr="009E58F7">
              <w:t>238 (7,8)</w:t>
            </w:r>
          </w:p>
        </w:tc>
        <w:tc>
          <w:tcPr>
            <w:tcW w:w="997" w:type="dxa"/>
            <w:tcBorders>
              <w:top w:val="single" w:sz="8" w:space="0" w:color="auto"/>
              <w:bottom w:val="single" w:sz="8" w:space="0" w:color="auto"/>
              <w:right w:val="single" w:sz="8" w:space="0" w:color="auto"/>
            </w:tcBorders>
            <w:vAlign w:val="center"/>
          </w:tcPr>
          <w:p w14:paraId="1517F9E0" w14:textId="77777777" w:rsidR="00796810" w:rsidRPr="009E58F7" w:rsidRDefault="00796810" w:rsidP="007070F2">
            <w:pPr>
              <w:keepNext/>
              <w:spacing w:line="240" w:lineRule="auto"/>
              <w:contextualSpacing/>
              <w:jc w:val="center"/>
            </w:pPr>
            <w:r w:rsidRPr="009E58F7">
              <w:t>126 (4,1)</w:t>
            </w:r>
          </w:p>
        </w:tc>
        <w:tc>
          <w:tcPr>
            <w:tcW w:w="1242" w:type="dxa"/>
            <w:tcBorders>
              <w:top w:val="single" w:sz="8" w:space="0" w:color="auto"/>
              <w:bottom w:val="single" w:sz="8" w:space="0" w:color="auto"/>
              <w:right w:val="single" w:sz="8" w:space="0" w:color="auto"/>
            </w:tcBorders>
            <w:vAlign w:val="center"/>
          </w:tcPr>
          <w:p w14:paraId="53D9BB0C" w14:textId="2A48AB49" w:rsidR="00796810" w:rsidRPr="009E58F7" w:rsidRDefault="00796810" w:rsidP="007070F2">
            <w:pPr>
              <w:keepNext/>
              <w:spacing w:line="240" w:lineRule="auto"/>
              <w:contextualSpacing/>
              <w:jc w:val="center"/>
            </w:pPr>
            <w:r w:rsidRPr="009E58F7">
              <w:t>385*</w:t>
            </w:r>
          </w:p>
        </w:tc>
        <w:tc>
          <w:tcPr>
            <w:tcW w:w="30" w:type="dxa"/>
            <w:tcBorders>
              <w:left w:val="single" w:sz="8" w:space="0" w:color="auto"/>
              <w:bottom w:val="single" w:sz="8" w:space="0" w:color="auto"/>
            </w:tcBorders>
            <w:vAlign w:val="bottom"/>
          </w:tcPr>
          <w:p w14:paraId="62E9AFCC" w14:textId="77777777" w:rsidR="00796810" w:rsidRPr="009E58F7" w:rsidRDefault="00796810" w:rsidP="007070F2">
            <w:pPr>
              <w:keepNext/>
              <w:spacing w:line="240" w:lineRule="auto"/>
              <w:contextualSpacing/>
              <w:jc w:val="both"/>
            </w:pPr>
          </w:p>
        </w:tc>
      </w:tr>
      <w:tr w:rsidR="00796810" w:rsidRPr="009E58F7" w14:paraId="5BFC5F97" w14:textId="77777777" w:rsidTr="00E64005">
        <w:trPr>
          <w:gridAfter w:val="1"/>
          <w:wAfter w:w="10" w:type="dxa"/>
          <w:trHeight w:val="188"/>
        </w:trPr>
        <w:tc>
          <w:tcPr>
            <w:tcW w:w="2054" w:type="dxa"/>
            <w:tcBorders>
              <w:top w:val="single" w:sz="8" w:space="0" w:color="auto"/>
              <w:left w:val="single" w:sz="8" w:space="0" w:color="auto"/>
              <w:bottom w:val="single" w:sz="8" w:space="0" w:color="auto"/>
              <w:right w:val="single" w:sz="8" w:space="0" w:color="auto"/>
            </w:tcBorders>
            <w:vAlign w:val="bottom"/>
          </w:tcPr>
          <w:p w14:paraId="623A57A4" w14:textId="77777777" w:rsidR="00796810" w:rsidRPr="009E58F7" w:rsidRDefault="00796810" w:rsidP="00D7256D">
            <w:pPr>
              <w:keepNext/>
              <w:spacing w:line="240" w:lineRule="auto"/>
              <w:contextualSpacing/>
            </w:pPr>
            <w:r w:rsidRPr="009E58F7">
              <w:rPr>
                <w:b/>
                <w:bCs/>
              </w:rPr>
              <w:t>A terápiás válasz kialakulásáig eltelt idő</w:t>
            </w:r>
          </w:p>
          <w:p w14:paraId="027A37AF" w14:textId="73411CCB" w:rsidR="00796810" w:rsidRPr="009E58F7" w:rsidRDefault="00796810" w:rsidP="007070F2">
            <w:pPr>
              <w:keepNext/>
              <w:spacing w:line="240" w:lineRule="auto"/>
              <w:contextualSpacing/>
            </w:pPr>
            <w:r w:rsidRPr="009E58F7">
              <w:t>CR+PR (napok)</w:t>
            </w:r>
          </w:p>
        </w:tc>
        <w:tc>
          <w:tcPr>
            <w:tcW w:w="1060" w:type="dxa"/>
            <w:tcBorders>
              <w:top w:val="single" w:sz="8" w:space="0" w:color="auto"/>
              <w:bottom w:val="single" w:sz="8" w:space="0" w:color="auto"/>
              <w:right w:val="single" w:sz="8" w:space="0" w:color="auto"/>
            </w:tcBorders>
            <w:vAlign w:val="center"/>
          </w:tcPr>
          <w:p w14:paraId="25B6F04B" w14:textId="751E0C59" w:rsidR="00796810" w:rsidRPr="009E58F7" w:rsidRDefault="00796810" w:rsidP="007070F2">
            <w:pPr>
              <w:keepNext/>
              <w:spacing w:line="240" w:lineRule="auto"/>
              <w:contextualSpacing/>
              <w:jc w:val="center"/>
            </w:pPr>
            <w:r w:rsidRPr="009E58F7">
              <w:t>43</w:t>
            </w:r>
          </w:p>
        </w:tc>
        <w:tc>
          <w:tcPr>
            <w:tcW w:w="992" w:type="dxa"/>
            <w:tcBorders>
              <w:top w:val="single" w:sz="8" w:space="0" w:color="auto"/>
              <w:bottom w:val="single" w:sz="8" w:space="0" w:color="auto"/>
              <w:right w:val="single" w:sz="8" w:space="0" w:color="auto"/>
            </w:tcBorders>
            <w:vAlign w:val="center"/>
          </w:tcPr>
          <w:p w14:paraId="762D3E2B" w14:textId="1CCC9A69" w:rsidR="00796810" w:rsidRPr="009E58F7" w:rsidRDefault="00796810" w:rsidP="007070F2">
            <w:pPr>
              <w:keepNext/>
              <w:spacing w:line="240" w:lineRule="auto"/>
              <w:contextualSpacing/>
              <w:jc w:val="center"/>
            </w:pPr>
            <w:r w:rsidRPr="009E58F7">
              <w:t>43</w:t>
            </w:r>
          </w:p>
        </w:tc>
        <w:tc>
          <w:tcPr>
            <w:tcW w:w="992" w:type="dxa"/>
            <w:tcBorders>
              <w:top w:val="single" w:sz="8" w:space="0" w:color="auto"/>
              <w:bottom w:val="single" w:sz="8" w:space="0" w:color="auto"/>
              <w:right w:val="single" w:sz="8" w:space="0" w:color="auto"/>
            </w:tcBorders>
            <w:vAlign w:val="center"/>
          </w:tcPr>
          <w:p w14:paraId="40B6EF0F" w14:textId="704C6D28" w:rsidR="00796810" w:rsidRPr="009E58F7" w:rsidRDefault="00796810" w:rsidP="007070F2">
            <w:pPr>
              <w:keepNext/>
              <w:spacing w:line="240" w:lineRule="auto"/>
              <w:contextualSpacing/>
              <w:jc w:val="center"/>
            </w:pPr>
            <w:r w:rsidRPr="009E58F7">
              <w:t>44</w:t>
            </w:r>
          </w:p>
        </w:tc>
        <w:tc>
          <w:tcPr>
            <w:tcW w:w="997" w:type="dxa"/>
            <w:tcBorders>
              <w:top w:val="single" w:sz="8" w:space="0" w:color="auto"/>
              <w:bottom w:val="single" w:sz="8" w:space="0" w:color="auto"/>
              <w:right w:val="single" w:sz="8" w:space="0" w:color="auto"/>
            </w:tcBorders>
            <w:vAlign w:val="center"/>
          </w:tcPr>
          <w:p w14:paraId="44FDDA9B" w14:textId="3F048E85" w:rsidR="00796810" w:rsidRPr="009E58F7" w:rsidRDefault="00796810" w:rsidP="007070F2">
            <w:pPr>
              <w:keepNext/>
              <w:spacing w:line="240" w:lineRule="auto"/>
              <w:contextualSpacing/>
              <w:jc w:val="center"/>
            </w:pPr>
            <w:r w:rsidRPr="009E58F7">
              <w:t>46</w:t>
            </w:r>
          </w:p>
        </w:tc>
        <w:tc>
          <w:tcPr>
            <w:tcW w:w="1017" w:type="dxa"/>
            <w:tcBorders>
              <w:top w:val="single" w:sz="8" w:space="0" w:color="auto"/>
              <w:bottom w:val="single" w:sz="8" w:space="0" w:color="auto"/>
              <w:right w:val="single" w:sz="8" w:space="0" w:color="auto"/>
            </w:tcBorders>
            <w:vAlign w:val="center"/>
          </w:tcPr>
          <w:p w14:paraId="59B84313" w14:textId="2CDC48E1" w:rsidR="00796810" w:rsidRPr="009E58F7" w:rsidRDefault="00796810" w:rsidP="007070F2">
            <w:pPr>
              <w:keepNext/>
              <w:spacing w:line="240" w:lineRule="auto"/>
              <w:contextualSpacing/>
              <w:jc w:val="center"/>
            </w:pPr>
            <w:r w:rsidRPr="009E58F7">
              <w:t>41</w:t>
            </w:r>
          </w:p>
        </w:tc>
        <w:tc>
          <w:tcPr>
            <w:tcW w:w="997" w:type="dxa"/>
            <w:tcBorders>
              <w:top w:val="single" w:sz="8" w:space="0" w:color="auto"/>
              <w:bottom w:val="single" w:sz="8" w:space="0" w:color="auto"/>
              <w:right w:val="single" w:sz="8" w:space="0" w:color="auto"/>
            </w:tcBorders>
            <w:vAlign w:val="center"/>
          </w:tcPr>
          <w:p w14:paraId="0CF216C8" w14:textId="19E49AEF" w:rsidR="00796810" w:rsidRPr="009E58F7" w:rsidRDefault="00796810" w:rsidP="007070F2">
            <w:pPr>
              <w:keepNext/>
              <w:spacing w:line="240" w:lineRule="auto"/>
              <w:contextualSpacing/>
              <w:jc w:val="center"/>
            </w:pPr>
            <w:r w:rsidRPr="009E58F7">
              <w:t>27</w:t>
            </w:r>
          </w:p>
        </w:tc>
        <w:tc>
          <w:tcPr>
            <w:tcW w:w="1242" w:type="dxa"/>
            <w:tcBorders>
              <w:top w:val="single" w:sz="8" w:space="0" w:color="auto"/>
              <w:bottom w:val="single" w:sz="8" w:space="0" w:color="auto"/>
              <w:right w:val="single" w:sz="8" w:space="0" w:color="auto"/>
            </w:tcBorders>
            <w:vAlign w:val="center"/>
          </w:tcPr>
          <w:p w14:paraId="3E60B931" w14:textId="72188954" w:rsidR="00796810" w:rsidRPr="009E58F7" w:rsidRDefault="00796810" w:rsidP="007070F2">
            <w:pPr>
              <w:keepNext/>
              <w:spacing w:line="240" w:lineRule="auto"/>
              <w:contextualSpacing/>
              <w:jc w:val="center"/>
            </w:pPr>
            <w:r w:rsidRPr="009E58F7">
              <w:t>38*</w:t>
            </w:r>
          </w:p>
        </w:tc>
        <w:tc>
          <w:tcPr>
            <w:tcW w:w="30" w:type="dxa"/>
            <w:tcBorders>
              <w:top w:val="single" w:sz="8" w:space="0" w:color="auto"/>
              <w:left w:val="single" w:sz="8" w:space="0" w:color="auto"/>
              <w:bottom w:val="single" w:sz="8" w:space="0" w:color="auto"/>
            </w:tcBorders>
            <w:vAlign w:val="bottom"/>
          </w:tcPr>
          <w:p w14:paraId="1FAD7208" w14:textId="77777777" w:rsidR="00796810" w:rsidRPr="009E58F7" w:rsidRDefault="00796810" w:rsidP="007070F2">
            <w:pPr>
              <w:keepNext/>
              <w:spacing w:line="240" w:lineRule="auto"/>
              <w:contextualSpacing/>
              <w:jc w:val="both"/>
            </w:pPr>
          </w:p>
        </w:tc>
      </w:tr>
    </w:tbl>
    <w:p w14:paraId="7661AFF9" w14:textId="67639D16" w:rsidR="008D2BC1" w:rsidRPr="009E58F7" w:rsidRDefault="008D2BC1" w:rsidP="00D7256D">
      <w:pPr>
        <w:spacing w:line="240" w:lineRule="auto"/>
        <w:ind w:left="426" w:hanging="426"/>
        <w:rPr>
          <w:sz w:val="18"/>
          <w:szCs w:val="18"/>
        </w:rPr>
      </w:pPr>
      <w:bookmarkStart w:id="42" w:name="page61"/>
      <w:bookmarkEnd w:id="42"/>
      <w:r w:rsidRPr="009E58F7">
        <w:rPr>
          <w:noProof/>
          <w:sz w:val="18"/>
          <w:szCs w:val="18"/>
          <w:vertAlign w:val="superscript"/>
        </w:rPr>
        <w:t>a</w:t>
      </w:r>
      <w:r w:rsidR="00796810" w:rsidRPr="009E58F7">
        <w:rPr>
          <w:noProof/>
          <w:sz w:val="18"/>
          <w:szCs w:val="18"/>
        </w:rPr>
        <w:tab/>
      </w:r>
      <w:r w:rsidR="00FE3E05" w:rsidRPr="009E58F7">
        <w:rPr>
          <w:noProof/>
          <w:sz w:val="18"/>
          <w:szCs w:val="18"/>
        </w:rPr>
        <w:t>Kezelésbe bevont</w:t>
      </w:r>
      <w:r w:rsidRPr="009E58F7">
        <w:rPr>
          <w:sz w:val="18"/>
          <w:szCs w:val="18"/>
        </w:rPr>
        <w:t xml:space="preserve"> („intent to treat”) populáció.</w:t>
      </w:r>
    </w:p>
    <w:p w14:paraId="1CA8DD11" w14:textId="26BCFD61" w:rsidR="008D2BC1" w:rsidRPr="009E58F7" w:rsidRDefault="008D2BC1" w:rsidP="007070F2">
      <w:pPr>
        <w:spacing w:line="240" w:lineRule="auto"/>
        <w:ind w:left="426" w:hanging="426"/>
        <w:rPr>
          <w:sz w:val="18"/>
          <w:szCs w:val="18"/>
        </w:rPr>
      </w:pPr>
      <w:r w:rsidRPr="009E58F7">
        <w:rPr>
          <w:noProof/>
          <w:sz w:val="18"/>
          <w:szCs w:val="18"/>
          <w:vertAlign w:val="superscript"/>
        </w:rPr>
        <w:t>b</w:t>
      </w:r>
      <w:r w:rsidR="00796810" w:rsidRPr="009E58F7">
        <w:rPr>
          <w:noProof/>
          <w:sz w:val="18"/>
          <w:szCs w:val="18"/>
        </w:rPr>
        <w:tab/>
      </w:r>
      <w:r w:rsidRPr="009E58F7">
        <w:rPr>
          <w:sz w:val="18"/>
          <w:szCs w:val="18"/>
        </w:rPr>
        <w:t>Stratifikált log</w:t>
      </w:r>
      <w:r w:rsidR="003F0F42">
        <w:rPr>
          <w:sz w:val="18"/>
          <w:szCs w:val="18"/>
        </w:rPr>
        <w:t>-</w:t>
      </w:r>
      <w:r w:rsidRPr="009E58F7">
        <w:rPr>
          <w:sz w:val="18"/>
          <w:szCs w:val="18"/>
        </w:rPr>
        <w:t>rank tesztből meghatározott p</w:t>
      </w:r>
      <w:r w:rsidR="003F0F42">
        <w:rPr>
          <w:sz w:val="18"/>
          <w:szCs w:val="18"/>
        </w:rPr>
        <w:t>-</w:t>
      </w:r>
      <w:r w:rsidRPr="009E58F7">
        <w:rPr>
          <w:sz w:val="18"/>
          <w:szCs w:val="18"/>
        </w:rPr>
        <w:t>érték; a terápiás vonal szerinti elemzés kizárja a terápiás előzmények (rétegződés) zavaró hatását; p</w:t>
      </w:r>
      <w:r w:rsidRPr="009E58F7">
        <w:rPr>
          <w:noProof/>
          <w:sz w:val="18"/>
          <w:szCs w:val="18"/>
        </w:rPr>
        <w:t> &lt; </w:t>
      </w:r>
      <w:r w:rsidRPr="009E58F7">
        <w:rPr>
          <w:sz w:val="18"/>
          <w:szCs w:val="18"/>
        </w:rPr>
        <w:t>0,0001.</w:t>
      </w:r>
    </w:p>
    <w:p w14:paraId="1535A786" w14:textId="57299E88" w:rsidR="008D2BC1" w:rsidRPr="009E58F7" w:rsidRDefault="008D2BC1" w:rsidP="007070F2">
      <w:pPr>
        <w:spacing w:line="240" w:lineRule="auto"/>
        <w:ind w:left="426" w:hanging="426"/>
        <w:rPr>
          <w:sz w:val="18"/>
          <w:szCs w:val="18"/>
        </w:rPr>
      </w:pPr>
      <w:r w:rsidRPr="009E58F7">
        <w:rPr>
          <w:noProof/>
          <w:sz w:val="18"/>
          <w:szCs w:val="18"/>
          <w:vertAlign w:val="superscript"/>
        </w:rPr>
        <w:t>c</w:t>
      </w:r>
      <w:r w:rsidR="00796810" w:rsidRPr="009E58F7">
        <w:rPr>
          <w:noProof/>
          <w:sz w:val="18"/>
          <w:szCs w:val="18"/>
        </w:rPr>
        <w:tab/>
      </w:r>
      <w:r w:rsidRPr="009E58F7">
        <w:rPr>
          <w:sz w:val="18"/>
          <w:szCs w:val="18"/>
        </w:rPr>
        <w:t>A reagáló populáció betegei a kezelés megkezdésekor kimutatható betegségben szenvedtek, és legalább 1</w:t>
      </w:r>
      <w:r w:rsidR="00796810" w:rsidRPr="009E58F7">
        <w:rPr>
          <w:sz w:val="18"/>
          <w:szCs w:val="18"/>
        </w:rPr>
        <w:t> </w:t>
      </w:r>
      <w:r w:rsidRPr="009E58F7">
        <w:rPr>
          <w:sz w:val="18"/>
          <w:szCs w:val="18"/>
        </w:rPr>
        <w:t>adag vizsgálati gyógyszert kaptak.</w:t>
      </w:r>
    </w:p>
    <w:p w14:paraId="46688B0F" w14:textId="7A57F0AB" w:rsidR="008D2BC1" w:rsidRPr="009E58F7" w:rsidRDefault="008D2BC1" w:rsidP="003D25C3">
      <w:pPr>
        <w:spacing w:line="240" w:lineRule="auto"/>
        <w:ind w:left="426" w:hanging="426"/>
        <w:rPr>
          <w:sz w:val="18"/>
          <w:szCs w:val="18"/>
        </w:rPr>
      </w:pPr>
      <w:r w:rsidRPr="009E58F7">
        <w:rPr>
          <w:noProof/>
          <w:sz w:val="18"/>
          <w:szCs w:val="18"/>
          <w:vertAlign w:val="superscript"/>
        </w:rPr>
        <w:t>d</w:t>
      </w:r>
      <w:r w:rsidR="00D86D46" w:rsidRPr="009E58F7">
        <w:rPr>
          <w:noProof/>
          <w:sz w:val="18"/>
          <w:szCs w:val="18"/>
          <w:vertAlign w:val="superscript"/>
        </w:rPr>
        <w:tab/>
      </w:r>
      <w:r w:rsidRPr="009E58F7">
        <w:rPr>
          <w:sz w:val="18"/>
          <w:szCs w:val="18"/>
        </w:rPr>
        <w:t>A stratifikációs faktorok vizsgálatára módosított Cochran</w:t>
      </w:r>
      <w:r w:rsidR="00133EB1">
        <w:rPr>
          <w:sz w:val="18"/>
          <w:szCs w:val="18"/>
        </w:rPr>
        <w:t>–</w:t>
      </w:r>
      <w:r w:rsidRPr="009E58F7">
        <w:rPr>
          <w:sz w:val="18"/>
          <w:szCs w:val="18"/>
        </w:rPr>
        <w:t>Mantel</w:t>
      </w:r>
      <w:r w:rsidR="00133EB1">
        <w:rPr>
          <w:sz w:val="18"/>
          <w:szCs w:val="18"/>
        </w:rPr>
        <w:t>–</w:t>
      </w:r>
      <w:r w:rsidRPr="009E58F7">
        <w:rPr>
          <w:sz w:val="18"/>
          <w:szCs w:val="18"/>
        </w:rPr>
        <w:t xml:space="preserve">Haenszel </w:t>
      </w:r>
      <w:r w:rsidR="00FD4D95" w:rsidRPr="009E58F7">
        <w:rPr>
          <w:sz w:val="18"/>
          <w:szCs w:val="18"/>
        </w:rPr>
        <w:t>k</w:t>
      </w:r>
      <w:r w:rsidRPr="009E58F7">
        <w:rPr>
          <w:sz w:val="18"/>
          <w:szCs w:val="18"/>
        </w:rPr>
        <w:t>h</w:t>
      </w:r>
      <w:r w:rsidR="00FD4D95" w:rsidRPr="009E58F7">
        <w:rPr>
          <w:sz w:val="18"/>
          <w:szCs w:val="18"/>
        </w:rPr>
        <w:t>í</w:t>
      </w:r>
      <w:r w:rsidR="003F0F42">
        <w:rPr>
          <w:sz w:val="18"/>
          <w:szCs w:val="18"/>
        </w:rPr>
        <w:t>-</w:t>
      </w:r>
      <w:r w:rsidR="00FD4D95" w:rsidRPr="009E58F7">
        <w:rPr>
          <w:sz w:val="18"/>
          <w:szCs w:val="18"/>
        </w:rPr>
        <w:t>négyzet</w:t>
      </w:r>
      <w:r w:rsidR="00133EB1">
        <w:rPr>
          <w:sz w:val="18"/>
          <w:szCs w:val="18"/>
        </w:rPr>
        <w:t>-</w:t>
      </w:r>
      <w:r w:rsidRPr="009E58F7">
        <w:rPr>
          <w:sz w:val="18"/>
          <w:szCs w:val="18"/>
        </w:rPr>
        <w:t>tesztből meghatározott p</w:t>
      </w:r>
      <w:r w:rsidR="003F0F42">
        <w:rPr>
          <w:noProof/>
          <w:sz w:val="18"/>
          <w:szCs w:val="18"/>
        </w:rPr>
        <w:t>-</w:t>
      </w:r>
      <w:r w:rsidRPr="009E58F7">
        <w:rPr>
          <w:sz w:val="18"/>
          <w:szCs w:val="18"/>
        </w:rPr>
        <w:t>érték; a terápiás vonal analízise kizárja a terápiás előzmények stratégiai elemzését.</w:t>
      </w:r>
    </w:p>
    <w:p w14:paraId="33AB8DF3" w14:textId="2DEDC6E3" w:rsidR="008D2BC1" w:rsidRPr="009E58F7" w:rsidRDefault="008D2BC1">
      <w:pPr>
        <w:spacing w:line="240" w:lineRule="auto"/>
        <w:ind w:left="426" w:hanging="426"/>
        <w:rPr>
          <w:noProof/>
          <w:sz w:val="18"/>
          <w:szCs w:val="18"/>
        </w:rPr>
      </w:pPr>
      <w:r w:rsidRPr="009E58F7">
        <w:rPr>
          <w:noProof/>
          <w:sz w:val="18"/>
          <w:szCs w:val="18"/>
          <w:vertAlign w:val="superscript"/>
        </w:rPr>
        <w:t>*</w:t>
      </w:r>
      <w:r w:rsidR="00D86D46" w:rsidRPr="009E58F7">
        <w:rPr>
          <w:noProof/>
          <w:sz w:val="18"/>
          <w:szCs w:val="18"/>
        </w:rPr>
        <w:tab/>
      </w:r>
      <w:r w:rsidRPr="009E58F7">
        <w:rPr>
          <w:sz w:val="18"/>
          <w:szCs w:val="18"/>
        </w:rPr>
        <w:t>CR+PR+MR</w:t>
      </w:r>
      <w:r w:rsidRPr="009E58F7">
        <w:rPr>
          <w:noProof/>
          <w:sz w:val="18"/>
          <w:szCs w:val="18"/>
        </w:rPr>
        <w:t xml:space="preserve">; </w:t>
      </w:r>
      <w:r w:rsidRPr="009E58F7">
        <w:rPr>
          <w:b/>
          <w:noProof/>
          <w:sz w:val="18"/>
          <w:szCs w:val="18"/>
        </w:rPr>
        <w:t>**</w:t>
      </w:r>
      <w:r w:rsidRPr="009E58F7">
        <w:rPr>
          <w:noProof/>
          <w:sz w:val="18"/>
          <w:szCs w:val="18"/>
        </w:rPr>
        <w:t xml:space="preserve"> </w:t>
      </w:r>
      <w:r w:rsidRPr="009E58F7">
        <w:rPr>
          <w:sz w:val="18"/>
          <w:szCs w:val="18"/>
        </w:rPr>
        <w:t>CR</w:t>
      </w:r>
      <w:r w:rsidRPr="009E58F7">
        <w:rPr>
          <w:noProof/>
          <w:sz w:val="18"/>
          <w:szCs w:val="18"/>
        </w:rPr>
        <w:t> = </w:t>
      </w:r>
      <w:r w:rsidRPr="009E58F7">
        <w:rPr>
          <w:sz w:val="18"/>
          <w:szCs w:val="18"/>
        </w:rPr>
        <w:t>CR, (IF-); nCR</w:t>
      </w:r>
      <w:r w:rsidR="00F6458B" w:rsidRPr="009E58F7">
        <w:rPr>
          <w:noProof/>
          <w:sz w:val="18"/>
          <w:szCs w:val="18"/>
        </w:rPr>
        <w:t> </w:t>
      </w:r>
      <w:r w:rsidRPr="009E58F7">
        <w:rPr>
          <w:noProof/>
          <w:sz w:val="18"/>
          <w:szCs w:val="18"/>
        </w:rPr>
        <w:t>=</w:t>
      </w:r>
      <w:r w:rsidR="00F6458B" w:rsidRPr="009E58F7">
        <w:rPr>
          <w:noProof/>
          <w:sz w:val="18"/>
          <w:szCs w:val="18"/>
        </w:rPr>
        <w:t> </w:t>
      </w:r>
      <w:r w:rsidRPr="009E58F7">
        <w:rPr>
          <w:sz w:val="18"/>
          <w:szCs w:val="18"/>
        </w:rPr>
        <w:t>CR (IF+)</w:t>
      </w:r>
    </w:p>
    <w:p w14:paraId="57717267" w14:textId="59B54411" w:rsidR="008D2BC1" w:rsidRPr="009E58F7" w:rsidRDefault="008D2BC1">
      <w:pPr>
        <w:spacing w:line="240" w:lineRule="auto"/>
        <w:ind w:left="142" w:hanging="142"/>
        <w:rPr>
          <w:noProof/>
          <w:sz w:val="18"/>
          <w:szCs w:val="18"/>
        </w:rPr>
      </w:pPr>
      <w:r w:rsidRPr="009E58F7">
        <w:rPr>
          <w:sz w:val="18"/>
          <w:szCs w:val="18"/>
        </w:rPr>
        <w:t>NA</w:t>
      </w:r>
      <w:r w:rsidRPr="009E58F7">
        <w:rPr>
          <w:noProof/>
          <w:sz w:val="18"/>
          <w:szCs w:val="18"/>
        </w:rPr>
        <w:t> = </w:t>
      </w:r>
      <w:r w:rsidRPr="009E58F7">
        <w:rPr>
          <w:sz w:val="18"/>
          <w:szCs w:val="18"/>
        </w:rPr>
        <w:t>nem alkalmazható, NE</w:t>
      </w:r>
      <w:r w:rsidRPr="009E58F7">
        <w:rPr>
          <w:noProof/>
          <w:sz w:val="18"/>
          <w:szCs w:val="18"/>
        </w:rPr>
        <w:t> = </w:t>
      </w:r>
      <w:r w:rsidRPr="009E58F7">
        <w:rPr>
          <w:sz w:val="18"/>
          <w:szCs w:val="18"/>
        </w:rPr>
        <w:t xml:space="preserve">nem </w:t>
      </w:r>
      <w:r w:rsidRPr="009E58F7">
        <w:rPr>
          <w:noProof/>
          <w:sz w:val="18"/>
          <w:szCs w:val="18"/>
        </w:rPr>
        <w:t>becsült</w:t>
      </w:r>
    </w:p>
    <w:p w14:paraId="363EAC11" w14:textId="1A01379D" w:rsidR="008D2BC1" w:rsidRPr="009E58F7" w:rsidRDefault="008D2BC1">
      <w:pPr>
        <w:spacing w:line="240" w:lineRule="auto"/>
        <w:ind w:left="142" w:hanging="142"/>
        <w:rPr>
          <w:sz w:val="18"/>
          <w:szCs w:val="18"/>
        </w:rPr>
      </w:pPr>
      <w:r w:rsidRPr="009E58F7">
        <w:rPr>
          <w:sz w:val="18"/>
          <w:szCs w:val="18"/>
        </w:rPr>
        <w:t>TTP</w:t>
      </w:r>
      <w:r w:rsidRPr="009E58F7">
        <w:rPr>
          <w:noProof/>
          <w:sz w:val="18"/>
          <w:szCs w:val="18"/>
        </w:rPr>
        <w:t> = a</w:t>
      </w:r>
      <w:r w:rsidRPr="009E58F7">
        <w:rPr>
          <w:sz w:val="18"/>
          <w:szCs w:val="18"/>
        </w:rPr>
        <w:t xml:space="preserve"> progresszióig eltelt idő</w:t>
      </w:r>
    </w:p>
    <w:p w14:paraId="1D5BC911" w14:textId="1AB8D3B3" w:rsidR="008D2BC1" w:rsidRPr="009E58F7" w:rsidRDefault="008D2BC1">
      <w:pPr>
        <w:spacing w:line="240" w:lineRule="auto"/>
        <w:ind w:left="142" w:hanging="142"/>
        <w:rPr>
          <w:sz w:val="18"/>
          <w:szCs w:val="18"/>
        </w:rPr>
      </w:pPr>
      <w:r w:rsidRPr="009E58F7">
        <w:rPr>
          <w:sz w:val="18"/>
          <w:szCs w:val="18"/>
        </w:rPr>
        <w:t>CI</w:t>
      </w:r>
      <w:r w:rsidRPr="009E58F7">
        <w:rPr>
          <w:noProof/>
          <w:sz w:val="18"/>
          <w:szCs w:val="18"/>
        </w:rPr>
        <w:t> = konfidencia</w:t>
      </w:r>
      <w:r w:rsidRPr="009E58F7">
        <w:rPr>
          <w:sz w:val="18"/>
          <w:szCs w:val="18"/>
        </w:rPr>
        <w:t>intervallum</w:t>
      </w:r>
    </w:p>
    <w:p w14:paraId="653D5030" w14:textId="6C919DC5" w:rsidR="008D2BC1" w:rsidRPr="009E58F7" w:rsidRDefault="0024088B" w:rsidP="00602E58">
      <w:pPr>
        <w:spacing w:line="240" w:lineRule="auto"/>
        <w:contextualSpacing/>
        <w:rPr>
          <w:sz w:val="18"/>
          <w:szCs w:val="18"/>
        </w:rPr>
      </w:pPr>
      <w:r w:rsidRPr="009E58F7">
        <w:rPr>
          <w:sz w:val="18"/>
          <w:szCs w:val="18"/>
        </w:rPr>
        <w:t>Bz</w:t>
      </w:r>
      <w:r w:rsidR="00796810" w:rsidRPr="009E58F7">
        <w:rPr>
          <w:sz w:val="18"/>
          <w:szCs w:val="18"/>
        </w:rPr>
        <w:t> </w:t>
      </w:r>
      <w:r w:rsidR="008D2BC1" w:rsidRPr="009E58F7">
        <w:rPr>
          <w:noProof/>
          <w:sz w:val="18"/>
          <w:szCs w:val="18"/>
        </w:rPr>
        <w:t>= </w:t>
      </w:r>
      <w:r w:rsidR="008D2BC1" w:rsidRPr="009E58F7">
        <w:rPr>
          <w:sz w:val="18"/>
          <w:szCs w:val="18"/>
        </w:rPr>
        <w:t>bortezomib; Dex</w:t>
      </w:r>
      <w:r w:rsidR="008D2BC1" w:rsidRPr="009E58F7">
        <w:rPr>
          <w:noProof/>
          <w:sz w:val="18"/>
          <w:szCs w:val="18"/>
        </w:rPr>
        <w:t> = </w:t>
      </w:r>
      <w:r w:rsidR="008D2BC1" w:rsidRPr="009E58F7">
        <w:rPr>
          <w:sz w:val="18"/>
          <w:szCs w:val="18"/>
        </w:rPr>
        <w:t>dexametazon</w:t>
      </w:r>
    </w:p>
    <w:p w14:paraId="7C3A386C" w14:textId="26CB3025" w:rsidR="008D2BC1" w:rsidRPr="009E58F7" w:rsidRDefault="008D2BC1" w:rsidP="00D7256D">
      <w:pPr>
        <w:spacing w:line="240" w:lineRule="auto"/>
        <w:ind w:left="142" w:hanging="142"/>
        <w:rPr>
          <w:sz w:val="18"/>
          <w:szCs w:val="18"/>
        </w:rPr>
      </w:pPr>
      <w:r w:rsidRPr="009E58F7">
        <w:rPr>
          <w:sz w:val="18"/>
          <w:szCs w:val="18"/>
        </w:rPr>
        <w:t>CR</w:t>
      </w:r>
      <w:r w:rsidRPr="009E58F7">
        <w:rPr>
          <w:noProof/>
          <w:sz w:val="18"/>
          <w:szCs w:val="18"/>
        </w:rPr>
        <w:t> = </w:t>
      </w:r>
      <w:r w:rsidRPr="009E58F7">
        <w:rPr>
          <w:sz w:val="18"/>
          <w:szCs w:val="18"/>
        </w:rPr>
        <w:t>teljes remisszió</w:t>
      </w:r>
      <w:r w:rsidR="00D86D46" w:rsidRPr="009E58F7">
        <w:rPr>
          <w:sz w:val="18"/>
          <w:szCs w:val="18"/>
        </w:rPr>
        <w:t>;</w:t>
      </w:r>
      <w:r w:rsidRPr="009E58F7">
        <w:rPr>
          <w:sz w:val="18"/>
          <w:szCs w:val="18"/>
        </w:rPr>
        <w:t xml:space="preserve"> nCR</w:t>
      </w:r>
      <w:r w:rsidRPr="009E58F7">
        <w:rPr>
          <w:noProof/>
          <w:sz w:val="18"/>
          <w:szCs w:val="18"/>
        </w:rPr>
        <w:t> = </w:t>
      </w:r>
      <w:r w:rsidRPr="009E58F7">
        <w:rPr>
          <w:sz w:val="18"/>
          <w:szCs w:val="18"/>
        </w:rPr>
        <w:t xml:space="preserve">közel teljes </w:t>
      </w:r>
      <w:r w:rsidR="00F6458B" w:rsidRPr="009E58F7">
        <w:rPr>
          <w:sz w:val="18"/>
          <w:szCs w:val="18"/>
        </w:rPr>
        <w:t>remisszió</w:t>
      </w:r>
    </w:p>
    <w:p w14:paraId="60937228" w14:textId="6E2F9DB7" w:rsidR="008D2BC1" w:rsidRPr="009E58F7" w:rsidRDefault="008D2BC1" w:rsidP="007070F2">
      <w:pPr>
        <w:spacing w:line="240" w:lineRule="auto"/>
        <w:ind w:left="142" w:hanging="142"/>
        <w:rPr>
          <w:sz w:val="18"/>
          <w:szCs w:val="18"/>
        </w:rPr>
      </w:pPr>
      <w:r w:rsidRPr="009E58F7">
        <w:rPr>
          <w:sz w:val="18"/>
          <w:szCs w:val="18"/>
        </w:rPr>
        <w:t>P</w:t>
      </w:r>
      <w:r w:rsidR="009435CA" w:rsidRPr="009E58F7">
        <w:rPr>
          <w:sz w:val="18"/>
          <w:szCs w:val="18"/>
        </w:rPr>
        <w:t>R</w:t>
      </w:r>
      <w:r w:rsidRPr="009E58F7">
        <w:rPr>
          <w:noProof/>
          <w:sz w:val="18"/>
          <w:szCs w:val="18"/>
        </w:rPr>
        <w:t> = </w:t>
      </w:r>
      <w:r w:rsidRPr="009E58F7">
        <w:rPr>
          <w:sz w:val="18"/>
          <w:szCs w:val="18"/>
        </w:rPr>
        <w:t xml:space="preserve">részleges </w:t>
      </w:r>
      <w:r w:rsidR="00F6458B" w:rsidRPr="009E58F7">
        <w:rPr>
          <w:sz w:val="18"/>
          <w:szCs w:val="18"/>
        </w:rPr>
        <w:t>remisszió</w:t>
      </w:r>
      <w:r w:rsidR="00D86D46" w:rsidRPr="009E58F7">
        <w:rPr>
          <w:sz w:val="18"/>
          <w:szCs w:val="18"/>
        </w:rPr>
        <w:t>;</w:t>
      </w:r>
      <w:r w:rsidRPr="009E58F7">
        <w:rPr>
          <w:sz w:val="18"/>
          <w:szCs w:val="18"/>
        </w:rPr>
        <w:t xml:space="preserve"> MR</w:t>
      </w:r>
      <w:r w:rsidRPr="009E58F7">
        <w:rPr>
          <w:noProof/>
          <w:sz w:val="18"/>
          <w:szCs w:val="18"/>
        </w:rPr>
        <w:t> = </w:t>
      </w:r>
      <w:r w:rsidRPr="009E58F7">
        <w:rPr>
          <w:sz w:val="18"/>
          <w:szCs w:val="18"/>
        </w:rPr>
        <w:t>a terápiára minimálisan reagált</w:t>
      </w:r>
    </w:p>
    <w:p w14:paraId="138F4A2A" w14:textId="77777777" w:rsidR="004D6470" w:rsidRPr="009E58F7" w:rsidRDefault="004D6470" w:rsidP="007070F2">
      <w:pPr>
        <w:widowControl w:val="0"/>
        <w:autoSpaceDE w:val="0"/>
        <w:autoSpaceDN w:val="0"/>
        <w:adjustRightInd w:val="0"/>
        <w:spacing w:line="240" w:lineRule="auto"/>
      </w:pPr>
    </w:p>
    <w:p w14:paraId="7B1CFABB" w14:textId="320B021F" w:rsidR="004D6470" w:rsidRPr="009E58F7" w:rsidRDefault="004D6470" w:rsidP="003D25C3">
      <w:pPr>
        <w:spacing w:line="240" w:lineRule="auto"/>
        <w:contextualSpacing/>
        <w:rPr>
          <w:color w:val="000000"/>
        </w:rPr>
      </w:pPr>
      <w:r w:rsidRPr="009E58F7">
        <w:rPr>
          <w:color w:val="000000"/>
        </w:rPr>
        <w:t>A</w:t>
      </w:r>
      <w:r w:rsidRPr="009E58F7">
        <w:t xml:space="preserve"> II</w:t>
      </w:r>
      <w:r w:rsidR="00C5286C" w:rsidRPr="009E58F7">
        <w:t>.</w:t>
      </w:r>
      <w:r w:rsidR="00133EB1">
        <w:t> </w:t>
      </w:r>
      <w:r w:rsidR="00C5286C" w:rsidRPr="009E58F7">
        <w:t>fázisú</w:t>
      </w:r>
      <w:r w:rsidRPr="009E58F7">
        <w:t xml:space="preserve"> </w:t>
      </w:r>
      <w:r w:rsidRPr="009E58F7">
        <w:rPr>
          <w:color w:val="000000"/>
        </w:rPr>
        <w:t xml:space="preserve">vizsgálatban résztvevő azon betegek, akiknél a </w:t>
      </w:r>
      <w:r w:rsidRPr="009E58F7">
        <w:t>bortezomib</w:t>
      </w:r>
      <w:r w:rsidR="00621E19">
        <w:t>-</w:t>
      </w:r>
      <w:r w:rsidRPr="009E58F7">
        <w:rPr>
          <w:color w:val="000000"/>
        </w:rPr>
        <w:t xml:space="preserve">terápia önmagában nem váltott ki optimális terápiás hatást, a </w:t>
      </w:r>
      <w:r w:rsidR="008B6253" w:rsidRPr="009E58F7">
        <w:t>bortezomib</w:t>
      </w:r>
      <w:r w:rsidR="00FE5B85">
        <w:t>-</w:t>
      </w:r>
      <w:r w:rsidRPr="009E58F7">
        <w:rPr>
          <w:color w:val="000000"/>
        </w:rPr>
        <w:t xml:space="preserve">kezeléshez kiegészítésként nagydózisú dexametazont kaptak. A vizsgálati protokoll lehetővé tette, hogy azok a betegek, akik az optimálisnál kevésbé reagáltak a </w:t>
      </w:r>
      <w:r w:rsidRPr="009E58F7">
        <w:t>bortezomib</w:t>
      </w:r>
      <w:r w:rsidR="00133EB1">
        <w:rPr>
          <w:color w:val="000000"/>
        </w:rPr>
        <w:t>-</w:t>
      </w:r>
      <w:r w:rsidRPr="009E58F7">
        <w:rPr>
          <w:color w:val="000000"/>
        </w:rPr>
        <w:t xml:space="preserve">monoterápiára, dexametazont is kapjanak. Összesen 74 értékelhető beteg részesült </w:t>
      </w:r>
      <w:r w:rsidRPr="009E58F7">
        <w:t>bortezomib</w:t>
      </w:r>
      <w:r w:rsidR="00621E19">
        <w:t>-</w:t>
      </w:r>
      <w:r w:rsidRPr="009E58F7">
        <w:rPr>
          <w:color w:val="000000"/>
        </w:rPr>
        <w:t>dexametazon kombinációs terápiában, és 18</w:t>
      </w:r>
      <w:r w:rsidR="00C5286C" w:rsidRPr="009E58F7">
        <w:t>%</w:t>
      </w:r>
      <w:r w:rsidR="00621E19">
        <w:t>-</w:t>
      </w:r>
      <w:r w:rsidR="00C5286C" w:rsidRPr="009E58F7">
        <w:t>uk</w:t>
      </w:r>
      <w:r w:rsidRPr="009E58F7">
        <w:t xml:space="preserve"> </w:t>
      </w:r>
      <w:r w:rsidRPr="009E58F7">
        <w:rPr>
          <w:color w:val="000000"/>
        </w:rPr>
        <w:t>mutatott kedvező [MR (11%) vagy PR (7%)] terápiás választ.</w:t>
      </w:r>
    </w:p>
    <w:p w14:paraId="21CBD118" w14:textId="77777777" w:rsidR="004D6470" w:rsidRPr="009E58F7" w:rsidRDefault="004D6470">
      <w:pPr>
        <w:widowControl w:val="0"/>
        <w:overflowPunct w:val="0"/>
        <w:autoSpaceDE w:val="0"/>
        <w:autoSpaceDN w:val="0"/>
        <w:adjustRightInd w:val="0"/>
        <w:spacing w:line="240" w:lineRule="auto"/>
      </w:pPr>
    </w:p>
    <w:p w14:paraId="2321549F" w14:textId="45ED3EEF" w:rsidR="004D6470" w:rsidRPr="009E58F7" w:rsidRDefault="004D6470">
      <w:pPr>
        <w:spacing w:line="240" w:lineRule="auto"/>
        <w:contextualSpacing/>
      </w:pPr>
      <w:bookmarkStart w:id="43" w:name="page131"/>
      <w:bookmarkEnd w:id="43"/>
      <w:r w:rsidRPr="009E58F7">
        <w:rPr>
          <w:i/>
          <w:color w:val="000000"/>
        </w:rPr>
        <w:lastRenderedPageBreak/>
        <w:t xml:space="preserve">Klinikai hatásosság a </w:t>
      </w:r>
      <w:r w:rsidRPr="009E58F7">
        <w:rPr>
          <w:i/>
        </w:rPr>
        <w:t>bortezomib</w:t>
      </w:r>
      <w:r w:rsidRPr="009E58F7">
        <w:t xml:space="preserve"> </w:t>
      </w:r>
      <w:r w:rsidRPr="009E58F7">
        <w:rPr>
          <w:i/>
          <w:color w:val="000000"/>
        </w:rPr>
        <w:t xml:space="preserve">subcutan alkalmazásával relapszusban lévő/refrakter myeloma multiplexben szenvedő </w:t>
      </w:r>
      <w:r w:rsidR="00C5286C" w:rsidRPr="009E58F7">
        <w:rPr>
          <w:i/>
          <w:iCs/>
        </w:rPr>
        <w:t>betegek</w:t>
      </w:r>
      <w:r w:rsidR="00D86D46" w:rsidRPr="009E58F7">
        <w:rPr>
          <w:i/>
          <w:iCs/>
        </w:rPr>
        <w:t>nél</w:t>
      </w:r>
    </w:p>
    <w:p w14:paraId="50B81580" w14:textId="732DA310" w:rsidR="004D6470" w:rsidRPr="009E58F7" w:rsidRDefault="004D6470">
      <w:pPr>
        <w:spacing w:line="240" w:lineRule="auto"/>
        <w:contextualSpacing/>
      </w:pPr>
      <w:r w:rsidRPr="009E58F7">
        <w:rPr>
          <w:color w:val="000000"/>
        </w:rPr>
        <w:t xml:space="preserve">A </w:t>
      </w:r>
      <w:r w:rsidRPr="009E58F7">
        <w:t>bortezomib</w:t>
      </w:r>
      <w:r w:rsidR="00FE5B85">
        <w:t>-</w:t>
      </w:r>
      <w:r w:rsidRPr="009E58F7">
        <w:rPr>
          <w:color w:val="000000"/>
        </w:rPr>
        <w:t>kezelés subcutan</w:t>
      </w:r>
      <w:r w:rsidR="001D14D0">
        <w:rPr>
          <w:color w:val="000000"/>
        </w:rPr>
        <w:t>,</w:t>
      </w:r>
      <w:r w:rsidRPr="009E58F7">
        <w:rPr>
          <w:color w:val="000000"/>
        </w:rPr>
        <w:t xml:space="preserve"> illetve intravénás alkalmazásának hatásosságát és biztonságosságát egy nyílt</w:t>
      </w:r>
      <w:r w:rsidR="00133EB1">
        <w:rPr>
          <w:color w:val="000000"/>
        </w:rPr>
        <w:t xml:space="preserve"> elrendezésű</w:t>
      </w:r>
      <w:r w:rsidRPr="009E58F7">
        <w:rPr>
          <w:color w:val="000000"/>
        </w:rPr>
        <w:t>, randomizált, III</w:t>
      </w:r>
      <w:r w:rsidR="00D86D46" w:rsidRPr="009E58F7">
        <w:rPr>
          <w:color w:val="000000"/>
        </w:rPr>
        <w:t>.</w:t>
      </w:r>
      <w:r w:rsidR="00133EB1">
        <w:rPr>
          <w:color w:val="000000"/>
        </w:rPr>
        <w:t> </w:t>
      </w:r>
      <w:r w:rsidR="00D86D46" w:rsidRPr="009E58F7">
        <w:rPr>
          <w:color w:val="000000"/>
        </w:rPr>
        <w:t>fázisú,</w:t>
      </w:r>
      <w:r w:rsidRPr="009E58F7">
        <w:rPr>
          <w:color w:val="000000"/>
        </w:rPr>
        <w:t xml:space="preserve"> nem</w:t>
      </w:r>
      <w:r w:rsidR="00133EB1">
        <w:rPr>
          <w:color w:val="000000"/>
        </w:rPr>
        <w:t>-</w:t>
      </w:r>
      <w:r w:rsidRPr="009E58F7">
        <w:rPr>
          <w:color w:val="000000"/>
        </w:rPr>
        <w:t>inferioritást igazoló vizsgálatban hasonlították össze. Ebbe a vizsgálatba 222</w:t>
      </w:r>
      <w:r w:rsidR="008D2BC1" w:rsidRPr="009E58F7">
        <w:rPr>
          <w:color w:val="000000"/>
        </w:rPr>
        <w:t>,</w:t>
      </w:r>
      <w:r w:rsidRPr="009E58F7">
        <w:rPr>
          <w:color w:val="000000"/>
        </w:rPr>
        <w:t xml:space="preserve"> relapszusban lévő vagy refrakter myeloma multiplexben szenvedő beteget vontak be, akiket 2:1 arányban randomizáltak</w:t>
      </w:r>
      <w:r w:rsidR="00133EB1">
        <w:rPr>
          <w:color w:val="000000"/>
        </w:rPr>
        <w:t>,</w:t>
      </w:r>
      <w:r w:rsidRPr="009E58F7">
        <w:rPr>
          <w:color w:val="000000"/>
        </w:rPr>
        <w:t xml:space="preserve"> és </w:t>
      </w:r>
      <w:r w:rsidR="008D2BC1" w:rsidRPr="009E58F7">
        <w:rPr>
          <w:color w:val="000000"/>
        </w:rPr>
        <w:t>akik 8 </w:t>
      </w:r>
      <w:r w:rsidRPr="009E58F7">
        <w:rPr>
          <w:color w:val="000000"/>
        </w:rPr>
        <w:t>cikluson át 1,3 mg/m</w:t>
      </w:r>
      <w:r w:rsidRPr="009E58F7">
        <w:rPr>
          <w:color w:val="000000"/>
          <w:vertAlign w:val="superscript"/>
        </w:rPr>
        <w:t>2</w:t>
      </w:r>
      <w:r w:rsidRPr="009E58F7">
        <w:rPr>
          <w:color w:val="000000"/>
        </w:rPr>
        <w:t xml:space="preserve"> </w:t>
      </w:r>
      <w:r w:rsidR="008B6253" w:rsidRPr="009E58F7">
        <w:t>bortezomib</w:t>
      </w:r>
      <w:r w:rsidR="00D86D46" w:rsidRPr="009E58F7">
        <w:t>o</w:t>
      </w:r>
      <w:r w:rsidR="00C5286C" w:rsidRPr="009E58F7">
        <w:t>t</w:t>
      </w:r>
      <w:r w:rsidRPr="009E58F7">
        <w:rPr>
          <w:color w:val="000000"/>
        </w:rPr>
        <w:t xml:space="preserve"> kaptak subcutan vagy </w:t>
      </w:r>
      <w:r w:rsidR="00C5286C" w:rsidRPr="009E58F7">
        <w:t>intravénás</w:t>
      </w:r>
      <w:r w:rsidR="00D86D46" w:rsidRPr="009E58F7">
        <w:t>an</w:t>
      </w:r>
      <w:r w:rsidR="00C5286C" w:rsidRPr="009E58F7">
        <w:t>.</w:t>
      </w:r>
      <w:r w:rsidRPr="009E58F7">
        <w:rPr>
          <w:color w:val="000000"/>
        </w:rPr>
        <w:t xml:space="preserve"> Azok a betegek, akiknél a bortezomib</w:t>
      </w:r>
      <w:r w:rsidR="00621E19">
        <w:rPr>
          <w:color w:val="000000"/>
        </w:rPr>
        <w:t>-</w:t>
      </w:r>
      <w:r w:rsidRPr="009E58F7">
        <w:rPr>
          <w:color w:val="000000"/>
        </w:rPr>
        <w:t>kezelés monoterápiaként nem váltott ki optimális (a teljes remissziónál [CR] alacsonyabb) választ, 4</w:t>
      </w:r>
      <w:r w:rsidR="008D2BC1" w:rsidRPr="009E58F7">
        <w:rPr>
          <w:color w:val="000000"/>
        </w:rPr>
        <w:t> </w:t>
      </w:r>
      <w:r w:rsidRPr="009E58F7">
        <w:rPr>
          <w:color w:val="000000"/>
        </w:rPr>
        <w:t xml:space="preserve">ciklust követően kaphattak naponta 20 mg dexametazont, a </w:t>
      </w:r>
      <w:r w:rsidRPr="009E58F7">
        <w:t xml:space="preserve">bortezomib </w:t>
      </w:r>
      <w:r w:rsidRPr="009E58F7">
        <w:rPr>
          <w:color w:val="000000"/>
        </w:rPr>
        <w:t>alkalmazás napján</w:t>
      </w:r>
      <w:r w:rsidR="00D86D46" w:rsidRPr="009E58F7">
        <w:rPr>
          <w:color w:val="000000"/>
        </w:rPr>
        <w:t>,</w:t>
      </w:r>
      <w:r w:rsidRPr="009E58F7">
        <w:rPr>
          <w:color w:val="000000"/>
        </w:rPr>
        <w:t xml:space="preserve"> illetve az azt követő napon. Kizárták azokat a betegeket, akiknek a kiinduláskor a perifériás neuropathiája ≥</w:t>
      </w:r>
      <w:r w:rsidR="00D86D46" w:rsidRPr="009E58F7">
        <w:t> </w:t>
      </w:r>
      <w:r w:rsidRPr="009E58F7">
        <w:rPr>
          <w:color w:val="000000"/>
        </w:rPr>
        <w:t>2</w:t>
      </w:r>
      <w:r w:rsidR="00BD5400">
        <w:rPr>
          <w:color w:val="000000"/>
        </w:rPr>
        <w:t>-</w:t>
      </w:r>
      <w:r w:rsidRPr="009E58F7">
        <w:rPr>
          <w:color w:val="000000"/>
        </w:rPr>
        <w:t>es fokozatú</w:t>
      </w:r>
      <w:r w:rsidR="00133EB1">
        <w:rPr>
          <w:color w:val="000000"/>
        </w:rPr>
        <w:t>,</w:t>
      </w:r>
      <w:r w:rsidRPr="009E58F7">
        <w:rPr>
          <w:color w:val="000000"/>
        </w:rPr>
        <w:t xml:space="preserve"> vagy vérlemezkeszáma &lt;</w:t>
      </w:r>
      <w:r w:rsidR="00D86D46" w:rsidRPr="009E58F7">
        <w:t> </w:t>
      </w:r>
      <w:r w:rsidRPr="009E58F7">
        <w:rPr>
          <w:color w:val="000000"/>
        </w:rPr>
        <w:t>50 000/</w:t>
      </w:r>
      <w:r w:rsidR="00F6458B" w:rsidRPr="009E58F7">
        <w:rPr>
          <w:color w:val="000000"/>
        </w:rPr>
        <w:t>mikroliter</w:t>
      </w:r>
      <w:r w:rsidRPr="009E58F7">
        <w:rPr>
          <w:color w:val="000000"/>
        </w:rPr>
        <w:t xml:space="preserve"> volt. Összesen 218 beteg adott értékelhető választ.</w:t>
      </w:r>
    </w:p>
    <w:p w14:paraId="411DC31D" w14:textId="77777777" w:rsidR="008D2BC1" w:rsidRPr="009E58F7" w:rsidRDefault="008D2BC1">
      <w:pPr>
        <w:widowControl w:val="0"/>
        <w:overflowPunct w:val="0"/>
        <w:autoSpaceDE w:val="0"/>
        <w:autoSpaceDN w:val="0"/>
        <w:adjustRightInd w:val="0"/>
        <w:spacing w:line="240" w:lineRule="auto"/>
        <w:rPr>
          <w:color w:val="000000"/>
        </w:rPr>
      </w:pPr>
    </w:p>
    <w:p w14:paraId="2DD313CA" w14:textId="72E79760" w:rsidR="004D6470" w:rsidRPr="009E58F7" w:rsidRDefault="004D6470">
      <w:pPr>
        <w:widowControl w:val="0"/>
        <w:overflowPunct w:val="0"/>
        <w:autoSpaceDE w:val="0"/>
        <w:autoSpaceDN w:val="0"/>
        <w:adjustRightInd w:val="0"/>
        <w:spacing w:line="240" w:lineRule="auto"/>
      </w:pPr>
      <w:r w:rsidRPr="009E58F7">
        <w:rPr>
          <w:color w:val="000000"/>
        </w:rPr>
        <w:t>Ez a vizsgálat teljesítette elsődleges célkitűzését, a négy ciklust követő válaszarány (CR</w:t>
      </w:r>
      <w:r w:rsidR="00D86D46" w:rsidRPr="009E58F7">
        <w:rPr>
          <w:color w:val="000000"/>
        </w:rPr>
        <w:t> </w:t>
      </w:r>
      <w:r w:rsidRPr="009E58F7">
        <w:rPr>
          <w:color w:val="000000"/>
        </w:rPr>
        <w:t>+</w:t>
      </w:r>
      <w:r w:rsidR="00D86D46" w:rsidRPr="009E58F7">
        <w:rPr>
          <w:color w:val="000000"/>
        </w:rPr>
        <w:t> </w:t>
      </w:r>
      <w:r w:rsidRPr="009E58F7">
        <w:rPr>
          <w:color w:val="000000"/>
        </w:rPr>
        <w:t>PR) nem</w:t>
      </w:r>
      <w:r w:rsidR="00133EB1">
        <w:rPr>
          <w:color w:val="000000"/>
        </w:rPr>
        <w:t>-</w:t>
      </w:r>
      <w:r w:rsidRPr="009E58F7">
        <w:rPr>
          <w:color w:val="000000"/>
        </w:rPr>
        <w:t>inferioritását, mind a subcutan</w:t>
      </w:r>
      <w:r w:rsidR="00F6458B" w:rsidRPr="009E58F7">
        <w:rPr>
          <w:color w:val="000000"/>
        </w:rPr>
        <w:t>,</w:t>
      </w:r>
      <w:r w:rsidRPr="009E58F7">
        <w:rPr>
          <w:color w:val="000000"/>
        </w:rPr>
        <w:t xml:space="preserve"> mind az intravénásan alkalmazott </w:t>
      </w:r>
      <w:r w:rsidRPr="009E58F7">
        <w:t>bortezomib</w:t>
      </w:r>
      <w:r w:rsidR="00133EB1">
        <w:t>-</w:t>
      </w:r>
      <w:r w:rsidRPr="009E58F7">
        <w:rPr>
          <w:color w:val="000000"/>
        </w:rPr>
        <w:t>monoterápia esetén, ami mindkét csoportban 42% volt. Továbbá a másodlagos válasszal és az eltelt idővel összefüggő események hatásossági végpontjai konzisztens eredményeket mutattak subcutan és intravénás alkalmazás esetén (lásd 15.</w:t>
      </w:r>
      <w:r w:rsidR="00D86D46" w:rsidRPr="009E58F7">
        <w:rPr>
          <w:color w:val="000000"/>
        </w:rPr>
        <w:t> </w:t>
      </w:r>
      <w:r w:rsidRPr="009E58F7">
        <w:rPr>
          <w:color w:val="000000"/>
        </w:rPr>
        <w:t>táblázat).</w:t>
      </w:r>
    </w:p>
    <w:p w14:paraId="15AB0793" w14:textId="77777777" w:rsidR="004D6470" w:rsidRPr="009E58F7" w:rsidRDefault="004D6470">
      <w:pPr>
        <w:widowControl w:val="0"/>
        <w:autoSpaceDE w:val="0"/>
        <w:autoSpaceDN w:val="0"/>
        <w:adjustRightInd w:val="0"/>
        <w:spacing w:line="240" w:lineRule="auto"/>
      </w:pPr>
    </w:p>
    <w:p w14:paraId="5D4E480D" w14:textId="6D79AE58" w:rsidR="00E11DBD" w:rsidRPr="009E58F7" w:rsidRDefault="00D86D46">
      <w:pPr>
        <w:pStyle w:val="Nincstrkz"/>
        <w:ind w:left="1410" w:hanging="1410"/>
        <w:rPr>
          <w:i/>
        </w:rPr>
      </w:pPr>
      <w:r w:rsidRPr="009E58F7">
        <w:rPr>
          <w:i/>
          <w:noProof/>
        </w:rPr>
        <w:t>15. </w:t>
      </w:r>
      <w:r w:rsidR="00E11DBD" w:rsidRPr="009E58F7">
        <w:rPr>
          <w:i/>
        </w:rPr>
        <w:t>táblázat:</w:t>
      </w:r>
      <w:r w:rsidRPr="009E58F7">
        <w:rPr>
          <w:i/>
        </w:rPr>
        <w:tab/>
      </w:r>
      <w:r w:rsidR="00E11DBD" w:rsidRPr="009E58F7">
        <w:rPr>
          <w:i/>
        </w:rPr>
        <w:t>Hatásosság összegzése, összehasonlítva a bortezomib subcutan és intravénás alkalmazását</w:t>
      </w:r>
    </w:p>
    <w:tbl>
      <w:tblPr>
        <w:tblW w:w="9092" w:type="dxa"/>
        <w:tblLayout w:type="fixed"/>
        <w:tblCellMar>
          <w:left w:w="0" w:type="dxa"/>
          <w:right w:w="0" w:type="dxa"/>
        </w:tblCellMar>
        <w:tblLook w:val="04A0" w:firstRow="1" w:lastRow="0" w:firstColumn="1" w:lastColumn="0" w:noHBand="0" w:noVBand="1"/>
      </w:tblPr>
      <w:tblGrid>
        <w:gridCol w:w="3520"/>
        <w:gridCol w:w="120"/>
        <w:gridCol w:w="1020"/>
        <w:gridCol w:w="700"/>
        <w:gridCol w:w="100"/>
        <w:gridCol w:w="260"/>
        <w:gridCol w:w="1440"/>
        <w:gridCol w:w="1892"/>
        <w:gridCol w:w="40"/>
      </w:tblGrid>
      <w:tr w:rsidR="00D86D46" w:rsidRPr="009E58F7" w14:paraId="31068290" w14:textId="77777777" w:rsidTr="007070F2">
        <w:trPr>
          <w:gridAfter w:val="1"/>
          <w:wAfter w:w="40" w:type="dxa"/>
          <w:trHeight w:val="210"/>
        </w:trPr>
        <w:tc>
          <w:tcPr>
            <w:tcW w:w="3520" w:type="dxa"/>
            <w:tcBorders>
              <w:top w:val="single" w:sz="8" w:space="0" w:color="auto"/>
            </w:tcBorders>
            <w:vAlign w:val="bottom"/>
          </w:tcPr>
          <w:p w14:paraId="5C4CF911" w14:textId="77777777" w:rsidR="00D86D46" w:rsidRPr="009E58F7" w:rsidRDefault="00D86D46" w:rsidP="007070F2">
            <w:pPr>
              <w:spacing w:line="240" w:lineRule="auto"/>
              <w:contextualSpacing/>
              <w:jc w:val="both"/>
            </w:pPr>
          </w:p>
        </w:tc>
        <w:tc>
          <w:tcPr>
            <w:tcW w:w="2200" w:type="dxa"/>
            <w:gridSpan w:val="5"/>
            <w:tcBorders>
              <w:top w:val="single" w:sz="8" w:space="0" w:color="auto"/>
            </w:tcBorders>
            <w:vAlign w:val="bottom"/>
          </w:tcPr>
          <w:p w14:paraId="0A67C69D" w14:textId="70EA8C6C" w:rsidR="00D86D46" w:rsidRPr="009E58F7" w:rsidRDefault="00D86D46" w:rsidP="007070F2">
            <w:pPr>
              <w:spacing w:line="240" w:lineRule="auto"/>
              <w:contextualSpacing/>
              <w:jc w:val="center"/>
              <w:rPr>
                <w:b/>
                <w:bCs/>
              </w:rPr>
            </w:pPr>
            <w:r w:rsidRPr="009E58F7">
              <w:rPr>
                <w:b/>
                <w:bCs/>
              </w:rPr>
              <w:t xml:space="preserve">bortezomib </w:t>
            </w:r>
          </w:p>
          <w:p w14:paraId="0FFBF6BE" w14:textId="4A3B31F4" w:rsidR="00D86D46" w:rsidRPr="009E58F7" w:rsidRDefault="00D86D46" w:rsidP="007070F2">
            <w:pPr>
              <w:spacing w:line="240" w:lineRule="auto"/>
              <w:contextualSpacing/>
              <w:jc w:val="center"/>
              <w:rPr>
                <w:b/>
                <w:bCs/>
              </w:rPr>
            </w:pPr>
            <w:r w:rsidRPr="009E58F7">
              <w:rPr>
                <w:b/>
                <w:bCs/>
              </w:rPr>
              <w:t>intravénás kar</w:t>
            </w:r>
          </w:p>
        </w:tc>
        <w:tc>
          <w:tcPr>
            <w:tcW w:w="3332" w:type="dxa"/>
            <w:gridSpan w:val="2"/>
            <w:tcBorders>
              <w:top w:val="single" w:sz="8" w:space="0" w:color="auto"/>
            </w:tcBorders>
            <w:vAlign w:val="bottom"/>
          </w:tcPr>
          <w:p w14:paraId="34177784" w14:textId="77777777" w:rsidR="00D86D46" w:rsidRPr="009E58F7" w:rsidRDefault="00D86D46" w:rsidP="007070F2">
            <w:pPr>
              <w:spacing w:line="240" w:lineRule="auto"/>
              <w:contextualSpacing/>
              <w:jc w:val="center"/>
              <w:rPr>
                <w:b/>
                <w:bCs/>
              </w:rPr>
            </w:pPr>
            <w:r w:rsidRPr="009E58F7">
              <w:rPr>
                <w:b/>
                <w:bCs/>
              </w:rPr>
              <w:t xml:space="preserve">bortezomib </w:t>
            </w:r>
          </w:p>
          <w:p w14:paraId="50358A46" w14:textId="0350C62B" w:rsidR="00D86D46" w:rsidRPr="009E58F7" w:rsidRDefault="00D86D46" w:rsidP="007070F2">
            <w:pPr>
              <w:spacing w:line="240" w:lineRule="auto"/>
              <w:contextualSpacing/>
              <w:jc w:val="center"/>
              <w:rPr>
                <w:b/>
                <w:bCs/>
              </w:rPr>
            </w:pPr>
            <w:r w:rsidRPr="009E58F7">
              <w:rPr>
                <w:b/>
                <w:bCs/>
              </w:rPr>
              <w:t>subcutan kar</w:t>
            </w:r>
          </w:p>
        </w:tc>
      </w:tr>
      <w:tr w:rsidR="00D86D46" w:rsidRPr="009E58F7" w14:paraId="6C7B34FD" w14:textId="77777777" w:rsidTr="007070F2">
        <w:trPr>
          <w:gridAfter w:val="1"/>
          <w:wAfter w:w="40" w:type="dxa"/>
          <w:trHeight w:val="237"/>
        </w:trPr>
        <w:tc>
          <w:tcPr>
            <w:tcW w:w="3520" w:type="dxa"/>
            <w:tcBorders>
              <w:top w:val="single" w:sz="8" w:space="0" w:color="auto"/>
              <w:bottom w:val="single" w:sz="8" w:space="0" w:color="auto"/>
            </w:tcBorders>
            <w:vAlign w:val="bottom"/>
          </w:tcPr>
          <w:p w14:paraId="0A6B8FC1" w14:textId="7119F2DC" w:rsidR="00D86D46" w:rsidRPr="009E58F7" w:rsidRDefault="00D86D46" w:rsidP="007070F2">
            <w:pPr>
              <w:spacing w:line="240" w:lineRule="auto"/>
              <w:contextualSpacing/>
              <w:jc w:val="both"/>
            </w:pPr>
            <w:r w:rsidRPr="009E58F7">
              <w:rPr>
                <w:b/>
                <w:bCs/>
              </w:rPr>
              <w:t>Értékelhető választ adó betegek</w:t>
            </w:r>
          </w:p>
        </w:tc>
        <w:tc>
          <w:tcPr>
            <w:tcW w:w="1840" w:type="dxa"/>
            <w:gridSpan w:val="3"/>
            <w:tcBorders>
              <w:top w:val="single" w:sz="8" w:space="0" w:color="auto"/>
              <w:bottom w:val="single" w:sz="8" w:space="0" w:color="auto"/>
            </w:tcBorders>
            <w:vAlign w:val="bottom"/>
          </w:tcPr>
          <w:p w14:paraId="5B768E51" w14:textId="4C146B9E" w:rsidR="00D86D46" w:rsidRPr="009E58F7" w:rsidRDefault="00D86D46" w:rsidP="007070F2">
            <w:pPr>
              <w:spacing w:line="240" w:lineRule="auto"/>
              <w:contextualSpacing/>
              <w:jc w:val="center"/>
              <w:rPr>
                <w:b/>
                <w:bCs/>
              </w:rPr>
            </w:pPr>
            <w:r w:rsidRPr="009E58F7">
              <w:rPr>
                <w:b/>
                <w:bCs/>
              </w:rPr>
              <w:t>n = 73</w:t>
            </w:r>
          </w:p>
        </w:tc>
        <w:tc>
          <w:tcPr>
            <w:tcW w:w="360" w:type="dxa"/>
            <w:gridSpan w:val="2"/>
            <w:tcBorders>
              <w:top w:val="single" w:sz="8" w:space="0" w:color="auto"/>
              <w:bottom w:val="single" w:sz="8" w:space="0" w:color="auto"/>
            </w:tcBorders>
            <w:vAlign w:val="bottom"/>
          </w:tcPr>
          <w:p w14:paraId="6E3EA3E5" w14:textId="77777777" w:rsidR="00D86D46" w:rsidRPr="009E58F7" w:rsidRDefault="00D86D46" w:rsidP="007070F2">
            <w:pPr>
              <w:spacing w:line="240" w:lineRule="auto"/>
              <w:contextualSpacing/>
              <w:jc w:val="center"/>
              <w:rPr>
                <w:b/>
                <w:bCs/>
              </w:rPr>
            </w:pPr>
          </w:p>
        </w:tc>
        <w:tc>
          <w:tcPr>
            <w:tcW w:w="3332" w:type="dxa"/>
            <w:gridSpan w:val="2"/>
            <w:tcBorders>
              <w:top w:val="single" w:sz="8" w:space="0" w:color="auto"/>
              <w:bottom w:val="single" w:sz="8" w:space="0" w:color="auto"/>
            </w:tcBorders>
            <w:vAlign w:val="bottom"/>
          </w:tcPr>
          <w:p w14:paraId="74228CA9" w14:textId="0AB07E34" w:rsidR="00D86D46" w:rsidRPr="009E58F7" w:rsidRDefault="00D86D46" w:rsidP="007070F2">
            <w:pPr>
              <w:spacing w:line="240" w:lineRule="auto"/>
              <w:contextualSpacing/>
              <w:jc w:val="center"/>
              <w:rPr>
                <w:b/>
                <w:bCs/>
              </w:rPr>
            </w:pPr>
            <w:r w:rsidRPr="009E58F7">
              <w:rPr>
                <w:b/>
                <w:bCs/>
              </w:rPr>
              <w:t>n = 145</w:t>
            </w:r>
          </w:p>
        </w:tc>
      </w:tr>
      <w:tr w:rsidR="00D86D46" w:rsidRPr="009E58F7" w14:paraId="5BB0D91C" w14:textId="77777777" w:rsidTr="007070F2">
        <w:trPr>
          <w:gridAfter w:val="1"/>
          <w:wAfter w:w="40" w:type="dxa"/>
          <w:trHeight w:val="223"/>
        </w:trPr>
        <w:tc>
          <w:tcPr>
            <w:tcW w:w="3520" w:type="dxa"/>
            <w:vAlign w:val="bottom"/>
          </w:tcPr>
          <w:p w14:paraId="78A88913" w14:textId="77777777" w:rsidR="00D86D46" w:rsidRPr="009E58F7" w:rsidRDefault="00D86D46" w:rsidP="007070F2">
            <w:pPr>
              <w:spacing w:line="240" w:lineRule="auto"/>
              <w:contextualSpacing/>
              <w:jc w:val="both"/>
            </w:pPr>
            <w:r w:rsidRPr="009E58F7">
              <w:rPr>
                <w:b/>
                <w:bCs/>
              </w:rPr>
              <w:t>4 ciklus válaszaránya n (%)</w:t>
            </w:r>
          </w:p>
        </w:tc>
        <w:tc>
          <w:tcPr>
            <w:tcW w:w="1140" w:type="dxa"/>
            <w:gridSpan w:val="2"/>
            <w:vAlign w:val="bottom"/>
          </w:tcPr>
          <w:p w14:paraId="749F89F2" w14:textId="77777777" w:rsidR="00D86D46" w:rsidRPr="009E58F7" w:rsidRDefault="00D86D46" w:rsidP="007070F2">
            <w:pPr>
              <w:spacing w:line="240" w:lineRule="auto"/>
              <w:contextualSpacing/>
              <w:jc w:val="center"/>
            </w:pPr>
          </w:p>
        </w:tc>
        <w:tc>
          <w:tcPr>
            <w:tcW w:w="700" w:type="dxa"/>
            <w:vAlign w:val="bottom"/>
          </w:tcPr>
          <w:p w14:paraId="277C066C" w14:textId="77777777" w:rsidR="00D86D46" w:rsidRPr="009E58F7" w:rsidRDefault="00D86D46" w:rsidP="007070F2">
            <w:pPr>
              <w:spacing w:line="240" w:lineRule="auto"/>
              <w:contextualSpacing/>
              <w:jc w:val="center"/>
            </w:pPr>
          </w:p>
        </w:tc>
        <w:tc>
          <w:tcPr>
            <w:tcW w:w="360" w:type="dxa"/>
            <w:gridSpan w:val="2"/>
            <w:vAlign w:val="bottom"/>
          </w:tcPr>
          <w:p w14:paraId="5C0F1A4D" w14:textId="77777777" w:rsidR="00D86D46" w:rsidRPr="009E58F7" w:rsidRDefault="00D86D46" w:rsidP="007070F2">
            <w:pPr>
              <w:spacing w:line="240" w:lineRule="auto"/>
              <w:contextualSpacing/>
              <w:jc w:val="center"/>
            </w:pPr>
          </w:p>
        </w:tc>
        <w:tc>
          <w:tcPr>
            <w:tcW w:w="1440" w:type="dxa"/>
            <w:vAlign w:val="bottom"/>
          </w:tcPr>
          <w:p w14:paraId="4A70D73C" w14:textId="77777777" w:rsidR="00D86D46" w:rsidRPr="009E58F7" w:rsidRDefault="00D86D46" w:rsidP="007070F2">
            <w:pPr>
              <w:spacing w:line="240" w:lineRule="auto"/>
              <w:contextualSpacing/>
              <w:jc w:val="center"/>
            </w:pPr>
          </w:p>
        </w:tc>
        <w:tc>
          <w:tcPr>
            <w:tcW w:w="1892" w:type="dxa"/>
            <w:vAlign w:val="bottom"/>
          </w:tcPr>
          <w:p w14:paraId="65FDFBC6" w14:textId="77777777" w:rsidR="00D86D46" w:rsidRPr="009E58F7" w:rsidRDefault="00D86D46" w:rsidP="007070F2">
            <w:pPr>
              <w:spacing w:line="240" w:lineRule="auto"/>
              <w:contextualSpacing/>
              <w:jc w:val="center"/>
            </w:pPr>
          </w:p>
        </w:tc>
      </w:tr>
      <w:tr w:rsidR="00D86D46" w:rsidRPr="009E58F7" w14:paraId="35E4344A" w14:textId="77777777" w:rsidTr="007070F2">
        <w:trPr>
          <w:gridAfter w:val="1"/>
          <w:wAfter w:w="40" w:type="dxa"/>
          <w:trHeight w:val="228"/>
        </w:trPr>
        <w:tc>
          <w:tcPr>
            <w:tcW w:w="3520" w:type="dxa"/>
            <w:vAlign w:val="bottom"/>
          </w:tcPr>
          <w:p w14:paraId="6C698985" w14:textId="77777777" w:rsidR="00D86D46" w:rsidRPr="009E58F7" w:rsidRDefault="00D86D46" w:rsidP="007070F2">
            <w:pPr>
              <w:spacing w:line="240" w:lineRule="auto"/>
              <w:contextualSpacing/>
              <w:jc w:val="both"/>
            </w:pPr>
            <w:r w:rsidRPr="009E58F7">
              <w:t>ORR (CR+PR)</w:t>
            </w:r>
          </w:p>
        </w:tc>
        <w:tc>
          <w:tcPr>
            <w:tcW w:w="1840" w:type="dxa"/>
            <w:gridSpan w:val="3"/>
            <w:vAlign w:val="bottom"/>
          </w:tcPr>
          <w:p w14:paraId="27CD9DCB" w14:textId="77777777" w:rsidR="00D86D46" w:rsidRPr="009E58F7" w:rsidRDefault="00D86D46" w:rsidP="007070F2">
            <w:pPr>
              <w:spacing w:line="240" w:lineRule="auto"/>
              <w:contextualSpacing/>
              <w:jc w:val="center"/>
            </w:pPr>
            <w:r w:rsidRPr="009E58F7">
              <w:t>31 (42)</w:t>
            </w:r>
          </w:p>
        </w:tc>
        <w:tc>
          <w:tcPr>
            <w:tcW w:w="360" w:type="dxa"/>
            <w:gridSpan w:val="2"/>
            <w:vAlign w:val="bottom"/>
          </w:tcPr>
          <w:p w14:paraId="162B2C92" w14:textId="77777777" w:rsidR="00D86D46" w:rsidRPr="009E58F7" w:rsidRDefault="00D86D46" w:rsidP="007070F2">
            <w:pPr>
              <w:spacing w:line="240" w:lineRule="auto"/>
              <w:contextualSpacing/>
              <w:jc w:val="center"/>
            </w:pPr>
          </w:p>
        </w:tc>
        <w:tc>
          <w:tcPr>
            <w:tcW w:w="3332" w:type="dxa"/>
            <w:gridSpan w:val="2"/>
            <w:vAlign w:val="bottom"/>
          </w:tcPr>
          <w:p w14:paraId="11599CE2" w14:textId="77777777" w:rsidR="00D86D46" w:rsidRPr="009E58F7" w:rsidRDefault="00D86D46" w:rsidP="007070F2">
            <w:pPr>
              <w:spacing w:line="240" w:lineRule="auto"/>
              <w:contextualSpacing/>
              <w:jc w:val="center"/>
            </w:pPr>
            <w:r w:rsidRPr="009E58F7">
              <w:t>61(42)</w:t>
            </w:r>
          </w:p>
        </w:tc>
      </w:tr>
      <w:tr w:rsidR="00D86D46" w:rsidRPr="009E58F7" w14:paraId="30FC388C" w14:textId="77777777" w:rsidTr="007070F2">
        <w:trPr>
          <w:gridAfter w:val="1"/>
          <w:wAfter w:w="40" w:type="dxa"/>
          <w:trHeight w:val="247"/>
        </w:trPr>
        <w:tc>
          <w:tcPr>
            <w:tcW w:w="3520" w:type="dxa"/>
            <w:vAlign w:val="bottom"/>
          </w:tcPr>
          <w:p w14:paraId="12CFDFA3" w14:textId="77777777" w:rsidR="00D86D46" w:rsidRPr="009E58F7" w:rsidRDefault="00D86D46" w:rsidP="007070F2">
            <w:pPr>
              <w:spacing w:line="240" w:lineRule="auto"/>
              <w:contextualSpacing/>
              <w:jc w:val="both"/>
            </w:pPr>
            <w:r w:rsidRPr="009E58F7">
              <w:t>p-érték</w:t>
            </w:r>
            <w:r w:rsidRPr="009E58F7">
              <w:rPr>
                <w:vertAlign w:val="superscript"/>
              </w:rPr>
              <w:t>a</w:t>
            </w:r>
          </w:p>
        </w:tc>
        <w:tc>
          <w:tcPr>
            <w:tcW w:w="5532" w:type="dxa"/>
            <w:gridSpan w:val="7"/>
            <w:vAlign w:val="bottom"/>
          </w:tcPr>
          <w:p w14:paraId="3BF13E9F" w14:textId="2FE639F4" w:rsidR="00D86D46" w:rsidRPr="009E58F7" w:rsidRDefault="00D86D46" w:rsidP="007070F2">
            <w:pPr>
              <w:spacing w:line="240" w:lineRule="auto"/>
              <w:contextualSpacing/>
              <w:jc w:val="center"/>
            </w:pPr>
            <w:r w:rsidRPr="009E58F7">
              <w:t>0,00201</w:t>
            </w:r>
          </w:p>
        </w:tc>
      </w:tr>
      <w:tr w:rsidR="00D86D46" w:rsidRPr="009E58F7" w14:paraId="7D4C7034" w14:textId="77777777" w:rsidTr="007070F2">
        <w:trPr>
          <w:gridAfter w:val="1"/>
          <w:wAfter w:w="40" w:type="dxa"/>
          <w:trHeight w:val="239"/>
        </w:trPr>
        <w:tc>
          <w:tcPr>
            <w:tcW w:w="3520" w:type="dxa"/>
            <w:vAlign w:val="bottom"/>
          </w:tcPr>
          <w:p w14:paraId="6DFF0F92" w14:textId="77777777" w:rsidR="00D86D46" w:rsidRPr="009E58F7" w:rsidRDefault="00D86D46" w:rsidP="007070F2">
            <w:pPr>
              <w:spacing w:line="240" w:lineRule="auto"/>
              <w:contextualSpacing/>
              <w:jc w:val="both"/>
            </w:pPr>
            <w:r w:rsidRPr="009E58F7">
              <w:t>CR n (%)</w:t>
            </w:r>
          </w:p>
        </w:tc>
        <w:tc>
          <w:tcPr>
            <w:tcW w:w="1840" w:type="dxa"/>
            <w:gridSpan w:val="3"/>
          </w:tcPr>
          <w:p w14:paraId="6D053AFD" w14:textId="77777777" w:rsidR="00D86D46" w:rsidRPr="009E58F7" w:rsidRDefault="00D86D46" w:rsidP="007070F2">
            <w:pPr>
              <w:spacing w:line="240" w:lineRule="auto"/>
              <w:contextualSpacing/>
              <w:jc w:val="center"/>
            </w:pPr>
            <w:r w:rsidRPr="009E58F7">
              <w:t>6 (8)</w:t>
            </w:r>
          </w:p>
        </w:tc>
        <w:tc>
          <w:tcPr>
            <w:tcW w:w="360" w:type="dxa"/>
            <w:gridSpan w:val="2"/>
            <w:vAlign w:val="bottom"/>
          </w:tcPr>
          <w:p w14:paraId="7CB4EBED" w14:textId="77777777" w:rsidR="00D86D46" w:rsidRPr="009E58F7" w:rsidRDefault="00D86D46" w:rsidP="007070F2">
            <w:pPr>
              <w:spacing w:line="240" w:lineRule="auto"/>
              <w:contextualSpacing/>
              <w:jc w:val="center"/>
            </w:pPr>
          </w:p>
        </w:tc>
        <w:tc>
          <w:tcPr>
            <w:tcW w:w="3332" w:type="dxa"/>
            <w:gridSpan w:val="2"/>
            <w:vAlign w:val="bottom"/>
          </w:tcPr>
          <w:p w14:paraId="43CBD237" w14:textId="77777777" w:rsidR="00D86D46" w:rsidRPr="009E58F7" w:rsidRDefault="00D86D46" w:rsidP="007070F2">
            <w:pPr>
              <w:spacing w:line="240" w:lineRule="auto"/>
              <w:contextualSpacing/>
              <w:jc w:val="center"/>
            </w:pPr>
            <w:r w:rsidRPr="009E58F7">
              <w:t>9(6)</w:t>
            </w:r>
          </w:p>
        </w:tc>
      </w:tr>
      <w:tr w:rsidR="00D86D46" w:rsidRPr="009E58F7" w14:paraId="01FB525B" w14:textId="77777777" w:rsidTr="007070F2">
        <w:trPr>
          <w:gridAfter w:val="1"/>
          <w:wAfter w:w="40" w:type="dxa"/>
          <w:trHeight w:val="238"/>
        </w:trPr>
        <w:tc>
          <w:tcPr>
            <w:tcW w:w="3520" w:type="dxa"/>
            <w:vAlign w:val="bottom"/>
          </w:tcPr>
          <w:p w14:paraId="6582CFE9" w14:textId="77777777" w:rsidR="00D86D46" w:rsidRPr="009E58F7" w:rsidRDefault="00D86D46" w:rsidP="007070F2">
            <w:pPr>
              <w:spacing w:line="240" w:lineRule="auto"/>
              <w:contextualSpacing/>
              <w:jc w:val="both"/>
            </w:pPr>
            <w:r w:rsidRPr="009E58F7">
              <w:t>PR n (%)</w:t>
            </w:r>
          </w:p>
        </w:tc>
        <w:tc>
          <w:tcPr>
            <w:tcW w:w="1840" w:type="dxa"/>
            <w:gridSpan w:val="3"/>
          </w:tcPr>
          <w:p w14:paraId="666F1B72" w14:textId="77777777" w:rsidR="00D86D46" w:rsidRPr="009E58F7" w:rsidRDefault="00D86D46" w:rsidP="007070F2">
            <w:pPr>
              <w:spacing w:line="240" w:lineRule="auto"/>
              <w:contextualSpacing/>
              <w:jc w:val="center"/>
            </w:pPr>
            <w:r w:rsidRPr="009E58F7">
              <w:t>25 (34)</w:t>
            </w:r>
          </w:p>
        </w:tc>
        <w:tc>
          <w:tcPr>
            <w:tcW w:w="360" w:type="dxa"/>
            <w:gridSpan w:val="2"/>
            <w:vAlign w:val="bottom"/>
          </w:tcPr>
          <w:p w14:paraId="4F7CE3A4" w14:textId="77777777" w:rsidR="00D86D46" w:rsidRPr="009E58F7" w:rsidRDefault="00D86D46" w:rsidP="007070F2">
            <w:pPr>
              <w:spacing w:line="240" w:lineRule="auto"/>
              <w:contextualSpacing/>
              <w:jc w:val="center"/>
            </w:pPr>
          </w:p>
        </w:tc>
        <w:tc>
          <w:tcPr>
            <w:tcW w:w="3332" w:type="dxa"/>
            <w:gridSpan w:val="2"/>
            <w:vAlign w:val="bottom"/>
          </w:tcPr>
          <w:p w14:paraId="0535F4C1" w14:textId="77777777" w:rsidR="00D86D46" w:rsidRPr="009E58F7" w:rsidRDefault="00D86D46" w:rsidP="007070F2">
            <w:pPr>
              <w:spacing w:line="240" w:lineRule="auto"/>
              <w:contextualSpacing/>
              <w:jc w:val="center"/>
            </w:pPr>
            <w:r w:rsidRPr="009E58F7">
              <w:t>52(36)</w:t>
            </w:r>
          </w:p>
        </w:tc>
      </w:tr>
      <w:tr w:rsidR="00D86D46" w:rsidRPr="009E58F7" w14:paraId="21366C4F" w14:textId="77777777" w:rsidTr="007070F2">
        <w:trPr>
          <w:gridAfter w:val="1"/>
          <w:wAfter w:w="40" w:type="dxa"/>
          <w:trHeight w:val="252"/>
        </w:trPr>
        <w:tc>
          <w:tcPr>
            <w:tcW w:w="3520" w:type="dxa"/>
            <w:tcBorders>
              <w:bottom w:val="single" w:sz="8" w:space="0" w:color="auto"/>
            </w:tcBorders>
            <w:vAlign w:val="bottom"/>
          </w:tcPr>
          <w:p w14:paraId="21DB95E6" w14:textId="77777777" w:rsidR="00D86D46" w:rsidRPr="009E58F7" w:rsidRDefault="00D86D46" w:rsidP="007070F2">
            <w:pPr>
              <w:spacing w:line="240" w:lineRule="auto"/>
              <w:contextualSpacing/>
              <w:jc w:val="both"/>
            </w:pPr>
            <w:r w:rsidRPr="009E58F7">
              <w:t>nCR n (%)</w:t>
            </w:r>
          </w:p>
        </w:tc>
        <w:tc>
          <w:tcPr>
            <w:tcW w:w="1840" w:type="dxa"/>
            <w:gridSpan w:val="3"/>
            <w:tcBorders>
              <w:bottom w:val="single" w:sz="8" w:space="0" w:color="auto"/>
            </w:tcBorders>
          </w:tcPr>
          <w:p w14:paraId="00125480" w14:textId="77777777" w:rsidR="00D86D46" w:rsidRPr="009E58F7" w:rsidRDefault="00D86D46" w:rsidP="007070F2">
            <w:pPr>
              <w:spacing w:line="240" w:lineRule="auto"/>
              <w:contextualSpacing/>
              <w:jc w:val="center"/>
            </w:pPr>
            <w:r w:rsidRPr="009E58F7">
              <w:t>4 (5)</w:t>
            </w:r>
          </w:p>
        </w:tc>
        <w:tc>
          <w:tcPr>
            <w:tcW w:w="360" w:type="dxa"/>
            <w:gridSpan w:val="2"/>
            <w:tcBorders>
              <w:bottom w:val="single" w:sz="8" w:space="0" w:color="auto"/>
            </w:tcBorders>
            <w:vAlign w:val="bottom"/>
          </w:tcPr>
          <w:p w14:paraId="5A4071F7" w14:textId="77777777" w:rsidR="00D86D46" w:rsidRPr="009E58F7" w:rsidRDefault="00D86D46" w:rsidP="007070F2">
            <w:pPr>
              <w:spacing w:line="240" w:lineRule="auto"/>
              <w:contextualSpacing/>
              <w:jc w:val="center"/>
            </w:pPr>
          </w:p>
        </w:tc>
        <w:tc>
          <w:tcPr>
            <w:tcW w:w="3332" w:type="dxa"/>
            <w:gridSpan w:val="2"/>
            <w:tcBorders>
              <w:bottom w:val="single" w:sz="8" w:space="0" w:color="auto"/>
            </w:tcBorders>
            <w:vAlign w:val="bottom"/>
          </w:tcPr>
          <w:p w14:paraId="7560E4CC" w14:textId="77777777" w:rsidR="00D86D46" w:rsidRPr="009E58F7" w:rsidRDefault="00D86D46" w:rsidP="007070F2">
            <w:pPr>
              <w:spacing w:line="240" w:lineRule="auto"/>
              <w:contextualSpacing/>
              <w:jc w:val="center"/>
            </w:pPr>
            <w:r w:rsidRPr="009E58F7">
              <w:t>9(6)</w:t>
            </w:r>
          </w:p>
        </w:tc>
      </w:tr>
      <w:tr w:rsidR="00D86D46" w:rsidRPr="009E58F7" w14:paraId="681CF0DA" w14:textId="77777777" w:rsidTr="007070F2">
        <w:trPr>
          <w:gridAfter w:val="1"/>
          <w:wAfter w:w="40" w:type="dxa"/>
          <w:trHeight w:val="214"/>
        </w:trPr>
        <w:tc>
          <w:tcPr>
            <w:tcW w:w="3520" w:type="dxa"/>
            <w:vAlign w:val="bottom"/>
          </w:tcPr>
          <w:p w14:paraId="6EC7E8CF" w14:textId="77777777" w:rsidR="00D86D46" w:rsidRPr="009E58F7" w:rsidRDefault="00D86D46" w:rsidP="007070F2">
            <w:pPr>
              <w:spacing w:line="240" w:lineRule="auto"/>
              <w:contextualSpacing/>
              <w:jc w:val="both"/>
            </w:pPr>
            <w:r w:rsidRPr="009E58F7">
              <w:rPr>
                <w:b/>
                <w:bCs/>
              </w:rPr>
              <w:t>8 ciklus válaszaránya n (%)</w:t>
            </w:r>
          </w:p>
        </w:tc>
        <w:tc>
          <w:tcPr>
            <w:tcW w:w="1140" w:type="dxa"/>
            <w:gridSpan w:val="2"/>
            <w:vAlign w:val="bottom"/>
          </w:tcPr>
          <w:p w14:paraId="063B3547" w14:textId="77777777" w:rsidR="00D86D46" w:rsidRPr="009E58F7" w:rsidRDefault="00D86D46" w:rsidP="007070F2">
            <w:pPr>
              <w:spacing w:line="240" w:lineRule="auto"/>
              <w:contextualSpacing/>
              <w:jc w:val="center"/>
            </w:pPr>
          </w:p>
        </w:tc>
        <w:tc>
          <w:tcPr>
            <w:tcW w:w="700" w:type="dxa"/>
            <w:vAlign w:val="bottom"/>
          </w:tcPr>
          <w:p w14:paraId="2877A3CF" w14:textId="77777777" w:rsidR="00D86D46" w:rsidRPr="009E58F7" w:rsidRDefault="00D86D46" w:rsidP="007070F2">
            <w:pPr>
              <w:spacing w:line="240" w:lineRule="auto"/>
              <w:contextualSpacing/>
              <w:jc w:val="center"/>
            </w:pPr>
          </w:p>
        </w:tc>
        <w:tc>
          <w:tcPr>
            <w:tcW w:w="360" w:type="dxa"/>
            <w:gridSpan w:val="2"/>
            <w:vAlign w:val="bottom"/>
          </w:tcPr>
          <w:p w14:paraId="10D40CD3" w14:textId="77777777" w:rsidR="00D86D46" w:rsidRPr="009E58F7" w:rsidRDefault="00D86D46" w:rsidP="007070F2">
            <w:pPr>
              <w:spacing w:line="240" w:lineRule="auto"/>
              <w:contextualSpacing/>
              <w:jc w:val="center"/>
            </w:pPr>
          </w:p>
        </w:tc>
        <w:tc>
          <w:tcPr>
            <w:tcW w:w="1440" w:type="dxa"/>
            <w:vAlign w:val="bottom"/>
          </w:tcPr>
          <w:p w14:paraId="31FCBF37" w14:textId="77777777" w:rsidR="00D86D46" w:rsidRPr="009E58F7" w:rsidRDefault="00D86D46" w:rsidP="007070F2">
            <w:pPr>
              <w:spacing w:line="240" w:lineRule="auto"/>
              <w:contextualSpacing/>
              <w:jc w:val="center"/>
            </w:pPr>
          </w:p>
        </w:tc>
        <w:tc>
          <w:tcPr>
            <w:tcW w:w="1892" w:type="dxa"/>
            <w:vAlign w:val="bottom"/>
          </w:tcPr>
          <w:p w14:paraId="48405C2C" w14:textId="77777777" w:rsidR="00D86D46" w:rsidRPr="009E58F7" w:rsidRDefault="00D86D46" w:rsidP="007070F2">
            <w:pPr>
              <w:spacing w:line="240" w:lineRule="auto"/>
              <w:contextualSpacing/>
              <w:jc w:val="center"/>
            </w:pPr>
          </w:p>
        </w:tc>
      </w:tr>
      <w:tr w:rsidR="00D86D46" w:rsidRPr="009E58F7" w14:paraId="28A29CDE" w14:textId="77777777" w:rsidTr="007070F2">
        <w:trPr>
          <w:gridAfter w:val="1"/>
          <w:wAfter w:w="40" w:type="dxa"/>
          <w:trHeight w:val="228"/>
        </w:trPr>
        <w:tc>
          <w:tcPr>
            <w:tcW w:w="3520" w:type="dxa"/>
            <w:vAlign w:val="bottom"/>
          </w:tcPr>
          <w:p w14:paraId="6D8D8EC5" w14:textId="77777777" w:rsidR="00D86D46" w:rsidRPr="009E58F7" w:rsidRDefault="00D86D46" w:rsidP="007070F2">
            <w:pPr>
              <w:spacing w:line="240" w:lineRule="auto"/>
              <w:contextualSpacing/>
              <w:jc w:val="both"/>
            </w:pPr>
            <w:r w:rsidRPr="009E58F7">
              <w:t>ORR (CR+PR)</w:t>
            </w:r>
          </w:p>
        </w:tc>
        <w:tc>
          <w:tcPr>
            <w:tcW w:w="1840" w:type="dxa"/>
            <w:gridSpan w:val="3"/>
            <w:vAlign w:val="bottom"/>
          </w:tcPr>
          <w:p w14:paraId="6AAAFC39" w14:textId="77777777" w:rsidR="00D86D46" w:rsidRPr="009E58F7" w:rsidRDefault="00D86D46" w:rsidP="007070F2">
            <w:pPr>
              <w:spacing w:line="240" w:lineRule="auto"/>
              <w:contextualSpacing/>
              <w:jc w:val="center"/>
            </w:pPr>
            <w:r w:rsidRPr="009E58F7">
              <w:t>38(52)</w:t>
            </w:r>
          </w:p>
        </w:tc>
        <w:tc>
          <w:tcPr>
            <w:tcW w:w="360" w:type="dxa"/>
            <w:gridSpan w:val="2"/>
            <w:vAlign w:val="bottom"/>
          </w:tcPr>
          <w:p w14:paraId="3C9AFCD6" w14:textId="77777777" w:rsidR="00D86D46" w:rsidRPr="009E58F7" w:rsidRDefault="00D86D46" w:rsidP="007070F2">
            <w:pPr>
              <w:spacing w:line="240" w:lineRule="auto"/>
              <w:contextualSpacing/>
              <w:jc w:val="center"/>
            </w:pPr>
          </w:p>
        </w:tc>
        <w:tc>
          <w:tcPr>
            <w:tcW w:w="3332" w:type="dxa"/>
            <w:gridSpan w:val="2"/>
            <w:vAlign w:val="bottom"/>
          </w:tcPr>
          <w:p w14:paraId="20E26753" w14:textId="77777777" w:rsidR="00D86D46" w:rsidRPr="009E58F7" w:rsidRDefault="00D86D46" w:rsidP="007070F2">
            <w:pPr>
              <w:spacing w:line="240" w:lineRule="auto"/>
              <w:contextualSpacing/>
              <w:jc w:val="center"/>
            </w:pPr>
            <w:r w:rsidRPr="009E58F7">
              <w:t>76(52)</w:t>
            </w:r>
          </w:p>
        </w:tc>
      </w:tr>
      <w:tr w:rsidR="00D86D46" w:rsidRPr="009E58F7" w14:paraId="10D7CB77" w14:textId="77777777" w:rsidTr="007070F2">
        <w:trPr>
          <w:gridAfter w:val="1"/>
          <w:wAfter w:w="40" w:type="dxa"/>
          <w:trHeight w:val="248"/>
        </w:trPr>
        <w:tc>
          <w:tcPr>
            <w:tcW w:w="3520" w:type="dxa"/>
            <w:vAlign w:val="bottom"/>
          </w:tcPr>
          <w:p w14:paraId="2824FD83" w14:textId="77777777" w:rsidR="00D86D46" w:rsidRPr="009E58F7" w:rsidRDefault="00D86D46" w:rsidP="007070F2">
            <w:pPr>
              <w:spacing w:line="240" w:lineRule="auto"/>
              <w:contextualSpacing/>
              <w:jc w:val="both"/>
            </w:pPr>
            <w:r w:rsidRPr="009E58F7">
              <w:t>p-érték</w:t>
            </w:r>
            <w:r w:rsidRPr="009E58F7">
              <w:rPr>
                <w:vertAlign w:val="superscript"/>
              </w:rPr>
              <w:t>a</w:t>
            </w:r>
          </w:p>
        </w:tc>
        <w:tc>
          <w:tcPr>
            <w:tcW w:w="5532" w:type="dxa"/>
            <w:gridSpan w:val="7"/>
            <w:vAlign w:val="bottom"/>
          </w:tcPr>
          <w:p w14:paraId="62AC8E31" w14:textId="5E0D6087" w:rsidR="00D86D46" w:rsidRPr="009E58F7" w:rsidRDefault="00D86D46" w:rsidP="007070F2">
            <w:pPr>
              <w:spacing w:line="240" w:lineRule="auto"/>
              <w:contextualSpacing/>
              <w:jc w:val="center"/>
            </w:pPr>
            <w:r w:rsidRPr="009E58F7">
              <w:t>0,0001</w:t>
            </w:r>
          </w:p>
        </w:tc>
      </w:tr>
      <w:tr w:rsidR="00D86D46" w:rsidRPr="009E58F7" w14:paraId="7EB77907" w14:textId="77777777" w:rsidTr="007070F2">
        <w:trPr>
          <w:gridAfter w:val="1"/>
          <w:wAfter w:w="40" w:type="dxa"/>
          <w:trHeight w:val="236"/>
        </w:trPr>
        <w:tc>
          <w:tcPr>
            <w:tcW w:w="3520" w:type="dxa"/>
            <w:vAlign w:val="bottom"/>
          </w:tcPr>
          <w:p w14:paraId="7D07790F" w14:textId="77777777" w:rsidR="00D86D46" w:rsidRPr="009E58F7" w:rsidRDefault="00D86D46" w:rsidP="007070F2">
            <w:pPr>
              <w:spacing w:line="240" w:lineRule="auto"/>
              <w:contextualSpacing/>
              <w:jc w:val="both"/>
            </w:pPr>
            <w:r w:rsidRPr="009E58F7">
              <w:t>CR n (%)</w:t>
            </w:r>
          </w:p>
        </w:tc>
        <w:tc>
          <w:tcPr>
            <w:tcW w:w="1840" w:type="dxa"/>
            <w:gridSpan w:val="3"/>
            <w:vAlign w:val="bottom"/>
          </w:tcPr>
          <w:p w14:paraId="22BC3C25" w14:textId="77777777" w:rsidR="00D86D46" w:rsidRPr="009E58F7" w:rsidRDefault="00D86D46" w:rsidP="007070F2">
            <w:pPr>
              <w:spacing w:line="240" w:lineRule="auto"/>
              <w:contextualSpacing/>
              <w:jc w:val="center"/>
            </w:pPr>
            <w:r w:rsidRPr="009E58F7">
              <w:t>9 (12)</w:t>
            </w:r>
          </w:p>
        </w:tc>
        <w:tc>
          <w:tcPr>
            <w:tcW w:w="360" w:type="dxa"/>
            <w:gridSpan w:val="2"/>
            <w:vAlign w:val="bottom"/>
          </w:tcPr>
          <w:p w14:paraId="2A5C2F7C" w14:textId="77777777" w:rsidR="00D86D46" w:rsidRPr="009E58F7" w:rsidRDefault="00D86D46" w:rsidP="007070F2">
            <w:pPr>
              <w:spacing w:line="240" w:lineRule="auto"/>
              <w:contextualSpacing/>
              <w:jc w:val="center"/>
            </w:pPr>
          </w:p>
        </w:tc>
        <w:tc>
          <w:tcPr>
            <w:tcW w:w="3332" w:type="dxa"/>
            <w:gridSpan w:val="2"/>
            <w:vAlign w:val="bottom"/>
          </w:tcPr>
          <w:p w14:paraId="2D966BEF" w14:textId="77777777" w:rsidR="00D86D46" w:rsidRPr="009E58F7" w:rsidRDefault="00D86D46" w:rsidP="007070F2">
            <w:pPr>
              <w:spacing w:line="240" w:lineRule="auto"/>
              <w:contextualSpacing/>
              <w:jc w:val="center"/>
            </w:pPr>
            <w:r w:rsidRPr="009E58F7">
              <w:t>15(10)</w:t>
            </w:r>
          </w:p>
        </w:tc>
      </w:tr>
      <w:tr w:rsidR="00D86D46" w:rsidRPr="009E58F7" w14:paraId="6CECF78E" w14:textId="77777777" w:rsidTr="007070F2">
        <w:trPr>
          <w:gridAfter w:val="1"/>
          <w:wAfter w:w="40" w:type="dxa"/>
          <w:trHeight w:val="239"/>
        </w:trPr>
        <w:tc>
          <w:tcPr>
            <w:tcW w:w="3520" w:type="dxa"/>
            <w:vAlign w:val="bottom"/>
          </w:tcPr>
          <w:p w14:paraId="3B5851A0" w14:textId="77777777" w:rsidR="00D86D46" w:rsidRPr="009E58F7" w:rsidRDefault="00D86D46" w:rsidP="007070F2">
            <w:pPr>
              <w:spacing w:line="240" w:lineRule="auto"/>
              <w:contextualSpacing/>
              <w:jc w:val="both"/>
            </w:pPr>
            <w:r w:rsidRPr="009E58F7">
              <w:t>PR n (%)</w:t>
            </w:r>
          </w:p>
        </w:tc>
        <w:tc>
          <w:tcPr>
            <w:tcW w:w="1840" w:type="dxa"/>
            <w:gridSpan w:val="3"/>
            <w:vAlign w:val="bottom"/>
          </w:tcPr>
          <w:p w14:paraId="46402EE8" w14:textId="77777777" w:rsidR="00D86D46" w:rsidRPr="009E58F7" w:rsidRDefault="00D86D46" w:rsidP="007070F2">
            <w:pPr>
              <w:spacing w:line="240" w:lineRule="auto"/>
              <w:contextualSpacing/>
              <w:jc w:val="center"/>
            </w:pPr>
            <w:r w:rsidRPr="009E58F7">
              <w:t>29(40)</w:t>
            </w:r>
          </w:p>
        </w:tc>
        <w:tc>
          <w:tcPr>
            <w:tcW w:w="360" w:type="dxa"/>
            <w:gridSpan w:val="2"/>
            <w:vAlign w:val="bottom"/>
          </w:tcPr>
          <w:p w14:paraId="27545492" w14:textId="77777777" w:rsidR="00D86D46" w:rsidRPr="009E58F7" w:rsidRDefault="00D86D46" w:rsidP="007070F2">
            <w:pPr>
              <w:spacing w:line="240" w:lineRule="auto"/>
              <w:contextualSpacing/>
              <w:jc w:val="center"/>
            </w:pPr>
          </w:p>
        </w:tc>
        <w:tc>
          <w:tcPr>
            <w:tcW w:w="3332" w:type="dxa"/>
            <w:gridSpan w:val="2"/>
            <w:vAlign w:val="bottom"/>
          </w:tcPr>
          <w:p w14:paraId="693D3A28" w14:textId="77777777" w:rsidR="00D86D46" w:rsidRPr="009E58F7" w:rsidRDefault="00D86D46" w:rsidP="007070F2">
            <w:pPr>
              <w:spacing w:line="240" w:lineRule="auto"/>
              <w:contextualSpacing/>
              <w:jc w:val="center"/>
            </w:pPr>
            <w:r w:rsidRPr="009E58F7">
              <w:t>61(42)</w:t>
            </w:r>
          </w:p>
        </w:tc>
      </w:tr>
      <w:tr w:rsidR="00D86D46" w:rsidRPr="009E58F7" w14:paraId="7046C550" w14:textId="77777777" w:rsidTr="007070F2">
        <w:trPr>
          <w:gridAfter w:val="1"/>
          <w:wAfter w:w="40" w:type="dxa"/>
          <w:trHeight w:val="252"/>
        </w:trPr>
        <w:tc>
          <w:tcPr>
            <w:tcW w:w="3520" w:type="dxa"/>
            <w:tcBorders>
              <w:bottom w:val="single" w:sz="8" w:space="0" w:color="auto"/>
            </w:tcBorders>
            <w:vAlign w:val="bottom"/>
          </w:tcPr>
          <w:p w14:paraId="4D2A815F" w14:textId="77777777" w:rsidR="00D86D46" w:rsidRPr="009E58F7" w:rsidRDefault="00D86D46" w:rsidP="007070F2">
            <w:pPr>
              <w:spacing w:line="240" w:lineRule="auto"/>
              <w:contextualSpacing/>
              <w:jc w:val="both"/>
            </w:pPr>
            <w:r w:rsidRPr="009E58F7">
              <w:t>nCR n (%)</w:t>
            </w:r>
          </w:p>
        </w:tc>
        <w:tc>
          <w:tcPr>
            <w:tcW w:w="1840" w:type="dxa"/>
            <w:gridSpan w:val="3"/>
            <w:tcBorders>
              <w:bottom w:val="single" w:sz="8" w:space="0" w:color="auto"/>
            </w:tcBorders>
            <w:vAlign w:val="bottom"/>
          </w:tcPr>
          <w:p w14:paraId="72B1EAE2" w14:textId="77777777" w:rsidR="00D86D46" w:rsidRPr="009E58F7" w:rsidRDefault="00D86D46" w:rsidP="007070F2">
            <w:pPr>
              <w:spacing w:line="240" w:lineRule="auto"/>
              <w:contextualSpacing/>
              <w:jc w:val="center"/>
            </w:pPr>
            <w:r w:rsidRPr="009E58F7">
              <w:t>7 (10)</w:t>
            </w:r>
          </w:p>
        </w:tc>
        <w:tc>
          <w:tcPr>
            <w:tcW w:w="360" w:type="dxa"/>
            <w:gridSpan w:val="2"/>
            <w:tcBorders>
              <w:bottom w:val="single" w:sz="8" w:space="0" w:color="auto"/>
            </w:tcBorders>
            <w:vAlign w:val="bottom"/>
          </w:tcPr>
          <w:p w14:paraId="2E8CC3FB" w14:textId="77777777" w:rsidR="00D86D46" w:rsidRPr="009E58F7" w:rsidRDefault="00D86D46" w:rsidP="007070F2">
            <w:pPr>
              <w:spacing w:line="240" w:lineRule="auto"/>
              <w:contextualSpacing/>
              <w:jc w:val="center"/>
            </w:pPr>
          </w:p>
        </w:tc>
        <w:tc>
          <w:tcPr>
            <w:tcW w:w="3332" w:type="dxa"/>
            <w:gridSpan w:val="2"/>
            <w:tcBorders>
              <w:bottom w:val="single" w:sz="8" w:space="0" w:color="auto"/>
            </w:tcBorders>
            <w:vAlign w:val="bottom"/>
          </w:tcPr>
          <w:p w14:paraId="694752F7" w14:textId="77777777" w:rsidR="00D86D46" w:rsidRPr="009E58F7" w:rsidRDefault="00D86D46" w:rsidP="007070F2">
            <w:pPr>
              <w:spacing w:line="240" w:lineRule="auto"/>
              <w:contextualSpacing/>
              <w:jc w:val="center"/>
            </w:pPr>
            <w:r w:rsidRPr="009E58F7">
              <w:t>14(10)</w:t>
            </w:r>
          </w:p>
        </w:tc>
      </w:tr>
      <w:tr w:rsidR="00D86D46" w:rsidRPr="009E58F7" w14:paraId="5788DA31" w14:textId="77777777" w:rsidTr="007070F2">
        <w:trPr>
          <w:gridAfter w:val="1"/>
          <w:wAfter w:w="40" w:type="dxa"/>
          <w:trHeight w:val="228"/>
        </w:trPr>
        <w:tc>
          <w:tcPr>
            <w:tcW w:w="3520" w:type="dxa"/>
            <w:vAlign w:val="bottom"/>
          </w:tcPr>
          <w:p w14:paraId="0A251F2E" w14:textId="77777777" w:rsidR="00D86D46" w:rsidRPr="009E58F7" w:rsidRDefault="00D86D46" w:rsidP="007070F2">
            <w:pPr>
              <w:spacing w:line="240" w:lineRule="auto"/>
              <w:contextualSpacing/>
              <w:jc w:val="both"/>
            </w:pPr>
            <w:r w:rsidRPr="009E58F7">
              <w:rPr>
                <w:b/>
                <w:bCs/>
              </w:rPr>
              <w:t>Kezelésbe bevont betegcsoport</w:t>
            </w:r>
            <w:r w:rsidRPr="00E26B3B">
              <w:rPr>
                <w:vertAlign w:val="superscript"/>
              </w:rPr>
              <w:t>b</w:t>
            </w:r>
          </w:p>
        </w:tc>
        <w:tc>
          <w:tcPr>
            <w:tcW w:w="1840" w:type="dxa"/>
            <w:gridSpan w:val="3"/>
            <w:vAlign w:val="bottom"/>
          </w:tcPr>
          <w:p w14:paraId="4D29D1D2" w14:textId="6A0021E0" w:rsidR="00D86D46" w:rsidRPr="009E58F7" w:rsidRDefault="00D86D46" w:rsidP="007070F2">
            <w:pPr>
              <w:spacing w:line="240" w:lineRule="auto"/>
              <w:contextualSpacing/>
              <w:jc w:val="center"/>
            </w:pPr>
            <w:r w:rsidRPr="009E58F7">
              <w:rPr>
                <w:b/>
                <w:bCs/>
              </w:rPr>
              <w:t>n = 74</w:t>
            </w:r>
          </w:p>
        </w:tc>
        <w:tc>
          <w:tcPr>
            <w:tcW w:w="360" w:type="dxa"/>
            <w:gridSpan w:val="2"/>
            <w:tcBorders>
              <w:top w:val="single" w:sz="8" w:space="0" w:color="auto"/>
              <w:bottom w:val="single" w:sz="8" w:space="0" w:color="auto"/>
            </w:tcBorders>
            <w:vAlign w:val="bottom"/>
          </w:tcPr>
          <w:p w14:paraId="58634246" w14:textId="77777777" w:rsidR="00D86D46" w:rsidRPr="009E58F7" w:rsidRDefault="00D86D46" w:rsidP="007070F2">
            <w:pPr>
              <w:spacing w:line="240" w:lineRule="auto"/>
              <w:contextualSpacing/>
              <w:jc w:val="center"/>
            </w:pPr>
          </w:p>
        </w:tc>
        <w:tc>
          <w:tcPr>
            <w:tcW w:w="3332" w:type="dxa"/>
            <w:gridSpan w:val="2"/>
            <w:tcBorders>
              <w:top w:val="single" w:sz="8" w:space="0" w:color="auto"/>
              <w:bottom w:val="single" w:sz="8" w:space="0" w:color="auto"/>
            </w:tcBorders>
            <w:vAlign w:val="bottom"/>
          </w:tcPr>
          <w:p w14:paraId="72F2613A" w14:textId="523F0126" w:rsidR="00D86D46" w:rsidRPr="009E58F7" w:rsidRDefault="00D86D46" w:rsidP="007070F2">
            <w:pPr>
              <w:spacing w:line="240" w:lineRule="auto"/>
              <w:contextualSpacing/>
              <w:jc w:val="center"/>
            </w:pPr>
            <w:r w:rsidRPr="009E58F7">
              <w:rPr>
                <w:b/>
                <w:bCs/>
              </w:rPr>
              <w:t>n = 148</w:t>
            </w:r>
          </w:p>
        </w:tc>
      </w:tr>
      <w:tr w:rsidR="00DD7D3B" w:rsidRPr="009E58F7" w14:paraId="6B42C040" w14:textId="77777777" w:rsidTr="007070F2">
        <w:trPr>
          <w:trHeight w:val="243"/>
        </w:trPr>
        <w:tc>
          <w:tcPr>
            <w:tcW w:w="3640" w:type="dxa"/>
            <w:gridSpan w:val="2"/>
            <w:tcBorders>
              <w:top w:val="single" w:sz="8" w:space="0" w:color="auto"/>
            </w:tcBorders>
            <w:vAlign w:val="bottom"/>
          </w:tcPr>
          <w:p w14:paraId="7D8952A7" w14:textId="7DA5D354" w:rsidR="00DD7D3B" w:rsidRPr="009E58F7" w:rsidRDefault="00DD7D3B" w:rsidP="00D7256D">
            <w:pPr>
              <w:spacing w:line="240" w:lineRule="auto"/>
              <w:contextualSpacing/>
            </w:pPr>
            <w:bookmarkStart w:id="44" w:name="page62"/>
            <w:bookmarkEnd w:id="44"/>
            <w:r w:rsidRPr="009E58F7">
              <w:rPr>
                <w:b/>
                <w:bCs/>
              </w:rPr>
              <w:t>TTP, hónap</w:t>
            </w:r>
          </w:p>
        </w:tc>
        <w:tc>
          <w:tcPr>
            <w:tcW w:w="1820" w:type="dxa"/>
            <w:gridSpan w:val="3"/>
            <w:tcBorders>
              <w:top w:val="single" w:sz="8" w:space="0" w:color="auto"/>
            </w:tcBorders>
            <w:vAlign w:val="bottom"/>
          </w:tcPr>
          <w:p w14:paraId="5AC75502" w14:textId="05B22503" w:rsidR="00DD7D3B" w:rsidRPr="009E58F7" w:rsidRDefault="00DD7D3B" w:rsidP="007070F2">
            <w:pPr>
              <w:spacing w:line="240" w:lineRule="auto"/>
              <w:contextualSpacing/>
              <w:jc w:val="center"/>
            </w:pPr>
            <w:r w:rsidRPr="009E58F7">
              <w:t>9,4</w:t>
            </w:r>
          </w:p>
        </w:tc>
        <w:tc>
          <w:tcPr>
            <w:tcW w:w="3632" w:type="dxa"/>
            <w:gridSpan w:val="4"/>
            <w:vMerge w:val="restart"/>
            <w:tcBorders>
              <w:top w:val="single" w:sz="8" w:space="0" w:color="auto"/>
            </w:tcBorders>
            <w:vAlign w:val="bottom"/>
          </w:tcPr>
          <w:p w14:paraId="2C150685" w14:textId="77777777" w:rsidR="00DD7D3B" w:rsidRPr="009E58F7" w:rsidRDefault="00DD7D3B" w:rsidP="007070F2">
            <w:pPr>
              <w:spacing w:line="240" w:lineRule="auto"/>
              <w:contextualSpacing/>
              <w:jc w:val="center"/>
            </w:pPr>
            <w:r w:rsidRPr="009E58F7">
              <w:t>10,4</w:t>
            </w:r>
          </w:p>
          <w:p w14:paraId="3DA7D929" w14:textId="561BF408" w:rsidR="00DD7D3B" w:rsidRPr="009E58F7" w:rsidRDefault="00DD7D3B" w:rsidP="007070F2">
            <w:pPr>
              <w:spacing w:line="240" w:lineRule="auto"/>
              <w:contextualSpacing/>
              <w:jc w:val="center"/>
            </w:pPr>
            <w:r w:rsidRPr="009E58F7">
              <w:t>(8,5; 11,7)</w:t>
            </w:r>
          </w:p>
        </w:tc>
      </w:tr>
      <w:tr w:rsidR="00DD7D3B" w:rsidRPr="009E58F7" w14:paraId="2BC8C6E6" w14:textId="77777777" w:rsidTr="007070F2">
        <w:trPr>
          <w:trHeight w:val="228"/>
        </w:trPr>
        <w:tc>
          <w:tcPr>
            <w:tcW w:w="3640" w:type="dxa"/>
            <w:gridSpan w:val="2"/>
            <w:vAlign w:val="bottom"/>
          </w:tcPr>
          <w:p w14:paraId="16D6DDFD" w14:textId="7FBDD488" w:rsidR="00DD7D3B" w:rsidRPr="009E58F7" w:rsidRDefault="00DD7D3B" w:rsidP="00D7256D">
            <w:pPr>
              <w:spacing w:line="240" w:lineRule="auto"/>
              <w:contextualSpacing/>
            </w:pPr>
            <w:r w:rsidRPr="009E58F7">
              <w:t>(95%-os CI)</w:t>
            </w:r>
          </w:p>
        </w:tc>
        <w:tc>
          <w:tcPr>
            <w:tcW w:w="1820" w:type="dxa"/>
            <w:gridSpan w:val="3"/>
            <w:vAlign w:val="bottom"/>
          </w:tcPr>
          <w:p w14:paraId="095F0C10" w14:textId="096DBFF6" w:rsidR="00DD7D3B" w:rsidRPr="009E58F7" w:rsidRDefault="00DD7D3B" w:rsidP="007070F2">
            <w:pPr>
              <w:spacing w:line="240" w:lineRule="auto"/>
              <w:contextualSpacing/>
              <w:jc w:val="center"/>
            </w:pPr>
            <w:r w:rsidRPr="009E58F7">
              <w:t>(7,6; 10,6)</w:t>
            </w:r>
          </w:p>
        </w:tc>
        <w:tc>
          <w:tcPr>
            <w:tcW w:w="3632" w:type="dxa"/>
            <w:gridSpan w:val="4"/>
            <w:vMerge/>
            <w:vAlign w:val="bottom"/>
          </w:tcPr>
          <w:p w14:paraId="1E5E895F" w14:textId="77777777" w:rsidR="00DD7D3B" w:rsidRPr="009E58F7" w:rsidRDefault="00DD7D3B" w:rsidP="007070F2">
            <w:pPr>
              <w:spacing w:line="240" w:lineRule="auto"/>
              <w:contextualSpacing/>
              <w:jc w:val="center"/>
            </w:pPr>
          </w:p>
        </w:tc>
      </w:tr>
      <w:tr w:rsidR="00DD7D3B" w:rsidRPr="009E58F7" w14:paraId="1B444D01" w14:textId="77777777" w:rsidTr="007070F2">
        <w:trPr>
          <w:trHeight w:val="238"/>
        </w:trPr>
        <w:tc>
          <w:tcPr>
            <w:tcW w:w="3640" w:type="dxa"/>
            <w:gridSpan w:val="2"/>
            <w:vAlign w:val="bottom"/>
          </w:tcPr>
          <w:p w14:paraId="5419465D" w14:textId="3E66F94A" w:rsidR="00DD7D3B" w:rsidRPr="009E58F7" w:rsidRDefault="00DD7D3B" w:rsidP="00D7256D">
            <w:pPr>
              <w:spacing w:line="240" w:lineRule="auto"/>
              <w:contextualSpacing/>
            </w:pPr>
            <w:r w:rsidRPr="009E58F7">
              <w:t>relatív hazárd (95%-os CI)</w:t>
            </w:r>
            <w:r w:rsidRPr="009E58F7">
              <w:rPr>
                <w:vertAlign w:val="superscript"/>
              </w:rPr>
              <w:t>c</w:t>
            </w:r>
          </w:p>
        </w:tc>
        <w:tc>
          <w:tcPr>
            <w:tcW w:w="5452" w:type="dxa"/>
            <w:gridSpan w:val="7"/>
            <w:vAlign w:val="bottom"/>
          </w:tcPr>
          <w:p w14:paraId="51894C63" w14:textId="4C0EFD2A" w:rsidR="00DD7D3B" w:rsidRPr="009E58F7" w:rsidRDefault="00DD7D3B" w:rsidP="007070F2">
            <w:pPr>
              <w:spacing w:line="240" w:lineRule="auto"/>
              <w:contextualSpacing/>
              <w:jc w:val="center"/>
            </w:pPr>
            <w:r w:rsidRPr="009E58F7">
              <w:t>0,839 (0,564, 1,249)</w:t>
            </w:r>
          </w:p>
        </w:tc>
      </w:tr>
      <w:tr w:rsidR="00DD7D3B" w:rsidRPr="009E58F7" w14:paraId="114AA9DF" w14:textId="77777777" w:rsidTr="007070F2">
        <w:trPr>
          <w:trHeight w:val="262"/>
        </w:trPr>
        <w:tc>
          <w:tcPr>
            <w:tcW w:w="3640" w:type="dxa"/>
            <w:gridSpan w:val="2"/>
            <w:tcBorders>
              <w:bottom w:val="single" w:sz="8" w:space="0" w:color="auto"/>
            </w:tcBorders>
            <w:vAlign w:val="bottom"/>
          </w:tcPr>
          <w:p w14:paraId="5A57D01B" w14:textId="39A726A0" w:rsidR="00DD7D3B" w:rsidRPr="009E58F7" w:rsidRDefault="00DD7D3B" w:rsidP="00D7256D">
            <w:pPr>
              <w:spacing w:line="240" w:lineRule="auto"/>
              <w:contextualSpacing/>
            </w:pPr>
            <w:r w:rsidRPr="009E58F7">
              <w:t>p</w:t>
            </w:r>
            <w:r w:rsidR="003F0F42">
              <w:t>-</w:t>
            </w:r>
            <w:r w:rsidRPr="009E58F7">
              <w:t>érték</w:t>
            </w:r>
            <w:r w:rsidRPr="009E58F7">
              <w:rPr>
                <w:vertAlign w:val="superscript"/>
              </w:rPr>
              <w:t>d</w:t>
            </w:r>
          </w:p>
        </w:tc>
        <w:tc>
          <w:tcPr>
            <w:tcW w:w="5452" w:type="dxa"/>
            <w:gridSpan w:val="7"/>
            <w:tcBorders>
              <w:bottom w:val="single" w:sz="8" w:space="0" w:color="auto"/>
            </w:tcBorders>
            <w:vAlign w:val="bottom"/>
          </w:tcPr>
          <w:p w14:paraId="2383C5DE" w14:textId="68AD513F" w:rsidR="00DD7D3B" w:rsidRPr="009E58F7" w:rsidRDefault="00DD7D3B" w:rsidP="007070F2">
            <w:pPr>
              <w:spacing w:line="240" w:lineRule="auto"/>
              <w:contextualSpacing/>
              <w:jc w:val="center"/>
            </w:pPr>
            <w:r w:rsidRPr="009E58F7">
              <w:t>0,38657</w:t>
            </w:r>
          </w:p>
        </w:tc>
      </w:tr>
      <w:tr w:rsidR="00DD7D3B" w:rsidRPr="009E58F7" w14:paraId="3FEF85D1" w14:textId="77777777" w:rsidTr="007070F2">
        <w:trPr>
          <w:trHeight w:val="223"/>
        </w:trPr>
        <w:tc>
          <w:tcPr>
            <w:tcW w:w="3640" w:type="dxa"/>
            <w:gridSpan w:val="2"/>
            <w:vAlign w:val="bottom"/>
          </w:tcPr>
          <w:p w14:paraId="61D0080E" w14:textId="6D71E418" w:rsidR="00DD7D3B" w:rsidRPr="009E58F7" w:rsidRDefault="00DD7D3B" w:rsidP="00D7256D">
            <w:pPr>
              <w:spacing w:line="240" w:lineRule="auto"/>
              <w:contextualSpacing/>
            </w:pPr>
            <w:r w:rsidRPr="009E58F7">
              <w:rPr>
                <w:b/>
                <w:bCs/>
              </w:rPr>
              <w:t>Progressziómentes túlélés, hónap</w:t>
            </w:r>
          </w:p>
        </w:tc>
        <w:tc>
          <w:tcPr>
            <w:tcW w:w="1820" w:type="dxa"/>
            <w:gridSpan w:val="3"/>
            <w:vAlign w:val="bottom"/>
          </w:tcPr>
          <w:p w14:paraId="1DA99939" w14:textId="33C1905C" w:rsidR="00DD7D3B" w:rsidRPr="009E58F7" w:rsidRDefault="00DD7D3B" w:rsidP="007070F2">
            <w:pPr>
              <w:spacing w:line="240" w:lineRule="auto"/>
              <w:contextualSpacing/>
              <w:jc w:val="center"/>
            </w:pPr>
            <w:r w:rsidRPr="009E58F7">
              <w:t>8,0</w:t>
            </w:r>
          </w:p>
        </w:tc>
        <w:tc>
          <w:tcPr>
            <w:tcW w:w="3632" w:type="dxa"/>
            <w:gridSpan w:val="4"/>
            <w:vAlign w:val="bottom"/>
          </w:tcPr>
          <w:p w14:paraId="0E67D1FD" w14:textId="77777777" w:rsidR="00DD7D3B" w:rsidRPr="009E58F7" w:rsidRDefault="00DD7D3B" w:rsidP="007070F2">
            <w:pPr>
              <w:spacing w:line="240" w:lineRule="auto"/>
              <w:contextualSpacing/>
              <w:jc w:val="center"/>
            </w:pPr>
            <w:r w:rsidRPr="009E58F7">
              <w:t>10,2</w:t>
            </w:r>
          </w:p>
        </w:tc>
      </w:tr>
      <w:tr w:rsidR="00DD7D3B" w:rsidRPr="009E58F7" w14:paraId="651ECD03" w14:textId="77777777" w:rsidTr="007070F2">
        <w:trPr>
          <w:trHeight w:val="228"/>
        </w:trPr>
        <w:tc>
          <w:tcPr>
            <w:tcW w:w="3640" w:type="dxa"/>
            <w:gridSpan w:val="2"/>
            <w:vAlign w:val="bottom"/>
          </w:tcPr>
          <w:p w14:paraId="38150E02" w14:textId="559CF938" w:rsidR="00DD7D3B" w:rsidRPr="009E58F7" w:rsidRDefault="00DD7D3B" w:rsidP="00D7256D">
            <w:pPr>
              <w:spacing w:line="240" w:lineRule="auto"/>
              <w:contextualSpacing/>
            </w:pPr>
            <w:r w:rsidRPr="009E58F7">
              <w:t>(95%-os CI)</w:t>
            </w:r>
          </w:p>
        </w:tc>
        <w:tc>
          <w:tcPr>
            <w:tcW w:w="1820" w:type="dxa"/>
            <w:gridSpan w:val="3"/>
            <w:vAlign w:val="bottom"/>
          </w:tcPr>
          <w:p w14:paraId="4A291046" w14:textId="5269E6CE" w:rsidR="00DD7D3B" w:rsidRPr="009E58F7" w:rsidRDefault="00DD7D3B" w:rsidP="007070F2">
            <w:pPr>
              <w:spacing w:line="240" w:lineRule="auto"/>
              <w:contextualSpacing/>
              <w:jc w:val="center"/>
            </w:pPr>
            <w:r w:rsidRPr="009E58F7">
              <w:t>(6,7; 9,8)</w:t>
            </w:r>
          </w:p>
        </w:tc>
        <w:tc>
          <w:tcPr>
            <w:tcW w:w="3632" w:type="dxa"/>
            <w:gridSpan w:val="4"/>
            <w:vAlign w:val="bottom"/>
          </w:tcPr>
          <w:p w14:paraId="24622B2B" w14:textId="43C84DA5" w:rsidR="00DD7D3B" w:rsidRPr="009E58F7" w:rsidRDefault="00DD7D3B" w:rsidP="007070F2">
            <w:pPr>
              <w:spacing w:line="240" w:lineRule="auto"/>
              <w:contextualSpacing/>
              <w:jc w:val="center"/>
            </w:pPr>
            <w:r w:rsidRPr="009E58F7">
              <w:t>(8,1; 10,8)</w:t>
            </w:r>
          </w:p>
        </w:tc>
      </w:tr>
      <w:tr w:rsidR="00DD7D3B" w:rsidRPr="009E58F7" w14:paraId="2E0EE038" w14:textId="77777777" w:rsidTr="007070F2">
        <w:trPr>
          <w:trHeight w:val="247"/>
        </w:trPr>
        <w:tc>
          <w:tcPr>
            <w:tcW w:w="3640" w:type="dxa"/>
            <w:gridSpan w:val="2"/>
            <w:vAlign w:val="bottom"/>
          </w:tcPr>
          <w:p w14:paraId="2A4BEF33" w14:textId="4B704AA1" w:rsidR="00DD7D3B" w:rsidRPr="009E58F7" w:rsidRDefault="00DD7D3B" w:rsidP="00D7256D">
            <w:pPr>
              <w:spacing w:line="240" w:lineRule="auto"/>
              <w:contextualSpacing/>
            </w:pPr>
            <w:r w:rsidRPr="009E58F7">
              <w:t>relatív hazárd (95%-os CI)</w:t>
            </w:r>
            <w:r w:rsidRPr="009E58F7">
              <w:rPr>
                <w:vertAlign w:val="superscript"/>
              </w:rPr>
              <w:t>c</w:t>
            </w:r>
          </w:p>
        </w:tc>
        <w:tc>
          <w:tcPr>
            <w:tcW w:w="5452" w:type="dxa"/>
            <w:gridSpan w:val="7"/>
            <w:vAlign w:val="bottom"/>
          </w:tcPr>
          <w:p w14:paraId="0025327F" w14:textId="1AC72CB0" w:rsidR="00DD7D3B" w:rsidRPr="009E58F7" w:rsidRDefault="00DD7D3B" w:rsidP="007070F2">
            <w:pPr>
              <w:spacing w:line="240" w:lineRule="auto"/>
              <w:contextualSpacing/>
              <w:jc w:val="center"/>
            </w:pPr>
            <w:r w:rsidRPr="009E58F7">
              <w:t>0,824 (0,574, 1,183)</w:t>
            </w:r>
          </w:p>
        </w:tc>
      </w:tr>
      <w:tr w:rsidR="00DD7D3B" w:rsidRPr="009E58F7" w14:paraId="10F2B83D" w14:textId="77777777" w:rsidTr="007070F2">
        <w:trPr>
          <w:trHeight w:val="252"/>
        </w:trPr>
        <w:tc>
          <w:tcPr>
            <w:tcW w:w="3640" w:type="dxa"/>
            <w:gridSpan w:val="2"/>
            <w:tcBorders>
              <w:bottom w:val="single" w:sz="8" w:space="0" w:color="auto"/>
            </w:tcBorders>
            <w:vAlign w:val="bottom"/>
          </w:tcPr>
          <w:p w14:paraId="720A615B" w14:textId="5C819F91" w:rsidR="00DD7D3B" w:rsidRPr="009E58F7" w:rsidRDefault="00DD7D3B" w:rsidP="00D7256D">
            <w:pPr>
              <w:spacing w:line="240" w:lineRule="auto"/>
              <w:contextualSpacing/>
            </w:pPr>
            <w:r w:rsidRPr="009E58F7">
              <w:t>p</w:t>
            </w:r>
            <w:r w:rsidR="003F0F42">
              <w:t>-</w:t>
            </w:r>
            <w:r w:rsidRPr="009E58F7">
              <w:t>érték</w:t>
            </w:r>
            <w:r w:rsidRPr="009E58F7">
              <w:rPr>
                <w:vertAlign w:val="superscript"/>
              </w:rPr>
              <w:t>d</w:t>
            </w:r>
          </w:p>
        </w:tc>
        <w:tc>
          <w:tcPr>
            <w:tcW w:w="5452" w:type="dxa"/>
            <w:gridSpan w:val="7"/>
            <w:tcBorders>
              <w:bottom w:val="single" w:sz="8" w:space="0" w:color="auto"/>
            </w:tcBorders>
            <w:vAlign w:val="bottom"/>
          </w:tcPr>
          <w:p w14:paraId="5C610467" w14:textId="3E2443E1" w:rsidR="00DD7D3B" w:rsidRPr="009E58F7" w:rsidRDefault="00DD7D3B" w:rsidP="007070F2">
            <w:pPr>
              <w:spacing w:line="240" w:lineRule="auto"/>
              <w:contextualSpacing/>
              <w:jc w:val="center"/>
            </w:pPr>
            <w:r w:rsidRPr="009E58F7">
              <w:t>0,295</w:t>
            </w:r>
          </w:p>
        </w:tc>
      </w:tr>
      <w:tr w:rsidR="00DD7D3B" w:rsidRPr="009E58F7" w14:paraId="5DCE01EE" w14:textId="77777777" w:rsidTr="007070F2">
        <w:trPr>
          <w:trHeight w:val="214"/>
        </w:trPr>
        <w:tc>
          <w:tcPr>
            <w:tcW w:w="3640" w:type="dxa"/>
            <w:gridSpan w:val="2"/>
            <w:vAlign w:val="bottom"/>
          </w:tcPr>
          <w:p w14:paraId="54B945DE" w14:textId="02F2290A" w:rsidR="00DD7D3B" w:rsidRPr="009E58F7" w:rsidRDefault="00DD7D3B" w:rsidP="00D7256D">
            <w:pPr>
              <w:spacing w:line="240" w:lineRule="auto"/>
              <w:contextualSpacing/>
            </w:pPr>
            <w:r w:rsidRPr="009E58F7">
              <w:rPr>
                <w:b/>
                <w:bCs/>
              </w:rPr>
              <w:t>1 éves összesített túlélés (%)</w:t>
            </w:r>
            <w:r w:rsidRPr="009E58F7">
              <w:rPr>
                <w:vertAlign w:val="superscript"/>
              </w:rPr>
              <w:t>e</w:t>
            </w:r>
          </w:p>
        </w:tc>
        <w:tc>
          <w:tcPr>
            <w:tcW w:w="1820" w:type="dxa"/>
            <w:gridSpan w:val="3"/>
            <w:vAlign w:val="bottom"/>
          </w:tcPr>
          <w:p w14:paraId="7BF52904" w14:textId="1345DDF1" w:rsidR="00DD7D3B" w:rsidRPr="009E58F7" w:rsidRDefault="00DD7D3B" w:rsidP="007070F2">
            <w:pPr>
              <w:spacing w:line="240" w:lineRule="auto"/>
              <w:contextualSpacing/>
              <w:jc w:val="center"/>
            </w:pPr>
            <w:r w:rsidRPr="009E58F7">
              <w:t>76,7</w:t>
            </w:r>
          </w:p>
        </w:tc>
        <w:tc>
          <w:tcPr>
            <w:tcW w:w="3632" w:type="dxa"/>
            <w:gridSpan w:val="4"/>
            <w:vAlign w:val="bottom"/>
          </w:tcPr>
          <w:p w14:paraId="0733804F" w14:textId="77777777" w:rsidR="00DD7D3B" w:rsidRPr="009E58F7" w:rsidRDefault="00DD7D3B" w:rsidP="007070F2">
            <w:pPr>
              <w:spacing w:line="240" w:lineRule="auto"/>
              <w:contextualSpacing/>
              <w:jc w:val="center"/>
            </w:pPr>
            <w:r w:rsidRPr="009E58F7">
              <w:t>72,6</w:t>
            </w:r>
          </w:p>
        </w:tc>
      </w:tr>
      <w:tr w:rsidR="00DD7D3B" w:rsidRPr="009E58F7" w14:paraId="56A62DD8" w14:textId="77777777" w:rsidTr="007070F2">
        <w:trPr>
          <w:trHeight w:val="238"/>
        </w:trPr>
        <w:tc>
          <w:tcPr>
            <w:tcW w:w="3640" w:type="dxa"/>
            <w:gridSpan w:val="2"/>
            <w:tcBorders>
              <w:bottom w:val="single" w:sz="4" w:space="0" w:color="auto"/>
            </w:tcBorders>
            <w:vAlign w:val="bottom"/>
          </w:tcPr>
          <w:p w14:paraId="0E7280B8" w14:textId="2C2A0965" w:rsidR="00DD7D3B" w:rsidRPr="009E58F7" w:rsidRDefault="00DD7D3B" w:rsidP="00D7256D">
            <w:pPr>
              <w:spacing w:line="240" w:lineRule="auto"/>
              <w:contextualSpacing/>
            </w:pPr>
            <w:r w:rsidRPr="009E58F7">
              <w:t>(95%-os CI)</w:t>
            </w:r>
          </w:p>
        </w:tc>
        <w:tc>
          <w:tcPr>
            <w:tcW w:w="1820" w:type="dxa"/>
            <w:gridSpan w:val="3"/>
            <w:tcBorders>
              <w:bottom w:val="single" w:sz="4" w:space="0" w:color="auto"/>
            </w:tcBorders>
            <w:vAlign w:val="bottom"/>
          </w:tcPr>
          <w:p w14:paraId="306F433C" w14:textId="7657807D" w:rsidR="00DD7D3B" w:rsidRPr="009E58F7" w:rsidRDefault="00DD7D3B" w:rsidP="007070F2">
            <w:pPr>
              <w:spacing w:line="240" w:lineRule="auto"/>
              <w:contextualSpacing/>
              <w:jc w:val="center"/>
            </w:pPr>
            <w:r w:rsidRPr="009E58F7">
              <w:t>(64,1; 85,4)</w:t>
            </w:r>
          </w:p>
        </w:tc>
        <w:tc>
          <w:tcPr>
            <w:tcW w:w="3632" w:type="dxa"/>
            <w:gridSpan w:val="4"/>
            <w:tcBorders>
              <w:bottom w:val="single" w:sz="4" w:space="0" w:color="auto"/>
            </w:tcBorders>
            <w:vAlign w:val="bottom"/>
          </w:tcPr>
          <w:p w14:paraId="3773202D" w14:textId="15E93B8A" w:rsidR="00DD7D3B" w:rsidRPr="009E58F7" w:rsidRDefault="00DD7D3B" w:rsidP="007070F2">
            <w:pPr>
              <w:spacing w:line="240" w:lineRule="auto"/>
              <w:contextualSpacing/>
              <w:jc w:val="center"/>
            </w:pPr>
            <w:r w:rsidRPr="009E58F7">
              <w:t>(63,1; 80,0)</w:t>
            </w:r>
          </w:p>
        </w:tc>
      </w:tr>
    </w:tbl>
    <w:p w14:paraId="1ACAF438" w14:textId="73D3568A" w:rsidR="00E11DBD" w:rsidRPr="009E58F7" w:rsidRDefault="00DD7D3B" w:rsidP="00D7256D">
      <w:pPr>
        <w:spacing w:line="240" w:lineRule="auto"/>
        <w:ind w:left="284" w:hanging="284"/>
        <w:rPr>
          <w:sz w:val="18"/>
          <w:szCs w:val="18"/>
        </w:rPr>
      </w:pPr>
      <w:r w:rsidRPr="009E58F7">
        <w:rPr>
          <w:noProof/>
          <w:sz w:val="18"/>
          <w:szCs w:val="18"/>
          <w:vertAlign w:val="superscript"/>
        </w:rPr>
        <w:t>a</w:t>
      </w:r>
      <w:r w:rsidRPr="009E58F7">
        <w:rPr>
          <w:noProof/>
          <w:sz w:val="18"/>
          <w:szCs w:val="18"/>
          <w:vertAlign w:val="superscript"/>
        </w:rPr>
        <w:tab/>
      </w:r>
      <w:r w:rsidR="00E11DBD" w:rsidRPr="009E58F7">
        <w:rPr>
          <w:sz w:val="18"/>
          <w:szCs w:val="18"/>
        </w:rPr>
        <w:t>A nem</w:t>
      </w:r>
      <w:r w:rsidR="00133EB1">
        <w:rPr>
          <w:sz w:val="18"/>
          <w:szCs w:val="18"/>
        </w:rPr>
        <w:t>-</w:t>
      </w:r>
      <w:r w:rsidR="00E11DBD" w:rsidRPr="009E58F7">
        <w:rPr>
          <w:sz w:val="18"/>
          <w:szCs w:val="18"/>
        </w:rPr>
        <w:t>inferioritás vizsgálati hipotéziséhez</w:t>
      </w:r>
      <w:r w:rsidRPr="009E58F7">
        <w:rPr>
          <w:sz w:val="18"/>
          <w:szCs w:val="18"/>
        </w:rPr>
        <w:t xml:space="preserve"> – </w:t>
      </w:r>
      <w:r w:rsidR="00E11DBD" w:rsidRPr="009E58F7">
        <w:rPr>
          <w:sz w:val="18"/>
          <w:szCs w:val="18"/>
        </w:rPr>
        <w:t>amely szerint a válaszarány a subcutan karon legalább az intravénás kar válaszarányának a 60%-a marad</w:t>
      </w:r>
      <w:r w:rsidRPr="009E58F7">
        <w:rPr>
          <w:sz w:val="18"/>
          <w:szCs w:val="18"/>
        </w:rPr>
        <w:t xml:space="preserve"> – </w:t>
      </w:r>
      <w:r w:rsidR="00E11DBD" w:rsidRPr="009E58F7">
        <w:rPr>
          <w:sz w:val="18"/>
          <w:szCs w:val="18"/>
        </w:rPr>
        <w:t>tartozó p-érték</w:t>
      </w:r>
      <w:r w:rsidR="00E11DBD" w:rsidRPr="009E58F7">
        <w:rPr>
          <w:noProof/>
          <w:sz w:val="18"/>
          <w:szCs w:val="18"/>
        </w:rPr>
        <w:t>.</w:t>
      </w:r>
    </w:p>
    <w:p w14:paraId="7707D272" w14:textId="3E1157AC" w:rsidR="00E11DBD" w:rsidRPr="009E58F7" w:rsidRDefault="00E11DBD" w:rsidP="007070F2">
      <w:pPr>
        <w:spacing w:line="240" w:lineRule="auto"/>
        <w:ind w:left="284" w:hanging="284"/>
        <w:rPr>
          <w:sz w:val="18"/>
          <w:szCs w:val="18"/>
        </w:rPr>
      </w:pPr>
      <w:r w:rsidRPr="009E58F7">
        <w:rPr>
          <w:noProof/>
          <w:sz w:val="18"/>
          <w:szCs w:val="18"/>
          <w:vertAlign w:val="superscript"/>
        </w:rPr>
        <w:t>b</w:t>
      </w:r>
      <w:r w:rsidR="00DD7D3B" w:rsidRPr="009E58F7">
        <w:rPr>
          <w:noProof/>
          <w:sz w:val="18"/>
          <w:szCs w:val="18"/>
        </w:rPr>
        <w:tab/>
      </w:r>
      <w:r w:rsidRPr="009E58F7">
        <w:rPr>
          <w:sz w:val="18"/>
          <w:szCs w:val="18"/>
        </w:rPr>
        <w:t>222</w:t>
      </w:r>
      <w:r w:rsidR="00DD7D3B" w:rsidRPr="009E58F7">
        <w:rPr>
          <w:sz w:val="18"/>
          <w:szCs w:val="18"/>
        </w:rPr>
        <w:t> </w:t>
      </w:r>
      <w:r w:rsidRPr="009E58F7">
        <w:rPr>
          <w:sz w:val="18"/>
          <w:szCs w:val="18"/>
        </w:rPr>
        <w:t>egyént vontak be a vizsgálatba; 221</w:t>
      </w:r>
      <w:r w:rsidR="00DD7D3B" w:rsidRPr="009E58F7">
        <w:rPr>
          <w:sz w:val="18"/>
          <w:szCs w:val="18"/>
        </w:rPr>
        <w:t> </w:t>
      </w:r>
      <w:r w:rsidRPr="009E58F7">
        <w:rPr>
          <w:sz w:val="18"/>
          <w:szCs w:val="18"/>
        </w:rPr>
        <w:t xml:space="preserve">egyént kezeltek </w:t>
      </w:r>
      <w:r w:rsidRPr="009E58F7">
        <w:rPr>
          <w:noProof/>
          <w:sz w:val="18"/>
          <w:szCs w:val="18"/>
        </w:rPr>
        <w:t>bortezomibbal.</w:t>
      </w:r>
    </w:p>
    <w:p w14:paraId="022151E9" w14:textId="3A5D2E49" w:rsidR="00E11DBD" w:rsidRPr="009E58F7" w:rsidRDefault="00DD7D3B" w:rsidP="007070F2">
      <w:pPr>
        <w:spacing w:line="240" w:lineRule="auto"/>
        <w:ind w:left="284" w:hanging="284"/>
        <w:rPr>
          <w:sz w:val="18"/>
          <w:szCs w:val="18"/>
        </w:rPr>
      </w:pPr>
      <w:r w:rsidRPr="009E58F7">
        <w:rPr>
          <w:noProof/>
          <w:sz w:val="18"/>
          <w:szCs w:val="18"/>
          <w:vertAlign w:val="superscript"/>
        </w:rPr>
        <w:t>c</w:t>
      </w:r>
      <w:r w:rsidRPr="009E58F7">
        <w:rPr>
          <w:noProof/>
          <w:sz w:val="18"/>
          <w:szCs w:val="18"/>
          <w:vertAlign w:val="superscript"/>
        </w:rPr>
        <w:tab/>
      </w:r>
      <w:r w:rsidR="00E11DBD" w:rsidRPr="009E58F7">
        <w:rPr>
          <w:sz w:val="18"/>
          <w:szCs w:val="18"/>
        </w:rPr>
        <w:t xml:space="preserve">A </w:t>
      </w:r>
      <w:r w:rsidR="00E11DBD" w:rsidRPr="009E58F7">
        <w:rPr>
          <w:noProof/>
          <w:sz w:val="18"/>
          <w:szCs w:val="18"/>
        </w:rPr>
        <w:t>realatív</w:t>
      </w:r>
      <w:r w:rsidR="00E11DBD" w:rsidRPr="009E58F7">
        <w:rPr>
          <w:sz w:val="18"/>
          <w:szCs w:val="18"/>
        </w:rPr>
        <w:t xml:space="preserve"> hazárd becslése az ISS stádiumbeosztás és megelőző terápiás vonal stratifikációs faktorokkal korrigált Cox-féle modellen alapul.</w:t>
      </w:r>
    </w:p>
    <w:p w14:paraId="534FF9BC" w14:textId="24503806" w:rsidR="00E11DBD" w:rsidRPr="009E58F7" w:rsidRDefault="00E11DBD" w:rsidP="003D25C3">
      <w:pPr>
        <w:spacing w:line="240" w:lineRule="auto"/>
        <w:ind w:left="284" w:hanging="284"/>
        <w:rPr>
          <w:sz w:val="18"/>
          <w:szCs w:val="18"/>
        </w:rPr>
      </w:pPr>
      <w:r w:rsidRPr="009E58F7">
        <w:rPr>
          <w:noProof/>
          <w:sz w:val="18"/>
          <w:szCs w:val="18"/>
          <w:vertAlign w:val="superscript"/>
        </w:rPr>
        <w:t>d</w:t>
      </w:r>
      <w:r w:rsidR="00DD7D3B" w:rsidRPr="009E58F7">
        <w:rPr>
          <w:noProof/>
          <w:sz w:val="18"/>
          <w:szCs w:val="18"/>
        </w:rPr>
        <w:tab/>
      </w:r>
      <w:r w:rsidRPr="009E58F7">
        <w:rPr>
          <w:sz w:val="18"/>
          <w:szCs w:val="18"/>
        </w:rPr>
        <w:t>ISS stádiumbeosztás és megelőző terápiás vonal stratifikációs faktorokkal korrigált log-rank teszt</w:t>
      </w:r>
      <w:r w:rsidRPr="009E58F7">
        <w:rPr>
          <w:noProof/>
          <w:sz w:val="18"/>
          <w:szCs w:val="18"/>
        </w:rPr>
        <w:t>.</w:t>
      </w:r>
    </w:p>
    <w:p w14:paraId="3E2C93F1" w14:textId="7D30F160" w:rsidR="00E11DBD" w:rsidRPr="009E58F7" w:rsidRDefault="00E11DBD">
      <w:pPr>
        <w:spacing w:line="240" w:lineRule="auto"/>
        <w:ind w:left="284" w:hanging="284"/>
        <w:rPr>
          <w:sz w:val="18"/>
          <w:szCs w:val="18"/>
        </w:rPr>
      </w:pPr>
      <w:r w:rsidRPr="009E58F7">
        <w:rPr>
          <w:noProof/>
          <w:sz w:val="18"/>
          <w:szCs w:val="18"/>
          <w:vertAlign w:val="superscript"/>
        </w:rPr>
        <w:t>e</w:t>
      </w:r>
      <w:r w:rsidR="00DD7D3B" w:rsidRPr="009E58F7">
        <w:rPr>
          <w:noProof/>
          <w:sz w:val="18"/>
          <w:szCs w:val="18"/>
        </w:rPr>
        <w:tab/>
      </w:r>
      <w:r w:rsidRPr="009E58F7">
        <w:rPr>
          <w:sz w:val="18"/>
          <w:szCs w:val="18"/>
        </w:rPr>
        <w:t>A követési idő mediánja 11,8 hónap.</w:t>
      </w:r>
    </w:p>
    <w:p w14:paraId="4F344B95" w14:textId="77777777" w:rsidR="004D6470" w:rsidRPr="009E58F7" w:rsidRDefault="004D6470">
      <w:pPr>
        <w:widowControl w:val="0"/>
        <w:autoSpaceDE w:val="0"/>
        <w:autoSpaceDN w:val="0"/>
        <w:adjustRightInd w:val="0"/>
        <w:spacing w:line="240" w:lineRule="auto"/>
      </w:pPr>
      <w:r w:rsidRPr="009E58F7">
        <w:rPr>
          <w:noProof/>
          <w:lang w:eastAsia="hu-HU"/>
        </w:rPr>
        <mc:AlternateContent>
          <mc:Choice Requires="wps">
            <w:drawing>
              <wp:anchor distT="4294967295" distB="4294967295" distL="114300" distR="114300" simplePos="0" relativeHeight="251664384" behindDoc="1" locked="0" layoutInCell="0" allowOverlap="1" wp14:anchorId="4E339980" wp14:editId="2C94934D">
                <wp:simplePos x="0" y="0"/>
                <wp:positionH relativeFrom="column">
                  <wp:posOffset>-68580</wp:posOffset>
                </wp:positionH>
                <wp:positionV relativeFrom="paragraph">
                  <wp:posOffset>-1069976</wp:posOffset>
                </wp:positionV>
                <wp:extent cx="6109335" cy="0"/>
                <wp:effectExtent l="0" t="0" r="24765" b="19050"/>
                <wp:wrapNone/>
                <wp:docPr id="199" name="Egyenes összekötő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9335" cy="0"/>
                        </a:xfrm>
                        <a:prstGeom prst="line">
                          <a:avLst/>
                        </a:prstGeom>
                        <a:noFill/>
                        <a:ln w="6096">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line w14:anchorId="38BB3FCE" id="Egyenes összekötő 199"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84.25pt" to="475.65pt,-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sTQLAIAADwEAAAOAAAAZHJzL2Uyb0RvYy54bWysU1GO2jAQ/a/UO1j5Z5NAlkJEWFUJ9Gfb&#10;Iu32AMZ2Emsd27INgVY9RC+zF1j1Xh0bgtj2p6qaD2fsmXl+M/O8uDt0Au2ZsVzJIkpvkggxSRTl&#10;simiL4/r0SxC1mFJsVCSFdGR2ehu+fbNotc5G6tWCcoMAhBp814XUeuczuPYkpZ12N4ozSQ4a2U6&#10;7GBrmpga3AN6J+JxkkzjXhmqjSLMWjitTs5oGfDrmhH3ua4tc0gUEXBzYTVh3fo1Xi5w3hisW07O&#10;NPA/sOgwl3DpBarCDqOd4X9AdZwYZVXtbojqYlXXnLBQA1STJr9V89BizUIt0ByrL22y/w+WfNpv&#10;DOIUZjefR0jiDoa0ao5MMotenq39yp5ent3PH8j7oVu9tjkklXJjfL3kIB/0vSJPFklVtlg2LLB+&#10;PGoASn1G/CrFb6yGO7f9R0UhBu+cCq071KbzkNAUdAgTOl4mxA4OETicpsl8MrmNEBl8Mc6HRG2s&#10;+8BUh7xRRIJL3zyc4/29dZ4IzocQfyzVmgsRBCAk6gE8mU9DglWCU+/0YdY021IYtMcgoXX4QlXg&#10;uQ4zaidpAGsZpquz7TAXJxsuF9LjQSlA52ydNPJtnsxXs9UsG2Xj6WqUJVU1er8us9F0nb67rSZV&#10;WVbpd08tzfKWU8qkZzfoNc3+Tg/nl3NS2kWxlzbEr9FDv4Ds8A+kwyz9+E5C2Cp63JhhxiDREHx+&#10;Tv4NXO/Bvn70y18AAAD//wMAUEsDBBQABgAIAAAAIQC78/Tw4gAAAA0BAAAPAAAAZHJzL2Rvd25y&#10;ZXYueG1sTI/NTsMwEITvSLyDtUhcqtZOUX8IcSoEAg6VkGgR4ujGSxIaryPbaZK3xz0guO3Ojma+&#10;zTaDadgJna8tSUhmAhhSYXVNpYT3/dN0DcwHRVo1llDCiB42+eVFplJte3rD0y6ULIaQT5WEKoQ2&#10;5dwXFRrlZ7ZFircv64wKcXUl1071Mdw0fC7EkhtVU2yoVIsPFRbHXWckfB6fC/Htx3n/8vpox0m3&#10;/XCTlZTXV8P9HbCAQ/gzwxk/okMemQ62I+1ZI2GaiIgezsNyvQAWLbeL5AbY4Vfiecb/f5H/AAAA&#10;//8DAFBLAQItABQABgAIAAAAIQC2gziS/gAAAOEBAAATAAAAAAAAAAAAAAAAAAAAAABbQ29udGVu&#10;dF9UeXBlc10ueG1sUEsBAi0AFAAGAAgAAAAhADj9If/WAAAAlAEAAAsAAAAAAAAAAAAAAAAALwEA&#10;AF9yZWxzLy5yZWxzUEsBAi0AFAAGAAgAAAAhAAeWxNAsAgAAPAQAAA4AAAAAAAAAAAAAAAAALgIA&#10;AGRycy9lMm9Eb2MueG1sUEsBAi0AFAAGAAgAAAAhALvz9PDiAAAADQEAAA8AAAAAAAAAAAAAAAAA&#10;hgQAAGRycy9kb3ducmV2LnhtbFBLBQYAAAAABAAEAPMAAACVBQAAAAA=&#10;" o:allowincell="f" strokecolor="white" strokeweight=".48pt"/>
            </w:pict>
          </mc:Fallback>
        </mc:AlternateContent>
      </w:r>
    </w:p>
    <w:p w14:paraId="24447476" w14:textId="23C58754" w:rsidR="004D6470" w:rsidRPr="009E58F7" w:rsidRDefault="004D6470">
      <w:pPr>
        <w:pStyle w:val="Nincstrkz"/>
        <w:keepNext/>
        <w:rPr>
          <w:i/>
        </w:rPr>
      </w:pPr>
      <w:r w:rsidRPr="009E58F7">
        <w:rPr>
          <w:i/>
        </w:rPr>
        <w:lastRenderedPageBreak/>
        <w:t>Bortezomib kombinált kezelés pegilált liposzomális doxorubicinnel (DOXIL-MMY-3001 vizsgálat)</w:t>
      </w:r>
    </w:p>
    <w:p w14:paraId="7134AAD5" w14:textId="14495704" w:rsidR="004D6470" w:rsidRPr="009E58F7" w:rsidRDefault="004D6470">
      <w:pPr>
        <w:spacing w:line="240" w:lineRule="auto"/>
        <w:contextualSpacing/>
      </w:pPr>
      <w:r w:rsidRPr="009E58F7">
        <w:t>Egy III</w:t>
      </w:r>
      <w:r w:rsidR="00547BB6" w:rsidRPr="009E58F7">
        <w:t>.</w:t>
      </w:r>
      <w:r w:rsidR="006A1BC5">
        <w:t> </w:t>
      </w:r>
      <w:r w:rsidR="00547BB6" w:rsidRPr="009E58F7">
        <w:t>fázisú</w:t>
      </w:r>
      <w:r w:rsidRPr="009E58F7">
        <w:t>, randomizált, párhuzamos csoportú, nyílt</w:t>
      </w:r>
      <w:r w:rsidR="00547BB6" w:rsidRPr="009E58F7">
        <w:t xml:space="preserve"> elrendezésű</w:t>
      </w:r>
      <w:r w:rsidRPr="009E58F7">
        <w:t>, multicent</w:t>
      </w:r>
      <w:r w:rsidR="00E11DBD" w:rsidRPr="009E58F7">
        <w:t>eres</w:t>
      </w:r>
      <w:r w:rsidRPr="009E58F7">
        <w:t xml:space="preserve"> vizsgálatot végeztek 646 beteggel</w:t>
      </w:r>
      <w:r w:rsidR="00E11DBD" w:rsidRPr="009E58F7">
        <w:t>, am</w:t>
      </w:r>
      <w:r w:rsidR="00547BB6" w:rsidRPr="009E58F7">
        <w:t>ely</w:t>
      </w:r>
      <w:r w:rsidR="00E11DBD" w:rsidRPr="009E58F7">
        <w:t xml:space="preserve"> a b</w:t>
      </w:r>
      <w:r w:rsidRPr="009E58F7">
        <w:t>ortezomib plusz pegilált liposzomális doxorubicin és a bortezomib</w:t>
      </w:r>
      <w:r w:rsidR="006A1BC5">
        <w:t>-</w:t>
      </w:r>
      <w:r w:rsidRPr="009E58F7">
        <w:t>monoterápia biztonságosságát és hatásosságát hasonlít</w:t>
      </w:r>
      <w:r w:rsidR="00E11DBD" w:rsidRPr="009E58F7">
        <w:t>otta</w:t>
      </w:r>
      <w:r w:rsidRPr="009E58F7">
        <w:t xml:space="preserve"> össze olyan myeloma multiplexben szenvedő betegeknél, akik legalább egy korábbi kezelést kaptak, és akiknél az antraciklin-alapú kezelés alatt nem alakult ki progresszió. Az </w:t>
      </w:r>
      <w:r w:rsidR="00C5286C" w:rsidRPr="009E58F7">
        <w:t>elsődleges</w:t>
      </w:r>
      <w:r w:rsidRPr="009E58F7">
        <w:t xml:space="preserve"> hatásossági végpont a progresszióig eltelt idő (TTP), míg a másodlagos hatásossági végpont </w:t>
      </w:r>
      <w:r w:rsidR="00C5286C" w:rsidRPr="009E58F7">
        <w:t xml:space="preserve">a teljes </w:t>
      </w:r>
      <w:r w:rsidRPr="009E58F7">
        <w:t xml:space="preserve">túlélés (OS) és az objektív </w:t>
      </w:r>
      <w:r w:rsidR="00C5286C" w:rsidRPr="009E58F7">
        <w:t>válaszadási arány</w:t>
      </w:r>
      <w:r w:rsidRPr="009E58F7">
        <w:t xml:space="preserve"> ORR (CR+PR) volt, a European Group for Blood and Marrow Transplantation (EBMT) kritériumainak felhasználásával.</w:t>
      </w:r>
    </w:p>
    <w:p w14:paraId="45068999" w14:textId="77777777" w:rsidR="007B2A67" w:rsidRPr="009E58F7" w:rsidRDefault="007B2A67">
      <w:pPr>
        <w:spacing w:line="240" w:lineRule="auto"/>
        <w:contextualSpacing/>
      </w:pPr>
    </w:p>
    <w:p w14:paraId="0C8A90AA" w14:textId="2278C17E" w:rsidR="004D6470" w:rsidRPr="009E58F7" w:rsidRDefault="004D6470">
      <w:pPr>
        <w:pStyle w:val="Nincstrkz"/>
      </w:pPr>
      <w:r w:rsidRPr="009E58F7">
        <w:t>A protokollban meghatározott időközi analízis (249 TTP esemény alapján) a vizsgálat hatásosság miatti korai befejezéséhez vezetett. Az időközi analízis a TTP 45%-os kockázatcsökkenését mutatta (95%-os CI; 29</w:t>
      </w:r>
      <w:r w:rsidR="00FE5B85">
        <w:t>–</w:t>
      </w:r>
      <w:r w:rsidRPr="009E58F7">
        <w:t>57%, p</w:t>
      </w:r>
      <w:r w:rsidR="00547BB6" w:rsidRPr="009E58F7">
        <w:t> </w:t>
      </w:r>
      <w:r w:rsidRPr="009E58F7">
        <w:t>&lt;</w:t>
      </w:r>
      <w:r w:rsidR="00547BB6" w:rsidRPr="009E58F7">
        <w:t> </w:t>
      </w:r>
      <w:r w:rsidRPr="009E58F7">
        <w:t>0,0001) a bortezomib és pegilált liposzomális doxorubicin kombinált terápiával kezelt betegeknél. A medián TTP 6,5 hónap volt a bortezomib monoterápiával kezelt betegeknél, szemben a bortezomib plusz pegilált liposzomális doxorubicin kombinált kezelést kapó betegeknél észlelt 9,3 hónappal. Bár nem véglegesek, ezek az eredmények alkották a protokollban meghatározott végső analízist.</w:t>
      </w:r>
    </w:p>
    <w:p w14:paraId="3ADC70CC" w14:textId="5CFCE81B" w:rsidR="004D6470" w:rsidRPr="009E58F7" w:rsidRDefault="00C5286C">
      <w:pPr>
        <w:pStyle w:val="Nincstrkz"/>
        <w:rPr>
          <w:lang w:eastAsia="is-IS"/>
        </w:rPr>
      </w:pPr>
      <w:r w:rsidRPr="009E58F7">
        <w:rPr>
          <w:rFonts w:eastAsia="Times New Roman"/>
        </w:rPr>
        <w:t>A teljes túlélés</w:t>
      </w:r>
      <w:r w:rsidR="00547BB6" w:rsidRPr="009E58F7">
        <w:rPr>
          <w:rFonts w:eastAsia="Times New Roman"/>
        </w:rPr>
        <w:t>t</w:t>
      </w:r>
      <w:r w:rsidRPr="009E58F7">
        <w:rPr>
          <w:rFonts w:eastAsia="Times New Roman"/>
        </w:rPr>
        <w:t xml:space="preserve"> </w:t>
      </w:r>
      <w:r w:rsidR="004D6470" w:rsidRPr="009E58F7">
        <w:t xml:space="preserve">(OS) </w:t>
      </w:r>
      <w:r w:rsidR="004D6470" w:rsidRPr="009E58F7">
        <w:rPr>
          <w:lang w:eastAsia="is-IS"/>
        </w:rPr>
        <w:t xml:space="preserve">értékelő, </w:t>
      </w:r>
      <w:r w:rsidR="004D6470" w:rsidRPr="009E58F7">
        <w:t>8,6</w:t>
      </w:r>
      <w:r w:rsidR="004D6470" w:rsidRPr="009E58F7">
        <w:rPr>
          <w:lang w:eastAsia="is-IS"/>
        </w:rPr>
        <w:t> év</w:t>
      </w:r>
      <w:r w:rsidR="004D6470" w:rsidRPr="009E58F7">
        <w:t xml:space="preserve"> medián </w:t>
      </w:r>
      <w:r w:rsidR="004D6470" w:rsidRPr="009E58F7">
        <w:rPr>
          <w:lang w:eastAsia="is-IS"/>
        </w:rPr>
        <w:t>utánkövetési idő elteltével elvégzett</w:t>
      </w:r>
      <w:r w:rsidR="004D6470" w:rsidRPr="009E58F7">
        <w:t xml:space="preserve"> végső </w:t>
      </w:r>
      <w:r w:rsidR="004D6470" w:rsidRPr="009E58F7">
        <w:rPr>
          <w:lang w:eastAsia="is-IS"/>
        </w:rPr>
        <w:t>analízis a</w:t>
      </w:r>
      <w:r w:rsidR="00547BB6" w:rsidRPr="009E58F7">
        <w:rPr>
          <w:lang w:eastAsia="is-IS"/>
        </w:rPr>
        <w:t xml:space="preserve"> teljes </w:t>
      </w:r>
      <w:r w:rsidR="004D6470" w:rsidRPr="009E58F7">
        <w:rPr>
          <w:lang w:eastAsia="is-IS"/>
        </w:rPr>
        <w:t>túlélés tekintetében nem mutatott</w:t>
      </w:r>
      <w:r w:rsidR="004D6470" w:rsidRPr="009E58F7">
        <w:t xml:space="preserve"> szignifikáns </w:t>
      </w:r>
      <w:r w:rsidR="004D6470" w:rsidRPr="009E58F7">
        <w:rPr>
          <w:lang w:eastAsia="is-IS"/>
        </w:rPr>
        <w:t>különbs</w:t>
      </w:r>
      <w:r w:rsidR="00547BB6" w:rsidRPr="009E58F7">
        <w:rPr>
          <w:lang w:eastAsia="is-IS"/>
        </w:rPr>
        <w:t>éget a két kezelési kar között.</w:t>
      </w:r>
    </w:p>
    <w:p w14:paraId="35E00DF0" w14:textId="5C9BDE69" w:rsidR="004D6470" w:rsidRPr="009E58F7" w:rsidRDefault="004D6470">
      <w:pPr>
        <w:spacing w:line="240" w:lineRule="auto"/>
        <w:contextualSpacing/>
      </w:pPr>
      <w:r w:rsidRPr="009E58F7">
        <w:rPr>
          <w:lang w:eastAsia="is-IS"/>
        </w:rPr>
        <w:t>A</w:t>
      </w:r>
      <w:r w:rsidR="00547BB6" w:rsidRPr="009E58F7">
        <w:rPr>
          <w:lang w:eastAsia="is-IS"/>
        </w:rPr>
        <w:t xml:space="preserve"> teljes </w:t>
      </w:r>
      <w:r w:rsidRPr="009E58F7">
        <w:rPr>
          <w:lang w:eastAsia="is-IS"/>
        </w:rPr>
        <w:t>túlélés (OS)</w:t>
      </w:r>
      <w:r w:rsidRPr="009E58F7">
        <w:t xml:space="preserve"> medián </w:t>
      </w:r>
      <w:r w:rsidRPr="009E58F7">
        <w:rPr>
          <w:lang w:eastAsia="is-IS"/>
        </w:rPr>
        <w:t xml:space="preserve">értéke </w:t>
      </w:r>
      <w:r w:rsidRPr="009E58F7">
        <w:t>30,8</w:t>
      </w:r>
      <w:r w:rsidRPr="009E58F7">
        <w:rPr>
          <w:lang w:eastAsia="is-IS"/>
        </w:rPr>
        <w:t> </w:t>
      </w:r>
      <w:r w:rsidRPr="009E58F7">
        <w:t>hónap (95</w:t>
      </w:r>
      <w:r w:rsidR="00C5286C" w:rsidRPr="009E58F7">
        <w:t>%-os</w:t>
      </w:r>
      <w:r w:rsidRPr="009E58F7">
        <w:t xml:space="preserve"> CI; 25,2</w:t>
      </w:r>
      <w:r w:rsidR="00BD5400">
        <w:t>–</w:t>
      </w:r>
      <w:r w:rsidRPr="009E58F7">
        <w:t>36,5</w:t>
      </w:r>
      <w:r w:rsidRPr="009E58F7">
        <w:rPr>
          <w:lang w:eastAsia="is-IS"/>
        </w:rPr>
        <w:t> </w:t>
      </w:r>
      <w:r w:rsidRPr="009E58F7">
        <w:t>hónap) volt a bortezomib</w:t>
      </w:r>
      <w:r w:rsidR="006A1BC5">
        <w:t>-</w:t>
      </w:r>
      <w:r w:rsidRPr="009E58F7">
        <w:rPr>
          <w:lang w:eastAsia="is-IS"/>
        </w:rPr>
        <w:t>monoterápiában részesülő</w:t>
      </w:r>
      <w:r w:rsidRPr="009E58F7">
        <w:t xml:space="preserve"> betegeknél</w:t>
      </w:r>
      <w:r w:rsidRPr="009E58F7">
        <w:rPr>
          <w:lang w:eastAsia="is-IS"/>
        </w:rPr>
        <w:t xml:space="preserve"> és 33,0 hónap (95% CI; 28,</w:t>
      </w:r>
      <w:r w:rsidR="00547BB6" w:rsidRPr="009E58F7">
        <w:rPr>
          <w:lang w:eastAsia="is-IS"/>
        </w:rPr>
        <w:t>9</w:t>
      </w:r>
      <w:r w:rsidR="00BD5400">
        <w:rPr>
          <w:lang w:eastAsia="is-IS"/>
        </w:rPr>
        <w:t>–</w:t>
      </w:r>
      <w:r w:rsidRPr="009E58F7">
        <w:rPr>
          <w:lang w:eastAsia="is-IS"/>
        </w:rPr>
        <w:t>37,1 hónap) azoknál, akik</w:t>
      </w:r>
      <w:r w:rsidRPr="009E58F7">
        <w:t xml:space="preserve"> bortezomib plusz pegilált lipos</w:t>
      </w:r>
      <w:r w:rsidR="009718E9" w:rsidRPr="009E58F7">
        <w:t>zo</w:t>
      </w:r>
      <w:r w:rsidRPr="009E58F7">
        <w:t xml:space="preserve">mális doxorubicin kombinált </w:t>
      </w:r>
      <w:r w:rsidRPr="009E58F7">
        <w:rPr>
          <w:lang w:eastAsia="is-IS"/>
        </w:rPr>
        <w:t>terápiát kaptak.</w:t>
      </w:r>
    </w:p>
    <w:p w14:paraId="6F838321" w14:textId="77777777" w:rsidR="004D6470" w:rsidRPr="009E58F7" w:rsidRDefault="004D6470">
      <w:pPr>
        <w:pStyle w:val="Nincstrkz"/>
      </w:pPr>
    </w:p>
    <w:p w14:paraId="234A8C1D" w14:textId="77777777" w:rsidR="004D6470" w:rsidRPr="009E58F7" w:rsidRDefault="004D6470">
      <w:pPr>
        <w:pStyle w:val="Nincstrkz"/>
        <w:keepNext/>
        <w:rPr>
          <w:i/>
        </w:rPr>
      </w:pPr>
      <w:r w:rsidRPr="009E58F7">
        <w:rPr>
          <w:i/>
        </w:rPr>
        <w:t>Bortezomib kombinált kezelés dexametazonnal</w:t>
      </w:r>
    </w:p>
    <w:p w14:paraId="7DEE0993" w14:textId="70E29223" w:rsidR="004D6470" w:rsidRPr="009E58F7" w:rsidRDefault="004D6470">
      <w:pPr>
        <w:pStyle w:val="Nincstrkz"/>
        <w:keepNext/>
      </w:pPr>
      <w:r w:rsidRPr="009E58F7">
        <w:t>A progresszív myeloma multiplexben szenvedő betegeknél a bortezomib és a dexametazonnal kombinált bortezomib</w:t>
      </w:r>
      <w:r w:rsidRPr="009E58F7">
        <w:rPr>
          <w:i/>
        </w:rPr>
        <w:t xml:space="preserve"> </w:t>
      </w:r>
      <w:r w:rsidRPr="009E58F7">
        <w:t>közvetlen összehasonlítás</w:t>
      </w:r>
      <w:r w:rsidR="00E11DBD" w:rsidRPr="009E58F7">
        <w:t>ának</w:t>
      </w:r>
      <w:r w:rsidRPr="009E58F7">
        <w:t xml:space="preserve"> hiánya miatt egy statisztikai, megfelelően párosított analízist végeztek annak érdekében, hogy összehasonlítsák a nem randomizált, dexametazonnal kombinált bortezomib</w:t>
      </w:r>
      <w:r w:rsidR="006A1BC5">
        <w:rPr>
          <w:rFonts w:eastAsia="TimesNewRoman"/>
          <w:i/>
          <w:iCs/>
        </w:rPr>
        <w:t>-</w:t>
      </w:r>
      <w:r w:rsidRPr="009E58F7">
        <w:t>kar eredményeit (II</w:t>
      </w:r>
      <w:r w:rsidR="006A1BC5">
        <w:t>. fázisú</w:t>
      </w:r>
      <w:r w:rsidRPr="009E58F7">
        <w:t>, nyílt</w:t>
      </w:r>
      <w:r w:rsidR="006A1BC5">
        <w:t xml:space="preserve"> elrendezésű</w:t>
      </w:r>
      <w:r w:rsidRPr="009E58F7">
        <w:t xml:space="preserve"> MMY</w:t>
      </w:r>
      <w:r w:rsidR="003F0F42">
        <w:t>-</w:t>
      </w:r>
      <w:r w:rsidRPr="009E58F7">
        <w:t>2045 vizsgálat) az azonos indikációban végzett, különböző III</w:t>
      </w:r>
      <w:r w:rsidR="006A1BC5">
        <w:t>. fázisú</w:t>
      </w:r>
      <w:r w:rsidRPr="009E58F7">
        <w:t xml:space="preserve"> vizsgálatok (M34101-039 [APEX] és DOXIL MMY-3001) bortezomib monoterápiás karjain kapott eredményekkel.</w:t>
      </w:r>
    </w:p>
    <w:p w14:paraId="2FF252D3" w14:textId="38D22C67" w:rsidR="004D6470" w:rsidRPr="009E58F7" w:rsidRDefault="004D6470">
      <w:pPr>
        <w:pStyle w:val="Nincstrkz"/>
      </w:pPr>
      <w:r w:rsidRPr="009E58F7">
        <w:t>A megfelelően párosított analízis egy olyan statisztikai módszer, amelyben a terápiás csoportban lévő betegeket (pl. a dexametazonnal kombinált bortezomib)</w:t>
      </w:r>
      <w:r w:rsidR="006A1BC5">
        <w:t>,</w:t>
      </w:r>
      <w:r w:rsidRPr="009E58F7">
        <w:t xml:space="preserve"> és az összehasonlító csoportban lévő betegeket (pl. bortezomib) a vizsgálati alanyok egyedi párosításával teszik összehasonlíthatóvá a zavaró tényezők figyelembevételével. Ez minimálisra csökkenti az észlelt zavaró tényezők hatásait, amikor nem randomizált adatok felhasználásával mérik fel a terápiás hatásokat.</w:t>
      </w:r>
    </w:p>
    <w:p w14:paraId="7E603D65" w14:textId="05DA2887" w:rsidR="004D6470" w:rsidRPr="009E58F7" w:rsidRDefault="00547BB6">
      <w:pPr>
        <w:pStyle w:val="Nincstrkz"/>
      </w:pPr>
      <w:r w:rsidRPr="009E58F7">
        <w:t>127</w:t>
      </w:r>
      <w:r w:rsidR="004D6470" w:rsidRPr="009E58F7">
        <w:t>, megfelelő betegpárt azonosítottak. Az analízis az ORR (CR+PR) (esélyhányados 3,769; 95%-os CI</w:t>
      </w:r>
      <w:r w:rsidRPr="009E58F7">
        <w:t>,</w:t>
      </w:r>
      <w:r w:rsidR="004D6470" w:rsidRPr="009E58F7">
        <w:t xml:space="preserve"> 2,045</w:t>
      </w:r>
      <w:r w:rsidR="00BD5400">
        <w:t>–</w:t>
      </w:r>
      <w:r w:rsidR="004D6470" w:rsidRPr="009E58F7">
        <w:t>6,947; p</w:t>
      </w:r>
      <w:r w:rsidRPr="009E58F7">
        <w:t> </w:t>
      </w:r>
      <w:r w:rsidR="004D6470" w:rsidRPr="009E58F7">
        <w:t>&lt;</w:t>
      </w:r>
      <w:r w:rsidRPr="009E58F7">
        <w:t> </w:t>
      </w:r>
      <w:r w:rsidR="004D6470" w:rsidRPr="009E58F7">
        <w:t>0,001), a PFS (relatív hazárd 0,511; 95%-os CI</w:t>
      </w:r>
      <w:r w:rsidRPr="009E58F7">
        <w:t>,</w:t>
      </w:r>
      <w:r w:rsidR="004D6470" w:rsidRPr="009E58F7">
        <w:t xml:space="preserve"> 0,309</w:t>
      </w:r>
      <w:r w:rsidR="00BD5400">
        <w:t>–</w:t>
      </w:r>
      <w:r w:rsidR="004D6470" w:rsidRPr="009E58F7">
        <w:t>0,845; p</w:t>
      </w:r>
      <w:r w:rsidR="00E11DBD" w:rsidRPr="009E58F7">
        <w:t> </w:t>
      </w:r>
      <w:r w:rsidR="004D6470" w:rsidRPr="009E58F7">
        <w:t>=</w:t>
      </w:r>
      <w:r w:rsidR="00E11DBD" w:rsidRPr="009E58F7">
        <w:t> </w:t>
      </w:r>
      <w:r w:rsidR="004D6470" w:rsidRPr="009E58F7">
        <w:t>0,008), a TTP (relatív hazárd 0,385; 95%-os CI</w:t>
      </w:r>
      <w:r w:rsidRPr="009E58F7">
        <w:t>,</w:t>
      </w:r>
      <w:r w:rsidR="004D6470" w:rsidRPr="009E58F7">
        <w:t xml:space="preserve"> 0,212</w:t>
      </w:r>
      <w:r w:rsidR="00BD5400">
        <w:t>–</w:t>
      </w:r>
      <w:r w:rsidR="004D6470" w:rsidRPr="009E58F7">
        <w:t>0,698; p</w:t>
      </w:r>
      <w:r w:rsidRPr="009E58F7">
        <w:t> </w:t>
      </w:r>
      <w:r w:rsidR="004D6470" w:rsidRPr="009E58F7">
        <w:t>=</w:t>
      </w:r>
      <w:r w:rsidRPr="009E58F7">
        <w:t> </w:t>
      </w:r>
      <w:r w:rsidR="004D6470" w:rsidRPr="009E58F7">
        <w:t>0,001) bortezomib monterápiához viszonyított javulását mutatta a dexametazonnal kombinált bortezomib esetén.</w:t>
      </w:r>
    </w:p>
    <w:p w14:paraId="4D20363D" w14:textId="77777777" w:rsidR="004D6470" w:rsidRPr="009E58F7" w:rsidRDefault="004D6470">
      <w:pPr>
        <w:pStyle w:val="Nincstrkz"/>
      </w:pPr>
    </w:p>
    <w:p w14:paraId="003EE842" w14:textId="03B6DAD3" w:rsidR="004D6470" w:rsidRPr="009E58F7" w:rsidRDefault="004D6470">
      <w:pPr>
        <w:pStyle w:val="Nincstrkz"/>
      </w:pPr>
      <w:bookmarkStart w:id="45" w:name="page63"/>
      <w:bookmarkEnd w:id="45"/>
      <w:r w:rsidRPr="009E58F7">
        <w:rPr>
          <w:color w:val="000000"/>
        </w:rPr>
        <w:t xml:space="preserve">Korlátozott </w:t>
      </w:r>
      <w:r w:rsidR="009A6388" w:rsidRPr="009E58F7">
        <w:rPr>
          <w:color w:val="000000"/>
        </w:rPr>
        <w:t>információ</w:t>
      </w:r>
      <w:r w:rsidRPr="009E58F7">
        <w:rPr>
          <w:color w:val="000000"/>
        </w:rPr>
        <w:t xml:space="preserve"> áll rendelkezésre a visszaeső myeloma multiplexes betegek </w:t>
      </w:r>
      <w:r w:rsidRPr="009E58F7">
        <w:rPr>
          <w:rFonts w:eastAsia="TimesNewRoman"/>
          <w:iCs/>
        </w:rPr>
        <w:t>bortezomib</w:t>
      </w:r>
      <w:r w:rsidRPr="009E58F7">
        <w:rPr>
          <w:color w:val="000000"/>
        </w:rPr>
        <w:t>bal történő kezelésére vonatkozóan</w:t>
      </w:r>
      <w:r w:rsidR="009A6388" w:rsidRPr="009E58F7">
        <w:rPr>
          <w:color w:val="000000"/>
        </w:rPr>
        <w:t>.</w:t>
      </w:r>
      <w:r w:rsidR="007B2A67" w:rsidRPr="009E58F7">
        <w:t xml:space="preserve"> </w:t>
      </w:r>
      <w:r w:rsidRPr="009E58F7">
        <w:t>Az MMY</w:t>
      </w:r>
      <w:r w:rsidR="003F0F42">
        <w:t>-</w:t>
      </w:r>
      <w:r w:rsidRPr="009E58F7">
        <w:t>2036 (RETRIEVE) vizsgálat, egy II</w:t>
      </w:r>
      <w:r w:rsidR="0070736B" w:rsidRPr="009E58F7">
        <w:t>.</w:t>
      </w:r>
      <w:r w:rsidR="006A1BC5">
        <w:t> </w:t>
      </w:r>
      <w:r w:rsidR="0070736B" w:rsidRPr="009E58F7">
        <w:t>fázisú</w:t>
      </w:r>
      <w:r w:rsidRPr="009E58F7">
        <w:t xml:space="preserve">, egykarú, nyílt </w:t>
      </w:r>
      <w:r w:rsidR="006A1BC5">
        <w:t xml:space="preserve">elrendezésű </w:t>
      </w:r>
      <w:r w:rsidRPr="009E58F7">
        <w:t xml:space="preserve">vizsgálat volt, amelyet úgy terveztek, hogy </w:t>
      </w:r>
      <w:r w:rsidR="009A6388" w:rsidRPr="009E58F7">
        <w:t>megállapítsá</w:t>
      </w:r>
      <w:r w:rsidR="00F6458B" w:rsidRPr="009E58F7">
        <w:t>k</w:t>
      </w:r>
      <w:r w:rsidR="009A6388" w:rsidRPr="009E58F7">
        <w:t xml:space="preserve"> </w:t>
      </w:r>
      <w:r w:rsidRPr="009E58F7">
        <w:t>a megismételt bortezomib</w:t>
      </w:r>
      <w:r w:rsidR="00621E19">
        <w:t>-</w:t>
      </w:r>
      <w:r w:rsidRPr="009E58F7">
        <w:t>kezelés hatásosságát és biztonságosságát 130, myeloma multiplexben szenvedő beteg</w:t>
      </w:r>
      <w:r w:rsidR="009A6388" w:rsidRPr="009E58F7">
        <w:t>nél</w:t>
      </w:r>
      <w:r w:rsidRPr="009E58F7">
        <w:t>. Olyan bortezomib</w:t>
      </w:r>
      <w:r w:rsidR="006A1BC5">
        <w:t>-</w:t>
      </w:r>
      <w:r w:rsidRPr="009E58F7">
        <w:t xml:space="preserve">tartalmú kombinációval kezelt (18 évnél idősebb) betegeket vontak be a vizsgálatba, akik a korábbi kezelés során legalább részleges remissziót mutattak, állapotuk </w:t>
      </w:r>
      <w:r w:rsidR="009A6388" w:rsidRPr="009E58F7">
        <w:t xml:space="preserve">azonban </w:t>
      </w:r>
      <w:r w:rsidRPr="009E58F7">
        <w:t>progrediált. Az előző kezelés után legalább 6 hónap elteltével kezdték a bortezomib</w:t>
      </w:r>
      <w:r w:rsidR="00621E19">
        <w:t>-</w:t>
      </w:r>
      <w:r w:rsidRPr="009E58F7">
        <w:t>kezelést 1,3 mg/m</w:t>
      </w:r>
      <w:r w:rsidRPr="009E58F7">
        <w:rPr>
          <w:vertAlign w:val="superscript"/>
        </w:rPr>
        <w:t>2</w:t>
      </w:r>
      <w:r w:rsidRPr="009E58F7">
        <w:t xml:space="preserve"> dózissal (</w:t>
      </w:r>
      <w:r w:rsidR="003212C5" w:rsidRPr="009E58F7">
        <w:t>n = </w:t>
      </w:r>
      <w:r w:rsidRPr="009E58F7">
        <w:t>93)</w:t>
      </w:r>
      <w:r w:rsidR="006A1BC5">
        <w:t>,</w:t>
      </w:r>
      <w:r w:rsidRPr="009E58F7">
        <w:t xml:space="preserve"> vagy ≤</w:t>
      </w:r>
      <w:r w:rsidR="0070736B" w:rsidRPr="009E58F7">
        <w:rPr>
          <w:rFonts w:eastAsia="Times New Roman"/>
        </w:rPr>
        <w:t> </w:t>
      </w:r>
      <w:r w:rsidRPr="009E58F7">
        <w:t>1,0 mg/m</w:t>
      </w:r>
      <w:r w:rsidRPr="009E58F7">
        <w:rPr>
          <w:vertAlign w:val="superscript"/>
        </w:rPr>
        <w:t>2</w:t>
      </w:r>
      <w:r w:rsidRPr="009E58F7">
        <w:t xml:space="preserve"> dózissal (</w:t>
      </w:r>
      <w:r w:rsidR="003212C5" w:rsidRPr="009E58F7">
        <w:t>n = </w:t>
      </w:r>
      <w:r w:rsidRPr="009E58F7">
        <w:t xml:space="preserve">37) az 1., 4., 8. és 11. napokon, 3 hetenként, maximum 8 ciklusban monoterápiáként vagy dexametazonnal kombinációban, a szokásos adagolási renddel összhangban. </w:t>
      </w:r>
      <w:r w:rsidR="00E11DBD" w:rsidRPr="009E58F7">
        <w:t>D</w:t>
      </w:r>
      <w:r w:rsidRPr="009E58F7">
        <w:t xml:space="preserve">exametazont </w:t>
      </w:r>
      <w:r w:rsidRPr="009E58F7">
        <w:rPr>
          <w:rFonts w:eastAsia="TimesNewRoman"/>
          <w:iCs/>
        </w:rPr>
        <w:t>bortezomib</w:t>
      </w:r>
      <w:r w:rsidRPr="009E58F7">
        <w:t xml:space="preserve">bal </w:t>
      </w:r>
      <w:bookmarkStart w:id="46" w:name="page135"/>
      <w:bookmarkEnd w:id="46"/>
      <w:r w:rsidRPr="009E58F7">
        <w:t xml:space="preserve">kombinációban 83 beteg kapott az 1. </w:t>
      </w:r>
      <w:r w:rsidR="006A1BC5">
        <w:t>c</w:t>
      </w:r>
      <w:r w:rsidRPr="009E58F7">
        <w:t>iklusban</w:t>
      </w:r>
      <w:r w:rsidR="00F6458B" w:rsidRPr="009E58F7">
        <w:t>,</w:t>
      </w:r>
      <w:r w:rsidRPr="009E58F7">
        <w:t xml:space="preserve"> és </w:t>
      </w:r>
      <w:r w:rsidR="00E11DBD" w:rsidRPr="009E58F7">
        <w:t>további</w:t>
      </w:r>
      <w:r w:rsidRPr="009E58F7">
        <w:t xml:space="preserve"> 11 betegn</w:t>
      </w:r>
      <w:r w:rsidR="00E11DBD" w:rsidRPr="009E58F7">
        <w:t xml:space="preserve">ek adtak dexametazont </w:t>
      </w:r>
      <w:r w:rsidRPr="009E58F7">
        <w:t xml:space="preserve">a </w:t>
      </w:r>
      <w:r w:rsidRPr="009E58F7">
        <w:rPr>
          <w:rFonts w:eastAsia="TimesNewRoman"/>
          <w:iCs/>
        </w:rPr>
        <w:t>bortezomib</w:t>
      </w:r>
      <w:r w:rsidRPr="009E58F7">
        <w:t>ot monoterápiaként kezdő csoportban.</w:t>
      </w:r>
    </w:p>
    <w:p w14:paraId="0860E66D" w14:textId="1DC0D8D4" w:rsidR="004D6470" w:rsidRPr="009E58F7" w:rsidRDefault="004D6470">
      <w:pPr>
        <w:pStyle w:val="Nincstrkz"/>
      </w:pPr>
      <w:r w:rsidRPr="009E58F7">
        <w:t xml:space="preserve">Az elsődleges végpont a megismételt kezelésre adott </w:t>
      </w:r>
      <w:r w:rsidR="006A1BC5">
        <w:t>–</w:t>
      </w:r>
      <w:r w:rsidRPr="009E58F7">
        <w:t xml:space="preserve"> EBMT feltételek szerinti </w:t>
      </w:r>
      <w:r w:rsidR="006A1BC5">
        <w:t>–</w:t>
      </w:r>
      <w:r w:rsidRPr="009E58F7">
        <w:t xml:space="preserve"> igazo</w:t>
      </w:r>
      <w:r w:rsidR="00E11DBD" w:rsidRPr="009E58F7">
        <w:t>ltan legjobb válasz volt. A 130 </w:t>
      </w:r>
      <w:r w:rsidRPr="009E58F7">
        <w:t>beteg megismételt kezelésre adott teljes legjobb válaszaránya (CR+PR) 38,5% (95%-os CI: 30,1; 47,4) volt.</w:t>
      </w:r>
    </w:p>
    <w:p w14:paraId="08748ACA" w14:textId="77777777" w:rsidR="004D6470" w:rsidRPr="009E58F7" w:rsidRDefault="004D6470">
      <w:pPr>
        <w:widowControl w:val="0"/>
        <w:autoSpaceDE w:val="0"/>
        <w:autoSpaceDN w:val="0"/>
        <w:adjustRightInd w:val="0"/>
        <w:spacing w:line="240" w:lineRule="auto"/>
      </w:pPr>
    </w:p>
    <w:p w14:paraId="79FD2928" w14:textId="77777777" w:rsidR="004D6470" w:rsidRPr="009E58F7" w:rsidRDefault="004D6470">
      <w:pPr>
        <w:pStyle w:val="Nincstrkz"/>
        <w:keepNext/>
        <w:rPr>
          <w:u w:val="single"/>
        </w:rPr>
      </w:pPr>
      <w:r w:rsidRPr="009E58F7">
        <w:rPr>
          <w:u w:val="single"/>
        </w:rPr>
        <w:t>Klinikai hatásosság a korábban nem kezelt köpenysejtes lymphomában szenvedő betegeknél</w:t>
      </w:r>
    </w:p>
    <w:p w14:paraId="0020E6EA" w14:textId="3C59F296" w:rsidR="004D6470" w:rsidRPr="009E58F7" w:rsidRDefault="004D6470">
      <w:pPr>
        <w:pStyle w:val="Nincstrkz"/>
      </w:pPr>
      <w:r w:rsidRPr="009E58F7">
        <w:t>A LYM-3002</w:t>
      </w:r>
      <w:r w:rsidR="0070736B" w:rsidRPr="009E58F7">
        <w:t> </w:t>
      </w:r>
      <w:r w:rsidRPr="009E58F7">
        <w:t>vizsgálat egy III</w:t>
      </w:r>
      <w:r w:rsidR="0070736B" w:rsidRPr="009E58F7">
        <w:t>.</w:t>
      </w:r>
      <w:r w:rsidR="006A1BC5">
        <w:t> </w:t>
      </w:r>
      <w:r w:rsidR="0070736B" w:rsidRPr="009E58F7">
        <w:t>fázisú</w:t>
      </w:r>
      <w:r w:rsidRPr="009E58F7">
        <w:t>, randomizált, nyílt elrendezésű vizsgálat</w:t>
      </w:r>
      <w:r w:rsidR="00597310" w:rsidRPr="009E58F7">
        <w:t xml:space="preserve"> volt</w:t>
      </w:r>
      <w:r w:rsidRPr="009E58F7">
        <w:t xml:space="preserve">, ami a </w:t>
      </w:r>
      <w:r w:rsidRPr="009E58F7">
        <w:rPr>
          <w:rFonts w:eastAsia="TimesNewRoman"/>
        </w:rPr>
        <w:t>bortezomib</w:t>
      </w:r>
      <w:r w:rsidRPr="009E58F7">
        <w:t>, rituximab, ciklofoszfamid, doxorubicin és prednizon kombináció (</w:t>
      </w:r>
      <w:r w:rsidR="00E708C1" w:rsidRPr="009E58F7">
        <w:t>BzR</w:t>
      </w:r>
      <w:r w:rsidR="003F0F42">
        <w:t>-</w:t>
      </w:r>
      <w:r w:rsidRPr="009E58F7">
        <w:t xml:space="preserve">CAP; </w:t>
      </w:r>
      <w:r w:rsidR="003212C5" w:rsidRPr="009E58F7">
        <w:t>n = </w:t>
      </w:r>
      <w:r w:rsidRPr="009E58F7">
        <w:t>243) hatásosságát és biztonságosságát hasonlít</w:t>
      </w:r>
      <w:r w:rsidR="00597310" w:rsidRPr="009E58F7">
        <w:t>otta össsze</w:t>
      </w:r>
      <w:r w:rsidRPr="009E58F7">
        <w:t xml:space="preserve"> rituximab, ciklofoszfamid, doxorubicin, vinkrisztin és prednizon (R</w:t>
      </w:r>
      <w:r w:rsidR="003F0F42">
        <w:t>-</w:t>
      </w:r>
      <w:r w:rsidRPr="009E58F7">
        <w:t xml:space="preserve">CHOP; </w:t>
      </w:r>
      <w:r w:rsidR="003212C5" w:rsidRPr="009E58F7">
        <w:t>n = </w:t>
      </w:r>
      <w:r w:rsidRPr="009E58F7">
        <w:t>244) kombinációval, korábban nem kezelt, köpenysejtes lymphomában szenvedő, felnőtt betegeknél (II., III. vagy IV.</w:t>
      </w:r>
      <w:r w:rsidR="0070736B" w:rsidRPr="009E58F7">
        <w:t> </w:t>
      </w:r>
      <w:r w:rsidRPr="009E58F7">
        <w:t xml:space="preserve">stádium). A </w:t>
      </w:r>
      <w:r w:rsidR="00E708C1" w:rsidRPr="009E58F7">
        <w:t>BzR</w:t>
      </w:r>
      <w:r w:rsidR="003F0F42">
        <w:t>-</w:t>
      </w:r>
      <w:r w:rsidRPr="009E58F7">
        <w:t xml:space="preserve">CAP terápiás kar betegei </w:t>
      </w:r>
      <w:r w:rsidRPr="009E58F7">
        <w:rPr>
          <w:rFonts w:eastAsia="TimesNewRoman"/>
          <w:iCs/>
        </w:rPr>
        <w:t>bortezomib</w:t>
      </w:r>
      <w:r w:rsidRPr="009E58F7">
        <w:t>ot (1,3 mg/m</w:t>
      </w:r>
      <w:r w:rsidRPr="009E58F7">
        <w:rPr>
          <w:vertAlign w:val="superscript"/>
        </w:rPr>
        <w:t>2</w:t>
      </w:r>
      <w:r w:rsidRPr="009E58F7">
        <w:t>; az 1., 4., 8., 11.</w:t>
      </w:r>
      <w:r w:rsidR="000C49E1">
        <w:t> </w:t>
      </w:r>
      <w:r w:rsidRPr="009E58F7">
        <w:t>nap, pihenési időszak a 12</w:t>
      </w:r>
      <w:r w:rsidR="00BD5400">
        <w:t>–</w:t>
      </w:r>
      <w:r w:rsidRPr="009E58F7">
        <w:t>21.</w:t>
      </w:r>
      <w:r w:rsidR="000C49E1">
        <w:t> </w:t>
      </w:r>
      <w:r w:rsidRPr="009E58F7">
        <w:t>napokon), 375 mg/m</w:t>
      </w:r>
      <w:r w:rsidRPr="009E58F7">
        <w:rPr>
          <w:vertAlign w:val="superscript"/>
        </w:rPr>
        <w:t>2</w:t>
      </w:r>
      <w:r w:rsidRPr="009E58F7">
        <w:t xml:space="preserve"> iv. rituximabot az 1.</w:t>
      </w:r>
      <w:r w:rsidR="0070736B" w:rsidRPr="009E58F7">
        <w:t> </w:t>
      </w:r>
      <w:r w:rsidRPr="009E58F7">
        <w:t>nap; 750 mg/m</w:t>
      </w:r>
      <w:r w:rsidRPr="009E58F7">
        <w:rPr>
          <w:vertAlign w:val="superscript"/>
        </w:rPr>
        <w:t>2</w:t>
      </w:r>
      <w:r w:rsidRPr="009E58F7">
        <w:t xml:space="preserve"> iv. ciklofoszfamidot az 1.</w:t>
      </w:r>
      <w:r w:rsidR="0070736B" w:rsidRPr="009E58F7">
        <w:t> </w:t>
      </w:r>
      <w:r w:rsidRPr="009E58F7">
        <w:t>nap; 50 mg/m</w:t>
      </w:r>
      <w:r w:rsidRPr="009E58F7">
        <w:rPr>
          <w:vertAlign w:val="superscript"/>
        </w:rPr>
        <w:t>2</w:t>
      </w:r>
      <w:r w:rsidRPr="009E58F7">
        <w:t xml:space="preserve"> iv. doxorubicint az 1.</w:t>
      </w:r>
      <w:r w:rsidR="0070736B" w:rsidRPr="009E58F7">
        <w:t> </w:t>
      </w:r>
      <w:r w:rsidRPr="009E58F7">
        <w:t>nap</w:t>
      </w:r>
      <w:r w:rsidR="000C49E1">
        <w:t>,</w:t>
      </w:r>
      <w:r w:rsidRPr="009E58F7">
        <w:t xml:space="preserve"> és 100 mg/m</w:t>
      </w:r>
      <w:r w:rsidRPr="009E58F7">
        <w:rPr>
          <w:vertAlign w:val="superscript"/>
        </w:rPr>
        <w:t>2</w:t>
      </w:r>
      <w:r w:rsidRPr="009E58F7">
        <w:t xml:space="preserve"> prednizont kaptak </w:t>
      </w:r>
      <w:r w:rsidRPr="009E58F7">
        <w:rPr>
          <w:i/>
        </w:rPr>
        <w:t>per</w:t>
      </w:r>
      <w:r w:rsidR="0070736B" w:rsidRPr="009E58F7">
        <w:rPr>
          <w:i/>
        </w:rPr>
        <w:t> </w:t>
      </w:r>
      <w:r w:rsidRPr="009E58F7">
        <w:rPr>
          <w:i/>
        </w:rPr>
        <w:t>os</w:t>
      </w:r>
      <w:r w:rsidR="00597310" w:rsidRPr="009E58F7">
        <w:t xml:space="preserve"> az 1.</w:t>
      </w:r>
      <w:r w:rsidR="0070736B" w:rsidRPr="009E58F7">
        <w:t> </w:t>
      </w:r>
      <w:r w:rsidR="00597310" w:rsidRPr="009E58F7">
        <w:t>naptól a 21 </w:t>
      </w:r>
      <w:r w:rsidRPr="009E58F7">
        <w:t>napos bortezomib kezelési ciklus 5.</w:t>
      </w:r>
      <w:r w:rsidR="0070736B" w:rsidRPr="009E58F7">
        <w:t> </w:t>
      </w:r>
      <w:r w:rsidRPr="009E58F7">
        <w:t>napjáig. Azoknak a betegeknek, akiknél az első dokumentált válaszreakció a 6.</w:t>
      </w:r>
      <w:r w:rsidR="0070736B" w:rsidRPr="009E58F7">
        <w:t> </w:t>
      </w:r>
      <w:r w:rsidRPr="009E58F7">
        <w:t>ciklusban jelentkezett, két további terápiás ciklust adtak.</w:t>
      </w:r>
    </w:p>
    <w:p w14:paraId="09474380" w14:textId="61BC4167" w:rsidR="004D6470" w:rsidRPr="009E58F7" w:rsidRDefault="004D6470">
      <w:pPr>
        <w:spacing w:line="240" w:lineRule="auto"/>
        <w:contextualSpacing/>
      </w:pPr>
      <w:r w:rsidRPr="009E58F7">
        <w:t>Az elsődleges hatásossági végpont a független felülvizsgáló bizottság (Independent Review Committee - IRC) értékelése alapján kapott progressziómentes túlélés volt. A másodlagos végponthoz tartozott a progresszióig eltelt idő (TTP), a következő lymphoma</w:t>
      </w:r>
      <w:r w:rsidR="00C5286C" w:rsidRPr="009E58F7">
        <w:t>ellenes</w:t>
      </w:r>
      <w:r w:rsidRPr="009E58F7">
        <w:t xml:space="preserve"> kezelésig eltelt idő (TNT), a kezelésmentes intervallum időtartama (TFI), a teljes </w:t>
      </w:r>
      <w:r w:rsidR="00C5286C" w:rsidRPr="009E58F7">
        <w:t>válaszadási arány</w:t>
      </w:r>
      <w:r w:rsidRPr="009E58F7">
        <w:t xml:space="preserve"> (ORR), valamint a teljes remisszió (CR/CRu) arány, </w:t>
      </w:r>
      <w:r w:rsidR="00C5286C" w:rsidRPr="009E58F7">
        <w:t xml:space="preserve">a teljes </w:t>
      </w:r>
      <w:r w:rsidRPr="009E58F7">
        <w:t>túlélés (OS) és a remisszió időtartama.</w:t>
      </w:r>
    </w:p>
    <w:p w14:paraId="789F08FC" w14:textId="77777777" w:rsidR="007B2A67" w:rsidRPr="009E58F7" w:rsidRDefault="007B2A67">
      <w:pPr>
        <w:spacing w:line="240" w:lineRule="auto"/>
        <w:contextualSpacing/>
      </w:pPr>
    </w:p>
    <w:p w14:paraId="0DF54A97" w14:textId="6C4D6AD8" w:rsidR="004D6470" w:rsidRPr="009E58F7" w:rsidRDefault="004D6470">
      <w:pPr>
        <w:spacing w:line="240" w:lineRule="auto"/>
        <w:contextualSpacing/>
      </w:pPr>
      <w:r w:rsidRPr="009E58F7">
        <w:rPr>
          <w:color w:val="000000"/>
        </w:rPr>
        <w:t>A demográfiai jellemzők és a betegség kiindulási jellegzetességei megfelelő egyensúlyban voltak a két terápiás kar közöt</w:t>
      </w:r>
      <w:r w:rsidR="009A6388" w:rsidRPr="009E58F7">
        <w:rPr>
          <w:color w:val="000000"/>
        </w:rPr>
        <w:t>t: a betegek medián életkora 66 </w:t>
      </w:r>
      <w:r w:rsidRPr="009E58F7">
        <w:rPr>
          <w:color w:val="000000"/>
        </w:rPr>
        <w:t xml:space="preserve">év volt, </w:t>
      </w:r>
      <w:r w:rsidRPr="009E58F7">
        <w:t>74</w:t>
      </w:r>
      <w:r w:rsidR="00C5286C" w:rsidRPr="009E58F7">
        <w:t>%-uk</w:t>
      </w:r>
      <w:r w:rsidRPr="009E58F7">
        <w:t xml:space="preserve"> volt férfi, 66</w:t>
      </w:r>
      <w:r w:rsidR="00C5286C" w:rsidRPr="009E58F7">
        <w:t>%-uk</w:t>
      </w:r>
      <w:r w:rsidRPr="009E58F7">
        <w:t xml:space="preserve"> volt fehér bőrű és 32</w:t>
      </w:r>
      <w:r w:rsidR="00C5286C" w:rsidRPr="009E58F7">
        <w:t>%-uk</w:t>
      </w:r>
      <w:r w:rsidRPr="009E58F7">
        <w:t xml:space="preserve"> ázsiai</w:t>
      </w:r>
      <w:r w:rsidRPr="009E58F7">
        <w:rPr>
          <w:color w:val="000000"/>
        </w:rPr>
        <w:t>, a betegek 69%-ának volt köpenysejtes lymphoma-pozitív a csontvelő aspirátuma és/vagy pozitív a csontvelő biopsziája, a betegek 54%-án</w:t>
      </w:r>
      <w:r w:rsidR="000C49E1">
        <w:rPr>
          <w:color w:val="000000"/>
        </w:rPr>
        <w:t>ak</w:t>
      </w:r>
      <w:r w:rsidRPr="009E58F7">
        <w:rPr>
          <w:color w:val="000000"/>
        </w:rPr>
        <w:t xml:space="preserve"> volt a nemzetközi prognosztikai index (International Prognostic Index - IPI) pontszáma ≥</w:t>
      </w:r>
      <w:r w:rsidR="0070736B" w:rsidRPr="009E58F7">
        <w:rPr>
          <w:color w:val="000000"/>
        </w:rPr>
        <w:t> </w:t>
      </w:r>
      <w:r w:rsidRPr="009E58F7">
        <w:rPr>
          <w:color w:val="000000"/>
        </w:rPr>
        <w:t>3, és 76%-ának volt IV.</w:t>
      </w:r>
      <w:r w:rsidR="0070736B" w:rsidRPr="009E58F7">
        <w:rPr>
          <w:color w:val="000000"/>
        </w:rPr>
        <w:t> </w:t>
      </w:r>
      <w:r w:rsidRPr="009E58F7">
        <w:rPr>
          <w:color w:val="000000"/>
        </w:rPr>
        <w:t>stádiumú a betegsége. A kezelés időtartama (mediá</w:t>
      </w:r>
      <w:r w:rsidR="003212C5" w:rsidRPr="009E58F7">
        <w:rPr>
          <w:color w:val="000000"/>
        </w:rPr>
        <w:t>n = </w:t>
      </w:r>
      <w:r w:rsidRPr="009E58F7">
        <w:rPr>
          <w:color w:val="000000"/>
        </w:rPr>
        <w:t>17 hét) és a követés időtartama (mediá</w:t>
      </w:r>
      <w:r w:rsidR="003212C5" w:rsidRPr="009E58F7">
        <w:rPr>
          <w:color w:val="000000"/>
        </w:rPr>
        <w:t>n = </w:t>
      </w:r>
      <w:r w:rsidRPr="009E58F7">
        <w:rPr>
          <w:color w:val="000000"/>
        </w:rPr>
        <w:t>40 hónap) hasonló volt mindkét terápiás kar esetén.</w:t>
      </w:r>
      <w:r w:rsidR="009A6388" w:rsidRPr="009E58F7">
        <w:rPr>
          <w:color w:val="000000"/>
        </w:rPr>
        <w:t xml:space="preserve"> Mindkét terápiás kar betegei 6 </w:t>
      </w:r>
      <w:r w:rsidRPr="009E58F7">
        <w:rPr>
          <w:color w:val="000000"/>
        </w:rPr>
        <w:t>ciklust kaptak (medián</w:t>
      </w:r>
      <w:r w:rsidR="000C49E1">
        <w:rPr>
          <w:color w:val="000000"/>
        </w:rPr>
        <w:t xml:space="preserve"> </w:t>
      </w:r>
      <w:r w:rsidRPr="009E58F7">
        <w:rPr>
          <w:color w:val="000000"/>
        </w:rPr>
        <w:t xml:space="preserve">érték), és a </w:t>
      </w:r>
      <w:r w:rsidR="00E708C1" w:rsidRPr="009E58F7">
        <w:t>BzR</w:t>
      </w:r>
      <w:r w:rsidR="003F0F42">
        <w:rPr>
          <w:color w:val="000000"/>
        </w:rPr>
        <w:t>-</w:t>
      </w:r>
      <w:r w:rsidRPr="009E58F7">
        <w:rPr>
          <w:color w:val="000000"/>
        </w:rPr>
        <w:t>CAP</w:t>
      </w:r>
      <w:r w:rsidR="000C49E1">
        <w:rPr>
          <w:color w:val="000000"/>
        </w:rPr>
        <w:t>-</w:t>
      </w:r>
      <w:r w:rsidRPr="009E58F7">
        <w:rPr>
          <w:color w:val="000000"/>
        </w:rPr>
        <w:t>csoport betegeinek 14%, míg az R</w:t>
      </w:r>
      <w:r w:rsidR="003F0F42">
        <w:rPr>
          <w:color w:val="000000"/>
        </w:rPr>
        <w:t>-</w:t>
      </w:r>
      <w:r w:rsidRPr="009E58F7">
        <w:rPr>
          <w:color w:val="000000"/>
        </w:rPr>
        <w:t>CHOP</w:t>
      </w:r>
      <w:r w:rsidR="000C49E1">
        <w:rPr>
          <w:color w:val="000000"/>
        </w:rPr>
        <w:t>-</w:t>
      </w:r>
      <w:r w:rsidRPr="009E58F7">
        <w:rPr>
          <w:color w:val="000000"/>
        </w:rPr>
        <w:t>csoport betegeinek 17%-a kapott 2 további ciklust. Mindkét csoport betegeinek többsége befejezte a kezelést, 80% a B</w:t>
      </w:r>
      <w:r w:rsidR="0070736B" w:rsidRPr="009E58F7">
        <w:rPr>
          <w:color w:val="000000"/>
        </w:rPr>
        <w:t>z</w:t>
      </w:r>
      <w:r w:rsidRPr="009E58F7">
        <w:rPr>
          <w:color w:val="000000"/>
        </w:rPr>
        <w:t>R</w:t>
      </w:r>
      <w:r w:rsidR="003F0F42">
        <w:rPr>
          <w:color w:val="000000"/>
        </w:rPr>
        <w:t>-</w:t>
      </w:r>
      <w:r w:rsidRPr="009E58F7">
        <w:rPr>
          <w:color w:val="000000"/>
        </w:rPr>
        <w:t>CAP</w:t>
      </w:r>
      <w:r w:rsidR="000C49E1">
        <w:rPr>
          <w:color w:val="000000"/>
        </w:rPr>
        <w:t>-</w:t>
      </w:r>
      <w:r w:rsidRPr="009E58F7">
        <w:rPr>
          <w:color w:val="000000"/>
        </w:rPr>
        <w:t>csoportban és 82% az R</w:t>
      </w:r>
      <w:r w:rsidR="003F0F42">
        <w:rPr>
          <w:color w:val="000000"/>
        </w:rPr>
        <w:t>-</w:t>
      </w:r>
      <w:r w:rsidRPr="009E58F7">
        <w:rPr>
          <w:color w:val="000000"/>
        </w:rPr>
        <w:t>CHOP</w:t>
      </w:r>
      <w:r w:rsidR="000C49E1">
        <w:rPr>
          <w:color w:val="000000"/>
        </w:rPr>
        <w:t>-</w:t>
      </w:r>
      <w:r w:rsidRPr="009E58F7">
        <w:rPr>
          <w:color w:val="000000"/>
        </w:rPr>
        <w:t>csoportban. A hatásossági eredményeket a 16.</w:t>
      </w:r>
      <w:r w:rsidR="0070736B" w:rsidRPr="009E58F7">
        <w:rPr>
          <w:color w:val="000000"/>
        </w:rPr>
        <w:t> </w:t>
      </w:r>
      <w:r w:rsidRPr="009E58F7">
        <w:rPr>
          <w:color w:val="000000"/>
        </w:rPr>
        <w:t>táblázat mutatja.</w:t>
      </w:r>
    </w:p>
    <w:p w14:paraId="163B307B" w14:textId="77777777" w:rsidR="004D6470" w:rsidRPr="009E58F7" w:rsidRDefault="004D6470">
      <w:pPr>
        <w:widowControl w:val="0"/>
        <w:autoSpaceDE w:val="0"/>
        <w:autoSpaceDN w:val="0"/>
        <w:adjustRightInd w:val="0"/>
        <w:spacing w:line="240" w:lineRule="auto"/>
      </w:pPr>
    </w:p>
    <w:p w14:paraId="77BF9AA9" w14:textId="5E093F93" w:rsidR="00294AAF" w:rsidRPr="009E58F7" w:rsidRDefault="00294AAF">
      <w:pPr>
        <w:keepNext/>
        <w:spacing w:line="240" w:lineRule="auto"/>
      </w:pPr>
      <w:r w:rsidRPr="009E58F7">
        <w:rPr>
          <w:i/>
        </w:rPr>
        <w:t>16.</w:t>
      </w:r>
      <w:r w:rsidR="00E42F9B" w:rsidRPr="009E58F7">
        <w:rPr>
          <w:i/>
        </w:rPr>
        <w:t> </w:t>
      </w:r>
      <w:r w:rsidRPr="009E58F7">
        <w:rPr>
          <w:i/>
        </w:rPr>
        <w:t>táblázat:</w:t>
      </w:r>
      <w:r w:rsidR="00E42F9B" w:rsidRPr="009E58F7">
        <w:rPr>
          <w:i/>
          <w:iCs/>
          <w:noProof/>
          <w:lang w:eastAsia="de-AT"/>
        </w:rPr>
        <w:tab/>
      </w:r>
      <w:r w:rsidRPr="009E58F7">
        <w:rPr>
          <w:i/>
        </w:rPr>
        <w:t>A LYM-3002-vizsgálat hatásossági eredményei</w:t>
      </w:r>
    </w:p>
    <w:tbl>
      <w:tblPr>
        <w:tblW w:w="0" w:type="auto"/>
        <w:tblInd w:w="10" w:type="dxa"/>
        <w:tblLayout w:type="fixed"/>
        <w:tblCellMar>
          <w:left w:w="0" w:type="dxa"/>
          <w:right w:w="0" w:type="dxa"/>
        </w:tblCellMar>
        <w:tblLook w:val="04A0" w:firstRow="1" w:lastRow="0" w:firstColumn="1" w:lastColumn="0" w:noHBand="0" w:noVBand="1"/>
      </w:tblPr>
      <w:tblGrid>
        <w:gridCol w:w="2840"/>
        <w:gridCol w:w="325"/>
        <w:gridCol w:w="1235"/>
        <w:gridCol w:w="1564"/>
        <w:gridCol w:w="3118"/>
      </w:tblGrid>
      <w:tr w:rsidR="0062514F" w:rsidRPr="009E58F7" w14:paraId="64AFEE05" w14:textId="77777777" w:rsidTr="0062514F">
        <w:trPr>
          <w:trHeight w:val="206"/>
        </w:trPr>
        <w:tc>
          <w:tcPr>
            <w:tcW w:w="2840" w:type="dxa"/>
            <w:tcBorders>
              <w:top w:val="single" w:sz="8" w:space="0" w:color="auto"/>
              <w:left w:val="single" w:sz="8" w:space="0" w:color="auto"/>
              <w:bottom w:val="single" w:sz="8" w:space="0" w:color="auto"/>
              <w:right w:val="single" w:sz="8" w:space="0" w:color="auto"/>
            </w:tcBorders>
            <w:vAlign w:val="bottom"/>
          </w:tcPr>
          <w:p w14:paraId="7B698066" w14:textId="209607F2" w:rsidR="0062514F" w:rsidRPr="009E58F7" w:rsidRDefault="0062514F" w:rsidP="007070F2">
            <w:pPr>
              <w:spacing w:line="240" w:lineRule="auto"/>
              <w:contextualSpacing/>
              <w:jc w:val="both"/>
            </w:pPr>
            <w:r w:rsidRPr="009E58F7">
              <w:rPr>
                <w:b/>
                <w:bCs/>
              </w:rPr>
              <w:t>Hatásossági végpont</w:t>
            </w:r>
          </w:p>
        </w:tc>
        <w:tc>
          <w:tcPr>
            <w:tcW w:w="1560" w:type="dxa"/>
            <w:gridSpan w:val="2"/>
            <w:tcBorders>
              <w:top w:val="single" w:sz="8" w:space="0" w:color="auto"/>
              <w:bottom w:val="single" w:sz="8" w:space="0" w:color="auto"/>
              <w:right w:val="single" w:sz="8" w:space="0" w:color="auto"/>
            </w:tcBorders>
            <w:vAlign w:val="bottom"/>
          </w:tcPr>
          <w:p w14:paraId="71A26E0C" w14:textId="7108D654" w:rsidR="0062514F" w:rsidRPr="009E58F7" w:rsidRDefault="0062514F" w:rsidP="007070F2">
            <w:pPr>
              <w:spacing w:line="240" w:lineRule="auto"/>
              <w:contextualSpacing/>
              <w:jc w:val="center"/>
              <w:rPr>
                <w:b/>
                <w:bCs/>
              </w:rPr>
            </w:pPr>
            <w:r w:rsidRPr="009E58F7">
              <w:rPr>
                <w:b/>
                <w:bCs/>
              </w:rPr>
              <w:t>BzR</w:t>
            </w:r>
            <w:r w:rsidR="003F0F42">
              <w:rPr>
                <w:b/>
                <w:bCs/>
              </w:rPr>
              <w:t>-</w:t>
            </w:r>
            <w:r w:rsidRPr="009E58F7">
              <w:rPr>
                <w:b/>
                <w:bCs/>
              </w:rPr>
              <w:t>CAP</w:t>
            </w:r>
          </w:p>
        </w:tc>
        <w:tc>
          <w:tcPr>
            <w:tcW w:w="1564" w:type="dxa"/>
            <w:tcBorders>
              <w:top w:val="single" w:sz="8" w:space="0" w:color="auto"/>
              <w:bottom w:val="single" w:sz="8" w:space="0" w:color="auto"/>
              <w:right w:val="single" w:sz="8" w:space="0" w:color="auto"/>
            </w:tcBorders>
            <w:vAlign w:val="bottom"/>
          </w:tcPr>
          <w:p w14:paraId="7F64B4D9" w14:textId="7B134A13" w:rsidR="0062514F" w:rsidRPr="009E58F7" w:rsidRDefault="0062514F" w:rsidP="007070F2">
            <w:pPr>
              <w:spacing w:line="240" w:lineRule="auto"/>
              <w:contextualSpacing/>
              <w:jc w:val="center"/>
              <w:rPr>
                <w:b/>
                <w:bCs/>
              </w:rPr>
            </w:pPr>
            <w:r w:rsidRPr="009E58F7">
              <w:rPr>
                <w:b/>
                <w:bCs/>
              </w:rPr>
              <w:t>R</w:t>
            </w:r>
            <w:r w:rsidR="003F0F42">
              <w:rPr>
                <w:b/>
                <w:bCs/>
              </w:rPr>
              <w:t>-</w:t>
            </w:r>
            <w:r w:rsidRPr="009E58F7">
              <w:rPr>
                <w:b/>
                <w:bCs/>
              </w:rPr>
              <w:t>CHOP</w:t>
            </w:r>
          </w:p>
        </w:tc>
        <w:tc>
          <w:tcPr>
            <w:tcW w:w="3118" w:type="dxa"/>
            <w:vMerge w:val="restart"/>
            <w:tcBorders>
              <w:top w:val="single" w:sz="8" w:space="0" w:color="auto"/>
              <w:right w:val="single" w:sz="8" w:space="0" w:color="auto"/>
            </w:tcBorders>
            <w:vAlign w:val="bottom"/>
          </w:tcPr>
          <w:p w14:paraId="557AD7A6" w14:textId="77777777" w:rsidR="0062514F" w:rsidRPr="009E58F7" w:rsidRDefault="0062514F" w:rsidP="007070F2">
            <w:pPr>
              <w:spacing w:line="240" w:lineRule="auto"/>
              <w:contextualSpacing/>
              <w:jc w:val="both"/>
            </w:pPr>
          </w:p>
        </w:tc>
      </w:tr>
      <w:tr w:rsidR="0062514F" w:rsidRPr="009E58F7" w14:paraId="73E8B59E" w14:textId="77777777" w:rsidTr="0062514F">
        <w:trPr>
          <w:trHeight w:val="206"/>
        </w:trPr>
        <w:tc>
          <w:tcPr>
            <w:tcW w:w="2840" w:type="dxa"/>
            <w:tcBorders>
              <w:left w:val="single" w:sz="8" w:space="0" w:color="auto"/>
              <w:bottom w:val="single" w:sz="8" w:space="0" w:color="auto"/>
              <w:right w:val="single" w:sz="8" w:space="0" w:color="auto"/>
            </w:tcBorders>
            <w:vAlign w:val="bottom"/>
          </w:tcPr>
          <w:p w14:paraId="62EFB9DB" w14:textId="77777777" w:rsidR="0062514F" w:rsidRPr="009E58F7" w:rsidRDefault="0062514F" w:rsidP="007070F2">
            <w:pPr>
              <w:spacing w:line="240" w:lineRule="auto"/>
              <w:contextualSpacing/>
              <w:jc w:val="both"/>
            </w:pPr>
            <w:r w:rsidRPr="009E58F7">
              <w:t>n: ITT betegek</w:t>
            </w:r>
          </w:p>
        </w:tc>
        <w:tc>
          <w:tcPr>
            <w:tcW w:w="325" w:type="dxa"/>
            <w:tcBorders>
              <w:bottom w:val="single" w:sz="8" w:space="0" w:color="auto"/>
            </w:tcBorders>
            <w:vAlign w:val="bottom"/>
          </w:tcPr>
          <w:p w14:paraId="21B9EC8A" w14:textId="77777777" w:rsidR="0062514F" w:rsidRPr="009E58F7" w:rsidRDefault="0062514F" w:rsidP="007070F2">
            <w:pPr>
              <w:spacing w:line="240" w:lineRule="auto"/>
              <w:contextualSpacing/>
              <w:jc w:val="both"/>
            </w:pPr>
          </w:p>
        </w:tc>
        <w:tc>
          <w:tcPr>
            <w:tcW w:w="1235" w:type="dxa"/>
            <w:tcBorders>
              <w:bottom w:val="single" w:sz="8" w:space="0" w:color="auto"/>
              <w:right w:val="single" w:sz="8" w:space="0" w:color="auto"/>
            </w:tcBorders>
            <w:vAlign w:val="bottom"/>
          </w:tcPr>
          <w:p w14:paraId="74B425C6" w14:textId="77777777" w:rsidR="0062514F" w:rsidRPr="009E58F7" w:rsidRDefault="0062514F" w:rsidP="007070F2">
            <w:pPr>
              <w:spacing w:line="240" w:lineRule="auto"/>
              <w:contextualSpacing/>
              <w:jc w:val="both"/>
            </w:pPr>
            <w:r w:rsidRPr="009E58F7">
              <w:t>243</w:t>
            </w:r>
          </w:p>
        </w:tc>
        <w:tc>
          <w:tcPr>
            <w:tcW w:w="1564" w:type="dxa"/>
            <w:tcBorders>
              <w:bottom w:val="single" w:sz="8" w:space="0" w:color="auto"/>
              <w:right w:val="single" w:sz="8" w:space="0" w:color="auto"/>
            </w:tcBorders>
            <w:vAlign w:val="bottom"/>
          </w:tcPr>
          <w:p w14:paraId="3E1A0D3F" w14:textId="77777777" w:rsidR="0062514F" w:rsidRPr="009E58F7" w:rsidRDefault="0062514F" w:rsidP="007070F2">
            <w:pPr>
              <w:spacing w:line="240" w:lineRule="auto"/>
              <w:contextualSpacing/>
              <w:jc w:val="both"/>
            </w:pPr>
            <w:r w:rsidRPr="009E58F7">
              <w:t>244</w:t>
            </w:r>
          </w:p>
        </w:tc>
        <w:tc>
          <w:tcPr>
            <w:tcW w:w="3118" w:type="dxa"/>
            <w:vMerge/>
            <w:tcBorders>
              <w:bottom w:val="single" w:sz="8" w:space="0" w:color="auto"/>
              <w:right w:val="single" w:sz="8" w:space="0" w:color="auto"/>
            </w:tcBorders>
            <w:vAlign w:val="bottom"/>
          </w:tcPr>
          <w:p w14:paraId="087B0E85" w14:textId="77777777" w:rsidR="0062514F" w:rsidRPr="009E58F7" w:rsidRDefault="0062514F" w:rsidP="007070F2">
            <w:pPr>
              <w:spacing w:line="240" w:lineRule="auto"/>
              <w:contextualSpacing/>
              <w:jc w:val="both"/>
            </w:pPr>
          </w:p>
        </w:tc>
      </w:tr>
      <w:tr w:rsidR="00E42F9B" w:rsidRPr="009E58F7" w14:paraId="09FE348F" w14:textId="77777777" w:rsidTr="00E64005">
        <w:trPr>
          <w:trHeight w:val="206"/>
        </w:trPr>
        <w:tc>
          <w:tcPr>
            <w:tcW w:w="5964" w:type="dxa"/>
            <w:gridSpan w:val="4"/>
            <w:tcBorders>
              <w:left w:val="single" w:sz="8" w:space="0" w:color="auto"/>
              <w:bottom w:val="single" w:sz="8" w:space="0" w:color="auto"/>
            </w:tcBorders>
            <w:vAlign w:val="bottom"/>
          </w:tcPr>
          <w:p w14:paraId="418C5C2B" w14:textId="77777777" w:rsidR="00E42F9B" w:rsidRPr="009E58F7" w:rsidRDefault="00E42F9B" w:rsidP="007070F2">
            <w:pPr>
              <w:spacing w:line="240" w:lineRule="auto"/>
              <w:contextualSpacing/>
              <w:jc w:val="both"/>
              <w:rPr>
                <w:b/>
              </w:rPr>
            </w:pPr>
            <w:r w:rsidRPr="009E58F7">
              <w:rPr>
                <w:b/>
              </w:rPr>
              <w:t>Progressziómentes túlélés (IRC)</w:t>
            </w:r>
            <w:r w:rsidRPr="009E58F7">
              <w:rPr>
                <w:rFonts w:ascii="Times" w:hAnsi="Times"/>
                <w:b/>
                <w:vertAlign w:val="superscript"/>
              </w:rPr>
              <w:t>a</w:t>
            </w:r>
          </w:p>
        </w:tc>
        <w:tc>
          <w:tcPr>
            <w:tcW w:w="3118" w:type="dxa"/>
            <w:tcBorders>
              <w:bottom w:val="single" w:sz="8" w:space="0" w:color="auto"/>
              <w:right w:val="single" w:sz="8" w:space="0" w:color="auto"/>
            </w:tcBorders>
            <w:vAlign w:val="bottom"/>
          </w:tcPr>
          <w:p w14:paraId="40B8BB82" w14:textId="77777777" w:rsidR="00E42F9B" w:rsidRPr="009E58F7" w:rsidRDefault="00E42F9B" w:rsidP="007070F2">
            <w:pPr>
              <w:spacing w:line="240" w:lineRule="auto"/>
              <w:contextualSpacing/>
              <w:jc w:val="both"/>
            </w:pPr>
          </w:p>
        </w:tc>
      </w:tr>
      <w:tr w:rsidR="00E42F9B" w:rsidRPr="009E58F7" w14:paraId="269BBE57" w14:textId="77777777" w:rsidTr="00E64005">
        <w:trPr>
          <w:trHeight w:val="195"/>
        </w:trPr>
        <w:tc>
          <w:tcPr>
            <w:tcW w:w="2840" w:type="dxa"/>
            <w:tcBorders>
              <w:top w:val="single" w:sz="8" w:space="0" w:color="auto"/>
              <w:left w:val="single" w:sz="8" w:space="0" w:color="auto"/>
              <w:bottom w:val="single" w:sz="8" w:space="0" w:color="auto"/>
              <w:right w:val="single" w:sz="8" w:space="0" w:color="auto"/>
            </w:tcBorders>
            <w:vAlign w:val="bottom"/>
          </w:tcPr>
          <w:p w14:paraId="78330C9D" w14:textId="77777777" w:rsidR="00E42F9B" w:rsidRPr="009E58F7" w:rsidRDefault="00E42F9B" w:rsidP="007070F2">
            <w:pPr>
              <w:spacing w:line="240" w:lineRule="auto"/>
              <w:contextualSpacing/>
              <w:jc w:val="both"/>
            </w:pPr>
            <w:r w:rsidRPr="009E58F7">
              <w:t>Események n (%)</w:t>
            </w:r>
          </w:p>
        </w:tc>
        <w:tc>
          <w:tcPr>
            <w:tcW w:w="1560" w:type="dxa"/>
            <w:gridSpan w:val="2"/>
            <w:tcBorders>
              <w:top w:val="single" w:sz="8" w:space="0" w:color="auto"/>
              <w:bottom w:val="single" w:sz="8" w:space="0" w:color="auto"/>
              <w:right w:val="single" w:sz="8" w:space="0" w:color="auto"/>
            </w:tcBorders>
            <w:vAlign w:val="bottom"/>
          </w:tcPr>
          <w:p w14:paraId="5977EBDA" w14:textId="77777777" w:rsidR="00E42F9B" w:rsidRPr="009E58F7" w:rsidRDefault="00E42F9B" w:rsidP="007070F2">
            <w:pPr>
              <w:spacing w:line="240" w:lineRule="auto"/>
              <w:contextualSpacing/>
              <w:jc w:val="center"/>
            </w:pPr>
            <w:r w:rsidRPr="009E58F7">
              <w:t>133 (54,7%)</w:t>
            </w:r>
          </w:p>
        </w:tc>
        <w:tc>
          <w:tcPr>
            <w:tcW w:w="1564" w:type="dxa"/>
            <w:tcBorders>
              <w:top w:val="single" w:sz="8" w:space="0" w:color="auto"/>
              <w:bottom w:val="single" w:sz="8" w:space="0" w:color="auto"/>
              <w:right w:val="single" w:sz="8" w:space="0" w:color="auto"/>
            </w:tcBorders>
            <w:vAlign w:val="bottom"/>
          </w:tcPr>
          <w:p w14:paraId="689FFE1B" w14:textId="77777777" w:rsidR="00E42F9B" w:rsidRPr="009E58F7" w:rsidRDefault="00E42F9B" w:rsidP="007070F2">
            <w:pPr>
              <w:spacing w:line="240" w:lineRule="auto"/>
              <w:contextualSpacing/>
              <w:jc w:val="center"/>
            </w:pPr>
            <w:r w:rsidRPr="009E58F7">
              <w:t>165 (67,6%)</w:t>
            </w:r>
          </w:p>
        </w:tc>
        <w:tc>
          <w:tcPr>
            <w:tcW w:w="3118" w:type="dxa"/>
            <w:vMerge w:val="restart"/>
            <w:tcBorders>
              <w:top w:val="single" w:sz="8" w:space="0" w:color="auto"/>
              <w:bottom w:val="single" w:sz="8" w:space="0" w:color="auto"/>
              <w:right w:val="single" w:sz="8" w:space="0" w:color="auto"/>
            </w:tcBorders>
            <w:vAlign w:val="bottom"/>
          </w:tcPr>
          <w:p w14:paraId="5CE451EF" w14:textId="32ED6F5F" w:rsidR="00E42F9B" w:rsidRPr="009E58F7" w:rsidRDefault="00E42F9B" w:rsidP="007070F2">
            <w:pPr>
              <w:spacing w:line="240" w:lineRule="auto"/>
              <w:contextualSpacing/>
              <w:jc w:val="center"/>
            </w:pPr>
            <w:r w:rsidRPr="009E58F7">
              <w:t>HR</w:t>
            </w:r>
            <w:r w:rsidRPr="009E58F7">
              <w:rPr>
                <w:rFonts w:ascii="Times" w:hAnsi="Times"/>
                <w:vertAlign w:val="superscript"/>
              </w:rPr>
              <w:t>b</w:t>
            </w:r>
            <w:r w:rsidRPr="009E58F7">
              <w:t xml:space="preserve"> (95%</w:t>
            </w:r>
            <w:r w:rsidR="00621E19">
              <w:t>-</w:t>
            </w:r>
            <w:r w:rsidRPr="009E58F7">
              <w:t>os</w:t>
            </w:r>
            <w:r w:rsidR="0062514F" w:rsidRPr="009E58F7">
              <w:t> </w:t>
            </w:r>
            <w:r w:rsidRPr="009E58F7">
              <w:t>CI)</w:t>
            </w:r>
            <w:r w:rsidR="0062514F" w:rsidRPr="009E58F7">
              <w:t xml:space="preserve"> </w:t>
            </w:r>
            <w:r w:rsidRPr="009E58F7">
              <w:t>=</w:t>
            </w:r>
            <w:r w:rsidR="0062514F" w:rsidRPr="009E58F7">
              <w:t xml:space="preserve"> </w:t>
            </w:r>
            <w:r w:rsidRPr="009E58F7">
              <w:t>0,63</w:t>
            </w:r>
            <w:r w:rsidR="0062514F" w:rsidRPr="009E58F7">
              <w:t> </w:t>
            </w:r>
            <w:r w:rsidRPr="009E58F7">
              <w:t>(0,50;0,79)</w:t>
            </w:r>
          </w:p>
          <w:p w14:paraId="3E282EE4" w14:textId="3CDC1357" w:rsidR="00E42F9B" w:rsidRPr="009E58F7" w:rsidRDefault="00E42F9B" w:rsidP="007070F2">
            <w:pPr>
              <w:spacing w:line="240" w:lineRule="auto"/>
              <w:contextualSpacing/>
              <w:jc w:val="center"/>
            </w:pPr>
            <w:r w:rsidRPr="009E58F7">
              <w:t>p-érték</w:t>
            </w:r>
            <w:r w:rsidRPr="009E58F7">
              <w:rPr>
                <w:rFonts w:ascii="Times" w:hAnsi="Times"/>
                <w:vertAlign w:val="superscript"/>
              </w:rPr>
              <w:t>d</w:t>
            </w:r>
            <w:r w:rsidR="0062514F" w:rsidRPr="009E58F7">
              <w:t> </w:t>
            </w:r>
            <w:r w:rsidRPr="009E58F7">
              <w:t>&lt;</w:t>
            </w:r>
            <w:r w:rsidR="0062514F" w:rsidRPr="009E58F7">
              <w:t> </w:t>
            </w:r>
            <w:r w:rsidRPr="009E58F7">
              <w:t>0,001</w:t>
            </w:r>
          </w:p>
        </w:tc>
      </w:tr>
      <w:tr w:rsidR="00E42F9B" w:rsidRPr="009E58F7" w14:paraId="1F6A27BB" w14:textId="77777777" w:rsidTr="00E64005">
        <w:trPr>
          <w:trHeight w:val="195"/>
        </w:trPr>
        <w:tc>
          <w:tcPr>
            <w:tcW w:w="2840" w:type="dxa"/>
            <w:tcBorders>
              <w:top w:val="single" w:sz="8" w:space="0" w:color="auto"/>
              <w:left w:val="single" w:sz="8" w:space="0" w:color="auto"/>
              <w:bottom w:val="single" w:sz="8" w:space="0" w:color="auto"/>
              <w:right w:val="single" w:sz="8" w:space="0" w:color="auto"/>
            </w:tcBorders>
            <w:vAlign w:val="center"/>
          </w:tcPr>
          <w:p w14:paraId="3FE1DD75" w14:textId="77777777" w:rsidR="00E42F9B" w:rsidRPr="009E58F7" w:rsidRDefault="00E42F9B" w:rsidP="00D7256D">
            <w:pPr>
              <w:spacing w:line="240" w:lineRule="auto"/>
              <w:contextualSpacing/>
            </w:pPr>
            <w:r w:rsidRPr="009E58F7">
              <w:t>Medián</w:t>
            </w:r>
            <w:r w:rsidRPr="009E58F7">
              <w:rPr>
                <w:vertAlign w:val="superscript"/>
              </w:rPr>
              <w:t>c</w:t>
            </w:r>
            <w:r w:rsidRPr="009E58F7">
              <w:t xml:space="preserve"> (95%-os CI) (hónap)</w:t>
            </w:r>
          </w:p>
        </w:tc>
        <w:tc>
          <w:tcPr>
            <w:tcW w:w="1560" w:type="dxa"/>
            <w:gridSpan w:val="2"/>
            <w:tcBorders>
              <w:top w:val="single" w:sz="8" w:space="0" w:color="auto"/>
              <w:bottom w:val="single" w:sz="8" w:space="0" w:color="auto"/>
              <w:right w:val="single" w:sz="8" w:space="0" w:color="auto"/>
            </w:tcBorders>
            <w:vAlign w:val="bottom"/>
          </w:tcPr>
          <w:p w14:paraId="56F9A0C7" w14:textId="77777777" w:rsidR="00E42F9B" w:rsidRPr="009E58F7" w:rsidRDefault="00E42F9B" w:rsidP="007070F2">
            <w:pPr>
              <w:spacing w:line="240" w:lineRule="auto"/>
              <w:contextualSpacing/>
              <w:jc w:val="center"/>
            </w:pPr>
            <w:r w:rsidRPr="009E58F7">
              <w:t>24,7 (19,8; 31,8)</w:t>
            </w:r>
          </w:p>
        </w:tc>
        <w:tc>
          <w:tcPr>
            <w:tcW w:w="1564" w:type="dxa"/>
            <w:tcBorders>
              <w:top w:val="single" w:sz="8" w:space="0" w:color="auto"/>
              <w:left w:val="single" w:sz="8" w:space="0" w:color="auto"/>
              <w:bottom w:val="single" w:sz="8" w:space="0" w:color="auto"/>
              <w:right w:val="single" w:sz="8" w:space="0" w:color="auto"/>
            </w:tcBorders>
            <w:vAlign w:val="bottom"/>
          </w:tcPr>
          <w:p w14:paraId="4199D2E0" w14:textId="77777777" w:rsidR="00E42F9B" w:rsidRPr="009E58F7" w:rsidRDefault="00E42F9B" w:rsidP="007070F2">
            <w:pPr>
              <w:spacing w:line="240" w:lineRule="auto"/>
              <w:contextualSpacing/>
              <w:jc w:val="center"/>
            </w:pPr>
            <w:r w:rsidRPr="009E58F7">
              <w:t>14,4 (12; 16,9)</w:t>
            </w:r>
          </w:p>
        </w:tc>
        <w:tc>
          <w:tcPr>
            <w:tcW w:w="3118" w:type="dxa"/>
            <w:vMerge/>
            <w:tcBorders>
              <w:top w:val="single" w:sz="8" w:space="0" w:color="auto"/>
              <w:bottom w:val="single" w:sz="8" w:space="0" w:color="auto"/>
              <w:right w:val="single" w:sz="8" w:space="0" w:color="auto"/>
            </w:tcBorders>
            <w:vAlign w:val="bottom"/>
          </w:tcPr>
          <w:p w14:paraId="453BBA62" w14:textId="77777777" w:rsidR="00E42F9B" w:rsidRPr="009E58F7" w:rsidRDefault="00E42F9B" w:rsidP="007070F2">
            <w:pPr>
              <w:spacing w:line="240" w:lineRule="auto"/>
              <w:contextualSpacing/>
              <w:jc w:val="center"/>
            </w:pPr>
          </w:p>
        </w:tc>
      </w:tr>
      <w:tr w:rsidR="00E42F9B" w:rsidRPr="009E58F7" w14:paraId="7172BB9A" w14:textId="77777777" w:rsidTr="00E64005">
        <w:trPr>
          <w:trHeight w:val="207"/>
        </w:trPr>
        <w:tc>
          <w:tcPr>
            <w:tcW w:w="2840" w:type="dxa"/>
            <w:tcBorders>
              <w:top w:val="single" w:sz="8" w:space="0" w:color="auto"/>
              <w:left w:val="single" w:sz="8" w:space="0" w:color="auto"/>
              <w:bottom w:val="single" w:sz="8" w:space="0" w:color="auto"/>
            </w:tcBorders>
            <w:vAlign w:val="bottom"/>
          </w:tcPr>
          <w:p w14:paraId="1A7B9FC4" w14:textId="77777777" w:rsidR="00E42F9B" w:rsidRPr="009E58F7" w:rsidRDefault="00E42F9B" w:rsidP="007070F2">
            <w:pPr>
              <w:spacing w:line="240" w:lineRule="auto"/>
              <w:contextualSpacing/>
              <w:jc w:val="both"/>
            </w:pPr>
            <w:r w:rsidRPr="009E58F7">
              <w:rPr>
                <w:b/>
                <w:bCs/>
              </w:rPr>
              <w:t>Válaszadási arány</w:t>
            </w:r>
          </w:p>
        </w:tc>
        <w:tc>
          <w:tcPr>
            <w:tcW w:w="325" w:type="dxa"/>
            <w:tcBorders>
              <w:top w:val="single" w:sz="8" w:space="0" w:color="auto"/>
              <w:bottom w:val="single" w:sz="8" w:space="0" w:color="auto"/>
            </w:tcBorders>
            <w:vAlign w:val="bottom"/>
          </w:tcPr>
          <w:p w14:paraId="13ACD3CF" w14:textId="77777777" w:rsidR="00E42F9B" w:rsidRPr="009E58F7" w:rsidRDefault="00E42F9B" w:rsidP="007070F2">
            <w:pPr>
              <w:spacing w:line="240" w:lineRule="auto"/>
              <w:contextualSpacing/>
              <w:jc w:val="both"/>
            </w:pPr>
          </w:p>
        </w:tc>
        <w:tc>
          <w:tcPr>
            <w:tcW w:w="1235" w:type="dxa"/>
            <w:tcBorders>
              <w:top w:val="single" w:sz="8" w:space="0" w:color="auto"/>
              <w:bottom w:val="single" w:sz="8" w:space="0" w:color="auto"/>
            </w:tcBorders>
            <w:vAlign w:val="bottom"/>
          </w:tcPr>
          <w:p w14:paraId="6846691D" w14:textId="77777777" w:rsidR="00E42F9B" w:rsidRPr="009E58F7" w:rsidRDefault="00E42F9B" w:rsidP="007070F2">
            <w:pPr>
              <w:spacing w:line="240" w:lineRule="auto"/>
              <w:contextualSpacing/>
              <w:jc w:val="both"/>
            </w:pPr>
          </w:p>
        </w:tc>
        <w:tc>
          <w:tcPr>
            <w:tcW w:w="1564" w:type="dxa"/>
            <w:tcBorders>
              <w:top w:val="single" w:sz="8" w:space="0" w:color="auto"/>
              <w:bottom w:val="single" w:sz="8" w:space="0" w:color="auto"/>
            </w:tcBorders>
            <w:vAlign w:val="bottom"/>
          </w:tcPr>
          <w:p w14:paraId="703B7139" w14:textId="77777777" w:rsidR="00E42F9B" w:rsidRPr="009E58F7" w:rsidRDefault="00E42F9B" w:rsidP="007070F2">
            <w:pPr>
              <w:spacing w:line="240" w:lineRule="auto"/>
              <w:contextualSpacing/>
              <w:jc w:val="both"/>
            </w:pPr>
          </w:p>
        </w:tc>
        <w:tc>
          <w:tcPr>
            <w:tcW w:w="3118" w:type="dxa"/>
            <w:tcBorders>
              <w:top w:val="single" w:sz="8" w:space="0" w:color="auto"/>
              <w:bottom w:val="single" w:sz="8" w:space="0" w:color="auto"/>
              <w:right w:val="single" w:sz="8" w:space="0" w:color="auto"/>
            </w:tcBorders>
            <w:vAlign w:val="bottom"/>
          </w:tcPr>
          <w:p w14:paraId="337382EE" w14:textId="77777777" w:rsidR="00E42F9B" w:rsidRPr="009E58F7" w:rsidRDefault="00E42F9B" w:rsidP="007070F2">
            <w:pPr>
              <w:spacing w:line="240" w:lineRule="auto"/>
              <w:contextualSpacing/>
              <w:jc w:val="both"/>
            </w:pPr>
          </w:p>
        </w:tc>
      </w:tr>
      <w:tr w:rsidR="0062514F" w:rsidRPr="009E58F7" w14:paraId="65E3E610" w14:textId="77777777" w:rsidTr="00E64005">
        <w:trPr>
          <w:trHeight w:val="192"/>
        </w:trPr>
        <w:tc>
          <w:tcPr>
            <w:tcW w:w="2840" w:type="dxa"/>
            <w:tcBorders>
              <w:top w:val="single" w:sz="8" w:space="0" w:color="auto"/>
              <w:left w:val="single" w:sz="8" w:space="0" w:color="auto"/>
              <w:bottom w:val="single" w:sz="8" w:space="0" w:color="auto"/>
              <w:right w:val="single" w:sz="8" w:space="0" w:color="auto"/>
            </w:tcBorders>
            <w:vAlign w:val="bottom"/>
          </w:tcPr>
          <w:p w14:paraId="5993E64D" w14:textId="36AE543F" w:rsidR="0062514F" w:rsidRPr="009E58F7" w:rsidRDefault="0062514F" w:rsidP="00D7256D">
            <w:pPr>
              <w:spacing w:line="240" w:lineRule="auto"/>
              <w:contextualSpacing/>
            </w:pPr>
            <w:r w:rsidRPr="009E58F7">
              <w:t>n: a válaszreakció szempontjából értékelhető betegek</w:t>
            </w:r>
          </w:p>
        </w:tc>
        <w:tc>
          <w:tcPr>
            <w:tcW w:w="1560" w:type="dxa"/>
            <w:gridSpan w:val="2"/>
            <w:tcBorders>
              <w:top w:val="single" w:sz="8" w:space="0" w:color="auto"/>
              <w:bottom w:val="single" w:sz="8" w:space="0" w:color="auto"/>
              <w:right w:val="single" w:sz="8" w:space="0" w:color="auto"/>
            </w:tcBorders>
            <w:vAlign w:val="center"/>
          </w:tcPr>
          <w:p w14:paraId="19F6EC6B" w14:textId="77777777" w:rsidR="0062514F" w:rsidRPr="009E58F7" w:rsidRDefault="0062514F" w:rsidP="007070F2">
            <w:pPr>
              <w:spacing w:line="240" w:lineRule="auto"/>
              <w:contextualSpacing/>
              <w:jc w:val="center"/>
            </w:pPr>
            <w:r w:rsidRPr="009E58F7">
              <w:t>229</w:t>
            </w:r>
          </w:p>
        </w:tc>
        <w:tc>
          <w:tcPr>
            <w:tcW w:w="1564" w:type="dxa"/>
            <w:tcBorders>
              <w:top w:val="single" w:sz="8" w:space="0" w:color="auto"/>
              <w:left w:val="single" w:sz="8" w:space="0" w:color="auto"/>
              <w:bottom w:val="single" w:sz="8" w:space="0" w:color="auto"/>
              <w:right w:val="single" w:sz="8" w:space="0" w:color="auto"/>
            </w:tcBorders>
            <w:vAlign w:val="center"/>
          </w:tcPr>
          <w:p w14:paraId="30D8938C" w14:textId="50B6925C" w:rsidR="0062514F" w:rsidRPr="009E58F7" w:rsidRDefault="0062514F" w:rsidP="007070F2">
            <w:pPr>
              <w:spacing w:line="240" w:lineRule="auto"/>
              <w:contextualSpacing/>
              <w:jc w:val="center"/>
            </w:pPr>
            <w:r w:rsidRPr="009E58F7">
              <w:t>228</w:t>
            </w:r>
          </w:p>
        </w:tc>
        <w:tc>
          <w:tcPr>
            <w:tcW w:w="3118" w:type="dxa"/>
            <w:tcBorders>
              <w:top w:val="single" w:sz="8" w:space="0" w:color="auto"/>
              <w:bottom w:val="single" w:sz="8" w:space="0" w:color="auto"/>
              <w:right w:val="single" w:sz="8" w:space="0" w:color="auto"/>
            </w:tcBorders>
            <w:vAlign w:val="bottom"/>
          </w:tcPr>
          <w:p w14:paraId="7FA1310E" w14:textId="77777777" w:rsidR="0062514F" w:rsidRPr="009E58F7" w:rsidRDefault="0062514F" w:rsidP="007070F2">
            <w:pPr>
              <w:spacing w:line="240" w:lineRule="auto"/>
              <w:contextualSpacing/>
              <w:jc w:val="both"/>
            </w:pPr>
          </w:p>
        </w:tc>
      </w:tr>
      <w:tr w:rsidR="0062514F" w:rsidRPr="009E58F7" w14:paraId="1144AF8E" w14:textId="77777777" w:rsidTr="00E64005">
        <w:trPr>
          <w:trHeight w:val="192"/>
        </w:trPr>
        <w:tc>
          <w:tcPr>
            <w:tcW w:w="2840" w:type="dxa"/>
            <w:tcBorders>
              <w:top w:val="single" w:sz="8" w:space="0" w:color="auto"/>
              <w:left w:val="single" w:sz="8" w:space="0" w:color="auto"/>
              <w:bottom w:val="single" w:sz="8" w:space="0" w:color="auto"/>
              <w:right w:val="single" w:sz="8" w:space="0" w:color="auto"/>
            </w:tcBorders>
            <w:vAlign w:val="center"/>
          </w:tcPr>
          <w:p w14:paraId="48062F0F" w14:textId="430B79DD" w:rsidR="0062514F" w:rsidRPr="009E58F7" w:rsidRDefault="0062514F" w:rsidP="00D7256D">
            <w:pPr>
              <w:spacing w:line="240" w:lineRule="auto"/>
              <w:contextualSpacing/>
            </w:pPr>
            <w:r w:rsidRPr="009E58F7">
              <w:rPr>
                <w:i/>
                <w:iCs/>
              </w:rPr>
              <w:t>Összes teljes remisszió (CR+CRu)</w:t>
            </w:r>
            <w:r w:rsidRPr="009E58F7">
              <w:rPr>
                <w:i/>
                <w:iCs/>
                <w:vertAlign w:val="superscript"/>
              </w:rPr>
              <w:t>f</w:t>
            </w:r>
            <w:r w:rsidRPr="009E58F7">
              <w:rPr>
                <w:i/>
                <w:iCs/>
              </w:rPr>
              <w:t xml:space="preserve"> n(%)</w:t>
            </w:r>
          </w:p>
        </w:tc>
        <w:tc>
          <w:tcPr>
            <w:tcW w:w="1560" w:type="dxa"/>
            <w:gridSpan w:val="2"/>
            <w:tcBorders>
              <w:top w:val="single" w:sz="8" w:space="0" w:color="auto"/>
              <w:bottom w:val="single" w:sz="8" w:space="0" w:color="auto"/>
              <w:right w:val="single" w:sz="8" w:space="0" w:color="auto"/>
            </w:tcBorders>
            <w:vAlign w:val="center"/>
          </w:tcPr>
          <w:p w14:paraId="3048349B" w14:textId="65B0FAEF" w:rsidR="0062514F" w:rsidRPr="009E58F7" w:rsidRDefault="0062514F" w:rsidP="007070F2">
            <w:pPr>
              <w:spacing w:line="240" w:lineRule="auto"/>
              <w:contextualSpacing/>
              <w:jc w:val="center"/>
            </w:pPr>
            <w:r w:rsidRPr="009E58F7">
              <w:t>122 (53,3%)</w:t>
            </w:r>
          </w:p>
        </w:tc>
        <w:tc>
          <w:tcPr>
            <w:tcW w:w="1564" w:type="dxa"/>
            <w:tcBorders>
              <w:top w:val="single" w:sz="8" w:space="0" w:color="auto"/>
              <w:left w:val="single" w:sz="8" w:space="0" w:color="auto"/>
              <w:bottom w:val="single" w:sz="8" w:space="0" w:color="auto"/>
              <w:right w:val="single" w:sz="8" w:space="0" w:color="auto"/>
            </w:tcBorders>
            <w:vAlign w:val="center"/>
          </w:tcPr>
          <w:p w14:paraId="5D16F633" w14:textId="3C593058" w:rsidR="0062514F" w:rsidRPr="009E58F7" w:rsidRDefault="0062514F" w:rsidP="007070F2">
            <w:pPr>
              <w:spacing w:line="240" w:lineRule="auto"/>
              <w:contextualSpacing/>
              <w:jc w:val="center"/>
            </w:pPr>
            <w:r w:rsidRPr="009E58F7">
              <w:t>95 (41,7%)</w:t>
            </w:r>
          </w:p>
        </w:tc>
        <w:tc>
          <w:tcPr>
            <w:tcW w:w="3118" w:type="dxa"/>
            <w:tcBorders>
              <w:top w:val="single" w:sz="8" w:space="0" w:color="auto"/>
              <w:bottom w:val="single" w:sz="8" w:space="0" w:color="auto"/>
              <w:right w:val="single" w:sz="8" w:space="0" w:color="auto"/>
            </w:tcBorders>
            <w:vAlign w:val="bottom"/>
          </w:tcPr>
          <w:p w14:paraId="5E6AEB54" w14:textId="2457BA78" w:rsidR="0062514F" w:rsidRPr="009E58F7" w:rsidRDefault="0062514F" w:rsidP="007070F2">
            <w:pPr>
              <w:spacing w:line="240" w:lineRule="auto"/>
              <w:contextualSpacing/>
              <w:jc w:val="center"/>
            </w:pPr>
            <w:r w:rsidRPr="009E58F7">
              <w:t>OR</w:t>
            </w:r>
            <w:r w:rsidRPr="009E58F7">
              <w:rPr>
                <w:vertAlign w:val="superscript"/>
              </w:rPr>
              <w:t>e</w:t>
            </w:r>
            <w:r w:rsidRPr="009E58F7">
              <w:t xml:space="preserve"> (95%-os CI) =</w:t>
            </w:r>
          </w:p>
          <w:p w14:paraId="18A10759" w14:textId="77777777" w:rsidR="0062514F" w:rsidRPr="009E58F7" w:rsidRDefault="0062514F" w:rsidP="007070F2">
            <w:pPr>
              <w:spacing w:line="240" w:lineRule="auto"/>
              <w:contextualSpacing/>
              <w:jc w:val="center"/>
            </w:pPr>
            <w:r w:rsidRPr="009E58F7">
              <w:t>1,688 (1,148; 2,481)</w:t>
            </w:r>
          </w:p>
          <w:p w14:paraId="54EFDED7" w14:textId="24D62A81" w:rsidR="0062514F" w:rsidRPr="009E58F7" w:rsidRDefault="0062514F" w:rsidP="007070F2">
            <w:pPr>
              <w:spacing w:line="240" w:lineRule="auto"/>
              <w:contextualSpacing/>
              <w:jc w:val="center"/>
            </w:pPr>
            <w:r w:rsidRPr="009E58F7">
              <w:t>p-érték</w:t>
            </w:r>
            <w:r w:rsidRPr="009E58F7">
              <w:rPr>
                <w:vertAlign w:val="superscript"/>
              </w:rPr>
              <w:t>g</w:t>
            </w:r>
            <w:r w:rsidRPr="009E58F7">
              <w:t> = 0,007</w:t>
            </w:r>
          </w:p>
        </w:tc>
      </w:tr>
      <w:tr w:rsidR="005B68D5" w:rsidRPr="009E58F7" w14:paraId="6E119927" w14:textId="77777777" w:rsidTr="00E64005">
        <w:trPr>
          <w:trHeight w:val="192"/>
        </w:trPr>
        <w:tc>
          <w:tcPr>
            <w:tcW w:w="2840" w:type="dxa"/>
            <w:tcBorders>
              <w:top w:val="single" w:sz="8" w:space="0" w:color="auto"/>
              <w:left w:val="single" w:sz="8" w:space="0" w:color="auto"/>
              <w:bottom w:val="single" w:sz="8" w:space="0" w:color="auto"/>
              <w:right w:val="single" w:sz="8" w:space="0" w:color="auto"/>
            </w:tcBorders>
            <w:vAlign w:val="center"/>
          </w:tcPr>
          <w:p w14:paraId="5A118D19" w14:textId="15F42E25" w:rsidR="005B68D5" w:rsidRPr="009E58F7" w:rsidRDefault="005B68D5" w:rsidP="007070F2">
            <w:pPr>
              <w:spacing w:line="240" w:lineRule="auto"/>
              <w:contextualSpacing/>
              <w:jc w:val="both"/>
              <w:rPr>
                <w:i/>
                <w:iCs/>
              </w:rPr>
            </w:pPr>
            <w:r w:rsidRPr="009E58F7">
              <w:rPr>
                <w:i/>
                <w:iCs/>
              </w:rPr>
              <w:t>Összes válasz (CR+Cru+PR)</w:t>
            </w:r>
            <w:r w:rsidRPr="009E58F7">
              <w:rPr>
                <w:i/>
                <w:iCs/>
                <w:vertAlign w:val="superscript"/>
              </w:rPr>
              <w:t xml:space="preserve">h </w:t>
            </w:r>
            <w:r w:rsidRPr="009E58F7">
              <w:rPr>
                <w:i/>
                <w:iCs/>
              </w:rPr>
              <w:t>n(%)</w:t>
            </w:r>
          </w:p>
        </w:tc>
        <w:tc>
          <w:tcPr>
            <w:tcW w:w="1560" w:type="dxa"/>
            <w:gridSpan w:val="2"/>
            <w:tcBorders>
              <w:top w:val="single" w:sz="8" w:space="0" w:color="auto"/>
              <w:bottom w:val="single" w:sz="8" w:space="0" w:color="auto"/>
              <w:right w:val="single" w:sz="8" w:space="0" w:color="auto"/>
            </w:tcBorders>
            <w:vAlign w:val="center"/>
          </w:tcPr>
          <w:p w14:paraId="6E5ED956" w14:textId="12EC4544" w:rsidR="005B68D5" w:rsidRPr="009E58F7" w:rsidRDefault="005B68D5" w:rsidP="007070F2">
            <w:pPr>
              <w:spacing w:line="240" w:lineRule="auto"/>
              <w:contextualSpacing/>
              <w:jc w:val="center"/>
            </w:pPr>
            <w:r w:rsidRPr="009E58F7">
              <w:t>211 (92,1%)</w:t>
            </w:r>
          </w:p>
        </w:tc>
        <w:tc>
          <w:tcPr>
            <w:tcW w:w="1564" w:type="dxa"/>
            <w:tcBorders>
              <w:top w:val="single" w:sz="8" w:space="0" w:color="auto"/>
              <w:left w:val="single" w:sz="8" w:space="0" w:color="auto"/>
              <w:bottom w:val="single" w:sz="8" w:space="0" w:color="auto"/>
              <w:right w:val="single" w:sz="8" w:space="0" w:color="auto"/>
            </w:tcBorders>
            <w:vAlign w:val="center"/>
          </w:tcPr>
          <w:p w14:paraId="47C4AF9A" w14:textId="563CFB96" w:rsidR="005B68D5" w:rsidRPr="009E58F7" w:rsidRDefault="005B68D5" w:rsidP="007070F2">
            <w:pPr>
              <w:spacing w:line="240" w:lineRule="auto"/>
              <w:contextualSpacing/>
              <w:jc w:val="center"/>
            </w:pPr>
            <w:r w:rsidRPr="009E58F7">
              <w:t>204 (89,5%)</w:t>
            </w:r>
          </w:p>
        </w:tc>
        <w:tc>
          <w:tcPr>
            <w:tcW w:w="3118" w:type="dxa"/>
            <w:tcBorders>
              <w:top w:val="single" w:sz="8" w:space="0" w:color="auto"/>
              <w:bottom w:val="single" w:sz="8" w:space="0" w:color="auto"/>
              <w:right w:val="single" w:sz="8" w:space="0" w:color="auto"/>
            </w:tcBorders>
            <w:vAlign w:val="center"/>
          </w:tcPr>
          <w:p w14:paraId="4EF19114" w14:textId="77777777" w:rsidR="005B68D5" w:rsidRPr="009E58F7" w:rsidRDefault="005B68D5" w:rsidP="007070F2">
            <w:pPr>
              <w:spacing w:line="240" w:lineRule="auto"/>
              <w:contextualSpacing/>
              <w:jc w:val="center"/>
            </w:pPr>
            <w:r w:rsidRPr="009E58F7">
              <w:t>OR</w:t>
            </w:r>
            <w:r w:rsidRPr="009E58F7">
              <w:rPr>
                <w:vertAlign w:val="superscript"/>
              </w:rPr>
              <w:t>e</w:t>
            </w:r>
            <w:r w:rsidRPr="009E58F7">
              <w:t xml:space="preserve"> (95%-os CI) =</w:t>
            </w:r>
          </w:p>
          <w:p w14:paraId="43564FA6" w14:textId="2457795E" w:rsidR="005B68D5" w:rsidRPr="009E58F7" w:rsidRDefault="005B68D5" w:rsidP="007070F2">
            <w:pPr>
              <w:spacing w:line="240" w:lineRule="auto"/>
              <w:contextualSpacing/>
              <w:jc w:val="center"/>
            </w:pPr>
            <w:r w:rsidRPr="009E58F7">
              <w:t>1,428 (0,749; 2,722)</w:t>
            </w:r>
          </w:p>
          <w:p w14:paraId="5F918E6B" w14:textId="2E0DBAF5" w:rsidR="005B68D5" w:rsidRPr="009E58F7" w:rsidRDefault="005B68D5" w:rsidP="007070F2">
            <w:pPr>
              <w:spacing w:line="240" w:lineRule="auto"/>
              <w:contextualSpacing/>
              <w:jc w:val="center"/>
            </w:pPr>
            <w:r w:rsidRPr="009E58F7">
              <w:t>p</w:t>
            </w:r>
            <w:r w:rsidR="003F0F42">
              <w:t>-</w:t>
            </w:r>
            <w:r w:rsidRPr="009E58F7">
              <w:t>érték</w:t>
            </w:r>
            <w:r w:rsidRPr="009E58F7">
              <w:rPr>
                <w:vertAlign w:val="superscript"/>
              </w:rPr>
              <w:t>g</w:t>
            </w:r>
            <w:r w:rsidRPr="009E58F7">
              <w:t> = 0,275</w:t>
            </w:r>
          </w:p>
        </w:tc>
      </w:tr>
    </w:tbl>
    <w:p w14:paraId="4A87CCCA" w14:textId="77777777" w:rsidR="00E357AC" w:rsidRPr="009E58F7" w:rsidRDefault="00E357AC" w:rsidP="00D7256D">
      <w:pPr>
        <w:pStyle w:val="Listaszerbekezds"/>
        <w:numPr>
          <w:ilvl w:val="0"/>
          <w:numId w:val="143"/>
        </w:numPr>
        <w:tabs>
          <w:tab w:val="left" w:pos="142"/>
        </w:tabs>
        <w:spacing w:line="240" w:lineRule="auto"/>
        <w:ind w:left="142" w:hanging="142"/>
        <w:rPr>
          <w:sz w:val="18"/>
          <w:szCs w:val="18"/>
        </w:rPr>
      </w:pPr>
      <w:bookmarkStart w:id="47" w:name="page64"/>
      <w:bookmarkEnd w:id="47"/>
      <w:r w:rsidRPr="009E58F7">
        <w:rPr>
          <w:sz w:val="18"/>
          <w:szCs w:val="18"/>
        </w:rPr>
        <w:t>független felülvizsgáló bizottság (Independent Review Committee - IRC) értékelése alapján (csak radiológiai adatok).</w:t>
      </w:r>
    </w:p>
    <w:p w14:paraId="56C83407" w14:textId="655A7029" w:rsidR="00E357AC" w:rsidRPr="009E58F7" w:rsidRDefault="00E357AC" w:rsidP="007070F2">
      <w:pPr>
        <w:numPr>
          <w:ilvl w:val="0"/>
          <w:numId w:val="143"/>
        </w:numPr>
        <w:tabs>
          <w:tab w:val="left" w:pos="142"/>
        </w:tabs>
        <w:spacing w:line="240" w:lineRule="auto"/>
        <w:ind w:left="142" w:hanging="142"/>
        <w:contextualSpacing/>
        <w:rPr>
          <w:sz w:val="18"/>
          <w:szCs w:val="18"/>
          <w:vertAlign w:val="superscript"/>
        </w:rPr>
      </w:pPr>
      <w:r w:rsidRPr="009E58F7">
        <w:rPr>
          <w:sz w:val="18"/>
          <w:szCs w:val="18"/>
        </w:rPr>
        <w:t>A relatív hazárd becslése a nemzetközi prognosztikai index (International Prognostic Index - IPI) kockázat és a betegség stádiuma szerint stratifikált Cox</w:t>
      </w:r>
      <w:r w:rsidR="003F0F42">
        <w:rPr>
          <w:sz w:val="18"/>
          <w:szCs w:val="18"/>
        </w:rPr>
        <w:t>-</w:t>
      </w:r>
      <w:r w:rsidRPr="009E58F7">
        <w:rPr>
          <w:sz w:val="18"/>
          <w:szCs w:val="18"/>
        </w:rPr>
        <w:t>féle modellen alapul. Az &lt;</w:t>
      </w:r>
      <w:r w:rsidR="005B68D5" w:rsidRPr="009E58F7">
        <w:rPr>
          <w:sz w:val="18"/>
          <w:szCs w:val="18"/>
        </w:rPr>
        <w:t> </w:t>
      </w:r>
      <w:r w:rsidRPr="009E58F7">
        <w:rPr>
          <w:sz w:val="18"/>
          <w:szCs w:val="18"/>
        </w:rPr>
        <w:t>1 relatív hazárd az BzR</w:t>
      </w:r>
      <w:r w:rsidR="003F0F42">
        <w:rPr>
          <w:sz w:val="18"/>
          <w:szCs w:val="18"/>
        </w:rPr>
        <w:t>-</w:t>
      </w:r>
      <w:r w:rsidRPr="009E58F7">
        <w:rPr>
          <w:sz w:val="18"/>
          <w:szCs w:val="18"/>
        </w:rPr>
        <w:t>CAP előnyét mutatja.</w:t>
      </w:r>
    </w:p>
    <w:p w14:paraId="5980D7CB" w14:textId="2EBC8E35" w:rsidR="00E357AC" w:rsidRPr="009E58F7" w:rsidRDefault="00E357AC" w:rsidP="007070F2">
      <w:pPr>
        <w:numPr>
          <w:ilvl w:val="0"/>
          <w:numId w:val="143"/>
        </w:numPr>
        <w:tabs>
          <w:tab w:val="left" w:pos="142"/>
          <w:tab w:val="left" w:pos="780"/>
        </w:tabs>
        <w:spacing w:line="240" w:lineRule="auto"/>
        <w:ind w:left="142" w:hanging="142"/>
        <w:contextualSpacing/>
        <w:rPr>
          <w:sz w:val="18"/>
          <w:szCs w:val="18"/>
          <w:vertAlign w:val="superscript"/>
        </w:rPr>
      </w:pPr>
      <w:r w:rsidRPr="009E58F7">
        <w:rPr>
          <w:sz w:val="18"/>
          <w:szCs w:val="18"/>
        </w:rPr>
        <w:t>A Kaplan</w:t>
      </w:r>
      <w:r w:rsidR="000C49E1">
        <w:rPr>
          <w:sz w:val="18"/>
          <w:szCs w:val="18"/>
        </w:rPr>
        <w:t>–</w:t>
      </w:r>
      <w:r w:rsidRPr="009E58F7">
        <w:rPr>
          <w:sz w:val="18"/>
          <w:szCs w:val="18"/>
        </w:rPr>
        <w:t>Meier</w:t>
      </w:r>
      <w:r w:rsidR="003F0F42">
        <w:rPr>
          <w:sz w:val="18"/>
          <w:szCs w:val="18"/>
        </w:rPr>
        <w:t>-</w:t>
      </w:r>
      <w:r w:rsidRPr="009E58F7">
        <w:rPr>
          <w:sz w:val="18"/>
          <w:szCs w:val="18"/>
        </w:rPr>
        <w:t>féle túlélési analízis alapján</w:t>
      </w:r>
    </w:p>
    <w:p w14:paraId="3EE36C20" w14:textId="77777777" w:rsidR="00E357AC" w:rsidRPr="009E58F7" w:rsidRDefault="00E357AC" w:rsidP="003D25C3">
      <w:pPr>
        <w:numPr>
          <w:ilvl w:val="0"/>
          <w:numId w:val="143"/>
        </w:numPr>
        <w:tabs>
          <w:tab w:val="left" w:pos="142"/>
        </w:tabs>
        <w:spacing w:line="240" w:lineRule="auto"/>
        <w:ind w:left="142" w:hanging="142"/>
        <w:contextualSpacing/>
        <w:rPr>
          <w:sz w:val="18"/>
          <w:szCs w:val="18"/>
          <w:vertAlign w:val="superscript"/>
        </w:rPr>
      </w:pPr>
      <w:r w:rsidRPr="009E58F7">
        <w:rPr>
          <w:sz w:val="18"/>
          <w:szCs w:val="18"/>
        </w:rPr>
        <w:t>A nemzetközi prognosztikai index (International Prognostic Index - IPI) kockázat és a betegség stádiuma szerint stratifikált lograng-próbán alapul.</w:t>
      </w:r>
    </w:p>
    <w:p w14:paraId="35B7D840" w14:textId="234341EE" w:rsidR="00E357AC" w:rsidRPr="009E58F7" w:rsidRDefault="00E357AC">
      <w:pPr>
        <w:numPr>
          <w:ilvl w:val="0"/>
          <w:numId w:val="143"/>
        </w:numPr>
        <w:tabs>
          <w:tab w:val="left" w:pos="142"/>
          <w:tab w:val="left" w:pos="780"/>
        </w:tabs>
        <w:spacing w:line="240" w:lineRule="auto"/>
        <w:ind w:left="142" w:hanging="142"/>
        <w:contextualSpacing/>
        <w:rPr>
          <w:sz w:val="18"/>
          <w:szCs w:val="18"/>
          <w:vertAlign w:val="superscript"/>
        </w:rPr>
      </w:pPr>
      <w:r w:rsidRPr="009E58F7">
        <w:rPr>
          <w:sz w:val="18"/>
          <w:szCs w:val="18"/>
        </w:rPr>
        <w:t>A stratifikált táblázatokhoz az általános esélyhányados Mantel</w:t>
      </w:r>
      <w:r w:rsidR="000C49E1">
        <w:rPr>
          <w:sz w:val="18"/>
          <w:szCs w:val="18"/>
        </w:rPr>
        <w:t>–</w:t>
      </w:r>
      <w:r w:rsidRPr="009E58F7">
        <w:rPr>
          <w:sz w:val="18"/>
          <w:szCs w:val="18"/>
        </w:rPr>
        <w:t>Haenszel</w:t>
      </w:r>
      <w:r w:rsidR="003F0F42">
        <w:rPr>
          <w:sz w:val="18"/>
          <w:szCs w:val="18"/>
        </w:rPr>
        <w:t>-</w:t>
      </w:r>
      <w:r w:rsidRPr="009E58F7">
        <w:rPr>
          <w:sz w:val="18"/>
          <w:szCs w:val="18"/>
        </w:rPr>
        <w:t>féle becslését használták, ahol a stratifikációs faktor a nemzetközi prognosztikai index (International Prognostic Index - IPI) kockázat és a betegség stádiuma volt. Az &gt;</w:t>
      </w:r>
      <w:r w:rsidR="005B68D5" w:rsidRPr="009E58F7">
        <w:rPr>
          <w:sz w:val="18"/>
          <w:szCs w:val="18"/>
        </w:rPr>
        <w:t> </w:t>
      </w:r>
      <w:r w:rsidRPr="009E58F7">
        <w:rPr>
          <w:sz w:val="18"/>
          <w:szCs w:val="18"/>
        </w:rPr>
        <w:t>1 esélyhányados (OS) az BzR</w:t>
      </w:r>
      <w:r w:rsidR="003F0F42">
        <w:rPr>
          <w:sz w:val="18"/>
          <w:szCs w:val="18"/>
        </w:rPr>
        <w:t>-</w:t>
      </w:r>
      <w:r w:rsidRPr="009E58F7">
        <w:rPr>
          <w:sz w:val="18"/>
          <w:szCs w:val="18"/>
        </w:rPr>
        <w:t>CAP előnyét mutatja.</w:t>
      </w:r>
    </w:p>
    <w:p w14:paraId="68EFD3CF" w14:textId="3B6C5C87" w:rsidR="00E357AC" w:rsidRPr="009E58F7" w:rsidRDefault="00E357AC">
      <w:pPr>
        <w:numPr>
          <w:ilvl w:val="0"/>
          <w:numId w:val="143"/>
        </w:numPr>
        <w:tabs>
          <w:tab w:val="left" w:pos="142"/>
          <w:tab w:val="left" w:pos="780"/>
        </w:tabs>
        <w:spacing w:line="240" w:lineRule="auto"/>
        <w:ind w:left="142" w:hanging="142"/>
        <w:contextualSpacing/>
        <w:rPr>
          <w:sz w:val="18"/>
          <w:szCs w:val="18"/>
          <w:vertAlign w:val="superscript"/>
        </w:rPr>
      </w:pPr>
      <w:r w:rsidRPr="009E58F7">
        <w:rPr>
          <w:sz w:val="18"/>
          <w:szCs w:val="18"/>
        </w:rPr>
        <w:lastRenderedPageBreak/>
        <w:t>Beleértve a független felülvizsgáló bizottság által, csontvelő és LDH alapján véleményezett összes CR</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CRu</w:t>
      </w:r>
      <w:r w:rsidR="000C49E1">
        <w:rPr>
          <w:sz w:val="18"/>
          <w:szCs w:val="18"/>
        </w:rPr>
        <w:t>-</w:t>
      </w:r>
      <w:r w:rsidRPr="009E58F7">
        <w:rPr>
          <w:sz w:val="18"/>
          <w:szCs w:val="18"/>
        </w:rPr>
        <w:t>t.</w:t>
      </w:r>
    </w:p>
    <w:p w14:paraId="539D8DC1" w14:textId="18E665A1" w:rsidR="00E357AC" w:rsidRPr="009E58F7" w:rsidRDefault="00E357AC">
      <w:pPr>
        <w:numPr>
          <w:ilvl w:val="0"/>
          <w:numId w:val="143"/>
        </w:numPr>
        <w:tabs>
          <w:tab w:val="left" w:pos="142"/>
          <w:tab w:val="left" w:pos="780"/>
        </w:tabs>
        <w:spacing w:line="240" w:lineRule="auto"/>
        <w:ind w:left="142" w:hanging="142"/>
        <w:contextualSpacing/>
        <w:rPr>
          <w:sz w:val="18"/>
          <w:szCs w:val="18"/>
          <w:vertAlign w:val="superscript"/>
        </w:rPr>
      </w:pPr>
      <w:r w:rsidRPr="009E58F7">
        <w:rPr>
          <w:sz w:val="18"/>
          <w:szCs w:val="18"/>
        </w:rPr>
        <w:t>A p</w:t>
      </w:r>
      <w:r w:rsidR="003F0F42">
        <w:rPr>
          <w:sz w:val="18"/>
          <w:szCs w:val="18"/>
        </w:rPr>
        <w:t>-</w:t>
      </w:r>
      <w:r w:rsidRPr="009E58F7">
        <w:rPr>
          <w:sz w:val="18"/>
          <w:szCs w:val="18"/>
        </w:rPr>
        <w:t>érték a Cochran</w:t>
      </w:r>
      <w:r w:rsidR="000C49E1">
        <w:rPr>
          <w:sz w:val="18"/>
          <w:szCs w:val="18"/>
        </w:rPr>
        <w:t>–</w:t>
      </w:r>
      <w:r w:rsidRPr="009E58F7">
        <w:rPr>
          <w:sz w:val="18"/>
          <w:szCs w:val="18"/>
        </w:rPr>
        <w:t>Mantel</w:t>
      </w:r>
      <w:r w:rsidR="000C49E1">
        <w:rPr>
          <w:sz w:val="18"/>
          <w:szCs w:val="18"/>
        </w:rPr>
        <w:t>–</w:t>
      </w:r>
      <w:r w:rsidRPr="009E58F7">
        <w:rPr>
          <w:sz w:val="18"/>
          <w:szCs w:val="18"/>
        </w:rPr>
        <w:t>Haenszel-féle khí</w:t>
      </w:r>
      <w:r w:rsidR="003F0F42">
        <w:rPr>
          <w:sz w:val="18"/>
          <w:szCs w:val="18"/>
        </w:rPr>
        <w:t>-</w:t>
      </w:r>
      <w:r w:rsidRPr="009E58F7">
        <w:rPr>
          <w:sz w:val="18"/>
          <w:szCs w:val="18"/>
        </w:rPr>
        <w:t>négyzet próbából származik, ahol a stratifikációs faktor a nemzetközi prognosztikai index (International Prognostic Index - IPI) kockázat és a betegség stádiuma volt.</w:t>
      </w:r>
    </w:p>
    <w:p w14:paraId="5E5411FC" w14:textId="77777777" w:rsidR="00E357AC" w:rsidRPr="009E58F7" w:rsidRDefault="00E357AC">
      <w:pPr>
        <w:numPr>
          <w:ilvl w:val="0"/>
          <w:numId w:val="143"/>
        </w:numPr>
        <w:tabs>
          <w:tab w:val="left" w:pos="142"/>
          <w:tab w:val="left" w:pos="780"/>
        </w:tabs>
        <w:spacing w:line="240" w:lineRule="auto"/>
        <w:ind w:left="142" w:hanging="142"/>
        <w:contextualSpacing/>
        <w:rPr>
          <w:sz w:val="18"/>
          <w:szCs w:val="18"/>
        </w:rPr>
      </w:pPr>
      <w:r w:rsidRPr="009E58F7">
        <w:rPr>
          <w:sz w:val="18"/>
          <w:szCs w:val="18"/>
        </w:rPr>
        <w:t>beleértve a független felülvizsgáló bizottság általi összes radiológiai CR+CRu+PR-t tekintet nélkül a csontvelő és LDH véleményezésre.</w:t>
      </w:r>
    </w:p>
    <w:p w14:paraId="5A42C776" w14:textId="59D5814B" w:rsidR="00E357AC" w:rsidRPr="009E58F7" w:rsidRDefault="00E357AC">
      <w:pPr>
        <w:spacing w:line="240" w:lineRule="auto"/>
        <w:contextualSpacing/>
        <w:rPr>
          <w:sz w:val="18"/>
          <w:szCs w:val="18"/>
        </w:rPr>
      </w:pPr>
      <w:r w:rsidRPr="009E58F7">
        <w:rPr>
          <w:sz w:val="18"/>
          <w:szCs w:val="18"/>
        </w:rPr>
        <w:t>CR</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teljes remisszió; CRu</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nem megerősített teljes remisszió; PR</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részleges remisszió; CI</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konfidenciaintervallum, HR</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relatív hazár</w:t>
      </w:r>
      <w:r w:rsidR="005B68D5" w:rsidRPr="009E58F7">
        <w:rPr>
          <w:sz w:val="18"/>
          <w:szCs w:val="18"/>
        </w:rPr>
        <w:t>d</w:t>
      </w:r>
      <w:r w:rsidRPr="009E58F7">
        <w:rPr>
          <w:sz w:val="18"/>
          <w:szCs w:val="18"/>
        </w:rPr>
        <w:t>; OR</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esélyhányados; ITT</w:t>
      </w:r>
      <w:r w:rsidR="005B68D5" w:rsidRPr="009E58F7">
        <w:rPr>
          <w:sz w:val="18"/>
          <w:szCs w:val="18"/>
        </w:rPr>
        <w:t> </w:t>
      </w:r>
      <w:r w:rsidRPr="009E58F7">
        <w:rPr>
          <w:sz w:val="18"/>
          <w:szCs w:val="18"/>
        </w:rPr>
        <w:t>=</w:t>
      </w:r>
      <w:r w:rsidR="005B68D5" w:rsidRPr="009E58F7">
        <w:rPr>
          <w:sz w:val="18"/>
          <w:szCs w:val="18"/>
        </w:rPr>
        <w:t> </w:t>
      </w:r>
      <w:r w:rsidRPr="009E58F7">
        <w:rPr>
          <w:sz w:val="18"/>
          <w:szCs w:val="18"/>
        </w:rPr>
        <w:t>kezel</w:t>
      </w:r>
      <w:r w:rsidR="005B68D5" w:rsidRPr="009E58F7">
        <w:rPr>
          <w:sz w:val="18"/>
          <w:szCs w:val="18"/>
        </w:rPr>
        <w:t>ésben bevont</w:t>
      </w:r>
    </w:p>
    <w:p w14:paraId="18647FDD" w14:textId="77777777" w:rsidR="004D6470" w:rsidRPr="009E58F7" w:rsidRDefault="004D6470">
      <w:pPr>
        <w:pStyle w:val="Nincstrkz"/>
      </w:pPr>
    </w:p>
    <w:p w14:paraId="6E151EF6" w14:textId="0DCB32CB" w:rsidR="00641FEE" w:rsidRPr="005F2BC9" w:rsidRDefault="004D6470" w:rsidP="005F2BC9">
      <w:pPr>
        <w:autoSpaceDE w:val="0"/>
        <w:autoSpaceDN w:val="0"/>
        <w:adjustRightInd w:val="0"/>
        <w:spacing w:line="240" w:lineRule="auto"/>
      </w:pPr>
      <w:r w:rsidRPr="009E58F7">
        <w:rPr>
          <w:color w:val="000000"/>
        </w:rPr>
        <w:t>A vizsgáló által megállapított PFS mediánértéke 30,7 hónap volt a</w:t>
      </w:r>
      <w:r w:rsidRPr="009E58F7">
        <w:t xml:space="preserve"> </w:t>
      </w:r>
      <w:r w:rsidR="00E708C1" w:rsidRPr="009E58F7">
        <w:t>BzR</w:t>
      </w:r>
      <w:r w:rsidR="003F0F42">
        <w:rPr>
          <w:color w:val="000000"/>
        </w:rPr>
        <w:t>-</w:t>
      </w:r>
      <w:r w:rsidRPr="009E58F7">
        <w:rPr>
          <w:color w:val="000000"/>
        </w:rPr>
        <w:t>CAP</w:t>
      </w:r>
      <w:r w:rsidR="000C49E1">
        <w:rPr>
          <w:color w:val="000000"/>
        </w:rPr>
        <w:t>-</w:t>
      </w:r>
      <w:r w:rsidRPr="009E58F7">
        <w:rPr>
          <w:color w:val="000000"/>
        </w:rPr>
        <w:t>csoportban és 16,1 hónap az R</w:t>
      </w:r>
      <w:r w:rsidR="003F0F42">
        <w:rPr>
          <w:color w:val="000000"/>
        </w:rPr>
        <w:t>-</w:t>
      </w:r>
      <w:r w:rsidRPr="009E58F7">
        <w:rPr>
          <w:color w:val="000000"/>
        </w:rPr>
        <w:t>CHOP</w:t>
      </w:r>
      <w:r w:rsidR="000C49E1">
        <w:rPr>
          <w:color w:val="000000"/>
        </w:rPr>
        <w:t>-</w:t>
      </w:r>
      <w:r w:rsidRPr="009E58F7">
        <w:rPr>
          <w:color w:val="000000"/>
        </w:rPr>
        <w:t>csoportban (relatív hazárd [HR]</w:t>
      </w:r>
      <w:r w:rsidR="005B68D5" w:rsidRPr="009E58F7">
        <w:rPr>
          <w:color w:val="000000"/>
        </w:rPr>
        <w:t> </w:t>
      </w:r>
      <w:r w:rsidRPr="009E58F7">
        <w:rPr>
          <w:color w:val="000000"/>
        </w:rPr>
        <w:t>=</w:t>
      </w:r>
      <w:r w:rsidR="005B68D5" w:rsidRPr="009E58F7">
        <w:rPr>
          <w:color w:val="000000"/>
        </w:rPr>
        <w:t> </w:t>
      </w:r>
      <w:r w:rsidRPr="009E58F7">
        <w:rPr>
          <w:color w:val="000000"/>
        </w:rPr>
        <w:t>0,51; p</w:t>
      </w:r>
      <w:r w:rsidR="005B68D5" w:rsidRPr="009E58F7">
        <w:rPr>
          <w:color w:val="000000"/>
        </w:rPr>
        <w:t> </w:t>
      </w:r>
      <w:r w:rsidRPr="009E58F7">
        <w:rPr>
          <w:color w:val="000000"/>
        </w:rPr>
        <w:t>&lt;</w:t>
      </w:r>
      <w:r w:rsidR="005B68D5" w:rsidRPr="009E58F7">
        <w:rPr>
          <w:color w:val="000000"/>
        </w:rPr>
        <w:t> </w:t>
      </w:r>
      <w:r w:rsidRPr="009E58F7">
        <w:rPr>
          <w:color w:val="000000"/>
        </w:rPr>
        <w:t xml:space="preserve">0,001). A </w:t>
      </w:r>
      <w:r w:rsidR="00E708C1" w:rsidRPr="009E58F7">
        <w:t>BzR</w:t>
      </w:r>
      <w:r w:rsidR="003F0F42">
        <w:t>-</w:t>
      </w:r>
      <w:r w:rsidRPr="009E58F7">
        <w:t xml:space="preserve">CAP </w:t>
      </w:r>
      <w:r w:rsidRPr="009E58F7">
        <w:rPr>
          <w:color w:val="000000"/>
        </w:rPr>
        <w:t>terápiás csoportn</w:t>
      </w:r>
      <w:r w:rsidR="000C49E1">
        <w:rPr>
          <w:color w:val="000000"/>
        </w:rPr>
        <w:t>ál</w:t>
      </w:r>
      <w:r w:rsidRPr="009E58F7">
        <w:rPr>
          <w:color w:val="000000"/>
        </w:rPr>
        <w:t xml:space="preserve"> kedvező, statisztikailag szignifikáns előnyt figyeltek meg a TTP (medi</w:t>
      </w:r>
      <w:r w:rsidR="00F6458B" w:rsidRPr="009E58F7">
        <w:rPr>
          <w:color w:val="000000"/>
        </w:rPr>
        <w:t>á</w:t>
      </w:r>
      <w:r w:rsidRPr="009E58F7">
        <w:rPr>
          <w:color w:val="000000"/>
        </w:rPr>
        <w:t>n érték 30,5 vs. 16,0 hónap), TNT (medián érték 44,5 vs. 24,8 hónap) és a TFI (medián érték 40,6 vs. 20,5 hónap) esetén az R</w:t>
      </w:r>
      <w:r w:rsidR="003F0F42">
        <w:rPr>
          <w:color w:val="000000"/>
        </w:rPr>
        <w:t>-</w:t>
      </w:r>
      <w:r w:rsidRPr="009E58F7">
        <w:rPr>
          <w:color w:val="000000"/>
        </w:rPr>
        <w:t xml:space="preserve">CHOP terápiás csoporthoz képest. A teljes remisszió medián időtartama 42,1 hónap volt a </w:t>
      </w:r>
      <w:r w:rsidR="00E708C1" w:rsidRPr="009E58F7">
        <w:t>BzR</w:t>
      </w:r>
      <w:r w:rsidR="003F0F42">
        <w:rPr>
          <w:color w:val="000000"/>
        </w:rPr>
        <w:t>-</w:t>
      </w:r>
      <w:r w:rsidRPr="009E58F7">
        <w:rPr>
          <w:color w:val="000000"/>
        </w:rPr>
        <w:t>CAP</w:t>
      </w:r>
      <w:r w:rsidR="000C49E1">
        <w:rPr>
          <w:color w:val="000000"/>
        </w:rPr>
        <w:t>-</w:t>
      </w:r>
      <w:r w:rsidRPr="009E58F7">
        <w:rPr>
          <w:color w:val="000000"/>
        </w:rPr>
        <w:t xml:space="preserve">csoportban és 18 hónap az </w:t>
      </w:r>
      <w:r w:rsidRPr="009E58F7">
        <w:t>R</w:t>
      </w:r>
      <w:r w:rsidR="003F0F42">
        <w:t>-</w:t>
      </w:r>
      <w:r w:rsidR="00C5286C" w:rsidRPr="009E58F7">
        <w:t>CHOP</w:t>
      </w:r>
      <w:r w:rsidR="000C49E1">
        <w:t>-</w:t>
      </w:r>
      <w:r w:rsidRPr="009E58F7">
        <w:rPr>
          <w:color w:val="000000"/>
        </w:rPr>
        <w:t xml:space="preserve">csoportban. A teljes válaszadás időtartama 21,4 hónappal hosszabb volt a </w:t>
      </w:r>
      <w:r w:rsidR="00E708C1" w:rsidRPr="009E58F7">
        <w:t>BzR</w:t>
      </w:r>
      <w:r w:rsidR="003F0F42">
        <w:rPr>
          <w:color w:val="000000"/>
        </w:rPr>
        <w:t>-</w:t>
      </w:r>
      <w:r w:rsidRPr="009E58F7">
        <w:rPr>
          <w:color w:val="000000"/>
        </w:rPr>
        <w:t>CAP-csoportban (medián értéke 36,5 hónap vs. 15,1 hónap az R</w:t>
      </w:r>
      <w:r w:rsidR="003F0F42">
        <w:rPr>
          <w:color w:val="000000"/>
        </w:rPr>
        <w:t>-</w:t>
      </w:r>
      <w:r w:rsidRPr="009E58F7">
        <w:rPr>
          <w:color w:val="000000"/>
        </w:rPr>
        <w:t>CHOP</w:t>
      </w:r>
      <w:r w:rsidR="000C49E1">
        <w:rPr>
          <w:color w:val="000000"/>
        </w:rPr>
        <w:t>-</w:t>
      </w:r>
      <w:r w:rsidRPr="009E58F7">
        <w:rPr>
          <w:color w:val="000000"/>
        </w:rPr>
        <w:t xml:space="preserve">csoportban). </w:t>
      </w:r>
      <w:r w:rsidR="003D7B1B" w:rsidRPr="005F2BC9">
        <w:t>A teljes túlélés végső analízisét 82</w:t>
      </w:r>
      <w:r w:rsidR="003D7B1B">
        <w:t> </w:t>
      </w:r>
      <w:r w:rsidR="003D7B1B" w:rsidRPr="005F2BC9">
        <w:t>hónapos medián követési idő után végezték. A medián teljes túlélés 90,7</w:t>
      </w:r>
      <w:r w:rsidR="003D7B1B">
        <w:t> </w:t>
      </w:r>
      <w:r w:rsidR="003D7B1B" w:rsidRPr="005F2BC9">
        <w:t>hónap volt a BzR-CAP</w:t>
      </w:r>
      <w:r w:rsidR="000C49E1">
        <w:t>-</w:t>
      </w:r>
      <w:r w:rsidR="003D7B1B" w:rsidRPr="005F2BC9">
        <w:t>csoportban, szemben az R-CHO</w:t>
      </w:r>
      <w:r w:rsidR="000C49E1">
        <w:t>-</w:t>
      </w:r>
      <w:r w:rsidR="003D7B1B" w:rsidRPr="003D7B1B">
        <w:t>csoportban észlelt 55,7</w:t>
      </w:r>
      <w:r w:rsidR="003D7B1B">
        <w:t> </w:t>
      </w:r>
      <w:r w:rsidR="003D7B1B" w:rsidRPr="005F2BC9">
        <w:t>hónappal (HR</w:t>
      </w:r>
      <w:r w:rsidR="003D7B1B">
        <w:t> </w:t>
      </w:r>
      <w:r w:rsidR="003D7B1B" w:rsidRPr="005F2BC9">
        <w:t>=</w:t>
      </w:r>
      <w:r w:rsidR="003D7B1B">
        <w:t> </w:t>
      </w:r>
      <w:r w:rsidR="003D7B1B" w:rsidRPr="003D7B1B">
        <w:t>0,66; p</w:t>
      </w:r>
      <w:r w:rsidR="003D7B1B">
        <w:t> </w:t>
      </w:r>
      <w:r w:rsidR="003D7B1B" w:rsidRPr="005F2BC9">
        <w:t>=</w:t>
      </w:r>
      <w:r w:rsidR="003D7B1B">
        <w:t> </w:t>
      </w:r>
      <w:r w:rsidR="003D7B1B" w:rsidRPr="005F2BC9">
        <w:t xml:space="preserve">0,001). A </w:t>
      </w:r>
      <w:r w:rsidR="003D7B1B" w:rsidRPr="003D7B1B">
        <w:t>2</w:t>
      </w:r>
      <w:r w:rsidR="003D7B1B">
        <w:t> </w:t>
      </w:r>
      <w:r w:rsidR="003D7B1B" w:rsidRPr="005F2BC9">
        <w:t>terápiás csoport között a teljes túlélésben megfigyelt végső medián különbség 35</w:t>
      </w:r>
      <w:r w:rsidR="003D7B1B">
        <w:t> </w:t>
      </w:r>
      <w:r w:rsidR="003D7B1B" w:rsidRPr="005F2BC9">
        <w:t>hónap volt.</w:t>
      </w:r>
    </w:p>
    <w:p w14:paraId="103D41B3" w14:textId="77777777" w:rsidR="003D7B1B" w:rsidRPr="005F2BC9" w:rsidRDefault="003D7B1B" w:rsidP="005F2BC9">
      <w:pPr>
        <w:autoSpaceDE w:val="0"/>
        <w:autoSpaceDN w:val="0"/>
        <w:adjustRightInd w:val="0"/>
        <w:spacing w:line="240" w:lineRule="auto"/>
        <w:rPr>
          <w:color w:val="000000"/>
        </w:rPr>
      </w:pPr>
    </w:p>
    <w:p w14:paraId="4323ED7B" w14:textId="410423F5" w:rsidR="004D6470" w:rsidRPr="009E58F7" w:rsidRDefault="00C5286C">
      <w:pPr>
        <w:spacing w:line="240" w:lineRule="auto"/>
        <w:contextualSpacing/>
      </w:pPr>
      <w:r w:rsidRPr="009E58F7">
        <w:rPr>
          <w:u w:val="single"/>
        </w:rPr>
        <w:t>Könnyű</w:t>
      </w:r>
      <w:r w:rsidR="004D6470" w:rsidRPr="009E58F7">
        <w:rPr>
          <w:u w:val="single"/>
        </w:rPr>
        <w:t xml:space="preserve"> láncú (AL) </w:t>
      </w:r>
      <w:r w:rsidRPr="009E58F7">
        <w:rPr>
          <w:u w:val="single"/>
        </w:rPr>
        <w:t xml:space="preserve">amyloidosissal korábban már kezelt </w:t>
      </w:r>
      <w:r w:rsidR="004D6470" w:rsidRPr="009E58F7">
        <w:rPr>
          <w:u w:val="single"/>
        </w:rPr>
        <w:t>betegek</w:t>
      </w:r>
    </w:p>
    <w:p w14:paraId="545A61E5" w14:textId="097A029A" w:rsidR="004D6470" w:rsidRPr="009E58F7" w:rsidRDefault="004D6470">
      <w:pPr>
        <w:spacing w:line="240" w:lineRule="auto"/>
        <w:contextualSpacing/>
      </w:pPr>
      <w:r w:rsidRPr="009E58F7">
        <w:rPr>
          <w:color w:val="000000"/>
        </w:rPr>
        <w:t xml:space="preserve">A </w:t>
      </w:r>
      <w:r w:rsidRPr="009E58F7">
        <w:t xml:space="preserve">bortezomib </w:t>
      </w:r>
      <w:r w:rsidRPr="009E58F7">
        <w:rPr>
          <w:color w:val="000000"/>
        </w:rPr>
        <w:t>biztonságosságának és hatásosságának megállapítására nyílt elrendezésű, nem randomizált, I/II</w:t>
      </w:r>
      <w:r w:rsidR="005B68D5" w:rsidRPr="009E58F7">
        <w:rPr>
          <w:color w:val="000000"/>
        </w:rPr>
        <w:t>.</w:t>
      </w:r>
      <w:r w:rsidR="002A3846">
        <w:rPr>
          <w:color w:val="000000"/>
        </w:rPr>
        <w:t> </w:t>
      </w:r>
      <w:r w:rsidR="005B68D5" w:rsidRPr="009E58F7">
        <w:rPr>
          <w:color w:val="000000"/>
        </w:rPr>
        <w:t>fázisú</w:t>
      </w:r>
      <w:r w:rsidRPr="009E58F7">
        <w:rPr>
          <w:color w:val="000000"/>
        </w:rPr>
        <w:t xml:space="preserve"> vizsgálatot végeztek </w:t>
      </w:r>
      <w:r w:rsidR="00C5286C" w:rsidRPr="009E58F7">
        <w:t>könnyű</w:t>
      </w:r>
      <w:r w:rsidRPr="009E58F7">
        <w:t xml:space="preserve"> </w:t>
      </w:r>
      <w:r w:rsidRPr="009E58F7">
        <w:rPr>
          <w:color w:val="000000"/>
        </w:rPr>
        <w:t xml:space="preserve">láncú (AL) amyloidosissal korábban már kezelt </w:t>
      </w:r>
      <w:r w:rsidR="00C5286C" w:rsidRPr="009E58F7">
        <w:t>betegek</w:t>
      </w:r>
      <w:r w:rsidR="005B68D5" w:rsidRPr="009E58F7">
        <w:t>kel</w:t>
      </w:r>
      <w:r w:rsidRPr="009E58F7">
        <w:rPr>
          <w:color w:val="000000"/>
        </w:rPr>
        <w:t xml:space="preserve">. A vizsgálat </w:t>
      </w:r>
      <w:r w:rsidR="00294AAF" w:rsidRPr="009E58F7">
        <w:rPr>
          <w:color w:val="000000"/>
        </w:rPr>
        <w:t>során</w:t>
      </w:r>
      <w:r w:rsidRPr="009E58F7">
        <w:rPr>
          <w:color w:val="000000"/>
        </w:rPr>
        <w:t xml:space="preserve"> nem </w:t>
      </w:r>
      <w:r w:rsidR="00294AAF" w:rsidRPr="009E58F7">
        <w:rPr>
          <w:color w:val="000000"/>
        </w:rPr>
        <w:t>azonosítottak</w:t>
      </w:r>
      <w:r w:rsidRPr="009E58F7">
        <w:rPr>
          <w:color w:val="000000"/>
        </w:rPr>
        <w:t xml:space="preserve"> új biztonságossági </w:t>
      </w:r>
      <w:r w:rsidR="00294AAF" w:rsidRPr="009E58F7">
        <w:rPr>
          <w:color w:val="000000"/>
        </w:rPr>
        <w:t>aggályokat</w:t>
      </w:r>
      <w:r w:rsidRPr="009E58F7">
        <w:rPr>
          <w:color w:val="000000"/>
        </w:rPr>
        <w:t xml:space="preserve">, és a </w:t>
      </w:r>
      <w:r w:rsidRPr="009E58F7">
        <w:t xml:space="preserve">bortezomib </w:t>
      </w:r>
      <w:r w:rsidRPr="009E58F7">
        <w:rPr>
          <w:color w:val="000000"/>
        </w:rPr>
        <w:t xml:space="preserve">különösen nem súlyosbította a célszervek károsodását (szív, vese és máj). Egy felderítő </w:t>
      </w:r>
      <w:r w:rsidR="00C5286C" w:rsidRPr="009E58F7">
        <w:t>hatásossági</w:t>
      </w:r>
      <w:r w:rsidRPr="009E58F7">
        <w:rPr>
          <w:color w:val="000000"/>
        </w:rPr>
        <w:t xml:space="preserve"> analízisben a 49 értékelhető, a maximálisan megengedhető heti 1,6 mg/m</w:t>
      </w:r>
      <w:r w:rsidRPr="009E58F7">
        <w:rPr>
          <w:color w:val="000000"/>
          <w:vertAlign w:val="superscript"/>
        </w:rPr>
        <w:t>2</w:t>
      </w:r>
      <w:r w:rsidRPr="009E58F7">
        <w:rPr>
          <w:color w:val="000000"/>
        </w:rPr>
        <w:t xml:space="preserve"> és hetente kétszer 1,3 mg/m</w:t>
      </w:r>
      <w:r w:rsidRPr="009E58F7">
        <w:rPr>
          <w:color w:val="000000"/>
          <w:vertAlign w:val="superscript"/>
        </w:rPr>
        <w:t>2</w:t>
      </w:r>
      <w:r w:rsidR="00294AAF" w:rsidRPr="009E58F7">
        <w:rPr>
          <w:color w:val="000000"/>
        </w:rPr>
        <w:t xml:space="preserve"> adaggal kezelt betegnél 67,3%</w:t>
      </w:r>
      <w:r w:rsidR="00621E19">
        <w:rPr>
          <w:color w:val="000000"/>
        </w:rPr>
        <w:t>-</w:t>
      </w:r>
      <w:r w:rsidRPr="009E58F7">
        <w:rPr>
          <w:color w:val="000000"/>
        </w:rPr>
        <w:t>os reagálási arányról (beleértve egy 28,6%-os CR</w:t>
      </w:r>
      <w:r w:rsidR="002A3846">
        <w:rPr>
          <w:color w:val="000000"/>
        </w:rPr>
        <w:t>-</w:t>
      </w:r>
      <w:r w:rsidRPr="009E58F7">
        <w:rPr>
          <w:color w:val="000000"/>
        </w:rPr>
        <w:t>arányt) számoltak be, melyet hematológiai válaszként (M</w:t>
      </w:r>
      <w:r w:rsidR="00621E19">
        <w:rPr>
          <w:color w:val="000000"/>
        </w:rPr>
        <w:t>-</w:t>
      </w:r>
      <w:r w:rsidRPr="009E58F7">
        <w:rPr>
          <w:color w:val="000000"/>
        </w:rPr>
        <w:t>fehérje) mértek. Ezen dózisok alkalmazása esetén a kombinált 1</w:t>
      </w:r>
      <w:r w:rsidR="005B68D5" w:rsidRPr="009E58F7">
        <w:rPr>
          <w:color w:val="000000"/>
        </w:rPr>
        <w:t> </w:t>
      </w:r>
      <w:r w:rsidRPr="009E58F7">
        <w:rPr>
          <w:color w:val="000000"/>
        </w:rPr>
        <w:t>éves túlélési arány 88,1% volt.</w:t>
      </w:r>
    </w:p>
    <w:p w14:paraId="2A6A82B5" w14:textId="77777777" w:rsidR="004D6470" w:rsidRPr="009E58F7" w:rsidRDefault="004D6470">
      <w:pPr>
        <w:pStyle w:val="Nincstrkz"/>
      </w:pPr>
    </w:p>
    <w:p w14:paraId="53251E8A" w14:textId="77777777" w:rsidR="004D6470" w:rsidRPr="009E58F7" w:rsidRDefault="004D6470">
      <w:pPr>
        <w:pStyle w:val="Nincstrkz"/>
        <w:keepNext/>
      </w:pPr>
      <w:r w:rsidRPr="009E58F7">
        <w:rPr>
          <w:color w:val="000000"/>
          <w:u w:val="single"/>
        </w:rPr>
        <w:t>Gyermekek</w:t>
      </w:r>
      <w:r w:rsidR="00112125" w:rsidRPr="009E58F7">
        <w:rPr>
          <w:color w:val="000000"/>
          <w:u w:val="single"/>
        </w:rPr>
        <w:t xml:space="preserve"> és serdülők</w:t>
      </w:r>
    </w:p>
    <w:p w14:paraId="5211643B" w14:textId="61B581FB" w:rsidR="004D6470" w:rsidRPr="009E58F7" w:rsidRDefault="004D6470">
      <w:pPr>
        <w:pStyle w:val="Nincstrkz"/>
        <w:keepNext/>
      </w:pPr>
      <w:r w:rsidRPr="009E58F7">
        <w:rPr>
          <w:color w:val="000000"/>
        </w:rPr>
        <w:t xml:space="preserve">Az Európai Gyógyszerügynökség gyermekek esetén minden korosztálynál eltekint a </w:t>
      </w:r>
      <w:r w:rsidRPr="009E58F7">
        <w:t xml:space="preserve">bortezomib </w:t>
      </w:r>
      <w:r w:rsidRPr="009E58F7">
        <w:rPr>
          <w:color w:val="000000"/>
        </w:rPr>
        <w:t>vizsgálati eredményeinek benyújtási kötelezettségétől myeloma multiplexben és köpenysejtes lymphomában (lásd 4.2 pont, gyermekgyógyászati alkalmazásra vonatkozó információk).</w:t>
      </w:r>
    </w:p>
    <w:p w14:paraId="003F0BF2" w14:textId="77777777" w:rsidR="004D6470" w:rsidRPr="009E58F7" w:rsidRDefault="004D6470">
      <w:pPr>
        <w:spacing w:line="240" w:lineRule="auto"/>
        <w:ind w:right="-23"/>
      </w:pPr>
    </w:p>
    <w:p w14:paraId="0DB9F498" w14:textId="4B58C1F9" w:rsidR="004D6470" w:rsidRPr="009E58F7" w:rsidRDefault="004D6470">
      <w:pPr>
        <w:spacing w:line="240" w:lineRule="auto"/>
        <w:contextualSpacing/>
      </w:pPr>
      <w:r w:rsidRPr="009E58F7">
        <w:t>Egy</w:t>
      </w:r>
      <w:r w:rsidRPr="009E58F7">
        <w:rPr>
          <w:rFonts w:cs="Arial"/>
        </w:rPr>
        <w:t xml:space="preserve">, a </w:t>
      </w:r>
      <w:r w:rsidR="00206D89" w:rsidRPr="009E58F7">
        <w:rPr>
          <w:rFonts w:cs="Arial"/>
        </w:rPr>
        <w:t xml:space="preserve">Gyermek Onkológiai Társaság (Children’s Oncology Group) által elvégzett </w:t>
      </w:r>
      <w:r w:rsidRPr="009E58F7">
        <w:rPr>
          <w:rFonts w:cs="Arial"/>
        </w:rPr>
        <w:t>II</w:t>
      </w:r>
      <w:r w:rsidR="00206D89" w:rsidRPr="009E58F7">
        <w:rPr>
          <w:rFonts w:cs="Arial"/>
        </w:rPr>
        <w:t>.</w:t>
      </w:r>
      <w:r w:rsidR="002A3846">
        <w:rPr>
          <w:rFonts w:cs="Arial"/>
        </w:rPr>
        <w:t> </w:t>
      </w:r>
      <w:r w:rsidR="00206D89" w:rsidRPr="009E58F7">
        <w:rPr>
          <w:rFonts w:cs="Arial"/>
        </w:rPr>
        <w:t>fázisú</w:t>
      </w:r>
      <w:r w:rsidRPr="009E58F7">
        <w:rPr>
          <w:rFonts w:cs="Arial"/>
        </w:rPr>
        <w:t>, egykarú, hatás</w:t>
      </w:r>
      <w:r w:rsidR="00206D89" w:rsidRPr="009E58F7">
        <w:rPr>
          <w:rFonts w:cs="Arial"/>
        </w:rPr>
        <w:t>-</w:t>
      </w:r>
      <w:r w:rsidRPr="009E58F7">
        <w:t>, biztonságossági</w:t>
      </w:r>
      <w:r w:rsidR="00206D89" w:rsidRPr="009E58F7">
        <w:t>-</w:t>
      </w:r>
      <w:r w:rsidRPr="009E58F7">
        <w:t xml:space="preserve"> és farmakokinetikai </w:t>
      </w:r>
      <w:r w:rsidRPr="009E58F7">
        <w:rPr>
          <w:rFonts w:cs="Arial"/>
        </w:rPr>
        <w:t>vizsgálat azt értékelte, hogy milyen hatással van a</w:t>
      </w:r>
      <w:r w:rsidRPr="009E58F7">
        <w:t xml:space="preserve"> lymphoid malignitásokban (pre</w:t>
      </w:r>
      <w:r w:rsidR="00621E19">
        <w:t>-</w:t>
      </w:r>
      <w:r w:rsidRPr="009E58F7">
        <w:t>B</w:t>
      </w:r>
      <w:r w:rsidRPr="009E58F7">
        <w:rPr>
          <w:rFonts w:cs="Arial"/>
        </w:rPr>
        <w:t xml:space="preserve"> </w:t>
      </w:r>
      <w:r w:rsidRPr="009E58F7">
        <w:t>sejtes</w:t>
      </w:r>
      <w:r w:rsidRPr="009E58F7">
        <w:rPr>
          <w:rFonts w:cs="Arial"/>
        </w:rPr>
        <w:t>,</w:t>
      </w:r>
      <w:r w:rsidRPr="009E58F7">
        <w:t xml:space="preserve"> akut lymphoblastos leukaemia [ALL</w:t>
      </w:r>
      <w:r w:rsidRPr="009E58F7">
        <w:rPr>
          <w:rFonts w:cs="Arial"/>
        </w:rPr>
        <w:t>],</w:t>
      </w:r>
      <w:r w:rsidRPr="009E58F7">
        <w:t xml:space="preserve"> T</w:t>
      </w:r>
      <w:r w:rsidR="00621E19">
        <w:t>-</w:t>
      </w:r>
      <w:r w:rsidRPr="009E58F7">
        <w:t>sejtes ALL</w:t>
      </w:r>
      <w:r w:rsidRPr="009E58F7">
        <w:rPr>
          <w:rFonts w:cs="Arial"/>
        </w:rPr>
        <w:t>,</w:t>
      </w:r>
      <w:r w:rsidRPr="009E58F7">
        <w:t xml:space="preserve"> és T</w:t>
      </w:r>
      <w:r w:rsidR="00621E19">
        <w:rPr>
          <w:rFonts w:cs="Arial"/>
        </w:rPr>
        <w:t>-</w:t>
      </w:r>
      <w:r w:rsidRPr="009E58F7">
        <w:t xml:space="preserve">sejtes lymphoblastos lymphoma [LL]) szenvedő gyermekgyógyászati és fiatal felnőtt </w:t>
      </w:r>
      <w:r w:rsidRPr="009E58F7">
        <w:rPr>
          <w:rFonts w:cs="Arial"/>
        </w:rPr>
        <w:t xml:space="preserve">betegekre, ha a </w:t>
      </w:r>
      <w:r w:rsidRPr="009E58F7">
        <w:t xml:space="preserve">több </w:t>
      </w:r>
      <w:r w:rsidRPr="009E58F7">
        <w:rPr>
          <w:rFonts w:cs="Arial"/>
        </w:rPr>
        <w:t>gyógyszerből álló</w:t>
      </w:r>
      <w:r w:rsidRPr="009E58F7">
        <w:t xml:space="preserve">, reindukciós kemoterápiához </w:t>
      </w:r>
      <w:r w:rsidRPr="009E58F7">
        <w:rPr>
          <w:rFonts w:cs="Arial"/>
        </w:rPr>
        <w:t xml:space="preserve">bortezomibot is adnak. A </w:t>
      </w:r>
      <w:r w:rsidRPr="009E58F7">
        <w:t xml:space="preserve">hatásos, több </w:t>
      </w:r>
      <w:r w:rsidRPr="009E58F7">
        <w:rPr>
          <w:rFonts w:cs="Arial"/>
        </w:rPr>
        <w:t>gyógyszerből álló</w:t>
      </w:r>
      <w:r w:rsidRPr="009E58F7">
        <w:t xml:space="preserve"> reindukciós kemoterápiás </w:t>
      </w:r>
      <w:r w:rsidR="002A3846">
        <w:t>adagolási rendet</w:t>
      </w:r>
      <w:r w:rsidR="002A3846" w:rsidRPr="009E58F7">
        <w:t xml:space="preserve"> </w:t>
      </w:r>
      <w:r w:rsidRPr="009E58F7">
        <w:rPr>
          <w:rFonts w:cs="Arial"/>
        </w:rPr>
        <w:t>3 </w:t>
      </w:r>
      <w:r w:rsidRPr="009E58F7">
        <w:t>blokkban</w:t>
      </w:r>
      <w:r w:rsidRPr="009E58F7">
        <w:rPr>
          <w:rFonts w:cs="Arial"/>
        </w:rPr>
        <w:t xml:space="preserve"> adták</w:t>
      </w:r>
      <w:r w:rsidRPr="009E58F7">
        <w:t xml:space="preserve">. A </w:t>
      </w:r>
      <w:r w:rsidR="008B6253" w:rsidRPr="009E58F7">
        <w:t>bortezomib</w:t>
      </w:r>
      <w:r w:rsidR="00206D89" w:rsidRPr="009E58F7">
        <w:t>o</w:t>
      </w:r>
      <w:r w:rsidR="00C5286C" w:rsidRPr="009E58F7">
        <w:t>t</w:t>
      </w:r>
      <w:r w:rsidRPr="009E58F7">
        <w:t xml:space="preserve"> csak az 1. és 2. blokkban alkalmazták, hogy </w:t>
      </w:r>
      <w:r w:rsidRPr="009E58F7">
        <w:rPr>
          <w:rFonts w:cs="Arial"/>
        </w:rPr>
        <w:t>elkerülhetők legyenek</w:t>
      </w:r>
      <w:r w:rsidRPr="009E58F7">
        <w:t xml:space="preserve"> a 3. blokkban </w:t>
      </w:r>
      <w:r w:rsidRPr="009E58F7">
        <w:rPr>
          <w:rFonts w:cs="Arial"/>
        </w:rPr>
        <w:t xml:space="preserve">együtt adott </w:t>
      </w:r>
      <w:r w:rsidRPr="009E58F7">
        <w:t xml:space="preserve">gyógyszerekkel </w:t>
      </w:r>
      <w:r w:rsidRPr="009E58F7">
        <w:rPr>
          <w:rFonts w:cs="Arial"/>
        </w:rPr>
        <w:t>esetleg létrejövő, egymást</w:t>
      </w:r>
      <w:r w:rsidRPr="009E58F7">
        <w:t xml:space="preserve"> átfedő toxicitások.</w:t>
      </w:r>
    </w:p>
    <w:p w14:paraId="31E92F1B" w14:textId="77777777" w:rsidR="004D6470" w:rsidRPr="009E58F7" w:rsidRDefault="004D6470">
      <w:pPr>
        <w:spacing w:line="240" w:lineRule="auto"/>
      </w:pPr>
    </w:p>
    <w:p w14:paraId="59C0F661" w14:textId="54B6FD76" w:rsidR="004D6470" w:rsidRPr="009E58F7" w:rsidRDefault="004D6470">
      <w:pPr>
        <w:spacing w:line="240" w:lineRule="auto"/>
        <w:contextualSpacing/>
      </w:pPr>
      <w:bookmarkStart w:id="48" w:name="page65"/>
      <w:bookmarkEnd w:id="48"/>
      <w:r w:rsidRPr="009E58F7">
        <w:t xml:space="preserve">A teljes </w:t>
      </w:r>
      <w:r w:rsidR="00C5286C" w:rsidRPr="009E58F7">
        <w:t xml:space="preserve">remissziót (complete response - </w:t>
      </w:r>
      <w:r w:rsidRPr="009E58F7">
        <w:t>CR) az 1.</w:t>
      </w:r>
      <w:r w:rsidR="00206D89" w:rsidRPr="009E58F7">
        <w:t> </w:t>
      </w:r>
      <w:r w:rsidRPr="009E58F7">
        <w:t xml:space="preserve">blokk végén értékelték. </w:t>
      </w:r>
      <w:r w:rsidR="00C5286C" w:rsidRPr="009E58F7">
        <w:t>A diagnózis</w:t>
      </w:r>
      <w:r w:rsidR="00206D89" w:rsidRPr="009E58F7">
        <w:t xml:space="preserve"> felállításá</w:t>
      </w:r>
      <w:r w:rsidR="00C5286C" w:rsidRPr="009E58F7">
        <w:t>tól számított</w:t>
      </w:r>
      <w:r w:rsidRPr="009E58F7">
        <w:t>18</w:t>
      </w:r>
      <w:r w:rsidRPr="009E58F7">
        <w:rPr>
          <w:rFonts w:cs="Arial"/>
        </w:rPr>
        <w:t> </w:t>
      </w:r>
      <w:r w:rsidRPr="009E58F7">
        <w:t xml:space="preserve">hónapon belül </w:t>
      </w:r>
      <w:r w:rsidRPr="009E58F7">
        <w:rPr>
          <w:rFonts w:cs="Arial"/>
        </w:rPr>
        <w:t>relapszust mutató,</w:t>
      </w:r>
      <w:r w:rsidRPr="009E58F7">
        <w:t xml:space="preserve"> B</w:t>
      </w:r>
      <w:r w:rsidR="003F0F42">
        <w:t>-</w:t>
      </w:r>
      <w:r w:rsidRPr="009E58F7">
        <w:t>ALL</w:t>
      </w:r>
      <w:r w:rsidR="00FE5B85">
        <w:rPr>
          <w:rFonts w:cs="Arial"/>
        </w:rPr>
        <w:t>-</w:t>
      </w:r>
      <w:r w:rsidR="00E577A1" w:rsidRPr="009E58F7">
        <w:rPr>
          <w:rFonts w:cs="Arial"/>
        </w:rPr>
        <w:t>b</w:t>
      </w:r>
      <w:r w:rsidR="002A3846">
        <w:rPr>
          <w:rFonts w:cs="Arial"/>
        </w:rPr>
        <w:t>e</w:t>
      </w:r>
      <w:r w:rsidRPr="009E58F7">
        <w:rPr>
          <w:rFonts w:cs="Arial"/>
        </w:rPr>
        <w:t>n szenvedő</w:t>
      </w:r>
      <w:r w:rsidRPr="009E58F7">
        <w:t xml:space="preserve"> betegeknél (</w:t>
      </w:r>
      <w:r w:rsidR="003212C5" w:rsidRPr="009E58F7">
        <w:t>n</w:t>
      </w:r>
      <w:r w:rsidR="003212C5" w:rsidRPr="009E58F7">
        <w:rPr>
          <w:rFonts w:cs="Arial"/>
        </w:rPr>
        <w:t> = </w:t>
      </w:r>
      <w:r w:rsidRPr="009E58F7">
        <w:t xml:space="preserve">27) a teljes </w:t>
      </w:r>
      <w:r w:rsidRPr="009E58F7">
        <w:rPr>
          <w:rFonts w:cs="Arial"/>
        </w:rPr>
        <w:t>válaszarány</w:t>
      </w:r>
      <w:r w:rsidRPr="009E58F7">
        <w:t xml:space="preserve"> 67% (95</w:t>
      </w:r>
      <w:r w:rsidR="00C5286C" w:rsidRPr="009E58F7">
        <w:t>%-os</w:t>
      </w:r>
      <w:r w:rsidRPr="009E58F7">
        <w:t xml:space="preserve"> CI: 46, 84), a 4</w:t>
      </w:r>
      <w:r w:rsidRPr="009E58F7">
        <w:rPr>
          <w:rFonts w:cs="Arial"/>
        </w:rPr>
        <w:t> </w:t>
      </w:r>
      <w:r w:rsidRPr="009E58F7">
        <w:t xml:space="preserve">hónapos eseménymentes </w:t>
      </w:r>
      <w:r w:rsidR="00C5286C" w:rsidRPr="009E58F7">
        <w:t>túlélés</w:t>
      </w:r>
      <w:r w:rsidR="00206D89" w:rsidRPr="009E58F7">
        <w:t>i</w:t>
      </w:r>
      <w:r w:rsidR="00C5286C" w:rsidRPr="009E58F7">
        <w:t xml:space="preserve"> arány</w:t>
      </w:r>
      <w:r w:rsidRPr="009E58F7">
        <w:t xml:space="preserve"> 44% volt (95</w:t>
      </w:r>
      <w:r w:rsidR="00C5286C" w:rsidRPr="009E58F7">
        <w:t>%-os</w:t>
      </w:r>
      <w:r w:rsidRPr="009E58F7">
        <w:t xml:space="preserve"> CI: 26</w:t>
      </w:r>
      <w:r w:rsidR="002A3846">
        <w:t>–</w:t>
      </w:r>
      <w:r w:rsidRPr="009E58F7">
        <w:t xml:space="preserve">62). </w:t>
      </w:r>
      <w:r w:rsidR="00C5286C" w:rsidRPr="009E58F7">
        <w:t>A diagnózis</w:t>
      </w:r>
      <w:r w:rsidR="00206D89" w:rsidRPr="009E58F7">
        <w:t xml:space="preserve"> felállításá</w:t>
      </w:r>
      <w:r w:rsidR="00C5286C" w:rsidRPr="009E58F7">
        <w:t>tól számított</w:t>
      </w:r>
      <w:r w:rsidRPr="009E58F7">
        <w:t xml:space="preserve"> 18</w:t>
      </w:r>
      <w:r w:rsidR="00FE5B85">
        <w:rPr>
          <w:rFonts w:cs="Arial"/>
        </w:rPr>
        <w:t>–</w:t>
      </w:r>
      <w:r w:rsidRPr="009E58F7">
        <w:t>36</w:t>
      </w:r>
      <w:r w:rsidRPr="009E58F7">
        <w:rPr>
          <w:rFonts w:cs="Arial"/>
        </w:rPr>
        <w:t> </w:t>
      </w:r>
      <w:r w:rsidRPr="009E58F7">
        <w:t xml:space="preserve">hónapon belül </w:t>
      </w:r>
      <w:r w:rsidRPr="009E58F7">
        <w:rPr>
          <w:rFonts w:cs="Arial"/>
        </w:rPr>
        <w:t>relapszust mutató, összes</w:t>
      </w:r>
      <w:r w:rsidRPr="009E58F7">
        <w:t xml:space="preserve"> B</w:t>
      </w:r>
      <w:r w:rsidR="00621E19">
        <w:t>-</w:t>
      </w:r>
      <w:r w:rsidRPr="009E58F7">
        <w:t>ALL</w:t>
      </w:r>
      <w:r w:rsidR="002A3846">
        <w:rPr>
          <w:rFonts w:cs="Arial"/>
        </w:rPr>
        <w:t>-</w:t>
      </w:r>
      <w:r w:rsidRPr="009E58F7">
        <w:rPr>
          <w:rFonts w:cs="Arial"/>
        </w:rPr>
        <w:t>beteg</w:t>
      </w:r>
      <w:r w:rsidRPr="009E58F7">
        <w:t xml:space="preserve"> (</w:t>
      </w:r>
      <w:r w:rsidR="003212C5" w:rsidRPr="009E58F7">
        <w:t>n</w:t>
      </w:r>
      <w:r w:rsidR="003212C5" w:rsidRPr="009E58F7">
        <w:rPr>
          <w:rFonts w:cs="Arial"/>
        </w:rPr>
        <w:t> = </w:t>
      </w:r>
      <w:r w:rsidRPr="009E58F7">
        <w:t xml:space="preserve">33) </w:t>
      </w:r>
      <w:r w:rsidRPr="009E58F7">
        <w:rPr>
          <w:rFonts w:cs="Arial"/>
        </w:rPr>
        <w:t xml:space="preserve">esetében </w:t>
      </w:r>
      <w:r w:rsidRPr="009E58F7">
        <w:t xml:space="preserve">a teljes </w:t>
      </w:r>
      <w:r w:rsidRPr="009E58F7">
        <w:rPr>
          <w:rFonts w:cs="Arial"/>
        </w:rPr>
        <w:t>válaszarány</w:t>
      </w:r>
      <w:r w:rsidRPr="009E58F7">
        <w:t xml:space="preserve"> 79% (95</w:t>
      </w:r>
      <w:r w:rsidRPr="009E58F7">
        <w:rPr>
          <w:rFonts w:cs="Arial"/>
        </w:rPr>
        <w:t>%</w:t>
      </w:r>
      <w:r w:rsidRPr="009E58F7">
        <w:t xml:space="preserve"> CI: 61</w:t>
      </w:r>
      <w:r w:rsidR="002A3846">
        <w:t>–</w:t>
      </w:r>
      <w:r w:rsidRPr="009E58F7">
        <w:t>91), a 4</w:t>
      </w:r>
      <w:r w:rsidRPr="009E58F7">
        <w:rPr>
          <w:rFonts w:cs="Arial"/>
        </w:rPr>
        <w:t> </w:t>
      </w:r>
      <w:r w:rsidRPr="009E58F7">
        <w:t xml:space="preserve">hónapos eseménymentes </w:t>
      </w:r>
      <w:r w:rsidR="00C5286C" w:rsidRPr="009E58F7">
        <w:t>túlélés</w:t>
      </w:r>
      <w:r w:rsidR="00206D89" w:rsidRPr="009E58F7">
        <w:t>i</w:t>
      </w:r>
      <w:r w:rsidR="00C5286C" w:rsidRPr="009E58F7">
        <w:t xml:space="preserve"> arány</w:t>
      </w:r>
      <w:r w:rsidR="00206D89" w:rsidRPr="009E58F7">
        <w:t xml:space="preserve"> </w:t>
      </w:r>
      <w:r w:rsidRPr="009E58F7">
        <w:rPr>
          <w:rFonts w:cs="Arial"/>
        </w:rPr>
        <w:t>pedig</w:t>
      </w:r>
      <w:r w:rsidRPr="009E58F7">
        <w:t xml:space="preserve"> 73% (95</w:t>
      </w:r>
      <w:r w:rsidRPr="009E58F7">
        <w:rPr>
          <w:rFonts w:cs="Arial"/>
        </w:rPr>
        <w:t>%</w:t>
      </w:r>
      <w:r w:rsidRPr="009E58F7">
        <w:t xml:space="preserve"> CI: 54</w:t>
      </w:r>
      <w:r w:rsidR="002A3846">
        <w:t>–</w:t>
      </w:r>
      <w:r w:rsidRPr="009E58F7">
        <w:t>85</w:t>
      </w:r>
      <w:r w:rsidRPr="009E58F7">
        <w:rPr>
          <w:rFonts w:cs="Arial"/>
        </w:rPr>
        <w:t>) volt. A teljes válaszarány az első relapszust elszenvedett, T</w:t>
      </w:r>
      <w:r w:rsidR="00621E19">
        <w:rPr>
          <w:rFonts w:cs="Arial"/>
        </w:rPr>
        <w:t>-</w:t>
      </w:r>
      <w:r w:rsidRPr="009E58F7">
        <w:t>sejtes ALL</w:t>
      </w:r>
      <w:r w:rsidR="00FE5B85">
        <w:rPr>
          <w:rFonts w:cs="Arial"/>
        </w:rPr>
        <w:t>-</w:t>
      </w:r>
      <w:r w:rsidR="00E577A1" w:rsidRPr="009E58F7">
        <w:rPr>
          <w:rFonts w:cs="Arial"/>
        </w:rPr>
        <w:t>b</w:t>
      </w:r>
      <w:r w:rsidR="002A3846">
        <w:rPr>
          <w:rFonts w:cs="Arial"/>
        </w:rPr>
        <w:t>e</w:t>
      </w:r>
      <w:r w:rsidRPr="009E58F7">
        <w:rPr>
          <w:rFonts w:cs="Arial"/>
        </w:rPr>
        <w:t>n szenvedő betegek</w:t>
      </w:r>
      <w:r w:rsidRPr="009E58F7">
        <w:t xml:space="preserve"> (</w:t>
      </w:r>
      <w:r w:rsidR="003212C5" w:rsidRPr="009E58F7">
        <w:t>n</w:t>
      </w:r>
      <w:r w:rsidR="003212C5" w:rsidRPr="009E58F7">
        <w:rPr>
          <w:rFonts w:cs="Arial"/>
        </w:rPr>
        <w:t> = </w:t>
      </w:r>
      <w:r w:rsidRPr="009E58F7">
        <w:t xml:space="preserve">22) </w:t>
      </w:r>
      <w:r w:rsidRPr="009E58F7">
        <w:rPr>
          <w:rFonts w:cs="Arial"/>
        </w:rPr>
        <w:t>esetében</w:t>
      </w:r>
      <w:r w:rsidRPr="009E58F7">
        <w:t xml:space="preserve"> 68% (95</w:t>
      </w:r>
      <w:r w:rsidRPr="009E58F7">
        <w:rPr>
          <w:rFonts w:cs="Arial"/>
        </w:rPr>
        <w:t>%</w:t>
      </w:r>
      <w:r w:rsidRPr="009E58F7">
        <w:t xml:space="preserve"> CI: 45</w:t>
      </w:r>
      <w:r w:rsidR="002A3846">
        <w:t>–</w:t>
      </w:r>
      <w:r w:rsidRPr="009E58F7">
        <w:t xml:space="preserve">86), </w:t>
      </w:r>
      <w:r w:rsidRPr="009E58F7">
        <w:rPr>
          <w:rFonts w:cs="Arial"/>
        </w:rPr>
        <w:t>míg</w:t>
      </w:r>
      <w:r w:rsidRPr="009E58F7">
        <w:t xml:space="preserve"> a 4</w:t>
      </w:r>
      <w:r w:rsidRPr="009E58F7">
        <w:rPr>
          <w:rFonts w:cs="Arial"/>
        </w:rPr>
        <w:t> </w:t>
      </w:r>
      <w:r w:rsidRPr="009E58F7">
        <w:t xml:space="preserve">hónapos eseménymentes </w:t>
      </w:r>
      <w:r w:rsidR="00C5286C" w:rsidRPr="009E58F7">
        <w:t>túlélés</w:t>
      </w:r>
      <w:r w:rsidR="00206D89" w:rsidRPr="009E58F7">
        <w:t>i</w:t>
      </w:r>
      <w:r w:rsidR="00C5286C" w:rsidRPr="009E58F7">
        <w:t xml:space="preserve"> arány</w:t>
      </w:r>
      <w:r w:rsidRPr="009E58F7">
        <w:t xml:space="preserve"> 67% (95</w:t>
      </w:r>
      <w:r w:rsidRPr="009E58F7">
        <w:rPr>
          <w:rFonts w:cs="Arial"/>
        </w:rPr>
        <w:t>%</w:t>
      </w:r>
      <w:r w:rsidRPr="009E58F7">
        <w:t xml:space="preserve"> CI: 42</w:t>
      </w:r>
      <w:r w:rsidR="002A3846">
        <w:t>–</w:t>
      </w:r>
      <w:r w:rsidRPr="009E58F7">
        <w:t>83</w:t>
      </w:r>
      <w:r w:rsidRPr="009E58F7">
        <w:rPr>
          <w:rFonts w:cs="Arial"/>
        </w:rPr>
        <w:t>) volt.</w:t>
      </w:r>
      <w:r w:rsidRPr="009E58F7">
        <w:t xml:space="preserve"> A jelentett hatásossági adatokat nem </w:t>
      </w:r>
      <w:r w:rsidR="00C5286C" w:rsidRPr="009E58F7">
        <w:t>tekintik egyértelműnek</w:t>
      </w:r>
      <w:r w:rsidRPr="009E58F7">
        <w:t xml:space="preserve"> (lásd 4.2</w:t>
      </w:r>
      <w:r w:rsidRPr="009E58F7">
        <w:rPr>
          <w:rFonts w:cs="Arial"/>
        </w:rPr>
        <w:t> </w:t>
      </w:r>
      <w:r w:rsidRPr="009E58F7">
        <w:t>pont).</w:t>
      </w:r>
    </w:p>
    <w:p w14:paraId="5AB8D5E8" w14:textId="77777777" w:rsidR="004D6470" w:rsidRPr="009E58F7" w:rsidRDefault="004D6470">
      <w:pPr>
        <w:spacing w:line="240" w:lineRule="auto"/>
      </w:pPr>
    </w:p>
    <w:p w14:paraId="7FF309FB" w14:textId="649080FC" w:rsidR="004D6470" w:rsidRPr="005F2BC9" w:rsidRDefault="004D6470">
      <w:pPr>
        <w:spacing w:line="240" w:lineRule="auto"/>
        <w:contextualSpacing/>
      </w:pPr>
      <w:r w:rsidRPr="005F2BC9">
        <w:rPr>
          <w:lang w:eastAsia="is-IS"/>
        </w:rPr>
        <w:t>140,</w:t>
      </w:r>
      <w:r w:rsidRPr="005F2BC9">
        <w:t xml:space="preserve"> </w:t>
      </w:r>
      <w:r w:rsidRPr="009E58F7">
        <w:t>ALL</w:t>
      </w:r>
      <w:r w:rsidR="00C5286C" w:rsidRPr="009E58F7">
        <w:t>-</w:t>
      </w:r>
      <w:r w:rsidR="00206D89" w:rsidRPr="009E58F7">
        <w:t>b</w:t>
      </w:r>
      <w:r w:rsidR="002A3846">
        <w:t>e</w:t>
      </w:r>
      <w:r w:rsidR="00206D89" w:rsidRPr="009E58F7">
        <w:t>n</w:t>
      </w:r>
      <w:r w:rsidRPr="009E58F7">
        <w:t xml:space="preserve"> vagy LL</w:t>
      </w:r>
      <w:r w:rsidR="00C5286C" w:rsidRPr="009E58F7">
        <w:t>-</w:t>
      </w:r>
      <w:r w:rsidR="00206D89" w:rsidRPr="009E58F7">
        <w:t>b</w:t>
      </w:r>
      <w:r w:rsidR="002A3846">
        <w:t>e</w:t>
      </w:r>
      <w:r w:rsidR="00206D89" w:rsidRPr="009E58F7">
        <w:t>n szenvedő</w:t>
      </w:r>
      <w:r w:rsidRPr="009E58F7">
        <w:t xml:space="preserve"> beteget </w:t>
      </w:r>
      <w:r w:rsidR="00C5286C" w:rsidRPr="009E58F7">
        <w:t>vontak</w:t>
      </w:r>
      <w:r w:rsidRPr="009E58F7">
        <w:t xml:space="preserve"> be</w:t>
      </w:r>
      <w:r w:rsidR="00C5286C" w:rsidRPr="009E58F7">
        <w:t xml:space="preserve"> és értékeltek a biztonságosság szempontjából. A medián életkor 10</w:t>
      </w:r>
      <w:r w:rsidR="00206D89" w:rsidRPr="009E58F7">
        <w:t> </w:t>
      </w:r>
      <w:r w:rsidR="00C5286C" w:rsidRPr="009E58F7">
        <w:t>év volt (szélső értékek 1</w:t>
      </w:r>
      <w:r w:rsidR="00BD5400">
        <w:t>–</w:t>
      </w:r>
      <w:r w:rsidR="00C5286C" w:rsidRPr="009E58F7">
        <w:t>26).</w:t>
      </w:r>
      <w:r w:rsidRPr="009E58F7">
        <w:t xml:space="preserve"> </w:t>
      </w:r>
      <w:r w:rsidRPr="005F2BC9">
        <w:t xml:space="preserve">Nem </w:t>
      </w:r>
      <w:r w:rsidR="00C5286C" w:rsidRPr="009E58F7">
        <w:t>észleltek</w:t>
      </w:r>
      <w:r w:rsidRPr="009E58F7">
        <w:t xml:space="preserve"> </w:t>
      </w:r>
      <w:r w:rsidRPr="005F2BC9">
        <w:t xml:space="preserve">új biztonságossági aggályokat, amikor </w:t>
      </w:r>
      <w:r w:rsidRPr="005F2BC9">
        <w:rPr>
          <w:lang w:eastAsia="is-IS"/>
        </w:rPr>
        <w:lastRenderedPageBreak/>
        <w:t xml:space="preserve">bortezomibot adtak a gyermekkori </w:t>
      </w:r>
      <w:r w:rsidRPr="005F2BC9">
        <w:t>B</w:t>
      </w:r>
      <w:r w:rsidR="003F0F42">
        <w:rPr>
          <w:lang w:eastAsia="is-IS"/>
        </w:rPr>
        <w:t>-</w:t>
      </w:r>
      <w:r w:rsidRPr="005F2BC9">
        <w:t xml:space="preserve">sejtes </w:t>
      </w:r>
      <w:r w:rsidRPr="005F2BC9">
        <w:rPr>
          <w:lang w:eastAsia="is-IS"/>
        </w:rPr>
        <w:t xml:space="preserve">ALL kezelésére alkalmazott </w:t>
      </w:r>
      <w:r w:rsidRPr="005F2BC9">
        <w:t xml:space="preserve">standard </w:t>
      </w:r>
      <w:r w:rsidRPr="005F2BC9">
        <w:rPr>
          <w:lang w:eastAsia="is-IS"/>
        </w:rPr>
        <w:t>kemoterápiás alapkezeléshez. A következő (</w:t>
      </w:r>
      <w:r w:rsidR="0095241D" w:rsidRPr="005F2BC9">
        <w:rPr>
          <w:rFonts w:eastAsia="TimesNewRomanPSMT"/>
          <w:lang w:eastAsia="is-IS"/>
        </w:rPr>
        <w:t>≥ </w:t>
      </w:r>
      <w:r w:rsidRPr="005F2BC9">
        <w:rPr>
          <w:lang w:eastAsia="is-IS"/>
        </w:rPr>
        <w:t xml:space="preserve">3 fokozatú) </w:t>
      </w:r>
      <w:r w:rsidRPr="005F2BC9">
        <w:t xml:space="preserve">mellékhatásokat </w:t>
      </w:r>
      <w:r w:rsidRPr="005F2BC9">
        <w:rPr>
          <w:lang w:eastAsia="is-IS"/>
        </w:rPr>
        <w:t xml:space="preserve">figyelték meg nagyobb gyakoriságban a bortezomibot </w:t>
      </w:r>
      <w:r w:rsidR="002B0C95" w:rsidRPr="005F2BC9">
        <w:rPr>
          <w:lang w:eastAsia="is-IS"/>
        </w:rPr>
        <w:t xml:space="preserve">is tartalmazó kezelési </w:t>
      </w:r>
      <w:r w:rsidR="002A3846">
        <w:rPr>
          <w:lang w:eastAsia="is-IS"/>
        </w:rPr>
        <w:t>rendben</w:t>
      </w:r>
      <w:r w:rsidRPr="005F2BC9">
        <w:rPr>
          <w:lang w:eastAsia="is-IS"/>
        </w:rPr>
        <w:t xml:space="preserve">, mint amikor csak a standard alapkezelést alkalmazták </w:t>
      </w:r>
      <w:r w:rsidRPr="005F2BC9">
        <w:t xml:space="preserve">a </w:t>
      </w:r>
      <w:r w:rsidRPr="005F2BC9">
        <w:rPr>
          <w:lang w:eastAsia="is-IS"/>
        </w:rPr>
        <w:t>történelmi</w:t>
      </w:r>
      <w:r w:rsidRPr="005F2BC9">
        <w:t xml:space="preserve"> kontroll </w:t>
      </w:r>
      <w:r w:rsidRPr="005F2BC9">
        <w:rPr>
          <w:lang w:eastAsia="is-IS"/>
        </w:rPr>
        <w:t>vizsgálat során</w:t>
      </w:r>
      <w:r w:rsidRPr="005F2BC9">
        <w:t>: az 1.</w:t>
      </w:r>
      <w:r w:rsidR="0095241D" w:rsidRPr="005F2BC9">
        <w:t> </w:t>
      </w:r>
      <w:r w:rsidRPr="005F2BC9">
        <w:t>blokkban</w:t>
      </w:r>
      <w:r w:rsidRPr="005F2BC9">
        <w:rPr>
          <w:lang w:eastAsia="is-IS"/>
        </w:rPr>
        <w:t>,</w:t>
      </w:r>
      <w:r w:rsidRPr="005F2BC9">
        <w:t xml:space="preserve"> perifériás szenzoros neuropathia (3% </w:t>
      </w:r>
      <w:r w:rsidRPr="005F2BC9">
        <w:rPr>
          <w:lang w:eastAsia="is-IS"/>
        </w:rPr>
        <w:t>vs.</w:t>
      </w:r>
      <w:r w:rsidRPr="005F2BC9">
        <w:t xml:space="preserve"> 0%); ileus (2,1% </w:t>
      </w:r>
      <w:r w:rsidRPr="005F2BC9">
        <w:rPr>
          <w:lang w:eastAsia="is-IS"/>
        </w:rPr>
        <w:t>vs.</w:t>
      </w:r>
      <w:r w:rsidRPr="005F2BC9">
        <w:t xml:space="preserve"> 0%); hypoxia (8% </w:t>
      </w:r>
      <w:r w:rsidRPr="005F2BC9">
        <w:rPr>
          <w:lang w:eastAsia="is-IS"/>
        </w:rPr>
        <w:t>vs.</w:t>
      </w:r>
      <w:r w:rsidRPr="005F2BC9">
        <w:t xml:space="preserve"> 2%). </w:t>
      </w:r>
      <w:r w:rsidRPr="005F2BC9">
        <w:rPr>
          <w:lang w:eastAsia="is-IS"/>
        </w:rPr>
        <w:t>Ebből a vizsgálatból nincsenek információk</w:t>
      </w:r>
      <w:r w:rsidRPr="005F2BC9">
        <w:t xml:space="preserve"> a perifériás neuropathia </w:t>
      </w:r>
      <w:r w:rsidRPr="005F2BC9">
        <w:rPr>
          <w:lang w:eastAsia="is-IS"/>
        </w:rPr>
        <w:t>esetleges további lefolyására</w:t>
      </w:r>
      <w:r w:rsidRPr="005F2BC9">
        <w:t xml:space="preserve"> vagy </w:t>
      </w:r>
      <w:r w:rsidRPr="005F2BC9">
        <w:rPr>
          <w:lang w:eastAsia="is-IS"/>
        </w:rPr>
        <w:t xml:space="preserve">rendeződésének arányára vonatkozóan. Ugyancsak nagyobb gyakorisággal figyeltek meg </w:t>
      </w:r>
      <w:r w:rsidRPr="005F2BC9">
        <w:rPr>
          <w:rFonts w:eastAsia="TimesNewRomanPSMT"/>
        </w:rPr>
        <w:t>≥</w:t>
      </w:r>
      <w:r w:rsidR="00E577A1" w:rsidRPr="005F2BC9">
        <w:rPr>
          <w:rFonts w:eastAsia="TimesNewRomanPSMT"/>
        </w:rPr>
        <w:t> </w:t>
      </w:r>
      <w:r w:rsidRPr="005F2BC9">
        <w:t>3</w:t>
      </w:r>
      <w:r w:rsidR="00BD5400">
        <w:rPr>
          <w:lang w:eastAsia="is-IS"/>
        </w:rPr>
        <w:t>-</w:t>
      </w:r>
      <w:r w:rsidRPr="005F2BC9">
        <w:rPr>
          <w:lang w:eastAsia="is-IS"/>
        </w:rPr>
        <w:t>as</w:t>
      </w:r>
      <w:r w:rsidRPr="005F2BC9">
        <w:t xml:space="preserve"> fokozatú </w:t>
      </w:r>
      <w:r w:rsidRPr="005F2BC9">
        <w:rPr>
          <w:lang w:eastAsia="is-IS"/>
        </w:rPr>
        <w:t>neutropeniával társuló fertőzéseket</w:t>
      </w:r>
      <w:r w:rsidRPr="005F2BC9">
        <w:t xml:space="preserve"> (24% </w:t>
      </w:r>
      <w:r w:rsidRPr="005F2BC9">
        <w:rPr>
          <w:lang w:eastAsia="is-IS"/>
        </w:rPr>
        <w:t>vs.</w:t>
      </w:r>
      <w:r w:rsidRPr="005F2BC9">
        <w:t>19% az 1</w:t>
      </w:r>
      <w:r w:rsidRPr="005F2BC9">
        <w:rPr>
          <w:lang w:eastAsia="is-IS"/>
        </w:rPr>
        <w:t>.</w:t>
      </w:r>
      <w:r w:rsidR="0095241D" w:rsidRPr="005F2BC9">
        <w:t> </w:t>
      </w:r>
      <w:r w:rsidRPr="005F2BC9">
        <w:t xml:space="preserve">blokkban és 22% </w:t>
      </w:r>
      <w:r w:rsidRPr="005F2BC9">
        <w:rPr>
          <w:lang w:eastAsia="is-IS"/>
        </w:rPr>
        <w:t>vs.</w:t>
      </w:r>
      <w:r w:rsidRPr="005F2BC9">
        <w:t>11% a 2.</w:t>
      </w:r>
      <w:r w:rsidR="0095241D" w:rsidRPr="005F2BC9">
        <w:t> </w:t>
      </w:r>
      <w:r w:rsidRPr="005F2BC9">
        <w:t>blokkban), emelkedett AL</w:t>
      </w:r>
      <w:r w:rsidR="00EF6D76" w:rsidRPr="005F2BC9">
        <w:t>A</w:t>
      </w:r>
      <w:r w:rsidRPr="005F2BC9">
        <w:t>T</w:t>
      </w:r>
      <w:r w:rsidR="00621E19">
        <w:rPr>
          <w:lang w:eastAsia="is-IS"/>
        </w:rPr>
        <w:t>-</w:t>
      </w:r>
      <w:r w:rsidRPr="005F2BC9">
        <w:rPr>
          <w:lang w:eastAsia="is-IS"/>
        </w:rPr>
        <w:t>szintet</w:t>
      </w:r>
      <w:r w:rsidRPr="005F2BC9">
        <w:t xml:space="preserve"> (17% </w:t>
      </w:r>
      <w:r w:rsidRPr="005F2BC9">
        <w:rPr>
          <w:lang w:eastAsia="is-IS"/>
        </w:rPr>
        <w:t>vs.</w:t>
      </w:r>
      <w:r w:rsidRPr="005F2BC9">
        <w:t>8% a 2.</w:t>
      </w:r>
      <w:r w:rsidR="0095241D" w:rsidRPr="005F2BC9">
        <w:t> </w:t>
      </w:r>
      <w:r w:rsidRPr="005F2BC9">
        <w:t xml:space="preserve">blokkban), </w:t>
      </w:r>
      <w:r w:rsidRPr="005F2BC9">
        <w:rPr>
          <w:lang w:eastAsia="is-IS"/>
        </w:rPr>
        <w:t>hypokalaemiát</w:t>
      </w:r>
      <w:r w:rsidRPr="005F2BC9">
        <w:t xml:space="preserve"> (18% </w:t>
      </w:r>
      <w:r w:rsidRPr="005F2BC9">
        <w:rPr>
          <w:lang w:eastAsia="is-IS"/>
        </w:rPr>
        <w:t>vs.</w:t>
      </w:r>
      <w:r w:rsidRPr="005F2BC9">
        <w:t xml:space="preserve">6% </w:t>
      </w:r>
      <w:r w:rsidRPr="005F2BC9">
        <w:rPr>
          <w:lang w:eastAsia="is-IS"/>
        </w:rPr>
        <w:t xml:space="preserve">az </w:t>
      </w:r>
      <w:r w:rsidRPr="005F2BC9">
        <w:t>1</w:t>
      </w:r>
      <w:r w:rsidRPr="005F2BC9">
        <w:rPr>
          <w:lang w:eastAsia="is-IS"/>
        </w:rPr>
        <w:t>.</w:t>
      </w:r>
      <w:r w:rsidR="0095241D" w:rsidRPr="005F2BC9">
        <w:t> </w:t>
      </w:r>
      <w:r w:rsidRPr="005F2BC9">
        <w:t xml:space="preserve">blokkban és 21% </w:t>
      </w:r>
      <w:r w:rsidRPr="005F2BC9">
        <w:rPr>
          <w:lang w:eastAsia="is-IS"/>
        </w:rPr>
        <w:t>vs.</w:t>
      </w:r>
      <w:r w:rsidRPr="005F2BC9">
        <w:t>12% a 2.</w:t>
      </w:r>
      <w:r w:rsidR="0095241D" w:rsidRPr="005F2BC9">
        <w:t> </w:t>
      </w:r>
      <w:r w:rsidRPr="005F2BC9">
        <w:t>blokkban</w:t>
      </w:r>
      <w:r w:rsidRPr="005F2BC9">
        <w:rPr>
          <w:lang w:eastAsia="is-IS"/>
        </w:rPr>
        <w:t>), továbbá hyponatraemiát</w:t>
      </w:r>
      <w:r w:rsidRPr="005F2BC9">
        <w:t xml:space="preserve"> (12% </w:t>
      </w:r>
      <w:r w:rsidRPr="005F2BC9">
        <w:rPr>
          <w:lang w:eastAsia="is-IS"/>
        </w:rPr>
        <w:t>vs.</w:t>
      </w:r>
      <w:r w:rsidRPr="005F2BC9">
        <w:t xml:space="preserve">5% </w:t>
      </w:r>
      <w:r w:rsidRPr="005F2BC9">
        <w:rPr>
          <w:lang w:eastAsia="is-IS"/>
        </w:rPr>
        <w:t xml:space="preserve">az </w:t>
      </w:r>
      <w:r w:rsidRPr="005F2BC9">
        <w:t>1</w:t>
      </w:r>
      <w:r w:rsidRPr="005F2BC9">
        <w:rPr>
          <w:lang w:eastAsia="is-IS"/>
        </w:rPr>
        <w:t>.</w:t>
      </w:r>
      <w:r w:rsidR="0095241D" w:rsidRPr="005F2BC9">
        <w:t> </w:t>
      </w:r>
      <w:r w:rsidRPr="005F2BC9">
        <w:t>blokkban</w:t>
      </w:r>
      <w:r w:rsidRPr="005F2BC9">
        <w:rPr>
          <w:lang w:eastAsia="is-IS"/>
        </w:rPr>
        <w:t>, valamint</w:t>
      </w:r>
      <w:r w:rsidRPr="005F2BC9">
        <w:t xml:space="preserve"> 4% </w:t>
      </w:r>
      <w:r w:rsidRPr="005F2BC9">
        <w:rPr>
          <w:lang w:eastAsia="is-IS"/>
        </w:rPr>
        <w:t>vs.</w:t>
      </w:r>
      <w:r w:rsidRPr="005F2BC9">
        <w:t>0 a 2.</w:t>
      </w:r>
      <w:r w:rsidR="0095241D" w:rsidRPr="005F2BC9">
        <w:t> </w:t>
      </w:r>
      <w:r w:rsidRPr="005F2BC9">
        <w:t>blokkban</w:t>
      </w:r>
      <w:r w:rsidRPr="005F2BC9">
        <w:rPr>
          <w:lang w:eastAsia="is-IS"/>
        </w:rPr>
        <w:t>).</w:t>
      </w:r>
    </w:p>
    <w:p w14:paraId="29D2E72F" w14:textId="77777777" w:rsidR="004D6470" w:rsidRPr="009E58F7" w:rsidRDefault="004D6470">
      <w:pPr>
        <w:widowControl w:val="0"/>
        <w:autoSpaceDE w:val="0"/>
        <w:autoSpaceDN w:val="0"/>
        <w:adjustRightInd w:val="0"/>
        <w:spacing w:line="240" w:lineRule="auto"/>
      </w:pPr>
    </w:p>
    <w:p w14:paraId="1AFBB970" w14:textId="7A60663E" w:rsidR="004D6470" w:rsidRPr="009E58F7" w:rsidRDefault="004D6470" w:rsidP="00602E58">
      <w:pPr>
        <w:pStyle w:val="Listaszerbekezds"/>
        <w:keepNext/>
        <w:numPr>
          <w:ilvl w:val="1"/>
          <w:numId w:val="35"/>
        </w:numPr>
        <w:overflowPunct w:val="0"/>
        <w:autoSpaceDE w:val="0"/>
        <w:autoSpaceDN w:val="0"/>
        <w:adjustRightInd w:val="0"/>
        <w:spacing w:line="240" w:lineRule="auto"/>
        <w:ind w:left="567" w:hanging="567"/>
        <w:rPr>
          <w:b/>
          <w:color w:val="000000"/>
        </w:rPr>
      </w:pPr>
      <w:r w:rsidRPr="009E58F7">
        <w:rPr>
          <w:b/>
          <w:color w:val="000000"/>
        </w:rPr>
        <w:t>Farmakokinetikai tulajdonságok</w:t>
      </w:r>
    </w:p>
    <w:p w14:paraId="4605BC7A" w14:textId="77777777" w:rsidR="004D6470" w:rsidRPr="009E58F7" w:rsidRDefault="004D6470" w:rsidP="00D7256D">
      <w:pPr>
        <w:keepNext/>
        <w:autoSpaceDE w:val="0"/>
        <w:autoSpaceDN w:val="0"/>
        <w:adjustRightInd w:val="0"/>
        <w:spacing w:line="240" w:lineRule="auto"/>
      </w:pPr>
    </w:p>
    <w:p w14:paraId="651C7666" w14:textId="77777777" w:rsidR="004D6470" w:rsidRPr="009E58F7" w:rsidRDefault="004D6470" w:rsidP="007070F2">
      <w:pPr>
        <w:pStyle w:val="Nincstrkz"/>
        <w:keepNext/>
        <w:rPr>
          <w:u w:val="single"/>
        </w:rPr>
      </w:pPr>
      <w:r w:rsidRPr="009E58F7">
        <w:rPr>
          <w:u w:val="single"/>
        </w:rPr>
        <w:t>Felszívódás</w:t>
      </w:r>
    </w:p>
    <w:p w14:paraId="0FF71E58" w14:textId="23BB70E6" w:rsidR="004D6470" w:rsidRPr="009E58F7" w:rsidRDefault="002A3846" w:rsidP="007070F2">
      <w:pPr>
        <w:spacing w:line="240" w:lineRule="auto"/>
        <w:contextualSpacing/>
      </w:pPr>
      <w:r>
        <w:t>A b</w:t>
      </w:r>
      <w:r w:rsidR="004D6470" w:rsidRPr="009E58F7">
        <w:t>ortezomib 1,0 mg/m</w:t>
      </w:r>
      <w:r w:rsidR="004D6470" w:rsidRPr="009E58F7">
        <w:rPr>
          <w:vertAlign w:val="superscript"/>
        </w:rPr>
        <w:t>2</w:t>
      </w:r>
      <w:r w:rsidR="004D6470" w:rsidRPr="009E58F7">
        <w:t xml:space="preserve"> és 1,3 mg/m</w:t>
      </w:r>
      <w:r w:rsidR="004D6470" w:rsidRPr="009E58F7">
        <w:rPr>
          <w:vertAlign w:val="superscript"/>
        </w:rPr>
        <w:t>2</w:t>
      </w:r>
      <w:r w:rsidR="004D6470" w:rsidRPr="009E58F7">
        <w:t xml:space="preserve"> dózisú, intravénás </w:t>
      </w:r>
      <w:r w:rsidR="00303F99" w:rsidRPr="009E58F7">
        <w:t>bo</w:t>
      </w:r>
      <w:r w:rsidR="004D6470" w:rsidRPr="009E58F7">
        <w:t>lus adagolását követően 11 myel</w:t>
      </w:r>
      <w:r w:rsidR="002B0C95" w:rsidRPr="009E58F7">
        <w:t>oma multiplexben szenvedő</w:t>
      </w:r>
      <w:r>
        <w:t>,</w:t>
      </w:r>
      <w:r w:rsidR="002B0C95" w:rsidRPr="009E58F7">
        <w:t xml:space="preserve"> és 50 </w:t>
      </w:r>
      <w:r w:rsidR="004D6470" w:rsidRPr="009E58F7">
        <w:t>ml/</w:t>
      </w:r>
      <w:r w:rsidR="00C5286C" w:rsidRPr="009E58F7">
        <w:t>percnél</w:t>
      </w:r>
      <w:r w:rsidR="004D6470" w:rsidRPr="009E58F7">
        <w:t xml:space="preserve"> nagyobb kreatinin-clearance</w:t>
      </w:r>
      <w:r w:rsidR="003F0F42">
        <w:t>-</w:t>
      </w:r>
      <w:r w:rsidR="002B0C95" w:rsidRPr="009E58F7">
        <w:t>szel rendelkező</w:t>
      </w:r>
      <w:r w:rsidR="004D6470" w:rsidRPr="009E58F7">
        <w:t xml:space="preserve"> beteg</w:t>
      </w:r>
      <w:r w:rsidR="002B0C95" w:rsidRPr="009E58F7">
        <w:t>nél</w:t>
      </w:r>
      <w:r w:rsidR="004D6470" w:rsidRPr="009E58F7">
        <w:t xml:space="preserve"> a bortezomib első dózisát követő átlagos, maximális plazmakoncentráció sorrendben 57, ill. 112 ng/ml volt. A következő adagoknál a megfigyelt, átlagos, maximális plazmakoncentráció 67</w:t>
      </w:r>
      <w:r w:rsidR="00FE5B85">
        <w:t>–</w:t>
      </w:r>
      <w:r w:rsidR="004D6470" w:rsidRPr="009E58F7">
        <w:t>106 ng/ml között változott az 1,0 mg/m</w:t>
      </w:r>
      <w:r w:rsidR="004D6470" w:rsidRPr="009E58F7">
        <w:rPr>
          <w:vertAlign w:val="superscript"/>
        </w:rPr>
        <w:t>2</w:t>
      </w:r>
      <w:r w:rsidR="00BD5400">
        <w:t>-</w:t>
      </w:r>
      <w:r w:rsidR="004D6470" w:rsidRPr="009E58F7">
        <w:t>es, illetve 89</w:t>
      </w:r>
      <w:r w:rsidR="00FE5B85">
        <w:t>–</w:t>
      </w:r>
      <w:r w:rsidR="004D6470" w:rsidRPr="009E58F7">
        <w:t>120 ng/ml között az 1,3 mg/m</w:t>
      </w:r>
      <w:r w:rsidR="004D6470" w:rsidRPr="009E58F7">
        <w:rPr>
          <w:vertAlign w:val="superscript"/>
        </w:rPr>
        <w:t>2</w:t>
      </w:r>
      <w:r w:rsidR="00BD5400">
        <w:t>-</w:t>
      </w:r>
      <w:r w:rsidR="004D6470" w:rsidRPr="009E58F7">
        <w:t>es dózis esetén.</w:t>
      </w:r>
    </w:p>
    <w:p w14:paraId="1653D00B" w14:textId="77777777" w:rsidR="004D6470" w:rsidRPr="009E58F7" w:rsidRDefault="004D6470" w:rsidP="003D25C3">
      <w:pPr>
        <w:pStyle w:val="Nincstrkz"/>
      </w:pPr>
      <w:bookmarkStart w:id="49" w:name="page139"/>
      <w:bookmarkEnd w:id="49"/>
    </w:p>
    <w:p w14:paraId="0AB9F2D5" w14:textId="7C988620" w:rsidR="004D4002" w:rsidRPr="009E58F7" w:rsidRDefault="004D6470">
      <w:pPr>
        <w:spacing w:line="240" w:lineRule="auto"/>
        <w:contextualSpacing/>
      </w:pPr>
      <w:r w:rsidRPr="009E58F7">
        <w:t>A myeloma multiplexben szenvedő (</w:t>
      </w:r>
      <w:r w:rsidR="003212C5" w:rsidRPr="009E58F7">
        <w:t>n = </w:t>
      </w:r>
      <w:r w:rsidRPr="009E58F7">
        <w:t xml:space="preserve">14 az intravénás csoportban és </w:t>
      </w:r>
      <w:r w:rsidR="003212C5" w:rsidRPr="009E58F7">
        <w:t>n = </w:t>
      </w:r>
      <w:r w:rsidRPr="009E58F7">
        <w:t>17 a subcutan csoportban) betegeknek adott 1,3 mg/m</w:t>
      </w:r>
      <w:r w:rsidRPr="009E58F7">
        <w:rPr>
          <w:vertAlign w:val="superscript"/>
        </w:rPr>
        <w:t>2</w:t>
      </w:r>
      <w:r w:rsidRPr="009E58F7">
        <w:t xml:space="preserve"> dózisú intravénás </w:t>
      </w:r>
      <w:r w:rsidR="00303F99" w:rsidRPr="009E58F7">
        <w:t>bo</w:t>
      </w:r>
      <w:r w:rsidRPr="009E58F7">
        <w:t>lus vagy a subcutan injekciót követően az ismételt dózisú adagolás teljes szisztémás expozíciója (AUC</w:t>
      </w:r>
      <w:r w:rsidRPr="009E58F7">
        <w:rPr>
          <w:vertAlign w:val="subscript"/>
        </w:rPr>
        <w:t>utolsó</w:t>
      </w:r>
      <w:r w:rsidRPr="009E58F7">
        <w:t>) azonos volt a subcutan</w:t>
      </w:r>
      <w:r w:rsidR="001D14D0">
        <w:t>,</w:t>
      </w:r>
      <w:r w:rsidRPr="009E58F7">
        <w:t xml:space="preserve"> illetve intravénás adagolás esetén. A subcutan alkalmazást követően a C</w:t>
      </w:r>
      <w:r w:rsidRPr="009E58F7">
        <w:rPr>
          <w:vertAlign w:val="subscript"/>
        </w:rPr>
        <w:t>max</w:t>
      </w:r>
      <w:r w:rsidR="002A3846">
        <w:t>-</w:t>
      </w:r>
      <w:r w:rsidRPr="009E58F7">
        <w:t>értéke alacsonyabb (20,4</w:t>
      </w:r>
      <w:r w:rsidR="00303F99" w:rsidRPr="009E58F7">
        <w:t> </w:t>
      </w:r>
      <w:r w:rsidR="00C5286C" w:rsidRPr="009E58F7">
        <w:t>ng/l) volt</w:t>
      </w:r>
      <w:r w:rsidR="003F6942" w:rsidRPr="009E58F7">
        <w:t>,</w:t>
      </w:r>
      <w:r w:rsidR="00C5286C" w:rsidRPr="009E58F7">
        <w:t xml:space="preserve"> mint az</w:t>
      </w:r>
      <w:r w:rsidR="003F6942" w:rsidRPr="009E58F7">
        <w:t xml:space="preserve"> </w:t>
      </w:r>
      <w:r w:rsidR="00C5286C" w:rsidRPr="009E58F7">
        <w:t>intravénás érték (223</w:t>
      </w:r>
      <w:r w:rsidR="00303F99" w:rsidRPr="009E58F7">
        <w:t> </w:t>
      </w:r>
      <w:r w:rsidR="00C5286C" w:rsidRPr="009E58F7">
        <w:t>ng/l). Az AUC</w:t>
      </w:r>
      <w:r w:rsidR="00C5286C" w:rsidRPr="009E58F7">
        <w:rPr>
          <w:rFonts w:ascii="Times" w:hAnsi="Times"/>
          <w:vertAlign w:val="subscript"/>
        </w:rPr>
        <w:t>utolsó</w:t>
      </w:r>
      <w:r w:rsidR="00C5286C" w:rsidRPr="009E58F7">
        <w:t xml:space="preserve"> geometriai átlag aránya 0,99 volt 80,18</w:t>
      </w:r>
      <w:r w:rsidR="00621E19">
        <w:t>–</w:t>
      </w:r>
      <w:r w:rsidR="00C5286C" w:rsidRPr="009E58F7">
        <w:t>122,80% konfidenciaintervallumokkal.</w:t>
      </w:r>
    </w:p>
    <w:p w14:paraId="279947C3" w14:textId="77777777" w:rsidR="004D6470" w:rsidRPr="009E58F7" w:rsidRDefault="004D6470">
      <w:pPr>
        <w:pStyle w:val="Nincstrkz"/>
      </w:pPr>
    </w:p>
    <w:p w14:paraId="3E62CCAC" w14:textId="77777777" w:rsidR="004D6470" w:rsidRPr="009E58F7" w:rsidRDefault="004D6470">
      <w:pPr>
        <w:pStyle w:val="Nincstrkz"/>
        <w:keepNext/>
        <w:rPr>
          <w:u w:val="single"/>
        </w:rPr>
      </w:pPr>
      <w:r w:rsidRPr="009E58F7">
        <w:rPr>
          <w:u w:val="single"/>
        </w:rPr>
        <w:t>Eloszlás</w:t>
      </w:r>
    </w:p>
    <w:p w14:paraId="6F52AB3D" w14:textId="025E72CA" w:rsidR="004D6470" w:rsidRPr="009E58F7" w:rsidRDefault="004D6470">
      <w:pPr>
        <w:spacing w:line="240" w:lineRule="auto"/>
        <w:contextualSpacing/>
      </w:pPr>
      <w:r w:rsidRPr="009E58F7">
        <w:t>A bortezomib átlagos eloszlási térfogata 1659</w:t>
      </w:r>
      <w:r w:rsidR="00FE5B85">
        <w:t>–</w:t>
      </w:r>
      <w:r w:rsidRPr="009E58F7">
        <w:t>3294 l között</w:t>
      </w:r>
      <w:r w:rsidR="002B0C95" w:rsidRPr="009E58F7">
        <w:t>i tartományban volt,</w:t>
      </w:r>
      <w:r w:rsidRPr="009E58F7">
        <w:t xml:space="preserve"> egyszeri</w:t>
      </w:r>
      <w:r w:rsidR="00C5286C" w:rsidRPr="009E58F7">
        <w:t xml:space="preserve"> vagy</w:t>
      </w:r>
      <w:r w:rsidRPr="009E58F7">
        <w:t xml:space="preserve"> ismételt, 1,0 mg/m</w:t>
      </w:r>
      <w:r w:rsidRPr="009E58F7">
        <w:rPr>
          <w:vertAlign w:val="superscript"/>
        </w:rPr>
        <w:t>2</w:t>
      </w:r>
      <w:r w:rsidRPr="009E58F7">
        <w:t xml:space="preserve"> vagy 1,3 mg/m</w:t>
      </w:r>
      <w:r w:rsidRPr="009E58F7">
        <w:rPr>
          <w:vertAlign w:val="superscript"/>
        </w:rPr>
        <w:t>2</w:t>
      </w:r>
      <w:r w:rsidRPr="009E58F7">
        <w:t xml:space="preserve"> dózisú, intravénás bortezomib</w:t>
      </w:r>
      <w:r w:rsidR="00303F99" w:rsidRPr="009E58F7">
        <w:t xml:space="preserve"> </w:t>
      </w:r>
      <w:r w:rsidRPr="009E58F7">
        <w:t xml:space="preserve">adagolást követően myloma multiplexben szenvedő betegeknél. Ez a bortezomib perifériás szövetekben történő nagyfokú megoszlására utal. Humán plazmával végzett </w:t>
      </w:r>
      <w:r w:rsidRPr="009E58F7">
        <w:rPr>
          <w:i/>
        </w:rPr>
        <w:t>in</w:t>
      </w:r>
      <w:r w:rsidR="00303F99" w:rsidRPr="009E58F7">
        <w:rPr>
          <w:i/>
        </w:rPr>
        <w:t> </w:t>
      </w:r>
      <w:r w:rsidRPr="009E58F7">
        <w:rPr>
          <w:i/>
        </w:rPr>
        <w:t>vitro</w:t>
      </w:r>
      <w:r w:rsidRPr="009E58F7">
        <w:t xml:space="preserve"> vizsgálatokban 0,01</w:t>
      </w:r>
      <w:r w:rsidR="00BD5400">
        <w:t>–</w:t>
      </w:r>
      <w:r w:rsidRPr="009E58F7">
        <w:t>1,0 mikrogramm/ml-es koncentrációtartományban a bortezomib átlagosan 82,9%-ban kötődött a plazmafehérjékhez. A plazmafehérjéhez kötött bortezomib-frakció nem volt dózisfüggő.</w:t>
      </w:r>
    </w:p>
    <w:p w14:paraId="51802B4F" w14:textId="77777777" w:rsidR="004D6470" w:rsidRPr="009E58F7" w:rsidRDefault="004D6470">
      <w:pPr>
        <w:pStyle w:val="Nincstrkz"/>
      </w:pPr>
    </w:p>
    <w:p w14:paraId="3D0A621F" w14:textId="77777777" w:rsidR="004D6470" w:rsidRPr="009E58F7" w:rsidRDefault="004D6470">
      <w:pPr>
        <w:pStyle w:val="Nincstrkz"/>
        <w:keepNext/>
        <w:rPr>
          <w:u w:val="single"/>
        </w:rPr>
      </w:pPr>
      <w:r w:rsidRPr="009E58F7">
        <w:rPr>
          <w:u w:val="single"/>
        </w:rPr>
        <w:t>Biotranszformáció</w:t>
      </w:r>
    </w:p>
    <w:p w14:paraId="526312BB" w14:textId="7D47B679" w:rsidR="004D6470" w:rsidRPr="009E58F7" w:rsidRDefault="004D6470">
      <w:pPr>
        <w:spacing w:line="240" w:lineRule="auto"/>
        <w:contextualSpacing/>
      </w:pPr>
      <w:r w:rsidRPr="009E58F7">
        <w:t xml:space="preserve">Emberi májmikroszómákkal és humán cDNS-sel expresszált citokróm P450 izoenzimekkel végzett </w:t>
      </w:r>
      <w:r w:rsidRPr="009E58F7">
        <w:rPr>
          <w:i/>
        </w:rPr>
        <w:t>in</w:t>
      </w:r>
      <w:r w:rsidR="00303F99" w:rsidRPr="009E58F7">
        <w:rPr>
          <w:i/>
        </w:rPr>
        <w:t> </w:t>
      </w:r>
      <w:r w:rsidRPr="009E58F7">
        <w:rPr>
          <w:i/>
        </w:rPr>
        <w:t>vitro</w:t>
      </w:r>
      <w:r w:rsidRPr="009E58F7">
        <w:t xml:space="preserve"> vizsgálatok jelezték, hogy a bortezomib elsősorban oxidatívan metabolizálódik a citokróm P450</w:t>
      </w:r>
      <w:r w:rsidR="003F6942" w:rsidRPr="009E58F7">
        <w:t> </w:t>
      </w:r>
      <w:r w:rsidRPr="009E58F7">
        <w:t xml:space="preserve">3A4, 2C19 és 1A2 </w:t>
      </w:r>
      <w:r w:rsidR="00C5286C" w:rsidRPr="009E58F7">
        <w:t>izoenzimek</w:t>
      </w:r>
      <w:r w:rsidR="00303F99" w:rsidRPr="009E58F7">
        <w:t>en</w:t>
      </w:r>
      <w:r w:rsidR="00C5286C" w:rsidRPr="009E58F7">
        <w:t>.</w:t>
      </w:r>
      <w:r w:rsidRPr="009E58F7">
        <w:t xml:space="preserve"> A fő metabolikus út a bórsav leválasztása két bórmentes metabolit képződésével, melyek hidroxilezéssel tovább bomlanak több metabolittá. A bórmentes bortezomib metabolitok mint 26S</w:t>
      </w:r>
      <w:r w:rsidR="00303F99" w:rsidRPr="009E58F7">
        <w:t> </w:t>
      </w:r>
      <w:r w:rsidRPr="009E58F7">
        <w:t>proteaszóma</w:t>
      </w:r>
      <w:r w:rsidR="00217859">
        <w:t>-</w:t>
      </w:r>
      <w:r w:rsidRPr="009E58F7">
        <w:t>gátlók, inaktívak.</w:t>
      </w:r>
    </w:p>
    <w:p w14:paraId="3DD2771C" w14:textId="77777777" w:rsidR="004D6470" w:rsidRPr="009E58F7" w:rsidRDefault="004D6470">
      <w:pPr>
        <w:pStyle w:val="Nincstrkz"/>
      </w:pPr>
    </w:p>
    <w:p w14:paraId="4E304B95" w14:textId="77777777" w:rsidR="004D6470" w:rsidRPr="009E58F7" w:rsidRDefault="004D6470">
      <w:pPr>
        <w:pStyle w:val="Nincstrkz"/>
        <w:keepNext/>
        <w:rPr>
          <w:u w:val="single"/>
        </w:rPr>
      </w:pPr>
      <w:bookmarkStart w:id="50" w:name="page66"/>
      <w:bookmarkEnd w:id="50"/>
      <w:r w:rsidRPr="009E58F7">
        <w:rPr>
          <w:u w:val="single"/>
        </w:rPr>
        <w:t>Elimináció</w:t>
      </w:r>
    </w:p>
    <w:p w14:paraId="2DD067E0" w14:textId="6B098EF8" w:rsidR="004D6470" w:rsidRPr="009E58F7" w:rsidRDefault="004D6470">
      <w:pPr>
        <w:spacing w:line="240" w:lineRule="auto"/>
        <w:contextualSpacing/>
      </w:pPr>
      <w:r w:rsidRPr="009E58F7">
        <w:t>A bortezomib átlagos eliminációs felezési ideje (t</w:t>
      </w:r>
      <w:r w:rsidRPr="009E58F7">
        <w:rPr>
          <w:vertAlign w:val="subscript"/>
        </w:rPr>
        <w:t>1/2</w:t>
      </w:r>
      <w:r w:rsidRPr="009E58F7">
        <w:t xml:space="preserve">) ismételt adagokat követően </w:t>
      </w:r>
      <w:r w:rsidR="009C262F" w:rsidRPr="009E58F7">
        <w:t xml:space="preserve">a </w:t>
      </w:r>
      <w:r w:rsidRPr="009E58F7">
        <w:t>40</w:t>
      </w:r>
      <w:r w:rsidR="00BD5400">
        <w:t>–</w:t>
      </w:r>
      <w:r w:rsidRPr="009E58F7">
        <w:t xml:space="preserve">193 óra </w:t>
      </w:r>
      <w:r w:rsidR="00C5286C" w:rsidRPr="009E58F7">
        <w:t>között változott.</w:t>
      </w:r>
      <w:r w:rsidRPr="009E58F7">
        <w:t xml:space="preserve"> A bortezomib gyorsabban </w:t>
      </w:r>
      <w:r w:rsidR="00C5286C" w:rsidRPr="009E58F7">
        <w:t>ürül</w:t>
      </w:r>
      <w:r w:rsidR="00303F99" w:rsidRPr="009E58F7">
        <w:t>t</w:t>
      </w:r>
      <w:r w:rsidRPr="009E58F7">
        <w:t xml:space="preserve"> az első, mint a további adagok után. Az átlagos teljestest</w:t>
      </w:r>
      <w:r w:rsidR="00BD5400">
        <w:t>-</w:t>
      </w:r>
      <w:r w:rsidRPr="009E58F7">
        <w:t>clearance sorrendben 102 és 112 l/óra volt az első, 1,0 mg/m</w:t>
      </w:r>
      <w:r w:rsidRPr="009E58F7">
        <w:rPr>
          <w:vertAlign w:val="superscript"/>
        </w:rPr>
        <w:t>2</w:t>
      </w:r>
      <w:r w:rsidR="00BD5400">
        <w:t>-</w:t>
      </w:r>
      <w:r w:rsidRPr="009E58F7">
        <w:t>es, ill. 1,3 mg/m</w:t>
      </w:r>
      <w:r w:rsidRPr="009E58F7">
        <w:rPr>
          <w:vertAlign w:val="superscript"/>
        </w:rPr>
        <w:t>2</w:t>
      </w:r>
      <w:r w:rsidR="00BD5400">
        <w:t>-</w:t>
      </w:r>
      <w:r w:rsidRPr="009E58F7">
        <w:t xml:space="preserve">es dózisok </w:t>
      </w:r>
      <w:r w:rsidR="009C262F" w:rsidRPr="009E58F7">
        <w:t xml:space="preserve">után, és sorrendben </w:t>
      </w:r>
      <w:r w:rsidRPr="009E58F7">
        <w:t>15</w:t>
      </w:r>
      <w:r w:rsidR="00BD5400">
        <w:t>–</w:t>
      </w:r>
      <w:r w:rsidRPr="009E58F7">
        <w:t>32 l/óra, ill. 18</w:t>
      </w:r>
      <w:r w:rsidR="00FE5B85">
        <w:t>–</w:t>
      </w:r>
      <w:r w:rsidRPr="009E58F7">
        <w:t>32 l/óra között változott az 1,0 mg/m</w:t>
      </w:r>
      <w:r w:rsidRPr="009E58F7">
        <w:rPr>
          <w:vertAlign w:val="superscript"/>
        </w:rPr>
        <w:t>2</w:t>
      </w:r>
      <w:r w:rsidR="00BD5400">
        <w:t>-</w:t>
      </w:r>
      <w:r w:rsidRPr="009E58F7">
        <w:t>es, ill. az 1,3 mg/m</w:t>
      </w:r>
      <w:r w:rsidRPr="009E58F7">
        <w:rPr>
          <w:vertAlign w:val="superscript"/>
        </w:rPr>
        <w:t>2</w:t>
      </w:r>
      <w:r w:rsidR="00BD5400">
        <w:t>-</w:t>
      </w:r>
      <w:r w:rsidRPr="009E58F7">
        <w:t>es ismételt dózisok esetén.</w:t>
      </w:r>
    </w:p>
    <w:p w14:paraId="2F2DC090" w14:textId="77777777" w:rsidR="004D6470" w:rsidRPr="009E58F7" w:rsidRDefault="004D6470">
      <w:pPr>
        <w:pStyle w:val="Nincstrkz"/>
      </w:pPr>
    </w:p>
    <w:p w14:paraId="09411308" w14:textId="43304AA6" w:rsidR="004D6470" w:rsidRPr="009E58F7" w:rsidRDefault="00C268FE">
      <w:pPr>
        <w:pStyle w:val="Nincstrkz"/>
        <w:keepNext/>
        <w:rPr>
          <w:u w:val="single"/>
        </w:rPr>
      </w:pPr>
      <w:r>
        <w:rPr>
          <w:u w:val="single"/>
        </w:rPr>
        <w:lastRenderedPageBreak/>
        <w:t>Különleges</w:t>
      </w:r>
      <w:r w:rsidR="004D6470" w:rsidRPr="009E58F7">
        <w:rPr>
          <w:u w:val="single"/>
        </w:rPr>
        <w:t xml:space="preserve"> betegcsoportok</w:t>
      </w:r>
    </w:p>
    <w:p w14:paraId="2083CEA8" w14:textId="77777777" w:rsidR="004D6470" w:rsidRPr="009E58F7" w:rsidRDefault="004D6470">
      <w:pPr>
        <w:pStyle w:val="Nincstrkz"/>
        <w:keepNext/>
      </w:pPr>
      <w:r w:rsidRPr="009E58F7">
        <w:rPr>
          <w:i/>
        </w:rPr>
        <w:t>Májkárosodás</w:t>
      </w:r>
    </w:p>
    <w:p w14:paraId="7B9BD812" w14:textId="2EACA489" w:rsidR="004D6470" w:rsidRPr="009E58F7" w:rsidRDefault="004D6470">
      <w:pPr>
        <w:pStyle w:val="Nincstrkz"/>
        <w:keepNext/>
      </w:pPr>
      <w:r w:rsidRPr="009E58F7">
        <w:t>A májkárosodásnak a bortezomib farmakokinetikájára gyakorolt hatását a bortezomibot 0,5</w:t>
      </w:r>
      <w:r w:rsidR="00FE5B85">
        <w:t>–</w:t>
      </w:r>
      <w:r w:rsidRPr="009E58F7">
        <w:t>1,3 mg/m</w:t>
      </w:r>
      <w:r w:rsidRPr="009E58F7">
        <w:rPr>
          <w:vertAlign w:val="superscript"/>
        </w:rPr>
        <w:t>2</w:t>
      </w:r>
      <w:r w:rsidRPr="009E58F7">
        <w:t xml:space="preserve"> adagban alkalmazva, az első kezelési ciklusban egy I</w:t>
      </w:r>
      <w:r w:rsidR="00C268FE">
        <w:t>. fázisú</w:t>
      </w:r>
      <w:r w:rsidRPr="009E58F7">
        <w:t xml:space="preserve"> vizsgálatba bevont 61, szolid tumorban</w:t>
      </w:r>
      <w:r w:rsidR="009C262F" w:rsidRPr="009E58F7">
        <w:t xml:space="preserve"> és</w:t>
      </w:r>
      <w:r w:rsidRPr="009E58F7">
        <w:t xml:space="preserve"> </w:t>
      </w:r>
      <w:r w:rsidR="009C262F" w:rsidRPr="009E58F7">
        <w:t>eltérő</w:t>
      </w:r>
      <w:r w:rsidRPr="009E58F7">
        <w:t xml:space="preserve"> fokú májkárosodásban szenvedő betegen tanulmányozták.</w:t>
      </w:r>
    </w:p>
    <w:p w14:paraId="24BD30F6" w14:textId="77777777" w:rsidR="004D6470" w:rsidRPr="009E58F7" w:rsidRDefault="004D6470">
      <w:pPr>
        <w:pStyle w:val="Nincstrkz"/>
      </w:pPr>
    </w:p>
    <w:p w14:paraId="090C221D" w14:textId="620BCAAD" w:rsidR="004D6470" w:rsidRPr="009E58F7" w:rsidRDefault="004D6470">
      <w:pPr>
        <w:pStyle w:val="Nincstrkz"/>
      </w:pPr>
      <w:r w:rsidRPr="009E58F7">
        <w:t>A bortezomib</w:t>
      </w:r>
      <w:r w:rsidR="00C268FE">
        <w:t>-</w:t>
      </w:r>
      <w:r w:rsidR="009C262F" w:rsidRPr="009E58F7">
        <w:t xml:space="preserve">adagra </w:t>
      </w:r>
      <w:r w:rsidRPr="009E58F7">
        <w:t xml:space="preserve">normalizált AUC </w:t>
      </w:r>
      <w:r w:rsidR="009C262F" w:rsidRPr="009E58F7">
        <w:t xml:space="preserve">értéke </w:t>
      </w:r>
      <w:r w:rsidRPr="009E58F7">
        <w:t xml:space="preserve">enyhe májkárosodásban nem különbözött a normál májfunkciójú betegekétől. </w:t>
      </w:r>
      <w:r w:rsidR="009C262F" w:rsidRPr="009E58F7">
        <w:t>A</w:t>
      </w:r>
      <w:r w:rsidRPr="009E58F7">
        <w:t>z adagra normalizált átlagos AUC</w:t>
      </w:r>
      <w:r w:rsidR="00C268FE">
        <w:t>-</w:t>
      </w:r>
      <w:r w:rsidRPr="009E58F7">
        <w:t xml:space="preserve">értékek </w:t>
      </w:r>
      <w:r w:rsidR="009C262F" w:rsidRPr="009E58F7">
        <w:t xml:space="preserve">azonban </w:t>
      </w:r>
      <w:r w:rsidRPr="009E58F7">
        <w:t>megközelítőleg 60%</w:t>
      </w:r>
      <w:r w:rsidR="00621E19">
        <w:t>-</w:t>
      </w:r>
      <w:r w:rsidRPr="009E58F7">
        <w:t>kal emelkedtek a közepesen súlyos vagy súlyos májkárosodásban szenvedő betegeknél. Alacsonyabb kezdő adag ajánlott a közepesen súlyos vagy súlyos májkárosodásban szenvedő betegeknek, ezeket a betegeket szorosan monitorozni kell (lásd 4.2 pont és 6. táblázat).</w:t>
      </w:r>
    </w:p>
    <w:p w14:paraId="318576B9" w14:textId="77777777" w:rsidR="004D6470" w:rsidRPr="009E58F7" w:rsidRDefault="004D6470">
      <w:pPr>
        <w:pStyle w:val="Nincstrkz"/>
      </w:pPr>
    </w:p>
    <w:p w14:paraId="682855EB" w14:textId="77777777" w:rsidR="004D6470" w:rsidRPr="009E58F7" w:rsidRDefault="004D6470">
      <w:pPr>
        <w:pStyle w:val="Nincstrkz"/>
        <w:keepNext/>
      </w:pPr>
      <w:r w:rsidRPr="009E58F7">
        <w:rPr>
          <w:i/>
        </w:rPr>
        <w:t>Vesekárosodás</w:t>
      </w:r>
    </w:p>
    <w:p w14:paraId="6E7519D8" w14:textId="2390E53C" w:rsidR="004D6470" w:rsidRPr="009E58F7" w:rsidRDefault="00F6458B">
      <w:pPr>
        <w:spacing w:line="240" w:lineRule="auto"/>
        <w:contextualSpacing/>
      </w:pPr>
      <w:r w:rsidRPr="009E58F7">
        <w:t>F</w:t>
      </w:r>
      <w:r w:rsidR="004D6470" w:rsidRPr="009E58F7">
        <w:t xml:space="preserve">armakokinetikai vizsgálatot végeztek különböző fokú vesekárosodásban szenvedő betegeknél, akiket </w:t>
      </w:r>
      <w:r w:rsidR="00C5286C" w:rsidRPr="009E58F7">
        <w:t>kreatinin-</w:t>
      </w:r>
      <w:r w:rsidR="004D6470" w:rsidRPr="009E58F7">
        <w:t>clearance (CrCl) értékük alapján a következő csoportokba soroltak: normál (CrCl</w:t>
      </w:r>
      <w:r w:rsidR="009C262F" w:rsidRPr="009E58F7">
        <w:t> </w:t>
      </w:r>
      <w:r w:rsidR="004D6470" w:rsidRPr="009E58F7">
        <w:t>≥60 ml/perc/1,73</w:t>
      </w:r>
      <w:r w:rsidR="009C262F" w:rsidRPr="009E58F7">
        <w:t> </w:t>
      </w:r>
      <w:r w:rsidR="004D6470" w:rsidRPr="009E58F7">
        <w:t>m</w:t>
      </w:r>
      <w:r w:rsidR="004D6470" w:rsidRPr="009E58F7">
        <w:rPr>
          <w:vertAlign w:val="superscript"/>
        </w:rPr>
        <w:t>2</w:t>
      </w:r>
      <w:r w:rsidR="004D6470" w:rsidRPr="009E58F7">
        <w:t xml:space="preserve">, </w:t>
      </w:r>
      <w:r w:rsidR="003212C5" w:rsidRPr="009E58F7">
        <w:t>n = </w:t>
      </w:r>
      <w:r w:rsidR="004D6470" w:rsidRPr="009E58F7">
        <w:t>12), enyhe (CrCl</w:t>
      </w:r>
      <w:r w:rsidR="00FE5B85">
        <w:t> </w:t>
      </w:r>
      <w:r w:rsidR="004D6470" w:rsidRPr="009E58F7">
        <w:t>=</w:t>
      </w:r>
      <w:r w:rsidR="00FE5B85">
        <w:t> </w:t>
      </w:r>
      <w:r w:rsidR="004D6470" w:rsidRPr="009E58F7">
        <w:t>40</w:t>
      </w:r>
      <w:r w:rsidR="00FE5B85">
        <w:t>–</w:t>
      </w:r>
      <w:r w:rsidR="009C262F" w:rsidRPr="009E58F7">
        <w:t>59 </w:t>
      </w:r>
      <w:r w:rsidR="004D6470" w:rsidRPr="009E58F7">
        <w:t>ml/perc</w:t>
      </w:r>
      <w:r w:rsidR="009C262F" w:rsidRPr="009E58F7">
        <w:t>/1,73 </w:t>
      </w:r>
      <w:r w:rsidR="004D6470" w:rsidRPr="009E58F7">
        <w:t>m</w:t>
      </w:r>
      <w:r w:rsidR="004D6470" w:rsidRPr="009E58F7">
        <w:rPr>
          <w:vertAlign w:val="superscript"/>
        </w:rPr>
        <w:t>2</w:t>
      </w:r>
      <w:r w:rsidR="004D6470" w:rsidRPr="009E58F7">
        <w:t xml:space="preserve">, </w:t>
      </w:r>
      <w:r w:rsidR="003212C5" w:rsidRPr="009E58F7">
        <w:t>n = </w:t>
      </w:r>
      <w:r w:rsidR="004D6470" w:rsidRPr="009E58F7">
        <w:t>10), közepes</w:t>
      </w:r>
      <w:r w:rsidR="009C262F" w:rsidRPr="009E58F7">
        <w:t>en súlyos (CrCl</w:t>
      </w:r>
      <w:r w:rsidR="00FE5B85">
        <w:t> </w:t>
      </w:r>
      <w:r w:rsidR="009C262F" w:rsidRPr="009E58F7">
        <w:t>=</w:t>
      </w:r>
      <w:r w:rsidR="00FE5B85">
        <w:t> </w:t>
      </w:r>
      <w:r w:rsidR="009C262F" w:rsidRPr="009E58F7">
        <w:t>20</w:t>
      </w:r>
      <w:r w:rsidR="00FE5B85">
        <w:t>–</w:t>
      </w:r>
      <w:r w:rsidR="009C262F" w:rsidRPr="009E58F7">
        <w:t>39 </w:t>
      </w:r>
      <w:r w:rsidR="004D6470" w:rsidRPr="009E58F7">
        <w:t>ml/perc</w:t>
      </w:r>
      <w:r w:rsidR="009C262F" w:rsidRPr="009E58F7">
        <w:t>/1,73 </w:t>
      </w:r>
      <w:r w:rsidR="004D6470" w:rsidRPr="009E58F7">
        <w:t>m</w:t>
      </w:r>
      <w:r w:rsidR="004D6470" w:rsidRPr="009E58F7">
        <w:rPr>
          <w:vertAlign w:val="superscript"/>
        </w:rPr>
        <w:t>2</w:t>
      </w:r>
      <w:r w:rsidR="009C262F" w:rsidRPr="009E58F7">
        <w:t xml:space="preserve">, </w:t>
      </w:r>
      <w:r w:rsidR="003212C5" w:rsidRPr="009E58F7">
        <w:t>n = </w:t>
      </w:r>
      <w:r w:rsidR="009C262F" w:rsidRPr="009E58F7">
        <w:t>9) és súlyos (CrCl &lt;20 </w:t>
      </w:r>
      <w:r w:rsidR="004D6470" w:rsidRPr="009E58F7">
        <w:t>ml/perc</w:t>
      </w:r>
      <w:r w:rsidR="009C262F" w:rsidRPr="009E58F7">
        <w:t>/1,73 </w:t>
      </w:r>
      <w:r w:rsidR="004D6470" w:rsidRPr="009E58F7">
        <w:t>m</w:t>
      </w:r>
      <w:r w:rsidR="004D6470" w:rsidRPr="009E58F7">
        <w:rPr>
          <w:vertAlign w:val="superscript"/>
        </w:rPr>
        <w:t>2</w:t>
      </w:r>
      <w:r w:rsidR="004D6470" w:rsidRPr="009E58F7">
        <w:t xml:space="preserve">, </w:t>
      </w:r>
      <w:r w:rsidR="003212C5" w:rsidRPr="009E58F7">
        <w:t>n = </w:t>
      </w:r>
      <w:r w:rsidR="004D6470" w:rsidRPr="009E58F7">
        <w:t xml:space="preserve">3). </w:t>
      </w:r>
      <w:r w:rsidR="009C262F" w:rsidRPr="009E58F7">
        <w:t>A</w:t>
      </w:r>
      <w:r w:rsidR="004D6470" w:rsidRPr="009E58F7">
        <w:t xml:space="preserve"> vizsgálatba </w:t>
      </w:r>
      <w:r w:rsidR="009C262F" w:rsidRPr="009E58F7">
        <w:t xml:space="preserve">ugyancsak bevonták </w:t>
      </w:r>
      <w:r w:rsidR="004D6470" w:rsidRPr="009E58F7">
        <w:t>dializált betegek egy csoportját is (</w:t>
      </w:r>
      <w:r w:rsidR="003212C5" w:rsidRPr="009E58F7">
        <w:t>n = </w:t>
      </w:r>
      <w:r w:rsidR="004D6470" w:rsidRPr="009E58F7">
        <w:t>8), akik a gyógyszert a dialízis után kapták. A betegek intravénásan hetente kétszer 0,7–1,3 mg/m</w:t>
      </w:r>
      <w:r w:rsidR="004D6470" w:rsidRPr="009E58F7">
        <w:rPr>
          <w:vertAlign w:val="superscript"/>
        </w:rPr>
        <w:t>2</w:t>
      </w:r>
      <w:r w:rsidR="004D6470" w:rsidRPr="009E58F7">
        <w:t xml:space="preserve"> bortezomib </w:t>
      </w:r>
      <w:r w:rsidR="009C262F" w:rsidRPr="009E58F7">
        <w:t xml:space="preserve">dózist </w:t>
      </w:r>
      <w:r w:rsidR="004D6470" w:rsidRPr="009E58F7">
        <w:t>kaptak. A bortezomib-expozíció (dózisnormalizált AUC- és C</w:t>
      </w:r>
      <w:r w:rsidR="004D6470" w:rsidRPr="009E58F7">
        <w:rPr>
          <w:vertAlign w:val="subscript"/>
        </w:rPr>
        <w:t>max</w:t>
      </w:r>
      <w:r w:rsidR="004D6470" w:rsidRPr="009E58F7">
        <w:t>-érték) minden csoportnál hasonló volt (lásd 4.2 pont).</w:t>
      </w:r>
    </w:p>
    <w:p w14:paraId="1D6D6EE1" w14:textId="77777777" w:rsidR="004D6470" w:rsidRPr="009E58F7" w:rsidRDefault="004D6470">
      <w:pPr>
        <w:spacing w:line="240" w:lineRule="auto"/>
        <w:ind w:right="-23"/>
      </w:pPr>
    </w:p>
    <w:p w14:paraId="0A436783" w14:textId="77777777" w:rsidR="004D6470" w:rsidRPr="005F2BC9" w:rsidRDefault="009718E9">
      <w:pPr>
        <w:keepNext/>
        <w:autoSpaceDE w:val="0"/>
        <w:autoSpaceDN w:val="0"/>
        <w:adjustRightInd w:val="0"/>
        <w:spacing w:line="240" w:lineRule="auto"/>
        <w:rPr>
          <w:i/>
        </w:rPr>
      </w:pPr>
      <w:r w:rsidRPr="005F2BC9">
        <w:rPr>
          <w:i/>
        </w:rPr>
        <w:t>Életk</w:t>
      </w:r>
      <w:r w:rsidR="004D6470" w:rsidRPr="005F2BC9">
        <w:rPr>
          <w:i/>
        </w:rPr>
        <w:t>or</w:t>
      </w:r>
    </w:p>
    <w:p w14:paraId="56E6C1CA" w14:textId="08B6F4DC" w:rsidR="004D6470" w:rsidRPr="009E58F7" w:rsidRDefault="004D6470">
      <w:pPr>
        <w:spacing w:line="240" w:lineRule="auto"/>
        <w:contextualSpacing/>
      </w:pPr>
      <w:r w:rsidRPr="009E58F7">
        <w:t xml:space="preserve">A bortezomib </w:t>
      </w:r>
      <w:r w:rsidR="00C5286C" w:rsidRPr="009E58F7">
        <w:t>farmakokinetikai tulajdonságait 1,3</w:t>
      </w:r>
      <w:r w:rsidR="00303F99" w:rsidRPr="009E58F7">
        <w:t> </w:t>
      </w:r>
      <w:r w:rsidR="00C5286C" w:rsidRPr="009E58F7">
        <w:t>mg/m</w:t>
      </w:r>
      <w:r w:rsidR="00C5286C" w:rsidRPr="009E58F7">
        <w:rPr>
          <w:vertAlign w:val="superscript"/>
        </w:rPr>
        <w:t>2</w:t>
      </w:r>
      <w:r w:rsidR="00C5286C" w:rsidRPr="009E58F7">
        <w:t>-es dózisok heti kétszeri intravénás bolusban történő adását követően jellemezték</w:t>
      </w:r>
      <w:r w:rsidRPr="009E58F7">
        <w:t xml:space="preserve"> 104 (2</w:t>
      </w:r>
      <w:r w:rsidR="00BD5400">
        <w:t>–</w:t>
      </w:r>
      <w:r w:rsidRPr="009E58F7">
        <w:t>16</w:t>
      </w:r>
      <w:r w:rsidR="00303F99" w:rsidRPr="009E58F7">
        <w:t> </w:t>
      </w:r>
      <w:r w:rsidR="00C5286C" w:rsidRPr="009E58F7">
        <w:t>éves</w:t>
      </w:r>
      <w:r w:rsidRPr="009E58F7">
        <w:t xml:space="preserve">), akut </w:t>
      </w:r>
      <w:r w:rsidR="00C5286C" w:rsidRPr="009E58F7">
        <w:t>lymphoblastos</w:t>
      </w:r>
      <w:r w:rsidRPr="009E58F7">
        <w:t xml:space="preserve"> leukaemiában (ALL) vagy akut myeloid leukaemiában (AML) szenvedő </w:t>
      </w:r>
      <w:r w:rsidR="00C5286C" w:rsidRPr="009E58F7">
        <w:t xml:space="preserve">gyermekgyógyászati </w:t>
      </w:r>
      <w:r w:rsidRPr="009E58F7">
        <w:t>betegnél</w:t>
      </w:r>
      <w:r w:rsidR="00C5286C" w:rsidRPr="009E58F7">
        <w:t>.</w:t>
      </w:r>
      <w:r w:rsidRPr="005F2BC9">
        <w:t xml:space="preserve"> A populációs farmakokinetikai analízis alapján a bortezomib</w:t>
      </w:r>
      <w:r w:rsidRPr="005F2BC9">
        <w:rPr>
          <w:lang w:eastAsia="is-IS"/>
        </w:rPr>
        <w:t xml:space="preserve"> </w:t>
      </w:r>
      <w:r w:rsidRPr="005F2BC9">
        <w:t>clearance</w:t>
      </w:r>
      <w:r w:rsidR="003F0F42">
        <w:rPr>
          <w:lang w:eastAsia="is-IS"/>
        </w:rPr>
        <w:t>-</w:t>
      </w:r>
      <w:r w:rsidRPr="005F2BC9">
        <w:rPr>
          <w:lang w:eastAsia="is-IS"/>
        </w:rPr>
        <w:t>e</w:t>
      </w:r>
      <w:r w:rsidRPr="005F2BC9">
        <w:t xml:space="preserve"> a </w:t>
      </w:r>
      <w:r w:rsidRPr="005F2BC9">
        <w:rPr>
          <w:lang w:eastAsia="is-IS"/>
        </w:rPr>
        <w:t>testfelület</w:t>
      </w:r>
      <w:r w:rsidRPr="005F2BC9">
        <w:t xml:space="preserve"> növekedésével együtt </w:t>
      </w:r>
      <w:r w:rsidRPr="005F2BC9">
        <w:rPr>
          <w:lang w:eastAsia="is-IS"/>
        </w:rPr>
        <w:t>nőtt</w:t>
      </w:r>
      <w:r w:rsidRPr="005F2BC9">
        <w:t xml:space="preserve">. A clearance </w:t>
      </w:r>
      <w:r w:rsidRPr="005F2BC9">
        <w:rPr>
          <w:lang w:eastAsia="is-IS"/>
        </w:rPr>
        <w:t xml:space="preserve">mértani középértéke (%CV) </w:t>
      </w:r>
      <w:r w:rsidRPr="005F2BC9">
        <w:t xml:space="preserve">7,79 </w:t>
      </w:r>
      <w:r w:rsidRPr="005F2BC9">
        <w:rPr>
          <w:lang w:eastAsia="is-IS"/>
        </w:rPr>
        <w:t xml:space="preserve">(25%) </w:t>
      </w:r>
      <w:r w:rsidRPr="005F2BC9">
        <w:t>l/óra/m</w:t>
      </w:r>
      <w:r w:rsidRPr="005F2BC9">
        <w:rPr>
          <w:vertAlign w:val="superscript"/>
        </w:rPr>
        <w:t>2</w:t>
      </w:r>
      <w:r w:rsidRPr="005F2BC9">
        <w:t xml:space="preserve"> </w:t>
      </w:r>
      <w:r w:rsidRPr="005F2BC9">
        <w:rPr>
          <w:lang w:eastAsia="is-IS"/>
        </w:rPr>
        <w:t>volt, az eloszlási volumen</w:t>
      </w:r>
      <w:r w:rsidRPr="005F2BC9">
        <w:t xml:space="preserve"> dinamikus egyensúlyi </w:t>
      </w:r>
      <w:r w:rsidRPr="005F2BC9">
        <w:rPr>
          <w:lang w:eastAsia="is-IS"/>
        </w:rPr>
        <w:t>állapotban</w:t>
      </w:r>
      <w:r w:rsidRPr="005F2BC9">
        <w:t xml:space="preserve"> 834 </w:t>
      </w:r>
      <w:r w:rsidR="00303F99" w:rsidRPr="005F2BC9">
        <w:rPr>
          <w:lang w:eastAsia="is-IS"/>
        </w:rPr>
        <w:t>(39%) </w:t>
      </w:r>
      <w:r w:rsidRPr="005F2BC9">
        <w:t>l/m</w:t>
      </w:r>
      <w:r w:rsidRPr="005F2BC9">
        <w:rPr>
          <w:vertAlign w:val="superscript"/>
        </w:rPr>
        <w:t>2</w:t>
      </w:r>
      <w:r w:rsidRPr="005F2BC9">
        <w:rPr>
          <w:lang w:eastAsia="is-IS"/>
        </w:rPr>
        <w:t>-n</w:t>
      </w:r>
      <w:r w:rsidR="009C262F" w:rsidRPr="005F2BC9">
        <w:rPr>
          <w:lang w:eastAsia="is-IS"/>
        </w:rPr>
        <w:t>e</w:t>
      </w:r>
      <w:r w:rsidRPr="005F2BC9">
        <w:rPr>
          <w:lang w:eastAsia="is-IS"/>
        </w:rPr>
        <w:t>k, míg</w:t>
      </w:r>
      <w:r w:rsidRPr="005F2BC9">
        <w:t xml:space="preserve"> az eliminációs felezési idő 100</w:t>
      </w:r>
      <w:r w:rsidR="00303F99" w:rsidRPr="009E58F7">
        <w:t> </w:t>
      </w:r>
      <w:r w:rsidR="00303F99" w:rsidRPr="005F2BC9">
        <w:rPr>
          <w:lang w:eastAsia="is-IS"/>
        </w:rPr>
        <w:t>órának</w:t>
      </w:r>
      <w:r w:rsidRPr="005F2BC9">
        <w:rPr>
          <w:lang w:eastAsia="is-IS"/>
        </w:rPr>
        <w:t> </w:t>
      </w:r>
      <w:r w:rsidRPr="005F2BC9">
        <w:t xml:space="preserve">(44%) </w:t>
      </w:r>
      <w:r w:rsidRPr="005F2BC9">
        <w:rPr>
          <w:lang w:eastAsia="is-IS"/>
        </w:rPr>
        <w:t>bizonyult.</w:t>
      </w:r>
      <w:r w:rsidRPr="005F2BC9">
        <w:t xml:space="preserve"> </w:t>
      </w:r>
      <w:r w:rsidRPr="009E58F7">
        <w:t xml:space="preserve">A </w:t>
      </w:r>
      <w:r w:rsidR="00C5286C" w:rsidRPr="009E58F7">
        <w:t>testfelszín hatásának korrekciója után más</w:t>
      </w:r>
      <w:r w:rsidRPr="009E58F7">
        <w:t xml:space="preserve"> demográfiai </w:t>
      </w:r>
      <w:r w:rsidR="00C5286C" w:rsidRPr="009E58F7">
        <w:t>jellemzők</w:t>
      </w:r>
      <w:r w:rsidRPr="009E58F7">
        <w:t xml:space="preserve">, mint </w:t>
      </w:r>
      <w:r w:rsidR="00C5286C" w:rsidRPr="009E58F7">
        <w:t xml:space="preserve">például az életkor, </w:t>
      </w:r>
      <w:r w:rsidRPr="009E58F7">
        <w:t xml:space="preserve">a testtömeg és a </w:t>
      </w:r>
      <w:r w:rsidR="00C5286C" w:rsidRPr="009E58F7">
        <w:t>nemi hovatartozás</w:t>
      </w:r>
      <w:r w:rsidRPr="009E58F7">
        <w:t xml:space="preserve"> nem </w:t>
      </w:r>
      <w:r w:rsidR="00C5286C" w:rsidRPr="009E58F7">
        <w:t>voltak</w:t>
      </w:r>
      <w:r w:rsidRPr="009E58F7">
        <w:t xml:space="preserve"> klinikailag </w:t>
      </w:r>
      <w:r w:rsidR="00C5286C" w:rsidRPr="009E58F7">
        <w:t>jelentős hatással</w:t>
      </w:r>
      <w:r w:rsidRPr="009E58F7">
        <w:t xml:space="preserve"> a bortezomib clearance</w:t>
      </w:r>
      <w:r w:rsidR="00C5286C" w:rsidRPr="009E58F7">
        <w:t>-ére. A</w:t>
      </w:r>
      <w:r w:rsidRPr="009E58F7">
        <w:t xml:space="preserve"> gyermekgyógyászati betegeknél </w:t>
      </w:r>
      <w:r w:rsidR="00C5286C" w:rsidRPr="009E58F7">
        <w:t xml:space="preserve">a bortezomib testfelszínre korrigált clearance-e </w:t>
      </w:r>
      <w:r w:rsidRPr="009E58F7">
        <w:t xml:space="preserve">hasonló volt a felnőtteknél </w:t>
      </w:r>
      <w:r w:rsidR="00C5286C" w:rsidRPr="009E58F7">
        <w:t>megfigyelthez</w:t>
      </w:r>
      <w:r w:rsidRPr="009E58F7">
        <w:t>.</w:t>
      </w:r>
    </w:p>
    <w:p w14:paraId="6DA53ADF" w14:textId="77777777" w:rsidR="004D6470" w:rsidRPr="009E58F7" w:rsidRDefault="004D6470">
      <w:pPr>
        <w:pStyle w:val="Nincstrkz"/>
      </w:pPr>
    </w:p>
    <w:p w14:paraId="76D06AB4" w14:textId="6F673F53" w:rsidR="004D6470" w:rsidRPr="009E58F7" w:rsidRDefault="004D6470" w:rsidP="00602E58">
      <w:pPr>
        <w:pStyle w:val="Listaszerbekezds"/>
        <w:keepNext/>
        <w:numPr>
          <w:ilvl w:val="1"/>
          <w:numId w:val="35"/>
        </w:numPr>
        <w:overflowPunct w:val="0"/>
        <w:autoSpaceDE w:val="0"/>
        <w:autoSpaceDN w:val="0"/>
        <w:adjustRightInd w:val="0"/>
        <w:spacing w:line="240" w:lineRule="auto"/>
        <w:ind w:left="567" w:hanging="567"/>
        <w:rPr>
          <w:b/>
          <w:color w:val="000000"/>
        </w:rPr>
      </w:pPr>
      <w:bookmarkStart w:id="51" w:name="page141"/>
      <w:bookmarkEnd w:id="51"/>
      <w:r w:rsidRPr="009E58F7">
        <w:rPr>
          <w:b/>
          <w:color w:val="000000"/>
        </w:rPr>
        <w:t>A preklinikai biztonságossági vizsgálatok eredményei</w:t>
      </w:r>
    </w:p>
    <w:p w14:paraId="349A7899" w14:textId="77777777" w:rsidR="004D6470" w:rsidRPr="009E58F7" w:rsidRDefault="004D6470" w:rsidP="00D7256D">
      <w:pPr>
        <w:keepNext/>
        <w:autoSpaceDE w:val="0"/>
        <w:autoSpaceDN w:val="0"/>
        <w:adjustRightInd w:val="0"/>
        <w:spacing w:line="240" w:lineRule="auto"/>
      </w:pPr>
    </w:p>
    <w:p w14:paraId="25114D24" w14:textId="36EA78B8" w:rsidR="004D6470" w:rsidRPr="009E58F7" w:rsidRDefault="004D6470" w:rsidP="007070F2">
      <w:pPr>
        <w:pStyle w:val="Nincstrkz"/>
        <w:keepNext/>
      </w:pPr>
      <w:r w:rsidRPr="009E58F7">
        <w:t xml:space="preserve">Aranyhörcsög ovariumsejteken végzett </w:t>
      </w:r>
      <w:r w:rsidRPr="009E58F7">
        <w:rPr>
          <w:i/>
        </w:rPr>
        <w:t>in</w:t>
      </w:r>
      <w:r w:rsidR="00303F99" w:rsidRPr="009E58F7">
        <w:rPr>
          <w:i/>
        </w:rPr>
        <w:t> </w:t>
      </w:r>
      <w:r w:rsidRPr="009E58F7">
        <w:rPr>
          <w:i/>
        </w:rPr>
        <w:t>vitro</w:t>
      </w:r>
      <w:r w:rsidRPr="009E58F7">
        <w:t xml:space="preserve"> kromoszómaaberrációs vizsgálatokban a bortezomib pozitív klasztogén aktivitást mutatott (strukturális kromoszómaaberrációk) a legalacsonyabb</w:t>
      </w:r>
      <w:r w:rsidR="009C262F" w:rsidRPr="009E58F7">
        <w:t>,</w:t>
      </w:r>
      <w:r w:rsidRPr="009E58F7">
        <w:t xml:space="preserve"> </w:t>
      </w:r>
      <w:r w:rsidR="009C262F" w:rsidRPr="009E58F7">
        <w:t>3,125 </w:t>
      </w:r>
      <w:r w:rsidR="00011636" w:rsidRPr="009E58F7">
        <w:rPr>
          <w:noProof/>
        </w:rPr>
        <w:t>mikro</w:t>
      </w:r>
      <w:r w:rsidR="009C262F" w:rsidRPr="009E58F7">
        <w:rPr>
          <w:noProof/>
        </w:rPr>
        <w:t>g</w:t>
      </w:r>
      <w:r w:rsidR="00011636" w:rsidRPr="009E58F7">
        <w:rPr>
          <w:noProof/>
        </w:rPr>
        <w:t>ramm</w:t>
      </w:r>
      <w:r w:rsidR="009C262F" w:rsidRPr="009E58F7">
        <w:t xml:space="preserve">/ml </w:t>
      </w:r>
      <w:r w:rsidRPr="009E58F7">
        <w:t>vizsgált koncentrációnál is. A bortezomib nem mutatott genotoxikus hatást</w:t>
      </w:r>
      <w:r w:rsidR="00C268FE">
        <w:t xml:space="preserve"> az</w:t>
      </w:r>
      <w:r w:rsidRPr="009E58F7">
        <w:t xml:space="preserve"> </w:t>
      </w:r>
      <w:r w:rsidRPr="009E58F7">
        <w:rPr>
          <w:i/>
        </w:rPr>
        <w:t>i</w:t>
      </w:r>
      <w:r w:rsidR="001D14D0">
        <w:rPr>
          <w:i/>
        </w:rPr>
        <w:t>n</w:t>
      </w:r>
      <w:r w:rsidR="00CB4BFE" w:rsidRPr="009E58F7">
        <w:rPr>
          <w:i/>
        </w:rPr>
        <w:t> </w:t>
      </w:r>
      <w:r w:rsidRPr="009E58F7">
        <w:rPr>
          <w:i/>
        </w:rPr>
        <w:t>vitro</w:t>
      </w:r>
      <w:r w:rsidRPr="009E58F7">
        <w:t xml:space="preserve"> mutagenitási vizsgálatban (Ames teszt)</w:t>
      </w:r>
      <w:r w:rsidR="00C268FE">
        <w:t>,</w:t>
      </w:r>
      <w:r w:rsidRPr="009E58F7">
        <w:t xml:space="preserve"> és egéren végzett </w:t>
      </w:r>
      <w:r w:rsidRPr="009E58F7">
        <w:rPr>
          <w:i/>
        </w:rPr>
        <w:t>in</w:t>
      </w:r>
      <w:r w:rsidR="00CB4BFE" w:rsidRPr="009E58F7">
        <w:rPr>
          <w:i/>
        </w:rPr>
        <w:t> </w:t>
      </w:r>
      <w:r w:rsidRPr="009E58F7">
        <w:rPr>
          <w:i/>
        </w:rPr>
        <w:t>vivo</w:t>
      </w:r>
      <w:r w:rsidRPr="009E58F7">
        <w:t xml:space="preserve"> micronucleus tesztben.</w:t>
      </w:r>
    </w:p>
    <w:p w14:paraId="23C92377" w14:textId="77777777" w:rsidR="004D6470" w:rsidRPr="009E58F7" w:rsidRDefault="004D6470" w:rsidP="007070F2">
      <w:pPr>
        <w:pStyle w:val="Nincstrkz"/>
      </w:pPr>
    </w:p>
    <w:p w14:paraId="76624759" w14:textId="334C7797" w:rsidR="004D6470" w:rsidRPr="009E58F7" w:rsidRDefault="004D6470" w:rsidP="003D25C3">
      <w:pPr>
        <w:spacing w:line="240" w:lineRule="auto"/>
        <w:contextualSpacing/>
      </w:pPr>
      <w:r w:rsidRPr="009E58F7">
        <w:rPr>
          <w:color w:val="000000"/>
        </w:rPr>
        <w:t>Patkány</w:t>
      </w:r>
      <w:r w:rsidR="00C268FE">
        <w:rPr>
          <w:color w:val="000000"/>
        </w:rPr>
        <w:t>okkal</w:t>
      </w:r>
      <w:r w:rsidRPr="009E58F7">
        <w:rPr>
          <w:color w:val="000000"/>
        </w:rPr>
        <w:t xml:space="preserve"> és ny</w:t>
      </w:r>
      <w:r w:rsidR="00C268FE">
        <w:rPr>
          <w:color w:val="000000"/>
        </w:rPr>
        <w:t>u</w:t>
      </w:r>
      <w:r w:rsidRPr="009E58F7">
        <w:rPr>
          <w:color w:val="000000"/>
        </w:rPr>
        <w:t>l</w:t>
      </w:r>
      <w:r w:rsidR="00C268FE">
        <w:rPr>
          <w:color w:val="000000"/>
        </w:rPr>
        <w:t>akkal</w:t>
      </w:r>
      <w:r w:rsidRPr="009E58F7">
        <w:rPr>
          <w:color w:val="000000"/>
        </w:rPr>
        <w:t xml:space="preserve"> végzett teratológiai </w:t>
      </w:r>
      <w:r w:rsidR="00C5286C" w:rsidRPr="009E58F7">
        <w:t>vizsgálatokban</w:t>
      </w:r>
      <w:r w:rsidRPr="009E58F7">
        <w:t xml:space="preserve"> embryo-foetalis </w:t>
      </w:r>
      <w:r w:rsidR="00C5286C" w:rsidRPr="009E58F7">
        <w:t>letalitás mutatkozott</w:t>
      </w:r>
      <w:r w:rsidRPr="009E58F7">
        <w:t xml:space="preserve"> </w:t>
      </w:r>
      <w:r w:rsidRPr="009E58F7">
        <w:rPr>
          <w:color w:val="000000"/>
        </w:rPr>
        <w:t>az anyára nézve toxikus dózisokban, de ennél alacsonyabb adagok nem okoztak közvetlen embryo</w:t>
      </w:r>
      <w:r w:rsidR="003F0F42">
        <w:rPr>
          <w:color w:val="000000"/>
        </w:rPr>
        <w:t>-</w:t>
      </w:r>
      <w:r w:rsidRPr="009E58F7">
        <w:rPr>
          <w:color w:val="000000"/>
        </w:rPr>
        <w:t xml:space="preserve">foetalis toxicitást. Fertilitási vizsgálatokat nem végeztek, de az elvégzett általános toxicitási kísérletekben értékelték a reproduktív szöveteket. </w:t>
      </w:r>
      <w:r w:rsidR="00385B2B" w:rsidRPr="009E58F7">
        <w:rPr>
          <w:color w:val="000000"/>
        </w:rPr>
        <w:t xml:space="preserve">A </w:t>
      </w:r>
      <w:r w:rsidRPr="009E58F7">
        <w:rPr>
          <w:color w:val="000000"/>
        </w:rPr>
        <w:t>6 hónapos</w:t>
      </w:r>
      <w:r w:rsidR="00385B2B" w:rsidRPr="009E58F7">
        <w:rPr>
          <w:color w:val="000000"/>
        </w:rPr>
        <w:t>,</w:t>
      </w:r>
      <w:r w:rsidRPr="009E58F7">
        <w:rPr>
          <w:color w:val="000000"/>
        </w:rPr>
        <w:t xml:space="preserve"> patkány</w:t>
      </w:r>
      <w:r w:rsidR="00385B2B" w:rsidRPr="009E58F7">
        <w:rPr>
          <w:color w:val="000000"/>
        </w:rPr>
        <w:t>okkal végzett</w:t>
      </w:r>
      <w:r w:rsidRPr="009E58F7">
        <w:rPr>
          <w:color w:val="000000"/>
        </w:rPr>
        <w:t xml:space="preserve"> </w:t>
      </w:r>
      <w:r w:rsidR="00385B2B" w:rsidRPr="009E58F7">
        <w:rPr>
          <w:color w:val="000000"/>
        </w:rPr>
        <w:t>vizsgálatban</w:t>
      </w:r>
      <w:r w:rsidR="00F6458B" w:rsidRPr="009E58F7">
        <w:rPr>
          <w:color w:val="000000"/>
        </w:rPr>
        <w:t>,</w:t>
      </w:r>
      <w:r w:rsidRPr="009E58F7">
        <w:rPr>
          <w:color w:val="000000"/>
        </w:rPr>
        <w:t xml:space="preserve"> mind a testisen, mind az ovariumon degeneratív hatások voltak megfigyelhetők. Ezért valószínűsíthető</w:t>
      </w:r>
      <w:r w:rsidR="00385B2B" w:rsidRPr="009E58F7">
        <w:rPr>
          <w:color w:val="000000"/>
        </w:rPr>
        <w:t>, hogy</w:t>
      </w:r>
      <w:r w:rsidRPr="009E58F7">
        <w:rPr>
          <w:color w:val="000000"/>
        </w:rPr>
        <w:t xml:space="preserve"> a bortezomib </w:t>
      </w:r>
      <w:r w:rsidR="00385B2B" w:rsidRPr="009E58F7">
        <w:rPr>
          <w:color w:val="000000"/>
        </w:rPr>
        <w:t xml:space="preserve">hatással van a </w:t>
      </w:r>
      <w:r w:rsidRPr="009E58F7">
        <w:rPr>
          <w:color w:val="000000"/>
        </w:rPr>
        <w:t>hím és nőstény egyedek fertilitására. Peri- és postnatalis fejlődési vizsgálatokat nem folytattak.</w:t>
      </w:r>
    </w:p>
    <w:p w14:paraId="3358073C" w14:textId="77777777" w:rsidR="004D6470" w:rsidRPr="009E58F7" w:rsidRDefault="004D6470" w:rsidP="003D25C3">
      <w:pPr>
        <w:pStyle w:val="Nincstrkz"/>
      </w:pPr>
    </w:p>
    <w:p w14:paraId="531A63D5" w14:textId="30CC71FF" w:rsidR="004D6470" w:rsidRPr="009E58F7" w:rsidRDefault="004D6470">
      <w:pPr>
        <w:spacing w:line="240" w:lineRule="auto"/>
        <w:contextualSpacing/>
      </w:pPr>
      <w:bookmarkStart w:id="52" w:name="page67"/>
      <w:bookmarkEnd w:id="52"/>
      <w:r w:rsidRPr="009E58F7">
        <w:t>Patkány</w:t>
      </w:r>
      <w:r w:rsidR="00C268FE">
        <w:t>okkal</w:t>
      </w:r>
      <w:r w:rsidRPr="009E58F7">
        <w:t xml:space="preserve"> és majmo</w:t>
      </w:r>
      <w:r w:rsidR="00C268FE">
        <w:t>kkal</w:t>
      </w:r>
      <w:r w:rsidRPr="009E58F7">
        <w:t xml:space="preserve"> végzett, többciklusú, általános, toxikológiai </w:t>
      </w:r>
      <w:r w:rsidR="00C5286C" w:rsidRPr="009E58F7">
        <w:t>vizsgálatok</w:t>
      </w:r>
      <w:r w:rsidRPr="009E58F7">
        <w:t xml:space="preserve"> az elsődleges </w:t>
      </w:r>
      <w:r w:rsidR="00C5286C" w:rsidRPr="009E58F7">
        <w:t>célszervekre terjedtek ki, beleértve</w:t>
      </w:r>
      <w:r w:rsidR="00385B2B" w:rsidRPr="009E58F7">
        <w:t xml:space="preserve"> </w:t>
      </w:r>
      <w:r w:rsidRPr="009E58F7">
        <w:t>a</w:t>
      </w:r>
      <w:r w:rsidR="00385B2B" w:rsidRPr="009E58F7">
        <w:t xml:space="preserve"> </w:t>
      </w:r>
      <w:r w:rsidRPr="009E58F7">
        <w:t xml:space="preserve">gastrointestinalis </w:t>
      </w:r>
      <w:r w:rsidR="00C5286C" w:rsidRPr="009E58F7">
        <w:t xml:space="preserve">tractust, </w:t>
      </w:r>
      <w:r w:rsidR="004342CD">
        <w:t>ami</w:t>
      </w:r>
      <w:r w:rsidR="00C5286C" w:rsidRPr="009E58F7">
        <w:t xml:space="preserve"> hányást</w:t>
      </w:r>
      <w:r w:rsidRPr="009E58F7">
        <w:t xml:space="preserve"> és/vagy </w:t>
      </w:r>
      <w:r w:rsidR="00C5286C" w:rsidRPr="009E58F7">
        <w:t>hasmenést eredményezett; a</w:t>
      </w:r>
      <w:r w:rsidRPr="009E58F7">
        <w:t xml:space="preserve"> </w:t>
      </w:r>
      <w:r w:rsidRPr="009E58F7">
        <w:rPr>
          <w:color w:val="000000"/>
        </w:rPr>
        <w:t xml:space="preserve">vérképző- és </w:t>
      </w:r>
      <w:r w:rsidR="00C5286C" w:rsidRPr="009E58F7">
        <w:t>nyirokszöveteket</w:t>
      </w:r>
      <w:r w:rsidRPr="009E58F7">
        <w:rPr>
          <w:color w:val="000000"/>
        </w:rPr>
        <w:t xml:space="preserve">, </w:t>
      </w:r>
      <w:r w:rsidR="004342CD">
        <w:rPr>
          <w:color w:val="000000"/>
        </w:rPr>
        <w:t>ami</w:t>
      </w:r>
      <w:r w:rsidR="004342CD" w:rsidRPr="009E58F7">
        <w:rPr>
          <w:color w:val="000000"/>
        </w:rPr>
        <w:t xml:space="preserve"> </w:t>
      </w:r>
      <w:r w:rsidRPr="009E58F7">
        <w:rPr>
          <w:color w:val="000000"/>
        </w:rPr>
        <w:t>a perifériás vérben c</w:t>
      </w:r>
      <w:r w:rsidR="00385B2B" w:rsidRPr="009E58F7">
        <w:rPr>
          <w:color w:val="000000"/>
        </w:rPr>
        <w:t>y</w:t>
      </w:r>
      <w:r w:rsidRPr="009E58F7">
        <w:rPr>
          <w:color w:val="000000"/>
        </w:rPr>
        <w:t>top</w:t>
      </w:r>
      <w:r w:rsidR="00385B2B" w:rsidRPr="009E58F7">
        <w:rPr>
          <w:color w:val="000000"/>
        </w:rPr>
        <w:t>e</w:t>
      </w:r>
      <w:r w:rsidRPr="009E58F7">
        <w:rPr>
          <w:color w:val="000000"/>
        </w:rPr>
        <w:t>niákat, nyirokszövet atr</w:t>
      </w:r>
      <w:r w:rsidR="00385B2B" w:rsidRPr="009E58F7">
        <w:rPr>
          <w:color w:val="000000"/>
        </w:rPr>
        <w:t>ophiát és a vérképző csontvelőben hi</w:t>
      </w:r>
      <w:r w:rsidRPr="009E58F7">
        <w:rPr>
          <w:color w:val="000000"/>
        </w:rPr>
        <w:t>pocellularitást, a szenzoros idegek axonjait érintő perifériás neurop</w:t>
      </w:r>
      <w:r w:rsidR="00385B2B" w:rsidRPr="009E58F7">
        <w:rPr>
          <w:color w:val="000000"/>
        </w:rPr>
        <w:t>ath</w:t>
      </w:r>
      <w:r w:rsidRPr="009E58F7">
        <w:rPr>
          <w:color w:val="000000"/>
        </w:rPr>
        <w:t>iát (majom</w:t>
      </w:r>
      <w:r w:rsidR="00385B2B" w:rsidRPr="009E58F7">
        <w:rPr>
          <w:color w:val="000000"/>
        </w:rPr>
        <w:t>nál</w:t>
      </w:r>
      <w:r w:rsidRPr="009E58F7">
        <w:rPr>
          <w:color w:val="000000"/>
        </w:rPr>
        <w:t>, egér</w:t>
      </w:r>
      <w:r w:rsidR="00385B2B" w:rsidRPr="009E58F7">
        <w:rPr>
          <w:color w:val="000000"/>
        </w:rPr>
        <w:t>nél</w:t>
      </w:r>
      <w:r w:rsidRPr="009E58F7">
        <w:rPr>
          <w:color w:val="000000"/>
        </w:rPr>
        <w:t xml:space="preserve"> és kutyá</w:t>
      </w:r>
      <w:r w:rsidR="00385B2B" w:rsidRPr="009E58F7">
        <w:rPr>
          <w:color w:val="000000"/>
        </w:rPr>
        <w:t>nál</w:t>
      </w:r>
      <w:r w:rsidRPr="009E58F7">
        <w:rPr>
          <w:color w:val="000000"/>
        </w:rPr>
        <w:t xml:space="preserve"> figyelték meg) </w:t>
      </w:r>
      <w:r w:rsidR="00385B2B" w:rsidRPr="009E58F7">
        <w:rPr>
          <w:color w:val="000000"/>
        </w:rPr>
        <w:t>okozott, továbbá</w:t>
      </w:r>
      <w:r w:rsidRPr="009E58F7">
        <w:rPr>
          <w:color w:val="000000"/>
        </w:rPr>
        <w:t xml:space="preserve"> a vesékben enyhe elváltozást </w:t>
      </w:r>
      <w:r w:rsidRPr="009E58F7">
        <w:rPr>
          <w:color w:val="000000"/>
        </w:rPr>
        <w:lastRenderedPageBreak/>
        <w:t>eredményezett. A terápia megszakítását követően minden célszerv részleges vagy teljes felépülését tapasztalták.</w:t>
      </w:r>
    </w:p>
    <w:p w14:paraId="3674D6D2" w14:textId="77777777" w:rsidR="004D6470" w:rsidRPr="009E58F7" w:rsidRDefault="004D6470">
      <w:pPr>
        <w:pStyle w:val="Nincstrkz"/>
      </w:pPr>
    </w:p>
    <w:p w14:paraId="3B61F41B" w14:textId="1C770B9A" w:rsidR="004D6470" w:rsidRPr="009E58F7" w:rsidRDefault="004D6470">
      <w:pPr>
        <w:pStyle w:val="Nincstrkz"/>
      </w:pPr>
      <w:r w:rsidRPr="009E58F7">
        <w:rPr>
          <w:color w:val="000000"/>
        </w:rPr>
        <w:t xml:space="preserve">Állatokon végzett kísérletek </w:t>
      </w:r>
      <w:r w:rsidR="00A726FD" w:rsidRPr="009E58F7">
        <w:rPr>
          <w:color w:val="000000"/>
        </w:rPr>
        <w:t>alapján</w:t>
      </w:r>
      <w:r w:rsidRPr="009E58F7">
        <w:rPr>
          <w:color w:val="000000"/>
        </w:rPr>
        <w:t xml:space="preserve"> úgy tűnik, hogy a bortezomib csak nagyon limitált mértékben jut át</w:t>
      </w:r>
      <w:r w:rsidR="003F6942" w:rsidRPr="009E58F7">
        <w:rPr>
          <w:color w:val="000000"/>
        </w:rPr>
        <w:t> </w:t>
      </w:r>
      <w:r w:rsidR="004342CD">
        <w:rPr>
          <w:color w:val="000000"/>
        </w:rPr>
        <w:t>–</w:t>
      </w:r>
      <w:r w:rsidR="003F6942" w:rsidRPr="009E58F7">
        <w:rPr>
          <w:color w:val="000000"/>
        </w:rPr>
        <w:t> </w:t>
      </w:r>
      <w:r w:rsidRPr="009E58F7">
        <w:rPr>
          <w:color w:val="000000"/>
        </w:rPr>
        <w:t xml:space="preserve">ha egyáltalán átjut </w:t>
      </w:r>
      <w:r w:rsidR="004342CD">
        <w:rPr>
          <w:color w:val="000000"/>
        </w:rPr>
        <w:t>–</w:t>
      </w:r>
      <w:r w:rsidR="003F6942" w:rsidRPr="009E58F7">
        <w:rPr>
          <w:color w:val="000000"/>
        </w:rPr>
        <w:t xml:space="preserve"> </w:t>
      </w:r>
      <w:r w:rsidRPr="009E58F7">
        <w:rPr>
          <w:color w:val="000000"/>
        </w:rPr>
        <w:t xml:space="preserve">a vér-agy gáton, </w:t>
      </w:r>
      <w:r w:rsidR="00385B2B" w:rsidRPr="009E58F7">
        <w:rPr>
          <w:color w:val="000000"/>
        </w:rPr>
        <w:t>aminek</w:t>
      </w:r>
      <w:r w:rsidRPr="009E58F7">
        <w:rPr>
          <w:color w:val="000000"/>
        </w:rPr>
        <w:t xml:space="preserve"> humán jelentősége nem ismert.</w:t>
      </w:r>
    </w:p>
    <w:p w14:paraId="37DE8407" w14:textId="77777777" w:rsidR="004D6470" w:rsidRPr="009E58F7" w:rsidRDefault="004D6470">
      <w:pPr>
        <w:pStyle w:val="Nincstrkz"/>
      </w:pPr>
    </w:p>
    <w:p w14:paraId="6E7BE0AC" w14:textId="38C558A9" w:rsidR="004D6470" w:rsidRPr="009E58F7" w:rsidRDefault="004D6470">
      <w:pPr>
        <w:pStyle w:val="Nincstrkz"/>
      </w:pPr>
      <w:r w:rsidRPr="009E58F7">
        <w:rPr>
          <w:color w:val="000000"/>
        </w:rPr>
        <w:t>A majmo</w:t>
      </w:r>
      <w:r w:rsidR="00A726FD" w:rsidRPr="009E58F7">
        <w:rPr>
          <w:color w:val="000000"/>
        </w:rPr>
        <w:t>k</w:t>
      </w:r>
      <w:r w:rsidR="00F6458B" w:rsidRPr="009E58F7">
        <w:rPr>
          <w:color w:val="000000"/>
        </w:rPr>
        <w:t>k</w:t>
      </w:r>
      <w:r w:rsidR="00A726FD" w:rsidRPr="009E58F7">
        <w:rPr>
          <w:color w:val="000000"/>
        </w:rPr>
        <w:t>al</w:t>
      </w:r>
      <w:r w:rsidRPr="009E58F7">
        <w:rPr>
          <w:color w:val="000000"/>
        </w:rPr>
        <w:t xml:space="preserve"> és kutyá</w:t>
      </w:r>
      <w:r w:rsidR="00A726FD" w:rsidRPr="009E58F7">
        <w:rPr>
          <w:color w:val="000000"/>
        </w:rPr>
        <w:t>kkal</w:t>
      </w:r>
      <w:r w:rsidRPr="009E58F7">
        <w:rPr>
          <w:color w:val="000000"/>
        </w:rPr>
        <w:t xml:space="preserve"> végzett </w:t>
      </w:r>
      <w:r w:rsidR="00CB4BFE" w:rsidRPr="009E58F7">
        <w:rPr>
          <w:color w:val="000000"/>
        </w:rPr>
        <w:t>cardiovascula</w:t>
      </w:r>
      <w:r w:rsidRPr="009E58F7">
        <w:rPr>
          <w:color w:val="000000"/>
        </w:rPr>
        <w:t>ris biztonságossági farmakológiai v</w:t>
      </w:r>
      <w:r w:rsidR="00A726FD" w:rsidRPr="009E58F7">
        <w:rPr>
          <w:color w:val="000000"/>
        </w:rPr>
        <w:t xml:space="preserve">izsgálatok azt mutatják, hogy a </w:t>
      </w:r>
      <w:r w:rsidRPr="009E58F7">
        <w:rPr>
          <w:color w:val="000000"/>
        </w:rPr>
        <w:t>mg/m</w:t>
      </w:r>
      <w:r w:rsidRPr="009E58F7">
        <w:rPr>
          <w:color w:val="000000"/>
          <w:vertAlign w:val="superscript"/>
        </w:rPr>
        <w:t>2</w:t>
      </w:r>
      <w:r w:rsidRPr="009E58F7">
        <w:rPr>
          <w:color w:val="000000"/>
        </w:rPr>
        <w:t xml:space="preserve"> alapon számolt, ajánlott klinikai iv. dózis kb. </w:t>
      </w:r>
      <w:r w:rsidR="004342CD">
        <w:rPr>
          <w:color w:val="000000"/>
        </w:rPr>
        <w:t>2-3-</w:t>
      </w:r>
      <w:r w:rsidRPr="009E58F7">
        <w:rPr>
          <w:color w:val="000000"/>
        </w:rPr>
        <w:t xml:space="preserve">szorosa a szívfrekvencia fokozódásával, a kontraktilitás csökkenésével, hypotoniával és elhullással jár. </w:t>
      </w:r>
      <w:r w:rsidR="00A726FD" w:rsidRPr="009E58F7">
        <w:rPr>
          <w:color w:val="000000"/>
        </w:rPr>
        <w:t>K</w:t>
      </w:r>
      <w:r w:rsidRPr="009E58F7">
        <w:rPr>
          <w:color w:val="000000"/>
        </w:rPr>
        <w:t xml:space="preserve">utyánál </w:t>
      </w:r>
      <w:r w:rsidR="00A726FD" w:rsidRPr="009E58F7">
        <w:rPr>
          <w:color w:val="000000"/>
        </w:rPr>
        <w:t>a</w:t>
      </w:r>
      <w:r w:rsidRPr="009E58F7">
        <w:rPr>
          <w:color w:val="000000"/>
        </w:rPr>
        <w:t xml:space="preserve"> csökkent cardialis kontraktilitás és a hypotonia reagált az akutan adott pozitív inotróp vagy vérnyomásemelő szerekre. A korrigált QT-intervallum kismértékű megnyúlását is megfigyelték a kutyá</w:t>
      </w:r>
      <w:r w:rsidR="00A726FD" w:rsidRPr="009E58F7">
        <w:rPr>
          <w:color w:val="000000"/>
        </w:rPr>
        <w:t>k</w:t>
      </w:r>
      <w:r w:rsidR="004342CD">
        <w:rPr>
          <w:color w:val="000000"/>
        </w:rPr>
        <w:t>kal</w:t>
      </w:r>
      <w:r w:rsidRPr="009E58F7">
        <w:rPr>
          <w:color w:val="000000"/>
        </w:rPr>
        <w:t xml:space="preserve"> végzett vizsgálatokban.</w:t>
      </w:r>
    </w:p>
    <w:p w14:paraId="2167286A" w14:textId="77777777" w:rsidR="004D6470" w:rsidRPr="009E58F7" w:rsidRDefault="004D6470">
      <w:pPr>
        <w:widowControl w:val="0"/>
        <w:autoSpaceDE w:val="0"/>
        <w:autoSpaceDN w:val="0"/>
        <w:adjustRightInd w:val="0"/>
        <w:spacing w:line="240" w:lineRule="auto"/>
      </w:pPr>
    </w:p>
    <w:p w14:paraId="0D861CCA" w14:textId="77777777" w:rsidR="004D6470" w:rsidRPr="009E58F7" w:rsidRDefault="004D6470">
      <w:pPr>
        <w:widowControl w:val="0"/>
        <w:autoSpaceDE w:val="0"/>
        <w:autoSpaceDN w:val="0"/>
        <w:adjustRightInd w:val="0"/>
        <w:spacing w:line="240" w:lineRule="auto"/>
      </w:pPr>
    </w:p>
    <w:p w14:paraId="6D0B2049" w14:textId="639B199F" w:rsidR="004D6470" w:rsidRPr="009E58F7" w:rsidRDefault="004D6470" w:rsidP="00602E58">
      <w:pPr>
        <w:keepNext/>
        <w:numPr>
          <w:ilvl w:val="0"/>
          <w:numId w:val="24"/>
        </w:numPr>
        <w:overflowPunct w:val="0"/>
        <w:autoSpaceDE w:val="0"/>
        <w:autoSpaceDN w:val="0"/>
        <w:adjustRightInd w:val="0"/>
        <w:spacing w:line="240" w:lineRule="auto"/>
        <w:ind w:left="567" w:hanging="567"/>
        <w:rPr>
          <w:b/>
          <w:bCs/>
          <w:color w:val="000000"/>
        </w:rPr>
      </w:pPr>
      <w:r w:rsidRPr="009E58F7">
        <w:rPr>
          <w:b/>
          <w:color w:val="000000"/>
        </w:rPr>
        <w:t xml:space="preserve">GYÓGYSZERÉSZETI JELLEMZŐK </w:t>
      </w:r>
    </w:p>
    <w:p w14:paraId="5EE2857B" w14:textId="77777777" w:rsidR="004D6470" w:rsidRPr="009E58F7" w:rsidRDefault="004D6470" w:rsidP="00D7256D">
      <w:pPr>
        <w:keepNext/>
        <w:autoSpaceDE w:val="0"/>
        <w:autoSpaceDN w:val="0"/>
        <w:adjustRightInd w:val="0"/>
        <w:spacing w:line="240" w:lineRule="auto"/>
        <w:ind w:left="567" w:hanging="567"/>
      </w:pPr>
    </w:p>
    <w:p w14:paraId="3327AE5B" w14:textId="77777777" w:rsidR="004D6470" w:rsidRPr="009E58F7" w:rsidRDefault="004D6470" w:rsidP="00602E58">
      <w:pPr>
        <w:keepNext/>
        <w:numPr>
          <w:ilvl w:val="0"/>
          <w:numId w:val="25"/>
        </w:numPr>
        <w:overflowPunct w:val="0"/>
        <w:autoSpaceDE w:val="0"/>
        <w:autoSpaceDN w:val="0"/>
        <w:adjustRightInd w:val="0"/>
        <w:spacing w:line="240" w:lineRule="auto"/>
        <w:ind w:left="567" w:hanging="567"/>
        <w:rPr>
          <w:b/>
          <w:color w:val="000000"/>
        </w:rPr>
      </w:pPr>
      <w:r w:rsidRPr="009E58F7">
        <w:rPr>
          <w:b/>
          <w:color w:val="000000"/>
        </w:rPr>
        <w:t>Segédanyagok felsorolása</w:t>
      </w:r>
      <w:r w:rsidRPr="009E58F7">
        <w:rPr>
          <w:b/>
          <w:bCs/>
          <w:color w:val="000000"/>
        </w:rPr>
        <w:t xml:space="preserve"> </w:t>
      </w:r>
    </w:p>
    <w:p w14:paraId="14589767" w14:textId="77777777" w:rsidR="004D6470" w:rsidRPr="009E58F7" w:rsidRDefault="004D6470" w:rsidP="00D7256D">
      <w:pPr>
        <w:keepNext/>
        <w:autoSpaceDE w:val="0"/>
        <w:autoSpaceDN w:val="0"/>
        <w:adjustRightInd w:val="0"/>
        <w:spacing w:line="240" w:lineRule="auto"/>
      </w:pPr>
    </w:p>
    <w:p w14:paraId="25B502B1" w14:textId="5C764C1D" w:rsidR="004D6470" w:rsidRPr="009E58F7" w:rsidRDefault="007070F2" w:rsidP="007070F2">
      <w:pPr>
        <w:keepNext/>
        <w:tabs>
          <w:tab w:val="left" w:pos="2694"/>
          <w:tab w:val="left" w:pos="9072"/>
        </w:tabs>
        <w:overflowPunct w:val="0"/>
        <w:autoSpaceDE w:val="0"/>
        <w:autoSpaceDN w:val="0"/>
        <w:adjustRightInd w:val="0"/>
        <w:spacing w:line="240" w:lineRule="auto"/>
        <w:ind w:left="4" w:right="6002"/>
      </w:pPr>
      <w:r w:rsidRPr="009E58F7">
        <w:rPr>
          <w:color w:val="000000"/>
        </w:rPr>
        <w:t>m</w:t>
      </w:r>
      <w:r w:rsidR="004D6470" w:rsidRPr="009E58F7">
        <w:rPr>
          <w:color w:val="000000"/>
        </w:rPr>
        <w:t>annit (E421)</w:t>
      </w:r>
    </w:p>
    <w:p w14:paraId="2C350397" w14:textId="77777777" w:rsidR="004D6470" w:rsidRPr="009E58F7" w:rsidRDefault="004D6470" w:rsidP="007070F2">
      <w:pPr>
        <w:widowControl w:val="0"/>
        <w:autoSpaceDE w:val="0"/>
        <w:autoSpaceDN w:val="0"/>
        <w:adjustRightInd w:val="0"/>
        <w:spacing w:line="240" w:lineRule="auto"/>
      </w:pPr>
    </w:p>
    <w:p w14:paraId="08D76FAE" w14:textId="7138B433" w:rsidR="004D6470" w:rsidRPr="009E58F7" w:rsidRDefault="004D6470" w:rsidP="00602E58">
      <w:pPr>
        <w:keepNext/>
        <w:numPr>
          <w:ilvl w:val="0"/>
          <w:numId w:val="26"/>
        </w:numPr>
        <w:tabs>
          <w:tab w:val="clear" w:pos="720"/>
          <w:tab w:val="num" w:pos="564"/>
        </w:tabs>
        <w:overflowPunct w:val="0"/>
        <w:autoSpaceDE w:val="0"/>
        <w:autoSpaceDN w:val="0"/>
        <w:adjustRightInd w:val="0"/>
        <w:spacing w:line="240" w:lineRule="auto"/>
        <w:ind w:left="564" w:hanging="564"/>
        <w:rPr>
          <w:b/>
          <w:color w:val="000000"/>
        </w:rPr>
      </w:pPr>
      <w:r w:rsidRPr="009E58F7">
        <w:rPr>
          <w:b/>
          <w:color w:val="000000"/>
        </w:rPr>
        <w:t>Inkompatibilitások</w:t>
      </w:r>
    </w:p>
    <w:p w14:paraId="4BE4260D" w14:textId="77777777" w:rsidR="004D6470" w:rsidRPr="009E58F7" w:rsidRDefault="004D6470" w:rsidP="00D7256D">
      <w:pPr>
        <w:keepNext/>
        <w:autoSpaceDE w:val="0"/>
        <w:autoSpaceDN w:val="0"/>
        <w:adjustRightInd w:val="0"/>
        <w:spacing w:line="240" w:lineRule="auto"/>
      </w:pPr>
    </w:p>
    <w:p w14:paraId="0A949146" w14:textId="276604C3" w:rsidR="004D6470" w:rsidRPr="009E58F7" w:rsidRDefault="004D6470" w:rsidP="007070F2">
      <w:pPr>
        <w:keepNext/>
        <w:autoSpaceDE w:val="0"/>
        <w:autoSpaceDN w:val="0"/>
        <w:adjustRightInd w:val="0"/>
        <w:spacing w:line="240" w:lineRule="auto"/>
        <w:ind w:left="4"/>
      </w:pPr>
      <w:r w:rsidRPr="009E58F7">
        <w:rPr>
          <w:color w:val="000000"/>
        </w:rPr>
        <w:t>Ez a gyógyszer kizárólag a 6.6 pontban felsorolt gyógyszerekkel keverhető.</w:t>
      </w:r>
    </w:p>
    <w:p w14:paraId="0095E806" w14:textId="77777777" w:rsidR="004D6470" w:rsidRPr="009E58F7" w:rsidRDefault="004D6470" w:rsidP="007070F2">
      <w:pPr>
        <w:widowControl w:val="0"/>
        <w:autoSpaceDE w:val="0"/>
        <w:autoSpaceDN w:val="0"/>
        <w:adjustRightInd w:val="0"/>
        <w:spacing w:line="240" w:lineRule="auto"/>
      </w:pPr>
    </w:p>
    <w:p w14:paraId="11F2ED7F" w14:textId="6F5A4A3B" w:rsidR="004D6470" w:rsidRPr="009E58F7" w:rsidRDefault="004D6470" w:rsidP="00602E58">
      <w:pPr>
        <w:keepNext/>
        <w:numPr>
          <w:ilvl w:val="0"/>
          <w:numId w:val="27"/>
        </w:numPr>
        <w:overflowPunct w:val="0"/>
        <w:autoSpaceDE w:val="0"/>
        <w:autoSpaceDN w:val="0"/>
        <w:adjustRightInd w:val="0"/>
        <w:spacing w:line="240" w:lineRule="auto"/>
        <w:ind w:left="724" w:hanging="724"/>
        <w:rPr>
          <w:b/>
          <w:color w:val="000000"/>
        </w:rPr>
      </w:pPr>
      <w:r w:rsidRPr="009E58F7">
        <w:rPr>
          <w:b/>
          <w:color w:val="000000"/>
        </w:rPr>
        <w:t>Felhasználhatósági időtartam</w:t>
      </w:r>
    </w:p>
    <w:p w14:paraId="2F8DE746" w14:textId="77777777" w:rsidR="004D6470" w:rsidRPr="009E58F7" w:rsidRDefault="004D6470" w:rsidP="00D7256D">
      <w:pPr>
        <w:keepNext/>
        <w:autoSpaceDE w:val="0"/>
        <w:autoSpaceDN w:val="0"/>
        <w:adjustRightInd w:val="0"/>
        <w:spacing w:line="240" w:lineRule="auto"/>
      </w:pPr>
    </w:p>
    <w:p w14:paraId="71EE2801" w14:textId="77777777" w:rsidR="004D6470" w:rsidRPr="009E58F7" w:rsidRDefault="004D6470" w:rsidP="007070F2">
      <w:pPr>
        <w:keepNext/>
        <w:tabs>
          <w:tab w:val="left" w:pos="2552"/>
          <w:tab w:val="left" w:pos="6096"/>
        </w:tabs>
        <w:overflowPunct w:val="0"/>
        <w:autoSpaceDE w:val="0"/>
        <w:autoSpaceDN w:val="0"/>
        <w:adjustRightInd w:val="0"/>
        <w:spacing w:line="240" w:lineRule="auto"/>
        <w:ind w:left="4" w:right="332"/>
        <w:rPr>
          <w:color w:val="000000"/>
          <w:u w:val="single"/>
        </w:rPr>
      </w:pPr>
      <w:r w:rsidRPr="009E58F7">
        <w:rPr>
          <w:color w:val="000000"/>
          <w:u w:val="single"/>
        </w:rPr>
        <w:t xml:space="preserve">Bontatlan injekciós üveg </w:t>
      </w:r>
    </w:p>
    <w:p w14:paraId="5881A011" w14:textId="75DEB849" w:rsidR="004D6470" w:rsidRPr="009E58F7" w:rsidRDefault="00637564" w:rsidP="00602E58">
      <w:pPr>
        <w:spacing w:line="240" w:lineRule="auto"/>
        <w:contextualSpacing/>
      </w:pPr>
      <w:r w:rsidRPr="009E58F7">
        <w:t>2</w:t>
      </w:r>
      <w:r w:rsidR="00CB4BFE" w:rsidRPr="009E58F7">
        <w:t> </w:t>
      </w:r>
      <w:r w:rsidR="004D6470" w:rsidRPr="009E58F7">
        <w:rPr>
          <w:color w:val="000000"/>
        </w:rPr>
        <w:t>év</w:t>
      </w:r>
    </w:p>
    <w:p w14:paraId="7FE68B68" w14:textId="77777777" w:rsidR="004D6470" w:rsidRPr="009E58F7" w:rsidRDefault="004D6470" w:rsidP="00D7256D">
      <w:pPr>
        <w:widowControl w:val="0"/>
        <w:autoSpaceDE w:val="0"/>
        <w:autoSpaceDN w:val="0"/>
        <w:adjustRightInd w:val="0"/>
        <w:spacing w:line="240" w:lineRule="auto"/>
      </w:pPr>
    </w:p>
    <w:p w14:paraId="7D3A42AB" w14:textId="77777777" w:rsidR="004D4002" w:rsidRPr="009E58F7" w:rsidRDefault="00C5286C" w:rsidP="00602E58">
      <w:pPr>
        <w:spacing w:line="240" w:lineRule="auto"/>
        <w:contextualSpacing/>
      </w:pPr>
      <w:r w:rsidRPr="009E58F7">
        <w:rPr>
          <w:u w:val="single"/>
        </w:rPr>
        <w:t>Elkészített oldat</w:t>
      </w:r>
    </w:p>
    <w:p w14:paraId="716523FE" w14:textId="0F726F6C" w:rsidR="004D6470" w:rsidRPr="009E58F7" w:rsidRDefault="00CB4BFE" w:rsidP="00D7256D">
      <w:pPr>
        <w:spacing w:line="240" w:lineRule="auto"/>
      </w:pPr>
      <w:r w:rsidRPr="009E58F7">
        <w:t xml:space="preserve">Az elkészített oldat kémiai és fizikai stabilitása 25 ºC-on az eredeti injekciós üvegben </w:t>
      </w:r>
      <w:r w:rsidR="00A74C94" w:rsidRPr="009E58F7">
        <w:t xml:space="preserve">és/vagy </w:t>
      </w:r>
      <w:r w:rsidR="00E55519">
        <w:t xml:space="preserve">polipropilén </w:t>
      </w:r>
      <w:r w:rsidR="00A74C94" w:rsidRPr="009E58F7">
        <w:t xml:space="preserve">fecskendőben </w:t>
      </w:r>
      <w:r w:rsidR="000A4AC6" w:rsidRPr="009E58F7">
        <w:t>tárolva</w:t>
      </w:r>
      <w:r w:rsidR="00407676" w:rsidRPr="009E58F7">
        <w:t>,</w:t>
      </w:r>
      <w:r w:rsidR="000A4AC6" w:rsidRPr="009E58F7">
        <w:t xml:space="preserve"> 8 órán át igazolt</w:t>
      </w:r>
      <w:r w:rsidRPr="009E58F7">
        <w:t>.</w:t>
      </w:r>
      <w:r w:rsidR="00A74C94" w:rsidRPr="009E58F7">
        <w:t xml:space="preserve"> </w:t>
      </w:r>
      <w:r w:rsidRPr="009E58F7">
        <w:t>Mikrobiológia</w:t>
      </w:r>
      <w:r w:rsidR="00A74C94" w:rsidRPr="009E58F7">
        <w:t>i</w:t>
      </w:r>
      <w:r w:rsidRPr="009E58F7">
        <w:t xml:space="preserve"> szempontból az </w:t>
      </w:r>
      <w:r w:rsidR="00A74C94" w:rsidRPr="009E58F7">
        <w:t xml:space="preserve">elkészített </w:t>
      </w:r>
      <w:r w:rsidRPr="009E58F7">
        <w:t>oldatot azonnal fel kell használni</w:t>
      </w:r>
      <w:r w:rsidR="00A74C94" w:rsidRPr="009E58F7">
        <w:t>, kivéve, ha az elkészítés mód</w:t>
      </w:r>
      <w:r w:rsidR="000A4AC6" w:rsidRPr="009E58F7">
        <w:t>szere</w:t>
      </w:r>
      <w:r w:rsidR="00A74C94" w:rsidRPr="009E58F7">
        <w:t xml:space="preserve"> kizárja a mikrobiológiai szennyeződés kockázatát. </w:t>
      </w:r>
      <w:r w:rsidR="00A726FD" w:rsidRPr="009E58F7">
        <w:t xml:space="preserve">Amennyiben </w:t>
      </w:r>
      <w:r w:rsidR="000A4AC6" w:rsidRPr="009E58F7">
        <w:t>nem használják fel azonnal, a felhasználásig az eltartási idő és a tárolási körülmények a felhasználó felelőssége</w:t>
      </w:r>
      <w:r w:rsidR="00C5286C" w:rsidRPr="009E58F7">
        <w:t>. A beadás előtt</w:t>
      </w:r>
      <w:r w:rsidR="00A726FD" w:rsidRPr="009E58F7">
        <w:t xml:space="preserve"> az </w:t>
      </w:r>
      <w:r w:rsidR="00C5286C" w:rsidRPr="009E58F7">
        <w:t>elkészített gyógyszer teljes tárolási ideje nem haladhatja meg a 8</w:t>
      </w:r>
      <w:r w:rsidR="00A74C94" w:rsidRPr="009E58F7">
        <w:t> </w:t>
      </w:r>
      <w:r w:rsidR="00C5286C" w:rsidRPr="009E58F7">
        <w:t>órát.</w:t>
      </w:r>
    </w:p>
    <w:p w14:paraId="05004274" w14:textId="77777777" w:rsidR="00511656" w:rsidRPr="009E58F7" w:rsidRDefault="00511656" w:rsidP="007070F2">
      <w:pPr>
        <w:pStyle w:val="Nincstrkz"/>
        <w:rPr>
          <w:color w:val="000000"/>
        </w:rPr>
      </w:pPr>
    </w:p>
    <w:p w14:paraId="5022CC28" w14:textId="47DAAE01" w:rsidR="004D6470" w:rsidRPr="009E58F7" w:rsidRDefault="004D6470" w:rsidP="00602E58">
      <w:pPr>
        <w:keepNext/>
        <w:numPr>
          <w:ilvl w:val="0"/>
          <w:numId w:val="28"/>
        </w:numPr>
        <w:tabs>
          <w:tab w:val="clear" w:pos="720"/>
          <w:tab w:val="num" w:pos="564"/>
        </w:tabs>
        <w:overflowPunct w:val="0"/>
        <w:autoSpaceDE w:val="0"/>
        <w:autoSpaceDN w:val="0"/>
        <w:adjustRightInd w:val="0"/>
        <w:spacing w:line="240" w:lineRule="auto"/>
        <w:ind w:left="564" w:hanging="564"/>
        <w:rPr>
          <w:b/>
          <w:color w:val="000000"/>
        </w:rPr>
      </w:pPr>
      <w:r w:rsidRPr="009E58F7">
        <w:rPr>
          <w:b/>
          <w:color w:val="000000"/>
        </w:rPr>
        <w:t>Különleges tárolási előírások</w:t>
      </w:r>
    </w:p>
    <w:p w14:paraId="61FF0CF2" w14:textId="77777777" w:rsidR="004D6470" w:rsidRPr="009E58F7" w:rsidRDefault="004D6470" w:rsidP="00D7256D">
      <w:pPr>
        <w:keepNext/>
        <w:autoSpaceDE w:val="0"/>
        <w:autoSpaceDN w:val="0"/>
        <w:adjustRightInd w:val="0"/>
        <w:spacing w:line="240" w:lineRule="auto"/>
      </w:pPr>
    </w:p>
    <w:p w14:paraId="10A087C5" w14:textId="0E68DE5F" w:rsidR="008D2748" w:rsidRPr="009E58F7" w:rsidRDefault="008D2748" w:rsidP="007070F2">
      <w:pPr>
        <w:pStyle w:val="Nincstrkz"/>
      </w:pPr>
      <w:r w:rsidRPr="009E58F7">
        <w:t xml:space="preserve">Ez a gyógyszer különleges tárolási </w:t>
      </w:r>
      <w:r w:rsidRPr="009E58F7">
        <w:rPr>
          <w:noProof/>
        </w:rPr>
        <w:t>hőmérsékletet nem igényel</w:t>
      </w:r>
      <w:r w:rsidRPr="009E58F7">
        <w:t>.</w:t>
      </w:r>
    </w:p>
    <w:p w14:paraId="79853A99" w14:textId="77777777" w:rsidR="008D2748" w:rsidRPr="009E58F7" w:rsidRDefault="008D2748" w:rsidP="007070F2">
      <w:pPr>
        <w:pStyle w:val="Nincstrkz"/>
      </w:pPr>
    </w:p>
    <w:p w14:paraId="0725FBF7" w14:textId="77777777" w:rsidR="004D6470" w:rsidRPr="009E58F7" w:rsidRDefault="004D6470" w:rsidP="003D25C3">
      <w:pPr>
        <w:pStyle w:val="Nincstrkz"/>
      </w:pPr>
      <w:r w:rsidRPr="009E58F7">
        <w:t>A fénytől való védelem érdekében az injekciós üveget tartsa a dobozában.</w:t>
      </w:r>
    </w:p>
    <w:p w14:paraId="573FFA49" w14:textId="77777777" w:rsidR="004D6470" w:rsidRPr="009E58F7" w:rsidRDefault="004D6470">
      <w:pPr>
        <w:pStyle w:val="Nincstrkz"/>
      </w:pPr>
    </w:p>
    <w:p w14:paraId="4C71AE44" w14:textId="6827ABDD" w:rsidR="004D6470" w:rsidRPr="009E58F7" w:rsidRDefault="004D6470">
      <w:pPr>
        <w:pStyle w:val="Nincstrkz"/>
      </w:pPr>
      <w:r w:rsidRPr="009E58F7">
        <w:t>A gyógyszer feloldás utáni tárolására vonatkozó előírásokat lásd a 6.3 pontban.</w:t>
      </w:r>
    </w:p>
    <w:p w14:paraId="4037482F" w14:textId="77777777" w:rsidR="004D6470" w:rsidRPr="009E58F7" w:rsidRDefault="004D6470">
      <w:pPr>
        <w:widowControl w:val="0"/>
        <w:autoSpaceDE w:val="0"/>
        <w:autoSpaceDN w:val="0"/>
        <w:adjustRightInd w:val="0"/>
        <w:spacing w:line="240" w:lineRule="auto"/>
      </w:pPr>
    </w:p>
    <w:p w14:paraId="23D918FB" w14:textId="77B8E197" w:rsidR="004D6470" w:rsidRPr="009E58F7" w:rsidRDefault="004D6470" w:rsidP="00602E58">
      <w:pPr>
        <w:pStyle w:val="Listaszerbekezds"/>
        <w:keepNext/>
        <w:widowControl w:val="0"/>
        <w:numPr>
          <w:ilvl w:val="1"/>
          <w:numId w:val="36"/>
        </w:numPr>
        <w:overflowPunct w:val="0"/>
        <w:autoSpaceDE w:val="0"/>
        <w:autoSpaceDN w:val="0"/>
        <w:adjustRightInd w:val="0"/>
        <w:spacing w:line="240" w:lineRule="auto"/>
        <w:ind w:left="567" w:hanging="567"/>
        <w:rPr>
          <w:b/>
          <w:color w:val="000000"/>
        </w:rPr>
      </w:pPr>
      <w:r w:rsidRPr="009E58F7">
        <w:rPr>
          <w:b/>
          <w:color w:val="000000"/>
        </w:rPr>
        <w:t>Csomagolás típusa és kiszerelése</w:t>
      </w:r>
    </w:p>
    <w:p w14:paraId="5AA009DB" w14:textId="77777777" w:rsidR="004D6470" w:rsidRPr="009E58F7" w:rsidRDefault="004D6470" w:rsidP="00D7256D">
      <w:pPr>
        <w:pStyle w:val="Nincstrkz"/>
        <w:keepNext/>
      </w:pPr>
    </w:p>
    <w:p w14:paraId="48A70AFF" w14:textId="567BEF4A" w:rsidR="004D6470" w:rsidRPr="009E58F7" w:rsidRDefault="003B0771" w:rsidP="00602E58">
      <w:pPr>
        <w:spacing w:line="240" w:lineRule="auto"/>
        <w:contextualSpacing/>
      </w:pPr>
      <w:r w:rsidRPr="009E58F7">
        <w:t>10 ml</w:t>
      </w:r>
      <w:r w:rsidR="00A74C94" w:rsidRPr="009E58F7">
        <w:t xml:space="preserve">-es </w:t>
      </w:r>
      <w:r w:rsidRPr="009E58F7">
        <w:t xml:space="preserve">injekciós üveg, </w:t>
      </w:r>
      <w:r w:rsidR="002C7EC5" w:rsidRPr="009E58F7">
        <w:t>br</w:t>
      </w:r>
      <w:r w:rsidR="000A4AC6" w:rsidRPr="009E58F7">
        <w:t>óm</w:t>
      </w:r>
      <w:r w:rsidR="002C7EC5" w:rsidRPr="009E58F7">
        <w:t xml:space="preserve">butil </w:t>
      </w:r>
      <w:r w:rsidR="000A4AC6" w:rsidRPr="009E58F7">
        <w:t>gumi</w:t>
      </w:r>
      <w:r w:rsidR="002C7EC5" w:rsidRPr="009E58F7">
        <w:t>dugóval</w:t>
      </w:r>
      <w:r w:rsidR="000A4AC6" w:rsidRPr="009E58F7">
        <w:t xml:space="preserve"> </w:t>
      </w:r>
      <w:r w:rsidR="00462402" w:rsidRPr="009E58F7">
        <w:t>és</w:t>
      </w:r>
      <w:r w:rsidR="002C7EC5" w:rsidRPr="009E58F7">
        <w:t xml:space="preserve"> kék polipropilén </w:t>
      </w:r>
      <w:r w:rsidR="000A4AC6" w:rsidRPr="009E58F7">
        <w:t>védőlappal ellátott alumíniumkupakkal lezárva.</w:t>
      </w:r>
    </w:p>
    <w:p w14:paraId="4B5DBCD1" w14:textId="77777777" w:rsidR="003B0771" w:rsidRPr="009E58F7" w:rsidRDefault="003B0771" w:rsidP="00D7256D">
      <w:pPr>
        <w:pStyle w:val="Nincstrkz"/>
        <w:rPr>
          <w:color w:val="000000"/>
        </w:rPr>
      </w:pPr>
    </w:p>
    <w:p w14:paraId="2C24D593" w14:textId="48087C66" w:rsidR="003B0771" w:rsidRPr="009E58F7" w:rsidRDefault="00C5286C" w:rsidP="00602E58">
      <w:pPr>
        <w:spacing w:line="240" w:lineRule="auto"/>
        <w:contextualSpacing/>
      </w:pPr>
      <w:r w:rsidRPr="009E58F7">
        <w:t>Minden csomagolás</w:t>
      </w:r>
      <w:r w:rsidR="003B0771" w:rsidRPr="009E58F7">
        <w:t xml:space="preserve"> 1</w:t>
      </w:r>
      <w:r w:rsidR="00462402" w:rsidRPr="009E58F7">
        <w:t> </w:t>
      </w:r>
      <w:r w:rsidR="00F1445A" w:rsidRPr="009E58F7">
        <w:t xml:space="preserve">db </w:t>
      </w:r>
      <w:r w:rsidRPr="009E58F7">
        <w:t xml:space="preserve">egyszeri használatra való </w:t>
      </w:r>
      <w:r w:rsidR="00F1445A" w:rsidRPr="009E58F7">
        <w:t xml:space="preserve">injekciós </w:t>
      </w:r>
      <w:r w:rsidRPr="009E58F7">
        <w:t>üveget tartalmaz.</w:t>
      </w:r>
      <w:bookmarkStart w:id="53" w:name="page68"/>
      <w:bookmarkEnd w:id="53"/>
    </w:p>
    <w:p w14:paraId="69963338" w14:textId="08993890" w:rsidR="004D6470" w:rsidRPr="009E58F7" w:rsidRDefault="004D6470" w:rsidP="00D7256D">
      <w:pPr>
        <w:widowControl w:val="0"/>
        <w:autoSpaceDE w:val="0"/>
        <w:autoSpaceDN w:val="0"/>
        <w:adjustRightInd w:val="0"/>
        <w:spacing w:line="240" w:lineRule="auto"/>
      </w:pPr>
    </w:p>
    <w:p w14:paraId="4237D90A" w14:textId="363938E3" w:rsidR="004D6470" w:rsidRPr="009E58F7" w:rsidRDefault="004D6470" w:rsidP="007070F2">
      <w:pPr>
        <w:pStyle w:val="Listaszerbekezds"/>
        <w:keepNext/>
        <w:numPr>
          <w:ilvl w:val="1"/>
          <w:numId w:val="36"/>
        </w:numPr>
        <w:overflowPunct w:val="0"/>
        <w:autoSpaceDE w:val="0"/>
        <w:autoSpaceDN w:val="0"/>
        <w:adjustRightInd w:val="0"/>
        <w:spacing w:line="240" w:lineRule="auto"/>
        <w:ind w:left="567" w:hanging="567"/>
        <w:rPr>
          <w:b/>
          <w:color w:val="000000"/>
        </w:rPr>
      </w:pPr>
      <w:r w:rsidRPr="009E58F7">
        <w:rPr>
          <w:b/>
          <w:color w:val="000000"/>
        </w:rPr>
        <w:lastRenderedPageBreak/>
        <w:t>A megsemmisítésre vonatkozó különleges óvintézkedések és egyéb, a készítmény kezelésével kapcsolatos információk</w:t>
      </w:r>
    </w:p>
    <w:p w14:paraId="738E2B79" w14:textId="77777777" w:rsidR="004D6470" w:rsidRPr="009E58F7" w:rsidRDefault="004D6470" w:rsidP="007070F2">
      <w:pPr>
        <w:keepNext/>
        <w:widowControl w:val="0"/>
        <w:autoSpaceDE w:val="0"/>
        <w:autoSpaceDN w:val="0"/>
        <w:adjustRightInd w:val="0"/>
        <w:spacing w:line="240" w:lineRule="auto"/>
      </w:pPr>
    </w:p>
    <w:p w14:paraId="3026AECE" w14:textId="77777777" w:rsidR="00BF3CCA" w:rsidRPr="005F2BC9" w:rsidRDefault="00BF3CCA" w:rsidP="003D25C3">
      <w:pPr>
        <w:pStyle w:val="Default"/>
        <w:rPr>
          <w:u w:val="single"/>
          <w:lang w:val="hu-HU"/>
        </w:rPr>
      </w:pPr>
      <w:r w:rsidRPr="009E58F7">
        <w:rPr>
          <w:color w:val="auto"/>
          <w:sz w:val="22"/>
          <w:u w:val="single"/>
          <w:lang w:val="hu-HU"/>
        </w:rPr>
        <w:t>Általános óvintézkedések</w:t>
      </w:r>
      <w:r w:rsidRPr="009E58F7">
        <w:rPr>
          <w:noProof/>
          <w:color w:val="auto"/>
          <w:sz w:val="22"/>
          <w:szCs w:val="22"/>
          <w:u w:val="single"/>
          <w:lang w:val="hu-HU"/>
        </w:rPr>
        <w:t>:</w:t>
      </w:r>
    </w:p>
    <w:p w14:paraId="570CD366" w14:textId="657400FF" w:rsidR="00BF3CCA" w:rsidRPr="005F2BC9" w:rsidRDefault="00BF3CCA">
      <w:pPr>
        <w:pStyle w:val="Default"/>
        <w:rPr>
          <w:lang w:val="hu-HU"/>
        </w:rPr>
      </w:pPr>
      <w:r w:rsidRPr="009E58F7">
        <w:rPr>
          <w:color w:val="auto"/>
          <w:sz w:val="22"/>
          <w:lang w:val="hu-HU"/>
        </w:rPr>
        <w:t xml:space="preserve">A bortezomib citotoxikus </w:t>
      </w:r>
      <w:r w:rsidR="00EF084A" w:rsidRPr="009E58F7">
        <w:rPr>
          <w:noProof/>
          <w:color w:val="auto"/>
          <w:sz w:val="22"/>
          <w:szCs w:val="22"/>
          <w:lang w:val="hu-HU"/>
        </w:rPr>
        <w:t>vegyület</w:t>
      </w:r>
      <w:r w:rsidRPr="009E58F7">
        <w:rPr>
          <w:color w:val="auto"/>
          <w:sz w:val="22"/>
          <w:lang w:val="hu-HU"/>
        </w:rPr>
        <w:t xml:space="preserve">, ezért a </w:t>
      </w:r>
      <w:r w:rsidRPr="009E58F7">
        <w:rPr>
          <w:noProof/>
          <w:color w:val="auto"/>
          <w:sz w:val="22"/>
          <w:szCs w:val="22"/>
          <w:lang w:val="hu-HU"/>
        </w:rPr>
        <w:t>készítmény kezelésekor és a</w:t>
      </w:r>
      <w:r w:rsidR="00462402" w:rsidRPr="009E58F7">
        <w:rPr>
          <w:noProof/>
          <w:color w:val="auto"/>
          <w:sz w:val="22"/>
          <w:szCs w:val="22"/>
          <w:lang w:val="hu-HU"/>
        </w:rPr>
        <w:t>z</w:t>
      </w:r>
      <w:r w:rsidRPr="009E58F7">
        <w:rPr>
          <w:noProof/>
          <w:color w:val="auto"/>
          <w:sz w:val="22"/>
          <w:szCs w:val="22"/>
          <w:lang w:val="hu-HU"/>
        </w:rPr>
        <w:t xml:space="preserve"> oldat elkészítésekor kellő körültekintéssel</w:t>
      </w:r>
      <w:r w:rsidRPr="009E58F7">
        <w:rPr>
          <w:color w:val="auto"/>
          <w:sz w:val="22"/>
          <w:lang w:val="hu-HU"/>
        </w:rPr>
        <w:t xml:space="preserve"> kell eljárni. Kesztyű és védőöltözet viselete ajánlott a bőrrel való érintkezés </w:t>
      </w:r>
      <w:r w:rsidRPr="009E58F7">
        <w:rPr>
          <w:noProof/>
          <w:color w:val="auto"/>
          <w:sz w:val="22"/>
          <w:szCs w:val="22"/>
          <w:lang w:val="hu-HU"/>
        </w:rPr>
        <w:t>elkerülése érdekében</w:t>
      </w:r>
      <w:r w:rsidRPr="009E58F7">
        <w:rPr>
          <w:color w:val="auto"/>
          <w:sz w:val="22"/>
          <w:lang w:val="hu-HU"/>
        </w:rPr>
        <w:t>.</w:t>
      </w:r>
    </w:p>
    <w:p w14:paraId="2216E399" w14:textId="36A639C1" w:rsidR="00BF3CCA" w:rsidRDefault="00BF3CCA">
      <w:pPr>
        <w:pStyle w:val="Default"/>
        <w:rPr>
          <w:lang w:val="hu-HU"/>
        </w:rPr>
      </w:pPr>
    </w:p>
    <w:p w14:paraId="2202782F" w14:textId="47C50C06" w:rsidR="00E55519" w:rsidRPr="00E26B3B" w:rsidRDefault="00E505F9">
      <w:pPr>
        <w:pStyle w:val="Default"/>
        <w:rPr>
          <w:sz w:val="22"/>
          <w:szCs w:val="22"/>
          <w:lang w:val="hu-HU"/>
        </w:rPr>
      </w:pPr>
      <w:r w:rsidRPr="00E26B3B">
        <w:rPr>
          <w:sz w:val="22"/>
          <w:szCs w:val="22"/>
          <w:lang w:val="hu-HU"/>
        </w:rPr>
        <w:t>Terhes nők a készítményt nem kezelhetik.</w:t>
      </w:r>
    </w:p>
    <w:p w14:paraId="7276FD9B" w14:textId="77777777" w:rsidR="00E505F9" w:rsidRPr="005F2BC9" w:rsidRDefault="00E505F9">
      <w:pPr>
        <w:pStyle w:val="Default"/>
        <w:rPr>
          <w:lang w:val="hu-HU"/>
        </w:rPr>
      </w:pPr>
    </w:p>
    <w:p w14:paraId="63261B81" w14:textId="762BCC2C" w:rsidR="00BF3CCA" w:rsidRPr="005F2BC9" w:rsidRDefault="00BF3CCA">
      <w:pPr>
        <w:pStyle w:val="Default"/>
        <w:rPr>
          <w:lang w:val="hu-HU"/>
        </w:rPr>
      </w:pPr>
      <w:r w:rsidRPr="009E58F7">
        <w:rPr>
          <w:color w:val="auto"/>
          <w:sz w:val="22"/>
          <w:lang w:val="hu-HU"/>
        </w:rPr>
        <w:t xml:space="preserve">A </w:t>
      </w:r>
      <w:r w:rsidR="00462402" w:rsidRPr="009E58F7">
        <w:rPr>
          <w:noProof/>
          <w:color w:val="auto"/>
          <w:sz w:val="22"/>
          <w:szCs w:val="22"/>
          <w:lang w:val="hu-HU"/>
        </w:rPr>
        <w:t>bortezomib kezelésekor</w:t>
      </w:r>
      <w:r w:rsidR="00EF084A" w:rsidRPr="009E58F7">
        <w:rPr>
          <w:color w:val="auto"/>
          <w:sz w:val="22"/>
          <w:lang w:val="hu-HU"/>
        </w:rPr>
        <w:t xml:space="preserve"> </w:t>
      </w:r>
      <w:r w:rsidRPr="009E58F7">
        <w:rPr>
          <w:color w:val="auto"/>
          <w:sz w:val="22"/>
          <w:lang w:val="hu-HU"/>
        </w:rPr>
        <w:t xml:space="preserve">szigorúan </w:t>
      </w:r>
      <w:r w:rsidR="00EF084A" w:rsidRPr="009E58F7">
        <w:rPr>
          <w:noProof/>
          <w:color w:val="auto"/>
          <w:sz w:val="22"/>
          <w:szCs w:val="22"/>
          <w:lang w:val="hu-HU"/>
        </w:rPr>
        <w:t xml:space="preserve">be kell tartani az </w:t>
      </w:r>
      <w:r w:rsidRPr="009E58F7">
        <w:rPr>
          <w:b/>
          <w:color w:val="auto"/>
          <w:sz w:val="22"/>
          <w:lang w:val="hu-HU"/>
        </w:rPr>
        <w:t xml:space="preserve">aszeptikus </w:t>
      </w:r>
      <w:r w:rsidR="00EF084A" w:rsidRPr="009E58F7">
        <w:rPr>
          <w:b/>
          <w:noProof/>
          <w:color w:val="auto"/>
          <w:sz w:val="22"/>
          <w:szCs w:val="22"/>
          <w:lang w:val="hu-HU"/>
        </w:rPr>
        <w:t>eljárásokat</w:t>
      </w:r>
      <w:r w:rsidR="00EF084A" w:rsidRPr="009E58F7">
        <w:rPr>
          <w:color w:val="auto"/>
          <w:sz w:val="22"/>
          <w:lang w:val="hu-HU"/>
        </w:rPr>
        <w:t xml:space="preserve">, </w:t>
      </w:r>
      <w:r w:rsidRPr="009E58F7">
        <w:rPr>
          <w:color w:val="auto"/>
          <w:sz w:val="22"/>
          <w:lang w:val="hu-HU"/>
        </w:rPr>
        <w:t xml:space="preserve">mivel </w:t>
      </w:r>
      <w:r w:rsidR="00EF084A" w:rsidRPr="009E58F7">
        <w:rPr>
          <w:noProof/>
          <w:color w:val="auto"/>
          <w:sz w:val="22"/>
          <w:szCs w:val="22"/>
          <w:lang w:val="hu-HU"/>
        </w:rPr>
        <w:t xml:space="preserve">a készítmény </w:t>
      </w:r>
      <w:r w:rsidRPr="009E58F7">
        <w:rPr>
          <w:color w:val="auto"/>
          <w:sz w:val="22"/>
          <w:lang w:val="hu-HU"/>
        </w:rPr>
        <w:t>nem tartalmaz tartósítószert.</w:t>
      </w:r>
    </w:p>
    <w:p w14:paraId="19433953" w14:textId="77777777" w:rsidR="00462402" w:rsidRPr="005F2BC9" w:rsidRDefault="00462402">
      <w:pPr>
        <w:pStyle w:val="Default"/>
        <w:rPr>
          <w:lang w:val="hu-HU"/>
        </w:rPr>
      </w:pPr>
    </w:p>
    <w:p w14:paraId="0862AEEC" w14:textId="0B287FEB" w:rsidR="00BF3CCA" w:rsidRPr="00E26B3B" w:rsidRDefault="00462402">
      <w:pPr>
        <w:pStyle w:val="Default"/>
        <w:rPr>
          <w:sz w:val="22"/>
          <w:szCs w:val="22"/>
          <w:lang w:val="hu-HU"/>
        </w:rPr>
      </w:pPr>
      <w:r w:rsidRPr="004342CD">
        <w:rPr>
          <w:noProof/>
          <w:color w:val="auto"/>
          <w:sz w:val="22"/>
          <w:szCs w:val="22"/>
          <w:lang w:val="hu-HU"/>
        </w:rPr>
        <w:t>Halálos kimenetelű</w:t>
      </w:r>
      <w:r w:rsidR="00EF084A" w:rsidRPr="004342CD">
        <w:rPr>
          <w:noProof/>
          <w:color w:val="auto"/>
          <w:sz w:val="22"/>
          <w:szCs w:val="22"/>
          <w:lang w:val="hu-HU"/>
        </w:rPr>
        <w:t xml:space="preserve"> esetek is előfordultak, amikor a</w:t>
      </w:r>
      <w:r w:rsidR="00BF3CCA" w:rsidRPr="004342CD">
        <w:rPr>
          <w:noProof/>
          <w:color w:val="auto"/>
          <w:sz w:val="22"/>
          <w:szCs w:val="22"/>
          <w:lang w:val="hu-HU"/>
        </w:rPr>
        <w:t xml:space="preserve"> bortezomib</w:t>
      </w:r>
      <w:r w:rsidR="00EF084A" w:rsidRPr="004342CD">
        <w:rPr>
          <w:noProof/>
          <w:color w:val="auto"/>
          <w:sz w:val="22"/>
          <w:szCs w:val="22"/>
          <w:lang w:val="hu-HU"/>
        </w:rPr>
        <w:t>ot</w:t>
      </w:r>
      <w:r w:rsidR="00BF3CCA" w:rsidRPr="004342CD">
        <w:rPr>
          <w:noProof/>
          <w:color w:val="auto"/>
          <w:sz w:val="22"/>
          <w:szCs w:val="22"/>
          <w:lang w:val="hu-HU"/>
        </w:rPr>
        <w:t xml:space="preserve"> véletlen</w:t>
      </w:r>
      <w:r w:rsidR="00EF084A" w:rsidRPr="004342CD">
        <w:rPr>
          <w:noProof/>
          <w:color w:val="auto"/>
          <w:sz w:val="22"/>
          <w:szCs w:val="22"/>
          <w:lang w:val="hu-HU"/>
        </w:rPr>
        <w:t>ül</w:t>
      </w:r>
      <w:r w:rsidR="00BF3CCA" w:rsidRPr="004342CD">
        <w:rPr>
          <w:noProof/>
          <w:color w:val="auto"/>
          <w:sz w:val="22"/>
          <w:szCs w:val="22"/>
          <w:lang w:val="hu-HU"/>
        </w:rPr>
        <w:t xml:space="preserve"> </w:t>
      </w:r>
      <w:r w:rsidR="00BF3CCA" w:rsidRPr="004342CD">
        <w:rPr>
          <w:color w:val="auto"/>
          <w:sz w:val="22"/>
          <w:szCs w:val="22"/>
          <w:lang w:val="hu-HU"/>
        </w:rPr>
        <w:t>intrathecalis</w:t>
      </w:r>
      <w:r w:rsidR="00EF084A" w:rsidRPr="004342CD">
        <w:rPr>
          <w:color w:val="auto"/>
          <w:sz w:val="22"/>
          <w:szCs w:val="22"/>
          <w:lang w:val="hu-HU"/>
        </w:rPr>
        <w:t xml:space="preserve">an </w:t>
      </w:r>
      <w:r w:rsidR="00EF084A" w:rsidRPr="004342CD">
        <w:rPr>
          <w:noProof/>
          <w:color w:val="auto"/>
          <w:sz w:val="22"/>
          <w:szCs w:val="22"/>
          <w:lang w:val="hu-HU"/>
        </w:rPr>
        <w:t>adták be</w:t>
      </w:r>
      <w:r w:rsidR="00BF3CCA" w:rsidRPr="004342CD">
        <w:rPr>
          <w:noProof/>
          <w:color w:val="auto"/>
          <w:sz w:val="22"/>
          <w:szCs w:val="22"/>
          <w:lang w:val="hu-HU"/>
        </w:rPr>
        <w:t>.</w:t>
      </w:r>
      <w:r w:rsidRPr="00E26B3B">
        <w:rPr>
          <w:sz w:val="22"/>
          <w:szCs w:val="22"/>
          <w:lang w:val="hu-HU"/>
        </w:rPr>
        <w:t xml:space="preserve"> A bortezomib</w:t>
      </w:r>
      <w:r w:rsidRPr="004342CD">
        <w:rPr>
          <w:color w:val="auto"/>
          <w:sz w:val="22"/>
          <w:szCs w:val="22"/>
          <w:lang w:val="hu-HU"/>
        </w:rPr>
        <w:t xml:space="preserve"> 3,5</w:t>
      </w:r>
      <w:r w:rsidRPr="00E26B3B">
        <w:rPr>
          <w:sz w:val="22"/>
          <w:szCs w:val="22"/>
          <w:lang w:val="hu-HU"/>
        </w:rPr>
        <w:t> </w:t>
      </w:r>
      <w:r w:rsidRPr="004342CD">
        <w:rPr>
          <w:color w:val="auto"/>
          <w:sz w:val="22"/>
          <w:szCs w:val="22"/>
          <w:lang w:val="hu-HU"/>
        </w:rPr>
        <w:t xml:space="preserve">mg por oldatos injekcióhoz intravénásan </w:t>
      </w:r>
      <w:r w:rsidRPr="00E26B3B">
        <w:rPr>
          <w:sz w:val="22"/>
          <w:szCs w:val="22"/>
          <w:lang w:val="hu-HU"/>
        </w:rPr>
        <w:t>vagy</w:t>
      </w:r>
      <w:r w:rsidRPr="004342CD">
        <w:rPr>
          <w:color w:val="auto"/>
          <w:sz w:val="22"/>
          <w:szCs w:val="22"/>
          <w:lang w:val="hu-HU"/>
        </w:rPr>
        <w:t xml:space="preserve"> subcutan alkalmazható. </w:t>
      </w:r>
      <w:r w:rsidR="00BF3CCA" w:rsidRPr="004342CD">
        <w:rPr>
          <w:noProof/>
          <w:color w:val="auto"/>
          <w:sz w:val="22"/>
          <w:szCs w:val="22"/>
          <w:lang w:val="hu-HU"/>
        </w:rPr>
        <w:t xml:space="preserve">A </w:t>
      </w:r>
      <w:r w:rsidRPr="004342CD">
        <w:rPr>
          <w:noProof/>
          <w:color w:val="auto"/>
          <w:sz w:val="22"/>
          <w:szCs w:val="22"/>
          <w:lang w:val="hu-HU"/>
        </w:rPr>
        <w:t xml:space="preserve">bortezomibot nem szabad </w:t>
      </w:r>
      <w:r w:rsidR="00BF3CCA" w:rsidRPr="004342CD">
        <w:rPr>
          <w:noProof/>
          <w:color w:val="auto"/>
          <w:sz w:val="22"/>
          <w:szCs w:val="22"/>
          <w:lang w:val="hu-HU"/>
        </w:rPr>
        <w:t xml:space="preserve">intratechalisan </w:t>
      </w:r>
      <w:r w:rsidR="00BF3CCA" w:rsidRPr="004342CD">
        <w:rPr>
          <w:color w:val="auto"/>
          <w:sz w:val="22"/>
          <w:szCs w:val="22"/>
          <w:lang w:val="hu-HU"/>
        </w:rPr>
        <w:t>alkalmazni</w:t>
      </w:r>
      <w:r w:rsidRPr="004342CD">
        <w:rPr>
          <w:color w:val="auto"/>
          <w:sz w:val="22"/>
          <w:szCs w:val="22"/>
          <w:lang w:val="hu-HU"/>
        </w:rPr>
        <w:t>!</w:t>
      </w:r>
    </w:p>
    <w:p w14:paraId="4CDD4496" w14:textId="77777777" w:rsidR="00BF3CCA" w:rsidRPr="005F2BC9" w:rsidRDefault="00BF3CCA">
      <w:pPr>
        <w:pStyle w:val="Default"/>
        <w:rPr>
          <w:lang w:val="hu-HU"/>
        </w:rPr>
      </w:pPr>
    </w:p>
    <w:p w14:paraId="5F9D18D0" w14:textId="1F55E53A" w:rsidR="00BF3CCA" w:rsidRPr="009E58F7" w:rsidRDefault="00EF084A">
      <w:pPr>
        <w:pStyle w:val="Default"/>
        <w:rPr>
          <w:noProof/>
          <w:color w:val="auto"/>
          <w:sz w:val="22"/>
          <w:szCs w:val="22"/>
          <w:u w:val="single"/>
          <w:lang w:val="hu-HU"/>
        </w:rPr>
      </w:pPr>
      <w:r w:rsidRPr="009E58F7">
        <w:rPr>
          <w:noProof/>
          <w:color w:val="auto"/>
          <w:sz w:val="22"/>
          <w:szCs w:val="22"/>
          <w:u w:val="single"/>
          <w:lang w:val="hu-HU"/>
        </w:rPr>
        <w:t>Utasítások az e</w:t>
      </w:r>
      <w:r w:rsidR="00F6458B" w:rsidRPr="009E58F7">
        <w:rPr>
          <w:noProof/>
          <w:color w:val="auto"/>
          <w:sz w:val="22"/>
          <w:szCs w:val="22"/>
          <w:u w:val="single"/>
          <w:lang w:val="hu-HU"/>
        </w:rPr>
        <w:t>l</w:t>
      </w:r>
      <w:r w:rsidR="00BF3CCA" w:rsidRPr="009E58F7">
        <w:rPr>
          <w:noProof/>
          <w:color w:val="auto"/>
          <w:sz w:val="22"/>
          <w:szCs w:val="22"/>
          <w:u w:val="single"/>
          <w:lang w:val="hu-HU"/>
        </w:rPr>
        <w:t>készítés</w:t>
      </w:r>
      <w:r w:rsidRPr="009E58F7">
        <w:rPr>
          <w:noProof/>
          <w:color w:val="auto"/>
          <w:sz w:val="22"/>
          <w:szCs w:val="22"/>
          <w:u w:val="single"/>
          <w:lang w:val="hu-HU"/>
        </w:rPr>
        <w:t>hez</w:t>
      </w:r>
      <w:r w:rsidR="00BF3CCA" w:rsidRPr="009E58F7">
        <w:rPr>
          <w:noProof/>
          <w:color w:val="auto"/>
          <w:sz w:val="22"/>
          <w:szCs w:val="22"/>
          <w:u w:val="single"/>
          <w:lang w:val="hu-HU"/>
        </w:rPr>
        <w:t>:</w:t>
      </w:r>
    </w:p>
    <w:p w14:paraId="28CDDA1A" w14:textId="3D47B385" w:rsidR="00BF3CCA" w:rsidRPr="005F2BC9" w:rsidRDefault="00BF3CCA">
      <w:pPr>
        <w:pStyle w:val="Default"/>
        <w:rPr>
          <w:lang w:val="hu-HU"/>
        </w:rPr>
      </w:pPr>
      <w:r w:rsidRPr="009E58F7">
        <w:rPr>
          <w:noProof/>
          <w:color w:val="auto"/>
          <w:sz w:val="22"/>
          <w:szCs w:val="22"/>
          <w:lang w:val="hu-HU"/>
        </w:rPr>
        <w:t xml:space="preserve">A </w:t>
      </w:r>
      <w:r w:rsidR="00462402" w:rsidRPr="009E58F7">
        <w:rPr>
          <w:noProof/>
          <w:color w:val="auto"/>
          <w:sz w:val="22"/>
          <w:szCs w:val="22"/>
          <w:lang w:val="hu-HU"/>
        </w:rPr>
        <w:t>bortezomib</w:t>
      </w:r>
      <w:r w:rsidR="00EF084A" w:rsidRPr="009E58F7">
        <w:rPr>
          <w:noProof/>
          <w:color w:val="auto"/>
          <w:sz w:val="22"/>
          <w:szCs w:val="22"/>
          <w:lang w:val="hu-HU"/>
        </w:rPr>
        <w:t xml:space="preserve"> </w:t>
      </w:r>
      <w:r w:rsidR="00462402" w:rsidRPr="009E58F7">
        <w:rPr>
          <w:noProof/>
          <w:color w:val="auto"/>
          <w:sz w:val="22"/>
          <w:szCs w:val="22"/>
          <w:lang w:val="hu-HU"/>
        </w:rPr>
        <w:t>elkészítését</w:t>
      </w:r>
      <w:r w:rsidR="00EF084A" w:rsidRPr="009E58F7">
        <w:rPr>
          <w:color w:val="auto"/>
          <w:sz w:val="22"/>
          <w:lang w:val="hu-HU"/>
        </w:rPr>
        <w:t xml:space="preserve"> </w:t>
      </w:r>
      <w:r w:rsidRPr="009E58F7">
        <w:rPr>
          <w:color w:val="auto"/>
          <w:sz w:val="22"/>
          <w:lang w:val="hu-HU"/>
        </w:rPr>
        <w:t xml:space="preserve">kizárólag egészségügyi szakember </w:t>
      </w:r>
      <w:r w:rsidR="00EF084A" w:rsidRPr="009E58F7">
        <w:rPr>
          <w:noProof/>
          <w:color w:val="auto"/>
          <w:sz w:val="22"/>
          <w:szCs w:val="22"/>
          <w:lang w:val="hu-HU"/>
        </w:rPr>
        <w:t>végezheti</w:t>
      </w:r>
      <w:r w:rsidRPr="009E58F7">
        <w:rPr>
          <w:color w:val="auto"/>
          <w:sz w:val="22"/>
          <w:lang w:val="hu-HU"/>
        </w:rPr>
        <w:t>.</w:t>
      </w:r>
    </w:p>
    <w:p w14:paraId="7C34D88E" w14:textId="77777777" w:rsidR="00BF3CCA" w:rsidRPr="005F2BC9" w:rsidRDefault="00BF3CCA">
      <w:pPr>
        <w:pStyle w:val="Default"/>
        <w:rPr>
          <w:lang w:val="hu-HU"/>
        </w:rPr>
      </w:pPr>
    </w:p>
    <w:p w14:paraId="1264B9DF" w14:textId="77777777" w:rsidR="00BF3CCA" w:rsidRPr="009E58F7" w:rsidRDefault="00BF3CCA">
      <w:pPr>
        <w:pStyle w:val="Nincstrkz"/>
        <w:rPr>
          <w:i/>
        </w:rPr>
      </w:pPr>
      <w:r w:rsidRPr="009E58F7">
        <w:rPr>
          <w:i/>
        </w:rPr>
        <w:t>Intravénás injekció</w:t>
      </w:r>
    </w:p>
    <w:p w14:paraId="3D3B6446" w14:textId="6B97C093" w:rsidR="00BF3CCA" w:rsidRPr="009E58F7" w:rsidRDefault="00EF084A">
      <w:pPr>
        <w:pStyle w:val="Nincstrkz"/>
      </w:pPr>
      <w:r w:rsidRPr="009E58F7">
        <w:t>Minden 10</w:t>
      </w:r>
      <w:r w:rsidRPr="009E58F7">
        <w:rPr>
          <w:noProof/>
        </w:rPr>
        <w:t> </w:t>
      </w:r>
      <w:r w:rsidR="00BF3CCA" w:rsidRPr="009E58F7">
        <w:t xml:space="preserve">ml-es </w:t>
      </w:r>
      <w:r w:rsidR="00462402" w:rsidRPr="009E58F7">
        <w:rPr>
          <w:noProof/>
        </w:rPr>
        <w:t>bortezomib</w:t>
      </w:r>
      <w:r w:rsidRPr="009E58F7">
        <w:t xml:space="preserve"> injekciós üveg tartalmát 3,5</w:t>
      </w:r>
      <w:r w:rsidRPr="009E58F7">
        <w:rPr>
          <w:noProof/>
        </w:rPr>
        <w:t> </w:t>
      </w:r>
      <w:r w:rsidRPr="009E58F7">
        <w:t>ml</w:t>
      </w:r>
      <w:r w:rsidR="003B0771" w:rsidRPr="009E58F7">
        <w:rPr>
          <w:noProof/>
        </w:rPr>
        <w:t>,</w:t>
      </w:r>
      <w:r w:rsidRPr="009E58F7">
        <w:t xml:space="preserve"> 9</w:t>
      </w:r>
      <w:r w:rsidRPr="009E58F7">
        <w:rPr>
          <w:noProof/>
        </w:rPr>
        <w:t> </w:t>
      </w:r>
      <w:r w:rsidR="00BF3CCA" w:rsidRPr="009E58F7">
        <w:t>mg/ml</w:t>
      </w:r>
      <w:r w:rsidRPr="009E58F7">
        <w:rPr>
          <w:noProof/>
        </w:rPr>
        <w:t xml:space="preserve"> koncentrációjú</w:t>
      </w:r>
      <w:r w:rsidR="00BF3CCA" w:rsidRPr="009E58F7">
        <w:rPr>
          <w:noProof/>
        </w:rPr>
        <w:t xml:space="preserve"> </w:t>
      </w:r>
      <w:r w:rsidR="00BF3CCA" w:rsidRPr="009E58F7">
        <w:t>(0,9</w:t>
      </w:r>
      <w:r w:rsidR="00BF3CCA" w:rsidRPr="009E58F7">
        <w:rPr>
          <w:noProof/>
        </w:rPr>
        <w:t>%</w:t>
      </w:r>
      <w:r w:rsidR="00621E19">
        <w:rPr>
          <w:noProof/>
        </w:rPr>
        <w:t>-</w:t>
      </w:r>
      <w:r w:rsidR="00BF3CCA" w:rsidRPr="009E58F7">
        <w:t xml:space="preserve">os) </w:t>
      </w:r>
      <w:r w:rsidRPr="009E58F7">
        <w:t>nátrium</w:t>
      </w:r>
      <w:r w:rsidR="00621E19">
        <w:rPr>
          <w:noProof/>
        </w:rPr>
        <w:t>-</w:t>
      </w:r>
      <w:r w:rsidRPr="009E58F7">
        <w:rPr>
          <w:noProof/>
        </w:rPr>
        <w:t xml:space="preserve">klorid oldatos </w:t>
      </w:r>
      <w:r w:rsidR="00BF3CCA" w:rsidRPr="009E58F7">
        <w:rPr>
          <w:noProof/>
        </w:rPr>
        <w:t>injekció</w:t>
      </w:r>
      <w:r w:rsidR="003B0771" w:rsidRPr="009E58F7">
        <w:rPr>
          <w:noProof/>
        </w:rPr>
        <w:t>val</w:t>
      </w:r>
      <w:r w:rsidR="002C4BCC" w:rsidRPr="009E58F7">
        <w:rPr>
          <w:noProof/>
        </w:rPr>
        <w:t xml:space="preserve"> </w:t>
      </w:r>
      <w:r w:rsidR="00BF3CCA" w:rsidRPr="009E58F7">
        <w:t xml:space="preserve">kell </w:t>
      </w:r>
      <w:r w:rsidR="002C4BCC" w:rsidRPr="009E58F7">
        <w:t xml:space="preserve">óvatosan </w:t>
      </w:r>
      <w:r w:rsidR="00BF3CCA" w:rsidRPr="009E58F7">
        <w:t>feloldani</w:t>
      </w:r>
      <w:r w:rsidR="002C4BCC" w:rsidRPr="009E58F7">
        <w:t xml:space="preserve">, a </w:t>
      </w:r>
      <w:r w:rsidR="002C4BCC" w:rsidRPr="009E58F7">
        <w:rPr>
          <w:noProof/>
        </w:rPr>
        <w:t>megfelelő méretű fecskendő alkalmazásával</w:t>
      </w:r>
      <w:r w:rsidR="004342CD">
        <w:rPr>
          <w:noProof/>
        </w:rPr>
        <w:t>,</w:t>
      </w:r>
      <w:r w:rsidR="002C4BCC" w:rsidRPr="009E58F7">
        <w:t xml:space="preserve"> és az injekciós üveg dugójának eltávolítása nélkül</w:t>
      </w:r>
      <w:r w:rsidR="00BF3CCA" w:rsidRPr="009E58F7">
        <w:rPr>
          <w:noProof/>
        </w:rPr>
        <w:t>.</w:t>
      </w:r>
      <w:r w:rsidR="00BF3CCA" w:rsidRPr="009E58F7">
        <w:t xml:space="preserve"> A liofilizált por telj</w:t>
      </w:r>
      <w:r w:rsidR="00F1445A" w:rsidRPr="009E58F7">
        <w:t>es feloldódása kevesebb</w:t>
      </w:r>
      <w:r w:rsidRPr="009E58F7">
        <w:t xml:space="preserve"> mint 2</w:t>
      </w:r>
      <w:r w:rsidRPr="009E58F7">
        <w:rPr>
          <w:noProof/>
        </w:rPr>
        <w:t> </w:t>
      </w:r>
      <w:r w:rsidR="00BF3CCA" w:rsidRPr="009E58F7">
        <w:t>percet vesz igénybe.</w:t>
      </w:r>
    </w:p>
    <w:p w14:paraId="2A82971D" w14:textId="77777777" w:rsidR="00BF3CCA" w:rsidRPr="009E58F7" w:rsidRDefault="00BF3CCA">
      <w:pPr>
        <w:pStyle w:val="Nincstrkz"/>
      </w:pPr>
    </w:p>
    <w:p w14:paraId="6EEC0A86" w14:textId="7E4586F0" w:rsidR="003B0771" w:rsidRPr="009E58F7" w:rsidRDefault="003B0771">
      <w:pPr>
        <w:pStyle w:val="Nincstrkz"/>
      </w:pPr>
      <w:r w:rsidRPr="009E58F7">
        <w:t>Elkészítés után az oldat 1</w:t>
      </w:r>
      <w:r w:rsidRPr="009E58F7">
        <w:rPr>
          <w:noProof/>
        </w:rPr>
        <w:t> </w:t>
      </w:r>
      <w:r w:rsidR="00BF3CCA" w:rsidRPr="009E58F7">
        <w:t>mg bortezomibot tartalmaz milliliterenként. Az elkészített oldat tiszta</w:t>
      </w:r>
      <w:r w:rsidRPr="009E58F7">
        <w:rPr>
          <w:noProof/>
        </w:rPr>
        <w:t xml:space="preserve"> és</w:t>
      </w:r>
      <w:r w:rsidRPr="009E58F7">
        <w:t xml:space="preserve"> </w:t>
      </w:r>
      <w:r w:rsidR="00BF3CCA" w:rsidRPr="009E58F7">
        <w:t xml:space="preserve">színtelen, </w:t>
      </w:r>
      <w:r w:rsidRPr="009E58F7">
        <w:rPr>
          <w:noProof/>
        </w:rPr>
        <w:t xml:space="preserve">végső </w:t>
      </w:r>
      <w:r w:rsidR="00BF3CCA" w:rsidRPr="009E58F7">
        <w:t>pH</w:t>
      </w:r>
      <w:r w:rsidRPr="009E58F7">
        <w:rPr>
          <w:noProof/>
        </w:rPr>
        <w:t xml:space="preserve"> értéke</w:t>
      </w:r>
      <w:r w:rsidRPr="009E58F7">
        <w:t xml:space="preserve"> </w:t>
      </w:r>
      <w:r w:rsidR="00BF3CCA" w:rsidRPr="009E58F7">
        <w:t>4</w:t>
      </w:r>
      <w:r w:rsidR="001D14D0">
        <w:t>–</w:t>
      </w:r>
      <w:r w:rsidR="00BF3CCA" w:rsidRPr="009E58F7">
        <w:t>7</w:t>
      </w:r>
      <w:r w:rsidRPr="009E58F7">
        <w:rPr>
          <w:noProof/>
        </w:rPr>
        <w:t> között</w:t>
      </w:r>
      <w:r w:rsidRPr="009E58F7">
        <w:t xml:space="preserve"> van.</w:t>
      </w:r>
    </w:p>
    <w:p w14:paraId="705CB275" w14:textId="77777777" w:rsidR="003B0771" w:rsidRPr="009E58F7" w:rsidRDefault="003B0771">
      <w:pPr>
        <w:pStyle w:val="Nincstrkz"/>
        <w:rPr>
          <w:noProof/>
        </w:rPr>
      </w:pPr>
    </w:p>
    <w:p w14:paraId="2F373568" w14:textId="37C3A750" w:rsidR="00BF3CCA" w:rsidRPr="009E58F7" w:rsidRDefault="00BF3CCA">
      <w:pPr>
        <w:pStyle w:val="Nincstrkz"/>
      </w:pPr>
      <w:r w:rsidRPr="009E58F7">
        <w:t xml:space="preserve">Az elkészített </w:t>
      </w:r>
      <w:r w:rsidRPr="009E58F7">
        <w:rPr>
          <w:noProof/>
        </w:rPr>
        <w:t>oldat</w:t>
      </w:r>
      <w:r w:rsidR="002C4BCC" w:rsidRPr="009E58F7">
        <w:rPr>
          <w:noProof/>
        </w:rPr>
        <w:t>ot</w:t>
      </w:r>
      <w:r w:rsidRPr="009E58F7">
        <w:t xml:space="preserve"> </w:t>
      </w:r>
      <w:r w:rsidR="004342CD">
        <w:t>szabad szemmel</w:t>
      </w:r>
      <w:r w:rsidR="004342CD" w:rsidRPr="009E58F7">
        <w:t xml:space="preserve"> </w:t>
      </w:r>
      <w:r w:rsidRPr="009E58F7">
        <w:t xml:space="preserve">ellenőrizni kell, hogy </w:t>
      </w:r>
      <w:r w:rsidR="003B0771" w:rsidRPr="009E58F7">
        <w:rPr>
          <w:noProof/>
        </w:rPr>
        <w:t xml:space="preserve">tartalmaz-e </w:t>
      </w:r>
      <w:r w:rsidRPr="009E58F7">
        <w:t>részecskéket</w:t>
      </w:r>
      <w:r w:rsidR="003B0771" w:rsidRPr="009E58F7">
        <w:rPr>
          <w:noProof/>
        </w:rPr>
        <w:t>, illetve</w:t>
      </w:r>
      <w:r w:rsidR="003B0771" w:rsidRPr="009E58F7">
        <w:t xml:space="preserve"> </w:t>
      </w:r>
      <w:r w:rsidRPr="009E58F7">
        <w:t xml:space="preserve">elszíneződött-e. </w:t>
      </w:r>
      <w:r w:rsidR="003B0771" w:rsidRPr="009E58F7">
        <w:rPr>
          <w:noProof/>
        </w:rPr>
        <w:t>Amennyiben bármilyen e</w:t>
      </w:r>
      <w:r w:rsidRPr="009E58F7">
        <w:rPr>
          <w:noProof/>
        </w:rPr>
        <w:t>lszíneződés</w:t>
      </w:r>
      <w:r w:rsidRPr="009E58F7">
        <w:t xml:space="preserve"> vagy részecskék </w:t>
      </w:r>
      <w:r w:rsidR="003B0771" w:rsidRPr="009E58F7">
        <w:rPr>
          <w:noProof/>
        </w:rPr>
        <w:t>láthatók,</w:t>
      </w:r>
      <w:r w:rsidR="003B0771" w:rsidRPr="009E58F7">
        <w:t xml:space="preserve"> </w:t>
      </w:r>
      <w:r w:rsidRPr="009E58F7">
        <w:t xml:space="preserve">az elkészített oldatot </w:t>
      </w:r>
      <w:r w:rsidR="003B0771" w:rsidRPr="009E58F7">
        <w:rPr>
          <w:noProof/>
        </w:rPr>
        <w:t>meg</w:t>
      </w:r>
      <w:r w:rsidR="003B0771" w:rsidRPr="009E58F7">
        <w:t xml:space="preserve"> kell </w:t>
      </w:r>
      <w:r w:rsidR="003B0771" w:rsidRPr="009E58F7">
        <w:rPr>
          <w:noProof/>
        </w:rPr>
        <w:t>semmisíteni</w:t>
      </w:r>
      <w:r w:rsidRPr="009E58F7">
        <w:t>.</w:t>
      </w:r>
    </w:p>
    <w:p w14:paraId="740896D8" w14:textId="77777777" w:rsidR="00BF3CCA" w:rsidRPr="009E58F7" w:rsidRDefault="00BF3CCA">
      <w:pPr>
        <w:pStyle w:val="Nincstrkz"/>
      </w:pPr>
    </w:p>
    <w:p w14:paraId="088FC1ED" w14:textId="77777777" w:rsidR="00BF3CCA" w:rsidRPr="009E58F7" w:rsidRDefault="00BF3CCA">
      <w:pPr>
        <w:pStyle w:val="Nincstrkz"/>
      </w:pPr>
      <w:r w:rsidRPr="009E58F7">
        <w:rPr>
          <w:i/>
        </w:rPr>
        <w:t>Subcutan injekció</w:t>
      </w:r>
    </w:p>
    <w:p w14:paraId="0E0F527B" w14:textId="67F66EB8" w:rsidR="003B0771" w:rsidRPr="009E58F7" w:rsidRDefault="003B0771">
      <w:pPr>
        <w:pStyle w:val="Nincstrkz"/>
      </w:pPr>
      <w:r w:rsidRPr="009E58F7">
        <w:t>Minden 10</w:t>
      </w:r>
      <w:r w:rsidRPr="009E58F7">
        <w:rPr>
          <w:noProof/>
        </w:rPr>
        <w:t> </w:t>
      </w:r>
      <w:r w:rsidRPr="009E58F7">
        <w:t xml:space="preserve">ml-es </w:t>
      </w:r>
      <w:r w:rsidR="002C4BCC" w:rsidRPr="009E58F7">
        <w:rPr>
          <w:noProof/>
        </w:rPr>
        <w:t>bortezomib</w:t>
      </w:r>
      <w:r w:rsidRPr="009E58F7">
        <w:t xml:space="preserve"> injekciós üveg tartalmát 1,4</w:t>
      </w:r>
      <w:r w:rsidRPr="009E58F7">
        <w:rPr>
          <w:noProof/>
        </w:rPr>
        <w:t> </w:t>
      </w:r>
      <w:r w:rsidRPr="009E58F7">
        <w:t>ml 9</w:t>
      </w:r>
      <w:r w:rsidRPr="009E58F7">
        <w:rPr>
          <w:noProof/>
        </w:rPr>
        <w:t> </w:t>
      </w:r>
      <w:r w:rsidRPr="009E58F7">
        <w:t>mg/ml</w:t>
      </w:r>
      <w:r w:rsidRPr="009E58F7">
        <w:rPr>
          <w:noProof/>
        </w:rPr>
        <w:t xml:space="preserve"> koncentrációjú</w:t>
      </w:r>
      <w:r w:rsidRPr="009E58F7">
        <w:t xml:space="preserve"> (0,9</w:t>
      </w:r>
      <w:r w:rsidRPr="009E58F7">
        <w:rPr>
          <w:noProof/>
        </w:rPr>
        <w:t>%</w:t>
      </w:r>
      <w:r w:rsidR="00621E19">
        <w:rPr>
          <w:noProof/>
        </w:rPr>
        <w:t>-</w:t>
      </w:r>
      <w:r w:rsidRPr="009E58F7">
        <w:t>os) nátrium</w:t>
      </w:r>
      <w:r w:rsidR="00621E19">
        <w:rPr>
          <w:noProof/>
        </w:rPr>
        <w:t>-</w:t>
      </w:r>
      <w:r w:rsidRPr="009E58F7">
        <w:rPr>
          <w:noProof/>
        </w:rPr>
        <w:t>klorid oldatos injekcióval</w:t>
      </w:r>
      <w:r w:rsidRPr="009E58F7">
        <w:t xml:space="preserve"> kell </w:t>
      </w:r>
      <w:r w:rsidR="002C4BCC" w:rsidRPr="009E58F7">
        <w:t xml:space="preserve">óvatosan </w:t>
      </w:r>
      <w:r w:rsidRPr="009E58F7">
        <w:t>feloldani</w:t>
      </w:r>
      <w:r w:rsidR="002C4BCC" w:rsidRPr="009E58F7">
        <w:t xml:space="preserve">, a </w:t>
      </w:r>
      <w:r w:rsidR="002C4BCC" w:rsidRPr="009E58F7">
        <w:rPr>
          <w:noProof/>
        </w:rPr>
        <w:t>megfelelő méretű fecskendő alkalmazásával</w:t>
      </w:r>
      <w:r w:rsidR="004342CD">
        <w:rPr>
          <w:noProof/>
        </w:rPr>
        <w:t>,</w:t>
      </w:r>
      <w:r w:rsidR="002C4BCC" w:rsidRPr="009E58F7">
        <w:t xml:space="preserve"> és az injekciós üveg dugójának eltávolítása nélkül</w:t>
      </w:r>
      <w:r w:rsidRPr="009E58F7">
        <w:rPr>
          <w:noProof/>
        </w:rPr>
        <w:t>.</w:t>
      </w:r>
      <w:r w:rsidRPr="009E58F7">
        <w:t xml:space="preserve"> A liofilizált por telj</w:t>
      </w:r>
      <w:r w:rsidR="00F1445A" w:rsidRPr="009E58F7">
        <w:t>es feloldódása kevesebb</w:t>
      </w:r>
      <w:r w:rsidRPr="009E58F7">
        <w:t xml:space="preserve"> mint 2</w:t>
      </w:r>
      <w:r w:rsidRPr="009E58F7">
        <w:rPr>
          <w:noProof/>
        </w:rPr>
        <w:t> </w:t>
      </w:r>
      <w:r w:rsidRPr="009E58F7">
        <w:t>percet vesz igénybe.</w:t>
      </w:r>
    </w:p>
    <w:p w14:paraId="7CDBE0B1" w14:textId="77777777" w:rsidR="003B0771" w:rsidRPr="009E58F7" w:rsidRDefault="003B0771">
      <w:pPr>
        <w:pStyle w:val="Nincstrkz"/>
      </w:pPr>
    </w:p>
    <w:p w14:paraId="1A47E65B" w14:textId="74026DB2" w:rsidR="003B0771" w:rsidRPr="009E58F7" w:rsidRDefault="003B0771">
      <w:pPr>
        <w:pStyle w:val="Nincstrkz"/>
      </w:pPr>
      <w:r w:rsidRPr="009E58F7">
        <w:t>Elkészítés után az oldat 2,5</w:t>
      </w:r>
      <w:r w:rsidRPr="009E58F7">
        <w:rPr>
          <w:noProof/>
        </w:rPr>
        <w:t> </w:t>
      </w:r>
      <w:r w:rsidRPr="009E58F7">
        <w:t>mg bortezomibot tartalmaz milliliterenként. Az elkészített oldat tiszta</w:t>
      </w:r>
      <w:r w:rsidRPr="009E58F7">
        <w:rPr>
          <w:noProof/>
        </w:rPr>
        <w:t xml:space="preserve"> és</w:t>
      </w:r>
      <w:r w:rsidRPr="009E58F7">
        <w:t xml:space="preserve"> színtelen, </w:t>
      </w:r>
      <w:r w:rsidRPr="009E58F7">
        <w:rPr>
          <w:noProof/>
        </w:rPr>
        <w:t xml:space="preserve">végső </w:t>
      </w:r>
      <w:r w:rsidRPr="009E58F7">
        <w:t>pH</w:t>
      </w:r>
      <w:r w:rsidRPr="009E58F7">
        <w:rPr>
          <w:noProof/>
        </w:rPr>
        <w:t xml:space="preserve"> értéke</w:t>
      </w:r>
      <w:r w:rsidRPr="009E58F7">
        <w:t xml:space="preserve"> 4</w:t>
      </w:r>
      <w:r w:rsidR="001D14D0">
        <w:t>–</w:t>
      </w:r>
      <w:r w:rsidRPr="009E58F7">
        <w:t>7</w:t>
      </w:r>
      <w:r w:rsidRPr="009E58F7">
        <w:rPr>
          <w:noProof/>
        </w:rPr>
        <w:t> között</w:t>
      </w:r>
      <w:r w:rsidRPr="009E58F7">
        <w:t xml:space="preserve"> van.</w:t>
      </w:r>
      <w:r w:rsidR="00B50DFC" w:rsidRPr="009E58F7">
        <w:t xml:space="preserve"> </w:t>
      </w:r>
      <w:r w:rsidRPr="009E58F7">
        <w:t xml:space="preserve">Az elkészített </w:t>
      </w:r>
      <w:r w:rsidRPr="009E58F7">
        <w:rPr>
          <w:noProof/>
        </w:rPr>
        <w:t>oldat</w:t>
      </w:r>
      <w:r w:rsidR="002C4BCC" w:rsidRPr="009E58F7">
        <w:rPr>
          <w:noProof/>
        </w:rPr>
        <w:t>ot</w:t>
      </w:r>
      <w:r w:rsidRPr="009E58F7">
        <w:t xml:space="preserve"> </w:t>
      </w:r>
      <w:r w:rsidR="004342CD">
        <w:t>szabad szemmel</w:t>
      </w:r>
      <w:r w:rsidRPr="009E58F7">
        <w:t xml:space="preserve"> ellenőrizni kell, hogy </w:t>
      </w:r>
      <w:r w:rsidRPr="009E58F7">
        <w:rPr>
          <w:noProof/>
        </w:rPr>
        <w:t xml:space="preserve">tartalmaz-e </w:t>
      </w:r>
      <w:r w:rsidRPr="009E58F7">
        <w:t>részecskéket</w:t>
      </w:r>
      <w:r w:rsidRPr="009E58F7">
        <w:rPr>
          <w:noProof/>
        </w:rPr>
        <w:t>, illetve</w:t>
      </w:r>
      <w:r w:rsidRPr="009E58F7">
        <w:t xml:space="preserve"> elszíneződött-e. </w:t>
      </w:r>
      <w:r w:rsidRPr="009E58F7">
        <w:rPr>
          <w:noProof/>
        </w:rPr>
        <w:t>Amennyiben bármilyen elszíneződés</w:t>
      </w:r>
      <w:r w:rsidRPr="009E58F7">
        <w:t xml:space="preserve"> vagy részecskék </w:t>
      </w:r>
      <w:r w:rsidRPr="009E58F7">
        <w:rPr>
          <w:noProof/>
        </w:rPr>
        <w:t>láthatók,</w:t>
      </w:r>
      <w:r w:rsidRPr="009E58F7">
        <w:t xml:space="preserve"> az elkészített oldatot </w:t>
      </w:r>
      <w:r w:rsidRPr="009E58F7">
        <w:rPr>
          <w:noProof/>
        </w:rPr>
        <w:t>meg</w:t>
      </w:r>
      <w:r w:rsidRPr="009E58F7">
        <w:t xml:space="preserve"> kell </w:t>
      </w:r>
      <w:r w:rsidRPr="009E58F7">
        <w:rPr>
          <w:noProof/>
        </w:rPr>
        <w:t>semmisíteni</w:t>
      </w:r>
      <w:r w:rsidRPr="009E58F7">
        <w:t>.</w:t>
      </w:r>
    </w:p>
    <w:p w14:paraId="535CF4DE" w14:textId="77777777" w:rsidR="004D6470" w:rsidRPr="009E58F7" w:rsidRDefault="004D6470">
      <w:pPr>
        <w:pStyle w:val="Nincstrkz"/>
      </w:pPr>
    </w:p>
    <w:p w14:paraId="302AD140" w14:textId="77777777" w:rsidR="004D6470" w:rsidRPr="009E58F7" w:rsidRDefault="004D6470">
      <w:pPr>
        <w:pStyle w:val="Nincstrkz"/>
        <w:keepNext/>
        <w:rPr>
          <w:u w:val="single"/>
        </w:rPr>
      </w:pPr>
      <w:r w:rsidRPr="009E58F7">
        <w:rPr>
          <w:u w:val="single"/>
        </w:rPr>
        <w:t>Megsemmisítés</w:t>
      </w:r>
    </w:p>
    <w:p w14:paraId="75AA4D9A" w14:textId="25C271B9" w:rsidR="004D6470" w:rsidRPr="009E58F7" w:rsidRDefault="004D6470">
      <w:pPr>
        <w:pStyle w:val="Nincstrkz"/>
        <w:keepNext/>
      </w:pPr>
      <w:r w:rsidRPr="009E58F7">
        <w:t xml:space="preserve">A </w:t>
      </w:r>
      <w:r w:rsidR="002C4BCC" w:rsidRPr="009E58F7">
        <w:t>b</w:t>
      </w:r>
      <w:r w:rsidR="00DC500E" w:rsidRPr="009E58F7">
        <w:t xml:space="preserve">ortezomib </w:t>
      </w:r>
      <w:r w:rsidRPr="009E58F7">
        <w:t>kizárólag egyszer</w:t>
      </w:r>
      <w:r w:rsidR="00BF3CCA" w:rsidRPr="009E58F7">
        <w:t>i</w:t>
      </w:r>
      <w:r w:rsidRPr="009E58F7">
        <w:t xml:space="preserve"> használ</w:t>
      </w:r>
      <w:r w:rsidR="00BF3CCA" w:rsidRPr="009E58F7">
        <w:t>atra való</w:t>
      </w:r>
      <w:r w:rsidRPr="009E58F7">
        <w:t>.</w:t>
      </w:r>
      <w:r w:rsidR="0004312C" w:rsidRPr="009E58F7">
        <w:t xml:space="preserve"> </w:t>
      </w:r>
      <w:r w:rsidRPr="009E58F7">
        <w:t>Bármilyen fel nem használt gyógyszer, illetve hulladékanyag megsemmisítését a</w:t>
      </w:r>
      <w:r w:rsidR="000F451A" w:rsidRPr="009E58F7">
        <w:t xml:space="preserve"> </w:t>
      </w:r>
      <w:r w:rsidRPr="009E58F7">
        <w:t>gyógyszerekre vonatkozó előírások szerint kell végrehajtani.</w:t>
      </w:r>
    </w:p>
    <w:p w14:paraId="0287154A" w14:textId="77777777" w:rsidR="00DF0929" w:rsidRPr="009E58F7" w:rsidRDefault="00DF0929">
      <w:pPr>
        <w:widowControl w:val="0"/>
        <w:autoSpaceDE w:val="0"/>
        <w:autoSpaceDN w:val="0"/>
        <w:adjustRightInd w:val="0"/>
        <w:spacing w:line="240" w:lineRule="auto"/>
      </w:pPr>
    </w:p>
    <w:p w14:paraId="61FCC0C5" w14:textId="77777777" w:rsidR="0091417F" w:rsidRPr="009E58F7" w:rsidRDefault="0091417F" w:rsidP="0091417F">
      <w:pPr>
        <w:widowControl w:val="0"/>
        <w:autoSpaceDE w:val="0"/>
        <w:autoSpaceDN w:val="0"/>
        <w:adjustRightInd w:val="0"/>
        <w:spacing w:line="240" w:lineRule="auto"/>
      </w:pPr>
      <w:r w:rsidRPr="009E58F7">
        <w:rPr>
          <w:b/>
        </w:rPr>
        <w:t>Megjegyzés</w:t>
      </w:r>
      <w:r w:rsidRPr="009E58F7">
        <w:t xml:space="preserve">: </w:t>
      </w:r>
      <w:r w:rsidRPr="009E58F7">
        <w:sym w:font="Wingdings" w:char="F058"/>
      </w:r>
      <w:r w:rsidRPr="009E58F7">
        <w:sym w:font="Wingdings" w:char="F058"/>
      </w:r>
      <w:r w:rsidRPr="009E58F7">
        <w:t xml:space="preserve"> (két kereszt)</w:t>
      </w:r>
    </w:p>
    <w:p w14:paraId="387C2540" w14:textId="77777777" w:rsidR="0091417F" w:rsidRPr="009E58F7" w:rsidRDefault="0091417F" w:rsidP="00E26B3B">
      <w:pPr>
        <w:pStyle w:val="Cmsor2"/>
        <w:keepNext w:val="0"/>
        <w:rPr>
          <w:color w:val="auto"/>
          <w:sz w:val="22"/>
        </w:rPr>
      </w:pPr>
      <w:r w:rsidRPr="009E58F7">
        <w:rPr>
          <w:b w:val="0"/>
          <w:color w:val="auto"/>
          <w:sz w:val="22"/>
        </w:rPr>
        <w:t>Osztályozás:</w:t>
      </w:r>
      <w:r w:rsidRPr="009E58F7">
        <w:rPr>
          <w:color w:val="auto"/>
          <w:sz w:val="22"/>
        </w:rPr>
        <w:t xml:space="preserve"> II./3 csoport: </w:t>
      </w:r>
    </w:p>
    <w:p w14:paraId="0DADE05E" w14:textId="77777777" w:rsidR="0091417F" w:rsidRPr="009E58F7" w:rsidRDefault="0091417F" w:rsidP="00E26B3B">
      <w:pPr>
        <w:pStyle w:val="Cmsor2"/>
        <w:keepNext w:val="0"/>
        <w:rPr>
          <w:color w:val="auto"/>
          <w:sz w:val="22"/>
        </w:rPr>
      </w:pPr>
      <w:r w:rsidRPr="009E58F7">
        <w:rPr>
          <w:b w:val="0"/>
          <w:color w:val="auto"/>
          <w:sz w:val="22"/>
        </w:rPr>
        <w:t>Korlátozott érvényű orvosi rendelvényhez kötött, az egészségügyről szóló 1997. évi CLIV. Törvény 3. §-ának ga) pontja szerinti rendelőintézeti járóbeteg-szakellátást vagy fekvőbeteg-szakellátást nyújtó szolgáltatók által biztosított körülmények között alkalmazható gyógyszer</w:t>
      </w:r>
      <w:r w:rsidRPr="009E58F7">
        <w:rPr>
          <w:b w:val="0"/>
          <w:bCs w:val="0"/>
          <w:color w:val="auto"/>
          <w:sz w:val="22"/>
        </w:rPr>
        <w:t xml:space="preserve"> (I).</w:t>
      </w:r>
    </w:p>
    <w:p w14:paraId="13487541" w14:textId="11DB00F3" w:rsidR="00DF0929" w:rsidRPr="009E58F7" w:rsidRDefault="00DF0929">
      <w:pPr>
        <w:widowControl w:val="0"/>
        <w:autoSpaceDE w:val="0"/>
        <w:autoSpaceDN w:val="0"/>
        <w:adjustRightInd w:val="0"/>
        <w:spacing w:line="240" w:lineRule="auto"/>
      </w:pPr>
    </w:p>
    <w:p w14:paraId="19C02F5D" w14:textId="77777777" w:rsidR="0091417F" w:rsidRPr="009E58F7" w:rsidRDefault="0091417F">
      <w:pPr>
        <w:widowControl w:val="0"/>
        <w:autoSpaceDE w:val="0"/>
        <w:autoSpaceDN w:val="0"/>
        <w:adjustRightInd w:val="0"/>
        <w:spacing w:line="240" w:lineRule="auto"/>
      </w:pPr>
    </w:p>
    <w:p w14:paraId="5DC6E906" w14:textId="77777777" w:rsidR="004D6470" w:rsidRPr="009E58F7" w:rsidRDefault="004D6470" w:rsidP="00602E58">
      <w:pPr>
        <w:keepNext/>
        <w:numPr>
          <w:ilvl w:val="0"/>
          <w:numId w:val="29"/>
        </w:numPr>
        <w:tabs>
          <w:tab w:val="left" w:pos="567"/>
        </w:tabs>
        <w:overflowPunct w:val="0"/>
        <w:autoSpaceDE w:val="0"/>
        <w:autoSpaceDN w:val="0"/>
        <w:adjustRightInd w:val="0"/>
        <w:spacing w:line="240" w:lineRule="auto"/>
        <w:ind w:left="724" w:hanging="724"/>
        <w:rPr>
          <w:b/>
          <w:color w:val="000000"/>
        </w:rPr>
      </w:pPr>
      <w:r w:rsidRPr="009E58F7">
        <w:rPr>
          <w:b/>
          <w:color w:val="000000"/>
        </w:rPr>
        <w:t>A FORGALOMBA HOZATALI ENGEDÉLY JOGOSULTJA</w:t>
      </w:r>
      <w:r w:rsidRPr="009E58F7">
        <w:rPr>
          <w:b/>
          <w:bCs/>
          <w:color w:val="000000"/>
        </w:rPr>
        <w:t xml:space="preserve"> </w:t>
      </w:r>
    </w:p>
    <w:p w14:paraId="32E674AE" w14:textId="77777777" w:rsidR="00F1445A" w:rsidRPr="009E58F7" w:rsidRDefault="00F1445A" w:rsidP="00D7256D">
      <w:pPr>
        <w:keepNext/>
        <w:autoSpaceDE w:val="0"/>
        <w:autoSpaceDN w:val="0"/>
        <w:adjustRightInd w:val="0"/>
        <w:spacing w:line="240" w:lineRule="auto"/>
      </w:pPr>
    </w:p>
    <w:p w14:paraId="40109346" w14:textId="77777777" w:rsidR="00CD30A5" w:rsidRPr="009E58F7" w:rsidRDefault="00CD30A5" w:rsidP="00602E58">
      <w:pPr>
        <w:suppressAutoHyphens/>
        <w:spacing w:line="240" w:lineRule="auto"/>
      </w:pPr>
      <w:r w:rsidRPr="009E58F7">
        <w:t>Vivanta Generics s.r.o.</w:t>
      </w:r>
    </w:p>
    <w:p w14:paraId="56EECB15" w14:textId="77777777" w:rsidR="00CD30A5" w:rsidRPr="009E58F7" w:rsidRDefault="00CD30A5" w:rsidP="00602E58">
      <w:pPr>
        <w:suppressAutoHyphens/>
        <w:spacing w:line="240" w:lineRule="auto"/>
      </w:pPr>
      <w:r w:rsidRPr="009E58F7">
        <w:t>Třtinová 260/1</w:t>
      </w:r>
    </w:p>
    <w:p w14:paraId="21F1B8A0" w14:textId="77777777" w:rsidR="00CD30A5" w:rsidRPr="009E58F7" w:rsidRDefault="00CD30A5" w:rsidP="00602E58">
      <w:pPr>
        <w:suppressAutoHyphens/>
        <w:spacing w:line="240" w:lineRule="auto"/>
      </w:pPr>
      <w:r w:rsidRPr="009E58F7">
        <w:t>196 00 Praha 9 – Čakovice</w:t>
      </w:r>
    </w:p>
    <w:p w14:paraId="51449D5A" w14:textId="2F9193AF" w:rsidR="004D4002" w:rsidRPr="009E58F7" w:rsidRDefault="00CD30A5" w:rsidP="00602E58">
      <w:pPr>
        <w:spacing w:line="240" w:lineRule="auto"/>
        <w:contextualSpacing/>
      </w:pPr>
      <w:r w:rsidRPr="009E58F7">
        <w:t>C</w:t>
      </w:r>
      <w:r w:rsidR="002C4BCC" w:rsidRPr="009E58F7">
        <w:t>sehország</w:t>
      </w:r>
    </w:p>
    <w:p w14:paraId="25A6C1EA" w14:textId="77777777" w:rsidR="00CA05C4" w:rsidRPr="009E58F7" w:rsidRDefault="00CA05C4" w:rsidP="00602E58">
      <w:pPr>
        <w:spacing w:line="240" w:lineRule="auto"/>
        <w:contextualSpacing/>
      </w:pPr>
    </w:p>
    <w:p w14:paraId="38B9C615" w14:textId="7EDB735E" w:rsidR="00B33F5C" w:rsidRPr="009E58F7" w:rsidRDefault="00B33F5C" w:rsidP="00D7256D">
      <w:pPr>
        <w:widowControl w:val="0"/>
        <w:autoSpaceDE w:val="0"/>
        <w:autoSpaceDN w:val="0"/>
        <w:adjustRightInd w:val="0"/>
        <w:spacing w:line="240" w:lineRule="auto"/>
      </w:pPr>
    </w:p>
    <w:p w14:paraId="49F0D604" w14:textId="43E5D256" w:rsidR="004D6470" w:rsidRPr="009E58F7" w:rsidRDefault="004D6470" w:rsidP="00602E58">
      <w:pPr>
        <w:widowControl w:val="0"/>
        <w:numPr>
          <w:ilvl w:val="0"/>
          <w:numId w:val="30"/>
        </w:numPr>
        <w:tabs>
          <w:tab w:val="clear" w:pos="720"/>
          <w:tab w:val="num" w:pos="564"/>
        </w:tabs>
        <w:overflowPunct w:val="0"/>
        <w:autoSpaceDE w:val="0"/>
        <w:autoSpaceDN w:val="0"/>
        <w:adjustRightInd w:val="0"/>
        <w:spacing w:line="240" w:lineRule="auto"/>
        <w:ind w:left="564" w:hanging="564"/>
        <w:rPr>
          <w:b/>
          <w:color w:val="000000"/>
        </w:rPr>
      </w:pPr>
      <w:r w:rsidRPr="009E58F7">
        <w:rPr>
          <w:b/>
          <w:color w:val="000000"/>
        </w:rPr>
        <w:t>A FORGALOMBA HOZATALI ENGEDÉLY SZÁMA</w:t>
      </w:r>
    </w:p>
    <w:p w14:paraId="374F2EBF" w14:textId="77777777" w:rsidR="004D6470" w:rsidRPr="009E58F7" w:rsidRDefault="004D6470" w:rsidP="00D7256D">
      <w:pPr>
        <w:widowControl w:val="0"/>
        <w:autoSpaceDE w:val="0"/>
        <w:autoSpaceDN w:val="0"/>
        <w:adjustRightInd w:val="0"/>
        <w:spacing w:line="240" w:lineRule="auto"/>
        <w:rPr>
          <w:rFonts w:eastAsia="Calibri"/>
          <w:color w:val="000000"/>
        </w:rPr>
      </w:pPr>
    </w:p>
    <w:p w14:paraId="54464E81" w14:textId="6FDBF5F8" w:rsidR="00B803DB" w:rsidRPr="009E58F7" w:rsidRDefault="004955CC" w:rsidP="007070F2">
      <w:pPr>
        <w:widowControl w:val="0"/>
        <w:autoSpaceDE w:val="0"/>
        <w:autoSpaceDN w:val="0"/>
        <w:adjustRightInd w:val="0"/>
        <w:spacing w:line="240" w:lineRule="auto"/>
      </w:pPr>
      <w:r w:rsidRPr="009E58F7">
        <w:t>OGYI-T-23446/01</w:t>
      </w:r>
    </w:p>
    <w:p w14:paraId="64782DB1" w14:textId="5DB4B782" w:rsidR="004955CC" w:rsidRPr="009E58F7" w:rsidRDefault="004955CC" w:rsidP="007070F2">
      <w:pPr>
        <w:widowControl w:val="0"/>
        <w:autoSpaceDE w:val="0"/>
        <w:autoSpaceDN w:val="0"/>
        <w:adjustRightInd w:val="0"/>
        <w:spacing w:line="240" w:lineRule="auto"/>
      </w:pPr>
    </w:p>
    <w:p w14:paraId="78F0CF9D" w14:textId="77777777" w:rsidR="004955CC" w:rsidRPr="009E58F7" w:rsidRDefault="004955CC" w:rsidP="007070F2">
      <w:pPr>
        <w:widowControl w:val="0"/>
        <w:autoSpaceDE w:val="0"/>
        <w:autoSpaceDN w:val="0"/>
        <w:adjustRightInd w:val="0"/>
        <w:spacing w:line="240" w:lineRule="auto"/>
      </w:pPr>
    </w:p>
    <w:p w14:paraId="75235342" w14:textId="77777777" w:rsidR="004D6470" w:rsidRPr="009E58F7" w:rsidRDefault="004D6470" w:rsidP="00040926">
      <w:pPr>
        <w:numPr>
          <w:ilvl w:val="0"/>
          <w:numId w:val="31"/>
        </w:numPr>
        <w:tabs>
          <w:tab w:val="clear" w:pos="720"/>
          <w:tab w:val="left" w:pos="567"/>
        </w:tabs>
        <w:spacing w:line="240" w:lineRule="auto"/>
        <w:ind w:left="567" w:hanging="567"/>
        <w:outlineLvl w:val="0"/>
        <w:rPr>
          <w:b/>
        </w:rPr>
      </w:pPr>
      <w:r w:rsidRPr="009E58F7">
        <w:rPr>
          <w:b/>
        </w:rPr>
        <w:t>A FORGALOMBA HOZATALI ENGEDÉLY ELSŐ KIADÁSÁNAK/ MEGÚJÍTÁSÁNAK DÁTUMA</w:t>
      </w:r>
      <w:r w:rsidRPr="009E58F7">
        <w:rPr>
          <w:b/>
          <w:noProof/>
        </w:rPr>
        <w:t xml:space="preserve"> </w:t>
      </w:r>
    </w:p>
    <w:p w14:paraId="673E1152" w14:textId="77777777" w:rsidR="004D6470" w:rsidRPr="009E58F7" w:rsidRDefault="004D6470" w:rsidP="003D25C3">
      <w:pPr>
        <w:widowControl w:val="0"/>
        <w:autoSpaceDE w:val="0"/>
        <w:autoSpaceDN w:val="0"/>
        <w:adjustRightInd w:val="0"/>
        <w:spacing w:line="240" w:lineRule="auto"/>
      </w:pPr>
    </w:p>
    <w:p w14:paraId="532B6ADA" w14:textId="77ECE193" w:rsidR="004D6470" w:rsidRPr="009E58F7" w:rsidRDefault="004D6470">
      <w:pPr>
        <w:widowControl w:val="0"/>
        <w:autoSpaceDE w:val="0"/>
        <w:autoSpaceDN w:val="0"/>
        <w:adjustRightInd w:val="0"/>
        <w:spacing w:line="240" w:lineRule="auto"/>
        <w:ind w:left="4"/>
      </w:pPr>
      <w:r w:rsidRPr="009E58F7">
        <w:rPr>
          <w:color w:val="000000"/>
        </w:rPr>
        <w:t xml:space="preserve">A forgalomba hozatali engedély első kiadásának dátuma: </w:t>
      </w:r>
      <w:r w:rsidR="004955CC" w:rsidRPr="009E58F7">
        <w:rPr>
          <w:color w:val="000000"/>
        </w:rPr>
        <w:t>2018. október 17.</w:t>
      </w:r>
    </w:p>
    <w:p w14:paraId="43AF14E5" w14:textId="77777777" w:rsidR="004D6470" w:rsidRPr="009E58F7" w:rsidRDefault="004D6470">
      <w:pPr>
        <w:widowControl w:val="0"/>
        <w:autoSpaceDE w:val="0"/>
        <w:autoSpaceDN w:val="0"/>
        <w:adjustRightInd w:val="0"/>
        <w:spacing w:line="240" w:lineRule="auto"/>
      </w:pPr>
    </w:p>
    <w:p w14:paraId="500C3DB6" w14:textId="6F71FC9C" w:rsidR="004D6470" w:rsidRPr="009E58F7" w:rsidRDefault="004D6470">
      <w:pPr>
        <w:widowControl w:val="0"/>
        <w:autoSpaceDE w:val="0"/>
        <w:autoSpaceDN w:val="0"/>
        <w:adjustRightInd w:val="0"/>
        <w:spacing w:line="240" w:lineRule="auto"/>
      </w:pPr>
    </w:p>
    <w:p w14:paraId="00A85C4B" w14:textId="3D5DA43C" w:rsidR="004D6470" w:rsidRPr="009E58F7" w:rsidRDefault="004D6470">
      <w:pPr>
        <w:widowControl w:val="0"/>
        <w:numPr>
          <w:ilvl w:val="0"/>
          <w:numId w:val="32"/>
        </w:numPr>
        <w:overflowPunct w:val="0"/>
        <w:autoSpaceDE w:val="0"/>
        <w:autoSpaceDN w:val="0"/>
        <w:adjustRightInd w:val="0"/>
        <w:spacing w:line="240" w:lineRule="auto"/>
        <w:ind w:left="724" w:hanging="724"/>
        <w:rPr>
          <w:b/>
          <w:color w:val="000000"/>
        </w:rPr>
      </w:pPr>
      <w:r w:rsidRPr="009E58F7">
        <w:rPr>
          <w:b/>
          <w:color w:val="000000"/>
        </w:rPr>
        <w:t>A SZÖVEG ELLENŐRZÉSÉNEK DÁTUMA</w:t>
      </w:r>
    </w:p>
    <w:p w14:paraId="55E94F4F" w14:textId="77777777" w:rsidR="004D6470" w:rsidRPr="009E58F7" w:rsidRDefault="004D6470">
      <w:pPr>
        <w:widowControl w:val="0"/>
        <w:autoSpaceDE w:val="0"/>
        <w:autoSpaceDN w:val="0"/>
        <w:adjustRightInd w:val="0"/>
        <w:spacing w:line="240" w:lineRule="auto"/>
      </w:pPr>
    </w:p>
    <w:p w14:paraId="20034B35" w14:textId="6663CEB2" w:rsidR="004B2E70" w:rsidRPr="009E58F7" w:rsidRDefault="00185A20">
      <w:pPr>
        <w:spacing w:line="240" w:lineRule="auto"/>
      </w:pPr>
      <w:bookmarkStart w:id="54" w:name="page69"/>
      <w:bookmarkStart w:id="55" w:name="page70"/>
      <w:bookmarkEnd w:id="54"/>
      <w:bookmarkEnd w:id="55"/>
      <w:r>
        <w:t>20</w:t>
      </w:r>
      <w:r w:rsidR="00BD5400">
        <w:t>2</w:t>
      </w:r>
      <w:r w:rsidR="00F27F4F">
        <w:t>2</w:t>
      </w:r>
      <w:r w:rsidR="00BD5400">
        <w:t>.</w:t>
      </w:r>
      <w:r w:rsidR="00D61C6B" w:rsidRPr="00D61C6B">
        <w:t xml:space="preserve"> </w:t>
      </w:r>
      <w:r w:rsidR="00A44B16">
        <w:t>július 22.</w:t>
      </w:r>
    </w:p>
    <w:sectPr w:rsidR="004B2E70" w:rsidRPr="009E58F7" w:rsidSect="00004B8A">
      <w:headerReference w:type="default" r:id="rId9"/>
      <w:footerReference w:type="first" r:id="rId10"/>
      <w:type w:val="continuous"/>
      <w:pgSz w:w="12242" w:h="15842" w:code="1"/>
      <w:pgMar w:top="1134" w:right="1418" w:bottom="1134" w:left="1418" w:header="737" w:footer="737" w:gutter="0"/>
      <w:cols w:space="708" w:equalWidth="0">
        <w:col w:w="9404"/>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7F1054" w14:textId="77777777" w:rsidR="00091B1A" w:rsidRDefault="00091B1A" w:rsidP="00204F38">
      <w:pPr>
        <w:spacing w:line="240" w:lineRule="auto"/>
      </w:pPr>
      <w:r>
        <w:separator/>
      </w:r>
    </w:p>
  </w:endnote>
  <w:endnote w:type="continuationSeparator" w:id="0">
    <w:p w14:paraId="770F1561" w14:textId="77777777" w:rsidR="00091B1A" w:rsidRDefault="00091B1A" w:rsidP="00204F38">
      <w:pPr>
        <w:spacing w:line="240" w:lineRule="auto"/>
      </w:pPr>
      <w:r>
        <w:continuationSeparator/>
      </w:r>
    </w:p>
  </w:endnote>
  <w:endnote w:type="continuationNotice" w:id="1">
    <w:p w14:paraId="508B3CDE" w14:textId="77777777" w:rsidR="00091B1A" w:rsidRDefault="00091B1A" w:rsidP="00204F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UI"/>
    <w:panose1 w:val="00000000000000000000"/>
    <w:charset w:val="80"/>
    <w:family w:val="auto"/>
    <w:notTrueType/>
    <w:pitch w:val="default"/>
    <w:sig w:usb0="00000000" w:usb1="08070000" w:usb2="00000010" w:usb3="00000000" w:csb0="00020003" w:csb1="00000000"/>
  </w:font>
  <w:font w:name="TimesNewRomanPSMT">
    <w:altName w:val="Yu Gothic"/>
    <w:panose1 w:val="00000000000000000000"/>
    <w:charset w:val="00"/>
    <w:family w:val="roman"/>
    <w:notTrueType/>
    <w:pitch w:val="default"/>
    <w:sig w:usb0="00000003" w:usb1="08070000" w:usb2="00000010" w:usb3="00000000" w:csb0="00020001" w:csb1="00000000"/>
  </w:font>
  <w:font w:name="TimesNewRoman,Italic">
    <w:altName w:val="Times New Roman"/>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0380D" w14:textId="1DFD5DB4" w:rsidR="00091B1A" w:rsidRPr="006E51AB" w:rsidRDefault="00091B1A">
    <w:pPr>
      <w:pStyle w:val="llb"/>
      <w:rPr>
        <w:sz w:val="18"/>
        <w:szCs w:val="18"/>
      </w:rPr>
    </w:pPr>
    <w:r>
      <w:rPr>
        <w:sz w:val="18"/>
        <w:szCs w:val="18"/>
      </w:rPr>
      <w:t>OGYÉI/38378/2022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22535" w14:textId="77777777" w:rsidR="00091B1A" w:rsidRDefault="00091B1A" w:rsidP="00204F38">
      <w:pPr>
        <w:spacing w:line="240" w:lineRule="auto"/>
      </w:pPr>
      <w:r>
        <w:separator/>
      </w:r>
    </w:p>
  </w:footnote>
  <w:footnote w:type="continuationSeparator" w:id="0">
    <w:p w14:paraId="35AC6204" w14:textId="77777777" w:rsidR="00091B1A" w:rsidRDefault="00091B1A" w:rsidP="00204F38">
      <w:pPr>
        <w:spacing w:line="240" w:lineRule="auto"/>
      </w:pPr>
      <w:r>
        <w:continuationSeparator/>
      </w:r>
    </w:p>
  </w:footnote>
  <w:footnote w:type="continuationNotice" w:id="1">
    <w:p w14:paraId="71C60A30" w14:textId="77777777" w:rsidR="00091B1A" w:rsidRDefault="00091B1A" w:rsidP="00204F3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682897132"/>
      <w:docPartObj>
        <w:docPartGallery w:val="Page Numbers (Top of Page)"/>
        <w:docPartUnique/>
      </w:docPartObj>
    </w:sdtPr>
    <w:sdtEndPr/>
    <w:sdtContent>
      <w:p w14:paraId="7ADCC7DA" w14:textId="0E2EC102" w:rsidR="00091B1A" w:rsidRPr="00E64005" w:rsidRDefault="00091B1A" w:rsidP="00E64005">
        <w:pPr>
          <w:pStyle w:val="lfej"/>
          <w:jc w:val="center"/>
          <w:rPr>
            <w:sz w:val="20"/>
            <w:szCs w:val="20"/>
          </w:rPr>
        </w:pPr>
        <w:r w:rsidRPr="0069325F">
          <w:rPr>
            <w:sz w:val="20"/>
            <w:szCs w:val="20"/>
          </w:rPr>
          <w:fldChar w:fldCharType="begin"/>
        </w:r>
        <w:r w:rsidRPr="0069325F">
          <w:rPr>
            <w:sz w:val="20"/>
            <w:szCs w:val="20"/>
          </w:rPr>
          <w:instrText>PAGE   \* MERGEFORMAT</w:instrText>
        </w:r>
        <w:r w:rsidRPr="0069325F">
          <w:rPr>
            <w:sz w:val="20"/>
            <w:szCs w:val="20"/>
          </w:rPr>
          <w:fldChar w:fldCharType="separate"/>
        </w:r>
        <w:r>
          <w:rPr>
            <w:noProof/>
            <w:sz w:val="20"/>
            <w:szCs w:val="20"/>
          </w:rPr>
          <w:t>38</w:t>
        </w:r>
        <w:r w:rsidRPr="0069325F">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35"/>
    <w:multiLevelType w:val="hybridMultilevel"/>
    <w:tmpl w:val="000007CF"/>
    <w:lvl w:ilvl="0" w:tplc="00006732">
      <w:start w:val="5"/>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588"/>
    <w:multiLevelType w:val="hybridMultilevel"/>
    <w:tmpl w:val="00005579"/>
    <w:lvl w:ilvl="0" w:tplc="00007CFE">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A4A"/>
    <w:multiLevelType w:val="hybridMultilevel"/>
    <w:tmpl w:val="00005ED0"/>
    <w:lvl w:ilvl="0" w:tplc="00004E57">
      <w:start w:val="4"/>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C15"/>
    <w:multiLevelType w:val="hybridMultilevel"/>
    <w:tmpl w:val="A028CB80"/>
    <w:lvl w:ilvl="0" w:tplc="7C9A8D0C">
      <w:start w:val="1"/>
      <w:numFmt w:val="lowerLetter"/>
      <w:lvlText w:val="%1"/>
      <w:lvlJc w:val="left"/>
      <w:pPr>
        <w:tabs>
          <w:tab w:val="num" w:pos="720"/>
        </w:tabs>
        <w:ind w:left="720" w:hanging="360"/>
      </w:pPr>
      <w:rPr>
        <w:vertAlign w:val="superscrip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643"/>
    <w:multiLevelType w:val="hybridMultilevel"/>
    <w:tmpl w:val="00000DE5"/>
    <w:lvl w:ilvl="0" w:tplc="00006F3C">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6D4"/>
    <w:multiLevelType w:val="hybridMultilevel"/>
    <w:tmpl w:val="385C7230"/>
    <w:lvl w:ilvl="0" w:tplc="065EB20C">
      <w:start w:val="1"/>
      <w:numFmt w:val="lowerLetter"/>
      <w:lvlText w:val="%1"/>
      <w:lvlJc w:val="left"/>
      <w:pPr>
        <w:tabs>
          <w:tab w:val="num" w:pos="720"/>
        </w:tabs>
        <w:ind w:left="720" w:hanging="360"/>
      </w:pPr>
      <w:rPr>
        <w:vertAlign w:val="superscrip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82F"/>
    <w:multiLevelType w:val="hybridMultilevel"/>
    <w:tmpl w:val="00004D67"/>
    <w:lvl w:ilvl="0" w:tplc="00005968">
      <w:start w:val="2"/>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D9"/>
    <w:multiLevelType w:val="hybridMultilevel"/>
    <w:tmpl w:val="0000591D"/>
    <w:lvl w:ilvl="0" w:tplc="0000252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DA"/>
    <w:multiLevelType w:val="hybridMultilevel"/>
    <w:tmpl w:val="CB285E28"/>
    <w:lvl w:ilvl="0" w:tplc="A18AD034">
      <w:start w:val="1"/>
      <w:numFmt w:val="lowerLetter"/>
      <w:lvlText w:val="%1"/>
      <w:lvlJc w:val="left"/>
      <w:pPr>
        <w:tabs>
          <w:tab w:val="num" w:pos="720"/>
        </w:tabs>
        <w:ind w:left="720" w:hanging="360"/>
      </w:pPr>
      <w:rPr>
        <w:vertAlign w:val="superscrip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D18"/>
    <w:multiLevelType w:val="hybridMultilevel"/>
    <w:tmpl w:val="9B6C01F0"/>
    <w:lvl w:ilvl="0" w:tplc="9842A764">
      <w:start w:val="1"/>
      <w:numFmt w:val="lowerLetter"/>
      <w:lvlText w:val="%1"/>
      <w:lvlJc w:val="left"/>
      <w:pPr>
        <w:tabs>
          <w:tab w:val="num" w:pos="720"/>
        </w:tabs>
        <w:ind w:left="720" w:hanging="360"/>
      </w:pPr>
      <w:rPr>
        <w:vertAlign w:val="superscrip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2CD"/>
    <w:multiLevelType w:val="hybridMultilevel"/>
    <w:tmpl w:val="00007DD1"/>
    <w:lvl w:ilvl="0" w:tplc="0000261E">
      <w:start w:val="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852"/>
    <w:multiLevelType w:val="hybridMultilevel"/>
    <w:tmpl w:val="000048DB"/>
    <w:lvl w:ilvl="0" w:tplc="00002725">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C49"/>
    <w:multiLevelType w:val="hybridMultilevel"/>
    <w:tmpl w:val="00003C61"/>
    <w:lvl w:ilvl="0" w:tplc="00002FFF">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004"/>
    <w:multiLevelType w:val="hybridMultilevel"/>
    <w:tmpl w:val="00001796"/>
    <w:lvl w:ilvl="0" w:tplc="00005E73">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7E5"/>
    <w:multiLevelType w:val="hybridMultilevel"/>
    <w:tmpl w:val="00001DC0"/>
    <w:lvl w:ilvl="0" w:tplc="000049F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9CE"/>
    <w:multiLevelType w:val="hybridMultilevel"/>
    <w:tmpl w:val="69A41D42"/>
    <w:lvl w:ilvl="0" w:tplc="AC4ED720">
      <w:start w:val="1"/>
      <w:numFmt w:val="lowerLetter"/>
      <w:lvlText w:val="%1"/>
      <w:lvlJc w:val="left"/>
      <w:pPr>
        <w:tabs>
          <w:tab w:val="num" w:pos="720"/>
        </w:tabs>
        <w:ind w:left="720" w:hanging="360"/>
      </w:pPr>
      <w:rPr>
        <w:vertAlign w:val="superscrip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087"/>
    <w:multiLevelType w:val="hybridMultilevel"/>
    <w:tmpl w:val="00007B44"/>
    <w:lvl w:ilvl="0" w:tplc="0000590E">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42B"/>
    <w:multiLevelType w:val="hybridMultilevel"/>
    <w:tmpl w:val="00005078"/>
    <w:lvl w:ilvl="0" w:tplc="00001481">
      <w:start w:val="9"/>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58F"/>
    <w:multiLevelType w:val="hybridMultilevel"/>
    <w:tmpl w:val="00000975"/>
    <w:lvl w:ilvl="0" w:tplc="000037E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70E"/>
    <w:multiLevelType w:val="hybridMultilevel"/>
    <w:tmpl w:val="000073D9"/>
    <w:lvl w:ilvl="0" w:tplc="00001F16">
      <w:start w:val="1"/>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4AD4"/>
    <w:multiLevelType w:val="hybridMultilevel"/>
    <w:tmpl w:val="00002CF7"/>
    <w:lvl w:ilvl="0" w:tplc="00003F4A">
      <w:start w:val="3"/>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039"/>
    <w:multiLevelType w:val="hybridMultilevel"/>
    <w:tmpl w:val="0000542C"/>
    <w:lvl w:ilvl="0" w:tplc="00001953">
      <w:start w:val="2"/>
      <w:numFmt w:val="decimal"/>
      <w:lvlText w:val="%1."/>
      <w:lvlJc w:val="left"/>
      <w:pPr>
        <w:tabs>
          <w:tab w:val="num" w:pos="720"/>
        </w:tabs>
        <w:ind w:left="720" w:hanging="360"/>
      </w:pPr>
    </w:lvl>
    <w:lvl w:ilvl="1" w:tplc="00006BCB">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E9D"/>
    <w:multiLevelType w:val="hybridMultilevel"/>
    <w:tmpl w:val="0000489C"/>
    <w:lvl w:ilvl="0" w:tplc="00001916">
      <w:start w:val="1"/>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A4"/>
    <w:multiLevelType w:val="hybridMultilevel"/>
    <w:tmpl w:val="00002059"/>
    <w:lvl w:ilvl="0" w:tplc="0000127E">
      <w:start w:val="4"/>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172"/>
    <w:multiLevelType w:val="hybridMultilevel"/>
    <w:tmpl w:val="00006B72"/>
    <w:lvl w:ilvl="0" w:tplc="000032E6">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AD4"/>
    <w:multiLevelType w:val="hybridMultilevel"/>
    <w:tmpl w:val="00005A9F"/>
    <w:lvl w:ilvl="0" w:tplc="00004CD4">
      <w:start w:val="3"/>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6C69"/>
    <w:multiLevelType w:val="hybridMultilevel"/>
    <w:tmpl w:val="0000288F"/>
    <w:lvl w:ilvl="0" w:tplc="00003A61">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6D22"/>
    <w:multiLevelType w:val="hybridMultilevel"/>
    <w:tmpl w:val="00001AF4"/>
    <w:lvl w:ilvl="0" w:tplc="00000ECC">
      <w:start w:val="6"/>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4AD"/>
    <w:multiLevelType w:val="hybridMultilevel"/>
    <w:tmpl w:val="00004EAE"/>
    <w:lvl w:ilvl="0" w:tplc="00005D24">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65F"/>
    <w:multiLevelType w:val="hybridMultilevel"/>
    <w:tmpl w:val="00001850"/>
    <w:lvl w:ilvl="0" w:tplc="00002B00">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983"/>
    <w:multiLevelType w:val="hybridMultilevel"/>
    <w:tmpl w:val="000075EF"/>
    <w:lvl w:ilvl="0" w:tplc="0000465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7FBE"/>
    <w:multiLevelType w:val="hybridMultilevel"/>
    <w:tmpl w:val="00000C7B"/>
    <w:lvl w:ilvl="0" w:tplc="00005005">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69E373"/>
    <w:multiLevelType w:val="hybridMultilevel"/>
    <w:tmpl w:val="FE328F7C"/>
    <w:lvl w:ilvl="0" w:tplc="02F4AB4C">
      <w:start w:val="1"/>
      <w:numFmt w:val="bullet"/>
      <w:lvlText w:val="**"/>
      <w:lvlJc w:val="left"/>
    </w:lvl>
    <w:lvl w:ilvl="1" w:tplc="1D92EABC">
      <w:numFmt w:val="decimal"/>
      <w:lvlText w:val=""/>
      <w:lvlJc w:val="left"/>
    </w:lvl>
    <w:lvl w:ilvl="2" w:tplc="E17041CA">
      <w:numFmt w:val="decimal"/>
      <w:lvlText w:val=""/>
      <w:lvlJc w:val="left"/>
    </w:lvl>
    <w:lvl w:ilvl="3" w:tplc="389411C0">
      <w:numFmt w:val="decimal"/>
      <w:lvlText w:val=""/>
      <w:lvlJc w:val="left"/>
    </w:lvl>
    <w:lvl w:ilvl="4" w:tplc="3F423F9C">
      <w:numFmt w:val="decimal"/>
      <w:lvlText w:val=""/>
      <w:lvlJc w:val="left"/>
    </w:lvl>
    <w:lvl w:ilvl="5" w:tplc="B05C4A56">
      <w:numFmt w:val="decimal"/>
      <w:lvlText w:val=""/>
      <w:lvlJc w:val="left"/>
    </w:lvl>
    <w:lvl w:ilvl="6" w:tplc="24D20278">
      <w:numFmt w:val="decimal"/>
      <w:lvlText w:val=""/>
      <w:lvlJc w:val="left"/>
    </w:lvl>
    <w:lvl w:ilvl="7" w:tplc="F44CBEA4">
      <w:numFmt w:val="decimal"/>
      <w:lvlText w:val=""/>
      <w:lvlJc w:val="left"/>
    </w:lvl>
    <w:lvl w:ilvl="8" w:tplc="3A704CAC">
      <w:numFmt w:val="decimal"/>
      <w:lvlText w:val=""/>
      <w:lvlJc w:val="left"/>
    </w:lvl>
  </w:abstractNum>
  <w:abstractNum w:abstractNumId="33" w15:restartNumberingAfterBreak="0">
    <w:nsid w:val="00754342"/>
    <w:multiLevelType w:val="hybridMultilevel"/>
    <w:tmpl w:val="3CAAC24C"/>
    <w:lvl w:ilvl="0" w:tplc="72CEE0BC">
      <w:start w:val="1"/>
      <w:numFmt w:val="bullet"/>
      <w:lvlText w:val="*"/>
      <w:lvlJc w:val="left"/>
    </w:lvl>
    <w:lvl w:ilvl="1" w:tplc="169E217A">
      <w:numFmt w:val="decimal"/>
      <w:lvlText w:val=""/>
      <w:lvlJc w:val="left"/>
    </w:lvl>
    <w:lvl w:ilvl="2" w:tplc="8A567CAE">
      <w:numFmt w:val="decimal"/>
      <w:lvlText w:val=""/>
      <w:lvlJc w:val="left"/>
    </w:lvl>
    <w:lvl w:ilvl="3" w:tplc="82CE7C3E">
      <w:numFmt w:val="decimal"/>
      <w:lvlText w:val=""/>
      <w:lvlJc w:val="left"/>
    </w:lvl>
    <w:lvl w:ilvl="4" w:tplc="EC5AEE56">
      <w:numFmt w:val="decimal"/>
      <w:lvlText w:val=""/>
      <w:lvlJc w:val="left"/>
    </w:lvl>
    <w:lvl w:ilvl="5" w:tplc="DBEA2422">
      <w:numFmt w:val="decimal"/>
      <w:lvlText w:val=""/>
      <w:lvlJc w:val="left"/>
    </w:lvl>
    <w:lvl w:ilvl="6" w:tplc="A5CAE5EE">
      <w:numFmt w:val="decimal"/>
      <w:lvlText w:val=""/>
      <w:lvlJc w:val="left"/>
    </w:lvl>
    <w:lvl w:ilvl="7" w:tplc="605C4878">
      <w:numFmt w:val="decimal"/>
      <w:lvlText w:val=""/>
      <w:lvlJc w:val="left"/>
    </w:lvl>
    <w:lvl w:ilvl="8" w:tplc="AF1E9FEC">
      <w:numFmt w:val="decimal"/>
      <w:lvlText w:val=""/>
      <w:lvlJc w:val="left"/>
    </w:lvl>
  </w:abstractNum>
  <w:abstractNum w:abstractNumId="34" w15:restartNumberingAfterBreak="0">
    <w:nsid w:val="00B13A31"/>
    <w:multiLevelType w:val="hybridMultilevel"/>
    <w:tmpl w:val="6A24693C"/>
    <w:lvl w:ilvl="0" w:tplc="94C4B57C">
      <w:start w:val="9"/>
      <w:numFmt w:val="decimal"/>
      <w:lvlText w:val="%1."/>
      <w:lvlJc w:val="left"/>
    </w:lvl>
    <w:lvl w:ilvl="1" w:tplc="F4A29388">
      <w:numFmt w:val="decimal"/>
      <w:lvlText w:val=""/>
      <w:lvlJc w:val="left"/>
    </w:lvl>
    <w:lvl w:ilvl="2" w:tplc="6DAA7BE6">
      <w:numFmt w:val="decimal"/>
      <w:lvlText w:val=""/>
      <w:lvlJc w:val="left"/>
    </w:lvl>
    <w:lvl w:ilvl="3" w:tplc="83444610">
      <w:numFmt w:val="decimal"/>
      <w:lvlText w:val=""/>
      <w:lvlJc w:val="left"/>
    </w:lvl>
    <w:lvl w:ilvl="4" w:tplc="262E3ED4">
      <w:numFmt w:val="decimal"/>
      <w:lvlText w:val=""/>
      <w:lvlJc w:val="left"/>
    </w:lvl>
    <w:lvl w:ilvl="5" w:tplc="CFE2A7AC">
      <w:numFmt w:val="decimal"/>
      <w:lvlText w:val=""/>
      <w:lvlJc w:val="left"/>
    </w:lvl>
    <w:lvl w:ilvl="6" w:tplc="DDE40426">
      <w:numFmt w:val="decimal"/>
      <w:lvlText w:val=""/>
      <w:lvlJc w:val="left"/>
    </w:lvl>
    <w:lvl w:ilvl="7" w:tplc="90D484F4">
      <w:numFmt w:val="decimal"/>
      <w:lvlText w:val=""/>
      <w:lvlJc w:val="left"/>
    </w:lvl>
    <w:lvl w:ilvl="8" w:tplc="27A40E5A">
      <w:numFmt w:val="decimal"/>
      <w:lvlText w:val=""/>
      <w:lvlJc w:val="left"/>
    </w:lvl>
  </w:abstractNum>
  <w:abstractNum w:abstractNumId="35" w15:restartNumberingAfterBreak="0">
    <w:nsid w:val="01DDBC66"/>
    <w:multiLevelType w:val="hybridMultilevel"/>
    <w:tmpl w:val="9590466C"/>
    <w:lvl w:ilvl="0" w:tplc="0D748F74">
      <w:start w:val="2"/>
      <w:numFmt w:val="decimal"/>
      <w:lvlText w:val="%1."/>
      <w:lvlJc w:val="left"/>
    </w:lvl>
    <w:lvl w:ilvl="1" w:tplc="EDC0950C">
      <w:numFmt w:val="decimal"/>
      <w:lvlText w:val=""/>
      <w:lvlJc w:val="left"/>
    </w:lvl>
    <w:lvl w:ilvl="2" w:tplc="7BFE39A0">
      <w:numFmt w:val="decimal"/>
      <w:lvlText w:val=""/>
      <w:lvlJc w:val="left"/>
    </w:lvl>
    <w:lvl w:ilvl="3" w:tplc="398069EA">
      <w:numFmt w:val="decimal"/>
      <w:lvlText w:val=""/>
      <w:lvlJc w:val="left"/>
    </w:lvl>
    <w:lvl w:ilvl="4" w:tplc="CB96EAF6">
      <w:numFmt w:val="decimal"/>
      <w:lvlText w:val=""/>
      <w:lvlJc w:val="left"/>
    </w:lvl>
    <w:lvl w:ilvl="5" w:tplc="5E4285C2">
      <w:numFmt w:val="decimal"/>
      <w:lvlText w:val=""/>
      <w:lvlJc w:val="left"/>
    </w:lvl>
    <w:lvl w:ilvl="6" w:tplc="F56CBE22">
      <w:numFmt w:val="decimal"/>
      <w:lvlText w:val=""/>
      <w:lvlJc w:val="left"/>
    </w:lvl>
    <w:lvl w:ilvl="7" w:tplc="B16AC84C">
      <w:numFmt w:val="decimal"/>
      <w:lvlText w:val=""/>
      <w:lvlJc w:val="left"/>
    </w:lvl>
    <w:lvl w:ilvl="8" w:tplc="C9D6B874">
      <w:numFmt w:val="decimal"/>
      <w:lvlText w:val=""/>
      <w:lvlJc w:val="left"/>
    </w:lvl>
  </w:abstractNum>
  <w:abstractNum w:abstractNumId="36" w15:restartNumberingAfterBreak="0">
    <w:nsid w:val="04A66051"/>
    <w:multiLevelType w:val="hybridMultilevel"/>
    <w:tmpl w:val="8214CF2A"/>
    <w:lvl w:ilvl="0" w:tplc="0C4E4A7C">
      <w:start w:val="1"/>
      <w:numFmt w:val="bullet"/>
      <w:lvlText w:val=" "/>
      <w:lvlJc w:val="left"/>
    </w:lvl>
    <w:lvl w:ilvl="1" w:tplc="DF34575A">
      <w:numFmt w:val="decimal"/>
      <w:lvlText w:val=""/>
      <w:lvlJc w:val="left"/>
    </w:lvl>
    <w:lvl w:ilvl="2" w:tplc="8A100B9A">
      <w:numFmt w:val="decimal"/>
      <w:lvlText w:val=""/>
      <w:lvlJc w:val="left"/>
    </w:lvl>
    <w:lvl w:ilvl="3" w:tplc="72441E88">
      <w:numFmt w:val="decimal"/>
      <w:lvlText w:val=""/>
      <w:lvlJc w:val="left"/>
    </w:lvl>
    <w:lvl w:ilvl="4" w:tplc="91B07190">
      <w:numFmt w:val="decimal"/>
      <w:lvlText w:val=""/>
      <w:lvlJc w:val="left"/>
    </w:lvl>
    <w:lvl w:ilvl="5" w:tplc="1658B252">
      <w:numFmt w:val="decimal"/>
      <w:lvlText w:val=""/>
      <w:lvlJc w:val="left"/>
    </w:lvl>
    <w:lvl w:ilvl="6" w:tplc="86BC5016">
      <w:numFmt w:val="decimal"/>
      <w:lvlText w:val=""/>
      <w:lvlJc w:val="left"/>
    </w:lvl>
    <w:lvl w:ilvl="7" w:tplc="B4C0B7A4">
      <w:numFmt w:val="decimal"/>
      <w:lvlText w:val=""/>
      <w:lvlJc w:val="left"/>
    </w:lvl>
    <w:lvl w:ilvl="8" w:tplc="87A0AC2E">
      <w:numFmt w:val="decimal"/>
      <w:lvlText w:val=""/>
      <w:lvlJc w:val="left"/>
    </w:lvl>
  </w:abstractNum>
  <w:abstractNum w:abstractNumId="37" w15:restartNumberingAfterBreak="0">
    <w:nsid w:val="053B0A9E"/>
    <w:multiLevelType w:val="hybridMultilevel"/>
    <w:tmpl w:val="2CC0375A"/>
    <w:lvl w:ilvl="0" w:tplc="D276870A">
      <w:start w:val="1"/>
      <w:numFmt w:val="upperLetter"/>
      <w:lvlText w:val="%1"/>
      <w:lvlJc w:val="left"/>
    </w:lvl>
    <w:lvl w:ilvl="1" w:tplc="2CF2C548">
      <w:numFmt w:val="decimal"/>
      <w:lvlText w:val=""/>
      <w:lvlJc w:val="left"/>
    </w:lvl>
    <w:lvl w:ilvl="2" w:tplc="132E2788">
      <w:numFmt w:val="decimal"/>
      <w:lvlText w:val=""/>
      <w:lvlJc w:val="left"/>
    </w:lvl>
    <w:lvl w:ilvl="3" w:tplc="02BC4790">
      <w:numFmt w:val="decimal"/>
      <w:lvlText w:val=""/>
      <w:lvlJc w:val="left"/>
    </w:lvl>
    <w:lvl w:ilvl="4" w:tplc="B0FAF2BC">
      <w:numFmt w:val="decimal"/>
      <w:lvlText w:val=""/>
      <w:lvlJc w:val="left"/>
    </w:lvl>
    <w:lvl w:ilvl="5" w:tplc="AF6C6114">
      <w:numFmt w:val="decimal"/>
      <w:lvlText w:val=""/>
      <w:lvlJc w:val="left"/>
    </w:lvl>
    <w:lvl w:ilvl="6" w:tplc="9066439C">
      <w:numFmt w:val="decimal"/>
      <w:lvlText w:val=""/>
      <w:lvlJc w:val="left"/>
    </w:lvl>
    <w:lvl w:ilvl="7" w:tplc="3236CEF2">
      <w:numFmt w:val="decimal"/>
      <w:lvlText w:val=""/>
      <w:lvlJc w:val="left"/>
    </w:lvl>
    <w:lvl w:ilvl="8" w:tplc="B440874A">
      <w:numFmt w:val="decimal"/>
      <w:lvlText w:val=""/>
      <w:lvlJc w:val="left"/>
    </w:lvl>
  </w:abstractNum>
  <w:abstractNum w:abstractNumId="38" w15:restartNumberingAfterBreak="0">
    <w:nsid w:val="064AF49B"/>
    <w:multiLevelType w:val="hybridMultilevel"/>
    <w:tmpl w:val="375C41DE"/>
    <w:lvl w:ilvl="0" w:tplc="5504D99C">
      <w:start w:val="18"/>
      <w:numFmt w:val="decimal"/>
      <w:lvlText w:val="%1."/>
      <w:lvlJc w:val="left"/>
    </w:lvl>
    <w:lvl w:ilvl="1" w:tplc="ECF4F400">
      <w:numFmt w:val="decimal"/>
      <w:lvlText w:val=""/>
      <w:lvlJc w:val="left"/>
    </w:lvl>
    <w:lvl w:ilvl="2" w:tplc="5F06084C">
      <w:numFmt w:val="decimal"/>
      <w:lvlText w:val=""/>
      <w:lvlJc w:val="left"/>
    </w:lvl>
    <w:lvl w:ilvl="3" w:tplc="8E7A60E0">
      <w:numFmt w:val="decimal"/>
      <w:lvlText w:val=""/>
      <w:lvlJc w:val="left"/>
    </w:lvl>
    <w:lvl w:ilvl="4" w:tplc="E05EF86A">
      <w:numFmt w:val="decimal"/>
      <w:lvlText w:val=""/>
      <w:lvlJc w:val="left"/>
    </w:lvl>
    <w:lvl w:ilvl="5" w:tplc="83329A0C">
      <w:numFmt w:val="decimal"/>
      <w:lvlText w:val=""/>
      <w:lvlJc w:val="left"/>
    </w:lvl>
    <w:lvl w:ilvl="6" w:tplc="353ED268">
      <w:numFmt w:val="decimal"/>
      <w:lvlText w:val=""/>
      <w:lvlJc w:val="left"/>
    </w:lvl>
    <w:lvl w:ilvl="7" w:tplc="5B7AA8FC">
      <w:numFmt w:val="decimal"/>
      <w:lvlText w:val=""/>
      <w:lvlJc w:val="left"/>
    </w:lvl>
    <w:lvl w:ilvl="8" w:tplc="5DD2AF3A">
      <w:numFmt w:val="decimal"/>
      <w:lvlText w:val=""/>
      <w:lvlJc w:val="left"/>
    </w:lvl>
  </w:abstractNum>
  <w:abstractNum w:abstractNumId="39" w15:restartNumberingAfterBreak="0">
    <w:nsid w:val="0697D2D2"/>
    <w:multiLevelType w:val="hybridMultilevel"/>
    <w:tmpl w:val="D1AEB3AA"/>
    <w:lvl w:ilvl="0" w:tplc="F90849BE">
      <w:start w:val="1"/>
      <w:numFmt w:val="bullet"/>
      <w:lvlText w:val="-"/>
      <w:lvlJc w:val="left"/>
    </w:lvl>
    <w:lvl w:ilvl="1" w:tplc="8186762C">
      <w:numFmt w:val="decimal"/>
      <w:lvlText w:val=""/>
      <w:lvlJc w:val="left"/>
    </w:lvl>
    <w:lvl w:ilvl="2" w:tplc="F22E79BA">
      <w:numFmt w:val="decimal"/>
      <w:lvlText w:val=""/>
      <w:lvlJc w:val="left"/>
    </w:lvl>
    <w:lvl w:ilvl="3" w:tplc="38EAE644">
      <w:numFmt w:val="decimal"/>
      <w:lvlText w:val=""/>
      <w:lvlJc w:val="left"/>
    </w:lvl>
    <w:lvl w:ilvl="4" w:tplc="82683A98">
      <w:numFmt w:val="decimal"/>
      <w:lvlText w:val=""/>
      <w:lvlJc w:val="left"/>
    </w:lvl>
    <w:lvl w:ilvl="5" w:tplc="369EB64E">
      <w:numFmt w:val="decimal"/>
      <w:lvlText w:val=""/>
      <w:lvlJc w:val="left"/>
    </w:lvl>
    <w:lvl w:ilvl="6" w:tplc="7AD82F36">
      <w:numFmt w:val="decimal"/>
      <w:lvlText w:val=""/>
      <w:lvlJc w:val="left"/>
    </w:lvl>
    <w:lvl w:ilvl="7" w:tplc="80D62E52">
      <w:numFmt w:val="decimal"/>
      <w:lvlText w:val=""/>
      <w:lvlJc w:val="left"/>
    </w:lvl>
    <w:lvl w:ilvl="8" w:tplc="8B7CAE64">
      <w:numFmt w:val="decimal"/>
      <w:lvlText w:val=""/>
      <w:lvlJc w:val="left"/>
    </w:lvl>
  </w:abstractNum>
  <w:abstractNum w:abstractNumId="40" w15:restartNumberingAfterBreak="0">
    <w:nsid w:val="06D68AB2"/>
    <w:multiLevelType w:val="hybridMultilevel"/>
    <w:tmpl w:val="D9D2D52C"/>
    <w:lvl w:ilvl="0" w:tplc="A626932C">
      <w:start w:val="3"/>
      <w:numFmt w:val="decimal"/>
      <w:lvlText w:val="%1."/>
      <w:lvlJc w:val="left"/>
    </w:lvl>
    <w:lvl w:ilvl="1" w:tplc="75FE2E9A">
      <w:numFmt w:val="decimal"/>
      <w:lvlText w:val=""/>
      <w:lvlJc w:val="left"/>
    </w:lvl>
    <w:lvl w:ilvl="2" w:tplc="4A94A49C">
      <w:numFmt w:val="decimal"/>
      <w:lvlText w:val=""/>
      <w:lvlJc w:val="left"/>
    </w:lvl>
    <w:lvl w:ilvl="3" w:tplc="9CC84FF8">
      <w:numFmt w:val="decimal"/>
      <w:lvlText w:val=""/>
      <w:lvlJc w:val="left"/>
    </w:lvl>
    <w:lvl w:ilvl="4" w:tplc="751E69F4">
      <w:numFmt w:val="decimal"/>
      <w:lvlText w:val=""/>
      <w:lvlJc w:val="left"/>
    </w:lvl>
    <w:lvl w:ilvl="5" w:tplc="50EA849A">
      <w:numFmt w:val="decimal"/>
      <w:lvlText w:val=""/>
      <w:lvlJc w:val="left"/>
    </w:lvl>
    <w:lvl w:ilvl="6" w:tplc="9A1CA2DA">
      <w:numFmt w:val="decimal"/>
      <w:lvlText w:val=""/>
      <w:lvlJc w:val="left"/>
    </w:lvl>
    <w:lvl w:ilvl="7" w:tplc="FC9A37A6">
      <w:numFmt w:val="decimal"/>
      <w:lvlText w:val=""/>
      <w:lvlJc w:val="left"/>
    </w:lvl>
    <w:lvl w:ilvl="8" w:tplc="3D50B3AA">
      <w:numFmt w:val="decimal"/>
      <w:lvlText w:val=""/>
      <w:lvlJc w:val="left"/>
    </w:lvl>
  </w:abstractNum>
  <w:abstractNum w:abstractNumId="41" w15:restartNumberingAfterBreak="0">
    <w:nsid w:val="07267861"/>
    <w:multiLevelType w:val="hybridMultilevel"/>
    <w:tmpl w:val="D6F61C78"/>
    <w:lvl w:ilvl="0" w:tplc="CE644DBC">
      <w:start w:val="2"/>
      <w:numFmt w:val="bullet"/>
      <w:lvlText w:val="•"/>
      <w:lvlJc w:val="left"/>
      <w:pPr>
        <w:ind w:left="720" w:hanging="360"/>
      </w:pPr>
      <w:rPr>
        <w:rFonts w:ascii="Times New Roman" w:eastAsia="Times New Roman" w:hAnsi="Times New Roman" w:cs="Times New Roman" w:hint="default"/>
        <w:b/>
      </w:rPr>
    </w:lvl>
    <w:lvl w:ilvl="1" w:tplc="08888AF4">
      <w:numFmt w:val="bullet"/>
      <w:lvlText w:val=""/>
      <w:lvlJc w:val="left"/>
      <w:pPr>
        <w:ind w:left="1440" w:hanging="360"/>
      </w:pPr>
      <w:rPr>
        <w:rFonts w:ascii="Symbol" w:eastAsia="Times New Roman" w:hAnsi="Symbol" w:cs="Symbol" w:hint="default"/>
        <w:color w:val="000000"/>
        <w:sz w:val="22"/>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08F8B73F"/>
    <w:multiLevelType w:val="hybridMultilevel"/>
    <w:tmpl w:val="B9A43EA6"/>
    <w:lvl w:ilvl="0" w:tplc="B2AC1C84">
      <w:start w:val="2"/>
      <w:numFmt w:val="decimal"/>
      <w:lvlText w:val="%1."/>
      <w:lvlJc w:val="left"/>
    </w:lvl>
    <w:lvl w:ilvl="1" w:tplc="6D0CDB3E">
      <w:numFmt w:val="decimal"/>
      <w:lvlText w:val=""/>
      <w:lvlJc w:val="left"/>
    </w:lvl>
    <w:lvl w:ilvl="2" w:tplc="8416DD0E">
      <w:numFmt w:val="decimal"/>
      <w:lvlText w:val=""/>
      <w:lvlJc w:val="left"/>
    </w:lvl>
    <w:lvl w:ilvl="3" w:tplc="026C38B6">
      <w:numFmt w:val="decimal"/>
      <w:lvlText w:val=""/>
      <w:lvlJc w:val="left"/>
    </w:lvl>
    <w:lvl w:ilvl="4" w:tplc="00F865D2">
      <w:numFmt w:val="decimal"/>
      <w:lvlText w:val=""/>
      <w:lvlJc w:val="left"/>
    </w:lvl>
    <w:lvl w:ilvl="5" w:tplc="B7FE31CE">
      <w:numFmt w:val="decimal"/>
      <w:lvlText w:val=""/>
      <w:lvlJc w:val="left"/>
    </w:lvl>
    <w:lvl w:ilvl="6" w:tplc="0C604082">
      <w:numFmt w:val="decimal"/>
      <w:lvlText w:val=""/>
      <w:lvlJc w:val="left"/>
    </w:lvl>
    <w:lvl w:ilvl="7" w:tplc="1C1242F2">
      <w:numFmt w:val="decimal"/>
      <w:lvlText w:val=""/>
      <w:lvlJc w:val="left"/>
    </w:lvl>
    <w:lvl w:ilvl="8" w:tplc="A5F075C8">
      <w:numFmt w:val="decimal"/>
      <w:lvlText w:val=""/>
      <w:lvlJc w:val="left"/>
    </w:lvl>
  </w:abstractNum>
  <w:abstractNum w:abstractNumId="43" w15:restartNumberingAfterBreak="0">
    <w:nsid w:val="094927A8"/>
    <w:multiLevelType w:val="hybridMultilevel"/>
    <w:tmpl w:val="67464AA6"/>
    <w:lvl w:ilvl="0" w:tplc="4F0C12EC">
      <w:start w:val="61"/>
      <w:numFmt w:val="upperLetter"/>
      <w:lvlText w:val="%1."/>
      <w:lvlJc w:val="left"/>
    </w:lvl>
    <w:lvl w:ilvl="1" w:tplc="254E7346">
      <w:numFmt w:val="decimal"/>
      <w:lvlText w:val=""/>
      <w:lvlJc w:val="left"/>
    </w:lvl>
    <w:lvl w:ilvl="2" w:tplc="A5808960">
      <w:numFmt w:val="decimal"/>
      <w:lvlText w:val=""/>
      <w:lvlJc w:val="left"/>
    </w:lvl>
    <w:lvl w:ilvl="3" w:tplc="9F180322">
      <w:numFmt w:val="decimal"/>
      <w:lvlText w:val=""/>
      <w:lvlJc w:val="left"/>
    </w:lvl>
    <w:lvl w:ilvl="4" w:tplc="66D208CC">
      <w:numFmt w:val="decimal"/>
      <w:lvlText w:val=""/>
      <w:lvlJc w:val="left"/>
    </w:lvl>
    <w:lvl w:ilvl="5" w:tplc="E76EF7B0">
      <w:numFmt w:val="decimal"/>
      <w:lvlText w:val=""/>
      <w:lvlJc w:val="left"/>
    </w:lvl>
    <w:lvl w:ilvl="6" w:tplc="AB509352">
      <w:numFmt w:val="decimal"/>
      <w:lvlText w:val=""/>
      <w:lvlJc w:val="left"/>
    </w:lvl>
    <w:lvl w:ilvl="7" w:tplc="2214B438">
      <w:numFmt w:val="decimal"/>
      <w:lvlText w:val=""/>
      <w:lvlJc w:val="left"/>
    </w:lvl>
    <w:lvl w:ilvl="8" w:tplc="5FBE644E">
      <w:numFmt w:val="decimal"/>
      <w:lvlText w:val=""/>
      <w:lvlJc w:val="left"/>
    </w:lvl>
  </w:abstractNum>
  <w:abstractNum w:abstractNumId="44" w15:restartNumberingAfterBreak="0">
    <w:nsid w:val="0B37E80A"/>
    <w:multiLevelType w:val="hybridMultilevel"/>
    <w:tmpl w:val="82D231E0"/>
    <w:lvl w:ilvl="0" w:tplc="D8C6D5E2">
      <w:start w:val="1"/>
      <w:numFmt w:val="lowerLetter"/>
      <w:lvlText w:val="%1"/>
      <w:lvlJc w:val="left"/>
    </w:lvl>
    <w:lvl w:ilvl="1" w:tplc="C5CCD3AC">
      <w:numFmt w:val="decimal"/>
      <w:lvlText w:val=""/>
      <w:lvlJc w:val="left"/>
    </w:lvl>
    <w:lvl w:ilvl="2" w:tplc="EF927DF6">
      <w:numFmt w:val="decimal"/>
      <w:lvlText w:val=""/>
      <w:lvlJc w:val="left"/>
    </w:lvl>
    <w:lvl w:ilvl="3" w:tplc="C02270EC">
      <w:numFmt w:val="decimal"/>
      <w:lvlText w:val=""/>
      <w:lvlJc w:val="left"/>
    </w:lvl>
    <w:lvl w:ilvl="4" w:tplc="8162F534">
      <w:numFmt w:val="decimal"/>
      <w:lvlText w:val=""/>
      <w:lvlJc w:val="left"/>
    </w:lvl>
    <w:lvl w:ilvl="5" w:tplc="554809F4">
      <w:numFmt w:val="decimal"/>
      <w:lvlText w:val=""/>
      <w:lvlJc w:val="left"/>
    </w:lvl>
    <w:lvl w:ilvl="6" w:tplc="3AA8C95A">
      <w:numFmt w:val="decimal"/>
      <w:lvlText w:val=""/>
      <w:lvlJc w:val="left"/>
    </w:lvl>
    <w:lvl w:ilvl="7" w:tplc="03DA2BE2">
      <w:numFmt w:val="decimal"/>
      <w:lvlText w:val=""/>
      <w:lvlJc w:val="left"/>
    </w:lvl>
    <w:lvl w:ilvl="8" w:tplc="DA8CE7BA">
      <w:numFmt w:val="decimal"/>
      <w:lvlText w:val=""/>
      <w:lvlJc w:val="left"/>
    </w:lvl>
  </w:abstractNum>
  <w:abstractNum w:abstractNumId="45" w15:restartNumberingAfterBreak="0">
    <w:nsid w:val="0B9508EA"/>
    <w:multiLevelType w:val="hybridMultilevel"/>
    <w:tmpl w:val="3F9A49A0"/>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0BA60A3E"/>
    <w:multiLevelType w:val="hybridMultilevel"/>
    <w:tmpl w:val="47445D54"/>
    <w:lvl w:ilvl="0" w:tplc="08888AF4">
      <w:numFmt w:val="bullet"/>
      <w:lvlText w:val=""/>
      <w:lvlJc w:val="left"/>
      <w:pPr>
        <w:ind w:left="720" w:hanging="360"/>
      </w:pPr>
      <w:rPr>
        <w:rFonts w:ascii="Symbol" w:eastAsia="Times New Roman" w:hAnsi="Symbol" w:cs="Symbol" w:hint="default"/>
        <w:color w:val="000000"/>
        <w:sz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0BAAC1B4"/>
    <w:multiLevelType w:val="hybridMultilevel"/>
    <w:tmpl w:val="08A284D0"/>
    <w:lvl w:ilvl="0" w:tplc="89B8F432">
      <w:start w:val="5"/>
      <w:numFmt w:val="decimal"/>
      <w:lvlText w:val="%1."/>
      <w:lvlJc w:val="left"/>
    </w:lvl>
    <w:lvl w:ilvl="1" w:tplc="AF04B5C2">
      <w:numFmt w:val="decimal"/>
      <w:lvlText w:val=""/>
      <w:lvlJc w:val="left"/>
    </w:lvl>
    <w:lvl w:ilvl="2" w:tplc="62E2E806">
      <w:numFmt w:val="decimal"/>
      <w:lvlText w:val=""/>
      <w:lvlJc w:val="left"/>
    </w:lvl>
    <w:lvl w:ilvl="3" w:tplc="B77CB188">
      <w:numFmt w:val="decimal"/>
      <w:lvlText w:val=""/>
      <w:lvlJc w:val="left"/>
    </w:lvl>
    <w:lvl w:ilvl="4" w:tplc="1BE6CE0E">
      <w:numFmt w:val="decimal"/>
      <w:lvlText w:val=""/>
      <w:lvlJc w:val="left"/>
    </w:lvl>
    <w:lvl w:ilvl="5" w:tplc="9FECA038">
      <w:numFmt w:val="decimal"/>
      <w:lvlText w:val=""/>
      <w:lvlJc w:val="left"/>
    </w:lvl>
    <w:lvl w:ilvl="6" w:tplc="29BA3AC4">
      <w:numFmt w:val="decimal"/>
      <w:lvlText w:val=""/>
      <w:lvlJc w:val="left"/>
    </w:lvl>
    <w:lvl w:ilvl="7" w:tplc="DE70F5DE">
      <w:numFmt w:val="decimal"/>
      <w:lvlText w:val=""/>
      <w:lvlJc w:val="left"/>
    </w:lvl>
    <w:lvl w:ilvl="8" w:tplc="06FC55CC">
      <w:numFmt w:val="decimal"/>
      <w:lvlText w:val=""/>
      <w:lvlJc w:val="left"/>
    </w:lvl>
  </w:abstractNum>
  <w:abstractNum w:abstractNumId="48" w15:restartNumberingAfterBreak="0">
    <w:nsid w:val="0BFFAE18"/>
    <w:multiLevelType w:val="hybridMultilevel"/>
    <w:tmpl w:val="623E6FD4"/>
    <w:lvl w:ilvl="0" w:tplc="71EA8BEE">
      <w:start w:val="1"/>
      <w:numFmt w:val="lowerLetter"/>
      <w:lvlText w:val="%1"/>
      <w:lvlJc w:val="left"/>
    </w:lvl>
    <w:lvl w:ilvl="1" w:tplc="8D543CFC">
      <w:numFmt w:val="decimal"/>
      <w:lvlText w:val=""/>
      <w:lvlJc w:val="left"/>
    </w:lvl>
    <w:lvl w:ilvl="2" w:tplc="1158D896">
      <w:numFmt w:val="decimal"/>
      <w:lvlText w:val=""/>
      <w:lvlJc w:val="left"/>
    </w:lvl>
    <w:lvl w:ilvl="3" w:tplc="7F50868C">
      <w:numFmt w:val="decimal"/>
      <w:lvlText w:val=""/>
      <w:lvlJc w:val="left"/>
    </w:lvl>
    <w:lvl w:ilvl="4" w:tplc="29E45FE0">
      <w:numFmt w:val="decimal"/>
      <w:lvlText w:val=""/>
      <w:lvlJc w:val="left"/>
    </w:lvl>
    <w:lvl w:ilvl="5" w:tplc="A1663F70">
      <w:numFmt w:val="decimal"/>
      <w:lvlText w:val=""/>
      <w:lvlJc w:val="left"/>
    </w:lvl>
    <w:lvl w:ilvl="6" w:tplc="0C044992">
      <w:numFmt w:val="decimal"/>
      <w:lvlText w:val=""/>
      <w:lvlJc w:val="left"/>
    </w:lvl>
    <w:lvl w:ilvl="7" w:tplc="C6F071AC">
      <w:numFmt w:val="decimal"/>
      <w:lvlText w:val=""/>
      <w:lvlJc w:val="left"/>
    </w:lvl>
    <w:lvl w:ilvl="8" w:tplc="598A84B8">
      <w:numFmt w:val="decimal"/>
      <w:lvlText w:val=""/>
      <w:lvlJc w:val="left"/>
    </w:lvl>
  </w:abstractNum>
  <w:abstractNum w:abstractNumId="49" w15:restartNumberingAfterBreak="0">
    <w:nsid w:val="0C058DF5"/>
    <w:multiLevelType w:val="hybridMultilevel"/>
    <w:tmpl w:val="D0E6A076"/>
    <w:lvl w:ilvl="0" w:tplc="437C5F0A">
      <w:start w:val="1"/>
      <w:numFmt w:val="decimal"/>
      <w:lvlText w:val="%1."/>
      <w:lvlJc w:val="left"/>
    </w:lvl>
    <w:lvl w:ilvl="1" w:tplc="6EB47188">
      <w:numFmt w:val="decimal"/>
      <w:lvlText w:val=""/>
      <w:lvlJc w:val="left"/>
    </w:lvl>
    <w:lvl w:ilvl="2" w:tplc="0C3256AE">
      <w:numFmt w:val="decimal"/>
      <w:lvlText w:val=""/>
      <w:lvlJc w:val="left"/>
    </w:lvl>
    <w:lvl w:ilvl="3" w:tplc="D390BE42">
      <w:numFmt w:val="decimal"/>
      <w:lvlText w:val=""/>
      <w:lvlJc w:val="left"/>
    </w:lvl>
    <w:lvl w:ilvl="4" w:tplc="836AE83E">
      <w:numFmt w:val="decimal"/>
      <w:lvlText w:val=""/>
      <w:lvlJc w:val="left"/>
    </w:lvl>
    <w:lvl w:ilvl="5" w:tplc="2368C298">
      <w:numFmt w:val="decimal"/>
      <w:lvlText w:val=""/>
      <w:lvlJc w:val="left"/>
    </w:lvl>
    <w:lvl w:ilvl="6" w:tplc="FCC49D82">
      <w:numFmt w:val="decimal"/>
      <w:lvlText w:val=""/>
      <w:lvlJc w:val="left"/>
    </w:lvl>
    <w:lvl w:ilvl="7" w:tplc="17C09AF8">
      <w:numFmt w:val="decimal"/>
      <w:lvlText w:val=""/>
      <w:lvlJc w:val="left"/>
    </w:lvl>
    <w:lvl w:ilvl="8" w:tplc="BBF09B52">
      <w:numFmt w:val="decimal"/>
      <w:lvlText w:val=""/>
      <w:lvlJc w:val="left"/>
    </w:lvl>
  </w:abstractNum>
  <w:abstractNum w:abstractNumId="50" w15:restartNumberingAfterBreak="0">
    <w:nsid w:val="0C4866E2"/>
    <w:multiLevelType w:val="hybridMultilevel"/>
    <w:tmpl w:val="6F9083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0CA6B462"/>
    <w:multiLevelType w:val="hybridMultilevel"/>
    <w:tmpl w:val="124E8B3E"/>
    <w:lvl w:ilvl="0" w:tplc="3D60E52A">
      <w:start w:val="1"/>
      <w:numFmt w:val="bullet"/>
      <w:lvlText w:val=" "/>
      <w:lvlJc w:val="left"/>
    </w:lvl>
    <w:lvl w:ilvl="1" w:tplc="3CC6D3B6">
      <w:numFmt w:val="decimal"/>
      <w:lvlText w:val=""/>
      <w:lvlJc w:val="left"/>
    </w:lvl>
    <w:lvl w:ilvl="2" w:tplc="877073E0">
      <w:numFmt w:val="decimal"/>
      <w:lvlText w:val=""/>
      <w:lvlJc w:val="left"/>
    </w:lvl>
    <w:lvl w:ilvl="3" w:tplc="F0EE78B6">
      <w:numFmt w:val="decimal"/>
      <w:lvlText w:val=""/>
      <w:lvlJc w:val="left"/>
    </w:lvl>
    <w:lvl w:ilvl="4" w:tplc="6C965696">
      <w:numFmt w:val="decimal"/>
      <w:lvlText w:val=""/>
      <w:lvlJc w:val="left"/>
    </w:lvl>
    <w:lvl w:ilvl="5" w:tplc="3AF64756">
      <w:numFmt w:val="decimal"/>
      <w:lvlText w:val=""/>
      <w:lvlJc w:val="left"/>
    </w:lvl>
    <w:lvl w:ilvl="6" w:tplc="0A745C10">
      <w:numFmt w:val="decimal"/>
      <w:lvlText w:val=""/>
      <w:lvlJc w:val="left"/>
    </w:lvl>
    <w:lvl w:ilvl="7" w:tplc="2A3226D2">
      <w:numFmt w:val="decimal"/>
      <w:lvlText w:val=""/>
      <w:lvlJc w:val="left"/>
    </w:lvl>
    <w:lvl w:ilvl="8" w:tplc="AAA8691C">
      <w:numFmt w:val="decimal"/>
      <w:lvlText w:val=""/>
      <w:lvlJc w:val="left"/>
    </w:lvl>
  </w:abstractNum>
  <w:abstractNum w:abstractNumId="52" w15:restartNumberingAfterBreak="0">
    <w:nsid w:val="0CBE5BE9"/>
    <w:multiLevelType w:val="hybridMultilevel"/>
    <w:tmpl w:val="1498669A"/>
    <w:lvl w:ilvl="0" w:tplc="8D4879BE">
      <w:start w:val="1"/>
      <w:numFmt w:val="decimal"/>
      <w:lvlText w:val="%1."/>
      <w:lvlJc w:val="left"/>
    </w:lvl>
    <w:lvl w:ilvl="1" w:tplc="027E0B62">
      <w:numFmt w:val="decimal"/>
      <w:lvlText w:val=""/>
      <w:lvlJc w:val="left"/>
    </w:lvl>
    <w:lvl w:ilvl="2" w:tplc="1FE86BC2">
      <w:numFmt w:val="decimal"/>
      <w:lvlText w:val=""/>
      <w:lvlJc w:val="left"/>
    </w:lvl>
    <w:lvl w:ilvl="3" w:tplc="4FA006A4">
      <w:numFmt w:val="decimal"/>
      <w:lvlText w:val=""/>
      <w:lvlJc w:val="left"/>
    </w:lvl>
    <w:lvl w:ilvl="4" w:tplc="02D86F2A">
      <w:numFmt w:val="decimal"/>
      <w:lvlText w:val=""/>
      <w:lvlJc w:val="left"/>
    </w:lvl>
    <w:lvl w:ilvl="5" w:tplc="2578DE30">
      <w:numFmt w:val="decimal"/>
      <w:lvlText w:val=""/>
      <w:lvlJc w:val="left"/>
    </w:lvl>
    <w:lvl w:ilvl="6" w:tplc="9510EBB0">
      <w:numFmt w:val="decimal"/>
      <w:lvlText w:val=""/>
      <w:lvlJc w:val="left"/>
    </w:lvl>
    <w:lvl w:ilvl="7" w:tplc="829C155E">
      <w:numFmt w:val="decimal"/>
      <w:lvlText w:val=""/>
      <w:lvlJc w:val="left"/>
    </w:lvl>
    <w:lvl w:ilvl="8" w:tplc="34EC8BE8">
      <w:numFmt w:val="decimal"/>
      <w:lvlText w:val=""/>
      <w:lvlJc w:val="left"/>
    </w:lvl>
  </w:abstractNum>
  <w:abstractNum w:abstractNumId="53" w15:restartNumberingAfterBreak="0">
    <w:nsid w:val="0DCDF8F6"/>
    <w:multiLevelType w:val="hybridMultilevel"/>
    <w:tmpl w:val="9F306642"/>
    <w:lvl w:ilvl="0" w:tplc="71A2BFA6">
      <w:start w:val="1"/>
      <w:numFmt w:val="upperLetter"/>
      <w:lvlText w:val="%1"/>
      <w:lvlJc w:val="left"/>
    </w:lvl>
    <w:lvl w:ilvl="1" w:tplc="C8BA0F32">
      <w:numFmt w:val="decimal"/>
      <w:lvlText w:val=""/>
      <w:lvlJc w:val="left"/>
    </w:lvl>
    <w:lvl w:ilvl="2" w:tplc="43EAE78A">
      <w:numFmt w:val="decimal"/>
      <w:lvlText w:val=""/>
      <w:lvlJc w:val="left"/>
    </w:lvl>
    <w:lvl w:ilvl="3" w:tplc="247ABDC8">
      <w:numFmt w:val="decimal"/>
      <w:lvlText w:val=""/>
      <w:lvlJc w:val="left"/>
    </w:lvl>
    <w:lvl w:ilvl="4" w:tplc="4550873C">
      <w:numFmt w:val="decimal"/>
      <w:lvlText w:val=""/>
      <w:lvlJc w:val="left"/>
    </w:lvl>
    <w:lvl w:ilvl="5" w:tplc="93080D6A">
      <w:numFmt w:val="decimal"/>
      <w:lvlText w:val=""/>
      <w:lvlJc w:val="left"/>
    </w:lvl>
    <w:lvl w:ilvl="6" w:tplc="ED72BDC4">
      <w:numFmt w:val="decimal"/>
      <w:lvlText w:val=""/>
      <w:lvlJc w:val="left"/>
    </w:lvl>
    <w:lvl w:ilvl="7" w:tplc="8BB07CBE">
      <w:numFmt w:val="decimal"/>
      <w:lvlText w:val=""/>
      <w:lvlJc w:val="left"/>
    </w:lvl>
    <w:lvl w:ilvl="8" w:tplc="0B6696B8">
      <w:numFmt w:val="decimal"/>
      <w:lvlText w:val=""/>
      <w:lvlJc w:val="left"/>
    </w:lvl>
  </w:abstractNum>
  <w:abstractNum w:abstractNumId="54" w15:restartNumberingAfterBreak="0">
    <w:nsid w:val="0E0BB885"/>
    <w:multiLevelType w:val="hybridMultilevel"/>
    <w:tmpl w:val="ED403666"/>
    <w:lvl w:ilvl="0" w:tplc="3B189566">
      <w:start w:val="1"/>
      <w:numFmt w:val="bullet"/>
      <w:lvlText w:val=" "/>
      <w:lvlJc w:val="left"/>
    </w:lvl>
    <w:lvl w:ilvl="1" w:tplc="E38E6CAE">
      <w:numFmt w:val="decimal"/>
      <w:lvlText w:val=""/>
      <w:lvlJc w:val="left"/>
    </w:lvl>
    <w:lvl w:ilvl="2" w:tplc="BEFEB624">
      <w:numFmt w:val="decimal"/>
      <w:lvlText w:val=""/>
      <w:lvlJc w:val="left"/>
    </w:lvl>
    <w:lvl w:ilvl="3" w:tplc="3C607912">
      <w:numFmt w:val="decimal"/>
      <w:lvlText w:val=""/>
      <w:lvlJc w:val="left"/>
    </w:lvl>
    <w:lvl w:ilvl="4" w:tplc="18D2AB2A">
      <w:numFmt w:val="decimal"/>
      <w:lvlText w:val=""/>
      <w:lvlJc w:val="left"/>
    </w:lvl>
    <w:lvl w:ilvl="5" w:tplc="1F08CEA4">
      <w:numFmt w:val="decimal"/>
      <w:lvlText w:val=""/>
      <w:lvlJc w:val="left"/>
    </w:lvl>
    <w:lvl w:ilvl="6" w:tplc="03146C2C">
      <w:numFmt w:val="decimal"/>
      <w:lvlText w:val=""/>
      <w:lvlJc w:val="left"/>
    </w:lvl>
    <w:lvl w:ilvl="7" w:tplc="34F85716">
      <w:numFmt w:val="decimal"/>
      <w:lvlText w:val=""/>
      <w:lvlJc w:val="left"/>
    </w:lvl>
    <w:lvl w:ilvl="8" w:tplc="43047756">
      <w:numFmt w:val="decimal"/>
      <w:lvlText w:val=""/>
      <w:lvlJc w:val="left"/>
    </w:lvl>
  </w:abstractNum>
  <w:abstractNum w:abstractNumId="55" w15:restartNumberingAfterBreak="0">
    <w:nsid w:val="0E3E47A8"/>
    <w:multiLevelType w:val="hybridMultilevel"/>
    <w:tmpl w:val="194A72C4"/>
    <w:lvl w:ilvl="0" w:tplc="402E91B2">
      <w:start w:val="6"/>
      <w:numFmt w:val="decimal"/>
      <w:lvlText w:val="%1."/>
      <w:lvlJc w:val="left"/>
    </w:lvl>
    <w:lvl w:ilvl="1" w:tplc="F668BE74">
      <w:numFmt w:val="decimal"/>
      <w:lvlText w:val=""/>
      <w:lvlJc w:val="left"/>
    </w:lvl>
    <w:lvl w:ilvl="2" w:tplc="12CA17C6">
      <w:numFmt w:val="decimal"/>
      <w:lvlText w:val=""/>
      <w:lvlJc w:val="left"/>
    </w:lvl>
    <w:lvl w:ilvl="3" w:tplc="7AA6CBE0">
      <w:numFmt w:val="decimal"/>
      <w:lvlText w:val=""/>
      <w:lvlJc w:val="left"/>
    </w:lvl>
    <w:lvl w:ilvl="4" w:tplc="E28A74B6">
      <w:numFmt w:val="decimal"/>
      <w:lvlText w:val=""/>
      <w:lvlJc w:val="left"/>
    </w:lvl>
    <w:lvl w:ilvl="5" w:tplc="05643C78">
      <w:numFmt w:val="decimal"/>
      <w:lvlText w:val=""/>
      <w:lvlJc w:val="left"/>
    </w:lvl>
    <w:lvl w:ilvl="6" w:tplc="32A8B7AE">
      <w:numFmt w:val="decimal"/>
      <w:lvlText w:val=""/>
      <w:lvlJc w:val="left"/>
    </w:lvl>
    <w:lvl w:ilvl="7" w:tplc="0EFC1C1E">
      <w:numFmt w:val="decimal"/>
      <w:lvlText w:val=""/>
      <w:lvlJc w:val="left"/>
    </w:lvl>
    <w:lvl w:ilvl="8" w:tplc="25967864">
      <w:numFmt w:val="decimal"/>
      <w:lvlText w:val=""/>
      <w:lvlJc w:val="left"/>
    </w:lvl>
  </w:abstractNum>
  <w:abstractNum w:abstractNumId="56" w15:restartNumberingAfterBreak="0">
    <w:nsid w:val="0E7FFA2B"/>
    <w:multiLevelType w:val="hybridMultilevel"/>
    <w:tmpl w:val="501468D0"/>
    <w:lvl w:ilvl="0" w:tplc="50D8D5B8">
      <w:start w:val="9"/>
      <w:numFmt w:val="upperLetter"/>
      <w:lvlText w:val="%1."/>
      <w:lvlJc w:val="left"/>
    </w:lvl>
    <w:lvl w:ilvl="1" w:tplc="77DCBF36">
      <w:numFmt w:val="decimal"/>
      <w:lvlText w:val=""/>
      <w:lvlJc w:val="left"/>
    </w:lvl>
    <w:lvl w:ilvl="2" w:tplc="1FD238FC">
      <w:numFmt w:val="decimal"/>
      <w:lvlText w:val=""/>
      <w:lvlJc w:val="left"/>
    </w:lvl>
    <w:lvl w:ilvl="3" w:tplc="64AA49FA">
      <w:numFmt w:val="decimal"/>
      <w:lvlText w:val=""/>
      <w:lvlJc w:val="left"/>
    </w:lvl>
    <w:lvl w:ilvl="4" w:tplc="4BD80AF0">
      <w:numFmt w:val="decimal"/>
      <w:lvlText w:val=""/>
      <w:lvlJc w:val="left"/>
    </w:lvl>
    <w:lvl w:ilvl="5" w:tplc="0060C94A">
      <w:numFmt w:val="decimal"/>
      <w:lvlText w:val=""/>
      <w:lvlJc w:val="left"/>
    </w:lvl>
    <w:lvl w:ilvl="6" w:tplc="9C9479B6">
      <w:numFmt w:val="decimal"/>
      <w:lvlText w:val=""/>
      <w:lvlJc w:val="left"/>
    </w:lvl>
    <w:lvl w:ilvl="7" w:tplc="C658D3AA">
      <w:numFmt w:val="decimal"/>
      <w:lvlText w:val=""/>
      <w:lvlJc w:val="left"/>
    </w:lvl>
    <w:lvl w:ilvl="8" w:tplc="D72AFDDC">
      <w:numFmt w:val="decimal"/>
      <w:lvlText w:val=""/>
      <w:lvlJc w:val="left"/>
    </w:lvl>
  </w:abstractNum>
  <w:abstractNum w:abstractNumId="57" w15:restartNumberingAfterBreak="0">
    <w:nsid w:val="0EAD6F57"/>
    <w:multiLevelType w:val="hybridMultilevel"/>
    <w:tmpl w:val="C10C733A"/>
    <w:lvl w:ilvl="0" w:tplc="D804AB42">
      <w:start w:val="13"/>
      <w:numFmt w:val="decimal"/>
      <w:lvlText w:val="%1."/>
      <w:lvlJc w:val="left"/>
    </w:lvl>
    <w:lvl w:ilvl="1" w:tplc="9DE25262">
      <w:numFmt w:val="decimal"/>
      <w:lvlText w:val=""/>
      <w:lvlJc w:val="left"/>
    </w:lvl>
    <w:lvl w:ilvl="2" w:tplc="F4A89404">
      <w:numFmt w:val="decimal"/>
      <w:lvlText w:val=""/>
      <w:lvlJc w:val="left"/>
    </w:lvl>
    <w:lvl w:ilvl="3" w:tplc="0B26076E">
      <w:numFmt w:val="decimal"/>
      <w:lvlText w:val=""/>
      <w:lvlJc w:val="left"/>
    </w:lvl>
    <w:lvl w:ilvl="4" w:tplc="7DE07A38">
      <w:numFmt w:val="decimal"/>
      <w:lvlText w:val=""/>
      <w:lvlJc w:val="left"/>
    </w:lvl>
    <w:lvl w:ilvl="5" w:tplc="53C4E22E">
      <w:numFmt w:val="decimal"/>
      <w:lvlText w:val=""/>
      <w:lvlJc w:val="left"/>
    </w:lvl>
    <w:lvl w:ilvl="6" w:tplc="A5CABEA6">
      <w:numFmt w:val="decimal"/>
      <w:lvlText w:val=""/>
      <w:lvlJc w:val="left"/>
    </w:lvl>
    <w:lvl w:ilvl="7" w:tplc="612EA64A">
      <w:numFmt w:val="decimal"/>
      <w:lvlText w:val=""/>
      <w:lvlJc w:val="left"/>
    </w:lvl>
    <w:lvl w:ilvl="8" w:tplc="D74065B6">
      <w:numFmt w:val="decimal"/>
      <w:lvlText w:val=""/>
      <w:lvlJc w:val="left"/>
    </w:lvl>
  </w:abstractNum>
  <w:abstractNum w:abstractNumId="58" w15:restartNumberingAfterBreak="0">
    <w:nsid w:val="0F3F09D8"/>
    <w:multiLevelType w:val="hybridMultilevel"/>
    <w:tmpl w:val="C1927918"/>
    <w:lvl w:ilvl="0" w:tplc="088EA396">
      <w:start w:val="1"/>
      <w:numFmt w:val="bullet"/>
      <w:lvlText w:val="-"/>
      <w:lvlJc w:val="left"/>
    </w:lvl>
    <w:lvl w:ilvl="1" w:tplc="54084BF2">
      <w:numFmt w:val="decimal"/>
      <w:lvlText w:val=""/>
      <w:lvlJc w:val="left"/>
    </w:lvl>
    <w:lvl w:ilvl="2" w:tplc="FEFCBBD4">
      <w:numFmt w:val="decimal"/>
      <w:lvlText w:val=""/>
      <w:lvlJc w:val="left"/>
    </w:lvl>
    <w:lvl w:ilvl="3" w:tplc="27E4E464">
      <w:numFmt w:val="decimal"/>
      <w:lvlText w:val=""/>
      <w:lvlJc w:val="left"/>
    </w:lvl>
    <w:lvl w:ilvl="4" w:tplc="87241162">
      <w:numFmt w:val="decimal"/>
      <w:lvlText w:val=""/>
      <w:lvlJc w:val="left"/>
    </w:lvl>
    <w:lvl w:ilvl="5" w:tplc="46C45674">
      <w:numFmt w:val="decimal"/>
      <w:lvlText w:val=""/>
      <w:lvlJc w:val="left"/>
    </w:lvl>
    <w:lvl w:ilvl="6" w:tplc="297254CC">
      <w:numFmt w:val="decimal"/>
      <w:lvlText w:val=""/>
      <w:lvlJc w:val="left"/>
    </w:lvl>
    <w:lvl w:ilvl="7" w:tplc="9E68A44E">
      <w:numFmt w:val="decimal"/>
      <w:lvlText w:val=""/>
      <w:lvlJc w:val="left"/>
    </w:lvl>
    <w:lvl w:ilvl="8" w:tplc="B1720798">
      <w:numFmt w:val="decimal"/>
      <w:lvlText w:val=""/>
      <w:lvlJc w:val="left"/>
    </w:lvl>
  </w:abstractNum>
  <w:abstractNum w:abstractNumId="59" w15:restartNumberingAfterBreak="0">
    <w:nsid w:val="0F819E7F"/>
    <w:multiLevelType w:val="hybridMultilevel"/>
    <w:tmpl w:val="1278C52E"/>
    <w:lvl w:ilvl="0" w:tplc="10806D54">
      <w:start w:val="1"/>
      <w:numFmt w:val="lowerLetter"/>
      <w:lvlText w:val="%1"/>
      <w:lvlJc w:val="left"/>
    </w:lvl>
    <w:lvl w:ilvl="1" w:tplc="B8C8435C">
      <w:numFmt w:val="decimal"/>
      <w:lvlText w:val=""/>
      <w:lvlJc w:val="left"/>
    </w:lvl>
    <w:lvl w:ilvl="2" w:tplc="AF142E04">
      <w:numFmt w:val="decimal"/>
      <w:lvlText w:val=""/>
      <w:lvlJc w:val="left"/>
    </w:lvl>
    <w:lvl w:ilvl="3" w:tplc="D5AA54CE">
      <w:numFmt w:val="decimal"/>
      <w:lvlText w:val=""/>
      <w:lvlJc w:val="left"/>
    </w:lvl>
    <w:lvl w:ilvl="4" w:tplc="B40CA1AE">
      <w:numFmt w:val="decimal"/>
      <w:lvlText w:val=""/>
      <w:lvlJc w:val="left"/>
    </w:lvl>
    <w:lvl w:ilvl="5" w:tplc="2C1A700A">
      <w:numFmt w:val="decimal"/>
      <w:lvlText w:val=""/>
      <w:lvlJc w:val="left"/>
    </w:lvl>
    <w:lvl w:ilvl="6" w:tplc="9600F1B4">
      <w:numFmt w:val="decimal"/>
      <w:lvlText w:val=""/>
      <w:lvlJc w:val="left"/>
    </w:lvl>
    <w:lvl w:ilvl="7" w:tplc="44E4372C">
      <w:numFmt w:val="decimal"/>
      <w:lvlText w:val=""/>
      <w:lvlJc w:val="left"/>
    </w:lvl>
    <w:lvl w:ilvl="8" w:tplc="246CA148">
      <w:numFmt w:val="decimal"/>
      <w:lvlText w:val=""/>
      <w:lvlJc w:val="left"/>
    </w:lvl>
  </w:abstractNum>
  <w:abstractNum w:abstractNumId="60" w15:restartNumberingAfterBreak="0">
    <w:nsid w:val="0F856867"/>
    <w:multiLevelType w:val="hybridMultilevel"/>
    <w:tmpl w:val="751AE226"/>
    <w:lvl w:ilvl="0" w:tplc="88F0D344">
      <w:start w:val="10"/>
      <w:numFmt w:val="decimal"/>
      <w:lvlText w:val="%1."/>
      <w:lvlJc w:val="left"/>
    </w:lvl>
    <w:lvl w:ilvl="1" w:tplc="7696C320">
      <w:numFmt w:val="decimal"/>
      <w:lvlText w:val=""/>
      <w:lvlJc w:val="left"/>
    </w:lvl>
    <w:lvl w:ilvl="2" w:tplc="5F8259CA">
      <w:numFmt w:val="decimal"/>
      <w:lvlText w:val=""/>
      <w:lvlJc w:val="left"/>
    </w:lvl>
    <w:lvl w:ilvl="3" w:tplc="1F08F4C0">
      <w:numFmt w:val="decimal"/>
      <w:lvlText w:val=""/>
      <w:lvlJc w:val="left"/>
    </w:lvl>
    <w:lvl w:ilvl="4" w:tplc="21D8DA26">
      <w:numFmt w:val="decimal"/>
      <w:lvlText w:val=""/>
      <w:lvlJc w:val="left"/>
    </w:lvl>
    <w:lvl w:ilvl="5" w:tplc="A1A85800">
      <w:numFmt w:val="decimal"/>
      <w:lvlText w:val=""/>
      <w:lvlJc w:val="left"/>
    </w:lvl>
    <w:lvl w:ilvl="6" w:tplc="861E97AE">
      <w:numFmt w:val="decimal"/>
      <w:lvlText w:val=""/>
      <w:lvlJc w:val="left"/>
    </w:lvl>
    <w:lvl w:ilvl="7" w:tplc="7038ABC8">
      <w:numFmt w:val="decimal"/>
      <w:lvlText w:val=""/>
      <w:lvlJc w:val="left"/>
    </w:lvl>
    <w:lvl w:ilvl="8" w:tplc="9C980298">
      <w:numFmt w:val="decimal"/>
      <w:lvlText w:val=""/>
      <w:lvlJc w:val="left"/>
    </w:lvl>
  </w:abstractNum>
  <w:abstractNum w:abstractNumId="61" w15:restartNumberingAfterBreak="0">
    <w:nsid w:val="10DB9DAA"/>
    <w:multiLevelType w:val="hybridMultilevel"/>
    <w:tmpl w:val="16CE5560"/>
    <w:lvl w:ilvl="0" w:tplc="A112CEAC">
      <w:start w:val="1"/>
      <w:numFmt w:val="bullet"/>
      <w:lvlText w:val=" "/>
      <w:lvlJc w:val="left"/>
    </w:lvl>
    <w:lvl w:ilvl="1" w:tplc="453C91D2">
      <w:numFmt w:val="decimal"/>
      <w:lvlText w:val=""/>
      <w:lvlJc w:val="left"/>
    </w:lvl>
    <w:lvl w:ilvl="2" w:tplc="96EEB4C0">
      <w:numFmt w:val="decimal"/>
      <w:lvlText w:val=""/>
      <w:lvlJc w:val="left"/>
    </w:lvl>
    <w:lvl w:ilvl="3" w:tplc="D20CC83E">
      <w:numFmt w:val="decimal"/>
      <w:lvlText w:val=""/>
      <w:lvlJc w:val="left"/>
    </w:lvl>
    <w:lvl w:ilvl="4" w:tplc="8EA26B0C">
      <w:numFmt w:val="decimal"/>
      <w:lvlText w:val=""/>
      <w:lvlJc w:val="left"/>
    </w:lvl>
    <w:lvl w:ilvl="5" w:tplc="02DAD7C8">
      <w:numFmt w:val="decimal"/>
      <w:lvlText w:val=""/>
      <w:lvlJc w:val="left"/>
    </w:lvl>
    <w:lvl w:ilvl="6" w:tplc="A798E93A">
      <w:numFmt w:val="decimal"/>
      <w:lvlText w:val=""/>
      <w:lvlJc w:val="left"/>
    </w:lvl>
    <w:lvl w:ilvl="7" w:tplc="1D661D64">
      <w:numFmt w:val="decimal"/>
      <w:lvlText w:val=""/>
      <w:lvlJc w:val="left"/>
    </w:lvl>
    <w:lvl w:ilvl="8" w:tplc="F3B863AA">
      <w:numFmt w:val="decimal"/>
      <w:lvlText w:val=""/>
      <w:lvlJc w:val="left"/>
    </w:lvl>
  </w:abstractNum>
  <w:abstractNum w:abstractNumId="62" w15:restartNumberingAfterBreak="0">
    <w:nsid w:val="116AE494"/>
    <w:multiLevelType w:val="hybridMultilevel"/>
    <w:tmpl w:val="F90E1956"/>
    <w:lvl w:ilvl="0" w:tplc="70CCC48E">
      <w:start w:val="7"/>
      <w:numFmt w:val="decimal"/>
      <w:lvlText w:val="%1."/>
      <w:lvlJc w:val="left"/>
    </w:lvl>
    <w:lvl w:ilvl="1" w:tplc="2AD6DD2C">
      <w:numFmt w:val="decimal"/>
      <w:lvlText w:val=""/>
      <w:lvlJc w:val="left"/>
    </w:lvl>
    <w:lvl w:ilvl="2" w:tplc="888A969C">
      <w:numFmt w:val="decimal"/>
      <w:lvlText w:val=""/>
      <w:lvlJc w:val="left"/>
    </w:lvl>
    <w:lvl w:ilvl="3" w:tplc="8A9ADE1A">
      <w:numFmt w:val="decimal"/>
      <w:lvlText w:val=""/>
      <w:lvlJc w:val="left"/>
    </w:lvl>
    <w:lvl w:ilvl="4" w:tplc="1E6EBBF2">
      <w:numFmt w:val="decimal"/>
      <w:lvlText w:val=""/>
      <w:lvlJc w:val="left"/>
    </w:lvl>
    <w:lvl w:ilvl="5" w:tplc="A81832AC">
      <w:numFmt w:val="decimal"/>
      <w:lvlText w:val=""/>
      <w:lvlJc w:val="left"/>
    </w:lvl>
    <w:lvl w:ilvl="6" w:tplc="722EB58C">
      <w:numFmt w:val="decimal"/>
      <w:lvlText w:val=""/>
      <w:lvlJc w:val="left"/>
    </w:lvl>
    <w:lvl w:ilvl="7" w:tplc="715EA50A">
      <w:numFmt w:val="decimal"/>
      <w:lvlText w:val=""/>
      <w:lvlJc w:val="left"/>
    </w:lvl>
    <w:lvl w:ilvl="8" w:tplc="F38AB1D4">
      <w:numFmt w:val="decimal"/>
      <w:lvlText w:val=""/>
      <w:lvlJc w:val="left"/>
    </w:lvl>
  </w:abstractNum>
  <w:abstractNum w:abstractNumId="63" w15:restartNumberingAfterBreak="0">
    <w:nsid w:val="11B1CC33"/>
    <w:multiLevelType w:val="hybridMultilevel"/>
    <w:tmpl w:val="EDD82F0C"/>
    <w:lvl w:ilvl="0" w:tplc="56F6B276">
      <w:start w:val="1"/>
      <w:numFmt w:val="upperLetter"/>
      <w:lvlText w:val="%1"/>
      <w:lvlJc w:val="left"/>
    </w:lvl>
    <w:lvl w:ilvl="1" w:tplc="D6C86A9C">
      <w:start w:val="35"/>
      <w:numFmt w:val="upperLetter"/>
      <w:lvlText w:val="%2."/>
      <w:lvlJc w:val="left"/>
    </w:lvl>
    <w:lvl w:ilvl="2" w:tplc="39FA8322">
      <w:numFmt w:val="decimal"/>
      <w:lvlText w:val=""/>
      <w:lvlJc w:val="left"/>
    </w:lvl>
    <w:lvl w:ilvl="3" w:tplc="29646468">
      <w:numFmt w:val="decimal"/>
      <w:lvlText w:val=""/>
      <w:lvlJc w:val="left"/>
    </w:lvl>
    <w:lvl w:ilvl="4" w:tplc="63146578">
      <w:numFmt w:val="decimal"/>
      <w:lvlText w:val=""/>
      <w:lvlJc w:val="left"/>
    </w:lvl>
    <w:lvl w:ilvl="5" w:tplc="32AC7DF4">
      <w:numFmt w:val="decimal"/>
      <w:lvlText w:val=""/>
      <w:lvlJc w:val="left"/>
    </w:lvl>
    <w:lvl w:ilvl="6" w:tplc="99DE4CBA">
      <w:numFmt w:val="decimal"/>
      <w:lvlText w:val=""/>
      <w:lvlJc w:val="left"/>
    </w:lvl>
    <w:lvl w:ilvl="7" w:tplc="F0A0F424">
      <w:numFmt w:val="decimal"/>
      <w:lvlText w:val=""/>
      <w:lvlJc w:val="left"/>
    </w:lvl>
    <w:lvl w:ilvl="8" w:tplc="AF942BCE">
      <w:numFmt w:val="decimal"/>
      <w:lvlText w:val=""/>
      <w:lvlJc w:val="left"/>
    </w:lvl>
  </w:abstractNum>
  <w:abstractNum w:abstractNumId="64" w15:restartNumberingAfterBreak="0">
    <w:nsid w:val="11CCA8BA"/>
    <w:multiLevelType w:val="hybridMultilevel"/>
    <w:tmpl w:val="1E2A8140"/>
    <w:lvl w:ilvl="0" w:tplc="D54EA358">
      <w:start w:val="1"/>
      <w:numFmt w:val="lowerLetter"/>
      <w:lvlText w:val="%1"/>
      <w:lvlJc w:val="left"/>
    </w:lvl>
    <w:lvl w:ilvl="1" w:tplc="F524FDD0">
      <w:numFmt w:val="decimal"/>
      <w:lvlText w:val=""/>
      <w:lvlJc w:val="left"/>
    </w:lvl>
    <w:lvl w:ilvl="2" w:tplc="A29A66E6">
      <w:numFmt w:val="decimal"/>
      <w:lvlText w:val=""/>
      <w:lvlJc w:val="left"/>
    </w:lvl>
    <w:lvl w:ilvl="3" w:tplc="F97A83A8">
      <w:numFmt w:val="decimal"/>
      <w:lvlText w:val=""/>
      <w:lvlJc w:val="left"/>
    </w:lvl>
    <w:lvl w:ilvl="4" w:tplc="55982982">
      <w:numFmt w:val="decimal"/>
      <w:lvlText w:val=""/>
      <w:lvlJc w:val="left"/>
    </w:lvl>
    <w:lvl w:ilvl="5" w:tplc="DEC47EC4">
      <w:numFmt w:val="decimal"/>
      <w:lvlText w:val=""/>
      <w:lvlJc w:val="left"/>
    </w:lvl>
    <w:lvl w:ilvl="6" w:tplc="8E723750">
      <w:numFmt w:val="decimal"/>
      <w:lvlText w:val=""/>
      <w:lvlJc w:val="left"/>
    </w:lvl>
    <w:lvl w:ilvl="7" w:tplc="6CE025BC">
      <w:numFmt w:val="decimal"/>
      <w:lvlText w:val=""/>
      <w:lvlJc w:val="left"/>
    </w:lvl>
    <w:lvl w:ilvl="8" w:tplc="FBE296A4">
      <w:numFmt w:val="decimal"/>
      <w:lvlText w:val=""/>
      <w:lvlJc w:val="left"/>
    </w:lvl>
  </w:abstractNum>
  <w:abstractNum w:abstractNumId="65" w15:restartNumberingAfterBreak="0">
    <w:nsid w:val="135B8110"/>
    <w:multiLevelType w:val="hybridMultilevel"/>
    <w:tmpl w:val="3FD40A2E"/>
    <w:lvl w:ilvl="0" w:tplc="03344B10">
      <w:start w:val="1"/>
      <w:numFmt w:val="bullet"/>
      <w:lvlText w:val=" "/>
      <w:lvlJc w:val="left"/>
    </w:lvl>
    <w:lvl w:ilvl="1" w:tplc="30EC44CA">
      <w:numFmt w:val="decimal"/>
      <w:lvlText w:val=""/>
      <w:lvlJc w:val="left"/>
    </w:lvl>
    <w:lvl w:ilvl="2" w:tplc="498042FA">
      <w:numFmt w:val="decimal"/>
      <w:lvlText w:val=""/>
      <w:lvlJc w:val="left"/>
    </w:lvl>
    <w:lvl w:ilvl="3" w:tplc="CB62288C">
      <w:numFmt w:val="decimal"/>
      <w:lvlText w:val=""/>
      <w:lvlJc w:val="left"/>
    </w:lvl>
    <w:lvl w:ilvl="4" w:tplc="0E727CCA">
      <w:numFmt w:val="decimal"/>
      <w:lvlText w:val=""/>
      <w:lvlJc w:val="left"/>
    </w:lvl>
    <w:lvl w:ilvl="5" w:tplc="B06A4190">
      <w:numFmt w:val="decimal"/>
      <w:lvlText w:val=""/>
      <w:lvlJc w:val="left"/>
    </w:lvl>
    <w:lvl w:ilvl="6" w:tplc="B19A188C">
      <w:numFmt w:val="decimal"/>
      <w:lvlText w:val=""/>
      <w:lvlJc w:val="left"/>
    </w:lvl>
    <w:lvl w:ilvl="7" w:tplc="11182ABE">
      <w:numFmt w:val="decimal"/>
      <w:lvlText w:val=""/>
      <w:lvlJc w:val="left"/>
    </w:lvl>
    <w:lvl w:ilvl="8" w:tplc="2A3A62BE">
      <w:numFmt w:val="decimal"/>
      <w:lvlText w:val=""/>
      <w:lvlJc w:val="left"/>
    </w:lvl>
  </w:abstractNum>
  <w:abstractNum w:abstractNumId="66" w15:restartNumberingAfterBreak="0">
    <w:nsid w:val="13CDFCFC"/>
    <w:multiLevelType w:val="hybridMultilevel"/>
    <w:tmpl w:val="190C29C0"/>
    <w:lvl w:ilvl="0" w:tplc="0B58767A">
      <w:start w:val="3"/>
      <w:numFmt w:val="decimal"/>
      <w:lvlText w:val="%1."/>
      <w:lvlJc w:val="left"/>
    </w:lvl>
    <w:lvl w:ilvl="1" w:tplc="98789936">
      <w:numFmt w:val="decimal"/>
      <w:lvlText w:val=""/>
      <w:lvlJc w:val="left"/>
    </w:lvl>
    <w:lvl w:ilvl="2" w:tplc="5928DBB6">
      <w:numFmt w:val="decimal"/>
      <w:lvlText w:val=""/>
      <w:lvlJc w:val="left"/>
    </w:lvl>
    <w:lvl w:ilvl="3" w:tplc="78B8BE5C">
      <w:numFmt w:val="decimal"/>
      <w:lvlText w:val=""/>
      <w:lvlJc w:val="left"/>
    </w:lvl>
    <w:lvl w:ilvl="4" w:tplc="75A019F2">
      <w:numFmt w:val="decimal"/>
      <w:lvlText w:val=""/>
      <w:lvlJc w:val="left"/>
    </w:lvl>
    <w:lvl w:ilvl="5" w:tplc="BB262D80">
      <w:numFmt w:val="decimal"/>
      <w:lvlText w:val=""/>
      <w:lvlJc w:val="left"/>
    </w:lvl>
    <w:lvl w:ilvl="6" w:tplc="020E3A5A">
      <w:numFmt w:val="decimal"/>
      <w:lvlText w:val=""/>
      <w:lvlJc w:val="left"/>
    </w:lvl>
    <w:lvl w:ilvl="7" w:tplc="E82699B2">
      <w:numFmt w:val="decimal"/>
      <w:lvlText w:val=""/>
      <w:lvlJc w:val="left"/>
    </w:lvl>
    <w:lvl w:ilvl="8" w:tplc="C6542A4E">
      <w:numFmt w:val="decimal"/>
      <w:lvlText w:val=""/>
      <w:lvlJc w:val="left"/>
    </w:lvl>
  </w:abstractNum>
  <w:abstractNum w:abstractNumId="67" w15:restartNumberingAfterBreak="0">
    <w:nsid w:val="14217E23"/>
    <w:multiLevelType w:val="hybridMultilevel"/>
    <w:tmpl w:val="C70C8FD8"/>
    <w:lvl w:ilvl="0" w:tplc="BE08C3D0">
      <w:start w:val="13"/>
      <w:numFmt w:val="decimal"/>
      <w:lvlText w:val="%1."/>
      <w:lvlJc w:val="left"/>
    </w:lvl>
    <w:lvl w:ilvl="1" w:tplc="7EFE3A86">
      <w:numFmt w:val="decimal"/>
      <w:lvlText w:val=""/>
      <w:lvlJc w:val="left"/>
    </w:lvl>
    <w:lvl w:ilvl="2" w:tplc="AC8C159C">
      <w:numFmt w:val="decimal"/>
      <w:lvlText w:val=""/>
      <w:lvlJc w:val="left"/>
    </w:lvl>
    <w:lvl w:ilvl="3" w:tplc="5BF2C998">
      <w:numFmt w:val="decimal"/>
      <w:lvlText w:val=""/>
      <w:lvlJc w:val="left"/>
    </w:lvl>
    <w:lvl w:ilvl="4" w:tplc="5C98B666">
      <w:numFmt w:val="decimal"/>
      <w:lvlText w:val=""/>
      <w:lvlJc w:val="left"/>
    </w:lvl>
    <w:lvl w:ilvl="5" w:tplc="F3B03CA8">
      <w:numFmt w:val="decimal"/>
      <w:lvlText w:val=""/>
      <w:lvlJc w:val="left"/>
    </w:lvl>
    <w:lvl w:ilvl="6" w:tplc="8C2AAEF4">
      <w:numFmt w:val="decimal"/>
      <w:lvlText w:val=""/>
      <w:lvlJc w:val="left"/>
    </w:lvl>
    <w:lvl w:ilvl="7" w:tplc="530E9CA0">
      <w:numFmt w:val="decimal"/>
      <w:lvlText w:val=""/>
      <w:lvlJc w:val="left"/>
    </w:lvl>
    <w:lvl w:ilvl="8" w:tplc="386E31B4">
      <w:numFmt w:val="decimal"/>
      <w:lvlText w:val=""/>
      <w:lvlJc w:val="left"/>
    </w:lvl>
  </w:abstractNum>
  <w:abstractNum w:abstractNumId="68" w15:restartNumberingAfterBreak="0">
    <w:nsid w:val="14D53685"/>
    <w:multiLevelType w:val="hybridMultilevel"/>
    <w:tmpl w:val="2B50E54E"/>
    <w:lvl w:ilvl="0" w:tplc="8B8841AC">
      <w:start w:val="11"/>
      <w:numFmt w:val="decimal"/>
      <w:lvlText w:val="%1."/>
      <w:lvlJc w:val="left"/>
    </w:lvl>
    <w:lvl w:ilvl="1" w:tplc="F7AAD422">
      <w:numFmt w:val="decimal"/>
      <w:lvlText w:val=""/>
      <w:lvlJc w:val="left"/>
    </w:lvl>
    <w:lvl w:ilvl="2" w:tplc="C076F978">
      <w:numFmt w:val="decimal"/>
      <w:lvlText w:val=""/>
      <w:lvlJc w:val="left"/>
    </w:lvl>
    <w:lvl w:ilvl="3" w:tplc="046E73D6">
      <w:numFmt w:val="decimal"/>
      <w:lvlText w:val=""/>
      <w:lvlJc w:val="left"/>
    </w:lvl>
    <w:lvl w:ilvl="4" w:tplc="7812F0D0">
      <w:numFmt w:val="decimal"/>
      <w:lvlText w:val=""/>
      <w:lvlJc w:val="left"/>
    </w:lvl>
    <w:lvl w:ilvl="5" w:tplc="21620278">
      <w:numFmt w:val="decimal"/>
      <w:lvlText w:val=""/>
      <w:lvlJc w:val="left"/>
    </w:lvl>
    <w:lvl w:ilvl="6" w:tplc="1130B11C">
      <w:numFmt w:val="decimal"/>
      <w:lvlText w:val=""/>
      <w:lvlJc w:val="left"/>
    </w:lvl>
    <w:lvl w:ilvl="7" w:tplc="0556F538">
      <w:numFmt w:val="decimal"/>
      <w:lvlText w:val=""/>
      <w:lvlJc w:val="left"/>
    </w:lvl>
    <w:lvl w:ilvl="8" w:tplc="12C6B64A">
      <w:numFmt w:val="decimal"/>
      <w:lvlText w:val=""/>
      <w:lvlJc w:val="left"/>
    </w:lvl>
  </w:abstractNum>
  <w:abstractNum w:abstractNumId="69" w15:restartNumberingAfterBreak="0">
    <w:nsid w:val="15B71329"/>
    <w:multiLevelType w:val="hybridMultilevel"/>
    <w:tmpl w:val="EF367BC6"/>
    <w:lvl w:ilvl="0" w:tplc="020CCD62">
      <w:start w:val="1"/>
      <w:numFmt w:val="bullet"/>
      <w:lvlText w:val="-"/>
      <w:lvlJc w:val="left"/>
    </w:lvl>
    <w:lvl w:ilvl="1" w:tplc="D088A7B8">
      <w:numFmt w:val="decimal"/>
      <w:lvlText w:val=""/>
      <w:lvlJc w:val="left"/>
    </w:lvl>
    <w:lvl w:ilvl="2" w:tplc="D5800782">
      <w:numFmt w:val="decimal"/>
      <w:lvlText w:val=""/>
      <w:lvlJc w:val="left"/>
    </w:lvl>
    <w:lvl w:ilvl="3" w:tplc="892CD72E">
      <w:numFmt w:val="decimal"/>
      <w:lvlText w:val=""/>
      <w:lvlJc w:val="left"/>
    </w:lvl>
    <w:lvl w:ilvl="4" w:tplc="9AC612AA">
      <w:numFmt w:val="decimal"/>
      <w:lvlText w:val=""/>
      <w:lvlJc w:val="left"/>
    </w:lvl>
    <w:lvl w:ilvl="5" w:tplc="89BEE810">
      <w:numFmt w:val="decimal"/>
      <w:lvlText w:val=""/>
      <w:lvlJc w:val="left"/>
    </w:lvl>
    <w:lvl w:ilvl="6" w:tplc="49C43168">
      <w:numFmt w:val="decimal"/>
      <w:lvlText w:val=""/>
      <w:lvlJc w:val="left"/>
    </w:lvl>
    <w:lvl w:ilvl="7" w:tplc="CC101376">
      <w:numFmt w:val="decimal"/>
      <w:lvlText w:val=""/>
      <w:lvlJc w:val="left"/>
    </w:lvl>
    <w:lvl w:ilvl="8" w:tplc="0060BD16">
      <w:numFmt w:val="decimal"/>
      <w:lvlText w:val=""/>
      <w:lvlJc w:val="left"/>
    </w:lvl>
  </w:abstractNum>
  <w:abstractNum w:abstractNumId="70" w15:restartNumberingAfterBreak="0">
    <w:nsid w:val="15BCABA8"/>
    <w:multiLevelType w:val="hybridMultilevel"/>
    <w:tmpl w:val="08502CAC"/>
    <w:lvl w:ilvl="0" w:tplc="18803E50">
      <w:start w:val="1"/>
      <w:numFmt w:val="bullet"/>
      <w:lvlText w:val=" "/>
      <w:lvlJc w:val="left"/>
    </w:lvl>
    <w:lvl w:ilvl="1" w:tplc="CF4C4EC0">
      <w:numFmt w:val="decimal"/>
      <w:lvlText w:val=""/>
      <w:lvlJc w:val="left"/>
    </w:lvl>
    <w:lvl w:ilvl="2" w:tplc="90964E0A">
      <w:numFmt w:val="decimal"/>
      <w:lvlText w:val=""/>
      <w:lvlJc w:val="left"/>
    </w:lvl>
    <w:lvl w:ilvl="3" w:tplc="45847096">
      <w:numFmt w:val="decimal"/>
      <w:lvlText w:val=""/>
      <w:lvlJc w:val="left"/>
    </w:lvl>
    <w:lvl w:ilvl="4" w:tplc="C6CE7516">
      <w:numFmt w:val="decimal"/>
      <w:lvlText w:val=""/>
      <w:lvlJc w:val="left"/>
    </w:lvl>
    <w:lvl w:ilvl="5" w:tplc="4DC274A4">
      <w:numFmt w:val="decimal"/>
      <w:lvlText w:val=""/>
      <w:lvlJc w:val="left"/>
    </w:lvl>
    <w:lvl w:ilvl="6" w:tplc="3A8A31F4">
      <w:numFmt w:val="decimal"/>
      <w:lvlText w:val=""/>
      <w:lvlJc w:val="left"/>
    </w:lvl>
    <w:lvl w:ilvl="7" w:tplc="BE204CDC">
      <w:numFmt w:val="decimal"/>
      <w:lvlText w:val=""/>
      <w:lvlJc w:val="left"/>
    </w:lvl>
    <w:lvl w:ilvl="8" w:tplc="0FB01964">
      <w:numFmt w:val="decimal"/>
      <w:lvlText w:val=""/>
      <w:lvlJc w:val="left"/>
    </w:lvl>
  </w:abstractNum>
  <w:abstractNum w:abstractNumId="71" w15:restartNumberingAfterBreak="0">
    <w:nsid w:val="16294F02"/>
    <w:multiLevelType w:val="hybridMultilevel"/>
    <w:tmpl w:val="9048972A"/>
    <w:lvl w:ilvl="0" w:tplc="CE644DBC">
      <w:start w:val="2"/>
      <w:numFmt w:val="bullet"/>
      <w:lvlText w:val="•"/>
      <w:lvlJc w:val="left"/>
      <w:pPr>
        <w:ind w:left="720" w:hanging="360"/>
      </w:pPr>
      <w:rPr>
        <w:rFonts w:ascii="Times New Roman" w:eastAsia="Times New Roman" w:hAnsi="Times New Roman" w:cs="Times New Roman" w:hint="default"/>
        <w:b/>
        <w:color w:val="000000"/>
        <w:sz w:val="22"/>
      </w:rPr>
    </w:lvl>
    <w:lvl w:ilvl="1" w:tplc="08888AF4">
      <w:numFmt w:val="bullet"/>
      <w:lvlText w:val=""/>
      <w:lvlJc w:val="left"/>
      <w:pPr>
        <w:ind w:left="1440" w:hanging="360"/>
      </w:pPr>
      <w:rPr>
        <w:rFonts w:ascii="Symbol" w:eastAsia="Times New Roman" w:hAnsi="Symbol" w:cs="Symbol" w:hint="default"/>
        <w:color w:val="000000"/>
        <w:sz w:val="22"/>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2" w15:restartNumberingAfterBreak="0">
    <w:nsid w:val="16CF80F1"/>
    <w:multiLevelType w:val="hybridMultilevel"/>
    <w:tmpl w:val="CDF494DE"/>
    <w:lvl w:ilvl="0" w:tplc="8FCCFC00">
      <w:start w:val="7"/>
      <w:numFmt w:val="decimal"/>
      <w:lvlText w:val="%1."/>
      <w:lvlJc w:val="left"/>
    </w:lvl>
    <w:lvl w:ilvl="1" w:tplc="4C90B86A">
      <w:numFmt w:val="decimal"/>
      <w:lvlText w:val=""/>
      <w:lvlJc w:val="left"/>
    </w:lvl>
    <w:lvl w:ilvl="2" w:tplc="30246264">
      <w:numFmt w:val="decimal"/>
      <w:lvlText w:val=""/>
      <w:lvlJc w:val="left"/>
    </w:lvl>
    <w:lvl w:ilvl="3" w:tplc="F168B868">
      <w:numFmt w:val="decimal"/>
      <w:lvlText w:val=""/>
      <w:lvlJc w:val="left"/>
    </w:lvl>
    <w:lvl w:ilvl="4" w:tplc="268AD328">
      <w:numFmt w:val="decimal"/>
      <w:lvlText w:val=""/>
      <w:lvlJc w:val="left"/>
    </w:lvl>
    <w:lvl w:ilvl="5" w:tplc="41664A84">
      <w:numFmt w:val="decimal"/>
      <w:lvlText w:val=""/>
      <w:lvlJc w:val="left"/>
    </w:lvl>
    <w:lvl w:ilvl="6" w:tplc="06CCFAD0">
      <w:numFmt w:val="decimal"/>
      <w:lvlText w:val=""/>
      <w:lvlJc w:val="left"/>
    </w:lvl>
    <w:lvl w:ilvl="7" w:tplc="BDA2746C">
      <w:numFmt w:val="decimal"/>
      <w:lvlText w:val=""/>
      <w:lvlJc w:val="left"/>
    </w:lvl>
    <w:lvl w:ilvl="8" w:tplc="D7A0CE00">
      <w:numFmt w:val="decimal"/>
      <w:lvlText w:val=""/>
      <w:lvlJc w:val="left"/>
    </w:lvl>
  </w:abstractNum>
  <w:abstractNum w:abstractNumId="73" w15:restartNumberingAfterBreak="0">
    <w:nsid w:val="17180B0B"/>
    <w:multiLevelType w:val="hybridMultilevel"/>
    <w:tmpl w:val="E81C0406"/>
    <w:lvl w:ilvl="0" w:tplc="DB74A40E">
      <w:start w:val="1"/>
      <w:numFmt w:val="lowerLetter"/>
      <w:lvlText w:val="%1"/>
      <w:lvlJc w:val="left"/>
    </w:lvl>
    <w:lvl w:ilvl="1" w:tplc="1EE245B0">
      <w:numFmt w:val="decimal"/>
      <w:lvlText w:val=""/>
      <w:lvlJc w:val="left"/>
    </w:lvl>
    <w:lvl w:ilvl="2" w:tplc="C0B43038">
      <w:numFmt w:val="decimal"/>
      <w:lvlText w:val=""/>
      <w:lvlJc w:val="left"/>
    </w:lvl>
    <w:lvl w:ilvl="3" w:tplc="44EA2568">
      <w:numFmt w:val="decimal"/>
      <w:lvlText w:val=""/>
      <w:lvlJc w:val="left"/>
    </w:lvl>
    <w:lvl w:ilvl="4" w:tplc="68062F5C">
      <w:numFmt w:val="decimal"/>
      <w:lvlText w:val=""/>
      <w:lvlJc w:val="left"/>
    </w:lvl>
    <w:lvl w:ilvl="5" w:tplc="5D8898EE">
      <w:numFmt w:val="decimal"/>
      <w:lvlText w:val=""/>
      <w:lvlJc w:val="left"/>
    </w:lvl>
    <w:lvl w:ilvl="6" w:tplc="56E60DFA">
      <w:numFmt w:val="decimal"/>
      <w:lvlText w:val=""/>
      <w:lvlJc w:val="left"/>
    </w:lvl>
    <w:lvl w:ilvl="7" w:tplc="95CC51CE">
      <w:numFmt w:val="decimal"/>
      <w:lvlText w:val=""/>
      <w:lvlJc w:val="left"/>
    </w:lvl>
    <w:lvl w:ilvl="8" w:tplc="B0C85CCC">
      <w:numFmt w:val="decimal"/>
      <w:lvlText w:val=""/>
      <w:lvlJc w:val="left"/>
    </w:lvl>
  </w:abstractNum>
  <w:abstractNum w:abstractNumId="74" w15:restartNumberingAfterBreak="0">
    <w:nsid w:val="175DFCF0"/>
    <w:multiLevelType w:val="hybridMultilevel"/>
    <w:tmpl w:val="C6D8C39A"/>
    <w:lvl w:ilvl="0" w:tplc="A15E0F88">
      <w:start w:val="1"/>
      <w:numFmt w:val="bullet"/>
      <w:lvlText w:val="*"/>
      <w:lvlJc w:val="left"/>
    </w:lvl>
    <w:lvl w:ilvl="1" w:tplc="5BBA6668">
      <w:numFmt w:val="decimal"/>
      <w:lvlText w:val=""/>
      <w:lvlJc w:val="left"/>
    </w:lvl>
    <w:lvl w:ilvl="2" w:tplc="21C01370">
      <w:numFmt w:val="decimal"/>
      <w:lvlText w:val=""/>
      <w:lvlJc w:val="left"/>
    </w:lvl>
    <w:lvl w:ilvl="3" w:tplc="12942120">
      <w:numFmt w:val="decimal"/>
      <w:lvlText w:val=""/>
      <w:lvlJc w:val="left"/>
    </w:lvl>
    <w:lvl w:ilvl="4" w:tplc="5178E186">
      <w:numFmt w:val="decimal"/>
      <w:lvlText w:val=""/>
      <w:lvlJc w:val="left"/>
    </w:lvl>
    <w:lvl w:ilvl="5" w:tplc="81FE62A4">
      <w:numFmt w:val="decimal"/>
      <w:lvlText w:val=""/>
      <w:lvlJc w:val="left"/>
    </w:lvl>
    <w:lvl w:ilvl="6" w:tplc="9902689E">
      <w:numFmt w:val="decimal"/>
      <w:lvlText w:val=""/>
      <w:lvlJc w:val="left"/>
    </w:lvl>
    <w:lvl w:ilvl="7" w:tplc="D3E0EFE2">
      <w:numFmt w:val="decimal"/>
      <w:lvlText w:val=""/>
      <w:lvlJc w:val="left"/>
    </w:lvl>
    <w:lvl w:ilvl="8" w:tplc="77A6AF88">
      <w:numFmt w:val="decimal"/>
      <w:lvlText w:val=""/>
      <w:lvlJc w:val="left"/>
    </w:lvl>
  </w:abstractNum>
  <w:abstractNum w:abstractNumId="75" w15:restartNumberingAfterBreak="0">
    <w:nsid w:val="17A1B582"/>
    <w:multiLevelType w:val="hybridMultilevel"/>
    <w:tmpl w:val="A16422AE"/>
    <w:lvl w:ilvl="0" w:tplc="D5DCFF9E">
      <w:start w:val="1"/>
      <w:numFmt w:val="upperLetter"/>
      <w:lvlText w:val="%1"/>
      <w:lvlJc w:val="left"/>
    </w:lvl>
    <w:lvl w:ilvl="1" w:tplc="178253D0">
      <w:numFmt w:val="decimal"/>
      <w:lvlText w:val=""/>
      <w:lvlJc w:val="left"/>
    </w:lvl>
    <w:lvl w:ilvl="2" w:tplc="ECD8C3CC">
      <w:numFmt w:val="decimal"/>
      <w:lvlText w:val=""/>
      <w:lvlJc w:val="left"/>
    </w:lvl>
    <w:lvl w:ilvl="3" w:tplc="FBDCD5C4">
      <w:numFmt w:val="decimal"/>
      <w:lvlText w:val=""/>
      <w:lvlJc w:val="left"/>
    </w:lvl>
    <w:lvl w:ilvl="4" w:tplc="6E9CB4F6">
      <w:numFmt w:val="decimal"/>
      <w:lvlText w:val=""/>
      <w:lvlJc w:val="left"/>
    </w:lvl>
    <w:lvl w:ilvl="5" w:tplc="CC661C38">
      <w:numFmt w:val="decimal"/>
      <w:lvlText w:val=""/>
      <w:lvlJc w:val="left"/>
    </w:lvl>
    <w:lvl w:ilvl="6" w:tplc="EFD2F3A6">
      <w:numFmt w:val="decimal"/>
      <w:lvlText w:val=""/>
      <w:lvlJc w:val="left"/>
    </w:lvl>
    <w:lvl w:ilvl="7" w:tplc="ADAC2BF8">
      <w:numFmt w:val="decimal"/>
      <w:lvlText w:val=""/>
      <w:lvlJc w:val="left"/>
    </w:lvl>
    <w:lvl w:ilvl="8" w:tplc="15C0D852">
      <w:numFmt w:val="decimal"/>
      <w:lvlText w:val=""/>
      <w:lvlJc w:val="left"/>
    </w:lvl>
  </w:abstractNum>
  <w:abstractNum w:abstractNumId="76" w15:restartNumberingAfterBreak="0">
    <w:nsid w:val="1816F8C4"/>
    <w:multiLevelType w:val="hybridMultilevel"/>
    <w:tmpl w:val="F5B23E2A"/>
    <w:lvl w:ilvl="0" w:tplc="3918DA56">
      <w:start w:val="2"/>
      <w:numFmt w:val="decimal"/>
      <w:lvlText w:val="%1."/>
      <w:lvlJc w:val="left"/>
    </w:lvl>
    <w:lvl w:ilvl="1" w:tplc="968E3EB8">
      <w:numFmt w:val="decimal"/>
      <w:lvlText w:val=""/>
      <w:lvlJc w:val="left"/>
    </w:lvl>
    <w:lvl w:ilvl="2" w:tplc="84842176">
      <w:numFmt w:val="decimal"/>
      <w:lvlText w:val=""/>
      <w:lvlJc w:val="left"/>
    </w:lvl>
    <w:lvl w:ilvl="3" w:tplc="F6CA63F0">
      <w:numFmt w:val="decimal"/>
      <w:lvlText w:val=""/>
      <w:lvlJc w:val="left"/>
    </w:lvl>
    <w:lvl w:ilvl="4" w:tplc="8B8612CC">
      <w:numFmt w:val="decimal"/>
      <w:lvlText w:val=""/>
      <w:lvlJc w:val="left"/>
    </w:lvl>
    <w:lvl w:ilvl="5" w:tplc="98A68806">
      <w:numFmt w:val="decimal"/>
      <w:lvlText w:val=""/>
      <w:lvlJc w:val="left"/>
    </w:lvl>
    <w:lvl w:ilvl="6" w:tplc="BD469552">
      <w:numFmt w:val="decimal"/>
      <w:lvlText w:val=""/>
      <w:lvlJc w:val="left"/>
    </w:lvl>
    <w:lvl w:ilvl="7" w:tplc="E9BA0E3E">
      <w:numFmt w:val="decimal"/>
      <w:lvlText w:val=""/>
      <w:lvlJc w:val="left"/>
    </w:lvl>
    <w:lvl w:ilvl="8" w:tplc="D2581D3E">
      <w:numFmt w:val="decimal"/>
      <w:lvlText w:val=""/>
      <w:lvlJc w:val="left"/>
    </w:lvl>
  </w:abstractNum>
  <w:abstractNum w:abstractNumId="77" w15:restartNumberingAfterBreak="0">
    <w:nsid w:val="1849C29B"/>
    <w:multiLevelType w:val="hybridMultilevel"/>
    <w:tmpl w:val="48E4B344"/>
    <w:lvl w:ilvl="0" w:tplc="DD583056">
      <w:start w:val="4"/>
      <w:numFmt w:val="decimal"/>
      <w:lvlText w:val="%1."/>
      <w:lvlJc w:val="left"/>
    </w:lvl>
    <w:lvl w:ilvl="1" w:tplc="D97E38F2">
      <w:numFmt w:val="decimal"/>
      <w:lvlText w:val=""/>
      <w:lvlJc w:val="left"/>
    </w:lvl>
    <w:lvl w:ilvl="2" w:tplc="18420352">
      <w:numFmt w:val="decimal"/>
      <w:lvlText w:val=""/>
      <w:lvlJc w:val="left"/>
    </w:lvl>
    <w:lvl w:ilvl="3" w:tplc="C37A91BE">
      <w:numFmt w:val="decimal"/>
      <w:lvlText w:val=""/>
      <w:lvlJc w:val="left"/>
    </w:lvl>
    <w:lvl w:ilvl="4" w:tplc="BC1031EA">
      <w:numFmt w:val="decimal"/>
      <w:lvlText w:val=""/>
      <w:lvlJc w:val="left"/>
    </w:lvl>
    <w:lvl w:ilvl="5" w:tplc="4230AA50">
      <w:numFmt w:val="decimal"/>
      <w:lvlText w:val=""/>
      <w:lvlJc w:val="left"/>
    </w:lvl>
    <w:lvl w:ilvl="6" w:tplc="295C0E20">
      <w:numFmt w:val="decimal"/>
      <w:lvlText w:val=""/>
      <w:lvlJc w:val="left"/>
    </w:lvl>
    <w:lvl w:ilvl="7" w:tplc="4BAED67C">
      <w:numFmt w:val="decimal"/>
      <w:lvlText w:val=""/>
      <w:lvlJc w:val="left"/>
    </w:lvl>
    <w:lvl w:ilvl="8" w:tplc="DE54F03C">
      <w:numFmt w:val="decimal"/>
      <w:lvlText w:val=""/>
      <w:lvlJc w:val="left"/>
    </w:lvl>
  </w:abstractNum>
  <w:abstractNum w:abstractNumId="78" w15:restartNumberingAfterBreak="0">
    <w:nsid w:val="1912722F"/>
    <w:multiLevelType w:val="hybridMultilevel"/>
    <w:tmpl w:val="A73C217A"/>
    <w:lvl w:ilvl="0" w:tplc="08888AF4">
      <w:numFmt w:val="bullet"/>
      <w:lvlText w:val=""/>
      <w:lvlJc w:val="left"/>
      <w:pPr>
        <w:ind w:left="720" w:hanging="360"/>
      </w:pPr>
      <w:rPr>
        <w:rFonts w:ascii="Symbol" w:eastAsia="Times New Roman" w:hAnsi="Symbol" w:cs="Symbol" w:hint="default"/>
        <w:b/>
        <w:color w:val="000000"/>
        <w:sz w:val="22"/>
      </w:rPr>
    </w:lvl>
    <w:lvl w:ilvl="1" w:tplc="08888AF4">
      <w:numFmt w:val="bullet"/>
      <w:lvlText w:val=""/>
      <w:lvlJc w:val="left"/>
      <w:pPr>
        <w:ind w:left="1440" w:hanging="360"/>
      </w:pPr>
      <w:rPr>
        <w:rFonts w:ascii="Symbol" w:eastAsia="Times New Roman" w:hAnsi="Symbol" w:cs="Symbol" w:hint="default"/>
        <w:color w:val="000000"/>
        <w:sz w:val="22"/>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1958BD17"/>
    <w:multiLevelType w:val="hybridMultilevel"/>
    <w:tmpl w:val="DA884F9A"/>
    <w:lvl w:ilvl="0" w:tplc="2E303290">
      <w:start w:val="1"/>
      <w:numFmt w:val="bullet"/>
      <w:lvlText w:val=" "/>
      <w:lvlJc w:val="left"/>
    </w:lvl>
    <w:lvl w:ilvl="1" w:tplc="37E0DAC8">
      <w:numFmt w:val="decimal"/>
      <w:lvlText w:val=""/>
      <w:lvlJc w:val="left"/>
    </w:lvl>
    <w:lvl w:ilvl="2" w:tplc="B4E066DC">
      <w:numFmt w:val="decimal"/>
      <w:lvlText w:val=""/>
      <w:lvlJc w:val="left"/>
    </w:lvl>
    <w:lvl w:ilvl="3" w:tplc="9AD0C222">
      <w:numFmt w:val="decimal"/>
      <w:lvlText w:val=""/>
      <w:lvlJc w:val="left"/>
    </w:lvl>
    <w:lvl w:ilvl="4" w:tplc="3BA6A7C0">
      <w:numFmt w:val="decimal"/>
      <w:lvlText w:val=""/>
      <w:lvlJc w:val="left"/>
    </w:lvl>
    <w:lvl w:ilvl="5" w:tplc="D9CE6F82">
      <w:numFmt w:val="decimal"/>
      <w:lvlText w:val=""/>
      <w:lvlJc w:val="left"/>
    </w:lvl>
    <w:lvl w:ilvl="6" w:tplc="543C0298">
      <w:numFmt w:val="decimal"/>
      <w:lvlText w:val=""/>
      <w:lvlJc w:val="left"/>
    </w:lvl>
    <w:lvl w:ilvl="7" w:tplc="DA06AB8E">
      <w:numFmt w:val="decimal"/>
      <w:lvlText w:val=""/>
      <w:lvlJc w:val="left"/>
    </w:lvl>
    <w:lvl w:ilvl="8" w:tplc="0794394C">
      <w:numFmt w:val="decimal"/>
      <w:lvlText w:val=""/>
      <w:lvlJc w:val="left"/>
    </w:lvl>
  </w:abstractNum>
  <w:abstractNum w:abstractNumId="80" w15:restartNumberingAfterBreak="0">
    <w:nsid w:val="19A52566"/>
    <w:multiLevelType w:val="hybridMultilevel"/>
    <w:tmpl w:val="E4ECAF6A"/>
    <w:lvl w:ilvl="0" w:tplc="1DBC3654">
      <w:start w:val="1"/>
      <w:numFmt w:val="bullet"/>
      <w:lvlText w:val=" "/>
      <w:lvlJc w:val="left"/>
    </w:lvl>
    <w:lvl w:ilvl="1" w:tplc="97B21A08">
      <w:numFmt w:val="decimal"/>
      <w:lvlText w:val=""/>
      <w:lvlJc w:val="left"/>
    </w:lvl>
    <w:lvl w:ilvl="2" w:tplc="F194620C">
      <w:numFmt w:val="decimal"/>
      <w:lvlText w:val=""/>
      <w:lvlJc w:val="left"/>
    </w:lvl>
    <w:lvl w:ilvl="3" w:tplc="F5EE400C">
      <w:numFmt w:val="decimal"/>
      <w:lvlText w:val=""/>
      <w:lvlJc w:val="left"/>
    </w:lvl>
    <w:lvl w:ilvl="4" w:tplc="604EE390">
      <w:numFmt w:val="decimal"/>
      <w:lvlText w:val=""/>
      <w:lvlJc w:val="left"/>
    </w:lvl>
    <w:lvl w:ilvl="5" w:tplc="9A0E9FCA">
      <w:numFmt w:val="decimal"/>
      <w:lvlText w:val=""/>
      <w:lvlJc w:val="left"/>
    </w:lvl>
    <w:lvl w:ilvl="6" w:tplc="B89E317E">
      <w:numFmt w:val="decimal"/>
      <w:lvlText w:val=""/>
      <w:lvlJc w:val="left"/>
    </w:lvl>
    <w:lvl w:ilvl="7" w:tplc="25FCB2D2">
      <w:numFmt w:val="decimal"/>
      <w:lvlText w:val=""/>
      <w:lvlJc w:val="left"/>
    </w:lvl>
    <w:lvl w:ilvl="8" w:tplc="D8722272">
      <w:numFmt w:val="decimal"/>
      <w:lvlText w:val=""/>
      <w:lvlJc w:val="left"/>
    </w:lvl>
  </w:abstractNum>
  <w:abstractNum w:abstractNumId="81" w15:restartNumberingAfterBreak="0">
    <w:nsid w:val="19E21BB2"/>
    <w:multiLevelType w:val="hybridMultilevel"/>
    <w:tmpl w:val="63F63D1C"/>
    <w:lvl w:ilvl="0" w:tplc="C0A85E3A">
      <w:start w:val="44"/>
      <w:numFmt w:val="upperLetter"/>
      <w:lvlText w:val="%1"/>
      <w:lvlJc w:val="left"/>
    </w:lvl>
    <w:lvl w:ilvl="1" w:tplc="29B43484">
      <w:numFmt w:val="decimal"/>
      <w:lvlText w:val=""/>
      <w:lvlJc w:val="left"/>
    </w:lvl>
    <w:lvl w:ilvl="2" w:tplc="0CD47766">
      <w:numFmt w:val="decimal"/>
      <w:lvlText w:val=""/>
      <w:lvlJc w:val="left"/>
    </w:lvl>
    <w:lvl w:ilvl="3" w:tplc="F8768506">
      <w:numFmt w:val="decimal"/>
      <w:lvlText w:val=""/>
      <w:lvlJc w:val="left"/>
    </w:lvl>
    <w:lvl w:ilvl="4" w:tplc="CC5ED2F4">
      <w:numFmt w:val="decimal"/>
      <w:lvlText w:val=""/>
      <w:lvlJc w:val="left"/>
    </w:lvl>
    <w:lvl w:ilvl="5" w:tplc="66EE20CE">
      <w:numFmt w:val="decimal"/>
      <w:lvlText w:val=""/>
      <w:lvlJc w:val="left"/>
    </w:lvl>
    <w:lvl w:ilvl="6" w:tplc="05AA9790">
      <w:numFmt w:val="decimal"/>
      <w:lvlText w:val=""/>
      <w:lvlJc w:val="left"/>
    </w:lvl>
    <w:lvl w:ilvl="7" w:tplc="E9E0DC1E">
      <w:numFmt w:val="decimal"/>
      <w:lvlText w:val=""/>
      <w:lvlJc w:val="left"/>
    </w:lvl>
    <w:lvl w:ilvl="8" w:tplc="1778D77E">
      <w:numFmt w:val="decimal"/>
      <w:lvlText w:val=""/>
      <w:lvlJc w:val="left"/>
    </w:lvl>
  </w:abstractNum>
  <w:abstractNum w:abstractNumId="82" w15:restartNumberingAfterBreak="0">
    <w:nsid w:val="1A0DDE32"/>
    <w:multiLevelType w:val="hybridMultilevel"/>
    <w:tmpl w:val="DCC293A8"/>
    <w:lvl w:ilvl="0" w:tplc="3CF02C80">
      <w:start w:val="1"/>
      <w:numFmt w:val="upperLetter"/>
      <w:lvlText w:val="%1"/>
      <w:lvlJc w:val="left"/>
    </w:lvl>
    <w:lvl w:ilvl="1" w:tplc="83DC1538">
      <w:numFmt w:val="decimal"/>
      <w:lvlText w:val=""/>
      <w:lvlJc w:val="left"/>
    </w:lvl>
    <w:lvl w:ilvl="2" w:tplc="6CB021AE">
      <w:numFmt w:val="decimal"/>
      <w:lvlText w:val=""/>
      <w:lvlJc w:val="left"/>
    </w:lvl>
    <w:lvl w:ilvl="3" w:tplc="89447390">
      <w:numFmt w:val="decimal"/>
      <w:lvlText w:val=""/>
      <w:lvlJc w:val="left"/>
    </w:lvl>
    <w:lvl w:ilvl="4" w:tplc="DBBAF526">
      <w:numFmt w:val="decimal"/>
      <w:lvlText w:val=""/>
      <w:lvlJc w:val="left"/>
    </w:lvl>
    <w:lvl w:ilvl="5" w:tplc="66564906">
      <w:numFmt w:val="decimal"/>
      <w:lvlText w:val=""/>
      <w:lvlJc w:val="left"/>
    </w:lvl>
    <w:lvl w:ilvl="6" w:tplc="EE0AA808">
      <w:numFmt w:val="decimal"/>
      <w:lvlText w:val=""/>
      <w:lvlJc w:val="left"/>
    </w:lvl>
    <w:lvl w:ilvl="7" w:tplc="C09CC8D6">
      <w:numFmt w:val="decimal"/>
      <w:lvlText w:val=""/>
      <w:lvlJc w:val="left"/>
    </w:lvl>
    <w:lvl w:ilvl="8" w:tplc="6CF09A8C">
      <w:numFmt w:val="decimal"/>
      <w:lvlText w:val=""/>
      <w:lvlJc w:val="left"/>
    </w:lvl>
  </w:abstractNum>
  <w:abstractNum w:abstractNumId="83" w15:restartNumberingAfterBreak="0">
    <w:nsid w:val="1A9A9E69"/>
    <w:multiLevelType w:val="hybridMultilevel"/>
    <w:tmpl w:val="EBCA6010"/>
    <w:lvl w:ilvl="0" w:tplc="C8029ABA">
      <w:start w:val="1"/>
      <w:numFmt w:val="decimal"/>
      <w:lvlText w:val="%1."/>
      <w:lvlJc w:val="left"/>
    </w:lvl>
    <w:lvl w:ilvl="1" w:tplc="732A8C8A">
      <w:numFmt w:val="decimal"/>
      <w:lvlText w:val=""/>
      <w:lvlJc w:val="left"/>
    </w:lvl>
    <w:lvl w:ilvl="2" w:tplc="28883CB2">
      <w:numFmt w:val="decimal"/>
      <w:lvlText w:val=""/>
      <w:lvlJc w:val="left"/>
    </w:lvl>
    <w:lvl w:ilvl="3" w:tplc="F53EE7F2">
      <w:numFmt w:val="decimal"/>
      <w:lvlText w:val=""/>
      <w:lvlJc w:val="left"/>
    </w:lvl>
    <w:lvl w:ilvl="4" w:tplc="F37ECBF6">
      <w:numFmt w:val="decimal"/>
      <w:lvlText w:val=""/>
      <w:lvlJc w:val="left"/>
    </w:lvl>
    <w:lvl w:ilvl="5" w:tplc="538C88D0">
      <w:numFmt w:val="decimal"/>
      <w:lvlText w:val=""/>
      <w:lvlJc w:val="left"/>
    </w:lvl>
    <w:lvl w:ilvl="6" w:tplc="1F88E696">
      <w:numFmt w:val="decimal"/>
      <w:lvlText w:val=""/>
      <w:lvlJc w:val="left"/>
    </w:lvl>
    <w:lvl w:ilvl="7" w:tplc="98DA6B46">
      <w:numFmt w:val="decimal"/>
      <w:lvlText w:val=""/>
      <w:lvlJc w:val="left"/>
    </w:lvl>
    <w:lvl w:ilvl="8" w:tplc="F9B684BA">
      <w:numFmt w:val="decimal"/>
      <w:lvlText w:val=""/>
      <w:lvlJc w:val="left"/>
    </w:lvl>
  </w:abstractNum>
  <w:abstractNum w:abstractNumId="84" w15:restartNumberingAfterBreak="0">
    <w:nsid w:val="1AFE3625"/>
    <w:multiLevelType w:val="hybridMultilevel"/>
    <w:tmpl w:val="93023162"/>
    <w:lvl w:ilvl="0" w:tplc="079C5674">
      <w:start w:val="5"/>
      <w:numFmt w:val="decimal"/>
      <w:lvlText w:val="%1."/>
      <w:lvlJc w:val="left"/>
    </w:lvl>
    <w:lvl w:ilvl="1" w:tplc="146E3F22">
      <w:numFmt w:val="decimal"/>
      <w:lvlText w:val=""/>
      <w:lvlJc w:val="left"/>
    </w:lvl>
    <w:lvl w:ilvl="2" w:tplc="4830C878">
      <w:numFmt w:val="decimal"/>
      <w:lvlText w:val=""/>
      <w:lvlJc w:val="left"/>
    </w:lvl>
    <w:lvl w:ilvl="3" w:tplc="5B042B56">
      <w:numFmt w:val="decimal"/>
      <w:lvlText w:val=""/>
      <w:lvlJc w:val="left"/>
    </w:lvl>
    <w:lvl w:ilvl="4" w:tplc="CA606E10">
      <w:numFmt w:val="decimal"/>
      <w:lvlText w:val=""/>
      <w:lvlJc w:val="left"/>
    </w:lvl>
    <w:lvl w:ilvl="5" w:tplc="D9007E4C">
      <w:numFmt w:val="decimal"/>
      <w:lvlText w:val=""/>
      <w:lvlJc w:val="left"/>
    </w:lvl>
    <w:lvl w:ilvl="6" w:tplc="CE2E4D02">
      <w:numFmt w:val="decimal"/>
      <w:lvlText w:val=""/>
      <w:lvlJc w:val="left"/>
    </w:lvl>
    <w:lvl w:ilvl="7" w:tplc="C5DC138A">
      <w:numFmt w:val="decimal"/>
      <w:lvlText w:val=""/>
      <w:lvlJc w:val="left"/>
    </w:lvl>
    <w:lvl w:ilvl="8" w:tplc="12941942">
      <w:numFmt w:val="decimal"/>
      <w:lvlText w:val=""/>
      <w:lvlJc w:val="left"/>
    </w:lvl>
  </w:abstractNum>
  <w:abstractNum w:abstractNumId="85" w15:restartNumberingAfterBreak="0">
    <w:nsid w:val="1C4A08EC"/>
    <w:multiLevelType w:val="hybridMultilevel"/>
    <w:tmpl w:val="C3424754"/>
    <w:lvl w:ilvl="0" w:tplc="E924C98A">
      <w:start w:val="1"/>
      <w:numFmt w:val="bullet"/>
      <w:lvlText w:val=" "/>
      <w:lvlJc w:val="left"/>
    </w:lvl>
    <w:lvl w:ilvl="1" w:tplc="539E326A">
      <w:numFmt w:val="decimal"/>
      <w:lvlText w:val=""/>
      <w:lvlJc w:val="left"/>
    </w:lvl>
    <w:lvl w:ilvl="2" w:tplc="95F8F474">
      <w:numFmt w:val="decimal"/>
      <w:lvlText w:val=""/>
      <w:lvlJc w:val="left"/>
    </w:lvl>
    <w:lvl w:ilvl="3" w:tplc="BAD27C56">
      <w:numFmt w:val="decimal"/>
      <w:lvlText w:val=""/>
      <w:lvlJc w:val="left"/>
    </w:lvl>
    <w:lvl w:ilvl="4" w:tplc="93B2888A">
      <w:numFmt w:val="decimal"/>
      <w:lvlText w:val=""/>
      <w:lvlJc w:val="left"/>
    </w:lvl>
    <w:lvl w:ilvl="5" w:tplc="B7023E28">
      <w:numFmt w:val="decimal"/>
      <w:lvlText w:val=""/>
      <w:lvlJc w:val="left"/>
    </w:lvl>
    <w:lvl w:ilvl="6" w:tplc="E9A291F6">
      <w:numFmt w:val="decimal"/>
      <w:lvlText w:val=""/>
      <w:lvlJc w:val="left"/>
    </w:lvl>
    <w:lvl w:ilvl="7" w:tplc="0400F6BE">
      <w:numFmt w:val="decimal"/>
      <w:lvlText w:val=""/>
      <w:lvlJc w:val="left"/>
    </w:lvl>
    <w:lvl w:ilvl="8" w:tplc="7764AD5A">
      <w:numFmt w:val="decimal"/>
      <w:lvlText w:val=""/>
      <w:lvlJc w:val="left"/>
    </w:lvl>
  </w:abstractNum>
  <w:abstractNum w:abstractNumId="86" w15:restartNumberingAfterBreak="0">
    <w:nsid w:val="1C695DEC"/>
    <w:multiLevelType w:val="hybridMultilevel"/>
    <w:tmpl w:val="4D123EEC"/>
    <w:lvl w:ilvl="0" w:tplc="7116D372">
      <w:start w:val="8"/>
      <w:numFmt w:val="decimal"/>
      <w:lvlText w:val="%1."/>
      <w:lvlJc w:val="left"/>
    </w:lvl>
    <w:lvl w:ilvl="1" w:tplc="384AD98C">
      <w:numFmt w:val="decimal"/>
      <w:lvlText w:val=""/>
      <w:lvlJc w:val="left"/>
    </w:lvl>
    <w:lvl w:ilvl="2" w:tplc="57C2025C">
      <w:numFmt w:val="decimal"/>
      <w:lvlText w:val=""/>
      <w:lvlJc w:val="left"/>
    </w:lvl>
    <w:lvl w:ilvl="3" w:tplc="0638D902">
      <w:numFmt w:val="decimal"/>
      <w:lvlText w:val=""/>
      <w:lvlJc w:val="left"/>
    </w:lvl>
    <w:lvl w:ilvl="4" w:tplc="CC5ED5A4">
      <w:numFmt w:val="decimal"/>
      <w:lvlText w:val=""/>
      <w:lvlJc w:val="left"/>
    </w:lvl>
    <w:lvl w:ilvl="5" w:tplc="B6E86A9E">
      <w:numFmt w:val="decimal"/>
      <w:lvlText w:val=""/>
      <w:lvlJc w:val="left"/>
    </w:lvl>
    <w:lvl w:ilvl="6" w:tplc="8BBE9B80">
      <w:numFmt w:val="decimal"/>
      <w:lvlText w:val=""/>
      <w:lvlJc w:val="left"/>
    </w:lvl>
    <w:lvl w:ilvl="7" w:tplc="29003128">
      <w:numFmt w:val="decimal"/>
      <w:lvlText w:val=""/>
      <w:lvlJc w:val="left"/>
    </w:lvl>
    <w:lvl w:ilvl="8" w:tplc="24EE0E30">
      <w:numFmt w:val="decimal"/>
      <w:lvlText w:val=""/>
      <w:lvlJc w:val="left"/>
    </w:lvl>
  </w:abstractNum>
  <w:abstractNum w:abstractNumId="87" w15:restartNumberingAfterBreak="0">
    <w:nsid w:val="1CDCE2DE"/>
    <w:multiLevelType w:val="hybridMultilevel"/>
    <w:tmpl w:val="C7F22DFC"/>
    <w:lvl w:ilvl="0" w:tplc="9EFA89A6">
      <w:start w:val="1"/>
      <w:numFmt w:val="decimal"/>
      <w:lvlText w:val="%1."/>
      <w:lvlJc w:val="left"/>
    </w:lvl>
    <w:lvl w:ilvl="1" w:tplc="38D47484">
      <w:numFmt w:val="decimal"/>
      <w:lvlText w:val=""/>
      <w:lvlJc w:val="left"/>
    </w:lvl>
    <w:lvl w:ilvl="2" w:tplc="8E2E0AFE">
      <w:numFmt w:val="decimal"/>
      <w:lvlText w:val=""/>
      <w:lvlJc w:val="left"/>
    </w:lvl>
    <w:lvl w:ilvl="3" w:tplc="134242FE">
      <w:numFmt w:val="decimal"/>
      <w:lvlText w:val=""/>
      <w:lvlJc w:val="left"/>
    </w:lvl>
    <w:lvl w:ilvl="4" w:tplc="719AC30E">
      <w:numFmt w:val="decimal"/>
      <w:lvlText w:val=""/>
      <w:lvlJc w:val="left"/>
    </w:lvl>
    <w:lvl w:ilvl="5" w:tplc="6E0AF762">
      <w:numFmt w:val="decimal"/>
      <w:lvlText w:val=""/>
      <w:lvlJc w:val="left"/>
    </w:lvl>
    <w:lvl w:ilvl="6" w:tplc="34ECCB86">
      <w:numFmt w:val="decimal"/>
      <w:lvlText w:val=""/>
      <w:lvlJc w:val="left"/>
    </w:lvl>
    <w:lvl w:ilvl="7" w:tplc="4EA0A8EC">
      <w:numFmt w:val="decimal"/>
      <w:lvlText w:val=""/>
      <w:lvlJc w:val="left"/>
    </w:lvl>
    <w:lvl w:ilvl="8" w:tplc="FAB21B14">
      <w:numFmt w:val="decimal"/>
      <w:lvlText w:val=""/>
      <w:lvlJc w:val="left"/>
    </w:lvl>
  </w:abstractNum>
  <w:abstractNum w:abstractNumId="88" w15:restartNumberingAfterBreak="0">
    <w:nsid w:val="1D91467C"/>
    <w:multiLevelType w:val="hybridMultilevel"/>
    <w:tmpl w:val="FCA87C36"/>
    <w:lvl w:ilvl="0" w:tplc="B4D4D544">
      <w:start w:val="1"/>
      <w:numFmt w:val="decimal"/>
      <w:lvlText w:val="%1."/>
      <w:lvlJc w:val="left"/>
    </w:lvl>
    <w:lvl w:ilvl="1" w:tplc="0CAA55A0">
      <w:numFmt w:val="decimal"/>
      <w:lvlText w:val=""/>
      <w:lvlJc w:val="left"/>
    </w:lvl>
    <w:lvl w:ilvl="2" w:tplc="73786666">
      <w:numFmt w:val="decimal"/>
      <w:lvlText w:val=""/>
      <w:lvlJc w:val="left"/>
    </w:lvl>
    <w:lvl w:ilvl="3" w:tplc="C6FC5B8A">
      <w:numFmt w:val="decimal"/>
      <w:lvlText w:val=""/>
      <w:lvlJc w:val="left"/>
    </w:lvl>
    <w:lvl w:ilvl="4" w:tplc="3B3A9F56">
      <w:numFmt w:val="decimal"/>
      <w:lvlText w:val=""/>
      <w:lvlJc w:val="left"/>
    </w:lvl>
    <w:lvl w:ilvl="5" w:tplc="494AEC22">
      <w:numFmt w:val="decimal"/>
      <w:lvlText w:val=""/>
      <w:lvlJc w:val="left"/>
    </w:lvl>
    <w:lvl w:ilvl="6" w:tplc="6BDEC464">
      <w:numFmt w:val="decimal"/>
      <w:lvlText w:val=""/>
      <w:lvlJc w:val="left"/>
    </w:lvl>
    <w:lvl w:ilvl="7" w:tplc="A2285638">
      <w:numFmt w:val="decimal"/>
      <w:lvlText w:val=""/>
      <w:lvlJc w:val="left"/>
    </w:lvl>
    <w:lvl w:ilvl="8" w:tplc="1CF8DAEC">
      <w:numFmt w:val="decimal"/>
      <w:lvlText w:val=""/>
      <w:lvlJc w:val="left"/>
    </w:lvl>
  </w:abstractNum>
  <w:abstractNum w:abstractNumId="89" w15:restartNumberingAfterBreak="0">
    <w:nsid w:val="1DE8725A"/>
    <w:multiLevelType w:val="hybridMultilevel"/>
    <w:tmpl w:val="9EA23034"/>
    <w:lvl w:ilvl="0" w:tplc="A27843F0">
      <w:start w:val="1"/>
      <w:numFmt w:val="bullet"/>
      <w:lvlText w:val="-"/>
      <w:lvlJc w:val="left"/>
    </w:lvl>
    <w:lvl w:ilvl="1" w:tplc="B3CC0720">
      <w:numFmt w:val="decimal"/>
      <w:lvlText w:val=""/>
      <w:lvlJc w:val="left"/>
    </w:lvl>
    <w:lvl w:ilvl="2" w:tplc="A5D8F6AA">
      <w:numFmt w:val="decimal"/>
      <w:lvlText w:val=""/>
      <w:lvlJc w:val="left"/>
    </w:lvl>
    <w:lvl w:ilvl="3" w:tplc="80744A3E">
      <w:numFmt w:val="decimal"/>
      <w:lvlText w:val=""/>
      <w:lvlJc w:val="left"/>
    </w:lvl>
    <w:lvl w:ilvl="4" w:tplc="A2FC4A2C">
      <w:numFmt w:val="decimal"/>
      <w:lvlText w:val=""/>
      <w:lvlJc w:val="left"/>
    </w:lvl>
    <w:lvl w:ilvl="5" w:tplc="DBFA8C82">
      <w:numFmt w:val="decimal"/>
      <w:lvlText w:val=""/>
      <w:lvlJc w:val="left"/>
    </w:lvl>
    <w:lvl w:ilvl="6" w:tplc="EFC60246">
      <w:numFmt w:val="decimal"/>
      <w:lvlText w:val=""/>
      <w:lvlJc w:val="left"/>
    </w:lvl>
    <w:lvl w:ilvl="7" w:tplc="8902B75E">
      <w:numFmt w:val="decimal"/>
      <w:lvlText w:val=""/>
      <w:lvlJc w:val="left"/>
    </w:lvl>
    <w:lvl w:ilvl="8" w:tplc="294EF4FC">
      <w:numFmt w:val="decimal"/>
      <w:lvlText w:val=""/>
      <w:lvlJc w:val="left"/>
    </w:lvl>
  </w:abstractNum>
  <w:abstractNum w:abstractNumId="90" w15:restartNumberingAfterBreak="0">
    <w:nsid w:val="1DF029D3"/>
    <w:multiLevelType w:val="hybridMultilevel"/>
    <w:tmpl w:val="01B6008E"/>
    <w:lvl w:ilvl="0" w:tplc="A37EB86E">
      <w:start w:val="11"/>
      <w:numFmt w:val="decimal"/>
      <w:lvlText w:val="%1."/>
      <w:lvlJc w:val="left"/>
    </w:lvl>
    <w:lvl w:ilvl="1" w:tplc="C8BA1EAA">
      <w:numFmt w:val="decimal"/>
      <w:lvlText w:val=""/>
      <w:lvlJc w:val="left"/>
    </w:lvl>
    <w:lvl w:ilvl="2" w:tplc="CD48D9DA">
      <w:numFmt w:val="decimal"/>
      <w:lvlText w:val=""/>
      <w:lvlJc w:val="left"/>
    </w:lvl>
    <w:lvl w:ilvl="3" w:tplc="27C4F83E">
      <w:numFmt w:val="decimal"/>
      <w:lvlText w:val=""/>
      <w:lvlJc w:val="left"/>
    </w:lvl>
    <w:lvl w:ilvl="4" w:tplc="E53E1280">
      <w:numFmt w:val="decimal"/>
      <w:lvlText w:val=""/>
      <w:lvlJc w:val="left"/>
    </w:lvl>
    <w:lvl w:ilvl="5" w:tplc="26120526">
      <w:numFmt w:val="decimal"/>
      <w:lvlText w:val=""/>
      <w:lvlJc w:val="left"/>
    </w:lvl>
    <w:lvl w:ilvl="6" w:tplc="F4BC9578">
      <w:numFmt w:val="decimal"/>
      <w:lvlText w:val=""/>
      <w:lvlJc w:val="left"/>
    </w:lvl>
    <w:lvl w:ilvl="7" w:tplc="9D4842A2">
      <w:numFmt w:val="decimal"/>
      <w:lvlText w:val=""/>
      <w:lvlJc w:val="left"/>
    </w:lvl>
    <w:lvl w:ilvl="8" w:tplc="B018F7CC">
      <w:numFmt w:val="decimal"/>
      <w:lvlText w:val=""/>
      <w:lvlJc w:val="left"/>
    </w:lvl>
  </w:abstractNum>
  <w:abstractNum w:abstractNumId="91" w15:restartNumberingAfterBreak="0">
    <w:nsid w:val="1F461B51"/>
    <w:multiLevelType w:val="hybridMultilevel"/>
    <w:tmpl w:val="5BD8018E"/>
    <w:lvl w:ilvl="0" w:tplc="0A641308">
      <w:start w:val="1"/>
      <w:numFmt w:val="upperLetter"/>
      <w:lvlText w:val="%1"/>
      <w:lvlJc w:val="left"/>
    </w:lvl>
    <w:lvl w:ilvl="1" w:tplc="9536DDFC">
      <w:numFmt w:val="decimal"/>
      <w:lvlText w:val=""/>
      <w:lvlJc w:val="left"/>
    </w:lvl>
    <w:lvl w:ilvl="2" w:tplc="C8FCEE1E">
      <w:numFmt w:val="decimal"/>
      <w:lvlText w:val=""/>
      <w:lvlJc w:val="left"/>
    </w:lvl>
    <w:lvl w:ilvl="3" w:tplc="A9D61D6A">
      <w:numFmt w:val="decimal"/>
      <w:lvlText w:val=""/>
      <w:lvlJc w:val="left"/>
    </w:lvl>
    <w:lvl w:ilvl="4" w:tplc="E84C60C2">
      <w:numFmt w:val="decimal"/>
      <w:lvlText w:val=""/>
      <w:lvlJc w:val="left"/>
    </w:lvl>
    <w:lvl w:ilvl="5" w:tplc="7AFC8EA8">
      <w:numFmt w:val="decimal"/>
      <w:lvlText w:val=""/>
      <w:lvlJc w:val="left"/>
    </w:lvl>
    <w:lvl w:ilvl="6" w:tplc="4A3646E4">
      <w:numFmt w:val="decimal"/>
      <w:lvlText w:val=""/>
      <w:lvlJc w:val="left"/>
    </w:lvl>
    <w:lvl w:ilvl="7" w:tplc="2BEC4D36">
      <w:numFmt w:val="decimal"/>
      <w:lvlText w:val=""/>
      <w:lvlJc w:val="left"/>
    </w:lvl>
    <w:lvl w:ilvl="8" w:tplc="800A94B8">
      <w:numFmt w:val="decimal"/>
      <w:lvlText w:val=""/>
      <w:lvlJc w:val="left"/>
    </w:lvl>
  </w:abstractNum>
  <w:abstractNum w:abstractNumId="92" w15:restartNumberingAfterBreak="0">
    <w:nsid w:val="20EE1348"/>
    <w:multiLevelType w:val="hybridMultilevel"/>
    <w:tmpl w:val="26F6F346"/>
    <w:lvl w:ilvl="0" w:tplc="834C7CE0">
      <w:start w:val="1"/>
      <w:numFmt w:val="bullet"/>
      <w:lvlText w:val="*"/>
      <w:lvlJc w:val="left"/>
    </w:lvl>
    <w:lvl w:ilvl="1" w:tplc="3374308A">
      <w:numFmt w:val="decimal"/>
      <w:lvlText w:val=""/>
      <w:lvlJc w:val="left"/>
    </w:lvl>
    <w:lvl w:ilvl="2" w:tplc="7A4E6A84">
      <w:numFmt w:val="decimal"/>
      <w:lvlText w:val=""/>
      <w:lvlJc w:val="left"/>
    </w:lvl>
    <w:lvl w:ilvl="3" w:tplc="AD04F312">
      <w:numFmt w:val="decimal"/>
      <w:lvlText w:val=""/>
      <w:lvlJc w:val="left"/>
    </w:lvl>
    <w:lvl w:ilvl="4" w:tplc="9F8671B6">
      <w:numFmt w:val="decimal"/>
      <w:lvlText w:val=""/>
      <w:lvlJc w:val="left"/>
    </w:lvl>
    <w:lvl w:ilvl="5" w:tplc="C39601DC">
      <w:numFmt w:val="decimal"/>
      <w:lvlText w:val=""/>
      <w:lvlJc w:val="left"/>
    </w:lvl>
    <w:lvl w:ilvl="6" w:tplc="90E2A992">
      <w:numFmt w:val="decimal"/>
      <w:lvlText w:val=""/>
      <w:lvlJc w:val="left"/>
    </w:lvl>
    <w:lvl w:ilvl="7" w:tplc="E9E8F1EC">
      <w:numFmt w:val="decimal"/>
      <w:lvlText w:val=""/>
      <w:lvlJc w:val="left"/>
    </w:lvl>
    <w:lvl w:ilvl="8" w:tplc="6F3A7A30">
      <w:numFmt w:val="decimal"/>
      <w:lvlText w:val=""/>
      <w:lvlJc w:val="left"/>
    </w:lvl>
  </w:abstractNum>
  <w:abstractNum w:abstractNumId="93" w15:restartNumberingAfterBreak="0">
    <w:nsid w:val="20F4BDAD"/>
    <w:multiLevelType w:val="hybridMultilevel"/>
    <w:tmpl w:val="0B4499CE"/>
    <w:lvl w:ilvl="0" w:tplc="F72CFE1C">
      <w:start w:val="11"/>
      <w:numFmt w:val="decimal"/>
      <w:lvlText w:val="%1."/>
      <w:lvlJc w:val="left"/>
    </w:lvl>
    <w:lvl w:ilvl="1" w:tplc="37A4E84E">
      <w:numFmt w:val="decimal"/>
      <w:lvlText w:val=""/>
      <w:lvlJc w:val="left"/>
    </w:lvl>
    <w:lvl w:ilvl="2" w:tplc="85965708">
      <w:numFmt w:val="decimal"/>
      <w:lvlText w:val=""/>
      <w:lvlJc w:val="left"/>
    </w:lvl>
    <w:lvl w:ilvl="3" w:tplc="445874A6">
      <w:numFmt w:val="decimal"/>
      <w:lvlText w:val=""/>
      <w:lvlJc w:val="left"/>
    </w:lvl>
    <w:lvl w:ilvl="4" w:tplc="91001ABC">
      <w:numFmt w:val="decimal"/>
      <w:lvlText w:val=""/>
      <w:lvlJc w:val="left"/>
    </w:lvl>
    <w:lvl w:ilvl="5" w:tplc="EBBC233A">
      <w:numFmt w:val="decimal"/>
      <w:lvlText w:val=""/>
      <w:lvlJc w:val="left"/>
    </w:lvl>
    <w:lvl w:ilvl="6" w:tplc="C3B0E838">
      <w:numFmt w:val="decimal"/>
      <w:lvlText w:val=""/>
      <w:lvlJc w:val="left"/>
    </w:lvl>
    <w:lvl w:ilvl="7" w:tplc="715066F8">
      <w:numFmt w:val="decimal"/>
      <w:lvlText w:val=""/>
      <w:lvlJc w:val="left"/>
    </w:lvl>
    <w:lvl w:ilvl="8" w:tplc="91C6F246">
      <w:numFmt w:val="decimal"/>
      <w:lvlText w:val=""/>
      <w:lvlJc w:val="left"/>
    </w:lvl>
  </w:abstractNum>
  <w:abstractNum w:abstractNumId="94" w15:restartNumberingAfterBreak="0">
    <w:nsid w:val="2123D5F2"/>
    <w:multiLevelType w:val="hybridMultilevel"/>
    <w:tmpl w:val="65109330"/>
    <w:lvl w:ilvl="0" w:tplc="46EAF48C">
      <w:start w:val="1"/>
      <w:numFmt w:val="bullet"/>
      <w:lvlText w:val=" "/>
      <w:lvlJc w:val="left"/>
    </w:lvl>
    <w:lvl w:ilvl="1" w:tplc="68A054FA">
      <w:numFmt w:val="decimal"/>
      <w:lvlText w:val=""/>
      <w:lvlJc w:val="left"/>
    </w:lvl>
    <w:lvl w:ilvl="2" w:tplc="866A209E">
      <w:numFmt w:val="decimal"/>
      <w:lvlText w:val=""/>
      <w:lvlJc w:val="left"/>
    </w:lvl>
    <w:lvl w:ilvl="3" w:tplc="8EB8CBC0">
      <w:numFmt w:val="decimal"/>
      <w:lvlText w:val=""/>
      <w:lvlJc w:val="left"/>
    </w:lvl>
    <w:lvl w:ilvl="4" w:tplc="2EC25090">
      <w:numFmt w:val="decimal"/>
      <w:lvlText w:val=""/>
      <w:lvlJc w:val="left"/>
    </w:lvl>
    <w:lvl w:ilvl="5" w:tplc="02D8906C">
      <w:numFmt w:val="decimal"/>
      <w:lvlText w:val=""/>
      <w:lvlJc w:val="left"/>
    </w:lvl>
    <w:lvl w:ilvl="6" w:tplc="26ECB986">
      <w:numFmt w:val="decimal"/>
      <w:lvlText w:val=""/>
      <w:lvlJc w:val="left"/>
    </w:lvl>
    <w:lvl w:ilvl="7" w:tplc="F7C4C0DC">
      <w:numFmt w:val="decimal"/>
      <w:lvlText w:val=""/>
      <w:lvlJc w:val="left"/>
    </w:lvl>
    <w:lvl w:ilvl="8" w:tplc="60B2E8A2">
      <w:numFmt w:val="decimal"/>
      <w:lvlText w:val=""/>
      <w:lvlJc w:val="left"/>
    </w:lvl>
  </w:abstractNum>
  <w:abstractNum w:abstractNumId="95" w15:restartNumberingAfterBreak="0">
    <w:nsid w:val="2157F6BC"/>
    <w:multiLevelType w:val="hybridMultilevel"/>
    <w:tmpl w:val="4BC06010"/>
    <w:lvl w:ilvl="0" w:tplc="C5A28400">
      <w:start w:val="1"/>
      <w:numFmt w:val="bullet"/>
      <w:lvlText w:val="*"/>
      <w:lvlJc w:val="left"/>
    </w:lvl>
    <w:lvl w:ilvl="1" w:tplc="57666B0E">
      <w:numFmt w:val="decimal"/>
      <w:lvlText w:val=""/>
      <w:lvlJc w:val="left"/>
    </w:lvl>
    <w:lvl w:ilvl="2" w:tplc="9588E708">
      <w:numFmt w:val="decimal"/>
      <w:lvlText w:val=""/>
      <w:lvlJc w:val="left"/>
    </w:lvl>
    <w:lvl w:ilvl="3" w:tplc="D85A7DEC">
      <w:numFmt w:val="decimal"/>
      <w:lvlText w:val=""/>
      <w:lvlJc w:val="left"/>
    </w:lvl>
    <w:lvl w:ilvl="4" w:tplc="36EE8F24">
      <w:numFmt w:val="decimal"/>
      <w:lvlText w:val=""/>
      <w:lvlJc w:val="left"/>
    </w:lvl>
    <w:lvl w:ilvl="5" w:tplc="C6D8EE0C">
      <w:numFmt w:val="decimal"/>
      <w:lvlText w:val=""/>
      <w:lvlJc w:val="left"/>
    </w:lvl>
    <w:lvl w:ilvl="6" w:tplc="DC44B0C8">
      <w:numFmt w:val="decimal"/>
      <w:lvlText w:val=""/>
      <w:lvlJc w:val="left"/>
    </w:lvl>
    <w:lvl w:ilvl="7" w:tplc="8AD6C4AE">
      <w:numFmt w:val="decimal"/>
      <w:lvlText w:val=""/>
      <w:lvlJc w:val="left"/>
    </w:lvl>
    <w:lvl w:ilvl="8" w:tplc="FBE66258">
      <w:numFmt w:val="decimal"/>
      <w:lvlText w:val=""/>
      <w:lvlJc w:val="left"/>
    </w:lvl>
  </w:abstractNum>
  <w:abstractNum w:abstractNumId="96" w15:restartNumberingAfterBreak="0">
    <w:nsid w:val="21FAA2FA"/>
    <w:multiLevelType w:val="hybridMultilevel"/>
    <w:tmpl w:val="D7DE0414"/>
    <w:lvl w:ilvl="0" w:tplc="AC2800C4">
      <w:start w:val="9"/>
      <w:numFmt w:val="decimal"/>
      <w:lvlText w:val="%1."/>
      <w:lvlJc w:val="left"/>
    </w:lvl>
    <w:lvl w:ilvl="1" w:tplc="9F447BDC">
      <w:numFmt w:val="decimal"/>
      <w:lvlText w:val=""/>
      <w:lvlJc w:val="left"/>
    </w:lvl>
    <w:lvl w:ilvl="2" w:tplc="299487A0">
      <w:numFmt w:val="decimal"/>
      <w:lvlText w:val=""/>
      <w:lvlJc w:val="left"/>
    </w:lvl>
    <w:lvl w:ilvl="3" w:tplc="7870E886">
      <w:numFmt w:val="decimal"/>
      <w:lvlText w:val=""/>
      <w:lvlJc w:val="left"/>
    </w:lvl>
    <w:lvl w:ilvl="4" w:tplc="DDA46472">
      <w:numFmt w:val="decimal"/>
      <w:lvlText w:val=""/>
      <w:lvlJc w:val="left"/>
    </w:lvl>
    <w:lvl w:ilvl="5" w:tplc="BF1C48BC">
      <w:numFmt w:val="decimal"/>
      <w:lvlText w:val=""/>
      <w:lvlJc w:val="left"/>
    </w:lvl>
    <w:lvl w:ilvl="6" w:tplc="A66E6782">
      <w:numFmt w:val="decimal"/>
      <w:lvlText w:val=""/>
      <w:lvlJc w:val="left"/>
    </w:lvl>
    <w:lvl w:ilvl="7" w:tplc="4F5007AE">
      <w:numFmt w:val="decimal"/>
      <w:lvlText w:val=""/>
      <w:lvlJc w:val="left"/>
    </w:lvl>
    <w:lvl w:ilvl="8" w:tplc="220EF386">
      <w:numFmt w:val="decimal"/>
      <w:lvlText w:val=""/>
      <w:lvlJc w:val="left"/>
    </w:lvl>
  </w:abstractNum>
  <w:abstractNum w:abstractNumId="97" w15:restartNumberingAfterBreak="0">
    <w:nsid w:val="220F4B5F"/>
    <w:multiLevelType w:val="multilevel"/>
    <w:tmpl w:val="63C6FA14"/>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8" w15:restartNumberingAfterBreak="0">
    <w:nsid w:val="230F856C"/>
    <w:multiLevelType w:val="hybridMultilevel"/>
    <w:tmpl w:val="DC460118"/>
    <w:lvl w:ilvl="0" w:tplc="61963E0E">
      <w:start w:val="1"/>
      <w:numFmt w:val="lowerLetter"/>
      <w:lvlText w:val="%1"/>
      <w:lvlJc w:val="left"/>
      <w:rPr>
        <w:vertAlign w:val="superscript"/>
      </w:rPr>
    </w:lvl>
    <w:lvl w:ilvl="1" w:tplc="01B619AC">
      <w:numFmt w:val="decimal"/>
      <w:lvlText w:val=""/>
      <w:lvlJc w:val="left"/>
    </w:lvl>
    <w:lvl w:ilvl="2" w:tplc="50182B2C">
      <w:numFmt w:val="decimal"/>
      <w:lvlText w:val=""/>
      <w:lvlJc w:val="left"/>
    </w:lvl>
    <w:lvl w:ilvl="3" w:tplc="C38414A4">
      <w:numFmt w:val="decimal"/>
      <w:lvlText w:val=""/>
      <w:lvlJc w:val="left"/>
    </w:lvl>
    <w:lvl w:ilvl="4" w:tplc="1BC6FC66">
      <w:numFmt w:val="decimal"/>
      <w:lvlText w:val=""/>
      <w:lvlJc w:val="left"/>
    </w:lvl>
    <w:lvl w:ilvl="5" w:tplc="85A8E852">
      <w:numFmt w:val="decimal"/>
      <w:lvlText w:val=""/>
      <w:lvlJc w:val="left"/>
    </w:lvl>
    <w:lvl w:ilvl="6" w:tplc="1160DDD6">
      <w:numFmt w:val="decimal"/>
      <w:lvlText w:val=""/>
      <w:lvlJc w:val="left"/>
    </w:lvl>
    <w:lvl w:ilvl="7" w:tplc="DCC4DE86">
      <w:numFmt w:val="decimal"/>
      <w:lvlText w:val=""/>
      <w:lvlJc w:val="left"/>
    </w:lvl>
    <w:lvl w:ilvl="8" w:tplc="5DA27316">
      <w:numFmt w:val="decimal"/>
      <w:lvlText w:val=""/>
      <w:lvlJc w:val="left"/>
    </w:lvl>
  </w:abstractNum>
  <w:abstractNum w:abstractNumId="99" w15:restartNumberingAfterBreak="0">
    <w:nsid w:val="24E60401"/>
    <w:multiLevelType w:val="hybridMultilevel"/>
    <w:tmpl w:val="893EA388"/>
    <w:lvl w:ilvl="0" w:tplc="0D2C9974">
      <w:start w:val="3"/>
      <w:numFmt w:val="decimal"/>
      <w:lvlText w:val="%1."/>
      <w:lvlJc w:val="left"/>
    </w:lvl>
    <w:lvl w:ilvl="1" w:tplc="82DE0ACC">
      <w:numFmt w:val="decimal"/>
      <w:lvlText w:val=""/>
      <w:lvlJc w:val="left"/>
    </w:lvl>
    <w:lvl w:ilvl="2" w:tplc="9B92D0C6">
      <w:numFmt w:val="decimal"/>
      <w:lvlText w:val=""/>
      <w:lvlJc w:val="left"/>
    </w:lvl>
    <w:lvl w:ilvl="3" w:tplc="BECAF68C">
      <w:numFmt w:val="decimal"/>
      <w:lvlText w:val=""/>
      <w:lvlJc w:val="left"/>
    </w:lvl>
    <w:lvl w:ilvl="4" w:tplc="FE3A9098">
      <w:numFmt w:val="decimal"/>
      <w:lvlText w:val=""/>
      <w:lvlJc w:val="left"/>
    </w:lvl>
    <w:lvl w:ilvl="5" w:tplc="90906D94">
      <w:numFmt w:val="decimal"/>
      <w:lvlText w:val=""/>
      <w:lvlJc w:val="left"/>
    </w:lvl>
    <w:lvl w:ilvl="6" w:tplc="2AECFAC8">
      <w:numFmt w:val="decimal"/>
      <w:lvlText w:val=""/>
      <w:lvlJc w:val="left"/>
    </w:lvl>
    <w:lvl w:ilvl="7" w:tplc="63AAF5F2">
      <w:numFmt w:val="decimal"/>
      <w:lvlText w:val=""/>
      <w:lvlJc w:val="left"/>
    </w:lvl>
    <w:lvl w:ilvl="8" w:tplc="FFFADF76">
      <w:numFmt w:val="decimal"/>
      <w:lvlText w:val=""/>
      <w:lvlJc w:val="left"/>
    </w:lvl>
  </w:abstractNum>
  <w:abstractNum w:abstractNumId="100" w15:restartNumberingAfterBreak="0">
    <w:nsid w:val="24E99DD7"/>
    <w:multiLevelType w:val="hybridMultilevel"/>
    <w:tmpl w:val="0EF05B76"/>
    <w:lvl w:ilvl="0" w:tplc="5AC6DC92">
      <w:start w:val="3"/>
      <w:numFmt w:val="decimal"/>
      <w:lvlText w:val="%1."/>
      <w:lvlJc w:val="left"/>
    </w:lvl>
    <w:lvl w:ilvl="1" w:tplc="7E8C24A0">
      <w:numFmt w:val="decimal"/>
      <w:lvlText w:val=""/>
      <w:lvlJc w:val="left"/>
    </w:lvl>
    <w:lvl w:ilvl="2" w:tplc="6BA61E54">
      <w:numFmt w:val="decimal"/>
      <w:lvlText w:val=""/>
      <w:lvlJc w:val="left"/>
    </w:lvl>
    <w:lvl w:ilvl="3" w:tplc="C1905B7E">
      <w:numFmt w:val="decimal"/>
      <w:lvlText w:val=""/>
      <w:lvlJc w:val="left"/>
    </w:lvl>
    <w:lvl w:ilvl="4" w:tplc="640EFB42">
      <w:numFmt w:val="decimal"/>
      <w:lvlText w:val=""/>
      <w:lvlJc w:val="left"/>
    </w:lvl>
    <w:lvl w:ilvl="5" w:tplc="CE5AD32C">
      <w:numFmt w:val="decimal"/>
      <w:lvlText w:val=""/>
      <w:lvlJc w:val="left"/>
    </w:lvl>
    <w:lvl w:ilvl="6" w:tplc="D9AC14B0">
      <w:numFmt w:val="decimal"/>
      <w:lvlText w:val=""/>
      <w:lvlJc w:val="left"/>
    </w:lvl>
    <w:lvl w:ilvl="7" w:tplc="035C587C">
      <w:numFmt w:val="decimal"/>
      <w:lvlText w:val=""/>
      <w:lvlJc w:val="left"/>
    </w:lvl>
    <w:lvl w:ilvl="8" w:tplc="F062A6D4">
      <w:numFmt w:val="decimal"/>
      <w:lvlText w:val=""/>
      <w:lvlJc w:val="left"/>
    </w:lvl>
  </w:abstractNum>
  <w:abstractNum w:abstractNumId="101" w15:restartNumberingAfterBreak="0">
    <w:nsid w:val="24F6AB8E"/>
    <w:multiLevelType w:val="hybridMultilevel"/>
    <w:tmpl w:val="E0F81216"/>
    <w:lvl w:ilvl="0" w:tplc="2730DEE6">
      <w:start w:val="1"/>
      <w:numFmt w:val="decimal"/>
      <w:lvlText w:val="%1."/>
      <w:lvlJc w:val="left"/>
    </w:lvl>
    <w:lvl w:ilvl="1" w:tplc="AB5C88E6">
      <w:numFmt w:val="decimal"/>
      <w:lvlText w:val=""/>
      <w:lvlJc w:val="left"/>
    </w:lvl>
    <w:lvl w:ilvl="2" w:tplc="5E4878DE">
      <w:numFmt w:val="decimal"/>
      <w:lvlText w:val=""/>
      <w:lvlJc w:val="left"/>
    </w:lvl>
    <w:lvl w:ilvl="3" w:tplc="4E5C835A">
      <w:numFmt w:val="decimal"/>
      <w:lvlText w:val=""/>
      <w:lvlJc w:val="left"/>
    </w:lvl>
    <w:lvl w:ilvl="4" w:tplc="8BF83A28">
      <w:numFmt w:val="decimal"/>
      <w:lvlText w:val=""/>
      <w:lvlJc w:val="left"/>
    </w:lvl>
    <w:lvl w:ilvl="5" w:tplc="81089574">
      <w:numFmt w:val="decimal"/>
      <w:lvlText w:val=""/>
      <w:lvlJc w:val="left"/>
    </w:lvl>
    <w:lvl w:ilvl="6" w:tplc="105E2FEE">
      <w:numFmt w:val="decimal"/>
      <w:lvlText w:val=""/>
      <w:lvlJc w:val="left"/>
    </w:lvl>
    <w:lvl w:ilvl="7" w:tplc="2CBED4E0">
      <w:numFmt w:val="decimal"/>
      <w:lvlText w:val=""/>
      <w:lvlJc w:val="left"/>
    </w:lvl>
    <w:lvl w:ilvl="8" w:tplc="50E008CE">
      <w:numFmt w:val="decimal"/>
      <w:lvlText w:val=""/>
      <w:lvlJc w:val="left"/>
    </w:lvl>
  </w:abstractNum>
  <w:abstractNum w:abstractNumId="102" w15:restartNumberingAfterBreak="0">
    <w:nsid w:val="2539DFA5"/>
    <w:multiLevelType w:val="hybridMultilevel"/>
    <w:tmpl w:val="1BA28A7E"/>
    <w:lvl w:ilvl="0" w:tplc="A3E87EDE">
      <w:start w:val="2"/>
      <w:numFmt w:val="decimal"/>
      <w:lvlText w:val="%1."/>
      <w:lvlJc w:val="left"/>
    </w:lvl>
    <w:lvl w:ilvl="1" w:tplc="99D64182">
      <w:numFmt w:val="decimal"/>
      <w:lvlText w:val=""/>
      <w:lvlJc w:val="left"/>
    </w:lvl>
    <w:lvl w:ilvl="2" w:tplc="A0B25DB2">
      <w:numFmt w:val="decimal"/>
      <w:lvlText w:val=""/>
      <w:lvlJc w:val="left"/>
    </w:lvl>
    <w:lvl w:ilvl="3" w:tplc="CA5849C0">
      <w:numFmt w:val="decimal"/>
      <w:lvlText w:val=""/>
      <w:lvlJc w:val="left"/>
    </w:lvl>
    <w:lvl w:ilvl="4" w:tplc="C5E222EA">
      <w:numFmt w:val="decimal"/>
      <w:lvlText w:val=""/>
      <w:lvlJc w:val="left"/>
    </w:lvl>
    <w:lvl w:ilvl="5" w:tplc="BF0CB7D4">
      <w:numFmt w:val="decimal"/>
      <w:lvlText w:val=""/>
      <w:lvlJc w:val="left"/>
    </w:lvl>
    <w:lvl w:ilvl="6" w:tplc="C282A620">
      <w:numFmt w:val="decimal"/>
      <w:lvlText w:val=""/>
      <w:lvlJc w:val="left"/>
    </w:lvl>
    <w:lvl w:ilvl="7" w:tplc="A1ACD5A4">
      <w:numFmt w:val="decimal"/>
      <w:lvlText w:val=""/>
      <w:lvlJc w:val="left"/>
    </w:lvl>
    <w:lvl w:ilvl="8" w:tplc="907C7E7A">
      <w:numFmt w:val="decimal"/>
      <w:lvlText w:val=""/>
      <w:lvlJc w:val="left"/>
    </w:lvl>
  </w:abstractNum>
  <w:abstractNum w:abstractNumId="103" w15:restartNumberingAfterBreak="0">
    <w:nsid w:val="25413BEC"/>
    <w:multiLevelType w:val="hybridMultilevel"/>
    <w:tmpl w:val="C8282198"/>
    <w:lvl w:ilvl="0" w:tplc="1A3CE20E">
      <w:start w:val="1"/>
      <w:numFmt w:val="lowerLetter"/>
      <w:lvlText w:val="%1"/>
      <w:lvlJc w:val="left"/>
    </w:lvl>
    <w:lvl w:ilvl="1" w:tplc="D7F091BE">
      <w:numFmt w:val="decimal"/>
      <w:lvlText w:val=""/>
      <w:lvlJc w:val="left"/>
    </w:lvl>
    <w:lvl w:ilvl="2" w:tplc="9F5CFF54">
      <w:numFmt w:val="decimal"/>
      <w:lvlText w:val=""/>
      <w:lvlJc w:val="left"/>
    </w:lvl>
    <w:lvl w:ilvl="3" w:tplc="D5968662">
      <w:numFmt w:val="decimal"/>
      <w:lvlText w:val=""/>
      <w:lvlJc w:val="left"/>
    </w:lvl>
    <w:lvl w:ilvl="4" w:tplc="E3DE4A6A">
      <w:numFmt w:val="decimal"/>
      <w:lvlText w:val=""/>
      <w:lvlJc w:val="left"/>
    </w:lvl>
    <w:lvl w:ilvl="5" w:tplc="41FA9B5A">
      <w:numFmt w:val="decimal"/>
      <w:lvlText w:val=""/>
      <w:lvlJc w:val="left"/>
    </w:lvl>
    <w:lvl w:ilvl="6" w:tplc="6696DEEA">
      <w:numFmt w:val="decimal"/>
      <w:lvlText w:val=""/>
      <w:lvlJc w:val="left"/>
    </w:lvl>
    <w:lvl w:ilvl="7" w:tplc="3F343FEE">
      <w:numFmt w:val="decimal"/>
      <w:lvlText w:val=""/>
      <w:lvlJc w:val="left"/>
    </w:lvl>
    <w:lvl w:ilvl="8" w:tplc="FFDE7D22">
      <w:numFmt w:val="decimal"/>
      <w:lvlText w:val=""/>
      <w:lvlJc w:val="left"/>
    </w:lvl>
  </w:abstractNum>
  <w:abstractNum w:abstractNumId="104" w15:restartNumberingAfterBreak="0">
    <w:nsid w:val="25973E32"/>
    <w:multiLevelType w:val="hybridMultilevel"/>
    <w:tmpl w:val="4DD2C322"/>
    <w:lvl w:ilvl="0" w:tplc="A802C78C">
      <w:start w:val="12"/>
      <w:numFmt w:val="decimal"/>
      <w:lvlText w:val="%1."/>
      <w:lvlJc w:val="left"/>
    </w:lvl>
    <w:lvl w:ilvl="1" w:tplc="E68657BE">
      <w:numFmt w:val="decimal"/>
      <w:lvlText w:val=""/>
      <w:lvlJc w:val="left"/>
    </w:lvl>
    <w:lvl w:ilvl="2" w:tplc="A4B2C766">
      <w:numFmt w:val="decimal"/>
      <w:lvlText w:val=""/>
      <w:lvlJc w:val="left"/>
    </w:lvl>
    <w:lvl w:ilvl="3" w:tplc="0A3CECCE">
      <w:numFmt w:val="decimal"/>
      <w:lvlText w:val=""/>
      <w:lvlJc w:val="left"/>
    </w:lvl>
    <w:lvl w:ilvl="4" w:tplc="55F4EB0A">
      <w:numFmt w:val="decimal"/>
      <w:lvlText w:val=""/>
      <w:lvlJc w:val="left"/>
    </w:lvl>
    <w:lvl w:ilvl="5" w:tplc="78B0858A">
      <w:numFmt w:val="decimal"/>
      <w:lvlText w:val=""/>
      <w:lvlJc w:val="left"/>
    </w:lvl>
    <w:lvl w:ilvl="6" w:tplc="9F8E930A">
      <w:numFmt w:val="decimal"/>
      <w:lvlText w:val=""/>
      <w:lvlJc w:val="left"/>
    </w:lvl>
    <w:lvl w:ilvl="7" w:tplc="819CDD66">
      <w:numFmt w:val="decimal"/>
      <w:lvlText w:val=""/>
      <w:lvlJc w:val="left"/>
    </w:lvl>
    <w:lvl w:ilvl="8" w:tplc="3FD8C180">
      <w:numFmt w:val="decimal"/>
      <w:lvlText w:val=""/>
      <w:lvlJc w:val="left"/>
    </w:lvl>
  </w:abstractNum>
  <w:abstractNum w:abstractNumId="105" w15:restartNumberingAfterBreak="0">
    <w:nsid w:val="260D8C4A"/>
    <w:multiLevelType w:val="hybridMultilevel"/>
    <w:tmpl w:val="C37E34E6"/>
    <w:lvl w:ilvl="0" w:tplc="A39056DE">
      <w:start w:val="1"/>
      <w:numFmt w:val="bullet"/>
      <w:lvlText w:val="*"/>
      <w:lvlJc w:val="left"/>
    </w:lvl>
    <w:lvl w:ilvl="1" w:tplc="1F1CB4BE">
      <w:numFmt w:val="decimal"/>
      <w:lvlText w:val=""/>
      <w:lvlJc w:val="left"/>
    </w:lvl>
    <w:lvl w:ilvl="2" w:tplc="4F48F4B6">
      <w:numFmt w:val="decimal"/>
      <w:lvlText w:val=""/>
      <w:lvlJc w:val="left"/>
    </w:lvl>
    <w:lvl w:ilvl="3" w:tplc="74B818EC">
      <w:numFmt w:val="decimal"/>
      <w:lvlText w:val=""/>
      <w:lvlJc w:val="left"/>
    </w:lvl>
    <w:lvl w:ilvl="4" w:tplc="560EC720">
      <w:numFmt w:val="decimal"/>
      <w:lvlText w:val=""/>
      <w:lvlJc w:val="left"/>
    </w:lvl>
    <w:lvl w:ilvl="5" w:tplc="B2F4C3BC">
      <w:numFmt w:val="decimal"/>
      <w:lvlText w:val=""/>
      <w:lvlJc w:val="left"/>
    </w:lvl>
    <w:lvl w:ilvl="6" w:tplc="AA54F432">
      <w:numFmt w:val="decimal"/>
      <w:lvlText w:val=""/>
      <w:lvlJc w:val="left"/>
    </w:lvl>
    <w:lvl w:ilvl="7" w:tplc="B3962454">
      <w:numFmt w:val="decimal"/>
      <w:lvlText w:val=""/>
      <w:lvlJc w:val="left"/>
    </w:lvl>
    <w:lvl w:ilvl="8" w:tplc="2452C896">
      <w:numFmt w:val="decimal"/>
      <w:lvlText w:val=""/>
      <w:lvlJc w:val="left"/>
    </w:lvl>
  </w:abstractNum>
  <w:abstractNum w:abstractNumId="106" w15:restartNumberingAfterBreak="0">
    <w:nsid w:val="26A02C5E"/>
    <w:multiLevelType w:val="hybridMultilevel"/>
    <w:tmpl w:val="D130BC24"/>
    <w:lvl w:ilvl="0" w:tplc="2F2899B2">
      <w:start w:val="2"/>
      <w:numFmt w:val="decimal"/>
      <w:lvlText w:val="%1."/>
      <w:lvlJc w:val="left"/>
    </w:lvl>
    <w:lvl w:ilvl="1" w:tplc="DB40E422">
      <w:numFmt w:val="decimal"/>
      <w:lvlText w:val=""/>
      <w:lvlJc w:val="left"/>
    </w:lvl>
    <w:lvl w:ilvl="2" w:tplc="9DE26CD2">
      <w:numFmt w:val="decimal"/>
      <w:lvlText w:val=""/>
      <w:lvlJc w:val="left"/>
    </w:lvl>
    <w:lvl w:ilvl="3" w:tplc="4FD04B5C">
      <w:numFmt w:val="decimal"/>
      <w:lvlText w:val=""/>
      <w:lvlJc w:val="left"/>
    </w:lvl>
    <w:lvl w:ilvl="4" w:tplc="95B0ED68">
      <w:numFmt w:val="decimal"/>
      <w:lvlText w:val=""/>
      <w:lvlJc w:val="left"/>
    </w:lvl>
    <w:lvl w:ilvl="5" w:tplc="71A8A942">
      <w:numFmt w:val="decimal"/>
      <w:lvlText w:val=""/>
      <w:lvlJc w:val="left"/>
    </w:lvl>
    <w:lvl w:ilvl="6" w:tplc="B82267C8">
      <w:numFmt w:val="decimal"/>
      <w:lvlText w:val=""/>
      <w:lvlJc w:val="left"/>
    </w:lvl>
    <w:lvl w:ilvl="7" w:tplc="D90064A6">
      <w:numFmt w:val="decimal"/>
      <w:lvlText w:val=""/>
      <w:lvlJc w:val="left"/>
    </w:lvl>
    <w:lvl w:ilvl="8" w:tplc="BA4A2876">
      <w:numFmt w:val="decimal"/>
      <w:lvlText w:val=""/>
      <w:lvlJc w:val="left"/>
    </w:lvl>
  </w:abstractNum>
  <w:abstractNum w:abstractNumId="107" w15:restartNumberingAfterBreak="0">
    <w:nsid w:val="26F2D364"/>
    <w:multiLevelType w:val="hybridMultilevel"/>
    <w:tmpl w:val="F72028D0"/>
    <w:lvl w:ilvl="0" w:tplc="0D582BC0">
      <w:start w:val="1"/>
      <w:numFmt w:val="bullet"/>
      <w:lvlText w:val=" "/>
      <w:lvlJc w:val="left"/>
    </w:lvl>
    <w:lvl w:ilvl="1" w:tplc="D114A6E4">
      <w:numFmt w:val="decimal"/>
      <w:lvlText w:val=""/>
      <w:lvlJc w:val="left"/>
    </w:lvl>
    <w:lvl w:ilvl="2" w:tplc="0EAE9ACA">
      <w:numFmt w:val="decimal"/>
      <w:lvlText w:val=""/>
      <w:lvlJc w:val="left"/>
    </w:lvl>
    <w:lvl w:ilvl="3" w:tplc="B860C194">
      <w:numFmt w:val="decimal"/>
      <w:lvlText w:val=""/>
      <w:lvlJc w:val="left"/>
    </w:lvl>
    <w:lvl w:ilvl="4" w:tplc="001A445A">
      <w:numFmt w:val="decimal"/>
      <w:lvlText w:val=""/>
      <w:lvlJc w:val="left"/>
    </w:lvl>
    <w:lvl w:ilvl="5" w:tplc="BDE0DC4A">
      <w:numFmt w:val="decimal"/>
      <w:lvlText w:val=""/>
      <w:lvlJc w:val="left"/>
    </w:lvl>
    <w:lvl w:ilvl="6" w:tplc="894EE0CC">
      <w:numFmt w:val="decimal"/>
      <w:lvlText w:val=""/>
      <w:lvlJc w:val="left"/>
    </w:lvl>
    <w:lvl w:ilvl="7" w:tplc="84A41C76">
      <w:numFmt w:val="decimal"/>
      <w:lvlText w:val=""/>
      <w:lvlJc w:val="left"/>
    </w:lvl>
    <w:lvl w:ilvl="8" w:tplc="65BEA784">
      <w:numFmt w:val="decimal"/>
      <w:lvlText w:val=""/>
      <w:lvlJc w:val="left"/>
    </w:lvl>
  </w:abstractNum>
  <w:abstractNum w:abstractNumId="108" w15:restartNumberingAfterBreak="0">
    <w:nsid w:val="2708C9AF"/>
    <w:multiLevelType w:val="hybridMultilevel"/>
    <w:tmpl w:val="B64884A0"/>
    <w:lvl w:ilvl="0" w:tplc="4CF23144">
      <w:start w:val="1"/>
      <w:numFmt w:val="bullet"/>
      <w:lvlText w:val=" "/>
      <w:lvlJc w:val="left"/>
    </w:lvl>
    <w:lvl w:ilvl="1" w:tplc="62C69B72">
      <w:numFmt w:val="decimal"/>
      <w:lvlText w:val=""/>
      <w:lvlJc w:val="left"/>
    </w:lvl>
    <w:lvl w:ilvl="2" w:tplc="0B761B32">
      <w:numFmt w:val="decimal"/>
      <w:lvlText w:val=""/>
      <w:lvlJc w:val="left"/>
    </w:lvl>
    <w:lvl w:ilvl="3" w:tplc="B59A5B2E">
      <w:numFmt w:val="decimal"/>
      <w:lvlText w:val=""/>
      <w:lvlJc w:val="left"/>
    </w:lvl>
    <w:lvl w:ilvl="4" w:tplc="74682B66">
      <w:numFmt w:val="decimal"/>
      <w:lvlText w:val=""/>
      <w:lvlJc w:val="left"/>
    </w:lvl>
    <w:lvl w:ilvl="5" w:tplc="68A0193C">
      <w:numFmt w:val="decimal"/>
      <w:lvlText w:val=""/>
      <w:lvlJc w:val="left"/>
    </w:lvl>
    <w:lvl w:ilvl="6" w:tplc="9076ABB4">
      <w:numFmt w:val="decimal"/>
      <w:lvlText w:val=""/>
      <w:lvlJc w:val="left"/>
    </w:lvl>
    <w:lvl w:ilvl="7" w:tplc="8DC2D8DC">
      <w:numFmt w:val="decimal"/>
      <w:lvlText w:val=""/>
      <w:lvlJc w:val="left"/>
    </w:lvl>
    <w:lvl w:ilvl="8" w:tplc="08EE10EC">
      <w:numFmt w:val="decimal"/>
      <w:lvlText w:val=""/>
      <w:lvlJc w:val="left"/>
    </w:lvl>
  </w:abstractNum>
  <w:abstractNum w:abstractNumId="109" w15:restartNumberingAfterBreak="0">
    <w:nsid w:val="2771AC80"/>
    <w:multiLevelType w:val="hybridMultilevel"/>
    <w:tmpl w:val="0546BDFA"/>
    <w:lvl w:ilvl="0" w:tplc="B11E5D80">
      <w:start w:val="1"/>
      <w:numFmt w:val="bullet"/>
      <w:lvlText w:val=" "/>
      <w:lvlJc w:val="left"/>
    </w:lvl>
    <w:lvl w:ilvl="1" w:tplc="82102ABC">
      <w:numFmt w:val="decimal"/>
      <w:lvlText w:val=""/>
      <w:lvlJc w:val="left"/>
    </w:lvl>
    <w:lvl w:ilvl="2" w:tplc="E52C4DAE">
      <w:numFmt w:val="decimal"/>
      <w:lvlText w:val=""/>
      <w:lvlJc w:val="left"/>
    </w:lvl>
    <w:lvl w:ilvl="3" w:tplc="A1A47CD2">
      <w:numFmt w:val="decimal"/>
      <w:lvlText w:val=""/>
      <w:lvlJc w:val="left"/>
    </w:lvl>
    <w:lvl w:ilvl="4" w:tplc="0AF24488">
      <w:numFmt w:val="decimal"/>
      <w:lvlText w:val=""/>
      <w:lvlJc w:val="left"/>
    </w:lvl>
    <w:lvl w:ilvl="5" w:tplc="956E4AFC">
      <w:numFmt w:val="decimal"/>
      <w:lvlText w:val=""/>
      <w:lvlJc w:val="left"/>
    </w:lvl>
    <w:lvl w:ilvl="6" w:tplc="F2763DF0">
      <w:numFmt w:val="decimal"/>
      <w:lvlText w:val=""/>
      <w:lvlJc w:val="left"/>
    </w:lvl>
    <w:lvl w:ilvl="7" w:tplc="8CC4E27C">
      <w:numFmt w:val="decimal"/>
      <w:lvlText w:val=""/>
      <w:lvlJc w:val="left"/>
    </w:lvl>
    <w:lvl w:ilvl="8" w:tplc="67ACA588">
      <w:numFmt w:val="decimal"/>
      <w:lvlText w:val=""/>
      <w:lvlJc w:val="left"/>
    </w:lvl>
  </w:abstractNum>
  <w:abstractNum w:abstractNumId="110" w15:restartNumberingAfterBreak="0">
    <w:nsid w:val="28677B7C"/>
    <w:multiLevelType w:val="hybridMultilevel"/>
    <w:tmpl w:val="7C58D1DA"/>
    <w:lvl w:ilvl="0" w:tplc="1F8ECB50">
      <w:start w:val="6"/>
      <w:numFmt w:val="decimal"/>
      <w:lvlText w:val="%1."/>
      <w:lvlJc w:val="left"/>
    </w:lvl>
    <w:lvl w:ilvl="1" w:tplc="38DCA628">
      <w:numFmt w:val="decimal"/>
      <w:lvlText w:val=""/>
      <w:lvlJc w:val="left"/>
    </w:lvl>
    <w:lvl w:ilvl="2" w:tplc="BAE4327E">
      <w:numFmt w:val="decimal"/>
      <w:lvlText w:val=""/>
      <w:lvlJc w:val="left"/>
    </w:lvl>
    <w:lvl w:ilvl="3" w:tplc="61C4F4A2">
      <w:numFmt w:val="decimal"/>
      <w:lvlText w:val=""/>
      <w:lvlJc w:val="left"/>
    </w:lvl>
    <w:lvl w:ilvl="4" w:tplc="7D382ADE">
      <w:numFmt w:val="decimal"/>
      <w:lvlText w:val=""/>
      <w:lvlJc w:val="left"/>
    </w:lvl>
    <w:lvl w:ilvl="5" w:tplc="D75C721E">
      <w:numFmt w:val="decimal"/>
      <w:lvlText w:val=""/>
      <w:lvlJc w:val="left"/>
    </w:lvl>
    <w:lvl w:ilvl="6" w:tplc="6DCE0C5E">
      <w:numFmt w:val="decimal"/>
      <w:lvlText w:val=""/>
      <w:lvlJc w:val="left"/>
    </w:lvl>
    <w:lvl w:ilvl="7" w:tplc="B1BE7C26">
      <w:numFmt w:val="decimal"/>
      <w:lvlText w:val=""/>
      <w:lvlJc w:val="left"/>
    </w:lvl>
    <w:lvl w:ilvl="8" w:tplc="4C04AE54">
      <w:numFmt w:val="decimal"/>
      <w:lvlText w:val=""/>
      <w:lvlJc w:val="left"/>
    </w:lvl>
  </w:abstractNum>
  <w:abstractNum w:abstractNumId="111" w15:restartNumberingAfterBreak="0">
    <w:nsid w:val="29934699"/>
    <w:multiLevelType w:val="hybridMultilevel"/>
    <w:tmpl w:val="7DD4CAEC"/>
    <w:lvl w:ilvl="0" w:tplc="48CE59A2">
      <w:start w:val="1"/>
      <w:numFmt w:val="upperLetter"/>
      <w:lvlText w:val="%1."/>
      <w:lvlJc w:val="left"/>
    </w:lvl>
    <w:lvl w:ilvl="1" w:tplc="F9FE4BB2">
      <w:numFmt w:val="decimal"/>
      <w:lvlText w:val=""/>
      <w:lvlJc w:val="left"/>
    </w:lvl>
    <w:lvl w:ilvl="2" w:tplc="6FA6B9EC">
      <w:numFmt w:val="decimal"/>
      <w:lvlText w:val=""/>
      <w:lvlJc w:val="left"/>
    </w:lvl>
    <w:lvl w:ilvl="3" w:tplc="30BAC280">
      <w:numFmt w:val="decimal"/>
      <w:lvlText w:val=""/>
      <w:lvlJc w:val="left"/>
    </w:lvl>
    <w:lvl w:ilvl="4" w:tplc="61B0F4BE">
      <w:numFmt w:val="decimal"/>
      <w:lvlText w:val=""/>
      <w:lvlJc w:val="left"/>
    </w:lvl>
    <w:lvl w:ilvl="5" w:tplc="E348EE40">
      <w:numFmt w:val="decimal"/>
      <w:lvlText w:val=""/>
      <w:lvlJc w:val="left"/>
    </w:lvl>
    <w:lvl w:ilvl="6" w:tplc="99549E8E">
      <w:numFmt w:val="decimal"/>
      <w:lvlText w:val=""/>
      <w:lvlJc w:val="left"/>
    </w:lvl>
    <w:lvl w:ilvl="7" w:tplc="29CAAEEA">
      <w:numFmt w:val="decimal"/>
      <w:lvlText w:val=""/>
      <w:lvlJc w:val="left"/>
    </w:lvl>
    <w:lvl w:ilvl="8" w:tplc="BFA82D9C">
      <w:numFmt w:val="decimal"/>
      <w:lvlText w:val=""/>
      <w:lvlJc w:val="left"/>
    </w:lvl>
  </w:abstractNum>
  <w:abstractNum w:abstractNumId="112" w15:restartNumberingAfterBreak="0">
    <w:nsid w:val="29BACF25"/>
    <w:multiLevelType w:val="hybridMultilevel"/>
    <w:tmpl w:val="CE089520"/>
    <w:lvl w:ilvl="0" w:tplc="7B9A6002">
      <w:start w:val="1"/>
      <w:numFmt w:val="decimal"/>
      <w:lvlText w:val="%1."/>
      <w:lvlJc w:val="left"/>
    </w:lvl>
    <w:lvl w:ilvl="1" w:tplc="A5DED258">
      <w:numFmt w:val="decimal"/>
      <w:lvlText w:val=""/>
      <w:lvlJc w:val="left"/>
    </w:lvl>
    <w:lvl w:ilvl="2" w:tplc="39526534">
      <w:numFmt w:val="decimal"/>
      <w:lvlText w:val=""/>
      <w:lvlJc w:val="left"/>
    </w:lvl>
    <w:lvl w:ilvl="3" w:tplc="1124F1C8">
      <w:numFmt w:val="decimal"/>
      <w:lvlText w:val=""/>
      <w:lvlJc w:val="left"/>
    </w:lvl>
    <w:lvl w:ilvl="4" w:tplc="31223BDA">
      <w:numFmt w:val="decimal"/>
      <w:lvlText w:val=""/>
      <w:lvlJc w:val="left"/>
    </w:lvl>
    <w:lvl w:ilvl="5" w:tplc="9F5C1958">
      <w:numFmt w:val="decimal"/>
      <w:lvlText w:val=""/>
      <w:lvlJc w:val="left"/>
    </w:lvl>
    <w:lvl w:ilvl="6" w:tplc="8B58329C">
      <w:numFmt w:val="decimal"/>
      <w:lvlText w:val=""/>
      <w:lvlJc w:val="left"/>
    </w:lvl>
    <w:lvl w:ilvl="7" w:tplc="0D20FF22">
      <w:numFmt w:val="decimal"/>
      <w:lvlText w:val=""/>
      <w:lvlJc w:val="left"/>
    </w:lvl>
    <w:lvl w:ilvl="8" w:tplc="41C0F816">
      <w:numFmt w:val="decimal"/>
      <w:lvlText w:val=""/>
      <w:lvlJc w:val="left"/>
    </w:lvl>
  </w:abstractNum>
  <w:abstractNum w:abstractNumId="113" w15:restartNumberingAfterBreak="0">
    <w:nsid w:val="2A082C70"/>
    <w:multiLevelType w:val="hybridMultilevel"/>
    <w:tmpl w:val="15BE8C50"/>
    <w:lvl w:ilvl="0" w:tplc="537C35E4">
      <w:start w:val="1"/>
      <w:numFmt w:val="lowerLetter"/>
      <w:lvlText w:val="%1"/>
      <w:lvlJc w:val="left"/>
    </w:lvl>
    <w:lvl w:ilvl="1" w:tplc="B5DC7038">
      <w:numFmt w:val="decimal"/>
      <w:lvlText w:val=""/>
      <w:lvlJc w:val="left"/>
    </w:lvl>
    <w:lvl w:ilvl="2" w:tplc="6C649028">
      <w:numFmt w:val="decimal"/>
      <w:lvlText w:val=""/>
      <w:lvlJc w:val="left"/>
    </w:lvl>
    <w:lvl w:ilvl="3" w:tplc="CA048280">
      <w:numFmt w:val="decimal"/>
      <w:lvlText w:val=""/>
      <w:lvlJc w:val="left"/>
    </w:lvl>
    <w:lvl w:ilvl="4" w:tplc="0FF2321C">
      <w:numFmt w:val="decimal"/>
      <w:lvlText w:val=""/>
      <w:lvlJc w:val="left"/>
    </w:lvl>
    <w:lvl w:ilvl="5" w:tplc="AAB43D1C">
      <w:numFmt w:val="decimal"/>
      <w:lvlText w:val=""/>
      <w:lvlJc w:val="left"/>
    </w:lvl>
    <w:lvl w:ilvl="6" w:tplc="B5AAD18E">
      <w:numFmt w:val="decimal"/>
      <w:lvlText w:val=""/>
      <w:lvlJc w:val="left"/>
    </w:lvl>
    <w:lvl w:ilvl="7" w:tplc="CAB03FB4">
      <w:numFmt w:val="decimal"/>
      <w:lvlText w:val=""/>
      <w:lvlJc w:val="left"/>
    </w:lvl>
    <w:lvl w:ilvl="8" w:tplc="701A0AFE">
      <w:numFmt w:val="decimal"/>
      <w:lvlText w:val=""/>
      <w:lvlJc w:val="left"/>
    </w:lvl>
  </w:abstractNum>
  <w:abstractNum w:abstractNumId="114" w15:restartNumberingAfterBreak="0">
    <w:nsid w:val="2A31B62D"/>
    <w:multiLevelType w:val="hybridMultilevel"/>
    <w:tmpl w:val="90162C70"/>
    <w:lvl w:ilvl="0" w:tplc="18A27A80">
      <w:start w:val="4"/>
      <w:numFmt w:val="decimal"/>
      <w:lvlText w:val="%1."/>
      <w:lvlJc w:val="left"/>
    </w:lvl>
    <w:lvl w:ilvl="1" w:tplc="16343A98">
      <w:numFmt w:val="decimal"/>
      <w:lvlText w:val=""/>
      <w:lvlJc w:val="left"/>
    </w:lvl>
    <w:lvl w:ilvl="2" w:tplc="3702C8C2">
      <w:numFmt w:val="decimal"/>
      <w:lvlText w:val=""/>
      <w:lvlJc w:val="left"/>
    </w:lvl>
    <w:lvl w:ilvl="3" w:tplc="33663CE6">
      <w:numFmt w:val="decimal"/>
      <w:lvlText w:val=""/>
      <w:lvlJc w:val="left"/>
    </w:lvl>
    <w:lvl w:ilvl="4" w:tplc="AEDA5038">
      <w:numFmt w:val="decimal"/>
      <w:lvlText w:val=""/>
      <w:lvlJc w:val="left"/>
    </w:lvl>
    <w:lvl w:ilvl="5" w:tplc="D31EB9AA">
      <w:numFmt w:val="decimal"/>
      <w:lvlText w:val=""/>
      <w:lvlJc w:val="left"/>
    </w:lvl>
    <w:lvl w:ilvl="6" w:tplc="42C6FC0A">
      <w:numFmt w:val="decimal"/>
      <w:lvlText w:val=""/>
      <w:lvlJc w:val="left"/>
    </w:lvl>
    <w:lvl w:ilvl="7" w:tplc="C4625E70">
      <w:numFmt w:val="decimal"/>
      <w:lvlText w:val=""/>
      <w:lvlJc w:val="left"/>
    </w:lvl>
    <w:lvl w:ilvl="8" w:tplc="714A9A0C">
      <w:numFmt w:val="decimal"/>
      <w:lvlText w:val=""/>
      <w:lvlJc w:val="left"/>
    </w:lvl>
  </w:abstractNum>
  <w:abstractNum w:abstractNumId="115" w15:restartNumberingAfterBreak="0">
    <w:nsid w:val="2A6AD9BE"/>
    <w:multiLevelType w:val="hybridMultilevel"/>
    <w:tmpl w:val="71AE93F0"/>
    <w:lvl w:ilvl="0" w:tplc="C2E2D448">
      <w:start w:val="4"/>
      <w:numFmt w:val="decimal"/>
      <w:lvlText w:val="%1."/>
      <w:lvlJc w:val="left"/>
    </w:lvl>
    <w:lvl w:ilvl="1" w:tplc="90489FA6">
      <w:numFmt w:val="decimal"/>
      <w:lvlText w:val=""/>
      <w:lvlJc w:val="left"/>
    </w:lvl>
    <w:lvl w:ilvl="2" w:tplc="3488A1C0">
      <w:numFmt w:val="decimal"/>
      <w:lvlText w:val=""/>
      <w:lvlJc w:val="left"/>
    </w:lvl>
    <w:lvl w:ilvl="3" w:tplc="BB72B69C">
      <w:numFmt w:val="decimal"/>
      <w:lvlText w:val=""/>
      <w:lvlJc w:val="left"/>
    </w:lvl>
    <w:lvl w:ilvl="4" w:tplc="197044CA">
      <w:numFmt w:val="decimal"/>
      <w:lvlText w:val=""/>
      <w:lvlJc w:val="left"/>
    </w:lvl>
    <w:lvl w:ilvl="5" w:tplc="641AA80C">
      <w:numFmt w:val="decimal"/>
      <w:lvlText w:val=""/>
      <w:lvlJc w:val="left"/>
    </w:lvl>
    <w:lvl w:ilvl="6" w:tplc="61CAF208">
      <w:numFmt w:val="decimal"/>
      <w:lvlText w:val=""/>
      <w:lvlJc w:val="left"/>
    </w:lvl>
    <w:lvl w:ilvl="7" w:tplc="B4407D96">
      <w:numFmt w:val="decimal"/>
      <w:lvlText w:val=""/>
      <w:lvlJc w:val="left"/>
    </w:lvl>
    <w:lvl w:ilvl="8" w:tplc="7E063600">
      <w:numFmt w:val="decimal"/>
      <w:lvlText w:val=""/>
      <w:lvlJc w:val="left"/>
    </w:lvl>
  </w:abstractNum>
  <w:abstractNum w:abstractNumId="116" w15:restartNumberingAfterBreak="0">
    <w:nsid w:val="2A6DE806"/>
    <w:multiLevelType w:val="hybridMultilevel"/>
    <w:tmpl w:val="A1E8BF54"/>
    <w:lvl w:ilvl="0" w:tplc="B1522D1C">
      <w:start w:val="1"/>
      <w:numFmt w:val="bullet"/>
      <w:lvlText w:val="***"/>
      <w:lvlJc w:val="left"/>
    </w:lvl>
    <w:lvl w:ilvl="1" w:tplc="DC0C6D34">
      <w:numFmt w:val="decimal"/>
      <w:lvlText w:val=""/>
      <w:lvlJc w:val="left"/>
    </w:lvl>
    <w:lvl w:ilvl="2" w:tplc="057472BC">
      <w:numFmt w:val="decimal"/>
      <w:lvlText w:val=""/>
      <w:lvlJc w:val="left"/>
    </w:lvl>
    <w:lvl w:ilvl="3" w:tplc="F92CAE32">
      <w:numFmt w:val="decimal"/>
      <w:lvlText w:val=""/>
      <w:lvlJc w:val="left"/>
    </w:lvl>
    <w:lvl w:ilvl="4" w:tplc="6616C468">
      <w:numFmt w:val="decimal"/>
      <w:lvlText w:val=""/>
      <w:lvlJc w:val="left"/>
    </w:lvl>
    <w:lvl w:ilvl="5" w:tplc="43DE2D56">
      <w:numFmt w:val="decimal"/>
      <w:lvlText w:val=""/>
      <w:lvlJc w:val="left"/>
    </w:lvl>
    <w:lvl w:ilvl="6" w:tplc="9432CF32">
      <w:numFmt w:val="decimal"/>
      <w:lvlText w:val=""/>
      <w:lvlJc w:val="left"/>
    </w:lvl>
    <w:lvl w:ilvl="7" w:tplc="40FE9EE2">
      <w:numFmt w:val="decimal"/>
      <w:lvlText w:val=""/>
      <w:lvlJc w:val="left"/>
    </w:lvl>
    <w:lvl w:ilvl="8" w:tplc="C7521BE2">
      <w:numFmt w:val="decimal"/>
      <w:lvlText w:val=""/>
      <w:lvlJc w:val="left"/>
    </w:lvl>
  </w:abstractNum>
  <w:abstractNum w:abstractNumId="117" w15:restartNumberingAfterBreak="0">
    <w:nsid w:val="2AE05A34"/>
    <w:multiLevelType w:val="hybridMultilevel"/>
    <w:tmpl w:val="18C82DE4"/>
    <w:lvl w:ilvl="0" w:tplc="CE02BD98">
      <w:start w:val="1"/>
      <w:numFmt w:val="bullet"/>
      <w:lvlText w:val=" "/>
      <w:lvlJc w:val="left"/>
    </w:lvl>
    <w:lvl w:ilvl="1" w:tplc="271A8AE4">
      <w:numFmt w:val="decimal"/>
      <w:lvlText w:val=""/>
      <w:lvlJc w:val="left"/>
    </w:lvl>
    <w:lvl w:ilvl="2" w:tplc="B44C706A">
      <w:numFmt w:val="decimal"/>
      <w:lvlText w:val=""/>
      <w:lvlJc w:val="left"/>
    </w:lvl>
    <w:lvl w:ilvl="3" w:tplc="1C787D62">
      <w:numFmt w:val="decimal"/>
      <w:lvlText w:val=""/>
      <w:lvlJc w:val="left"/>
    </w:lvl>
    <w:lvl w:ilvl="4" w:tplc="BD445BA6">
      <w:numFmt w:val="decimal"/>
      <w:lvlText w:val=""/>
      <w:lvlJc w:val="left"/>
    </w:lvl>
    <w:lvl w:ilvl="5" w:tplc="5EA2D1F8">
      <w:numFmt w:val="decimal"/>
      <w:lvlText w:val=""/>
      <w:lvlJc w:val="left"/>
    </w:lvl>
    <w:lvl w:ilvl="6" w:tplc="C160FF94">
      <w:numFmt w:val="decimal"/>
      <w:lvlText w:val=""/>
      <w:lvlJc w:val="left"/>
    </w:lvl>
    <w:lvl w:ilvl="7" w:tplc="6B0ABBAA">
      <w:numFmt w:val="decimal"/>
      <w:lvlText w:val=""/>
      <w:lvlJc w:val="left"/>
    </w:lvl>
    <w:lvl w:ilvl="8" w:tplc="0A465A46">
      <w:numFmt w:val="decimal"/>
      <w:lvlText w:val=""/>
      <w:lvlJc w:val="left"/>
    </w:lvl>
  </w:abstractNum>
  <w:abstractNum w:abstractNumId="118" w15:restartNumberingAfterBreak="0">
    <w:nsid w:val="2B0D8DBE"/>
    <w:multiLevelType w:val="hybridMultilevel"/>
    <w:tmpl w:val="80744034"/>
    <w:lvl w:ilvl="0" w:tplc="92C416C4">
      <w:start w:val="4"/>
      <w:numFmt w:val="decimal"/>
      <w:lvlText w:val="%1."/>
      <w:lvlJc w:val="left"/>
    </w:lvl>
    <w:lvl w:ilvl="1" w:tplc="D14008FC">
      <w:numFmt w:val="decimal"/>
      <w:lvlText w:val=""/>
      <w:lvlJc w:val="left"/>
    </w:lvl>
    <w:lvl w:ilvl="2" w:tplc="E5A45160">
      <w:numFmt w:val="decimal"/>
      <w:lvlText w:val=""/>
      <w:lvlJc w:val="left"/>
    </w:lvl>
    <w:lvl w:ilvl="3" w:tplc="56D48006">
      <w:numFmt w:val="decimal"/>
      <w:lvlText w:val=""/>
      <w:lvlJc w:val="left"/>
    </w:lvl>
    <w:lvl w:ilvl="4" w:tplc="D1621880">
      <w:numFmt w:val="decimal"/>
      <w:lvlText w:val=""/>
      <w:lvlJc w:val="left"/>
    </w:lvl>
    <w:lvl w:ilvl="5" w:tplc="2C24C4E8">
      <w:numFmt w:val="decimal"/>
      <w:lvlText w:val=""/>
      <w:lvlJc w:val="left"/>
    </w:lvl>
    <w:lvl w:ilvl="6" w:tplc="8132C128">
      <w:numFmt w:val="decimal"/>
      <w:lvlText w:val=""/>
      <w:lvlJc w:val="left"/>
    </w:lvl>
    <w:lvl w:ilvl="7" w:tplc="B06222CE">
      <w:numFmt w:val="decimal"/>
      <w:lvlText w:val=""/>
      <w:lvlJc w:val="left"/>
    </w:lvl>
    <w:lvl w:ilvl="8" w:tplc="BC327F00">
      <w:numFmt w:val="decimal"/>
      <w:lvlText w:val=""/>
      <w:lvlJc w:val="left"/>
    </w:lvl>
  </w:abstractNum>
  <w:abstractNum w:abstractNumId="119" w15:restartNumberingAfterBreak="0">
    <w:nsid w:val="2B4B8B53"/>
    <w:multiLevelType w:val="hybridMultilevel"/>
    <w:tmpl w:val="E5A21678"/>
    <w:lvl w:ilvl="0" w:tplc="6C92BCE0">
      <w:start w:val="5"/>
      <w:numFmt w:val="decimal"/>
      <w:lvlText w:val="%1."/>
      <w:lvlJc w:val="left"/>
    </w:lvl>
    <w:lvl w:ilvl="1" w:tplc="7592045A">
      <w:numFmt w:val="decimal"/>
      <w:lvlText w:val=""/>
      <w:lvlJc w:val="left"/>
    </w:lvl>
    <w:lvl w:ilvl="2" w:tplc="40380CAE">
      <w:numFmt w:val="decimal"/>
      <w:lvlText w:val=""/>
      <w:lvlJc w:val="left"/>
    </w:lvl>
    <w:lvl w:ilvl="3" w:tplc="D2E09046">
      <w:numFmt w:val="decimal"/>
      <w:lvlText w:val=""/>
      <w:lvlJc w:val="left"/>
    </w:lvl>
    <w:lvl w:ilvl="4" w:tplc="33EC4A6C">
      <w:numFmt w:val="decimal"/>
      <w:lvlText w:val=""/>
      <w:lvlJc w:val="left"/>
    </w:lvl>
    <w:lvl w:ilvl="5" w:tplc="625E1D46">
      <w:numFmt w:val="decimal"/>
      <w:lvlText w:val=""/>
      <w:lvlJc w:val="left"/>
    </w:lvl>
    <w:lvl w:ilvl="6" w:tplc="7A6260DA">
      <w:numFmt w:val="decimal"/>
      <w:lvlText w:val=""/>
      <w:lvlJc w:val="left"/>
    </w:lvl>
    <w:lvl w:ilvl="7" w:tplc="163E88F2">
      <w:numFmt w:val="decimal"/>
      <w:lvlText w:val=""/>
      <w:lvlJc w:val="left"/>
    </w:lvl>
    <w:lvl w:ilvl="8" w:tplc="55BEDA82">
      <w:numFmt w:val="decimal"/>
      <w:lvlText w:val=""/>
      <w:lvlJc w:val="left"/>
    </w:lvl>
  </w:abstractNum>
  <w:abstractNum w:abstractNumId="120" w15:restartNumberingAfterBreak="0">
    <w:nsid w:val="2C106A57"/>
    <w:multiLevelType w:val="hybridMultilevel"/>
    <w:tmpl w:val="3DC88EE0"/>
    <w:lvl w:ilvl="0" w:tplc="921CDE32">
      <w:start w:val="1"/>
      <w:numFmt w:val="bullet"/>
      <w:lvlText w:val=" "/>
      <w:lvlJc w:val="left"/>
    </w:lvl>
    <w:lvl w:ilvl="1" w:tplc="B2D6591C">
      <w:numFmt w:val="decimal"/>
      <w:lvlText w:val=""/>
      <w:lvlJc w:val="left"/>
    </w:lvl>
    <w:lvl w:ilvl="2" w:tplc="DE5A9ECE">
      <w:numFmt w:val="decimal"/>
      <w:lvlText w:val=""/>
      <w:lvlJc w:val="left"/>
    </w:lvl>
    <w:lvl w:ilvl="3" w:tplc="CB644A5C">
      <w:numFmt w:val="decimal"/>
      <w:lvlText w:val=""/>
      <w:lvlJc w:val="left"/>
    </w:lvl>
    <w:lvl w:ilvl="4" w:tplc="1FDC8A68">
      <w:numFmt w:val="decimal"/>
      <w:lvlText w:val=""/>
      <w:lvlJc w:val="left"/>
    </w:lvl>
    <w:lvl w:ilvl="5" w:tplc="1A022D52">
      <w:numFmt w:val="decimal"/>
      <w:lvlText w:val=""/>
      <w:lvlJc w:val="left"/>
    </w:lvl>
    <w:lvl w:ilvl="6" w:tplc="1F80F292">
      <w:numFmt w:val="decimal"/>
      <w:lvlText w:val=""/>
      <w:lvlJc w:val="left"/>
    </w:lvl>
    <w:lvl w:ilvl="7" w:tplc="57E2CCC4">
      <w:numFmt w:val="decimal"/>
      <w:lvlText w:val=""/>
      <w:lvlJc w:val="left"/>
    </w:lvl>
    <w:lvl w:ilvl="8" w:tplc="356A7E06">
      <w:numFmt w:val="decimal"/>
      <w:lvlText w:val=""/>
      <w:lvlJc w:val="left"/>
    </w:lvl>
  </w:abstractNum>
  <w:abstractNum w:abstractNumId="121" w15:restartNumberingAfterBreak="0">
    <w:nsid w:val="2C27173B"/>
    <w:multiLevelType w:val="hybridMultilevel"/>
    <w:tmpl w:val="E8580954"/>
    <w:lvl w:ilvl="0" w:tplc="1B1C7E14">
      <w:start w:val="1"/>
      <w:numFmt w:val="bullet"/>
      <w:lvlText w:val="***"/>
      <w:lvlJc w:val="left"/>
    </w:lvl>
    <w:lvl w:ilvl="1" w:tplc="4326860E">
      <w:numFmt w:val="decimal"/>
      <w:lvlText w:val=""/>
      <w:lvlJc w:val="left"/>
    </w:lvl>
    <w:lvl w:ilvl="2" w:tplc="623E6D1C">
      <w:numFmt w:val="decimal"/>
      <w:lvlText w:val=""/>
      <w:lvlJc w:val="left"/>
    </w:lvl>
    <w:lvl w:ilvl="3" w:tplc="283CF97A">
      <w:numFmt w:val="decimal"/>
      <w:lvlText w:val=""/>
      <w:lvlJc w:val="left"/>
    </w:lvl>
    <w:lvl w:ilvl="4" w:tplc="882A2A50">
      <w:numFmt w:val="decimal"/>
      <w:lvlText w:val=""/>
      <w:lvlJc w:val="left"/>
    </w:lvl>
    <w:lvl w:ilvl="5" w:tplc="BC48C612">
      <w:numFmt w:val="decimal"/>
      <w:lvlText w:val=""/>
      <w:lvlJc w:val="left"/>
    </w:lvl>
    <w:lvl w:ilvl="6" w:tplc="377876C6">
      <w:numFmt w:val="decimal"/>
      <w:lvlText w:val=""/>
      <w:lvlJc w:val="left"/>
    </w:lvl>
    <w:lvl w:ilvl="7" w:tplc="00201778">
      <w:numFmt w:val="decimal"/>
      <w:lvlText w:val=""/>
      <w:lvlJc w:val="left"/>
    </w:lvl>
    <w:lvl w:ilvl="8" w:tplc="C118713C">
      <w:numFmt w:val="decimal"/>
      <w:lvlText w:val=""/>
      <w:lvlJc w:val="left"/>
    </w:lvl>
  </w:abstractNum>
  <w:abstractNum w:abstractNumId="122" w15:restartNumberingAfterBreak="0">
    <w:nsid w:val="2C6E4AFD"/>
    <w:multiLevelType w:val="hybridMultilevel"/>
    <w:tmpl w:val="48BCE31E"/>
    <w:lvl w:ilvl="0" w:tplc="B0F0846E">
      <w:start w:val="1"/>
      <w:numFmt w:val="bullet"/>
      <w:lvlText w:val="*"/>
      <w:lvlJc w:val="left"/>
    </w:lvl>
    <w:lvl w:ilvl="1" w:tplc="F34896B2">
      <w:numFmt w:val="decimal"/>
      <w:lvlText w:val=""/>
      <w:lvlJc w:val="left"/>
    </w:lvl>
    <w:lvl w:ilvl="2" w:tplc="D100A30E">
      <w:numFmt w:val="decimal"/>
      <w:lvlText w:val=""/>
      <w:lvlJc w:val="left"/>
    </w:lvl>
    <w:lvl w:ilvl="3" w:tplc="D97AA120">
      <w:numFmt w:val="decimal"/>
      <w:lvlText w:val=""/>
      <w:lvlJc w:val="left"/>
    </w:lvl>
    <w:lvl w:ilvl="4" w:tplc="BA780850">
      <w:numFmt w:val="decimal"/>
      <w:lvlText w:val=""/>
      <w:lvlJc w:val="left"/>
    </w:lvl>
    <w:lvl w:ilvl="5" w:tplc="5EE85D88">
      <w:numFmt w:val="decimal"/>
      <w:lvlText w:val=""/>
      <w:lvlJc w:val="left"/>
    </w:lvl>
    <w:lvl w:ilvl="6" w:tplc="7DCCA17C">
      <w:numFmt w:val="decimal"/>
      <w:lvlText w:val=""/>
      <w:lvlJc w:val="left"/>
    </w:lvl>
    <w:lvl w:ilvl="7" w:tplc="AE3A9CBC">
      <w:numFmt w:val="decimal"/>
      <w:lvlText w:val=""/>
      <w:lvlJc w:val="left"/>
    </w:lvl>
    <w:lvl w:ilvl="8" w:tplc="3F60BBFE">
      <w:numFmt w:val="decimal"/>
      <w:lvlText w:val=""/>
      <w:lvlJc w:val="left"/>
    </w:lvl>
  </w:abstractNum>
  <w:abstractNum w:abstractNumId="123" w15:restartNumberingAfterBreak="0">
    <w:nsid w:val="2CA61608"/>
    <w:multiLevelType w:val="hybridMultilevel"/>
    <w:tmpl w:val="ECBA38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4" w15:restartNumberingAfterBreak="0">
    <w:nsid w:val="2DB88089"/>
    <w:multiLevelType w:val="hybridMultilevel"/>
    <w:tmpl w:val="B268B5E0"/>
    <w:lvl w:ilvl="0" w:tplc="E74E4C54">
      <w:start w:val="1"/>
      <w:numFmt w:val="bullet"/>
      <w:lvlText w:val="-"/>
      <w:lvlJc w:val="left"/>
    </w:lvl>
    <w:lvl w:ilvl="1" w:tplc="BC663094">
      <w:numFmt w:val="decimal"/>
      <w:lvlText w:val=""/>
      <w:lvlJc w:val="left"/>
    </w:lvl>
    <w:lvl w:ilvl="2" w:tplc="0DFCB730">
      <w:numFmt w:val="decimal"/>
      <w:lvlText w:val=""/>
      <w:lvlJc w:val="left"/>
    </w:lvl>
    <w:lvl w:ilvl="3" w:tplc="5BDEACAA">
      <w:numFmt w:val="decimal"/>
      <w:lvlText w:val=""/>
      <w:lvlJc w:val="left"/>
    </w:lvl>
    <w:lvl w:ilvl="4" w:tplc="A82413E0">
      <w:numFmt w:val="decimal"/>
      <w:lvlText w:val=""/>
      <w:lvlJc w:val="left"/>
    </w:lvl>
    <w:lvl w:ilvl="5" w:tplc="BD5E7564">
      <w:numFmt w:val="decimal"/>
      <w:lvlText w:val=""/>
      <w:lvlJc w:val="left"/>
    </w:lvl>
    <w:lvl w:ilvl="6" w:tplc="FED8620E">
      <w:numFmt w:val="decimal"/>
      <w:lvlText w:val=""/>
      <w:lvlJc w:val="left"/>
    </w:lvl>
    <w:lvl w:ilvl="7" w:tplc="4B8EE7F8">
      <w:numFmt w:val="decimal"/>
      <w:lvlText w:val=""/>
      <w:lvlJc w:val="left"/>
    </w:lvl>
    <w:lvl w:ilvl="8" w:tplc="A20C1788">
      <w:numFmt w:val="decimal"/>
      <w:lvlText w:val=""/>
      <w:lvlJc w:val="left"/>
    </w:lvl>
  </w:abstractNum>
  <w:abstractNum w:abstractNumId="125" w15:restartNumberingAfterBreak="0">
    <w:nsid w:val="2E22FBB7"/>
    <w:multiLevelType w:val="hybridMultilevel"/>
    <w:tmpl w:val="DC68466E"/>
    <w:lvl w:ilvl="0" w:tplc="6338D206">
      <w:start w:val="1"/>
      <w:numFmt w:val="upperLetter"/>
      <w:lvlText w:val="%1."/>
      <w:lvlJc w:val="left"/>
    </w:lvl>
    <w:lvl w:ilvl="1" w:tplc="C680D88A">
      <w:start w:val="1"/>
      <w:numFmt w:val="upperLetter"/>
      <w:lvlText w:val="%2"/>
      <w:lvlJc w:val="left"/>
    </w:lvl>
    <w:lvl w:ilvl="2" w:tplc="E1D41976">
      <w:numFmt w:val="decimal"/>
      <w:lvlText w:val=""/>
      <w:lvlJc w:val="left"/>
    </w:lvl>
    <w:lvl w:ilvl="3" w:tplc="05BE8F34">
      <w:numFmt w:val="decimal"/>
      <w:lvlText w:val=""/>
      <w:lvlJc w:val="left"/>
    </w:lvl>
    <w:lvl w:ilvl="4" w:tplc="63203764">
      <w:numFmt w:val="decimal"/>
      <w:lvlText w:val=""/>
      <w:lvlJc w:val="left"/>
    </w:lvl>
    <w:lvl w:ilvl="5" w:tplc="7AE2AC2A">
      <w:numFmt w:val="decimal"/>
      <w:lvlText w:val=""/>
      <w:lvlJc w:val="left"/>
    </w:lvl>
    <w:lvl w:ilvl="6" w:tplc="687CD954">
      <w:numFmt w:val="decimal"/>
      <w:lvlText w:val=""/>
      <w:lvlJc w:val="left"/>
    </w:lvl>
    <w:lvl w:ilvl="7" w:tplc="2C9242CA">
      <w:numFmt w:val="decimal"/>
      <w:lvlText w:val=""/>
      <w:lvlJc w:val="left"/>
    </w:lvl>
    <w:lvl w:ilvl="8" w:tplc="915A90EE">
      <w:numFmt w:val="decimal"/>
      <w:lvlText w:val=""/>
      <w:lvlJc w:val="left"/>
    </w:lvl>
  </w:abstractNum>
  <w:abstractNum w:abstractNumId="126" w15:restartNumberingAfterBreak="0">
    <w:nsid w:val="2E48F044"/>
    <w:multiLevelType w:val="hybridMultilevel"/>
    <w:tmpl w:val="F280BA42"/>
    <w:lvl w:ilvl="0" w:tplc="2D6CF6F2">
      <w:start w:val="7"/>
      <w:numFmt w:val="decimal"/>
      <w:lvlText w:val="%1."/>
      <w:lvlJc w:val="left"/>
    </w:lvl>
    <w:lvl w:ilvl="1" w:tplc="4BEC119E">
      <w:numFmt w:val="decimal"/>
      <w:lvlText w:val=""/>
      <w:lvlJc w:val="left"/>
    </w:lvl>
    <w:lvl w:ilvl="2" w:tplc="5080C70C">
      <w:numFmt w:val="decimal"/>
      <w:lvlText w:val=""/>
      <w:lvlJc w:val="left"/>
    </w:lvl>
    <w:lvl w:ilvl="3" w:tplc="9C700398">
      <w:numFmt w:val="decimal"/>
      <w:lvlText w:val=""/>
      <w:lvlJc w:val="left"/>
    </w:lvl>
    <w:lvl w:ilvl="4" w:tplc="59A0DE98">
      <w:numFmt w:val="decimal"/>
      <w:lvlText w:val=""/>
      <w:lvlJc w:val="left"/>
    </w:lvl>
    <w:lvl w:ilvl="5" w:tplc="107CDB52">
      <w:numFmt w:val="decimal"/>
      <w:lvlText w:val=""/>
      <w:lvlJc w:val="left"/>
    </w:lvl>
    <w:lvl w:ilvl="6" w:tplc="7574646E">
      <w:numFmt w:val="decimal"/>
      <w:lvlText w:val=""/>
      <w:lvlJc w:val="left"/>
    </w:lvl>
    <w:lvl w:ilvl="7" w:tplc="3A44C26A">
      <w:numFmt w:val="decimal"/>
      <w:lvlText w:val=""/>
      <w:lvlJc w:val="left"/>
    </w:lvl>
    <w:lvl w:ilvl="8" w:tplc="DDE09DC4">
      <w:numFmt w:val="decimal"/>
      <w:lvlText w:val=""/>
      <w:lvlJc w:val="left"/>
    </w:lvl>
  </w:abstractNum>
  <w:abstractNum w:abstractNumId="127" w15:restartNumberingAfterBreak="0">
    <w:nsid w:val="2E534A82"/>
    <w:multiLevelType w:val="hybridMultilevel"/>
    <w:tmpl w:val="2230136C"/>
    <w:lvl w:ilvl="0" w:tplc="976E016A">
      <w:start w:val="1"/>
      <w:numFmt w:val="bullet"/>
      <w:lvlText w:val=" "/>
      <w:lvlJc w:val="left"/>
    </w:lvl>
    <w:lvl w:ilvl="1" w:tplc="7D8CCE96">
      <w:numFmt w:val="decimal"/>
      <w:lvlText w:val=""/>
      <w:lvlJc w:val="left"/>
    </w:lvl>
    <w:lvl w:ilvl="2" w:tplc="CEEA6800">
      <w:numFmt w:val="decimal"/>
      <w:lvlText w:val=""/>
      <w:lvlJc w:val="left"/>
    </w:lvl>
    <w:lvl w:ilvl="3" w:tplc="55840F68">
      <w:numFmt w:val="decimal"/>
      <w:lvlText w:val=""/>
      <w:lvlJc w:val="left"/>
    </w:lvl>
    <w:lvl w:ilvl="4" w:tplc="81203040">
      <w:numFmt w:val="decimal"/>
      <w:lvlText w:val=""/>
      <w:lvlJc w:val="left"/>
    </w:lvl>
    <w:lvl w:ilvl="5" w:tplc="557C06F6">
      <w:numFmt w:val="decimal"/>
      <w:lvlText w:val=""/>
      <w:lvlJc w:val="left"/>
    </w:lvl>
    <w:lvl w:ilvl="6" w:tplc="8BEAF3A4">
      <w:numFmt w:val="decimal"/>
      <w:lvlText w:val=""/>
      <w:lvlJc w:val="left"/>
    </w:lvl>
    <w:lvl w:ilvl="7" w:tplc="76A621EC">
      <w:numFmt w:val="decimal"/>
      <w:lvlText w:val=""/>
      <w:lvlJc w:val="left"/>
    </w:lvl>
    <w:lvl w:ilvl="8" w:tplc="AF642760">
      <w:numFmt w:val="decimal"/>
      <w:lvlText w:val=""/>
      <w:lvlJc w:val="left"/>
    </w:lvl>
  </w:abstractNum>
  <w:abstractNum w:abstractNumId="128" w15:restartNumberingAfterBreak="0">
    <w:nsid w:val="2E8A6394"/>
    <w:multiLevelType w:val="hybridMultilevel"/>
    <w:tmpl w:val="002E3DE2"/>
    <w:lvl w:ilvl="0" w:tplc="5748FDB0">
      <w:start w:val="2"/>
      <w:numFmt w:val="decimal"/>
      <w:lvlText w:val="%1."/>
      <w:lvlJc w:val="left"/>
    </w:lvl>
    <w:lvl w:ilvl="1" w:tplc="14FA24B2">
      <w:numFmt w:val="decimal"/>
      <w:lvlText w:val=""/>
      <w:lvlJc w:val="left"/>
    </w:lvl>
    <w:lvl w:ilvl="2" w:tplc="451813FA">
      <w:numFmt w:val="decimal"/>
      <w:lvlText w:val=""/>
      <w:lvlJc w:val="left"/>
    </w:lvl>
    <w:lvl w:ilvl="3" w:tplc="A5FC479C">
      <w:numFmt w:val="decimal"/>
      <w:lvlText w:val=""/>
      <w:lvlJc w:val="left"/>
    </w:lvl>
    <w:lvl w:ilvl="4" w:tplc="801C2694">
      <w:numFmt w:val="decimal"/>
      <w:lvlText w:val=""/>
      <w:lvlJc w:val="left"/>
    </w:lvl>
    <w:lvl w:ilvl="5" w:tplc="489CE816">
      <w:numFmt w:val="decimal"/>
      <w:lvlText w:val=""/>
      <w:lvlJc w:val="left"/>
    </w:lvl>
    <w:lvl w:ilvl="6" w:tplc="251619A8">
      <w:numFmt w:val="decimal"/>
      <w:lvlText w:val=""/>
      <w:lvlJc w:val="left"/>
    </w:lvl>
    <w:lvl w:ilvl="7" w:tplc="AE186F26">
      <w:numFmt w:val="decimal"/>
      <w:lvlText w:val=""/>
      <w:lvlJc w:val="left"/>
    </w:lvl>
    <w:lvl w:ilvl="8" w:tplc="7FAAFABC">
      <w:numFmt w:val="decimal"/>
      <w:lvlText w:val=""/>
      <w:lvlJc w:val="left"/>
    </w:lvl>
  </w:abstractNum>
  <w:abstractNum w:abstractNumId="129" w15:restartNumberingAfterBreak="0">
    <w:nsid w:val="30AADFDA"/>
    <w:multiLevelType w:val="hybridMultilevel"/>
    <w:tmpl w:val="CC4620B2"/>
    <w:lvl w:ilvl="0" w:tplc="D43EFABA">
      <w:start w:val="1"/>
      <w:numFmt w:val="bullet"/>
      <w:lvlText w:val=" "/>
      <w:lvlJc w:val="left"/>
    </w:lvl>
    <w:lvl w:ilvl="1" w:tplc="71D42F26">
      <w:numFmt w:val="decimal"/>
      <w:lvlText w:val=""/>
      <w:lvlJc w:val="left"/>
    </w:lvl>
    <w:lvl w:ilvl="2" w:tplc="0CDA6E20">
      <w:numFmt w:val="decimal"/>
      <w:lvlText w:val=""/>
      <w:lvlJc w:val="left"/>
    </w:lvl>
    <w:lvl w:ilvl="3" w:tplc="469AE76E">
      <w:numFmt w:val="decimal"/>
      <w:lvlText w:val=""/>
      <w:lvlJc w:val="left"/>
    </w:lvl>
    <w:lvl w:ilvl="4" w:tplc="25185DD4">
      <w:numFmt w:val="decimal"/>
      <w:lvlText w:val=""/>
      <w:lvlJc w:val="left"/>
    </w:lvl>
    <w:lvl w:ilvl="5" w:tplc="ECFE8096">
      <w:numFmt w:val="decimal"/>
      <w:lvlText w:val=""/>
      <w:lvlJc w:val="left"/>
    </w:lvl>
    <w:lvl w:ilvl="6" w:tplc="A2FC13BE">
      <w:numFmt w:val="decimal"/>
      <w:lvlText w:val=""/>
      <w:lvlJc w:val="left"/>
    </w:lvl>
    <w:lvl w:ilvl="7" w:tplc="DAFA4848">
      <w:numFmt w:val="decimal"/>
      <w:lvlText w:val=""/>
      <w:lvlJc w:val="left"/>
    </w:lvl>
    <w:lvl w:ilvl="8" w:tplc="5224B3B0">
      <w:numFmt w:val="decimal"/>
      <w:lvlText w:val=""/>
      <w:lvlJc w:val="left"/>
    </w:lvl>
  </w:abstractNum>
  <w:abstractNum w:abstractNumId="130" w15:restartNumberingAfterBreak="0">
    <w:nsid w:val="30EADA61"/>
    <w:multiLevelType w:val="hybridMultilevel"/>
    <w:tmpl w:val="D952BCD2"/>
    <w:lvl w:ilvl="0" w:tplc="59E64982">
      <w:start w:val="3"/>
      <w:numFmt w:val="decimal"/>
      <w:lvlText w:val="%1."/>
      <w:lvlJc w:val="left"/>
    </w:lvl>
    <w:lvl w:ilvl="1" w:tplc="94646EE4">
      <w:numFmt w:val="decimal"/>
      <w:lvlText w:val=""/>
      <w:lvlJc w:val="left"/>
    </w:lvl>
    <w:lvl w:ilvl="2" w:tplc="B0A2D45E">
      <w:numFmt w:val="decimal"/>
      <w:lvlText w:val=""/>
      <w:lvlJc w:val="left"/>
    </w:lvl>
    <w:lvl w:ilvl="3" w:tplc="BC488A36">
      <w:numFmt w:val="decimal"/>
      <w:lvlText w:val=""/>
      <w:lvlJc w:val="left"/>
    </w:lvl>
    <w:lvl w:ilvl="4" w:tplc="B536710A">
      <w:numFmt w:val="decimal"/>
      <w:lvlText w:val=""/>
      <w:lvlJc w:val="left"/>
    </w:lvl>
    <w:lvl w:ilvl="5" w:tplc="1CB26050">
      <w:numFmt w:val="decimal"/>
      <w:lvlText w:val=""/>
      <w:lvlJc w:val="left"/>
    </w:lvl>
    <w:lvl w:ilvl="6" w:tplc="6EA298A0">
      <w:numFmt w:val="decimal"/>
      <w:lvlText w:val=""/>
      <w:lvlJc w:val="left"/>
    </w:lvl>
    <w:lvl w:ilvl="7" w:tplc="A68838E2">
      <w:numFmt w:val="decimal"/>
      <w:lvlText w:val=""/>
      <w:lvlJc w:val="left"/>
    </w:lvl>
    <w:lvl w:ilvl="8" w:tplc="9FF4D694">
      <w:numFmt w:val="decimal"/>
      <w:lvlText w:val=""/>
      <w:lvlJc w:val="left"/>
    </w:lvl>
  </w:abstractNum>
  <w:abstractNum w:abstractNumId="131" w15:restartNumberingAfterBreak="0">
    <w:nsid w:val="3102BBE2"/>
    <w:multiLevelType w:val="hybridMultilevel"/>
    <w:tmpl w:val="C680A2D8"/>
    <w:lvl w:ilvl="0" w:tplc="D8A85062">
      <w:start w:val="1"/>
      <w:numFmt w:val="bullet"/>
      <w:lvlText w:val="-"/>
      <w:lvlJc w:val="left"/>
    </w:lvl>
    <w:lvl w:ilvl="1" w:tplc="5A30358A">
      <w:numFmt w:val="decimal"/>
      <w:lvlText w:val=""/>
      <w:lvlJc w:val="left"/>
    </w:lvl>
    <w:lvl w:ilvl="2" w:tplc="4A26FEDA">
      <w:numFmt w:val="decimal"/>
      <w:lvlText w:val=""/>
      <w:lvlJc w:val="left"/>
    </w:lvl>
    <w:lvl w:ilvl="3" w:tplc="7B365EE6">
      <w:numFmt w:val="decimal"/>
      <w:lvlText w:val=""/>
      <w:lvlJc w:val="left"/>
    </w:lvl>
    <w:lvl w:ilvl="4" w:tplc="32B017A4">
      <w:numFmt w:val="decimal"/>
      <w:lvlText w:val=""/>
      <w:lvlJc w:val="left"/>
    </w:lvl>
    <w:lvl w:ilvl="5" w:tplc="4BD0F8A6">
      <w:numFmt w:val="decimal"/>
      <w:lvlText w:val=""/>
      <w:lvlJc w:val="left"/>
    </w:lvl>
    <w:lvl w:ilvl="6" w:tplc="B48023AA">
      <w:numFmt w:val="decimal"/>
      <w:lvlText w:val=""/>
      <w:lvlJc w:val="left"/>
    </w:lvl>
    <w:lvl w:ilvl="7" w:tplc="B02C1EEA">
      <w:numFmt w:val="decimal"/>
      <w:lvlText w:val=""/>
      <w:lvlJc w:val="left"/>
    </w:lvl>
    <w:lvl w:ilvl="8" w:tplc="6BFCFC1E">
      <w:numFmt w:val="decimal"/>
      <w:lvlText w:val=""/>
      <w:lvlJc w:val="left"/>
    </w:lvl>
  </w:abstractNum>
  <w:abstractNum w:abstractNumId="132" w15:restartNumberingAfterBreak="0">
    <w:nsid w:val="312167AD"/>
    <w:multiLevelType w:val="hybridMultilevel"/>
    <w:tmpl w:val="5B2AE56C"/>
    <w:lvl w:ilvl="0" w:tplc="E62483BE">
      <w:start w:val="1"/>
      <w:numFmt w:val="upperLetter"/>
      <w:lvlText w:val="%1"/>
      <w:lvlJc w:val="left"/>
    </w:lvl>
    <w:lvl w:ilvl="1" w:tplc="9F089584">
      <w:numFmt w:val="decimal"/>
      <w:lvlText w:val=""/>
      <w:lvlJc w:val="left"/>
    </w:lvl>
    <w:lvl w:ilvl="2" w:tplc="8B6C42F2">
      <w:numFmt w:val="decimal"/>
      <w:lvlText w:val=""/>
      <w:lvlJc w:val="left"/>
    </w:lvl>
    <w:lvl w:ilvl="3" w:tplc="BD2853B6">
      <w:numFmt w:val="decimal"/>
      <w:lvlText w:val=""/>
      <w:lvlJc w:val="left"/>
    </w:lvl>
    <w:lvl w:ilvl="4" w:tplc="D80822B8">
      <w:numFmt w:val="decimal"/>
      <w:lvlText w:val=""/>
      <w:lvlJc w:val="left"/>
    </w:lvl>
    <w:lvl w:ilvl="5" w:tplc="554A7B5E">
      <w:numFmt w:val="decimal"/>
      <w:lvlText w:val=""/>
      <w:lvlJc w:val="left"/>
    </w:lvl>
    <w:lvl w:ilvl="6" w:tplc="261419AC">
      <w:numFmt w:val="decimal"/>
      <w:lvlText w:val=""/>
      <w:lvlJc w:val="left"/>
    </w:lvl>
    <w:lvl w:ilvl="7" w:tplc="5AD4DCF2">
      <w:numFmt w:val="decimal"/>
      <w:lvlText w:val=""/>
      <w:lvlJc w:val="left"/>
    </w:lvl>
    <w:lvl w:ilvl="8" w:tplc="F2761E60">
      <w:numFmt w:val="decimal"/>
      <w:lvlText w:val=""/>
      <w:lvlJc w:val="left"/>
    </w:lvl>
  </w:abstractNum>
  <w:abstractNum w:abstractNumId="133" w15:restartNumberingAfterBreak="0">
    <w:nsid w:val="316032BB"/>
    <w:multiLevelType w:val="hybridMultilevel"/>
    <w:tmpl w:val="13761996"/>
    <w:lvl w:ilvl="0" w:tplc="128850F6">
      <w:start w:val="2"/>
      <w:numFmt w:val="decimal"/>
      <w:lvlText w:val="%1."/>
      <w:lvlJc w:val="left"/>
    </w:lvl>
    <w:lvl w:ilvl="1" w:tplc="756E9898">
      <w:numFmt w:val="decimal"/>
      <w:lvlText w:val=""/>
      <w:lvlJc w:val="left"/>
    </w:lvl>
    <w:lvl w:ilvl="2" w:tplc="71B0009C">
      <w:numFmt w:val="decimal"/>
      <w:lvlText w:val=""/>
      <w:lvlJc w:val="left"/>
    </w:lvl>
    <w:lvl w:ilvl="3" w:tplc="B2EEFC5C">
      <w:numFmt w:val="decimal"/>
      <w:lvlText w:val=""/>
      <w:lvlJc w:val="left"/>
    </w:lvl>
    <w:lvl w:ilvl="4" w:tplc="2068B674">
      <w:numFmt w:val="decimal"/>
      <w:lvlText w:val=""/>
      <w:lvlJc w:val="left"/>
    </w:lvl>
    <w:lvl w:ilvl="5" w:tplc="F12A8DDC">
      <w:numFmt w:val="decimal"/>
      <w:lvlText w:val=""/>
      <w:lvlJc w:val="left"/>
    </w:lvl>
    <w:lvl w:ilvl="6" w:tplc="AD0E9EA4">
      <w:numFmt w:val="decimal"/>
      <w:lvlText w:val=""/>
      <w:lvlJc w:val="left"/>
    </w:lvl>
    <w:lvl w:ilvl="7" w:tplc="993E8E3A">
      <w:numFmt w:val="decimal"/>
      <w:lvlText w:val=""/>
      <w:lvlJc w:val="left"/>
    </w:lvl>
    <w:lvl w:ilvl="8" w:tplc="DD26751C">
      <w:numFmt w:val="decimal"/>
      <w:lvlText w:val=""/>
      <w:lvlJc w:val="left"/>
    </w:lvl>
  </w:abstractNum>
  <w:abstractNum w:abstractNumId="134" w15:restartNumberingAfterBreak="0">
    <w:nsid w:val="32794FF7"/>
    <w:multiLevelType w:val="hybridMultilevel"/>
    <w:tmpl w:val="AC3890B0"/>
    <w:lvl w:ilvl="0" w:tplc="2D903EA8">
      <w:start w:val="1"/>
      <w:numFmt w:val="bullet"/>
      <w:lvlText w:val=" "/>
      <w:lvlJc w:val="left"/>
    </w:lvl>
    <w:lvl w:ilvl="1" w:tplc="406CE6D0">
      <w:numFmt w:val="decimal"/>
      <w:lvlText w:val=""/>
      <w:lvlJc w:val="left"/>
    </w:lvl>
    <w:lvl w:ilvl="2" w:tplc="3A042490">
      <w:numFmt w:val="decimal"/>
      <w:lvlText w:val=""/>
      <w:lvlJc w:val="left"/>
    </w:lvl>
    <w:lvl w:ilvl="3" w:tplc="26088E74">
      <w:numFmt w:val="decimal"/>
      <w:lvlText w:val=""/>
      <w:lvlJc w:val="left"/>
    </w:lvl>
    <w:lvl w:ilvl="4" w:tplc="80723A9A">
      <w:numFmt w:val="decimal"/>
      <w:lvlText w:val=""/>
      <w:lvlJc w:val="left"/>
    </w:lvl>
    <w:lvl w:ilvl="5" w:tplc="877AE61E">
      <w:numFmt w:val="decimal"/>
      <w:lvlText w:val=""/>
      <w:lvlJc w:val="left"/>
    </w:lvl>
    <w:lvl w:ilvl="6" w:tplc="D0807A7C">
      <w:numFmt w:val="decimal"/>
      <w:lvlText w:val=""/>
      <w:lvlJc w:val="left"/>
    </w:lvl>
    <w:lvl w:ilvl="7" w:tplc="7CF42548">
      <w:numFmt w:val="decimal"/>
      <w:lvlText w:val=""/>
      <w:lvlJc w:val="left"/>
    </w:lvl>
    <w:lvl w:ilvl="8" w:tplc="97A659A2">
      <w:numFmt w:val="decimal"/>
      <w:lvlText w:val=""/>
      <w:lvlJc w:val="left"/>
    </w:lvl>
  </w:abstractNum>
  <w:abstractNum w:abstractNumId="135" w15:restartNumberingAfterBreak="0">
    <w:nsid w:val="327B517E"/>
    <w:multiLevelType w:val="hybridMultilevel"/>
    <w:tmpl w:val="6A60417E"/>
    <w:lvl w:ilvl="0" w:tplc="CE0406A0">
      <w:start w:val="6"/>
      <w:numFmt w:val="decimal"/>
      <w:lvlText w:val="%1."/>
      <w:lvlJc w:val="left"/>
    </w:lvl>
    <w:lvl w:ilvl="1" w:tplc="921A7852">
      <w:numFmt w:val="decimal"/>
      <w:lvlText w:val=""/>
      <w:lvlJc w:val="left"/>
    </w:lvl>
    <w:lvl w:ilvl="2" w:tplc="82AA4A2A">
      <w:numFmt w:val="decimal"/>
      <w:lvlText w:val=""/>
      <w:lvlJc w:val="left"/>
    </w:lvl>
    <w:lvl w:ilvl="3" w:tplc="A7E47D3A">
      <w:numFmt w:val="decimal"/>
      <w:lvlText w:val=""/>
      <w:lvlJc w:val="left"/>
    </w:lvl>
    <w:lvl w:ilvl="4" w:tplc="9D8452EA">
      <w:numFmt w:val="decimal"/>
      <w:lvlText w:val=""/>
      <w:lvlJc w:val="left"/>
    </w:lvl>
    <w:lvl w:ilvl="5" w:tplc="451A41EE">
      <w:numFmt w:val="decimal"/>
      <w:lvlText w:val=""/>
      <w:lvlJc w:val="left"/>
    </w:lvl>
    <w:lvl w:ilvl="6" w:tplc="A4886036">
      <w:numFmt w:val="decimal"/>
      <w:lvlText w:val=""/>
      <w:lvlJc w:val="left"/>
    </w:lvl>
    <w:lvl w:ilvl="7" w:tplc="6A243EE0">
      <w:numFmt w:val="decimal"/>
      <w:lvlText w:val=""/>
      <w:lvlJc w:val="left"/>
    </w:lvl>
    <w:lvl w:ilvl="8" w:tplc="6AC80F90">
      <w:numFmt w:val="decimal"/>
      <w:lvlText w:val=""/>
      <w:lvlJc w:val="left"/>
    </w:lvl>
  </w:abstractNum>
  <w:abstractNum w:abstractNumId="136" w15:restartNumberingAfterBreak="0">
    <w:nsid w:val="335A1DF1"/>
    <w:multiLevelType w:val="hybridMultilevel"/>
    <w:tmpl w:val="D0B65E7A"/>
    <w:lvl w:ilvl="0" w:tplc="031CAD8A">
      <w:start w:val="5"/>
      <w:numFmt w:val="decimal"/>
      <w:lvlText w:val="%1."/>
      <w:lvlJc w:val="left"/>
    </w:lvl>
    <w:lvl w:ilvl="1" w:tplc="F7704680">
      <w:numFmt w:val="decimal"/>
      <w:lvlText w:val=""/>
      <w:lvlJc w:val="left"/>
    </w:lvl>
    <w:lvl w:ilvl="2" w:tplc="120E1556">
      <w:numFmt w:val="decimal"/>
      <w:lvlText w:val=""/>
      <w:lvlJc w:val="left"/>
    </w:lvl>
    <w:lvl w:ilvl="3" w:tplc="F2043046">
      <w:numFmt w:val="decimal"/>
      <w:lvlText w:val=""/>
      <w:lvlJc w:val="left"/>
    </w:lvl>
    <w:lvl w:ilvl="4" w:tplc="36AE00CE">
      <w:numFmt w:val="decimal"/>
      <w:lvlText w:val=""/>
      <w:lvlJc w:val="left"/>
    </w:lvl>
    <w:lvl w:ilvl="5" w:tplc="1E84120E">
      <w:numFmt w:val="decimal"/>
      <w:lvlText w:val=""/>
      <w:lvlJc w:val="left"/>
    </w:lvl>
    <w:lvl w:ilvl="6" w:tplc="13529310">
      <w:numFmt w:val="decimal"/>
      <w:lvlText w:val=""/>
      <w:lvlJc w:val="left"/>
    </w:lvl>
    <w:lvl w:ilvl="7" w:tplc="3DEE1FBC">
      <w:numFmt w:val="decimal"/>
      <w:lvlText w:val=""/>
      <w:lvlJc w:val="left"/>
    </w:lvl>
    <w:lvl w:ilvl="8" w:tplc="B6CA00D0">
      <w:numFmt w:val="decimal"/>
      <w:lvlText w:val=""/>
      <w:lvlJc w:val="left"/>
    </w:lvl>
  </w:abstractNum>
  <w:abstractNum w:abstractNumId="137" w15:restartNumberingAfterBreak="0">
    <w:nsid w:val="337D0326"/>
    <w:multiLevelType w:val="hybridMultilevel"/>
    <w:tmpl w:val="ED32195A"/>
    <w:lvl w:ilvl="0" w:tplc="CE644DBC">
      <w:start w:val="2"/>
      <w:numFmt w:val="bullet"/>
      <w:lvlText w:val="•"/>
      <w:lvlJc w:val="left"/>
      <w:pPr>
        <w:ind w:left="720" w:hanging="360"/>
      </w:pPr>
      <w:rPr>
        <w:rFonts w:ascii="Times New Roman" w:eastAsia="Times New Roman" w:hAnsi="Times New Roman" w:cs="Times New Roman" w:hint="default"/>
        <w:b/>
        <w:color w:val="000000"/>
        <w:sz w:val="22"/>
      </w:rPr>
    </w:lvl>
    <w:lvl w:ilvl="1" w:tplc="08888AF4">
      <w:numFmt w:val="bullet"/>
      <w:lvlText w:val=""/>
      <w:lvlJc w:val="left"/>
      <w:pPr>
        <w:ind w:left="1440" w:hanging="360"/>
      </w:pPr>
      <w:rPr>
        <w:rFonts w:ascii="Symbol" w:eastAsia="Times New Roman" w:hAnsi="Symbol" w:cs="Symbol" w:hint="default"/>
        <w:color w:val="000000"/>
        <w:sz w:val="22"/>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8" w15:restartNumberingAfterBreak="0">
    <w:nsid w:val="3494B2FB"/>
    <w:multiLevelType w:val="hybridMultilevel"/>
    <w:tmpl w:val="7DD28738"/>
    <w:lvl w:ilvl="0" w:tplc="D3E21EA4">
      <w:start w:val="8"/>
      <w:numFmt w:val="decimal"/>
      <w:lvlText w:val="%1."/>
      <w:lvlJc w:val="left"/>
    </w:lvl>
    <w:lvl w:ilvl="1" w:tplc="EDCC374A">
      <w:numFmt w:val="decimal"/>
      <w:lvlText w:val=""/>
      <w:lvlJc w:val="left"/>
    </w:lvl>
    <w:lvl w:ilvl="2" w:tplc="8468286E">
      <w:numFmt w:val="decimal"/>
      <w:lvlText w:val=""/>
      <w:lvlJc w:val="left"/>
    </w:lvl>
    <w:lvl w:ilvl="3" w:tplc="59C2FDE2">
      <w:numFmt w:val="decimal"/>
      <w:lvlText w:val=""/>
      <w:lvlJc w:val="left"/>
    </w:lvl>
    <w:lvl w:ilvl="4" w:tplc="89D8CB16">
      <w:numFmt w:val="decimal"/>
      <w:lvlText w:val=""/>
      <w:lvlJc w:val="left"/>
    </w:lvl>
    <w:lvl w:ilvl="5" w:tplc="9C86378A">
      <w:numFmt w:val="decimal"/>
      <w:lvlText w:val=""/>
      <w:lvlJc w:val="left"/>
    </w:lvl>
    <w:lvl w:ilvl="6" w:tplc="025CF6B2">
      <w:numFmt w:val="decimal"/>
      <w:lvlText w:val=""/>
      <w:lvlJc w:val="left"/>
    </w:lvl>
    <w:lvl w:ilvl="7" w:tplc="B6A8C784">
      <w:numFmt w:val="decimal"/>
      <w:lvlText w:val=""/>
      <w:lvlJc w:val="left"/>
    </w:lvl>
    <w:lvl w:ilvl="8" w:tplc="906ADCE2">
      <w:numFmt w:val="decimal"/>
      <w:lvlText w:val=""/>
      <w:lvlJc w:val="left"/>
    </w:lvl>
  </w:abstractNum>
  <w:abstractNum w:abstractNumId="139" w15:restartNumberingAfterBreak="0">
    <w:nsid w:val="34FD6B4F"/>
    <w:multiLevelType w:val="hybridMultilevel"/>
    <w:tmpl w:val="BA88ABBA"/>
    <w:lvl w:ilvl="0" w:tplc="762625CC">
      <w:start w:val="1"/>
      <w:numFmt w:val="upperLetter"/>
      <w:lvlText w:val="%1"/>
      <w:lvlJc w:val="left"/>
    </w:lvl>
    <w:lvl w:ilvl="1" w:tplc="60A4D86A">
      <w:numFmt w:val="decimal"/>
      <w:lvlText w:val=""/>
      <w:lvlJc w:val="left"/>
    </w:lvl>
    <w:lvl w:ilvl="2" w:tplc="1D9EBC08">
      <w:numFmt w:val="decimal"/>
      <w:lvlText w:val=""/>
      <w:lvlJc w:val="left"/>
    </w:lvl>
    <w:lvl w:ilvl="3" w:tplc="2500CA7A">
      <w:numFmt w:val="decimal"/>
      <w:lvlText w:val=""/>
      <w:lvlJc w:val="left"/>
    </w:lvl>
    <w:lvl w:ilvl="4" w:tplc="4416748A">
      <w:numFmt w:val="decimal"/>
      <w:lvlText w:val=""/>
      <w:lvlJc w:val="left"/>
    </w:lvl>
    <w:lvl w:ilvl="5" w:tplc="599E574E">
      <w:numFmt w:val="decimal"/>
      <w:lvlText w:val=""/>
      <w:lvlJc w:val="left"/>
    </w:lvl>
    <w:lvl w:ilvl="6" w:tplc="9C6AF6F6">
      <w:numFmt w:val="decimal"/>
      <w:lvlText w:val=""/>
      <w:lvlJc w:val="left"/>
    </w:lvl>
    <w:lvl w:ilvl="7" w:tplc="E4063CB2">
      <w:numFmt w:val="decimal"/>
      <w:lvlText w:val=""/>
      <w:lvlJc w:val="left"/>
    </w:lvl>
    <w:lvl w:ilvl="8" w:tplc="C1F21B14">
      <w:numFmt w:val="decimal"/>
      <w:lvlText w:val=""/>
      <w:lvlJc w:val="left"/>
    </w:lvl>
  </w:abstractNum>
  <w:abstractNum w:abstractNumId="140" w15:restartNumberingAfterBreak="0">
    <w:nsid w:val="367904AF"/>
    <w:multiLevelType w:val="hybridMultilevel"/>
    <w:tmpl w:val="B03EDBC2"/>
    <w:lvl w:ilvl="0" w:tplc="00001953">
      <w:start w:val="2"/>
      <w:numFmt w:val="decimal"/>
      <w:lvlText w:val="%1."/>
      <w:lvlJc w:val="left"/>
      <w:pPr>
        <w:tabs>
          <w:tab w:val="num" w:pos="720"/>
        </w:tabs>
        <w:ind w:left="720" w:hanging="360"/>
      </w:pPr>
    </w:lvl>
    <w:lvl w:ilvl="1" w:tplc="040E0001">
      <w:start w:val="1"/>
      <w:numFmt w:val="bullet"/>
      <w:lvlText w:val=""/>
      <w:lvlJc w:val="left"/>
      <w:pPr>
        <w:tabs>
          <w:tab w:val="num" w:pos="1440"/>
        </w:tabs>
        <w:ind w:left="1440" w:hanging="360"/>
      </w:pPr>
      <w:rPr>
        <w:rFonts w:ascii="Symbol" w:hAnsi="Symbol" w:hint="default"/>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1" w15:restartNumberingAfterBreak="0">
    <w:nsid w:val="368DB37E"/>
    <w:multiLevelType w:val="hybridMultilevel"/>
    <w:tmpl w:val="195AD900"/>
    <w:lvl w:ilvl="0" w:tplc="7242AC64">
      <w:start w:val="4"/>
      <w:numFmt w:val="decimal"/>
      <w:lvlText w:val="%1."/>
      <w:lvlJc w:val="left"/>
    </w:lvl>
    <w:lvl w:ilvl="1" w:tplc="2E168CE2">
      <w:numFmt w:val="decimal"/>
      <w:lvlText w:val=""/>
      <w:lvlJc w:val="left"/>
    </w:lvl>
    <w:lvl w:ilvl="2" w:tplc="420E8620">
      <w:numFmt w:val="decimal"/>
      <w:lvlText w:val=""/>
      <w:lvlJc w:val="left"/>
    </w:lvl>
    <w:lvl w:ilvl="3" w:tplc="F202D506">
      <w:numFmt w:val="decimal"/>
      <w:lvlText w:val=""/>
      <w:lvlJc w:val="left"/>
    </w:lvl>
    <w:lvl w:ilvl="4" w:tplc="F4282C36">
      <w:numFmt w:val="decimal"/>
      <w:lvlText w:val=""/>
      <w:lvlJc w:val="left"/>
    </w:lvl>
    <w:lvl w:ilvl="5" w:tplc="5BFAD902">
      <w:numFmt w:val="decimal"/>
      <w:lvlText w:val=""/>
      <w:lvlJc w:val="left"/>
    </w:lvl>
    <w:lvl w:ilvl="6" w:tplc="BC20A230">
      <w:numFmt w:val="decimal"/>
      <w:lvlText w:val=""/>
      <w:lvlJc w:val="left"/>
    </w:lvl>
    <w:lvl w:ilvl="7" w:tplc="98A0C1DC">
      <w:numFmt w:val="decimal"/>
      <w:lvlText w:val=""/>
      <w:lvlJc w:val="left"/>
    </w:lvl>
    <w:lvl w:ilvl="8" w:tplc="8886F6AC">
      <w:numFmt w:val="decimal"/>
      <w:lvlText w:val=""/>
      <w:lvlJc w:val="left"/>
    </w:lvl>
  </w:abstractNum>
  <w:abstractNum w:abstractNumId="142" w15:restartNumberingAfterBreak="0">
    <w:nsid w:val="36B2ACBC"/>
    <w:multiLevelType w:val="hybridMultilevel"/>
    <w:tmpl w:val="ED36BD4E"/>
    <w:lvl w:ilvl="0" w:tplc="13E81554">
      <w:start w:val="6"/>
      <w:numFmt w:val="decimal"/>
      <w:lvlText w:val="%1."/>
      <w:lvlJc w:val="left"/>
    </w:lvl>
    <w:lvl w:ilvl="1" w:tplc="7E5069E2">
      <w:numFmt w:val="decimal"/>
      <w:lvlText w:val=""/>
      <w:lvlJc w:val="left"/>
    </w:lvl>
    <w:lvl w:ilvl="2" w:tplc="8F84482E">
      <w:numFmt w:val="decimal"/>
      <w:lvlText w:val=""/>
      <w:lvlJc w:val="left"/>
    </w:lvl>
    <w:lvl w:ilvl="3" w:tplc="97B46C90">
      <w:numFmt w:val="decimal"/>
      <w:lvlText w:val=""/>
      <w:lvlJc w:val="left"/>
    </w:lvl>
    <w:lvl w:ilvl="4" w:tplc="3F4EF2C4">
      <w:numFmt w:val="decimal"/>
      <w:lvlText w:val=""/>
      <w:lvlJc w:val="left"/>
    </w:lvl>
    <w:lvl w:ilvl="5" w:tplc="046CFE02">
      <w:numFmt w:val="decimal"/>
      <w:lvlText w:val=""/>
      <w:lvlJc w:val="left"/>
    </w:lvl>
    <w:lvl w:ilvl="6" w:tplc="19AEA8E0">
      <w:numFmt w:val="decimal"/>
      <w:lvlText w:val=""/>
      <w:lvlJc w:val="left"/>
    </w:lvl>
    <w:lvl w:ilvl="7" w:tplc="3522C35C">
      <w:numFmt w:val="decimal"/>
      <w:lvlText w:val=""/>
      <w:lvlJc w:val="left"/>
    </w:lvl>
    <w:lvl w:ilvl="8" w:tplc="569065FA">
      <w:numFmt w:val="decimal"/>
      <w:lvlText w:val=""/>
      <w:lvlJc w:val="left"/>
    </w:lvl>
  </w:abstractNum>
  <w:abstractNum w:abstractNumId="143" w15:restartNumberingAfterBreak="0">
    <w:nsid w:val="378D97C0"/>
    <w:multiLevelType w:val="hybridMultilevel"/>
    <w:tmpl w:val="7C400CBA"/>
    <w:lvl w:ilvl="0" w:tplc="931E82D0">
      <w:start w:val="1"/>
      <w:numFmt w:val="bullet"/>
      <w:lvlText w:val="-"/>
      <w:lvlJc w:val="left"/>
    </w:lvl>
    <w:lvl w:ilvl="1" w:tplc="ED4AB6C8">
      <w:numFmt w:val="decimal"/>
      <w:lvlText w:val=""/>
      <w:lvlJc w:val="left"/>
    </w:lvl>
    <w:lvl w:ilvl="2" w:tplc="A0D82F90">
      <w:numFmt w:val="decimal"/>
      <w:lvlText w:val=""/>
      <w:lvlJc w:val="left"/>
    </w:lvl>
    <w:lvl w:ilvl="3" w:tplc="26F25A62">
      <w:numFmt w:val="decimal"/>
      <w:lvlText w:val=""/>
      <w:lvlJc w:val="left"/>
    </w:lvl>
    <w:lvl w:ilvl="4" w:tplc="DB562708">
      <w:numFmt w:val="decimal"/>
      <w:lvlText w:val=""/>
      <w:lvlJc w:val="left"/>
    </w:lvl>
    <w:lvl w:ilvl="5" w:tplc="ACAA9A9C">
      <w:numFmt w:val="decimal"/>
      <w:lvlText w:val=""/>
      <w:lvlJc w:val="left"/>
    </w:lvl>
    <w:lvl w:ilvl="6" w:tplc="CC4C0322">
      <w:numFmt w:val="decimal"/>
      <w:lvlText w:val=""/>
      <w:lvlJc w:val="left"/>
    </w:lvl>
    <w:lvl w:ilvl="7" w:tplc="A62C6288">
      <w:numFmt w:val="decimal"/>
      <w:lvlText w:val=""/>
      <w:lvlJc w:val="left"/>
    </w:lvl>
    <w:lvl w:ilvl="8" w:tplc="9B98A06C">
      <w:numFmt w:val="decimal"/>
      <w:lvlText w:val=""/>
      <w:lvlJc w:val="left"/>
    </w:lvl>
  </w:abstractNum>
  <w:abstractNum w:abstractNumId="144" w15:restartNumberingAfterBreak="0">
    <w:nsid w:val="379E21B5"/>
    <w:multiLevelType w:val="hybridMultilevel"/>
    <w:tmpl w:val="98347A2C"/>
    <w:lvl w:ilvl="0" w:tplc="85C8F09E">
      <w:start w:val="1"/>
      <w:numFmt w:val="bullet"/>
      <w:lvlText w:val="*"/>
      <w:lvlJc w:val="left"/>
    </w:lvl>
    <w:lvl w:ilvl="1" w:tplc="6382F1F2">
      <w:numFmt w:val="decimal"/>
      <w:lvlText w:val=""/>
      <w:lvlJc w:val="left"/>
    </w:lvl>
    <w:lvl w:ilvl="2" w:tplc="56B86810">
      <w:numFmt w:val="decimal"/>
      <w:lvlText w:val=""/>
      <w:lvlJc w:val="left"/>
    </w:lvl>
    <w:lvl w:ilvl="3" w:tplc="ACC0CE46">
      <w:numFmt w:val="decimal"/>
      <w:lvlText w:val=""/>
      <w:lvlJc w:val="left"/>
    </w:lvl>
    <w:lvl w:ilvl="4" w:tplc="C9ECE206">
      <w:numFmt w:val="decimal"/>
      <w:lvlText w:val=""/>
      <w:lvlJc w:val="left"/>
    </w:lvl>
    <w:lvl w:ilvl="5" w:tplc="B7C6AF8C">
      <w:numFmt w:val="decimal"/>
      <w:lvlText w:val=""/>
      <w:lvlJc w:val="left"/>
    </w:lvl>
    <w:lvl w:ilvl="6" w:tplc="37C879EA">
      <w:numFmt w:val="decimal"/>
      <w:lvlText w:val=""/>
      <w:lvlJc w:val="left"/>
    </w:lvl>
    <w:lvl w:ilvl="7" w:tplc="669E26CA">
      <w:numFmt w:val="decimal"/>
      <w:lvlText w:val=""/>
      <w:lvlJc w:val="left"/>
    </w:lvl>
    <w:lvl w:ilvl="8" w:tplc="7B3C2E0C">
      <w:numFmt w:val="decimal"/>
      <w:lvlText w:val=""/>
      <w:lvlJc w:val="left"/>
    </w:lvl>
  </w:abstractNum>
  <w:abstractNum w:abstractNumId="145" w15:restartNumberingAfterBreak="0">
    <w:nsid w:val="37DF2233"/>
    <w:multiLevelType w:val="hybridMultilevel"/>
    <w:tmpl w:val="3B64F2B8"/>
    <w:lvl w:ilvl="0" w:tplc="48148F5C">
      <w:start w:val="1"/>
      <w:numFmt w:val="bullet"/>
      <w:lvlText w:val=" "/>
      <w:lvlJc w:val="left"/>
    </w:lvl>
    <w:lvl w:ilvl="1" w:tplc="62D4B70E">
      <w:numFmt w:val="decimal"/>
      <w:lvlText w:val=""/>
      <w:lvlJc w:val="left"/>
    </w:lvl>
    <w:lvl w:ilvl="2" w:tplc="2D4878B6">
      <w:numFmt w:val="decimal"/>
      <w:lvlText w:val=""/>
      <w:lvlJc w:val="left"/>
    </w:lvl>
    <w:lvl w:ilvl="3" w:tplc="4E30068C">
      <w:numFmt w:val="decimal"/>
      <w:lvlText w:val=""/>
      <w:lvlJc w:val="left"/>
    </w:lvl>
    <w:lvl w:ilvl="4" w:tplc="6F16277A">
      <w:numFmt w:val="decimal"/>
      <w:lvlText w:val=""/>
      <w:lvlJc w:val="left"/>
    </w:lvl>
    <w:lvl w:ilvl="5" w:tplc="B7408380">
      <w:numFmt w:val="decimal"/>
      <w:lvlText w:val=""/>
      <w:lvlJc w:val="left"/>
    </w:lvl>
    <w:lvl w:ilvl="6" w:tplc="2388A148">
      <w:numFmt w:val="decimal"/>
      <w:lvlText w:val=""/>
      <w:lvlJc w:val="left"/>
    </w:lvl>
    <w:lvl w:ilvl="7" w:tplc="D87224A6">
      <w:numFmt w:val="decimal"/>
      <w:lvlText w:val=""/>
      <w:lvlJc w:val="left"/>
    </w:lvl>
    <w:lvl w:ilvl="8" w:tplc="460E0EF8">
      <w:numFmt w:val="decimal"/>
      <w:lvlText w:val=""/>
      <w:lvlJc w:val="left"/>
    </w:lvl>
  </w:abstractNum>
  <w:abstractNum w:abstractNumId="146" w15:restartNumberingAfterBreak="0">
    <w:nsid w:val="38A5D054"/>
    <w:multiLevelType w:val="hybridMultilevel"/>
    <w:tmpl w:val="F20A0736"/>
    <w:lvl w:ilvl="0" w:tplc="19A4F91E">
      <w:start w:val="1"/>
      <w:numFmt w:val="bullet"/>
      <w:lvlText w:val="-"/>
      <w:lvlJc w:val="left"/>
    </w:lvl>
    <w:lvl w:ilvl="1" w:tplc="9CD65E32">
      <w:numFmt w:val="decimal"/>
      <w:lvlText w:val=""/>
      <w:lvlJc w:val="left"/>
    </w:lvl>
    <w:lvl w:ilvl="2" w:tplc="2C02A900">
      <w:numFmt w:val="decimal"/>
      <w:lvlText w:val=""/>
      <w:lvlJc w:val="left"/>
    </w:lvl>
    <w:lvl w:ilvl="3" w:tplc="E3FCE798">
      <w:numFmt w:val="decimal"/>
      <w:lvlText w:val=""/>
      <w:lvlJc w:val="left"/>
    </w:lvl>
    <w:lvl w:ilvl="4" w:tplc="485AFB54">
      <w:numFmt w:val="decimal"/>
      <w:lvlText w:val=""/>
      <w:lvlJc w:val="left"/>
    </w:lvl>
    <w:lvl w:ilvl="5" w:tplc="7DCA28C4">
      <w:numFmt w:val="decimal"/>
      <w:lvlText w:val=""/>
      <w:lvlJc w:val="left"/>
    </w:lvl>
    <w:lvl w:ilvl="6" w:tplc="3D5C5DA8">
      <w:numFmt w:val="decimal"/>
      <w:lvlText w:val=""/>
      <w:lvlJc w:val="left"/>
    </w:lvl>
    <w:lvl w:ilvl="7" w:tplc="8E9EAB9C">
      <w:numFmt w:val="decimal"/>
      <w:lvlText w:val=""/>
      <w:lvlJc w:val="left"/>
    </w:lvl>
    <w:lvl w:ilvl="8" w:tplc="FFB0CC06">
      <w:numFmt w:val="decimal"/>
      <w:lvlText w:val=""/>
      <w:lvlJc w:val="left"/>
    </w:lvl>
  </w:abstractNum>
  <w:abstractNum w:abstractNumId="147" w15:restartNumberingAfterBreak="0">
    <w:nsid w:val="397C46BC"/>
    <w:multiLevelType w:val="hybridMultilevel"/>
    <w:tmpl w:val="D5629CCE"/>
    <w:lvl w:ilvl="0" w:tplc="384643D6">
      <w:start w:val="1"/>
      <w:numFmt w:val="decimal"/>
      <w:lvlText w:val="%1."/>
      <w:lvlJc w:val="left"/>
    </w:lvl>
    <w:lvl w:ilvl="1" w:tplc="BCF81A6C">
      <w:numFmt w:val="decimal"/>
      <w:lvlText w:val=""/>
      <w:lvlJc w:val="left"/>
    </w:lvl>
    <w:lvl w:ilvl="2" w:tplc="29723FB0">
      <w:numFmt w:val="decimal"/>
      <w:lvlText w:val=""/>
      <w:lvlJc w:val="left"/>
    </w:lvl>
    <w:lvl w:ilvl="3" w:tplc="D40081BA">
      <w:numFmt w:val="decimal"/>
      <w:lvlText w:val=""/>
      <w:lvlJc w:val="left"/>
    </w:lvl>
    <w:lvl w:ilvl="4" w:tplc="4810FEBC">
      <w:numFmt w:val="decimal"/>
      <w:lvlText w:val=""/>
      <w:lvlJc w:val="left"/>
    </w:lvl>
    <w:lvl w:ilvl="5" w:tplc="31666046">
      <w:numFmt w:val="decimal"/>
      <w:lvlText w:val=""/>
      <w:lvlJc w:val="left"/>
    </w:lvl>
    <w:lvl w:ilvl="6" w:tplc="B876FDB8">
      <w:numFmt w:val="decimal"/>
      <w:lvlText w:val=""/>
      <w:lvlJc w:val="left"/>
    </w:lvl>
    <w:lvl w:ilvl="7" w:tplc="252083CE">
      <w:numFmt w:val="decimal"/>
      <w:lvlText w:val=""/>
      <w:lvlJc w:val="left"/>
    </w:lvl>
    <w:lvl w:ilvl="8" w:tplc="E5D48EAC">
      <w:numFmt w:val="decimal"/>
      <w:lvlText w:val=""/>
      <w:lvlJc w:val="left"/>
    </w:lvl>
  </w:abstractNum>
  <w:abstractNum w:abstractNumId="148" w15:restartNumberingAfterBreak="0">
    <w:nsid w:val="39B7AAA2"/>
    <w:multiLevelType w:val="hybridMultilevel"/>
    <w:tmpl w:val="879020A8"/>
    <w:lvl w:ilvl="0" w:tplc="414EB58E">
      <w:start w:val="4"/>
      <w:numFmt w:val="decimal"/>
      <w:lvlText w:val="%1."/>
      <w:lvlJc w:val="left"/>
    </w:lvl>
    <w:lvl w:ilvl="1" w:tplc="961E63CC">
      <w:numFmt w:val="decimal"/>
      <w:lvlText w:val=""/>
      <w:lvlJc w:val="left"/>
    </w:lvl>
    <w:lvl w:ilvl="2" w:tplc="FAC636EC">
      <w:numFmt w:val="decimal"/>
      <w:lvlText w:val=""/>
      <w:lvlJc w:val="left"/>
    </w:lvl>
    <w:lvl w:ilvl="3" w:tplc="493E2CD4">
      <w:numFmt w:val="decimal"/>
      <w:lvlText w:val=""/>
      <w:lvlJc w:val="left"/>
    </w:lvl>
    <w:lvl w:ilvl="4" w:tplc="3C1445CC">
      <w:numFmt w:val="decimal"/>
      <w:lvlText w:val=""/>
      <w:lvlJc w:val="left"/>
    </w:lvl>
    <w:lvl w:ilvl="5" w:tplc="0FE421C8">
      <w:numFmt w:val="decimal"/>
      <w:lvlText w:val=""/>
      <w:lvlJc w:val="left"/>
    </w:lvl>
    <w:lvl w:ilvl="6" w:tplc="482AE726">
      <w:numFmt w:val="decimal"/>
      <w:lvlText w:val=""/>
      <w:lvlJc w:val="left"/>
    </w:lvl>
    <w:lvl w:ilvl="7" w:tplc="1FEADF24">
      <w:numFmt w:val="decimal"/>
      <w:lvlText w:val=""/>
      <w:lvlJc w:val="left"/>
    </w:lvl>
    <w:lvl w:ilvl="8" w:tplc="2960A438">
      <w:numFmt w:val="decimal"/>
      <w:lvlText w:val=""/>
      <w:lvlJc w:val="left"/>
    </w:lvl>
  </w:abstractNum>
  <w:abstractNum w:abstractNumId="149" w15:restartNumberingAfterBreak="0">
    <w:nsid w:val="3A966CD0"/>
    <w:multiLevelType w:val="hybridMultilevel"/>
    <w:tmpl w:val="0778F84A"/>
    <w:lvl w:ilvl="0" w:tplc="E7961AC2">
      <w:start w:val="1"/>
      <w:numFmt w:val="bullet"/>
      <w:lvlText w:val=" "/>
      <w:lvlJc w:val="left"/>
    </w:lvl>
    <w:lvl w:ilvl="1" w:tplc="D0BA1F94">
      <w:numFmt w:val="decimal"/>
      <w:lvlText w:val=""/>
      <w:lvlJc w:val="left"/>
    </w:lvl>
    <w:lvl w:ilvl="2" w:tplc="DA8CE11A">
      <w:numFmt w:val="decimal"/>
      <w:lvlText w:val=""/>
      <w:lvlJc w:val="left"/>
    </w:lvl>
    <w:lvl w:ilvl="3" w:tplc="2A58B982">
      <w:numFmt w:val="decimal"/>
      <w:lvlText w:val=""/>
      <w:lvlJc w:val="left"/>
    </w:lvl>
    <w:lvl w:ilvl="4" w:tplc="5D3AD7CC">
      <w:numFmt w:val="decimal"/>
      <w:lvlText w:val=""/>
      <w:lvlJc w:val="left"/>
    </w:lvl>
    <w:lvl w:ilvl="5" w:tplc="506EF482">
      <w:numFmt w:val="decimal"/>
      <w:lvlText w:val=""/>
      <w:lvlJc w:val="left"/>
    </w:lvl>
    <w:lvl w:ilvl="6" w:tplc="C3AE63B8">
      <w:numFmt w:val="decimal"/>
      <w:lvlText w:val=""/>
      <w:lvlJc w:val="left"/>
    </w:lvl>
    <w:lvl w:ilvl="7" w:tplc="E93A15FE">
      <w:numFmt w:val="decimal"/>
      <w:lvlText w:val=""/>
      <w:lvlJc w:val="left"/>
    </w:lvl>
    <w:lvl w:ilvl="8" w:tplc="326CAD5E">
      <w:numFmt w:val="decimal"/>
      <w:lvlText w:val=""/>
      <w:lvlJc w:val="left"/>
    </w:lvl>
  </w:abstractNum>
  <w:abstractNum w:abstractNumId="150" w15:restartNumberingAfterBreak="0">
    <w:nsid w:val="3B594807"/>
    <w:multiLevelType w:val="hybridMultilevel"/>
    <w:tmpl w:val="6728DD50"/>
    <w:lvl w:ilvl="0" w:tplc="E722C740">
      <w:start w:val="1"/>
      <w:numFmt w:val="lowerLetter"/>
      <w:lvlText w:val="%1"/>
      <w:lvlJc w:val="left"/>
      <w:rPr>
        <w:vertAlign w:val="superscript"/>
      </w:rPr>
    </w:lvl>
    <w:lvl w:ilvl="1" w:tplc="FCEC779A">
      <w:numFmt w:val="decimal"/>
      <w:lvlText w:val=""/>
      <w:lvlJc w:val="left"/>
    </w:lvl>
    <w:lvl w:ilvl="2" w:tplc="E9DA0410">
      <w:numFmt w:val="decimal"/>
      <w:lvlText w:val=""/>
      <w:lvlJc w:val="left"/>
    </w:lvl>
    <w:lvl w:ilvl="3" w:tplc="245416D2">
      <w:numFmt w:val="decimal"/>
      <w:lvlText w:val=""/>
      <w:lvlJc w:val="left"/>
    </w:lvl>
    <w:lvl w:ilvl="4" w:tplc="EEF4A634">
      <w:numFmt w:val="decimal"/>
      <w:lvlText w:val=""/>
      <w:lvlJc w:val="left"/>
    </w:lvl>
    <w:lvl w:ilvl="5" w:tplc="CC709406">
      <w:numFmt w:val="decimal"/>
      <w:lvlText w:val=""/>
      <w:lvlJc w:val="left"/>
    </w:lvl>
    <w:lvl w:ilvl="6" w:tplc="330A804E">
      <w:numFmt w:val="decimal"/>
      <w:lvlText w:val=""/>
      <w:lvlJc w:val="left"/>
    </w:lvl>
    <w:lvl w:ilvl="7" w:tplc="A984A3E8">
      <w:numFmt w:val="decimal"/>
      <w:lvlText w:val=""/>
      <w:lvlJc w:val="left"/>
    </w:lvl>
    <w:lvl w:ilvl="8" w:tplc="6B8C31E4">
      <w:numFmt w:val="decimal"/>
      <w:lvlText w:val=""/>
      <w:lvlJc w:val="left"/>
    </w:lvl>
  </w:abstractNum>
  <w:abstractNum w:abstractNumId="151" w15:restartNumberingAfterBreak="0">
    <w:nsid w:val="3C5991AA"/>
    <w:multiLevelType w:val="hybridMultilevel"/>
    <w:tmpl w:val="8BE41E44"/>
    <w:lvl w:ilvl="0" w:tplc="89F02D70">
      <w:start w:val="1"/>
      <w:numFmt w:val="decimal"/>
      <w:lvlText w:val="%1."/>
      <w:lvlJc w:val="left"/>
    </w:lvl>
    <w:lvl w:ilvl="1" w:tplc="6A801AE0">
      <w:numFmt w:val="decimal"/>
      <w:lvlText w:val=""/>
      <w:lvlJc w:val="left"/>
    </w:lvl>
    <w:lvl w:ilvl="2" w:tplc="50BA821E">
      <w:numFmt w:val="decimal"/>
      <w:lvlText w:val=""/>
      <w:lvlJc w:val="left"/>
    </w:lvl>
    <w:lvl w:ilvl="3" w:tplc="5644F834">
      <w:numFmt w:val="decimal"/>
      <w:lvlText w:val=""/>
      <w:lvlJc w:val="left"/>
    </w:lvl>
    <w:lvl w:ilvl="4" w:tplc="9800BB40">
      <w:numFmt w:val="decimal"/>
      <w:lvlText w:val=""/>
      <w:lvlJc w:val="left"/>
    </w:lvl>
    <w:lvl w:ilvl="5" w:tplc="1BFA8FB6">
      <w:numFmt w:val="decimal"/>
      <w:lvlText w:val=""/>
      <w:lvlJc w:val="left"/>
    </w:lvl>
    <w:lvl w:ilvl="6" w:tplc="9E02517A">
      <w:numFmt w:val="decimal"/>
      <w:lvlText w:val=""/>
      <w:lvlJc w:val="left"/>
    </w:lvl>
    <w:lvl w:ilvl="7" w:tplc="1D1E5410">
      <w:numFmt w:val="decimal"/>
      <w:lvlText w:val=""/>
      <w:lvlJc w:val="left"/>
    </w:lvl>
    <w:lvl w:ilvl="8" w:tplc="7AD8151A">
      <w:numFmt w:val="decimal"/>
      <w:lvlText w:val=""/>
      <w:lvlJc w:val="left"/>
    </w:lvl>
  </w:abstractNum>
  <w:abstractNum w:abstractNumId="152" w15:restartNumberingAfterBreak="0">
    <w:nsid w:val="3CA88ECF"/>
    <w:multiLevelType w:val="hybridMultilevel"/>
    <w:tmpl w:val="49BC310E"/>
    <w:lvl w:ilvl="0" w:tplc="71541DCC">
      <w:start w:val="6"/>
      <w:numFmt w:val="decimal"/>
      <w:lvlText w:val="%1."/>
      <w:lvlJc w:val="left"/>
    </w:lvl>
    <w:lvl w:ilvl="1" w:tplc="5F2EF6FC">
      <w:numFmt w:val="decimal"/>
      <w:lvlText w:val=""/>
      <w:lvlJc w:val="left"/>
    </w:lvl>
    <w:lvl w:ilvl="2" w:tplc="B9A0C6E6">
      <w:numFmt w:val="decimal"/>
      <w:lvlText w:val=""/>
      <w:lvlJc w:val="left"/>
    </w:lvl>
    <w:lvl w:ilvl="3" w:tplc="F86007F2">
      <w:numFmt w:val="decimal"/>
      <w:lvlText w:val=""/>
      <w:lvlJc w:val="left"/>
    </w:lvl>
    <w:lvl w:ilvl="4" w:tplc="11FC3D02">
      <w:numFmt w:val="decimal"/>
      <w:lvlText w:val=""/>
      <w:lvlJc w:val="left"/>
    </w:lvl>
    <w:lvl w:ilvl="5" w:tplc="08784820">
      <w:numFmt w:val="decimal"/>
      <w:lvlText w:val=""/>
      <w:lvlJc w:val="left"/>
    </w:lvl>
    <w:lvl w:ilvl="6" w:tplc="60A61606">
      <w:numFmt w:val="decimal"/>
      <w:lvlText w:val=""/>
      <w:lvlJc w:val="left"/>
    </w:lvl>
    <w:lvl w:ilvl="7" w:tplc="5FAA986C">
      <w:numFmt w:val="decimal"/>
      <w:lvlText w:val=""/>
      <w:lvlJc w:val="left"/>
    </w:lvl>
    <w:lvl w:ilvl="8" w:tplc="FE4675A8">
      <w:numFmt w:val="decimal"/>
      <w:lvlText w:val=""/>
      <w:lvlJc w:val="left"/>
    </w:lvl>
  </w:abstractNum>
  <w:abstractNum w:abstractNumId="153" w15:restartNumberingAfterBreak="0">
    <w:nsid w:val="3CF369A0"/>
    <w:multiLevelType w:val="hybridMultilevel"/>
    <w:tmpl w:val="FEA4876E"/>
    <w:lvl w:ilvl="0" w:tplc="85C8F09E">
      <w:start w:val="1"/>
      <w:numFmt w:val="bullet"/>
      <w:lvlText w:val="*"/>
      <w:lvlJc w:val="left"/>
      <w:pPr>
        <w:ind w:left="360" w:hanging="360"/>
      </w:p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4" w15:restartNumberingAfterBreak="0">
    <w:nsid w:val="3D00B9D9"/>
    <w:multiLevelType w:val="hybridMultilevel"/>
    <w:tmpl w:val="B18CE80C"/>
    <w:lvl w:ilvl="0" w:tplc="D48EC232">
      <w:start w:val="1"/>
      <w:numFmt w:val="bullet"/>
      <w:lvlText w:val=" "/>
      <w:lvlJc w:val="left"/>
    </w:lvl>
    <w:lvl w:ilvl="1" w:tplc="8BC224E4">
      <w:numFmt w:val="decimal"/>
      <w:lvlText w:val=""/>
      <w:lvlJc w:val="left"/>
    </w:lvl>
    <w:lvl w:ilvl="2" w:tplc="93D4926C">
      <w:numFmt w:val="decimal"/>
      <w:lvlText w:val=""/>
      <w:lvlJc w:val="left"/>
    </w:lvl>
    <w:lvl w:ilvl="3" w:tplc="AFC0E210">
      <w:numFmt w:val="decimal"/>
      <w:lvlText w:val=""/>
      <w:lvlJc w:val="left"/>
    </w:lvl>
    <w:lvl w:ilvl="4" w:tplc="1876B580">
      <w:numFmt w:val="decimal"/>
      <w:lvlText w:val=""/>
      <w:lvlJc w:val="left"/>
    </w:lvl>
    <w:lvl w:ilvl="5" w:tplc="974262D6">
      <w:numFmt w:val="decimal"/>
      <w:lvlText w:val=""/>
      <w:lvlJc w:val="left"/>
    </w:lvl>
    <w:lvl w:ilvl="6" w:tplc="2DB4E090">
      <w:numFmt w:val="decimal"/>
      <w:lvlText w:val=""/>
      <w:lvlJc w:val="left"/>
    </w:lvl>
    <w:lvl w:ilvl="7" w:tplc="A48C2292">
      <w:numFmt w:val="decimal"/>
      <w:lvlText w:val=""/>
      <w:lvlJc w:val="left"/>
    </w:lvl>
    <w:lvl w:ilvl="8" w:tplc="7C7AFC1A">
      <w:numFmt w:val="decimal"/>
      <w:lvlText w:val=""/>
      <w:lvlJc w:val="left"/>
    </w:lvl>
  </w:abstractNum>
  <w:abstractNum w:abstractNumId="155" w15:restartNumberingAfterBreak="0">
    <w:nsid w:val="3DA97044"/>
    <w:multiLevelType w:val="hybridMultilevel"/>
    <w:tmpl w:val="AD6C9512"/>
    <w:lvl w:ilvl="0" w:tplc="6C86DE1C">
      <w:start w:val="1"/>
      <w:numFmt w:val="decimal"/>
      <w:lvlText w:val="%1."/>
      <w:lvlJc w:val="left"/>
    </w:lvl>
    <w:lvl w:ilvl="1" w:tplc="62B4191E">
      <w:numFmt w:val="decimal"/>
      <w:lvlText w:val=""/>
      <w:lvlJc w:val="left"/>
    </w:lvl>
    <w:lvl w:ilvl="2" w:tplc="D2E2B030">
      <w:numFmt w:val="decimal"/>
      <w:lvlText w:val=""/>
      <w:lvlJc w:val="left"/>
    </w:lvl>
    <w:lvl w:ilvl="3" w:tplc="9F68E732">
      <w:numFmt w:val="decimal"/>
      <w:lvlText w:val=""/>
      <w:lvlJc w:val="left"/>
    </w:lvl>
    <w:lvl w:ilvl="4" w:tplc="17BAAA5A">
      <w:numFmt w:val="decimal"/>
      <w:lvlText w:val=""/>
      <w:lvlJc w:val="left"/>
    </w:lvl>
    <w:lvl w:ilvl="5" w:tplc="D9FC3362">
      <w:numFmt w:val="decimal"/>
      <w:lvlText w:val=""/>
      <w:lvlJc w:val="left"/>
    </w:lvl>
    <w:lvl w:ilvl="6" w:tplc="B03EB29C">
      <w:numFmt w:val="decimal"/>
      <w:lvlText w:val=""/>
      <w:lvlJc w:val="left"/>
    </w:lvl>
    <w:lvl w:ilvl="7" w:tplc="98EAB888">
      <w:numFmt w:val="decimal"/>
      <w:lvlText w:val=""/>
      <w:lvlJc w:val="left"/>
    </w:lvl>
    <w:lvl w:ilvl="8" w:tplc="ED7664AE">
      <w:numFmt w:val="decimal"/>
      <w:lvlText w:val=""/>
      <w:lvlJc w:val="left"/>
    </w:lvl>
  </w:abstractNum>
  <w:abstractNum w:abstractNumId="156" w15:restartNumberingAfterBreak="0">
    <w:nsid w:val="3DB012B3"/>
    <w:multiLevelType w:val="hybridMultilevel"/>
    <w:tmpl w:val="EEEA4286"/>
    <w:lvl w:ilvl="0" w:tplc="9D38074E">
      <w:start w:val="1"/>
      <w:numFmt w:val="lowerLetter"/>
      <w:lvlText w:val="%1"/>
      <w:lvlJc w:val="left"/>
    </w:lvl>
    <w:lvl w:ilvl="1" w:tplc="7910FBDC">
      <w:numFmt w:val="decimal"/>
      <w:lvlText w:val=""/>
      <w:lvlJc w:val="left"/>
    </w:lvl>
    <w:lvl w:ilvl="2" w:tplc="C750ED28">
      <w:numFmt w:val="decimal"/>
      <w:lvlText w:val=""/>
      <w:lvlJc w:val="left"/>
    </w:lvl>
    <w:lvl w:ilvl="3" w:tplc="BCDE0B6A">
      <w:numFmt w:val="decimal"/>
      <w:lvlText w:val=""/>
      <w:lvlJc w:val="left"/>
    </w:lvl>
    <w:lvl w:ilvl="4" w:tplc="62361A7C">
      <w:numFmt w:val="decimal"/>
      <w:lvlText w:val=""/>
      <w:lvlJc w:val="left"/>
    </w:lvl>
    <w:lvl w:ilvl="5" w:tplc="8EF61CEA">
      <w:numFmt w:val="decimal"/>
      <w:lvlText w:val=""/>
      <w:lvlJc w:val="left"/>
    </w:lvl>
    <w:lvl w:ilvl="6" w:tplc="87A8C3E2">
      <w:numFmt w:val="decimal"/>
      <w:lvlText w:val=""/>
      <w:lvlJc w:val="left"/>
    </w:lvl>
    <w:lvl w:ilvl="7" w:tplc="3368634C">
      <w:numFmt w:val="decimal"/>
      <w:lvlText w:val=""/>
      <w:lvlJc w:val="left"/>
    </w:lvl>
    <w:lvl w:ilvl="8" w:tplc="DB1C4D6C">
      <w:numFmt w:val="decimal"/>
      <w:lvlText w:val=""/>
      <w:lvlJc w:val="left"/>
    </w:lvl>
  </w:abstractNum>
  <w:abstractNum w:abstractNumId="157" w15:restartNumberingAfterBreak="0">
    <w:nsid w:val="3DD15094"/>
    <w:multiLevelType w:val="hybridMultilevel"/>
    <w:tmpl w:val="C5502538"/>
    <w:lvl w:ilvl="0" w:tplc="55E0DA3C">
      <w:start w:val="1"/>
      <w:numFmt w:val="bullet"/>
      <w:lvlText w:val="≥"/>
      <w:lvlJc w:val="left"/>
    </w:lvl>
    <w:lvl w:ilvl="1" w:tplc="CA7A2C12">
      <w:numFmt w:val="decimal"/>
      <w:lvlText w:val=""/>
      <w:lvlJc w:val="left"/>
    </w:lvl>
    <w:lvl w:ilvl="2" w:tplc="10980B92">
      <w:numFmt w:val="decimal"/>
      <w:lvlText w:val=""/>
      <w:lvlJc w:val="left"/>
    </w:lvl>
    <w:lvl w:ilvl="3" w:tplc="33E431CC">
      <w:numFmt w:val="decimal"/>
      <w:lvlText w:val=""/>
      <w:lvlJc w:val="left"/>
    </w:lvl>
    <w:lvl w:ilvl="4" w:tplc="CDAAA050">
      <w:numFmt w:val="decimal"/>
      <w:lvlText w:val=""/>
      <w:lvlJc w:val="left"/>
    </w:lvl>
    <w:lvl w:ilvl="5" w:tplc="A088E9AC">
      <w:numFmt w:val="decimal"/>
      <w:lvlText w:val=""/>
      <w:lvlJc w:val="left"/>
    </w:lvl>
    <w:lvl w:ilvl="6" w:tplc="2DCC61DC">
      <w:numFmt w:val="decimal"/>
      <w:lvlText w:val=""/>
      <w:lvlJc w:val="left"/>
    </w:lvl>
    <w:lvl w:ilvl="7" w:tplc="D24AF164">
      <w:numFmt w:val="decimal"/>
      <w:lvlText w:val=""/>
      <w:lvlJc w:val="left"/>
    </w:lvl>
    <w:lvl w:ilvl="8" w:tplc="3258E162">
      <w:numFmt w:val="decimal"/>
      <w:lvlText w:val=""/>
      <w:lvlJc w:val="left"/>
    </w:lvl>
  </w:abstractNum>
  <w:abstractNum w:abstractNumId="158" w15:restartNumberingAfterBreak="0">
    <w:nsid w:val="3E6400E6"/>
    <w:multiLevelType w:val="hybridMultilevel"/>
    <w:tmpl w:val="C4825DAC"/>
    <w:lvl w:ilvl="0" w:tplc="0A12D4B2">
      <w:start w:val="12"/>
      <w:numFmt w:val="decimal"/>
      <w:lvlText w:val="%1."/>
      <w:lvlJc w:val="left"/>
    </w:lvl>
    <w:lvl w:ilvl="1" w:tplc="3CD65470">
      <w:numFmt w:val="decimal"/>
      <w:lvlText w:val=""/>
      <w:lvlJc w:val="left"/>
    </w:lvl>
    <w:lvl w:ilvl="2" w:tplc="C57A6C1E">
      <w:numFmt w:val="decimal"/>
      <w:lvlText w:val=""/>
      <w:lvlJc w:val="left"/>
    </w:lvl>
    <w:lvl w:ilvl="3" w:tplc="4BA45680">
      <w:numFmt w:val="decimal"/>
      <w:lvlText w:val=""/>
      <w:lvlJc w:val="left"/>
    </w:lvl>
    <w:lvl w:ilvl="4" w:tplc="BE904124">
      <w:numFmt w:val="decimal"/>
      <w:lvlText w:val=""/>
      <w:lvlJc w:val="left"/>
    </w:lvl>
    <w:lvl w:ilvl="5" w:tplc="841A7A72">
      <w:numFmt w:val="decimal"/>
      <w:lvlText w:val=""/>
      <w:lvlJc w:val="left"/>
    </w:lvl>
    <w:lvl w:ilvl="6" w:tplc="E91EDFBA">
      <w:numFmt w:val="decimal"/>
      <w:lvlText w:val=""/>
      <w:lvlJc w:val="left"/>
    </w:lvl>
    <w:lvl w:ilvl="7" w:tplc="5D8E72E8">
      <w:numFmt w:val="decimal"/>
      <w:lvlText w:val=""/>
      <w:lvlJc w:val="left"/>
    </w:lvl>
    <w:lvl w:ilvl="8" w:tplc="B27479B6">
      <w:numFmt w:val="decimal"/>
      <w:lvlText w:val=""/>
      <w:lvlJc w:val="left"/>
    </w:lvl>
  </w:abstractNum>
  <w:abstractNum w:abstractNumId="159" w15:restartNumberingAfterBreak="0">
    <w:nsid w:val="3F06ECB2"/>
    <w:multiLevelType w:val="hybridMultilevel"/>
    <w:tmpl w:val="6652F4F0"/>
    <w:lvl w:ilvl="0" w:tplc="3B7C716E">
      <w:start w:val="44"/>
      <w:numFmt w:val="upperLetter"/>
      <w:lvlText w:val="%1"/>
      <w:lvlJc w:val="left"/>
    </w:lvl>
    <w:lvl w:ilvl="1" w:tplc="2BA01E12">
      <w:numFmt w:val="decimal"/>
      <w:lvlText w:val=""/>
      <w:lvlJc w:val="left"/>
    </w:lvl>
    <w:lvl w:ilvl="2" w:tplc="1DE8C36E">
      <w:numFmt w:val="decimal"/>
      <w:lvlText w:val=""/>
      <w:lvlJc w:val="left"/>
    </w:lvl>
    <w:lvl w:ilvl="3" w:tplc="03B22B36">
      <w:numFmt w:val="decimal"/>
      <w:lvlText w:val=""/>
      <w:lvlJc w:val="left"/>
    </w:lvl>
    <w:lvl w:ilvl="4" w:tplc="20A845E2">
      <w:numFmt w:val="decimal"/>
      <w:lvlText w:val=""/>
      <w:lvlJc w:val="left"/>
    </w:lvl>
    <w:lvl w:ilvl="5" w:tplc="57C6D8CC">
      <w:numFmt w:val="decimal"/>
      <w:lvlText w:val=""/>
      <w:lvlJc w:val="left"/>
    </w:lvl>
    <w:lvl w:ilvl="6" w:tplc="879E2EFA">
      <w:numFmt w:val="decimal"/>
      <w:lvlText w:val=""/>
      <w:lvlJc w:val="left"/>
    </w:lvl>
    <w:lvl w:ilvl="7" w:tplc="B4A81E30">
      <w:numFmt w:val="decimal"/>
      <w:lvlText w:val=""/>
      <w:lvlJc w:val="left"/>
    </w:lvl>
    <w:lvl w:ilvl="8" w:tplc="93D84978">
      <w:numFmt w:val="decimal"/>
      <w:lvlText w:val=""/>
      <w:lvlJc w:val="left"/>
    </w:lvl>
  </w:abstractNum>
  <w:abstractNum w:abstractNumId="160" w15:restartNumberingAfterBreak="0">
    <w:nsid w:val="3F07ACC3"/>
    <w:multiLevelType w:val="hybridMultilevel"/>
    <w:tmpl w:val="742C2B54"/>
    <w:lvl w:ilvl="0" w:tplc="8EBA1B50">
      <w:start w:val="1"/>
      <w:numFmt w:val="lowerLetter"/>
      <w:lvlText w:val="%1"/>
      <w:lvlJc w:val="left"/>
      <w:rPr>
        <w:vertAlign w:val="superscript"/>
      </w:rPr>
    </w:lvl>
    <w:lvl w:ilvl="1" w:tplc="4FAA8188">
      <w:numFmt w:val="decimal"/>
      <w:lvlText w:val=""/>
      <w:lvlJc w:val="left"/>
    </w:lvl>
    <w:lvl w:ilvl="2" w:tplc="D5A48472">
      <w:numFmt w:val="decimal"/>
      <w:lvlText w:val=""/>
      <w:lvlJc w:val="left"/>
    </w:lvl>
    <w:lvl w:ilvl="3" w:tplc="85FEEB1A">
      <w:numFmt w:val="decimal"/>
      <w:lvlText w:val=""/>
      <w:lvlJc w:val="left"/>
    </w:lvl>
    <w:lvl w:ilvl="4" w:tplc="02C24A10">
      <w:numFmt w:val="decimal"/>
      <w:lvlText w:val=""/>
      <w:lvlJc w:val="left"/>
    </w:lvl>
    <w:lvl w:ilvl="5" w:tplc="DFDA350A">
      <w:numFmt w:val="decimal"/>
      <w:lvlText w:val=""/>
      <w:lvlJc w:val="left"/>
    </w:lvl>
    <w:lvl w:ilvl="6" w:tplc="3AF2B0D0">
      <w:numFmt w:val="decimal"/>
      <w:lvlText w:val=""/>
      <w:lvlJc w:val="left"/>
    </w:lvl>
    <w:lvl w:ilvl="7" w:tplc="BAC00F30">
      <w:numFmt w:val="decimal"/>
      <w:lvlText w:val=""/>
      <w:lvlJc w:val="left"/>
    </w:lvl>
    <w:lvl w:ilvl="8" w:tplc="F4A4F79E">
      <w:numFmt w:val="decimal"/>
      <w:lvlText w:val=""/>
      <w:lvlJc w:val="left"/>
    </w:lvl>
  </w:abstractNum>
  <w:abstractNum w:abstractNumId="161" w15:restartNumberingAfterBreak="0">
    <w:nsid w:val="3F7C2FF4"/>
    <w:multiLevelType w:val="hybridMultilevel"/>
    <w:tmpl w:val="AA10B8EE"/>
    <w:lvl w:ilvl="0" w:tplc="2446084E">
      <w:start w:val="1"/>
      <w:numFmt w:val="bullet"/>
      <w:lvlText w:val="*"/>
      <w:lvlJc w:val="left"/>
    </w:lvl>
    <w:lvl w:ilvl="1" w:tplc="19DED7C4">
      <w:numFmt w:val="decimal"/>
      <w:lvlText w:val=""/>
      <w:lvlJc w:val="left"/>
    </w:lvl>
    <w:lvl w:ilvl="2" w:tplc="1A663DFA">
      <w:numFmt w:val="decimal"/>
      <w:lvlText w:val=""/>
      <w:lvlJc w:val="left"/>
    </w:lvl>
    <w:lvl w:ilvl="3" w:tplc="FBCEBABC">
      <w:numFmt w:val="decimal"/>
      <w:lvlText w:val=""/>
      <w:lvlJc w:val="left"/>
    </w:lvl>
    <w:lvl w:ilvl="4" w:tplc="77E408E4">
      <w:numFmt w:val="decimal"/>
      <w:lvlText w:val=""/>
      <w:lvlJc w:val="left"/>
    </w:lvl>
    <w:lvl w:ilvl="5" w:tplc="7D70CF58">
      <w:numFmt w:val="decimal"/>
      <w:lvlText w:val=""/>
      <w:lvlJc w:val="left"/>
    </w:lvl>
    <w:lvl w:ilvl="6" w:tplc="021406FA">
      <w:numFmt w:val="decimal"/>
      <w:lvlText w:val=""/>
      <w:lvlJc w:val="left"/>
    </w:lvl>
    <w:lvl w:ilvl="7" w:tplc="EC76F810">
      <w:numFmt w:val="decimal"/>
      <w:lvlText w:val=""/>
      <w:lvlJc w:val="left"/>
    </w:lvl>
    <w:lvl w:ilvl="8" w:tplc="40FEC3D8">
      <w:numFmt w:val="decimal"/>
      <w:lvlText w:val=""/>
      <w:lvlJc w:val="left"/>
    </w:lvl>
  </w:abstractNum>
  <w:abstractNum w:abstractNumId="162" w15:restartNumberingAfterBreak="0">
    <w:nsid w:val="3F7F5DD9"/>
    <w:multiLevelType w:val="hybridMultilevel"/>
    <w:tmpl w:val="1ABCFFFA"/>
    <w:lvl w:ilvl="0" w:tplc="C62CFD5A">
      <w:start w:val="1"/>
      <w:numFmt w:val="bullet"/>
      <w:lvlText w:val=" "/>
      <w:lvlJc w:val="left"/>
    </w:lvl>
    <w:lvl w:ilvl="1" w:tplc="16EE21EC">
      <w:numFmt w:val="decimal"/>
      <w:lvlText w:val=""/>
      <w:lvlJc w:val="left"/>
    </w:lvl>
    <w:lvl w:ilvl="2" w:tplc="A8B0EE2C">
      <w:numFmt w:val="decimal"/>
      <w:lvlText w:val=""/>
      <w:lvlJc w:val="left"/>
    </w:lvl>
    <w:lvl w:ilvl="3" w:tplc="B4F800C4">
      <w:numFmt w:val="decimal"/>
      <w:lvlText w:val=""/>
      <w:lvlJc w:val="left"/>
    </w:lvl>
    <w:lvl w:ilvl="4" w:tplc="A618970E">
      <w:numFmt w:val="decimal"/>
      <w:lvlText w:val=""/>
      <w:lvlJc w:val="left"/>
    </w:lvl>
    <w:lvl w:ilvl="5" w:tplc="8FC4E538">
      <w:numFmt w:val="decimal"/>
      <w:lvlText w:val=""/>
      <w:lvlJc w:val="left"/>
    </w:lvl>
    <w:lvl w:ilvl="6" w:tplc="3F061280">
      <w:numFmt w:val="decimal"/>
      <w:lvlText w:val=""/>
      <w:lvlJc w:val="left"/>
    </w:lvl>
    <w:lvl w:ilvl="7" w:tplc="360CF18E">
      <w:numFmt w:val="decimal"/>
      <w:lvlText w:val=""/>
      <w:lvlJc w:val="left"/>
    </w:lvl>
    <w:lvl w:ilvl="8" w:tplc="65B405A0">
      <w:numFmt w:val="decimal"/>
      <w:lvlText w:val=""/>
      <w:lvlJc w:val="left"/>
    </w:lvl>
  </w:abstractNum>
  <w:abstractNum w:abstractNumId="163" w15:restartNumberingAfterBreak="0">
    <w:nsid w:val="3FC32E20"/>
    <w:multiLevelType w:val="hybridMultilevel"/>
    <w:tmpl w:val="B3F2CC5A"/>
    <w:lvl w:ilvl="0" w:tplc="35A2F986">
      <w:start w:val="5"/>
      <w:numFmt w:val="decimal"/>
      <w:lvlText w:val="%1."/>
      <w:lvlJc w:val="left"/>
    </w:lvl>
    <w:lvl w:ilvl="1" w:tplc="4F584C64">
      <w:numFmt w:val="decimal"/>
      <w:lvlText w:val=""/>
      <w:lvlJc w:val="left"/>
    </w:lvl>
    <w:lvl w:ilvl="2" w:tplc="2A06AA28">
      <w:numFmt w:val="decimal"/>
      <w:lvlText w:val=""/>
      <w:lvlJc w:val="left"/>
    </w:lvl>
    <w:lvl w:ilvl="3" w:tplc="66C86114">
      <w:numFmt w:val="decimal"/>
      <w:lvlText w:val=""/>
      <w:lvlJc w:val="left"/>
    </w:lvl>
    <w:lvl w:ilvl="4" w:tplc="BFB07D14">
      <w:numFmt w:val="decimal"/>
      <w:lvlText w:val=""/>
      <w:lvlJc w:val="left"/>
    </w:lvl>
    <w:lvl w:ilvl="5" w:tplc="F2205990">
      <w:numFmt w:val="decimal"/>
      <w:lvlText w:val=""/>
      <w:lvlJc w:val="left"/>
    </w:lvl>
    <w:lvl w:ilvl="6" w:tplc="756C5284">
      <w:numFmt w:val="decimal"/>
      <w:lvlText w:val=""/>
      <w:lvlJc w:val="left"/>
    </w:lvl>
    <w:lvl w:ilvl="7" w:tplc="FD82F4B6">
      <w:numFmt w:val="decimal"/>
      <w:lvlText w:val=""/>
      <w:lvlJc w:val="left"/>
    </w:lvl>
    <w:lvl w:ilvl="8" w:tplc="72467214">
      <w:numFmt w:val="decimal"/>
      <w:lvlText w:val=""/>
      <w:lvlJc w:val="left"/>
    </w:lvl>
  </w:abstractNum>
  <w:abstractNum w:abstractNumId="164" w15:restartNumberingAfterBreak="0">
    <w:nsid w:val="3FCFAED9"/>
    <w:multiLevelType w:val="hybridMultilevel"/>
    <w:tmpl w:val="ACAE14EC"/>
    <w:lvl w:ilvl="0" w:tplc="015C7280">
      <w:start w:val="9"/>
      <w:numFmt w:val="decimal"/>
      <w:lvlText w:val="%1."/>
      <w:lvlJc w:val="left"/>
    </w:lvl>
    <w:lvl w:ilvl="1" w:tplc="FAF6634A">
      <w:numFmt w:val="decimal"/>
      <w:lvlText w:val=""/>
      <w:lvlJc w:val="left"/>
    </w:lvl>
    <w:lvl w:ilvl="2" w:tplc="6A6871DA">
      <w:numFmt w:val="decimal"/>
      <w:lvlText w:val=""/>
      <w:lvlJc w:val="left"/>
    </w:lvl>
    <w:lvl w:ilvl="3" w:tplc="5688F500">
      <w:numFmt w:val="decimal"/>
      <w:lvlText w:val=""/>
      <w:lvlJc w:val="left"/>
    </w:lvl>
    <w:lvl w:ilvl="4" w:tplc="A468AFCE">
      <w:numFmt w:val="decimal"/>
      <w:lvlText w:val=""/>
      <w:lvlJc w:val="left"/>
    </w:lvl>
    <w:lvl w:ilvl="5" w:tplc="EE1C32D4">
      <w:numFmt w:val="decimal"/>
      <w:lvlText w:val=""/>
      <w:lvlJc w:val="left"/>
    </w:lvl>
    <w:lvl w:ilvl="6" w:tplc="4750561E">
      <w:numFmt w:val="decimal"/>
      <w:lvlText w:val=""/>
      <w:lvlJc w:val="left"/>
    </w:lvl>
    <w:lvl w:ilvl="7" w:tplc="4F447290">
      <w:numFmt w:val="decimal"/>
      <w:lvlText w:val=""/>
      <w:lvlJc w:val="left"/>
    </w:lvl>
    <w:lvl w:ilvl="8" w:tplc="6352CF18">
      <w:numFmt w:val="decimal"/>
      <w:lvlText w:val=""/>
      <w:lvlJc w:val="left"/>
    </w:lvl>
  </w:abstractNum>
  <w:abstractNum w:abstractNumId="165" w15:restartNumberingAfterBreak="0">
    <w:nsid w:val="424479DA"/>
    <w:multiLevelType w:val="hybridMultilevel"/>
    <w:tmpl w:val="7D800842"/>
    <w:lvl w:ilvl="0" w:tplc="28DC0040">
      <w:start w:val="18"/>
      <w:numFmt w:val="decimal"/>
      <w:lvlText w:val="%1."/>
      <w:lvlJc w:val="left"/>
    </w:lvl>
    <w:lvl w:ilvl="1" w:tplc="0526D998">
      <w:numFmt w:val="decimal"/>
      <w:lvlText w:val=""/>
      <w:lvlJc w:val="left"/>
    </w:lvl>
    <w:lvl w:ilvl="2" w:tplc="2DEAC9D8">
      <w:numFmt w:val="decimal"/>
      <w:lvlText w:val=""/>
      <w:lvlJc w:val="left"/>
    </w:lvl>
    <w:lvl w:ilvl="3" w:tplc="2230D672">
      <w:numFmt w:val="decimal"/>
      <w:lvlText w:val=""/>
      <w:lvlJc w:val="left"/>
    </w:lvl>
    <w:lvl w:ilvl="4" w:tplc="6C465938">
      <w:numFmt w:val="decimal"/>
      <w:lvlText w:val=""/>
      <w:lvlJc w:val="left"/>
    </w:lvl>
    <w:lvl w:ilvl="5" w:tplc="5372A070">
      <w:numFmt w:val="decimal"/>
      <w:lvlText w:val=""/>
      <w:lvlJc w:val="left"/>
    </w:lvl>
    <w:lvl w:ilvl="6" w:tplc="68CCCD62">
      <w:numFmt w:val="decimal"/>
      <w:lvlText w:val=""/>
      <w:lvlJc w:val="left"/>
    </w:lvl>
    <w:lvl w:ilvl="7" w:tplc="E5929796">
      <w:numFmt w:val="decimal"/>
      <w:lvlText w:val=""/>
      <w:lvlJc w:val="left"/>
    </w:lvl>
    <w:lvl w:ilvl="8" w:tplc="B91E6BDA">
      <w:numFmt w:val="decimal"/>
      <w:lvlText w:val=""/>
      <w:lvlJc w:val="left"/>
    </w:lvl>
  </w:abstractNum>
  <w:abstractNum w:abstractNumId="166" w15:restartNumberingAfterBreak="0">
    <w:nsid w:val="434BAE75"/>
    <w:multiLevelType w:val="hybridMultilevel"/>
    <w:tmpl w:val="A7FC03A2"/>
    <w:lvl w:ilvl="0" w:tplc="97B69A82">
      <w:start w:val="1"/>
      <w:numFmt w:val="bullet"/>
      <w:lvlText w:val=" "/>
      <w:lvlJc w:val="left"/>
    </w:lvl>
    <w:lvl w:ilvl="1" w:tplc="17F6AE3E">
      <w:numFmt w:val="decimal"/>
      <w:lvlText w:val=""/>
      <w:lvlJc w:val="left"/>
    </w:lvl>
    <w:lvl w:ilvl="2" w:tplc="F38AA380">
      <w:numFmt w:val="decimal"/>
      <w:lvlText w:val=""/>
      <w:lvlJc w:val="left"/>
    </w:lvl>
    <w:lvl w:ilvl="3" w:tplc="EDD46D94">
      <w:numFmt w:val="decimal"/>
      <w:lvlText w:val=""/>
      <w:lvlJc w:val="left"/>
    </w:lvl>
    <w:lvl w:ilvl="4" w:tplc="498E33DA">
      <w:numFmt w:val="decimal"/>
      <w:lvlText w:val=""/>
      <w:lvlJc w:val="left"/>
    </w:lvl>
    <w:lvl w:ilvl="5" w:tplc="BF804164">
      <w:numFmt w:val="decimal"/>
      <w:lvlText w:val=""/>
      <w:lvlJc w:val="left"/>
    </w:lvl>
    <w:lvl w:ilvl="6" w:tplc="2102AEC0">
      <w:numFmt w:val="decimal"/>
      <w:lvlText w:val=""/>
      <w:lvlJc w:val="left"/>
    </w:lvl>
    <w:lvl w:ilvl="7" w:tplc="8EFE413C">
      <w:numFmt w:val="decimal"/>
      <w:lvlText w:val=""/>
      <w:lvlJc w:val="left"/>
    </w:lvl>
    <w:lvl w:ilvl="8" w:tplc="E634FB14">
      <w:numFmt w:val="decimal"/>
      <w:lvlText w:val=""/>
      <w:lvlJc w:val="left"/>
    </w:lvl>
  </w:abstractNum>
  <w:abstractNum w:abstractNumId="167" w15:restartNumberingAfterBreak="0">
    <w:nsid w:val="43D3BCD4"/>
    <w:multiLevelType w:val="hybridMultilevel"/>
    <w:tmpl w:val="04A6AED8"/>
    <w:lvl w:ilvl="0" w:tplc="050A90BC">
      <w:start w:val="1"/>
      <w:numFmt w:val="bullet"/>
      <w:lvlText w:val=" "/>
      <w:lvlJc w:val="left"/>
    </w:lvl>
    <w:lvl w:ilvl="1" w:tplc="08FE5F8A">
      <w:numFmt w:val="decimal"/>
      <w:lvlText w:val=""/>
      <w:lvlJc w:val="left"/>
    </w:lvl>
    <w:lvl w:ilvl="2" w:tplc="90A2FC5C">
      <w:numFmt w:val="decimal"/>
      <w:lvlText w:val=""/>
      <w:lvlJc w:val="left"/>
    </w:lvl>
    <w:lvl w:ilvl="3" w:tplc="EB328608">
      <w:numFmt w:val="decimal"/>
      <w:lvlText w:val=""/>
      <w:lvlJc w:val="left"/>
    </w:lvl>
    <w:lvl w:ilvl="4" w:tplc="632AC746">
      <w:numFmt w:val="decimal"/>
      <w:lvlText w:val=""/>
      <w:lvlJc w:val="left"/>
    </w:lvl>
    <w:lvl w:ilvl="5" w:tplc="64F6C010">
      <w:numFmt w:val="decimal"/>
      <w:lvlText w:val=""/>
      <w:lvlJc w:val="left"/>
    </w:lvl>
    <w:lvl w:ilvl="6" w:tplc="C31CA918">
      <w:numFmt w:val="decimal"/>
      <w:lvlText w:val=""/>
      <w:lvlJc w:val="left"/>
    </w:lvl>
    <w:lvl w:ilvl="7" w:tplc="AB82185A">
      <w:numFmt w:val="decimal"/>
      <w:lvlText w:val=""/>
      <w:lvlJc w:val="left"/>
    </w:lvl>
    <w:lvl w:ilvl="8" w:tplc="90B873C4">
      <w:numFmt w:val="decimal"/>
      <w:lvlText w:val=""/>
      <w:lvlJc w:val="left"/>
    </w:lvl>
  </w:abstractNum>
  <w:abstractNum w:abstractNumId="168" w15:restartNumberingAfterBreak="0">
    <w:nsid w:val="4427069A"/>
    <w:multiLevelType w:val="hybridMultilevel"/>
    <w:tmpl w:val="E2A8E72A"/>
    <w:lvl w:ilvl="0" w:tplc="DAC42124">
      <w:start w:val="1"/>
      <w:numFmt w:val="lowerLetter"/>
      <w:lvlText w:val="%1"/>
      <w:lvlJc w:val="left"/>
    </w:lvl>
    <w:lvl w:ilvl="1" w:tplc="C464E4E2">
      <w:numFmt w:val="decimal"/>
      <w:lvlText w:val=""/>
      <w:lvlJc w:val="left"/>
    </w:lvl>
    <w:lvl w:ilvl="2" w:tplc="3D684A1C">
      <w:numFmt w:val="decimal"/>
      <w:lvlText w:val=""/>
      <w:lvlJc w:val="left"/>
    </w:lvl>
    <w:lvl w:ilvl="3" w:tplc="6FF0C3FE">
      <w:numFmt w:val="decimal"/>
      <w:lvlText w:val=""/>
      <w:lvlJc w:val="left"/>
    </w:lvl>
    <w:lvl w:ilvl="4" w:tplc="9F200F08">
      <w:numFmt w:val="decimal"/>
      <w:lvlText w:val=""/>
      <w:lvlJc w:val="left"/>
    </w:lvl>
    <w:lvl w:ilvl="5" w:tplc="27A8B228">
      <w:numFmt w:val="decimal"/>
      <w:lvlText w:val=""/>
      <w:lvlJc w:val="left"/>
    </w:lvl>
    <w:lvl w:ilvl="6" w:tplc="3428355E">
      <w:numFmt w:val="decimal"/>
      <w:lvlText w:val=""/>
      <w:lvlJc w:val="left"/>
    </w:lvl>
    <w:lvl w:ilvl="7" w:tplc="A9B03586">
      <w:numFmt w:val="decimal"/>
      <w:lvlText w:val=""/>
      <w:lvlJc w:val="left"/>
    </w:lvl>
    <w:lvl w:ilvl="8" w:tplc="A2BC8C9A">
      <w:numFmt w:val="decimal"/>
      <w:lvlText w:val=""/>
      <w:lvlJc w:val="left"/>
    </w:lvl>
  </w:abstractNum>
  <w:abstractNum w:abstractNumId="169" w15:restartNumberingAfterBreak="0">
    <w:nsid w:val="44344C22"/>
    <w:multiLevelType w:val="hybridMultilevel"/>
    <w:tmpl w:val="34283492"/>
    <w:lvl w:ilvl="0" w:tplc="39FC0802">
      <w:start w:val="1"/>
      <w:numFmt w:val="bullet"/>
      <w:lvlText w:val=" "/>
      <w:lvlJc w:val="left"/>
    </w:lvl>
    <w:lvl w:ilvl="1" w:tplc="B36CB2F0">
      <w:numFmt w:val="decimal"/>
      <w:lvlText w:val=""/>
      <w:lvlJc w:val="left"/>
    </w:lvl>
    <w:lvl w:ilvl="2" w:tplc="29D8A49C">
      <w:numFmt w:val="decimal"/>
      <w:lvlText w:val=""/>
      <w:lvlJc w:val="left"/>
    </w:lvl>
    <w:lvl w:ilvl="3" w:tplc="684E027A">
      <w:numFmt w:val="decimal"/>
      <w:lvlText w:val=""/>
      <w:lvlJc w:val="left"/>
    </w:lvl>
    <w:lvl w:ilvl="4" w:tplc="4E2674F2">
      <w:numFmt w:val="decimal"/>
      <w:lvlText w:val=""/>
      <w:lvlJc w:val="left"/>
    </w:lvl>
    <w:lvl w:ilvl="5" w:tplc="CE789238">
      <w:numFmt w:val="decimal"/>
      <w:lvlText w:val=""/>
      <w:lvlJc w:val="left"/>
    </w:lvl>
    <w:lvl w:ilvl="6" w:tplc="FF748D24">
      <w:numFmt w:val="decimal"/>
      <w:lvlText w:val=""/>
      <w:lvlJc w:val="left"/>
    </w:lvl>
    <w:lvl w:ilvl="7" w:tplc="194E144A">
      <w:numFmt w:val="decimal"/>
      <w:lvlText w:val=""/>
      <w:lvlJc w:val="left"/>
    </w:lvl>
    <w:lvl w:ilvl="8" w:tplc="B34AA674">
      <w:numFmt w:val="decimal"/>
      <w:lvlText w:val=""/>
      <w:lvlJc w:val="left"/>
    </w:lvl>
  </w:abstractNum>
  <w:abstractNum w:abstractNumId="170" w15:restartNumberingAfterBreak="0">
    <w:nsid w:val="46263DEC"/>
    <w:multiLevelType w:val="hybridMultilevel"/>
    <w:tmpl w:val="6F0465B2"/>
    <w:lvl w:ilvl="0" w:tplc="B910362E">
      <w:start w:val="1"/>
      <w:numFmt w:val="bullet"/>
      <w:lvlText w:val="#"/>
      <w:lvlJc w:val="left"/>
    </w:lvl>
    <w:lvl w:ilvl="1" w:tplc="F6CEDBCC">
      <w:numFmt w:val="decimal"/>
      <w:lvlText w:val=""/>
      <w:lvlJc w:val="left"/>
    </w:lvl>
    <w:lvl w:ilvl="2" w:tplc="D26AEB58">
      <w:numFmt w:val="decimal"/>
      <w:lvlText w:val=""/>
      <w:lvlJc w:val="left"/>
    </w:lvl>
    <w:lvl w:ilvl="3" w:tplc="2BF4736E">
      <w:numFmt w:val="decimal"/>
      <w:lvlText w:val=""/>
      <w:lvlJc w:val="left"/>
    </w:lvl>
    <w:lvl w:ilvl="4" w:tplc="A312572E">
      <w:numFmt w:val="decimal"/>
      <w:lvlText w:val=""/>
      <w:lvlJc w:val="left"/>
    </w:lvl>
    <w:lvl w:ilvl="5" w:tplc="1A6E70AC">
      <w:numFmt w:val="decimal"/>
      <w:lvlText w:val=""/>
      <w:lvlJc w:val="left"/>
    </w:lvl>
    <w:lvl w:ilvl="6" w:tplc="0666F884">
      <w:numFmt w:val="decimal"/>
      <w:lvlText w:val=""/>
      <w:lvlJc w:val="left"/>
    </w:lvl>
    <w:lvl w:ilvl="7" w:tplc="62CCBD2A">
      <w:numFmt w:val="decimal"/>
      <w:lvlText w:val=""/>
      <w:lvlJc w:val="left"/>
    </w:lvl>
    <w:lvl w:ilvl="8" w:tplc="7D34C6F2">
      <w:numFmt w:val="decimal"/>
      <w:lvlText w:val=""/>
      <w:lvlJc w:val="left"/>
    </w:lvl>
  </w:abstractNum>
  <w:abstractNum w:abstractNumId="171" w15:restartNumberingAfterBreak="0">
    <w:nsid w:val="46CB210D"/>
    <w:multiLevelType w:val="hybridMultilevel"/>
    <w:tmpl w:val="6F7C8102"/>
    <w:lvl w:ilvl="0" w:tplc="4A5E51AA">
      <w:start w:val="1"/>
      <w:numFmt w:val="bullet"/>
      <w:lvlText w:val="-"/>
      <w:lvlJc w:val="left"/>
      <w:pPr>
        <w:ind w:left="720" w:hanging="360"/>
      </w:pPr>
      <w:rPr>
        <w:rFonts w:ascii="Sitka Subheading" w:hAnsi="Sitka Subheading" w:hint="default"/>
        <w:b/>
      </w:rPr>
    </w:lvl>
    <w:lvl w:ilvl="1" w:tplc="08888AF4">
      <w:numFmt w:val="bullet"/>
      <w:lvlText w:val=""/>
      <w:lvlJc w:val="left"/>
      <w:pPr>
        <w:ind w:left="1440" w:hanging="360"/>
      </w:pPr>
      <w:rPr>
        <w:rFonts w:ascii="Symbol" w:eastAsia="Times New Roman" w:hAnsi="Symbol" w:cs="Symbol" w:hint="default"/>
        <w:color w:val="000000"/>
        <w:sz w:val="22"/>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2" w15:restartNumberingAfterBreak="0">
    <w:nsid w:val="471745E4"/>
    <w:multiLevelType w:val="hybridMultilevel"/>
    <w:tmpl w:val="4E241C30"/>
    <w:lvl w:ilvl="0" w:tplc="CC7408E2">
      <w:start w:val="1"/>
      <w:numFmt w:val="decimal"/>
      <w:lvlText w:val="%1."/>
      <w:lvlJc w:val="left"/>
    </w:lvl>
    <w:lvl w:ilvl="1" w:tplc="15BE8820">
      <w:numFmt w:val="decimal"/>
      <w:lvlText w:val=""/>
      <w:lvlJc w:val="left"/>
    </w:lvl>
    <w:lvl w:ilvl="2" w:tplc="CF52142A">
      <w:numFmt w:val="decimal"/>
      <w:lvlText w:val=""/>
      <w:lvlJc w:val="left"/>
    </w:lvl>
    <w:lvl w:ilvl="3" w:tplc="F1F62FAE">
      <w:numFmt w:val="decimal"/>
      <w:lvlText w:val=""/>
      <w:lvlJc w:val="left"/>
    </w:lvl>
    <w:lvl w:ilvl="4" w:tplc="7D9A0134">
      <w:numFmt w:val="decimal"/>
      <w:lvlText w:val=""/>
      <w:lvlJc w:val="left"/>
    </w:lvl>
    <w:lvl w:ilvl="5" w:tplc="A22875FC">
      <w:numFmt w:val="decimal"/>
      <w:lvlText w:val=""/>
      <w:lvlJc w:val="left"/>
    </w:lvl>
    <w:lvl w:ilvl="6" w:tplc="D8E8CFFC">
      <w:numFmt w:val="decimal"/>
      <w:lvlText w:val=""/>
      <w:lvlJc w:val="left"/>
    </w:lvl>
    <w:lvl w:ilvl="7" w:tplc="8C703F2A">
      <w:numFmt w:val="decimal"/>
      <w:lvlText w:val=""/>
      <w:lvlJc w:val="left"/>
    </w:lvl>
    <w:lvl w:ilvl="8" w:tplc="850E0CB4">
      <w:numFmt w:val="decimal"/>
      <w:lvlText w:val=""/>
      <w:lvlJc w:val="left"/>
    </w:lvl>
  </w:abstractNum>
  <w:abstractNum w:abstractNumId="173" w15:restartNumberingAfterBreak="0">
    <w:nsid w:val="475E256A"/>
    <w:multiLevelType w:val="hybridMultilevel"/>
    <w:tmpl w:val="65AE5C2E"/>
    <w:lvl w:ilvl="0" w:tplc="DC4CFA6C">
      <w:start w:val="2"/>
      <w:numFmt w:val="decimal"/>
      <w:lvlText w:val="%1."/>
      <w:lvlJc w:val="left"/>
    </w:lvl>
    <w:lvl w:ilvl="1" w:tplc="B5A63786">
      <w:numFmt w:val="decimal"/>
      <w:lvlText w:val=""/>
      <w:lvlJc w:val="left"/>
    </w:lvl>
    <w:lvl w:ilvl="2" w:tplc="70A28B30">
      <w:numFmt w:val="decimal"/>
      <w:lvlText w:val=""/>
      <w:lvlJc w:val="left"/>
    </w:lvl>
    <w:lvl w:ilvl="3" w:tplc="5C303442">
      <w:numFmt w:val="decimal"/>
      <w:lvlText w:val=""/>
      <w:lvlJc w:val="left"/>
    </w:lvl>
    <w:lvl w:ilvl="4" w:tplc="282A4A1C">
      <w:numFmt w:val="decimal"/>
      <w:lvlText w:val=""/>
      <w:lvlJc w:val="left"/>
    </w:lvl>
    <w:lvl w:ilvl="5" w:tplc="8B0E0FE2">
      <w:numFmt w:val="decimal"/>
      <w:lvlText w:val=""/>
      <w:lvlJc w:val="left"/>
    </w:lvl>
    <w:lvl w:ilvl="6" w:tplc="B1EAF490">
      <w:numFmt w:val="decimal"/>
      <w:lvlText w:val=""/>
      <w:lvlJc w:val="left"/>
    </w:lvl>
    <w:lvl w:ilvl="7" w:tplc="E572CCD4">
      <w:numFmt w:val="decimal"/>
      <w:lvlText w:val=""/>
      <w:lvlJc w:val="left"/>
    </w:lvl>
    <w:lvl w:ilvl="8" w:tplc="83C80DA0">
      <w:numFmt w:val="decimal"/>
      <w:lvlText w:val=""/>
      <w:lvlJc w:val="left"/>
    </w:lvl>
  </w:abstractNum>
  <w:abstractNum w:abstractNumId="174" w15:restartNumberingAfterBreak="0">
    <w:nsid w:val="48DD7FB6"/>
    <w:multiLevelType w:val="hybridMultilevel"/>
    <w:tmpl w:val="723E42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5" w15:restartNumberingAfterBreak="0">
    <w:nsid w:val="49C0E823"/>
    <w:multiLevelType w:val="hybridMultilevel"/>
    <w:tmpl w:val="F266B7AE"/>
    <w:lvl w:ilvl="0" w:tplc="3E884E34">
      <w:start w:val="5"/>
      <w:numFmt w:val="decimal"/>
      <w:lvlText w:val="%1."/>
      <w:lvlJc w:val="left"/>
    </w:lvl>
    <w:lvl w:ilvl="1" w:tplc="BA76CCFE">
      <w:numFmt w:val="decimal"/>
      <w:lvlText w:val=""/>
      <w:lvlJc w:val="left"/>
    </w:lvl>
    <w:lvl w:ilvl="2" w:tplc="C682EFF0">
      <w:numFmt w:val="decimal"/>
      <w:lvlText w:val=""/>
      <w:lvlJc w:val="left"/>
    </w:lvl>
    <w:lvl w:ilvl="3" w:tplc="70DE5B84">
      <w:numFmt w:val="decimal"/>
      <w:lvlText w:val=""/>
      <w:lvlJc w:val="left"/>
    </w:lvl>
    <w:lvl w:ilvl="4" w:tplc="2D8EE77A">
      <w:numFmt w:val="decimal"/>
      <w:lvlText w:val=""/>
      <w:lvlJc w:val="left"/>
    </w:lvl>
    <w:lvl w:ilvl="5" w:tplc="ED5690CE">
      <w:numFmt w:val="decimal"/>
      <w:lvlText w:val=""/>
      <w:lvlJc w:val="left"/>
    </w:lvl>
    <w:lvl w:ilvl="6" w:tplc="D2C8F602">
      <w:numFmt w:val="decimal"/>
      <w:lvlText w:val=""/>
      <w:lvlJc w:val="left"/>
    </w:lvl>
    <w:lvl w:ilvl="7" w:tplc="44A4BDC6">
      <w:numFmt w:val="decimal"/>
      <w:lvlText w:val=""/>
      <w:lvlJc w:val="left"/>
    </w:lvl>
    <w:lvl w:ilvl="8" w:tplc="062CFE2A">
      <w:numFmt w:val="decimal"/>
      <w:lvlText w:val=""/>
      <w:lvlJc w:val="left"/>
    </w:lvl>
  </w:abstractNum>
  <w:abstractNum w:abstractNumId="176" w15:restartNumberingAfterBreak="0">
    <w:nsid w:val="49D0FEAC"/>
    <w:multiLevelType w:val="hybridMultilevel"/>
    <w:tmpl w:val="F06E398C"/>
    <w:lvl w:ilvl="0" w:tplc="0AF22C32">
      <w:start w:val="8"/>
      <w:numFmt w:val="decimal"/>
      <w:lvlText w:val="%1."/>
      <w:lvlJc w:val="left"/>
    </w:lvl>
    <w:lvl w:ilvl="1" w:tplc="CDF48F0A">
      <w:numFmt w:val="decimal"/>
      <w:lvlText w:val=""/>
      <w:lvlJc w:val="left"/>
    </w:lvl>
    <w:lvl w:ilvl="2" w:tplc="E5DA995A">
      <w:numFmt w:val="decimal"/>
      <w:lvlText w:val=""/>
      <w:lvlJc w:val="left"/>
    </w:lvl>
    <w:lvl w:ilvl="3" w:tplc="76D8DDE4">
      <w:numFmt w:val="decimal"/>
      <w:lvlText w:val=""/>
      <w:lvlJc w:val="left"/>
    </w:lvl>
    <w:lvl w:ilvl="4" w:tplc="0A325BFE">
      <w:numFmt w:val="decimal"/>
      <w:lvlText w:val=""/>
      <w:lvlJc w:val="left"/>
    </w:lvl>
    <w:lvl w:ilvl="5" w:tplc="7D440E04">
      <w:numFmt w:val="decimal"/>
      <w:lvlText w:val=""/>
      <w:lvlJc w:val="left"/>
    </w:lvl>
    <w:lvl w:ilvl="6" w:tplc="F18AD08C">
      <w:numFmt w:val="decimal"/>
      <w:lvlText w:val=""/>
      <w:lvlJc w:val="left"/>
    </w:lvl>
    <w:lvl w:ilvl="7" w:tplc="2DA8F796">
      <w:numFmt w:val="decimal"/>
      <w:lvlText w:val=""/>
      <w:lvlJc w:val="left"/>
    </w:lvl>
    <w:lvl w:ilvl="8" w:tplc="F208D0C2">
      <w:numFmt w:val="decimal"/>
      <w:lvlText w:val=""/>
      <w:lvlJc w:val="left"/>
    </w:lvl>
  </w:abstractNum>
  <w:abstractNum w:abstractNumId="177" w15:restartNumberingAfterBreak="0">
    <w:nsid w:val="4A10B4E8"/>
    <w:multiLevelType w:val="hybridMultilevel"/>
    <w:tmpl w:val="F61E9066"/>
    <w:lvl w:ilvl="0" w:tplc="1E6448C0">
      <w:start w:val="1"/>
      <w:numFmt w:val="bullet"/>
      <w:lvlText w:val=" "/>
      <w:lvlJc w:val="left"/>
    </w:lvl>
    <w:lvl w:ilvl="1" w:tplc="5BF41E38">
      <w:numFmt w:val="decimal"/>
      <w:lvlText w:val=""/>
      <w:lvlJc w:val="left"/>
    </w:lvl>
    <w:lvl w:ilvl="2" w:tplc="AF3E6A0C">
      <w:numFmt w:val="decimal"/>
      <w:lvlText w:val=""/>
      <w:lvlJc w:val="left"/>
    </w:lvl>
    <w:lvl w:ilvl="3" w:tplc="BAAE194C">
      <w:numFmt w:val="decimal"/>
      <w:lvlText w:val=""/>
      <w:lvlJc w:val="left"/>
    </w:lvl>
    <w:lvl w:ilvl="4" w:tplc="C69010FA">
      <w:numFmt w:val="decimal"/>
      <w:lvlText w:val=""/>
      <w:lvlJc w:val="left"/>
    </w:lvl>
    <w:lvl w:ilvl="5" w:tplc="9C223FB6">
      <w:numFmt w:val="decimal"/>
      <w:lvlText w:val=""/>
      <w:lvlJc w:val="left"/>
    </w:lvl>
    <w:lvl w:ilvl="6" w:tplc="9530DB06">
      <w:numFmt w:val="decimal"/>
      <w:lvlText w:val=""/>
      <w:lvlJc w:val="left"/>
    </w:lvl>
    <w:lvl w:ilvl="7" w:tplc="11705C36">
      <w:numFmt w:val="decimal"/>
      <w:lvlText w:val=""/>
      <w:lvlJc w:val="left"/>
    </w:lvl>
    <w:lvl w:ilvl="8" w:tplc="FF74A0E6">
      <w:numFmt w:val="decimal"/>
      <w:lvlText w:val=""/>
      <w:lvlJc w:val="left"/>
    </w:lvl>
  </w:abstractNum>
  <w:abstractNum w:abstractNumId="178" w15:restartNumberingAfterBreak="0">
    <w:nsid w:val="4AB26E78"/>
    <w:multiLevelType w:val="hybridMultilevel"/>
    <w:tmpl w:val="AA02B49A"/>
    <w:lvl w:ilvl="0" w:tplc="21E26310">
      <w:start w:val="8"/>
      <w:numFmt w:val="decimal"/>
      <w:lvlText w:val="%1."/>
      <w:lvlJc w:val="left"/>
    </w:lvl>
    <w:lvl w:ilvl="1" w:tplc="B492EE58">
      <w:numFmt w:val="decimal"/>
      <w:lvlText w:val=""/>
      <w:lvlJc w:val="left"/>
    </w:lvl>
    <w:lvl w:ilvl="2" w:tplc="36DCEC20">
      <w:numFmt w:val="decimal"/>
      <w:lvlText w:val=""/>
      <w:lvlJc w:val="left"/>
    </w:lvl>
    <w:lvl w:ilvl="3" w:tplc="386CF5F2">
      <w:numFmt w:val="decimal"/>
      <w:lvlText w:val=""/>
      <w:lvlJc w:val="left"/>
    </w:lvl>
    <w:lvl w:ilvl="4" w:tplc="D7B8545C">
      <w:numFmt w:val="decimal"/>
      <w:lvlText w:val=""/>
      <w:lvlJc w:val="left"/>
    </w:lvl>
    <w:lvl w:ilvl="5" w:tplc="ADA65494">
      <w:numFmt w:val="decimal"/>
      <w:lvlText w:val=""/>
      <w:lvlJc w:val="left"/>
    </w:lvl>
    <w:lvl w:ilvl="6" w:tplc="494EB0FA">
      <w:numFmt w:val="decimal"/>
      <w:lvlText w:val=""/>
      <w:lvlJc w:val="left"/>
    </w:lvl>
    <w:lvl w:ilvl="7" w:tplc="1E2E26DA">
      <w:numFmt w:val="decimal"/>
      <w:lvlText w:val=""/>
      <w:lvlJc w:val="left"/>
    </w:lvl>
    <w:lvl w:ilvl="8" w:tplc="BBECD5E2">
      <w:numFmt w:val="decimal"/>
      <w:lvlText w:val=""/>
      <w:lvlJc w:val="left"/>
    </w:lvl>
  </w:abstractNum>
  <w:abstractNum w:abstractNumId="179" w15:restartNumberingAfterBreak="0">
    <w:nsid w:val="4B793735"/>
    <w:multiLevelType w:val="hybridMultilevel"/>
    <w:tmpl w:val="D57EE638"/>
    <w:lvl w:ilvl="0" w:tplc="8062BA68">
      <w:start w:val="1"/>
      <w:numFmt w:val="bullet"/>
      <w:lvlText w:val="-"/>
      <w:lvlJc w:val="left"/>
    </w:lvl>
    <w:lvl w:ilvl="1" w:tplc="ACDE7118">
      <w:numFmt w:val="decimal"/>
      <w:lvlText w:val=""/>
      <w:lvlJc w:val="left"/>
    </w:lvl>
    <w:lvl w:ilvl="2" w:tplc="0F74140A">
      <w:numFmt w:val="decimal"/>
      <w:lvlText w:val=""/>
      <w:lvlJc w:val="left"/>
    </w:lvl>
    <w:lvl w:ilvl="3" w:tplc="2E6E8B18">
      <w:numFmt w:val="decimal"/>
      <w:lvlText w:val=""/>
      <w:lvlJc w:val="left"/>
    </w:lvl>
    <w:lvl w:ilvl="4" w:tplc="A3129902">
      <w:numFmt w:val="decimal"/>
      <w:lvlText w:val=""/>
      <w:lvlJc w:val="left"/>
    </w:lvl>
    <w:lvl w:ilvl="5" w:tplc="4D46FEDC">
      <w:numFmt w:val="decimal"/>
      <w:lvlText w:val=""/>
      <w:lvlJc w:val="left"/>
    </w:lvl>
    <w:lvl w:ilvl="6" w:tplc="02166C4C">
      <w:numFmt w:val="decimal"/>
      <w:lvlText w:val=""/>
      <w:lvlJc w:val="left"/>
    </w:lvl>
    <w:lvl w:ilvl="7" w:tplc="4178E586">
      <w:numFmt w:val="decimal"/>
      <w:lvlText w:val=""/>
      <w:lvlJc w:val="left"/>
    </w:lvl>
    <w:lvl w:ilvl="8" w:tplc="F7B8FE06">
      <w:numFmt w:val="decimal"/>
      <w:lvlText w:val=""/>
      <w:lvlJc w:val="left"/>
    </w:lvl>
  </w:abstractNum>
  <w:abstractNum w:abstractNumId="180" w15:restartNumberingAfterBreak="0">
    <w:nsid w:val="4BD8591A"/>
    <w:multiLevelType w:val="hybridMultilevel"/>
    <w:tmpl w:val="E92852EE"/>
    <w:lvl w:ilvl="0" w:tplc="FD183A7C">
      <w:start w:val="2"/>
      <w:numFmt w:val="decimal"/>
      <w:lvlText w:val="%1."/>
      <w:lvlJc w:val="left"/>
    </w:lvl>
    <w:lvl w:ilvl="1" w:tplc="0432422E">
      <w:numFmt w:val="decimal"/>
      <w:lvlText w:val=""/>
      <w:lvlJc w:val="left"/>
    </w:lvl>
    <w:lvl w:ilvl="2" w:tplc="3B94E538">
      <w:numFmt w:val="decimal"/>
      <w:lvlText w:val=""/>
      <w:lvlJc w:val="left"/>
    </w:lvl>
    <w:lvl w:ilvl="3" w:tplc="4A1C68FE">
      <w:numFmt w:val="decimal"/>
      <w:lvlText w:val=""/>
      <w:lvlJc w:val="left"/>
    </w:lvl>
    <w:lvl w:ilvl="4" w:tplc="59F6A5C0">
      <w:numFmt w:val="decimal"/>
      <w:lvlText w:val=""/>
      <w:lvlJc w:val="left"/>
    </w:lvl>
    <w:lvl w:ilvl="5" w:tplc="54C4580E">
      <w:numFmt w:val="decimal"/>
      <w:lvlText w:val=""/>
      <w:lvlJc w:val="left"/>
    </w:lvl>
    <w:lvl w:ilvl="6" w:tplc="762C1488">
      <w:numFmt w:val="decimal"/>
      <w:lvlText w:val=""/>
      <w:lvlJc w:val="left"/>
    </w:lvl>
    <w:lvl w:ilvl="7" w:tplc="153CE6C2">
      <w:numFmt w:val="decimal"/>
      <w:lvlText w:val=""/>
      <w:lvlJc w:val="left"/>
    </w:lvl>
    <w:lvl w:ilvl="8" w:tplc="33268DFC">
      <w:numFmt w:val="decimal"/>
      <w:lvlText w:val=""/>
      <w:lvlJc w:val="left"/>
    </w:lvl>
  </w:abstractNum>
  <w:abstractNum w:abstractNumId="181" w15:restartNumberingAfterBreak="0">
    <w:nsid w:val="4BEE5A5B"/>
    <w:multiLevelType w:val="hybridMultilevel"/>
    <w:tmpl w:val="1A50F2EE"/>
    <w:lvl w:ilvl="0" w:tplc="31469CE8">
      <w:start w:val="9"/>
      <w:numFmt w:val="decimal"/>
      <w:lvlText w:val="%1."/>
      <w:lvlJc w:val="left"/>
    </w:lvl>
    <w:lvl w:ilvl="1" w:tplc="F808DDEA">
      <w:numFmt w:val="decimal"/>
      <w:lvlText w:val=""/>
      <w:lvlJc w:val="left"/>
    </w:lvl>
    <w:lvl w:ilvl="2" w:tplc="DE6A2384">
      <w:numFmt w:val="decimal"/>
      <w:lvlText w:val=""/>
      <w:lvlJc w:val="left"/>
    </w:lvl>
    <w:lvl w:ilvl="3" w:tplc="C3CAB836">
      <w:numFmt w:val="decimal"/>
      <w:lvlText w:val=""/>
      <w:lvlJc w:val="left"/>
    </w:lvl>
    <w:lvl w:ilvl="4" w:tplc="A0402A72">
      <w:numFmt w:val="decimal"/>
      <w:lvlText w:val=""/>
      <w:lvlJc w:val="left"/>
    </w:lvl>
    <w:lvl w:ilvl="5" w:tplc="D88883E0">
      <w:numFmt w:val="decimal"/>
      <w:lvlText w:val=""/>
      <w:lvlJc w:val="left"/>
    </w:lvl>
    <w:lvl w:ilvl="6" w:tplc="AA46B570">
      <w:numFmt w:val="decimal"/>
      <w:lvlText w:val=""/>
      <w:lvlJc w:val="left"/>
    </w:lvl>
    <w:lvl w:ilvl="7" w:tplc="11C6225A">
      <w:numFmt w:val="decimal"/>
      <w:lvlText w:val=""/>
      <w:lvlJc w:val="left"/>
    </w:lvl>
    <w:lvl w:ilvl="8" w:tplc="4CBAE48C">
      <w:numFmt w:val="decimal"/>
      <w:lvlText w:val=""/>
      <w:lvlJc w:val="left"/>
    </w:lvl>
  </w:abstractNum>
  <w:abstractNum w:abstractNumId="182" w15:restartNumberingAfterBreak="0">
    <w:nsid w:val="4C2A7166"/>
    <w:multiLevelType w:val="hybridMultilevel"/>
    <w:tmpl w:val="AFCE013A"/>
    <w:lvl w:ilvl="0" w:tplc="641AD892">
      <w:start w:val="1"/>
      <w:numFmt w:val="bullet"/>
      <w:lvlText w:val=" "/>
      <w:lvlJc w:val="left"/>
    </w:lvl>
    <w:lvl w:ilvl="1" w:tplc="E416E176">
      <w:numFmt w:val="decimal"/>
      <w:lvlText w:val=""/>
      <w:lvlJc w:val="left"/>
    </w:lvl>
    <w:lvl w:ilvl="2" w:tplc="2B907BA0">
      <w:numFmt w:val="decimal"/>
      <w:lvlText w:val=""/>
      <w:lvlJc w:val="left"/>
    </w:lvl>
    <w:lvl w:ilvl="3" w:tplc="3D1E2750">
      <w:numFmt w:val="decimal"/>
      <w:lvlText w:val=""/>
      <w:lvlJc w:val="left"/>
    </w:lvl>
    <w:lvl w:ilvl="4" w:tplc="773EF9A6">
      <w:numFmt w:val="decimal"/>
      <w:lvlText w:val=""/>
      <w:lvlJc w:val="left"/>
    </w:lvl>
    <w:lvl w:ilvl="5" w:tplc="1CFA1ED6">
      <w:numFmt w:val="decimal"/>
      <w:lvlText w:val=""/>
      <w:lvlJc w:val="left"/>
    </w:lvl>
    <w:lvl w:ilvl="6" w:tplc="4FEED9AC">
      <w:numFmt w:val="decimal"/>
      <w:lvlText w:val=""/>
      <w:lvlJc w:val="left"/>
    </w:lvl>
    <w:lvl w:ilvl="7" w:tplc="2948FCE4">
      <w:numFmt w:val="decimal"/>
      <w:lvlText w:val=""/>
      <w:lvlJc w:val="left"/>
    </w:lvl>
    <w:lvl w:ilvl="8" w:tplc="45D20A5E">
      <w:numFmt w:val="decimal"/>
      <w:lvlText w:val=""/>
      <w:lvlJc w:val="left"/>
    </w:lvl>
  </w:abstractNum>
  <w:abstractNum w:abstractNumId="183" w15:restartNumberingAfterBreak="0">
    <w:nsid w:val="4C502870"/>
    <w:multiLevelType w:val="hybridMultilevel"/>
    <w:tmpl w:val="81BED17C"/>
    <w:lvl w:ilvl="0" w:tplc="03E479A8">
      <w:start w:val="6"/>
      <w:numFmt w:val="decimal"/>
      <w:lvlText w:val="%1."/>
      <w:lvlJc w:val="left"/>
    </w:lvl>
    <w:lvl w:ilvl="1" w:tplc="B238AF2E">
      <w:numFmt w:val="decimal"/>
      <w:lvlText w:val=""/>
      <w:lvlJc w:val="left"/>
    </w:lvl>
    <w:lvl w:ilvl="2" w:tplc="E5661E94">
      <w:numFmt w:val="decimal"/>
      <w:lvlText w:val=""/>
      <w:lvlJc w:val="left"/>
    </w:lvl>
    <w:lvl w:ilvl="3" w:tplc="6A409F40">
      <w:numFmt w:val="decimal"/>
      <w:lvlText w:val=""/>
      <w:lvlJc w:val="left"/>
    </w:lvl>
    <w:lvl w:ilvl="4" w:tplc="E20A27A8">
      <w:numFmt w:val="decimal"/>
      <w:lvlText w:val=""/>
      <w:lvlJc w:val="left"/>
    </w:lvl>
    <w:lvl w:ilvl="5" w:tplc="D17AE7D0">
      <w:numFmt w:val="decimal"/>
      <w:lvlText w:val=""/>
      <w:lvlJc w:val="left"/>
    </w:lvl>
    <w:lvl w:ilvl="6" w:tplc="D1C27E2E">
      <w:numFmt w:val="decimal"/>
      <w:lvlText w:val=""/>
      <w:lvlJc w:val="left"/>
    </w:lvl>
    <w:lvl w:ilvl="7" w:tplc="147EAA90">
      <w:numFmt w:val="decimal"/>
      <w:lvlText w:val=""/>
      <w:lvlJc w:val="left"/>
    </w:lvl>
    <w:lvl w:ilvl="8" w:tplc="ECF8797A">
      <w:numFmt w:val="decimal"/>
      <w:lvlText w:val=""/>
      <w:lvlJc w:val="left"/>
    </w:lvl>
  </w:abstractNum>
  <w:abstractNum w:abstractNumId="184" w15:restartNumberingAfterBreak="0">
    <w:nsid w:val="4C9B0904"/>
    <w:multiLevelType w:val="hybridMultilevel"/>
    <w:tmpl w:val="7D744614"/>
    <w:lvl w:ilvl="0" w:tplc="C01A42DC">
      <w:start w:val="11"/>
      <w:numFmt w:val="decimal"/>
      <w:lvlText w:val="%1."/>
      <w:lvlJc w:val="left"/>
    </w:lvl>
    <w:lvl w:ilvl="1" w:tplc="41302022">
      <w:numFmt w:val="decimal"/>
      <w:lvlText w:val=""/>
      <w:lvlJc w:val="left"/>
    </w:lvl>
    <w:lvl w:ilvl="2" w:tplc="1980CA74">
      <w:numFmt w:val="decimal"/>
      <w:lvlText w:val=""/>
      <w:lvlJc w:val="left"/>
    </w:lvl>
    <w:lvl w:ilvl="3" w:tplc="5EBA5A80">
      <w:numFmt w:val="decimal"/>
      <w:lvlText w:val=""/>
      <w:lvlJc w:val="left"/>
    </w:lvl>
    <w:lvl w:ilvl="4" w:tplc="49D024AC">
      <w:numFmt w:val="decimal"/>
      <w:lvlText w:val=""/>
      <w:lvlJc w:val="left"/>
    </w:lvl>
    <w:lvl w:ilvl="5" w:tplc="3C362F52">
      <w:numFmt w:val="decimal"/>
      <w:lvlText w:val=""/>
      <w:lvlJc w:val="left"/>
    </w:lvl>
    <w:lvl w:ilvl="6" w:tplc="EC9013D8">
      <w:numFmt w:val="decimal"/>
      <w:lvlText w:val=""/>
      <w:lvlJc w:val="left"/>
    </w:lvl>
    <w:lvl w:ilvl="7" w:tplc="8B745F26">
      <w:numFmt w:val="decimal"/>
      <w:lvlText w:val=""/>
      <w:lvlJc w:val="left"/>
    </w:lvl>
    <w:lvl w:ilvl="8" w:tplc="94DADD8C">
      <w:numFmt w:val="decimal"/>
      <w:lvlText w:val=""/>
      <w:lvlJc w:val="left"/>
    </w:lvl>
  </w:abstractNum>
  <w:abstractNum w:abstractNumId="185" w15:restartNumberingAfterBreak="0">
    <w:nsid w:val="4C9B0A7C"/>
    <w:multiLevelType w:val="hybridMultilevel"/>
    <w:tmpl w:val="C152DE88"/>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6" w15:restartNumberingAfterBreak="0">
    <w:nsid w:val="4D32AB86"/>
    <w:multiLevelType w:val="hybridMultilevel"/>
    <w:tmpl w:val="77DEDDFA"/>
    <w:lvl w:ilvl="0" w:tplc="5742D3A2">
      <w:start w:val="1"/>
      <w:numFmt w:val="decimal"/>
      <w:lvlText w:val="%1."/>
      <w:lvlJc w:val="left"/>
    </w:lvl>
    <w:lvl w:ilvl="1" w:tplc="70AC0DF6">
      <w:numFmt w:val="decimal"/>
      <w:lvlText w:val=""/>
      <w:lvlJc w:val="left"/>
    </w:lvl>
    <w:lvl w:ilvl="2" w:tplc="F49CA67E">
      <w:numFmt w:val="decimal"/>
      <w:lvlText w:val=""/>
      <w:lvlJc w:val="left"/>
    </w:lvl>
    <w:lvl w:ilvl="3" w:tplc="BE262F6A">
      <w:numFmt w:val="decimal"/>
      <w:lvlText w:val=""/>
      <w:lvlJc w:val="left"/>
    </w:lvl>
    <w:lvl w:ilvl="4" w:tplc="6E34452A">
      <w:numFmt w:val="decimal"/>
      <w:lvlText w:val=""/>
      <w:lvlJc w:val="left"/>
    </w:lvl>
    <w:lvl w:ilvl="5" w:tplc="DCC8A15A">
      <w:numFmt w:val="decimal"/>
      <w:lvlText w:val=""/>
      <w:lvlJc w:val="left"/>
    </w:lvl>
    <w:lvl w:ilvl="6" w:tplc="7CCAEBDC">
      <w:numFmt w:val="decimal"/>
      <w:lvlText w:val=""/>
      <w:lvlJc w:val="left"/>
    </w:lvl>
    <w:lvl w:ilvl="7" w:tplc="0D364182">
      <w:numFmt w:val="decimal"/>
      <w:lvlText w:val=""/>
      <w:lvlJc w:val="left"/>
    </w:lvl>
    <w:lvl w:ilvl="8" w:tplc="9418ED3C">
      <w:numFmt w:val="decimal"/>
      <w:lvlText w:val=""/>
      <w:lvlJc w:val="left"/>
    </w:lvl>
  </w:abstractNum>
  <w:abstractNum w:abstractNumId="187" w15:restartNumberingAfterBreak="0">
    <w:nsid w:val="4DEFDFA0"/>
    <w:multiLevelType w:val="hybridMultilevel"/>
    <w:tmpl w:val="2E2C97FA"/>
    <w:lvl w:ilvl="0" w:tplc="DFB8527A">
      <w:start w:val="1"/>
      <w:numFmt w:val="bullet"/>
      <w:lvlText w:val=" "/>
      <w:lvlJc w:val="left"/>
    </w:lvl>
    <w:lvl w:ilvl="1" w:tplc="934C76CE">
      <w:numFmt w:val="decimal"/>
      <w:lvlText w:val=""/>
      <w:lvlJc w:val="left"/>
    </w:lvl>
    <w:lvl w:ilvl="2" w:tplc="2DCAFC46">
      <w:numFmt w:val="decimal"/>
      <w:lvlText w:val=""/>
      <w:lvlJc w:val="left"/>
    </w:lvl>
    <w:lvl w:ilvl="3" w:tplc="A2E0EEDE">
      <w:numFmt w:val="decimal"/>
      <w:lvlText w:val=""/>
      <w:lvlJc w:val="left"/>
    </w:lvl>
    <w:lvl w:ilvl="4" w:tplc="5984B682">
      <w:numFmt w:val="decimal"/>
      <w:lvlText w:val=""/>
      <w:lvlJc w:val="left"/>
    </w:lvl>
    <w:lvl w:ilvl="5" w:tplc="27D09C28">
      <w:numFmt w:val="decimal"/>
      <w:lvlText w:val=""/>
      <w:lvlJc w:val="left"/>
    </w:lvl>
    <w:lvl w:ilvl="6" w:tplc="1B6C78BC">
      <w:numFmt w:val="decimal"/>
      <w:lvlText w:val=""/>
      <w:lvlJc w:val="left"/>
    </w:lvl>
    <w:lvl w:ilvl="7" w:tplc="3A68310A">
      <w:numFmt w:val="decimal"/>
      <w:lvlText w:val=""/>
      <w:lvlJc w:val="left"/>
    </w:lvl>
    <w:lvl w:ilvl="8" w:tplc="98CA1CC8">
      <w:numFmt w:val="decimal"/>
      <w:lvlText w:val=""/>
      <w:lvlJc w:val="left"/>
    </w:lvl>
  </w:abstractNum>
  <w:abstractNum w:abstractNumId="188" w15:restartNumberingAfterBreak="0">
    <w:nsid w:val="4DF72E4E"/>
    <w:multiLevelType w:val="hybridMultilevel"/>
    <w:tmpl w:val="40E4C302"/>
    <w:lvl w:ilvl="0" w:tplc="CE80BCC2">
      <w:start w:val="5"/>
      <w:numFmt w:val="decimal"/>
      <w:lvlText w:val="%1."/>
      <w:lvlJc w:val="left"/>
    </w:lvl>
    <w:lvl w:ilvl="1" w:tplc="D1A08934">
      <w:numFmt w:val="decimal"/>
      <w:lvlText w:val=""/>
      <w:lvlJc w:val="left"/>
    </w:lvl>
    <w:lvl w:ilvl="2" w:tplc="1CCADB92">
      <w:numFmt w:val="decimal"/>
      <w:lvlText w:val=""/>
      <w:lvlJc w:val="left"/>
    </w:lvl>
    <w:lvl w:ilvl="3" w:tplc="06A8DC60">
      <w:numFmt w:val="decimal"/>
      <w:lvlText w:val=""/>
      <w:lvlJc w:val="left"/>
    </w:lvl>
    <w:lvl w:ilvl="4" w:tplc="EC76253A">
      <w:numFmt w:val="decimal"/>
      <w:lvlText w:val=""/>
      <w:lvlJc w:val="left"/>
    </w:lvl>
    <w:lvl w:ilvl="5" w:tplc="70A04E90">
      <w:numFmt w:val="decimal"/>
      <w:lvlText w:val=""/>
      <w:lvlJc w:val="left"/>
    </w:lvl>
    <w:lvl w:ilvl="6" w:tplc="6E504FCC">
      <w:numFmt w:val="decimal"/>
      <w:lvlText w:val=""/>
      <w:lvlJc w:val="left"/>
    </w:lvl>
    <w:lvl w:ilvl="7" w:tplc="BBFC6DA8">
      <w:numFmt w:val="decimal"/>
      <w:lvlText w:val=""/>
      <w:lvlJc w:val="left"/>
    </w:lvl>
    <w:lvl w:ilvl="8" w:tplc="53DC9D72">
      <w:numFmt w:val="decimal"/>
      <w:lvlText w:val=""/>
      <w:lvlJc w:val="left"/>
    </w:lvl>
  </w:abstractNum>
  <w:abstractNum w:abstractNumId="189" w15:restartNumberingAfterBreak="0">
    <w:nsid w:val="4E0B9A87"/>
    <w:multiLevelType w:val="hybridMultilevel"/>
    <w:tmpl w:val="7ACEC2E8"/>
    <w:lvl w:ilvl="0" w:tplc="D618D95E">
      <w:start w:val="1"/>
      <w:numFmt w:val="bullet"/>
      <w:lvlText w:val=" "/>
      <w:lvlJc w:val="left"/>
    </w:lvl>
    <w:lvl w:ilvl="1" w:tplc="93BC3B5E">
      <w:numFmt w:val="decimal"/>
      <w:lvlText w:val=""/>
      <w:lvlJc w:val="left"/>
    </w:lvl>
    <w:lvl w:ilvl="2" w:tplc="E682B7C4">
      <w:numFmt w:val="decimal"/>
      <w:lvlText w:val=""/>
      <w:lvlJc w:val="left"/>
    </w:lvl>
    <w:lvl w:ilvl="3" w:tplc="7EF60DA4">
      <w:numFmt w:val="decimal"/>
      <w:lvlText w:val=""/>
      <w:lvlJc w:val="left"/>
    </w:lvl>
    <w:lvl w:ilvl="4" w:tplc="A48C2718">
      <w:numFmt w:val="decimal"/>
      <w:lvlText w:val=""/>
      <w:lvlJc w:val="left"/>
    </w:lvl>
    <w:lvl w:ilvl="5" w:tplc="43E40BE4">
      <w:numFmt w:val="decimal"/>
      <w:lvlText w:val=""/>
      <w:lvlJc w:val="left"/>
    </w:lvl>
    <w:lvl w:ilvl="6" w:tplc="64B88526">
      <w:numFmt w:val="decimal"/>
      <w:lvlText w:val=""/>
      <w:lvlJc w:val="left"/>
    </w:lvl>
    <w:lvl w:ilvl="7" w:tplc="AAB6B920">
      <w:numFmt w:val="decimal"/>
      <w:lvlText w:val=""/>
      <w:lvlJc w:val="left"/>
    </w:lvl>
    <w:lvl w:ilvl="8" w:tplc="987AEAA0">
      <w:numFmt w:val="decimal"/>
      <w:lvlText w:val=""/>
      <w:lvlJc w:val="left"/>
    </w:lvl>
  </w:abstractNum>
  <w:abstractNum w:abstractNumId="190" w15:restartNumberingAfterBreak="0">
    <w:nsid w:val="4E647FE4"/>
    <w:multiLevelType w:val="hybridMultilevel"/>
    <w:tmpl w:val="A4ACDD0A"/>
    <w:lvl w:ilvl="0" w:tplc="8640A950">
      <w:start w:val="1"/>
      <w:numFmt w:val="bullet"/>
      <w:lvlText w:val=" "/>
      <w:lvlJc w:val="left"/>
    </w:lvl>
    <w:lvl w:ilvl="1" w:tplc="F5520620">
      <w:numFmt w:val="decimal"/>
      <w:lvlText w:val=""/>
      <w:lvlJc w:val="left"/>
    </w:lvl>
    <w:lvl w:ilvl="2" w:tplc="6726B234">
      <w:numFmt w:val="decimal"/>
      <w:lvlText w:val=""/>
      <w:lvlJc w:val="left"/>
    </w:lvl>
    <w:lvl w:ilvl="3" w:tplc="E528F1E4">
      <w:numFmt w:val="decimal"/>
      <w:lvlText w:val=""/>
      <w:lvlJc w:val="left"/>
    </w:lvl>
    <w:lvl w:ilvl="4" w:tplc="5178CB30">
      <w:numFmt w:val="decimal"/>
      <w:lvlText w:val=""/>
      <w:lvlJc w:val="left"/>
    </w:lvl>
    <w:lvl w:ilvl="5" w:tplc="830CE54A">
      <w:numFmt w:val="decimal"/>
      <w:lvlText w:val=""/>
      <w:lvlJc w:val="left"/>
    </w:lvl>
    <w:lvl w:ilvl="6" w:tplc="CC58D5A6">
      <w:numFmt w:val="decimal"/>
      <w:lvlText w:val=""/>
      <w:lvlJc w:val="left"/>
    </w:lvl>
    <w:lvl w:ilvl="7" w:tplc="E0DCDE02">
      <w:numFmt w:val="decimal"/>
      <w:lvlText w:val=""/>
      <w:lvlJc w:val="left"/>
    </w:lvl>
    <w:lvl w:ilvl="8" w:tplc="9864D304">
      <w:numFmt w:val="decimal"/>
      <w:lvlText w:val=""/>
      <w:lvlJc w:val="left"/>
    </w:lvl>
  </w:abstractNum>
  <w:abstractNum w:abstractNumId="191" w15:restartNumberingAfterBreak="0">
    <w:nsid w:val="4E92079B"/>
    <w:multiLevelType w:val="hybridMultilevel"/>
    <w:tmpl w:val="E23CB54E"/>
    <w:lvl w:ilvl="0" w:tplc="00001953">
      <w:start w:val="2"/>
      <w:numFmt w:val="decimal"/>
      <w:lvlText w:val="%1."/>
      <w:lvlJc w:val="left"/>
      <w:pPr>
        <w:tabs>
          <w:tab w:val="num" w:pos="720"/>
        </w:tabs>
        <w:ind w:left="720" w:hanging="360"/>
      </w:pPr>
    </w:lvl>
    <w:lvl w:ilvl="1" w:tplc="CE644DBC">
      <w:start w:val="2"/>
      <w:numFmt w:val="bullet"/>
      <w:lvlText w:val="•"/>
      <w:lvlJc w:val="left"/>
      <w:pPr>
        <w:tabs>
          <w:tab w:val="num" w:pos="1440"/>
        </w:tabs>
        <w:ind w:left="1440" w:hanging="360"/>
      </w:pPr>
      <w:rPr>
        <w:rFonts w:ascii="Times New Roman" w:eastAsia="Times New Roman" w:hAnsi="Times New Roman" w:cs="Times New Roman" w:hint="default"/>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2" w15:restartNumberingAfterBreak="0">
    <w:nsid w:val="4F38F265"/>
    <w:multiLevelType w:val="hybridMultilevel"/>
    <w:tmpl w:val="CF28E958"/>
    <w:lvl w:ilvl="0" w:tplc="83248F1E">
      <w:start w:val="5"/>
      <w:numFmt w:val="decimal"/>
      <w:lvlText w:val="%1."/>
      <w:lvlJc w:val="left"/>
    </w:lvl>
    <w:lvl w:ilvl="1" w:tplc="0DB40602">
      <w:numFmt w:val="decimal"/>
      <w:lvlText w:val=""/>
      <w:lvlJc w:val="left"/>
    </w:lvl>
    <w:lvl w:ilvl="2" w:tplc="B5F4CFA2">
      <w:numFmt w:val="decimal"/>
      <w:lvlText w:val=""/>
      <w:lvlJc w:val="left"/>
    </w:lvl>
    <w:lvl w:ilvl="3" w:tplc="2C0E625C">
      <w:numFmt w:val="decimal"/>
      <w:lvlText w:val=""/>
      <w:lvlJc w:val="left"/>
    </w:lvl>
    <w:lvl w:ilvl="4" w:tplc="DF044F04">
      <w:numFmt w:val="decimal"/>
      <w:lvlText w:val=""/>
      <w:lvlJc w:val="left"/>
    </w:lvl>
    <w:lvl w:ilvl="5" w:tplc="D5C21F5C">
      <w:numFmt w:val="decimal"/>
      <w:lvlText w:val=""/>
      <w:lvlJc w:val="left"/>
    </w:lvl>
    <w:lvl w:ilvl="6" w:tplc="71900384">
      <w:numFmt w:val="decimal"/>
      <w:lvlText w:val=""/>
      <w:lvlJc w:val="left"/>
    </w:lvl>
    <w:lvl w:ilvl="7" w:tplc="33F8FE1E">
      <w:numFmt w:val="decimal"/>
      <w:lvlText w:val=""/>
      <w:lvlJc w:val="left"/>
    </w:lvl>
    <w:lvl w:ilvl="8" w:tplc="4E22FBB2">
      <w:numFmt w:val="decimal"/>
      <w:lvlText w:val=""/>
      <w:lvlJc w:val="left"/>
    </w:lvl>
  </w:abstractNum>
  <w:abstractNum w:abstractNumId="193" w15:restartNumberingAfterBreak="0">
    <w:nsid w:val="4F7B573F"/>
    <w:multiLevelType w:val="multilevel"/>
    <w:tmpl w:val="8E0835D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4" w15:restartNumberingAfterBreak="0">
    <w:nsid w:val="4F97E3E4"/>
    <w:multiLevelType w:val="hybridMultilevel"/>
    <w:tmpl w:val="9934FC1A"/>
    <w:lvl w:ilvl="0" w:tplc="0C4AC2E4">
      <w:start w:val="1"/>
      <w:numFmt w:val="bullet"/>
      <w:lvlText w:val="≤"/>
      <w:lvlJc w:val="left"/>
    </w:lvl>
    <w:lvl w:ilvl="1" w:tplc="5CFEEEB6">
      <w:numFmt w:val="decimal"/>
      <w:lvlText w:val=""/>
      <w:lvlJc w:val="left"/>
    </w:lvl>
    <w:lvl w:ilvl="2" w:tplc="3FBEA5D8">
      <w:numFmt w:val="decimal"/>
      <w:lvlText w:val=""/>
      <w:lvlJc w:val="left"/>
    </w:lvl>
    <w:lvl w:ilvl="3" w:tplc="D1B82812">
      <w:numFmt w:val="decimal"/>
      <w:lvlText w:val=""/>
      <w:lvlJc w:val="left"/>
    </w:lvl>
    <w:lvl w:ilvl="4" w:tplc="8EE0C482">
      <w:numFmt w:val="decimal"/>
      <w:lvlText w:val=""/>
      <w:lvlJc w:val="left"/>
    </w:lvl>
    <w:lvl w:ilvl="5" w:tplc="3746EF36">
      <w:numFmt w:val="decimal"/>
      <w:lvlText w:val=""/>
      <w:lvlJc w:val="left"/>
    </w:lvl>
    <w:lvl w:ilvl="6" w:tplc="85D251BA">
      <w:numFmt w:val="decimal"/>
      <w:lvlText w:val=""/>
      <w:lvlJc w:val="left"/>
    </w:lvl>
    <w:lvl w:ilvl="7" w:tplc="AB58F304">
      <w:numFmt w:val="decimal"/>
      <w:lvlText w:val=""/>
      <w:lvlJc w:val="left"/>
    </w:lvl>
    <w:lvl w:ilvl="8" w:tplc="7522336C">
      <w:numFmt w:val="decimal"/>
      <w:lvlText w:val=""/>
      <w:lvlJc w:val="left"/>
    </w:lvl>
  </w:abstractNum>
  <w:abstractNum w:abstractNumId="195" w15:restartNumberingAfterBreak="0">
    <w:nsid w:val="4FA0D2E3"/>
    <w:multiLevelType w:val="hybridMultilevel"/>
    <w:tmpl w:val="9C224458"/>
    <w:lvl w:ilvl="0" w:tplc="42588F7C">
      <w:start w:val="1"/>
      <w:numFmt w:val="bullet"/>
      <w:lvlText w:val=" "/>
      <w:lvlJc w:val="left"/>
    </w:lvl>
    <w:lvl w:ilvl="1" w:tplc="345064F6">
      <w:numFmt w:val="decimal"/>
      <w:lvlText w:val=""/>
      <w:lvlJc w:val="left"/>
    </w:lvl>
    <w:lvl w:ilvl="2" w:tplc="88BADFBA">
      <w:numFmt w:val="decimal"/>
      <w:lvlText w:val=""/>
      <w:lvlJc w:val="left"/>
    </w:lvl>
    <w:lvl w:ilvl="3" w:tplc="A634A25C">
      <w:numFmt w:val="decimal"/>
      <w:lvlText w:val=""/>
      <w:lvlJc w:val="left"/>
    </w:lvl>
    <w:lvl w:ilvl="4" w:tplc="4198BAFA">
      <w:numFmt w:val="decimal"/>
      <w:lvlText w:val=""/>
      <w:lvlJc w:val="left"/>
    </w:lvl>
    <w:lvl w:ilvl="5" w:tplc="79F6385C">
      <w:numFmt w:val="decimal"/>
      <w:lvlText w:val=""/>
      <w:lvlJc w:val="left"/>
    </w:lvl>
    <w:lvl w:ilvl="6" w:tplc="95F66308">
      <w:numFmt w:val="decimal"/>
      <w:lvlText w:val=""/>
      <w:lvlJc w:val="left"/>
    </w:lvl>
    <w:lvl w:ilvl="7" w:tplc="9C4A3840">
      <w:numFmt w:val="decimal"/>
      <w:lvlText w:val=""/>
      <w:lvlJc w:val="left"/>
    </w:lvl>
    <w:lvl w:ilvl="8" w:tplc="4E602EA4">
      <w:numFmt w:val="decimal"/>
      <w:lvlText w:val=""/>
      <w:lvlJc w:val="left"/>
    </w:lvl>
  </w:abstractNum>
  <w:abstractNum w:abstractNumId="196" w15:restartNumberingAfterBreak="0">
    <w:nsid w:val="5015CD1A"/>
    <w:multiLevelType w:val="hybridMultilevel"/>
    <w:tmpl w:val="EA263404"/>
    <w:lvl w:ilvl="0" w:tplc="EE2CC0FC">
      <w:start w:val="17"/>
      <w:numFmt w:val="decimal"/>
      <w:lvlText w:val="%1."/>
      <w:lvlJc w:val="left"/>
    </w:lvl>
    <w:lvl w:ilvl="1" w:tplc="3904C886">
      <w:numFmt w:val="decimal"/>
      <w:lvlText w:val=""/>
      <w:lvlJc w:val="left"/>
    </w:lvl>
    <w:lvl w:ilvl="2" w:tplc="73D4F5F0">
      <w:numFmt w:val="decimal"/>
      <w:lvlText w:val=""/>
      <w:lvlJc w:val="left"/>
    </w:lvl>
    <w:lvl w:ilvl="3" w:tplc="B1324F36">
      <w:numFmt w:val="decimal"/>
      <w:lvlText w:val=""/>
      <w:lvlJc w:val="left"/>
    </w:lvl>
    <w:lvl w:ilvl="4" w:tplc="53BCD558">
      <w:numFmt w:val="decimal"/>
      <w:lvlText w:val=""/>
      <w:lvlJc w:val="left"/>
    </w:lvl>
    <w:lvl w:ilvl="5" w:tplc="420E7E90">
      <w:numFmt w:val="decimal"/>
      <w:lvlText w:val=""/>
      <w:lvlJc w:val="left"/>
    </w:lvl>
    <w:lvl w:ilvl="6" w:tplc="C3B80FDA">
      <w:numFmt w:val="decimal"/>
      <w:lvlText w:val=""/>
      <w:lvlJc w:val="left"/>
    </w:lvl>
    <w:lvl w:ilvl="7" w:tplc="5CACB6A4">
      <w:numFmt w:val="decimal"/>
      <w:lvlText w:val=""/>
      <w:lvlJc w:val="left"/>
    </w:lvl>
    <w:lvl w:ilvl="8" w:tplc="31B44B62">
      <w:numFmt w:val="decimal"/>
      <w:lvlText w:val=""/>
      <w:lvlJc w:val="left"/>
    </w:lvl>
  </w:abstractNum>
  <w:abstractNum w:abstractNumId="197" w15:restartNumberingAfterBreak="0">
    <w:nsid w:val="501F9786"/>
    <w:multiLevelType w:val="hybridMultilevel"/>
    <w:tmpl w:val="FC200534"/>
    <w:lvl w:ilvl="0" w:tplc="FEBAD550">
      <w:start w:val="1"/>
      <w:numFmt w:val="bullet"/>
      <w:lvlText w:val="-"/>
      <w:lvlJc w:val="left"/>
    </w:lvl>
    <w:lvl w:ilvl="1" w:tplc="F9FAAB48">
      <w:numFmt w:val="decimal"/>
      <w:lvlText w:val=""/>
      <w:lvlJc w:val="left"/>
    </w:lvl>
    <w:lvl w:ilvl="2" w:tplc="73CA7352">
      <w:numFmt w:val="decimal"/>
      <w:lvlText w:val=""/>
      <w:lvlJc w:val="left"/>
    </w:lvl>
    <w:lvl w:ilvl="3" w:tplc="80084956">
      <w:numFmt w:val="decimal"/>
      <w:lvlText w:val=""/>
      <w:lvlJc w:val="left"/>
    </w:lvl>
    <w:lvl w:ilvl="4" w:tplc="D91CBB5C">
      <w:numFmt w:val="decimal"/>
      <w:lvlText w:val=""/>
      <w:lvlJc w:val="left"/>
    </w:lvl>
    <w:lvl w:ilvl="5" w:tplc="2EF02C3E">
      <w:numFmt w:val="decimal"/>
      <w:lvlText w:val=""/>
      <w:lvlJc w:val="left"/>
    </w:lvl>
    <w:lvl w:ilvl="6" w:tplc="ADBEEAFA">
      <w:numFmt w:val="decimal"/>
      <w:lvlText w:val=""/>
      <w:lvlJc w:val="left"/>
    </w:lvl>
    <w:lvl w:ilvl="7" w:tplc="13282C12">
      <w:numFmt w:val="decimal"/>
      <w:lvlText w:val=""/>
      <w:lvlJc w:val="left"/>
    </w:lvl>
    <w:lvl w:ilvl="8" w:tplc="1C24E392">
      <w:numFmt w:val="decimal"/>
      <w:lvlText w:val=""/>
      <w:lvlJc w:val="left"/>
    </w:lvl>
  </w:abstractNum>
  <w:abstractNum w:abstractNumId="198" w15:restartNumberingAfterBreak="0">
    <w:nsid w:val="5046B5A9"/>
    <w:multiLevelType w:val="hybridMultilevel"/>
    <w:tmpl w:val="B6E05C46"/>
    <w:lvl w:ilvl="0" w:tplc="654C6BFA">
      <w:start w:val="5"/>
      <w:numFmt w:val="decimal"/>
      <w:lvlText w:val="%1."/>
      <w:lvlJc w:val="left"/>
    </w:lvl>
    <w:lvl w:ilvl="1" w:tplc="C3A2D618">
      <w:numFmt w:val="decimal"/>
      <w:lvlText w:val=""/>
      <w:lvlJc w:val="left"/>
    </w:lvl>
    <w:lvl w:ilvl="2" w:tplc="F55A0100">
      <w:numFmt w:val="decimal"/>
      <w:lvlText w:val=""/>
      <w:lvlJc w:val="left"/>
    </w:lvl>
    <w:lvl w:ilvl="3" w:tplc="BDFC0B30">
      <w:numFmt w:val="decimal"/>
      <w:lvlText w:val=""/>
      <w:lvlJc w:val="left"/>
    </w:lvl>
    <w:lvl w:ilvl="4" w:tplc="A1D4BD94">
      <w:numFmt w:val="decimal"/>
      <w:lvlText w:val=""/>
      <w:lvlJc w:val="left"/>
    </w:lvl>
    <w:lvl w:ilvl="5" w:tplc="875C6CF0">
      <w:numFmt w:val="decimal"/>
      <w:lvlText w:val=""/>
      <w:lvlJc w:val="left"/>
    </w:lvl>
    <w:lvl w:ilvl="6" w:tplc="D42E5FA8">
      <w:numFmt w:val="decimal"/>
      <w:lvlText w:val=""/>
      <w:lvlJc w:val="left"/>
    </w:lvl>
    <w:lvl w:ilvl="7" w:tplc="1CB22B7A">
      <w:numFmt w:val="decimal"/>
      <w:lvlText w:val=""/>
      <w:lvlJc w:val="left"/>
    </w:lvl>
    <w:lvl w:ilvl="8" w:tplc="696AA6BE">
      <w:numFmt w:val="decimal"/>
      <w:lvlText w:val=""/>
      <w:lvlJc w:val="left"/>
    </w:lvl>
  </w:abstractNum>
  <w:abstractNum w:abstractNumId="199" w15:restartNumberingAfterBreak="0">
    <w:nsid w:val="519E3149"/>
    <w:multiLevelType w:val="hybridMultilevel"/>
    <w:tmpl w:val="6C40363A"/>
    <w:lvl w:ilvl="0" w:tplc="9B0A7818">
      <w:start w:val="1"/>
      <w:numFmt w:val="bullet"/>
      <w:lvlText w:val="#"/>
      <w:lvlJc w:val="left"/>
    </w:lvl>
    <w:lvl w:ilvl="1" w:tplc="B9D0DF76">
      <w:numFmt w:val="decimal"/>
      <w:lvlText w:val=""/>
      <w:lvlJc w:val="left"/>
    </w:lvl>
    <w:lvl w:ilvl="2" w:tplc="62DC1694">
      <w:numFmt w:val="decimal"/>
      <w:lvlText w:val=""/>
      <w:lvlJc w:val="left"/>
    </w:lvl>
    <w:lvl w:ilvl="3" w:tplc="8D349A44">
      <w:numFmt w:val="decimal"/>
      <w:lvlText w:val=""/>
      <w:lvlJc w:val="left"/>
    </w:lvl>
    <w:lvl w:ilvl="4" w:tplc="CA0A5AE2">
      <w:numFmt w:val="decimal"/>
      <w:lvlText w:val=""/>
      <w:lvlJc w:val="left"/>
    </w:lvl>
    <w:lvl w:ilvl="5" w:tplc="E4FACCEE">
      <w:numFmt w:val="decimal"/>
      <w:lvlText w:val=""/>
      <w:lvlJc w:val="left"/>
    </w:lvl>
    <w:lvl w:ilvl="6" w:tplc="3C6C686C">
      <w:numFmt w:val="decimal"/>
      <w:lvlText w:val=""/>
      <w:lvlJc w:val="left"/>
    </w:lvl>
    <w:lvl w:ilvl="7" w:tplc="93F82230">
      <w:numFmt w:val="decimal"/>
      <w:lvlText w:val=""/>
      <w:lvlJc w:val="left"/>
    </w:lvl>
    <w:lvl w:ilvl="8" w:tplc="CE3A1FC0">
      <w:numFmt w:val="decimal"/>
      <w:lvlText w:val=""/>
      <w:lvlJc w:val="left"/>
    </w:lvl>
  </w:abstractNum>
  <w:abstractNum w:abstractNumId="200" w15:restartNumberingAfterBreak="0">
    <w:nsid w:val="51BF6B48"/>
    <w:multiLevelType w:val="hybridMultilevel"/>
    <w:tmpl w:val="21E6E5E8"/>
    <w:lvl w:ilvl="0" w:tplc="9C1A0AF4">
      <w:start w:val="3"/>
      <w:numFmt w:val="decimal"/>
      <w:lvlText w:val="%1."/>
      <w:lvlJc w:val="left"/>
    </w:lvl>
    <w:lvl w:ilvl="1" w:tplc="A6F6A0CC">
      <w:numFmt w:val="decimal"/>
      <w:lvlText w:val=""/>
      <w:lvlJc w:val="left"/>
    </w:lvl>
    <w:lvl w:ilvl="2" w:tplc="5A409C74">
      <w:numFmt w:val="decimal"/>
      <w:lvlText w:val=""/>
      <w:lvlJc w:val="left"/>
    </w:lvl>
    <w:lvl w:ilvl="3" w:tplc="B5BEA7E6">
      <w:numFmt w:val="decimal"/>
      <w:lvlText w:val=""/>
      <w:lvlJc w:val="left"/>
    </w:lvl>
    <w:lvl w:ilvl="4" w:tplc="9022FD22">
      <w:numFmt w:val="decimal"/>
      <w:lvlText w:val=""/>
      <w:lvlJc w:val="left"/>
    </w:lvl>
    <w:lvl w:ilvl="5" w:tplc="AF863036">
      <w:numFmt w:val="decimal"/>
      <w:lvlText w:val=""/>
      <w:lvlJc w:val="left"/>
    </w:lvl>
    <w:lvl w:ilvl="6" w:tplc="0F3264E6">
      <w:numFmt w:val="decimal"/>
      <w:lvlText w:val=""/>
      <w:lvlJc w:val="left"/>
    </w:lvl>
    <w:lvl w:ilvl="7" w:tplc="23E4287A">
      <w:numFmt w:val="decimal"/>
      <w:lvlText w:val=""/>
      <w:lvlJc w:val="left"/>
    </w:lvl>
    <w:lvl w:ilvl="8" w:tplc="1DC0CC30">
      <w:numFmt w:val="decimal"/>
      <w:lvlText w:val=""/>
      <w:lvlJc w:val="left"/>
    </w:lvl>
  </w:abstractNum>
  <w:abstractNum w:abstractNumId="201" w15:restartNumberingAfterBreak="0">
    <w:nsid w:val="524E36E0"/>
    <w:multiLevelType w:val="hybridMultilevel"/>
    <w:tmpl w:val="7A4E711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2" w15:restartNumberingAfterBreak="0">
    <w:nsid w:val="52D7B105"/>
    <w:multiLevelType w:val="hybridMultilevel"/>
    <w:tmpl w:val="9076AC3C"/>
    <w:lvl w:ilvl="0" w:tplc="27E02B96">
      <w:start w:val="1"/>
      <w:numFmt w:val="decimal"/>
      <w:lvlText w:val="%1."/>
      <w:lvlJc w:val="left"/>
    </w:lvl>
    <w:lvl w:ilvl="1" w:tplc="6052A000">
      <w:numFmt w:val="decimal"/>
      <w:lvlText w:val=""/>
      <w:lvlJc w:val="left"/>
    </w:lvl>
    <w:lvl w:ilvl="2" w:tplc="CE205F88">
      <w:numFmt w:val="decimal"/>
      <w:lvlText w:val=""/>
      <w:lvlJc w:val="left"/>
    </w:lvl>
    <w:lvl w:ilvl="3" w:tplc="47E8FE24">
      <w:numFmt w:val="decimal"/>
      <w:lvlText w:val=""/>
      <w:lvlJc w:val="left"/>
    </w:lvl>
    <w:lvl w:ilvl="4" w:tplc="6D5A96DE">
      <w:numFmt w:val="decimal"/>
      <w:lvlText w:val=""/>
      <w:lvlJc w:val="left"/>
    </w:lvl>
    <w:lvl w:ilvl="5" w:tplc="4E64DC9A">
      <w:numFmt w:val="decimal"/>
      <w:lvlText w:val=""/>
      <w:lvlJc w:val="left"/>
    </w:lvl>
    <w:lvl w:ilvl="6" w:tplc="A7DC46A6">
      <w:numFmt w:val="decimal"/>
      <w:lvlText w:val=""/>
      <w:lvlJc w:val="left"/>
    </w:lvl>
    <w:lvl w:ilvl="7" w:tplc="BBCAC696">
      <w:numFmt w:val="decimal"/>
      <w:lvlText w:val=""/>
      <w:lvlJc w:val="left"/>
    </w:lvl>
    <w:lvl w:ilvl="8" w:tplc="1832AEE4">
      <w:numFmt w:val="decimal"/>
      <w:lvlText w:val=""/>
      <w:lvlJc w:val="left"/>
    </w:lvl>
  </w:abstractNum>
  <w:abstractNum w:abstractNumId="203" w15:restartNumberingAfterBreak="0">
    <w:nsid w:val="533F6EC3"/>
    <w:multiLevelType w:val="hybridMultilevel"/>
    <w:tmpl w:val="F9A4C156"/>
    <w:lvl w:ilvl="0" w:tplc="CE644DBC">
      <w:start w:val="2"/>
      <w:numFmt w:val="bullet"/>
      <w:lvlText w:val="•"/>
      <w:lvlJc w:val="left"/>
      <w:pPr>
        <w:ind w:left="720" w:hanging="360"/>
      </w:pPr>
      <w:rPr>
        <w:rFonts w:ascii="Times New Roman" w:eastAsia="Times New Roman" w:hAnsi="Times New Roman" w:cs="Times New Roman" w:hint="default"/>
        <w:b/>
        <w:color w:val="000000"/>
        <w:sz w:val="22"/>
      </w:rPr>
    </w:lvl>
    <w:lvl w:ilvl="1" w:tplc="08888AF4">
      <w:numFmt w:val="bullet"/>
      <w:lvlText w:val=""/>
      <w:lvlJc w:val="left"/>
      <w:pPr>
        <w:ind w:left="1440" w:hanging="360"/>
      </w:pPr>
      <w:rPr>
        <w:rFonts w:ascii="Symbol" w:eastAsia="Times New Roman" w:hAnsi="Symbol" w:cs="Symbol" w:hint="default"/>
        <w:color w:val="000000"/>
        <w:sz w:val="22"/>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4" w15:restartNumberingAfterBreak="0">
    <w:nsid w:val="5399C654"/>
    <w:multiLevelType w:val="hybridMultilevel"/>
    <w:tmpl w:val="B2C0248E"/>
    <w:lvl w:ilvl="0" w:tplc="BC046F72">
      <w:start w:val="44"/>
      <w:numFmt w:val="upperLetter"/>
      <w:lvlText w:val="%1"/>
      <w:lvlJc w:val="left"/>
    </w:lvl>
    <w:lvl w:ilvl="1" w:tplc="EDC2D226">
      <w:numFmt w:val="decimal"/>
      <w:lvlText w:val=""/>
      <w:lvlJc w:val="left"/>
    </w:lvl>
    <w:lvl w:ilvl="2" w:tplc="BCC2CDFC">
      <w:numFmt w:val="decimal"/>
      <w:lvlText w:val=""/>
      <w:lvlJc w:val="left"/>
    </w:lvl>
    <w:lvl w:ilvl="3" w:tplc="CF36F702">
      <w:numFmt w:val="decimal"/>
      <w:lvlText w:val=""/>
      <w:lvlJc w:val="left"/>
    </w:lvl>
    <w:lvl w:ilvl="4" w:tplc="92EE2646">
      <w:numFmt w:val="decimal"/>
      <w:lvlText w:val=""/>
      <w:lvlJc w:val="left"/>
    </w:lvl>
    <w:lvl w:ilvl="5" w:tplc="A81CBA20">
      <w:numFmt w:val="decimal"/>
      <w:lvlText w:val=""/>
      <w:lvlJc w:val="left"/>
    </w:lvl>
    <w:lvl w:ilvl="6" w:tplc="0F5CABE6">
      <w:numFmt w:val="decimal"/>
      <w:lvlText w:val=""/>
      <w:lvlJc w:val="left"/>
    </w:lvl>
    <w:lvl w:ilvl="7" w:tplc="0BA8ADC4">
      <w:numFmt w:val="decimal"/>
      <w:lvlText w:val=""/>
      <w:lvlJc w:val="left"/>
    </w:lvl>
    <w:lvl w:ilvl="8" w:tplc="E9D2D79C">
      <w:numFmt w:val="decimal"/>
      <w:lvlText w:val=""/>
      <w:lvlJc w:val="left"/>
    </w:lvl>
  </w:abstractNum>
  <w:abstractNum w:abstractNumId="205" w15:restartNumberingAfterBreak="0">
    <w:nsid w:val="541C8153"/>
    <w:multiLevelType w:val="hybridMultilevel"/>
    <w:tmpl w:val="9F6ECABA"/>
    <w:lvl w:ilvl="0" w:tplc="D62E3E52">
      <w:start w:val="1"/>
      <w:numFmt w:val="bullet"/>
      <w:lvlText w:val="-"/>
      <w:lvlJc w:val="left"/>
    </w:lvl>
    <w:lvl w:ilvl="1" w:tplc="297C030C">
      <w:numFmt w:val="decimal"/>
      <w:lvlText w:val=""/>
      <w:lvlJc w:val="left"/>
    </w:lvl>
    <w:lvl w:ilvl="2" w:tplc="2228B570">
      <w:numFmt w:val="decimal"/>
      <w:lvlText w:val=""/>
      <w:lvlJc w:val="left"/>
    </w:lvl>
    <w:lvl w:ilvl="3" w:tplc="2F925074">
      <w:numFmt w:val="decimal"/>
      <w:lvlText w:val=""/>
      <w:lvlJc w:val="left"/>
    </w:lvl>
    <w:lvl w:ilvl="4" w:tplc="F6B04F7E">
      <w:numFmt w:val="decimal"/>
      <w:lvlText w:val=""/>
      <w:lvlJc w:val="left"/>
    </w:lvl>
    <w:lvl w:ilvl="5" w:tplc="F7DEA6DC">
      <w:numFmt w:val="decimal"/>
      <w:lvlText w:val=""/>
      <w:lvlJc w:val="left"/>
    </w:lvl>
    <w:lvl w:ilvl="6" w:tplc="F3CC625C">
      <w:numFmt w:val="decimal"/>
      <w:lvlText w:val=""/>
      <w:lvlJc w:val="left"/>
    </w:lvl>
    <w:lvl w:ilvl="7" w:tplc="C0809ED6">
      <w:numFmt w:val="decimal"/>
      <w:lvlText w:val=""/>
      <w:lvlJc w:val="left"/>
    </w:lvl>
    <w:lvl w:ilvl="8" w:tplc="1722CBB6">
      <w:numFmt w:val="decimal"/>
      <w:lvlText w:val=""/>
      <w:lvlJc w:val="left"/>
    </w:lvl>
  </w:abstractNum>
  <w:abstractNum w:abstractNumId="206" w15:restartNumberingAfterBreak="0">
    <w:nsid w:val="5451CF49"/>
    <w:multiLevelType w:val="hybridMultilevel"/>
    <w:tmpl w:val="F65CEDBA"/>
    <w:lvl w:ilvl="0" w:tplc="9A7E44A6">
      <w:start w:val="10"/>
      <w:numFmt w:val="decimal"/>
      <w:lvlText w:val="%1."/>
      <w:lvlJc w:val="left"/>
    </w:lvl>
    <w:lvl w:ilvl="1" w:tplc="E3B07702">
      <w:numFmt w:val="decimal"/>
      <w:lvlText w:val=""/>
      <w:lvlJc w:val="left"/>
    </w:lvl>
    <w:lvl w:ilvl="2" w:tplc="E6BAF3A6">
      <w:numFmt w:val="decimal"/>
      <w:lvlText w:val=""/>
      <w:lvlJc w:val="left"/>
    </w:lvl>
    <w:lvl w:ilvl="3" w:tplc="CECE31BC">
      <w:numFmt w:val="decimal"/>
      <w:lvlText w:val=""/>
      <w:lvlJc w:val="left"/>
    </w:lvl>
    <w:lvl w:ilvl="4" w:tplc="3EA0F3A6">
      <w:numFmt w:val="decimal"/>
      <w:lvlText w:val=""/>
      <w:lvlJc w:val="left"/>
    </w:lvl>
    <w:lvl w:ilvl="5" w:tplc="C8202B24">
      <w:numFmt w:val="decimal"/>
      <w:lvlText w:val=""/>
      <w:lvlJc w:val="left"/>
    </w:lvl>
    <w:lvl w:ilvl="6" w:tplc="5F0CB8F0">
      <w:numFmt w:val="decimal"/>
      <w:lvlText w:val=""/>
      <w:lvlJc w:val="left"/>
    </w:lvl>
    <w:lvl w:ilvl="7" w:tplc="5A48F4D2">
      <w:numFmt w:val="decimal"/>
      <w:lvlText w:val=""/>
      <w:lvlJc w:val="left"/>
    </w:lvl>
    <w:lvl w:ilvl="8" w:tplc="BCD25968">
      <w:numFmt w:val="decimal"/>
      <w:lvlText w:val=""/>
      <w:lvlJc w:val="left"/>
    </w:lvl>
  </w:abstractNum>
  <w:abstractNum w:abstractNumId="207" w15:restartNumberingAfterBreak="0">
    <w:nsid w:val="5454945E"/>
    <w:multiLevelType w:val="hybridMultilevel"/>
    <w:tmpl w:val="2682B594"/>
    <w:lvl w:ilvl="0" w:tplc="76F62786">
      <w:start w:val="1"/>
      <w:numFmt w:val="bullet"/>
      <w:lvlText w:val=" "/>
      <w:lvlJc w:val="left"/>
    </w:lvl>
    <w:lvl w:ilvl="1" w:tplc="9D22CF94">
      <w:numFmt w:val="decimal"/>
      <w:lvlText w:val=""/>
      <w:lvlJc w:val="left"/>
    </w:lvl>
    <w:lvl w:ilvl="2" w:tplc="1910D992">
      <w:numFmt w:val="decimal"/>
      <w:lvlText w:val=""/>
      <w:lvlJc w:val="left"/>
    </w:lvl>
    <w:lvl w:ilvl="3" w:tplc="5492CF9C">
      <w:numFmt w:val="decimal"/>
      <w:lvlText w:val=""/>
      <w:lvlJc w:val="left"/>
    </w:lvl>
    <w:lvl w:ilvl="4" w:tplc="24320532">
      <w:numFmt w:val="decimal"/>
      <w:lvlText w:val=""/>
      <w:lvlJc w:val="left"/>
    </w:lvl>
    <w:lvl w:ilvl="5" w:tplc="9468DB6C">
      <w:numFmt w:val="decimal"/>
      <w:lvlText w:val=""/>
      <w:lvlJc w:val="left"/>
    </w:lvl>
    <w:lvl w:ilvl="6" w:tplc="58CC237C">
      <w:numFmt w:val="decimal"/>
      <w:lvlText w:val=""/>
      <w:lvlJc w:val="left"/>
    </w:lvl>
    <w:lvl w:ilvl="7" w:tplc="ACD011E0">
      <w:numFmt w:val="decimal"/>
      <w:lvlText w:val=""/>
      <w:lvlJc w:val="left"/>
    </w:lvl>
    <w:lvl w:ilvl="8" w:tplc="2690CAFE">
      <w:numFmt w:val="decimal"/>
      <w:lvlText w:val=""/>
      <w:lvlJc w:val="left"/>
    </w:lvl>
  </w:abstractNum>
  <w:abstractNum w:abstractNumId="208" w15:restartNumberingAfterBreak="0">
    <w:nsid w:val="545EE5D3"/>
    <w:multiLevelType w:val="hybridMultilevel"/>
    <w:tmpl w:val="6CB4B8AC"/>
    <w:lvl w:ilvl="0" w:tplc="48F2F946">
      <w:start w:val="3"/>
      <w:numFmt w:val="decimal"/>
      <w:lvlText w:val="%1."/>
      <w:lvlJc w:val="left"/>
    </w:lvl>
    <w:lvl w:ilvl="1" w:tplc="9F7CF182">
      <w:numFmt w:val="decimal"/>
      <w:lvlText w:val=""/>
      <w:lvlJc w:val="left"/>
    </w:lvl>
    <w:lvl w:ilvl="2" w:tplc="8AEE5D2C">
      <w:numFmt w:val="decimal"/>
      <w:lvlText w:val=""/>
      <w:lvlJc w:val="left"/>
    </w:lvl>
    <w:lvl w:ilvl="3" w:tplc="FC0AA17C">
      <w:numFmt w:val="decimal"/>
      <w:lvlText w:val=""/>
      <w:lvlJc w:val="left"/>
    </w:lvl>
    <w:lvl w:ilvl="4" w:tplc="836674A4">
      <w:numFmt w:val="decimal"/>
      <w:lvlText w:val=""/>
      <w:lvlJc w:val="left"/>
    </w:lvl>
    <w:lvl w:ilvl="5" w:tplc="2A323E50">
      <w:numFmt w:val="decimal"/>
      <w:lvlText w:val=""/>
      <w:lvlJc w:val="left"/>
    </w:lvl>
    <w:lvl w:ilvl="6" w:tplc="DA54672C">
      <w:numFmt w:val="decimal"/>
      <w:lvlText w:val=""/>
      <w:lvlJc w:val="left"/>
    </w:lvl>
    <w:lvl w:ilvl="7" w:tplc="922057A2">
      <w:numFmt w:val="decimal"/>
      <w:lvlText w:val=""/>
      <w:lvlJc w:val="left"/>
    </w:lvl>
    <w:lvl w:ilvl="8" w:tplc="76D2CC4E">
      <w:numFmt w:val="decimal"/>
      <w:lvlText w:val=""/>
      <w:lvlJc w:val="left"/>
    </w:lvl>
  </w:abstractNum>
  <w:abstractNum w:abstractNumId="209" w15:restartNumberingAfterBreak="0">
    <w:nsid w:val="5551B9F3"/>
    <w:multiLevelType w:val="hybridMultilevel"/>
    <w:tmpl w:val="8370CC58"/>
    <w:lvl w:ilvl="0" w:tplc="CE9A9456">
      <w:start w:val="10"/>
      <w:numFmt w:val="decimal"/>
      <w:lvlText w:val="%1."/>
      <w:lvlJc w:val="left"/>
    </w:lvl>
    <w:lvl w:ilvl="1" w:tplc="2BBAD410">
      <w:numFmt w:val="decimal"/>
      <w:lvlText w:val=""/>
      <w:lvlJc w:val="left"/>
    </w:lvl>
    <w:lvl w:ilvl="2" w:tplc="1C3ED444">
      <w:numFmt w:val="decimal"/>
      <w:lvlText w:val=""/>
      <w:lvlJc w:val="left"/>
    </w:lvl>
    <w:lvl w:ilvl="3" w:tplc="E60C0E4A">
      <w:numFmt w:val="decimal"/>
      <w:lvlText w:val=""/>
      <w:lvlJc w:val="left"/>
    </w:lvl>
    <w:lvl w:ilvl="4" w:tplc="7C625DF6">
      <w:numFmt w:val="decimal"/>
      <w:lvlText w:val=""/>
      <w:lvlJc w:val="left"/>
    </w:lvl>
    <w:lvl w:ilvl="5" w:tplc="1374AFDC">
      <w:numFmt w:val="decimal"/>
      <w:lvlText w:val=""/>
      <w:lvlJc w:val="left"/>
    </w:lvl>
    <w:lvl w:ilvl="6" w:tplc="31584D54">
      <w:numFmt w:val="decimal"/>
      <w:lvlText w:val=""/>
      <w:lvlJc w:val="left"/>
    </w:lvl>
    <w:lvl w:ilvl="7" w:tplc="F684C120">
      <w:numFmt w:val="decimal"/>
      <w:lvlText w:val=""/>
      <w:lvlJc w:val="left"/>
    </w:lvl>
    <w:lvl w:ilvl="8" w:tplc="851AA4DA">
      <w:numFmt w:val="decimal"/>
      <w:lvlText w:val=""/>
      <w:lvlJc w:val="left"/>
    </w:lvl>
  </w:abstractNum>
  <w:abstractNum w:abstractNumId="210" w15:restartNumberingAfterBreak="0">
    <w:nsid w:val="56438D15"/>
    <w:multiLevelType w:val="hybridMultilevel"/>
    <w:tmpl w:val="C966DA82"/>
    <w:lvl w:ilvl="0" w:tplc="3D208438">
      <w:start w:val="1"/>
      <w:numFmt w:val="bullet"/>
      <w:lvlText w:val="*"/>
      <w:lvlJc w:val="left"/>
    </w:lvl>
    <w:lvl w:ilvl="1" w:tplc="BF281D2C">
      <w:numFmt w:val="decimal"/>
      <w:lvlText w:val=""/>
      <w:lvlJc w:val="left"/>
    </w:lvl>
    <w:lvl w:ilvl="2" w:tplc="62D2A172">
      <w:numFmt w:val="decimal"/>
      <w:lvlText w:val=""/>
      <w:lvlJc w:val="left"/>
    </w:lvl>
    <w:lvl w:ilvl="3" w:tplc="18442E02">
      <w:numFmt w:val="decimal"/>
      <w:lvlText w:val=""/>
      <w:lvlJc w:val="left"/>
    </w:lvl>
    <w:lvl w:ilvl="4" w:tplc="809A13CC">
      <w:numFmt w:val="decimal"/>
      <w:lvlText w:val=""/>
      <w:lvlJc w:val="left"/>
    </w:lvl>
    <w:lvl w:ilvl="5" w:tplc="DDFCC25C">
      <w:numFmt w:val="decimal"/>
      <w:lvlText w:val=""/>
      <w:lvlJc w:val="left"/>
    </w:lvl>
    <w:lvl w:ilvl="6" w:tplc="DF9E6A86">
      <w:numFmt w:val="decimal"/>
      <w:lvlText w:val=""/>
      <w:lvlJc w:val="left"/>
    </w:lvl>
    <w:lvl w:ilvl="7" w:tplc="201AE354">
      <w:numFmt w:val="decimal"/>
      <w:lvlText w:val=""/>
      <w:lvlJc w:val="left"/>
    </w:lvl>
    <w:lvl w:ilvl="8" w:tplc="B4FCCA88">
      <w:numFmt w:val="decimal"/>
      <w:lvlText w:val=""/>
      <w:lvlJc w:val="left"/>
    </w:lvl>
  </w:abstractNum>
  <w:abstractNum w:abstractNumId="211" w15:restartNumberingAfterBreak="0">
    <w:nsid w:val="565976F1"/>
    <w:multiLevelType w:val="hybridMultilevel"/>
    <w:tmpl w:val="AF945836"/>
    <w:lvl w:ilvl="0" w:tplc="6276E3D0">
      <w:start w:val="1"/>
      <w:numFmt w:val="bullet"/>
      <w:lvlText w:val=" "/>
      <w:lvlJc w:val="left"/>
    </w:lvl>
    <w:lvl w:ilvl="1" w:tplc="3B0ED182">
      <w:numFmt w:val="decimal"/>
      <w:lvlText w:val=""/>
      <w:lvlJc w:val="left"/>
    </w:lvl>
    <w:lvl w:ilvl="2" w:tplc="1A826AE6">
      <w:numFmt w:val="decimal"/>
      <w:lvlText w:val=""/>
      <w:lvlJc w:val="left"/>
    </w:lvl>
    <w:lvl w:ilvl="3" w:tplc="50D0D362">
      <w:numFmt w:val="decimal"/>
      <w:lvlText w:val=""/>
      <w:lvlJc w:val="left"/>
    </w:lvl>
    <w:lvl w:ilvl="4" w:tplc="E61A37A6">
      <w:numFmt w:val="decimal"/>
      <w:lvlText w:val=""/>
      <w:lvlJc w:val="left"/>
    </w:lvl>
    <w:lvl w:ilvl="5" w:tplc="35FC5A36">
      <w:numFmt w:val="decimal"/>
      <w:lvlText w:val=""/>
      <w:lvlJc w:val="left"/>
    </w:lvl>
    <w:lvl w:ilvl="6" w:tplc="4FB66268">
      <w:numFmt w:val="decimal"/>
      <w:lvlText w:val=""/>
      <w:lvlJc w:val="left"/>
    </w:lvl>
    <w:lvl w:ilvl="7" w:tplc="B23C1B30">
      <w:numFmt w:val="decimal"/>
      <w:lvlText w:val=""/>
      <w:lvlJc w:val="left"/>
    </w:lvl>
    <w:lvl w:ilvl="8" w:tplc="765AE6A4">
      <w:numFmt w:val="decimal"/>
      <w:lvlText w:val=""/>
      <w:lvlJc w:val="left"/>
    </w:lvl>
  </w:abstractNum>
  <w:abstractNum w:abstractNumId="212" w15:restartNumberingAfterBreak="0">
    <w:nsid w:val="5675FF36"/>
    <w:multiLevelType w:val="hybridMultilevel"/>
    <w:tmpl w:val="01E40722"/>
    <w:lvl w:ilvl="0" w:tplc="22824FDC">
      <w:start w:val="1"/>
      <w:numFmt w:val="bullet"/>
      <w:lvlText w:val=" "/>
      <w:lvlJc w:val="left"/>
    </w:lvl>
    <w:lvl w:ilvl="1" w:tplc="043A9674">
      <w:numFmt w:val="decimal"/>
      <w:lvlText w:val=""/>
      <w:lvlJc w:val="left"/>
    </w:lvl>
    <w:lvl w:ilvl="2" w:tplc="7DDCC18E">
      <w:numFmt w:val="decimal"/>
      <w:lvlText w:val=""/>
      <w:lvlJc w:val="left"/>
    </w:lvl>
    <w:lvl w:ilvl="3" w:tplc="F09A08DC">
      <w:numFmt w:val="decimal"/>
      <w:lvlText w:val=""/>
      <w:lvlJc w:val="left"/>
    </w:lvl>
    <w:lvl w:ilvl="4" w:tplc="4FEC62EE">
      <w:numFmt w:val="decimal"/>
      <w:lvlText w:val=""/>
      <w:lvlJc w:val="left"/>
    </w:lvl>
    <w:lvl w:ilvl="5" w:tplc="E4644D9E">
      <w:numFmt w:val="decimal"/>
      <w:lvlText w:val=""/>
      <w:lvlJc w:val="left"/>
    </w:lvl>
    <w:lvl w:ilvl="6" w:tplc="36F0ECA0">
      <w:numFmt w:val="decimal"/>
      <w:lvlText w:val=""/>
      <w:lvlJc w:val="left"/>
    </w:lvl>
    <w:lvl w:ilvl="7" w:tplc="71CAF4BE">
      <w:numFmt w:val="decimal"/>
      <w:lvlText w:val=""/>
      <w:lvlJc w:val="left"/>
    </w:lvl>
    <w:lvl w:ilvl="8" w:tplc="B7C23544">
      <w:numFmt w:val="decimal"/>
      <w:lvlText w:val=""/>
      <w:lvlJc w:val="left"/>
    </w:lvl>
  </w:abstractNum>
  <w:abstractNum w:abstractNumId="213" w15:restartNumberingAfterBreak="0">
    <w:nsid w:val="579328B9"/>
    <w:multiLevelType w:val="hybridMultilevel"/>
    <w:tmpl w:val="8C60CB54"/>
    <w:lvl w:ilvl="0" w:tplc="0388F0CA">
      <w:start w:val="1"/>
      <w:numFmt w:val="bullet"/>
      <w:lvlText w:val="*"/>
      <w:lvlJc w:val="left"/>
    </w:lvl>
    <w:lvl w:ilvl="1" w:tplc="10BAEE92">
      <w:numFmt w:val="decimal"/>
      <w:lvlText w:val=""/>
      <w:lvlJc w:val="left"/>
    </w:lvl>
    <w:lvl w:ilvl="2" w:tplc="064A9FB8">
      <w:numFmt w:val="decimal"/>
      <w:lvlText w:val=""/>
      <w:lvlJc w:val="left"/>
    </w:lvl>
    <w:lvl w:ilvl="3" w:tplc="D130C1DE">
      <w:numFmt w:val="decimal"/>
      <w:lvlText w:val=""/>
      <w:lvlJc w:val="left"/>
    </w:lvl>
    <w:lvl w:ilvl="4" w:tplc="00FE4996">
      <w:numFmt w:val="decimal"/>
      <w:lvlText w:val=""/>
      <w:lvlJc w:val="left"/>
    </w:lvl>
    <w:lvl w:ilvl="5" w:tplc="8E667D2E">
      <w:numFmt w:val="decimal"/>
      <w:lvlText w:val=""/>
      <w:lvlJc w:val="left"/>
    </w:lvl>
    <w:lvl w:ilvl="6" w:tplc="DE40CAA8">
      <w:numFmt w:val="decimal"/>
      <w:lvlText w:val=""/>
      <w:lvlJc w:val="left"/>
    </w:lvl>
    <w:lvl w:ilvl="7" w:tplc="1D84A3FE">
      <w:numFmt w:val="decimal"/>
      <w:lvlText w:val=""/>
      <w:lvlJc w:val="left"/>
    </w:lvl>
    <w:lvl w:ilvl="8" w:tplc="CC24342C">
      <w:numFmt w:val="decimal"/>
      <w:lvlText w:val=""/>
      <w:lvlJc w:val="left"/>
    </w:lvl>
  </w:abstractNum>
  <w:abstractNum w:abstractNumId="214" w15:restartNumberingAfterBreak="0">
    <w:nsid w:val="57A61A29"/>
    <w:multiLevelType w:val="hybridMultilevel"/>
    <w:tmpl w:val="3F168B70"/>
    <w:lvl w:ilvl="0" w:tplc="BBB82164">
      <w:start w:val="1"/>
      <w:numFmt w:val="lowerLetter"/>
      <w:lvlText w:val="%1"/>
      <w:lvlJc w:val="left"/>
    </w:lvl>
    <w:lvl w:ilvl="1" w:tplc="6AF479D6">
      <w:numFmt w:val="decimal"/>
      <w:lvlText w:val=""/>
      <w:lvlJc w:val="left"/>
    </w:lvl>
    <w:lvl w:ilvl="2" w:tplc="A8401BB4">
      <w:numFmt w:val="decimal"/>
      <w:lvlText w:val=""/>
      <w:lvlJc w:val="left"/>
    </w:lvl>
    <w:lvl w:ilvl="3" w:tplc="4EC8C57E">
      <w:numFmt w:val="decimal"/>
      <w:lvlText w:val=""/>
      <w:lvlJc w:val="left"/>
    </w:lvl>
    <w:lvl w:ilvl="4" w:tplc="EA4A957E">
      <w:numFmt w:val="decimal"/>
      <w:lvlText w:val=""/>
      <w:lvlJc w:val="left"/>
    </w:lvl>
    <w:lvl w:ilvl="5" w:tplc="73C859EA">
      <w:numFmt w:val="decimal"/>
      <w:lvlText w:val=""/>
      <w:lvlJc w:val="left"/>
    </w:lvl>
    <w:lvl w:ilvl="6" w:tplc="B75849CC">
      <w:numFmt w:val="decimal"/>
      <w:lvlText w:val=""/>
      <w:lvlJc w:val="left"/>
    </w:lvl>
    <w:lvl w:ilvl="7" w:tplc="A84A9F88">
      <w:numFmt w:val="decimal"/>
      <w:lvlText w:val=""/>
      <w:lvlJc w:val="left"/>
    </w:lvl>
    <w:lvl w:ilvl="8" w:tplc="96885DA4">
      <w:numFmt w:val="decimal"/>
      <w:lvlText w:val=""/>
      <w:lvlJc w:val="left"/>
    </w:lvl>
  </w:abstractNum>
  <w:abstractNum w:abstractNumId="215" w15:restartNumberingAfterBreak="0">
    <w:nsid w:val="57C7D42D"/>
    <w:multiLevelType w:val="hybridMultilevel"/>
    <w:tmpl w:val="B51A305C"/>
    <w:lvl w:ilvl="0" w:tplc="A44A5012">
      <w:start w:val="1"/>
      <w:numFmt w:val="bullet"/>
      <w:lvlText w:val=" "/>
      <w:lvlJc w:val="left"/>
    </w:lvl>
    <w:lvl w:ilvl="1" w:tplc="3B1E45C0">
      <w:numFmt w:val="decimal"/>
      <w:lvlText w:val=""/>
      <w:lvlJc w:val="left"/>
    </w:lvl>
    <w:lvl w:ilvl="2" w:tplc="6B8C6AB2">
      <w:numFmt w:val="decimal"/>
      <w:lvlText w:val=""/>
      <w:lvlJc w:val="left"/>
    </w:lvl>
    <w:lvl w:ilvl="3" w:tplc="D0BC5054">
      <w:numFmt w:val="decimal"/>
      <w:lvlText w:val=""/>
      <w:lvlJc w:val="left"/>
    </w:lvl>
    <w:lvl w:ilvl="4" w:tplc="0C2662BC">
      <w:numFmt w:val="decimal"/>
      <w:lvlText w:val=""/>
      <w:lvlJc w:val="left"/>
    </w:lvl>
    <w:lvl w:ilvl="5" w:tplc="4FECA362">
      <w:numFmt w:val="decimal"/>
      <w:lvlText w:val=""/>
      <w:lvlJc w:val="left"/>
    </w:lvl>
    <w:lvl w:ilvl="6" w:tplc="594E9084">
      <w:numFmt w:val="decimal"/>
      <w:lvlText w:val=""/>
      <w:lvlJc w:val="left"/>
    </w:lvl>
    <w:lvl w:ilvl="7" w:tplc="89C254FA">
      <w:numFmt w:val="decimal"/>
      <w:lvlText w:val=""/>
      <w:lvlJc w:val="left"/>
    </w:lvl>
    <w:lvl w:ilvl="8" w:tplc="969A1142">
      <w:numFmt w:val="decimal"/>
      <w:lvlText w:val=""/>
      <w:lvlJc w:val="left"/>
    </w:lvl>
  </w:abstractNum>
  <w:abstractNum w:abstractNumId="216" w15:restartNumberingAfterBreak="0">
    <w:nsid w:val="57D2F10E"/>
    <w:multiLevelType w:val="hybridMultilevel"/>
    <w:tmpl w:val="2B26D604"/>
    <w:lvl w:ilvl="0" w:tplc="0B24D27E">
      <w:start w:val="1"/>
      <w:numFmt w:val="lowerLetter"/>
      <w:lvlText w:val="%1"/>
      <w:lvlJc w:val="left"/>
    </w:lvl>
    <w:lvl w:ilvl="1" w:tplc="D2C4339E">
      <w:numFmt w:val="decimal"/>
      <w:lvlText w:val=""/>
      <w:lvlJc w:val="left"/>
    </w:lvl>
    <w:lvl w:ilvl="2" w:tplc="A0E04364">
      <w:numFmt w:val="decimal"/>
      <w:lvlText w:val=""/>
      <w:lvlJc w:val="left"/>
    </w:lvl>
    <w:lvl w:ilvl="3" w:tplc="D5966346">
      <w:numFmt w:val="decimal"/>
      <w:lvlText w:val=""/>
      <w:lvlJc w:val="left"/>
    </w:lvl>
    <w:lvl w:ilvl="4" w:tplc="EF6C8788">
      <w:numFmt w:val="decimal"/>
      <w:lvlText w:val=""/>
      <w:lvlJc w:val="left"/>
    </w:lvl>
    <w:lvl w:ilvl="5" w:tplc="DC647FF2">
      <w:numFmt w:val="decimal"/>
      <w:lvlText w:val=""/>
      <w:lvlJc w:val="left"/>
    </w:lvl>
    <w:lvl w:ilvl="6" w:tplc="EB40811E">
      <w:numFmt w:val="decimal"/>
      <w:lvlText w:val=""/>
      <w:lvlJc w:val="left"/>
    </w:lvl>
    <w:lvl w:ilvl="7" w:tplc="BF2C8B12">
      <w:numFmt w:val="decimal"/>
      <w:lvlText w:val=""/>
      <w:lvlJc w:val="left"/>
    </w:lvl>
    <w:lvl w:ilvl="8" w:tplc="D1C88240">
      <w:numFmt w:val="decimal"/>
      <w:lvlText w:val=""/>
      <w:lvlJc w:val="left"/>
    </w:lvl>
  </w:abstractNum>
  <w:abstractNum w:abstractNumId="217" w15:restartNumberingAfterBreak="0">
    <w:nsid w:val="5895F5FA"/>
    <w:multiLevelType w:val="hybridMultilevel"/>
    <w:tmpl w:val="F5067F84"/>
    <w:lvl w:ilvl="0" w:tplc="7BBA0A5A">
      <w:start w:val="4"/>
      <w:numFmt w:val="decimal"/>
      <w:lvlText w:val="%1."/>
      <w:lvlJc w:val="left"/>
    </w:lvl>
    <w:lvl w:ilvl="1" w:tplc="862CED3A">
      <w:numFmt w:val="decimal"/>
      <w:lvlText w:val=""/>
      <w:lvlJc w:val="left"/>
    </w:lvl>
    <w:lvl w:ilvl="2" w:tplc="4EFA4432">
      <w:numFmt w:val="decimal"/>
      <w:lvlText w:val=""/>
      <w:lvlJc w:val="left"/>
    </w:lvl>
    <w:lvl w:ilvl="3" w:tplc="B746ACB2">
      <w:numFmt w:val="decimal"/>
      <w:lvlText w:val=""/>
      <w:lvlJc w:val="left"/>
    </w:lvl>
    <w:lvl w:ilvl="4" w:tplc="A4805454">
      <w:numFmt w:val="decimal"/>
      <w:lvlText w:val=""/>
      <w:lvlJc w:val="left"/>
    </w:lvl>
    <w:lvl w:ilvl="5" w:tplc="ABEAE488">
      <w:numFmt w:val="decimal"/>
      <w:lvlText w:val=""/>
      <w:lvlJc w:val="left"/>
    </w:lvl>
    <w:lvl w:ilvl="6" w:tplc="D7E02522">
      <w:numFmt w:val="decimal"/>
      <w:lvlText w:val=""/>
      <w:lvlJc w:val="left"/>
    </w:lvl>
    <w:lvl w:ilvl="7" w:tplc="CF5A5DBC">
      <w:numFmt w:val="decimal"/>
      <w:lvlText w:val=""/>
      <w:lvlJc w:val="left"/>
    </w:lvl>
    <w:lvl w:ilvl="8" w:tplc="52DAEE0C">
      <w:numFmt w:val="decimal"/>
      <w:lvlText w:val=""/>
      <w:lvlJc w:val="left"/>
    </w:lvl>
  </w:abstractNum>
  <w:abstractNum w:abstractNumId="218" w15:restartNumberingAfterBreak="0">
    <w:nsid w:val="5915FF32"/>
    <w:multiLevelType w:val="hybridMultilevel"/>
    <w:tmpl w:val="1D30136C"/>
    <w:lvl w:ilvl="0" w:tplc="5350BAF4">
      <w:start w:val="1"/>
      <w:numFmt w:val="upperLetter"/>
      <w:lvlText w:val="%1"/>
      <w:lvlJc w:val="left"/>
    </w:lvl>
    <w:lvl w:ilvl="1" w:tplc="D52475A6">
      <w:numFmt w:val="decimal"/>
      <w:lvlText w:val=""/>
      <w:lvlJc w:val="left"/>
    </w:lvl>
    <w:lvl w:ilvl="2" w:tplc="EC507972">
      <w:numFmt w:val="decimal"/>
      <w:lvlText w:val=""/>
      <w:lvlJc w:val="left"/>
    </w:lvl>
    <w:lvl w:ilvl="3" w:tplc="AAC48F64">
      <w:numFmt w:val="decimal"/>
      <w:lvlText w:val=""/>
      <w:lvlJc w:val="left"/>
    </w:lvl>
    <w:lvl w:ilvl="4" w:tplc="8A4CE5C6">
      <w:numFmt w:val="decimal"/>
      <w:lvlText w:val=""/>
      <w:lvlJc w:val="left"/>
    </w:lvl>
    <w:lvl w:ilvl="5" w:tplc="8D160688">
      <w:numFmt w:val="decimal"/>
      <w:lvlText w:val=""/>
      <w:lvlJc w:val="left"/>
    </w:lvl>
    <w:lvl w:ilvl="6" w:tplc="FA88ECA0">
      <w:numFmt w:val="decimal"/>
      <w:lvlText w:val=""/>
      <w:lvlJc w:val="left"/>
    </w:lvl>
    <w:lvl w:ilvl="7" w:tplc="5C14F276">
      <w:numFmt w:val="decimal"/>
      <w:lvlText w:val=""/>
      <w:lvlJc w:val="left"/>
    </w:lvl>
    <w:lvl w:ilvl="8" w:tplc="2C18FF7C">
      <w:numFmt w:val="decimal"/>
      <w:lvlText w:val=""/>
      <w:lvlJc w:val="left"/>
    </w:lvl>
  </w:abstractNum>
  <w:abstractNum w:abstractNumId="219" w15:restartNumberingAfterBreak="0">
    <w:nsid w:val="597B4D84"/>
    <w:multiLevelType w:val="hybridMultilevel"/>
    <w:tmpl w:val="46327668"/>
    <w:lvl w:ilvl="0" w:tplc="EE12DA18">
      <w:start w:val="11"/>
      <w:numFmt w:val="decimal"/>
      <w:lvlText w:val="%1."/>
      <w:lvlJc w:val="left"/>
    </w:lvl>
    <w:lvl w:ilvl="1" w:tplc="71DC92A6">
      <w:numFmt w:val="decimal"/>
      <w:lvlText w:val=""/>
      <w:lvlJc w:val="left"/>
    </w:lvl>
    <w:lvl w:ilvl="2" w:tplc="6A7EBB12">
      <w:numFmt w:val="decimal"/>
      <w:lvlText w:val=""/>
      <w:lvlJc w:val="left"/>
    </w:lvl>
    <w:lvl w:ilvl="3" w:tplc="2E224A7E">
      <w:numFmt w:val="decimal"/>
      <w:lvlText w:val=""/>
      <w:lvlJc w:val="left"/>
    </w:lvl>
    <w:lvl w:ilvl="4" w:tplc="537C2F72">
      <w:numFmt w:val="decimal"/>
      <w:lvlText w:val=""/>
      <w:lvlJc w:val="left"/>
    </w:lvl>
    <w:lvl w:ilvl="5" w:tplc="80780CF8">
      <w:numFmt w:val="decimal"/>
      <w:lvlText w:val=""/>
      <w:lvlJc w:val="left"/>
    </w:lvl>
    <w:lvl w:ilvl="6" w:tplc="E33C0586">
      <w:numFmt w:val="decimal"/>
      <w:lvlText w:val=""/>
      <w:lvlJc w:val="left"/>
    </w:lvl>
    <w:lvl w:ilvl="7" w:tplc="4DB0D782">
      <w:numFmt w:val="decimal"/>
      <w:lvlText w:val=""/>
      <w:lvlJc w:val="left"/>
    </w:lvl>
    <w:lvl w:ilvl="8" w:tplc="584CAC4A">
      <w:numFmt w:val="decimal"/>
      <w:lvlText w:val=""/>
      <w:lvlJc w:val="left"/>
    </w:lvl>
  </w:abstractNum>
  <w:abstractNum w:abstractNumId="220" w15:restartNumberingAfterBreak="0">
    <w:nsid w:val="59F3103B"/>
    <w:multiLevelType w:val="hybridMultilevel"/>
    <w:tmpl w:val="C3A062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1" w15:restartNumberingAfterBreak="0">
    <w:nsid w:val="5A9CC3E5"/>
    <w:multiLevelType w:val="hybridMultilevel"/>
    <w:tmpl w:val="D12C3F12"/>
    <w:lvl w:ilvl="0" w:tplc="EFBA58C4">
      <w:start w:val="4"/>
      <w:numFmt w:val="decimal"/>
      <w:lvlText w:val="%1."/>
      <w:lvlJc w:val="left"/>
    </w:lvl>
    <w:lvl w:ilvl="1" w:tplc="B1442E66">
      <w:numFmt w:val="decimal"/>
      <w:lvlText w:val=""/>
      <w:lvlJc w:val="left"/>
    </w:lvl>
    <w:lvl w:ilvl="2" w:tplc="63124A00">
      <w:numFmt w:val="decimal"/>
      <w:lvlText w:val=""/>
      <w:lvlJc w:val="left"/>
    </w:lvl>
    <w:lvl w:ilvl="3" w:tplc="5526E8B0">
      <w:numFmt w:val="decimal"/>
      <w:lvlText w:val=""/>
      <w:lvlJc w:val="left"/>
    </w:lvl>
    <w:lvl w:ilvl="4" w:tplc="287EB04A">
      <w:numFmt w:val="decimal"/>
      <w:lvlText w:val=""/>
      <w:lvlJc w:val="left"/>
    </w:lvl>
    <w:lvl w:ilvl="5" w:tplc="9D86BD42">
      <w:numFmt w:val="decimal"/>
      <w:lvlText w:val=""/>
      <w:lvlJc w:val="left"/>
    </w:lvl>
    <w:lvl w:ilvl="6" w:tplc="0F1AA0F2">
      <w:numFmt w:val="decimal"/>
      <w:lvlText w:val=""/>
      <w:lvlJc w:val="left"/>
    </w:lvl>
    <w:lvl w:ilvl="7" w:tplc="F3442B52">
      <w:numFmt w:val="decimal"/>
      <w:lvlText w:val=""/>
      <w:lvlJc w:val="left"/>
    </w:lvl>
    <w:lvl w:ilvl="8" w:tplc="3D1A7204">
      <w:numFmt w:val="decimal"/>
      <w:lvlText w:val=""/>
      <w:lvlJc w:val="left"/>
    </w:lvl>
  </w:abstractNum>
  <w:abstractNum w:abstractNumId="222" w15:restartNumberingAfterBreak="0">
    <w:nsid w:val="5B25ACE2"/>
    <w:multiLevelType w:val="hybridMultilevel"/>
    <w:tmpl w:val="81587EF0"/>
    <w:lvl w:ilvl="0" w:tplc="312E1B18">
      <w:start w:val="1"/>
      <w:numFmt w:val="upperLetter"/>
      <w:lvlText w:val="%1"/>
      <w:lvlJc w:val="left"/>
    </w:lvl>
    <w:lvl w:ilvl="1" w:tplc="C4207478">
      <w:numFmt w:val="decimal"/>
      <w:lvlText w:val=""/>
      <w:lvlJc w:val="left"/>
    </w:lvl>
    <w:lvl w:ilvl="2" w:tplc="90DE1C52">
      <w:numFmt w:val="decimal"/>
      <w:lvlText w:val=""/>
      <w:lvlJc w:val="left"/>
    </w:lvl>
    <w:lvl w:ilvl="3" w:tplc="F5DCBB8A">
      <w:numFmt w:val="decimal"/>
      <w:lvlText w:val=""/>
      <w:lvlJc w:val="left"/>
    </w:lvl>
    <w:lvl w:ilvl="4" w:tplc="3B0C86A2">
      <w:numFmt w:val="decimal"/>
      <w:lvlText w:val=""/>
      <w:lvlJc w:val="left"/>
    </w:lvl>
    <w:lvl w:ilvl="5" w:tplc="9358022C">
      <w:numFmt w:val="decimal"/>
      <w:lvlText w:val=""/>
      <w:lvlJc w:val="left"/>
    </w:lvl>
    <w:lvl w:ilvl="6" w:tplc="BB649400">
      <w:numFmt w:val="decimal"/>
      <w:lvlText w:val=""/>
      <w:lvlJc w:val="left"/>
    </w:lvl>
    <w:lvl w:ilvl="7" w:tplc="542E0164">
      <w:numFmt w:val="decimal"/>
      <w:lvlText w:val=""/>
      <w:lvlJc w:val="left"/>
    </w:lvl>
    <w:lvl w:ilvl="8" w:tplc="92D225EA">
      <w:numFmt w:val="decimal"/>
      <w:lvlText w:val=""/>
      <w:lvlJc w:val="left"/>
    </w:lvl>
  </w:abstractNum>
  <w:abstractNum w:abstractNumId="223" w15:restartNumberingAfterBreak="0">
    <w:nsid w:val="5C17530C"/>
    <w:multiLevelType w:val="hybridMultilevel"/>
    <w:tmpl w:val="EBD60C4C"/>
    <w:lvl w:ilvl="0" w:tplc="0144C9C8">
      <w:start w:val="1"/>
      <w:numFmt w:val="bullet"/>
      <w:lvlText w:val=" "/>
      <w:lvlJc w:val="left"/>
    </w:lvl>
    <w:lvl w:ilvl="1" w:tplc="B8923166">
      <w:numFmt w:val="decimal"/>
      <w:lvlText w:val=""/>
      <w:lvlJc w:val="left"/>
    </w:lvl>
    <w:lvl w:ilvl="2" w:tplc="989E666A">
      <w:numFmt w:val="decimal"/>
      <w:lvlText w:val=""/>
      <w:lvlJc w:val="left"/>
    </w:lvl>
    <w:lvl w:ilvl="3" w:tplc="4BEC2F3A">
      <w:numFmt w:val="decimal"/>
      <w:lvlText w:val=""/>
      <w:lvlJc w:val="left"/>
    </w:lvl>
    <w:lvl w:ilvl="4" w:tplc="37FE5C58">
      <w:numFmt w:val="decimal"/>
      <w:lvlText w:val=""/>
      <w:lvlJc w:val="left"/>
    </w:lvl>
    <w:lvl w:ilvl="5" w:tplc="FE92F4B8">
      <w:numFmt w:val="decimal"/>
      <w:lvlText w:val=""/>
      <w:lvlJc w:val="left"/>
    </w:lvl>
    <w:lvl w:ilvl="6" w:tplc="BE289C72">
      <w:numFmt w:val="decimal"/>
      <w:lvlText w:val=""/>
      <w:lvlJc w:val="left"/>
    </w:lvl>
    <w:lvl w:ilvl="7" w:tplc="661822F0">
      <w:numFmt w:val="decimal"/>
      <w:lvlText w:val=""/>
      <w:lvlJc w:val="left"/>
    </w:lvl>
    <w:lvl w:ilvl="8" w:tplc="948A1BD4">
      <w:numFmt w:val="decimal"/>
      <w:lvlText w:val=""/>
      <w:lvlJc w:val="left"/>
    </w:lvl>
  </w:abstractNum>
  <w:abstractNum w:abstractNumId="224" w15:restartNumberingAfterBreak="0">
    <w:nsid w:val="5C49EAEE"/>
    <w:multiLevelType w:val="hybridMultilevel"/>
    <w:tmpl w:val="BC664156"/>
    <w:lvl w:ilvl="0" w:tplc="01767EB6">
      <w:start w:val="17"/>
      <w:numFmt w:val="decimal"/>
      <w:lvlText w:val="%1."/>
      <w:lvlJc w:val="left"/>
    </w:lvl>
    <w:lvl w:ilvl="1" w:tplc="AFA4BF76">
      <w:numFmt w:val="decimal"/>
      <w:lvlText w:val=""/>
      <w:lvlJc w:val="left"/>
    </w:lvl>
    <w:lvl w:ilvl="2" w:tplc="BC94F35C">
      <w:numFmt w:val="decimal"/>
      <w:lvlText w:val=""/>
      <w:lvlJc w:val="left"/>
    </w:lvl>
    <w:lvl w:ilvl="3" w:tplc="B10826A6">
      <w:numFmt w:val="decimal"/>
      <w:lvlText w:val=""/>
      <w:lvlJc w:val="left"/>
    </w:lvl>
    <w:lvl w:ilvl="4" w:tplc="24786DAE">
      <w:numFmt w:val="decimal"/>
      <w:lvlText w:val=""/>
      <w:lvlJc w:val="left"/>
    </w:lvl>
    <w:lvl w:ilvl="5" w:tplc="2968F394">
      <w:numFmt w:val="decimal"/>
      <w:lvlText w:val=""/>
      <w:lvlJc w:val="left"/>
    </w:lvl>
    <w:lvl w:ilvl="6" w:tplc="2BC0F26A">
      <w:numFmt w:val="decimal"/>
      <w:lvlText w:val=""/>
      <w:lvlJc w:val="left"/>
    </w:lvl>
    <w:lvl w:ilvl="7" w:tplc="8AA66636">
      <w:numFmt w:val="decimal"/>
      <w:lvlText w:val=""/>
      <w:lvlJc w:val="left"/>
    </w:lvl>
    <w:lvl w:ilvl="8" w:tplc="7E5C04AA">
      <w:numFmt w:val="decimal"/>
      <w:lvlText w:val=""/>
      <w:lvlJc w:val="left"/>
    </w:lvl>
  </w:abstractNum>
  <w:abstractNum w:abstractNumId="225" w15:restartNumberingAfterBreak="0">
    <w:nsid w:val="5CB44A05"/>
    <w:multiLevelType w:val="hybridMultilevel"/>
    <w:tmpl w:val="FE2A1FD4"/>
    <w:lvl w:ilvl="0" w:tplc="568220B2">
      <w:start w:val="6"/>
      <w:numFmt w:val="decimal"/>
      <w:lvlText w:val="%1."/>
      <w:lvlJc w:val="left"/>
    </w:lvl>
    <w:lvl w:ilvl="1" w:tplc="91B8A2FA">
      <w:numFmt w:val="decimal"/>
      <w:lvlText w:val=""/>
      <w:lvlJc w:val="left"/>
    </w:lvl>
    <w:lvl w:ilvl="2" w:tplc="D71040D8">
      <w:numFmt w:val="decimal"/>
      <w:lvlText w:val=""/>
      <w:lvlJc w:val="left"/>
    </w:lvl>
    <w:lvl w:ilvl="3" w:tplc="214A887A">
      <w:numFmt w:val="decimal"/>
      <w:lvlText w:val=""/>
      <w:lvlJc w:val="left"/>
    </w:lvl>
    <w:lvl w:ilvl="4" w:tplc="545A85B0">
      <w:numFmt w:val="decimal"/>
      <w:lvlText w:val=""/>
      <w:lvlJc w:val="left"/>
    </w:lvl>
    <w:lvl w:ilvl="5" w:tplc="15B050F2">
      <w:numFmt w:val="decimal"/>
      <w:lvlText w:val=""/>
      <w:lvlJc w:val="left"/>
    </w:lvl>
    <w:lvl w:ilvl="6" w:tplc="DF52C956">
      <w:numFmt w:val="decimal"/>
      <w:lvlText w:val=""/>
      <w:lvlJc w:val="left"/>
    </w:lvl>
    <w:lvl w:ilvl="7" w:tplc="9BCA0CEE">
      <w:numFmt w:val="decimal"/>
      <w:lvlText w:val=""/>
      <w:lvlJc w:val="left"/>
    </w:lvl>
    <w:lvl w:ilvl="8" w:tplc="5472FE56">
      <w:numFmt w:val="decimal"/>
      <w:lvlText w:val=""/>
      <w:lvlJc w:val="left"/>
    </w:lvl>
  </w:abstractNum>
  <w:abstractNum w:abstractNumId="226" w15:restartNumberingAfterBreak="0">
    <w:nsid w:val="5D205E20"/>
    <w:multiLevelType w:val="hybridMultilevel"/>
    <w:tmpl w:val="CA583A9C"/>
    <w:lvl w:ilvl="0" w:tplc="D48EDCA2">
      <w:start w:val="15"/>
      <w:numFmt w:val="decimal"/>
      <w:lvlText w:val="%1."/>
      <w:lvlJc w:val="left"/>
    </w:lvl>
    <w:lvl w:ilvl="1" w:tplc="E2DCC934">
      <w:numFmt w:val="decimal"/>
      <w:lvlText w:val=""/>
      <w:lvlJc w:val="left"/>
    </w:lvl>
    <w:lvl w:ilvl="2" w:tplc="7B1202CC">
      <w:numFmt w:val="decimal"/>
      <w:lvlText w:val=""/>
      <w:lvlJc w:val="left"/>
    </w:lvl>
    <w:lvl w:ilvl="3" w:tplc="B6DE0FC6">
      <w:numFmt w:val="decimal"/>
      <w:lvlText w:val=""/>
      <w:lvlJc w:val="left"/>
    </w:lvl>
    <w:lvl w:ilvl="4" w:tplc="8CCAC9C2">
      <w:numFmt w:val="decimal"/>
      <w:lvlText w:val=""/>
      <w:lvlJc w:val="left"/>
    </w:lvl>
    <w:lvl w:ilvl="5" w:tplc="AC98CD14">
      <w:numFmt w:val="decimal"/>
      <w:lvlText w:val=""/>
      <w:lvlJc w:val="left"/>
    </w:lvl>
    <w:lvl w:ilvl="6" w:tplc="252A4280">
      <w:numFmt w:val="decimal"/>
      <w:lvlText w:val=""/>
      <w:lvlJc w:val="left"/>
    </w:lvl>
    <w:lvl w:ilvl="7" w:tplc="8124B788">
      <w:numFmt w:val="decimal"/>
      <w:lvlText w:val=""/>
      <w:lvlJc w:val="left"/>
    </w:lvl>
    <w:lvl w:ilvl="8" w:tplc="80C6B188">
      <w:numFmt w:val="decimal"/>
      <w:lvlText w:val=""/>
      <w:lvlJc w:val="left"/>
    </w:lvl>
  </w:abstractNum>
  <w:abstractNum w:abstractNumId="227" w15:restartNumberingAfterBreak="0">
    <w:nsid w:val="5D5BABB3"/>
    <w:multiLevelType w:val="hybridMultilevel"/>
    <w:tmpl w:val="12328D24"/>
    <w:lvl w:ilvl="0" w:tplc="0CCE7F88">
      <w:start w:val="2"/>
      <w:numFmt w:val="decimal"/>
      <w:lvlText w:val="%1."/>
      <w:lvlJc w:val="left"/>
    </w:lvl>
    <w:lvl w:ilvl="1" w:tplc="25905212">
      <w:numFmt w:val="decimal"/>
      <w:lvlText w:val=""/>
      <w:lvlJc w:val="left"/>
    </w:lvl>
    <w:lvl w:ilvl="2" w:tplc="E59ACDE4">
      <w:numFmt w:val="decimal"/>
      <w:lvlText w:val=""/>
      <w:lvlJc w:val="left"/>
    </w:lvl>
    <w:lvl w:ilvl="3" w:tplc="5CDCE3EE">
      <w:numFmt w:val="decimal"/>
      <w:lvlText w:val=""/>
      <w:lvlJc w:val="left"/>
    </w:lvl>
    <w:lvl w:ilvl="4" w:tplc="B70CEAB6">
      <w:numFmt w:val="decimal"/>
      <w:lvlText w:val=""/>
      <w:lvlJc w:val="left"/>
    </w:lvl>
    <w:lvl w:ilvl="5" w:tplc="CE0E71C6">
      <w:numFmt w:val="decimal"/>
      <w:lvlText w:val=""/>
      <w:lvlJc w:val="left"/>
    </w:lvl>
    <w:lvl w:ilvl="6" w:tplc="4112C5B6">
      <w:numFmt w:val="decimal"/>
      <w:lvlText w:val=""/>
      <w:lvlJc w:val="left"/>
    </w:lvl>
    <w:lvl w:ilvl="7" w:tplc="631ED5A4">
      <w:numFmt w:val="decimal"/>
      <w:lvlText w:val=""/>
      <w:lvlJc w:val="left"/>
    </w:lvl>
    <w:lvl w:ilvl="8" w:tplc="AF96BBE0">
      <w:numFmt w:val="decimal"/>
      <w:lvlText w:val=""/>
      <w:lvlJc w:val="left"/>
    </w:lvl>
  </w:abstractNum>
  <w:abstractNum w:abstractNumId="228" w15:restartNumberingAfterBreak="0">
    <w:nsid w:val="5D888A08"/>
    <w:multiLevelType w:val="hybridMultilevel"/>
    <w:tmpl w:val="791E11EA"/>
    <w:lvl w:ilvl="0" w:tplc="B7805CE2">
      <w:start w:val="11"/>
      <w:numFmt w:val="decimal"/>
      <w:lvlText w:val="%1."/>
      <w:lvlJc w:val="left"/>
    </w:lvl>
    <w:lvl w:ilvl="1" w:tplc="CBAE835C">
      <w:numFmt w:val="decimal"/>
      <w:lvlText w:val=""/>
      <w:lvlJc w:val="left"/>
    </w:lvl>
    <w:lvl w:ilvl="2" w:tplc="0052976A">
      <w:numFmt w:val="decimal"/>
      <w:lvlText w:val=""/>
      <w:lvlJc w:val="left"/>
    </w:lvl>
    <w:lvl w:ilvl="3" w:tplc="2F74D506">
      <w:numFmt w:val="decimal"/>
      <w:lvlText w:val=""/>
      <w:lvlJc w:val="left"/>
    </w:lvl>
    <w:lvl w:ilvl="4" w:tplc="EED045D2">
      <w:numFmt w:val="decimal"/>
      <w:lvlText w:val=""/>
      <w:lvlJc w:val="left"/>
    </w:lvl>
    <w:lvl w:ilvl="5" w:tplc="ED1871FC">
      <w:numFmt w:val="decimal"/>
      <w:lvlText w:val=""/>
      <w:lvlJc w:val="left"/>
    </w:lvl>
    <w:lvl w:ilvl="6" w:tplc="3AFA120A">
      <w:numFmt w:val="decimal"/>
      <w:lvlText w:val=""/>
      <w:lvlJc w:val="left"/>
    </w:lvl>
    <w:lvl w:ilvl="7" w:tplc="8E7A42A0">
      <w:numFmt w:val="decimal"/>
      <w:lvlText w:val=""/>
      <w:lvlJc w:val="left"/>
    </w:lvl>
    <w:lvl w:ilvl="8" w:tplc="783867EA">
      <w:numFmt w:val="decimal"/>
      <w:lvlText w:val=""/>
      <w:lvlJc w:val="left"/>
    </w:lvl>
  </w:abstractNum>
  <w:abstractNum w:abstractNumId="229" w15:restartNumberingAfterBreak="0">
    <w:nsid w:val="5EC6AFD4"/>
    <w:multiLevelType w:val="hybridMultilevel"/>
    <w:tmpl w:val="00229324"/>
    <w:lvl w:ilvl="0" w:tplc="53F2FCE2">
      <w:start w:val="1"/>
      <w:numFmt w:val="bullet"/>
      <w:lvlText w:val="*"/>
      <w:lvlJc w:val="left"/>
    </w:lvl>
    <w:lvl w:ilvl="1" w:tplc="2CC86BB2">
      <w:numFmt w:val="decimal"/>
      <w:lvlText w:val=""/>
      <w:lvlJc w:val="left"/>
    </w:lvl>
    <w:lvl w:ilvl="2" w:tplc="15966518">
      <w:numFmt w:val="decimal"/>
      <w:lvlText w:val=""/>
      <w:lvlJc w:val="left"/>
    </w:lvl>
    <w:lvl w:ilvl="3" w:tplc="AD7E50DA">
      <w:numFmt w:val="decimal"/>
      <w:lvlText w:val=""/>
      <w:lvlJc w:val="left"/>
    </w:lvl>
    <w:lvl w:ilvl="4" w:tplc="23F03A4C">
      <w:numFmt w:val="decimal"/>
      <w:lvlText w:val=""/>
      <w:lvlJc w:val="left"/>
    </w:lvl>
    <w:lvl w:ilvl="5" w:tplc="F0DA9D4C">
      <w:numFmt w:val="decimal"/>
      <w:lvlText w:val=""/>
      <w:lvlJc w:val="left"/>
    </w:lvl>
    <w:lvl w:ilvl="6" w:tplc="04E64D40">
      <w:numFmt w:val="decimal"/>
      <w:lvlText w:val=""/>
      <w:lvlJc w:val="left"/>
    </w:lvl>
    <w:lvl w:ilvl="7" w:tplc="057EFD18">
      <w:numFmt w:val="decimal"/>
      <w:lvlText w:val=""/>
      <w:lvlJc w:val="left"/>
    </w:lvl>
    <w:lvl w:ilvl="8" w:tplc="04D2491E">
      <w:numFmt w:val="decimal"/>
      <w:lvlText w:val=""/>
      <w:lvlJc w:val="left"/>
    </w:lvl>
  </w:abstractNum>
  <w:abstractNum w:abstractNumId="230" w15:restartNumberingAfterBreak="0">
    <w:nsid w:val="6181EF69"/>
    <w:multiLevelType w:val="hybridMultilevel"/>
    <w:tmpl w:val="3D0665DE"/>
    <w:lvl w:ilvl="0" w:tplc="4FC8026C">
      <w:start w:val="11"/>
      <w:numFmt w:val="decimal"/>
      <w:lvlText w:val="%1."/>
      <w:lvlJc w:val="left"/>
    </w:lvl>
    <w:lvl w:ilvl="1" w:tplc="692E9188">
      <w:numFmt w:val="decimal"/>
      <w:lvlText w:val=""/>
      <w:lvlJc w:val="left"/>
    </w:lvl>
    <w:lvl w:ilvl="2" w:tplc="8140DAB4">
      <w:numFmt w:val="decimal"/>
      <w:lvlText w:val=""/>
      <w:lvlJc w:val="left"/>
    </w:lvl>
    <w:lvl w:ilvl="3" w:tplc="B5CA9534">
      <w:numFmt w:val="decimal"/>
      <w:lvlText w:val=""/>
      <w:lvlJc w:val="left"/>
    </w:lvl>
    <w:lvl w:ilvl="4" w:tplc="655612D8">
      <w:numFmt w:val="decimal"/>
      <w:lvlText w:val=""/>
      <w:lvlJc w:val="left"/>
    </w:lvl>
    <w:lvl w:ilvl="5" w:tplc="5A32B5A8">
      <w:numFmt w:val="decimal"/>
      <w:lvlText w:val=""/>
      <w:lvlJc w:val="left"/>
    </w:lvl>
    <w:lvl w:ilvl="6" w:tplc="A3241A64">
      <w:numFmt w:val="decimal"/>
      <w:lvlText w:val=""/>
      <w:lvlJc w:val="left"/>
    </w:lvl>
    <w:lvl w:ilvl="7" w:tplc="E6363C40">
      <w:numFmt w:val="decimal"/>
      <w:lvlText w:val=""/>
      <w:lvlJc w:val="left"/>
    </w:lvl>
    <w:lvl w:ilvl="8" w:tplc="CDF4A210">
      <w:numFmt w:val="decimal"/>
      <w:lvlText w:val=""/>
      <w:lvlJc w:val="left"/>
    </w:lvl>
  </w:abstractNum>
  <w:abstractNum w:abstractNumId="231" w15:restartNumberingAfterBreak="0">
    <w:nsid w:val="61E74EA3"/>
    <w:multiLevelType w:val="hybridMultilevel"/>
    <w:tmpl w:val="2458ACB4"/>
    <w:lvl w:ilvl="0" w:tplc="F5CADAE4">
      <w:start w:val="8"/>
      <w:numFmt w:val="decimal"/>
      <w:lvlText w:val="%1."/>
      <w:lvlJc w:val="left"/>
    </w:lvl>
    <w:lvl w:ilvl="1" w:tplc="FE385538">
      <w:numFmt w:val="decimal"/>
      <w:lvlText w:val=""/>
      <w:lvlJc w:val="left"/>
    </w:lvl>
    <w:lvl w:ilvl="2" w:tplc="ACBC424E">
      <w:numFmt w:val="decimal"/>
      <w:lvlText w:val=""/>
      <w:lvlJc w:val="left"/>
    </w:lvl>
    <w:lvl w:ilvl="3" w:tplc="1EA62762">
      <w:numFmt w:val="decimal"/>
      <w:lvlText w:val=""/>
      <w:lvlJc w:val="left"/>
    </w:lvl>
    <w:lvl w:ilvl="4" w:tplc="60E49F92">
      <w:numFmt w:val="decimal"/>
      <w:lvlText w:val=""/>
      <w:lvlJc w:val="left"/>
    </w:lvl>
    <w:lvl w:ilvl="5" w:tplc="2FE601F8">
      <w:numFmt w:val="decimal"/>
      <w:lvlText w:val=""/>
      <w:lvlJc w:val="left"/>
    </w:lvl>
    <w:lvl w:ilvl="6" w:tplc="01B4A952">
      <w:numFmt w:val="decimal"/>
      <w:lvlText w:val=""/>
      <w:lvlJc w:val="left"/>
    </w:lvl>
    <w:lvl w:ilvl="7" w:tplc="55004438">
      <w:numFmt w:val="decimal"/>
      <w:lvlText w:val=""/>
      <w:lvlJc w:val="left"/>
    </w:lvl>
    <w:lvl w:ilvl="8" w:tplc="64881154">
      <w:numFmt w:val="decimal"/>
      <w:lvlText w:val=""/>
      <w:lvlJc w:val="left"/>
    </w:lvl>
  </w:abstractNum>
  <w:abstractNum w:abstractNumId="232" w15:restartNumberingAfterBreak="0">
    <w:nsid w:val="62C566FC"/>
    <w:multiLevelType w:val="hybridMultilevel"/>
    <w:tmpl w:val="AEE64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631B64D4"/>
    <w:multiLevelType w:val="hybridMultilevel"/>
    <w:tmpl w:val="C0E0C9C6"/>
    <w:lvl w:ilvl="0" w:tplc="61D818D4">
      <w:start w:val="1"/>
      <w:numFmt w:val="bullet"/>
      <w:lvlText w:val="*"/>
      <w:lvlJc w:val="left"/>
    </w:lvl>
    <w:lvl w:ilvl="1" w:tplc="CEFEA708">
      <w:numFmt w:val="decimal"/>
      <w:lvlText w:val=""/>
      <w:lvlJc w:val="left"/>
    </w:lvl>
    <w:lvl w:ilvl="2" w:tplc="58784EBE">
      <w:numFmt w:val="decimal"/>
      <w:lvlText w:val=""/>
      <w:lvlJc w:val="left"/>
    </w:lvl>
    <w:lvl w:ilvl="3" w:tplc="2278AAFC">
      <w:numFmt w:val="decimal"/>
      <w:lvlText w:val=""/>
      <w:lvlJc w:val="left"/>
    </w:lvl>
    <w:lvl w:ilvl="4" w:tplc="20F49498">
      <w:numFmt w:val="decimal"/>
      <w:lvlText w:val=""/>
      <w:lvlJc w:val="left"/>
    </w:lvl>
    <w:lvl w:ilvl="5" w:tplc="EF5AEC44">
      <w:numFmt w:val="decimal"/>
      <w:lvlText w:val=""/>
      <w:lvlJc w:val="left"/>
    </w:lvl>
    <w:lvl w:ilvl="6" w:tplc="955C80E6">
      <w:numFmt w:val="decimal"/>
      <w:lvlText w:val=""/>
      <w:lvlJc w:val="left"/>
    </w:lvl>
    <w:lvl w:ilvl="7" w:tplc="6180CD32">
      <w:numFmt w:val="decimal"/>
      <w:lvlText w:val=""/>
      <w:lvlJc w:val="left"/>
    </w:lvl>
    <w:lvl w:ilvl="8" w:tplc="A4562A6C">
      <w:numFmt w:val="decimal"/>
      <w:lvlText w:val=""/>
      <w:lvlJc w:val="left"/>
    </w:lvl>
  </w:abstractNum>
  <w:abstractNum w:abstractNumId="234" w15:restartNumberingAfterBreak="0">
    <w:nsid w:val="631F1690"/>
    <w:multiLevelType w:val="hybridMultilevel"/>
    <w:tmpl w:val="A25885EC"/>
    <w:lvl w:ilvl="0" w:tplc="32DEDD00">
      <w:start w:val="11"/>
      <w:numFmt w:val="decimal"/>
      <w:lvlText w:val="%1."/>
      <w:lvlJc w:val="left"/>
    </w:lvl>
    <w:lvl w:ilvl="1" w:tplc="03EA6E22">
      <w:numFmt w:val="decimal"/>
      <w:lvlText w:val=""/>
      <w:lvlJc w:val="left"/>
    </w:lvl>
    <w:lvl w:ilvl="2" w:tplc="7AB02B46">
      <w:numFmt w:val="decimal"/>
      <w:lvlText w:val=""/>
      <w:lvlJc w:val="left"/>
    </w:lvl>
    <w:lvl w:ilvl="3" w:tplc="757ED524">
      <w:numFmt w:val="decimal"/>
      <w:lvlText w:val=""/>
      <w:lvlJc w:val="left"/>
    </w:lvl>
    <w:lvl w:ilvl="4" w:tplc="69BCA992">
      <w:numFmt w:val="decimal"/>
      <w:lvlText w:val=""/>
      <w:lvlJc w:val="left"/>
    </w:lvl>
    <w:lvl w:ilvl="5" w:tplc="C5EC6416">
      <w:numFmt w:val="decimal"/>
      <w:lvlText w:val=""/>
      <w:lvlJc w:val="left"/>
    </w:lvl>
    <w:lvl w:ilvl="6" w:tplc="40BE2356">
      <w:numFmt w:val="decimal"/>
      <w:lvlText w:val=""/>
      <w:lvlJc w:val="left"/>
    </w:lvl>
    <w:lvl w:ilvl="7" w:tplc="26BEB42A">
      <w:numFmt w:val="decimal"/>
      <w:lvlText w:val=""/>
      <w:lvlJc w:val="left"/>
    </w:lvl>
    <w:lvl w:ilvl="8" w:tplc="5F860F32">
      <w:numFmt w:val="decimal"/>
      <w:lvlText w:val=""/>
      <w:lvlJc w:val="left"/>
    </w:lvl>
  </w:abstractNum>
  <w:abstractNum w:abstractNumId="235" w15:restartNumberingAfterBreak="0">
    <w:nsid w:val="634C574C"/>
    <w:multiLevelType w:val="hybridMultilevel"/>
    <w:tmpl w:val="23EC61F6"/>
    <w:lvl w:ilvl="0" w:tplc="76E6DC5E">
      <w:start w:val="2"/>
      <w:numFmt w:val="decimal"/>
      <w:lvlText w:val="%1."/>
      <w:lvlJc w:val="left"/>
    </w:lvl>
    <w:lvl w:ilvl="1" w:tplc="AB6A7242">
      <w:numFmt w:val="decimal"/>
      <w:lvlText w:val=""/>
      <w:lvlJc w:val="left"/>
    </w:lvl>
    <w:lvl w:ilvl="2" w:tplc="D27C790A">
      <w:numFmt w:val="decimal"/>
      <w:lvlText w:val=""/>
      <w:lvlJc w:val="left"/>
    </w:lvl>
    <w:lvl w:ilvl="3" w:tplc="1644A75E">
      <w:numFmt w:val="decimal"/>
      <w:lvlText w:val=""/>
      <w:lvlJc w:val="left"/>
    </w:lvl>
    <w:lvl w:ilvl="4" w:tplc="61F43BEE">
      <w:numFmt w:val="decimal"/>
      <w:lvlText w:val=""/>
      <w:lvlJc w:val="left"/>
    </w:lvl>
    <w:lvl w:ilvl="5" w:tplc="68DE6424">
      <w:numFmt w:val="decimal"/>
      <w:lvlText w:val=""/>
      <w:lvlJc w:val="left"/>
    </w:lvl>
    <w:lvl w:ilvl="6" w:tplc="27C8A186">
      <w:numFmt w:val="decimal"/>
      <w:lvlText w:val=""/>
      <w:lvlJc w:val="left"/>
    </w:lvl>
    <w:lvl w:ilvl="7" w:tplc="2A8A57F6">
      <w:numFmt w:val="decimal"/>
      <w:lvlText w:val=""/>
      <w:lvlJc w:val="left"/>
    </w:lvl>
    <w:lvl w:ilvl="8" w:tplc="FFF6420A">
      <w:numFmt w:val="decimal"/>
      <w:lvlText w:val=""/>
      <w:lvlJc w:val="left"/>
    </w:lvl>
  </w:abstractNum>
  <w:abstractNum w:abstractNumId="236" w15:restartNumberingAfterBreak="0">
    <w:nsid w:val="639DEFAC"/>
    <w:multiLevelType w:val="hybridMultilevel"/>
    <w:tmpl w:val="0300612E"/>
    <w:lvl w:ilvl="0" w:tplc="95DE07D6">
      <w:start w:val="4"/>
      <w:numFmt w:val="decimal"/>
      <w:lvlText w:val="%1."/>
      <w:lvlJc w:val="left"/>
    </w:lvl>
    <w:lvl w:ilvl="1" w:tplc="E79839E8">
      <w:numFmt w:val="decimal"/>
      <w:lvlText w:val=""/>
      <w:lvlJc w:val="left"/>
    </w:lvl>
    <w:lvl w:ilvl="2" w:tplc="CEC03886">
      <w:numFmt w:val="decimal"/>
      <w:lvlText w:val=""/>
      <w:lvlJc w:val="left"/>
    </w:lvl>
    <w:lvl w:ilvl="3" w:tplc="EA4609DA">
      <w:numFmt w:val="decimal"/>
      <w:lvlText w:val=""/>
      <w:lvlJc w:val="left"/>
    </w:lvl>
    <w:lvl w:ilvl="4" w:tplc="43AA5FD4">
      <w:numFmt w:val="decimal"/>
      <w:lvlText w:val=""/>
      <w:lvlJc w:val="left"/>
    </w:lvl>
    <w:lvl w:ilvl="5" w:tplc="ABC2E082">
      <w:numFmt w:val="decimal"/>
      <w:lvlText w:val=""/>
      <w:lvlJc w:val="left"/>
    </w:lvl>
    <w:lvl w:ilvl="6" w:tplc="7B061286">
      <w:numFmt w:val="decimal"/>
      <w:lvlText w:val=""/>
      <w:lvlJc w:val="left"/>
    </w:lvl>
    <w:lvl w:ilvl="7" w:tplc="FCA857D0">
      <w:numFmt w:val="decimal"/>
      <w:lvlText w:val=""/>
      <w:lvlJc w:val="left"/>
    </w:lvl>
    <w:lvl w:ilvl="8" w:tplc="1B923732">
      <w:numFmt w:val="decimal"/>
      <w:lvlText w:val=""/>
      <w:lvlJc w:val="left"/>
    </w:lvl>
  </w:abstractNum>
  <w:abstractNum w:abstractNumId="237" w15:restartNumberingAfterBreak="0">
    <w:nsid w:val="63F37E85"/>
    <w:multiLevelType w:val="hybridMultilevel"/>
    <w:tmpl w:val="87286A8C"/>
    <w:lvl w:ilvl="0" w:tplc="D7545CCA">
      <w:start w:val="11"/>
      <w:numFmt w:val="decimal"/>
      <w:lvlText w:val="%1."/>
      <w:lvlJc w:val="left"/>
    </w:lvl>
    <w:lvl w:ilvl="1" w:tplc="44FCCCD8">
      <w:numFmt w:val="decimal"/>
      <w:lvlText w:val=""/>
      <w:lvlJc w:val="left"/>
    </w:lvl>
    <w:lvl w:ilvl="2" w:tplc="32EAB6A4">
      <w:numFmt w:val="decimal"/>
      <w:lvlText w:val=""/>
      <w:lvlJc w:val="left"/>
    </w:lvl>
    <w:lvl w:ilvl="3" w:tplc="2480B300">
      <w:numFmt w:val="decimal"/>
      <w:lvlText w:val=""/>
      <w:lvlJc w:val="left"/>
    </w:lvl>
    <w:lvl w:ilvl="4" w:tplc="AA76F0D2">
      <w:numFmt w:val="decimal"/>
      <w:lvlText w:val=""/>
      <w:lvlJc w:val="left"/>
    </w:lvl>
    <w:lvl w:ilvl="5" w:tplc="3BE8B9F6">
      <w:numFmt w:val="decimal"/>
      <w:lvlText w:val=""/>
      <w:lvlJc w:val="left"/>
    </w:lvl>
    <w:lvl w:ilvl="6" w:tplc="9FA85E94">
      <w:numFmt w:val="decimal"/>
      <w:lvlText w:val=""/>
      <w:lvlJc w:val="left"/>
    </w:lvl>
    <w:lvl w:ilvl="7" w:tplc="CBDC64DC">
      <w:numFmt w:val="decimal"/>
      <w:lvlText w:val=""/>
      <w:lvlJc w:val="left"/>
    </w:lvl>
    <w:lvl w:ilvl="8" w:tplc="C020421E">
      <w:numFmt w:val="decimal"/>
      <w:lvlText w:val=""/>
      <w:lvlJc w:val="left"/>
    </w:lvl>
  </w:abstractNum>
  <w:abstractNum w:abstractNumId="238" w15:restartNumberingAfterBreak="0">
    <w:nsid w:val="64212B8C"/>
    <w:multiLevelType w:val="hybridMultilevel"/>
    <w:tmpl w:val="B7B8AACE"/>
    <w:lvl w:ilvl="0" w:tplc="1B20ED74">
      <w:start w:val="1"/>
      <w:numFmt w:val="bullet"/>
      <w:lvlText w:val=" "/>
      <w:lvlJc w:val="left"/>
    </w:lvl>
    <w:lvl w:ilvl="1" w:tplc="3F82B522">
      <w:numFmt w:val="decimal"/>
      <w:lvlText w:val=""/>
      <w:lvlJc w:val="left"/>
    </w:lvl>
    <w:lvl w:ilvl="2" w:tplc="8C2AC528">
      <w:numFmt w:val="decimal"/>
      <w:lvlText w:val=""/>
      <w:lvlJc w:val="left"/>
    </w:lvl>
    <w:lvl w:ilvl="3" w:tplc="060C4A8C">
      <w:numFmt w:val="decimal"/>
      <w:lvlText w:val=""/>
      <w:lvlJc w:val="left"/>
    </w:lvl>
    <w:lvl w:ilvl="4" w:tplc="3EA83844">
      <w:numFmt w:val="decimal"/>
      <w:lvlText w:val=""/>
      <w:lvlJc w:val="left"/>
    </w:lvl>
    <w:lvl w:ilvl="5" w:tplc="E970EA88">
      <w:numFmt w:val="decimal"/>
      <w:lvlText w:val=""/>
      <w:lvlJc w:val="left"/>
    </w:lvl>
    <w:lvl w:ilvl="6" w:tplc="FA8C5C8E">
      <w:numFmt w:val="decimal"/>
      <w:lvlText w:val=""/>
      <w:lvlJc w:val="left"/>
    </w:lvl>
    <w:lvl w:ilvl="7" w:tplc="10CCE662">
      <w:numFmt w:val="decimal"/>
      <w:lvlText w:val=""/>
      <w:lvlJc w:val="left"/>
    </w:lvl>
    <w:lvl w:ilvl="8" w:tplc="C2142F24">
      <w:numFmt w:val="decimal"/>
      <w:lvlText w:val=""/>
      <w:lvlJc w:val="left"/>
    </w:lvl>
  </w:abstractNum>
  <w:abstractNum w:abstractNumId="239" w15:restartNumberingAfterBreak="0">
    <w:nsid w:val="64429599"/>
    <w:multiLevelType w:val="hybridMultilevel"/>
    <w:tmpl w:val="033A0BD0"/>
    <w:lvl w:ilvl="0" w:tplc="97482B88">
      <w:start w:val="10"/>
      <w:numFmt w:val="decimal"/>
      <w:lvlText w:val="%1."/>
      <w:lvlJc w:val="left"/>
    </w:lvl>
    <w:lvl w:ilvl="1" w:tplc="4D0ADF98">
      <w:numFmt w:val="decimal"/>
      <w:lvlText w:val=""/>
      <w:lvlJc w:val="left"/>
    </w:lvl>
    <w:lvl w:ilvl="2" w:tplc="7C741326">
      <w:numFmt w:val="decimal"/>
      <w:lvlText w:val=""/>
      <w:lvlJc w:val="left"/>
    </w:lvl>
    <w:lvl w:ilvl="3" w:tplc="EDE4D4EE">
      <w:numFmt w:val="decimal"/>
      <w:lvlText w:val=""/>
      <w:lvlJc w:val="left"/>
    </w:lvl>
    <w:lvl w:ilvl="4" w:tplc="4F72503C">
      <w:numFmt w:val="decimal"/>
      <w:lvlText w:val=""/>
      <w:lvlJc w:val="left"/>
    </w:lvl>
    <w:lvl w:ilvl="5" w:tplc="9E9E98FA">
      <w:numFmt w:val="decimal"/>
      <w:lvlText w:val=""/>
      <w:lvlJc w:val="left"/>
    </w:lvl>
    <w:lvl w:ilvl="6" w:tplc="36CECD70">
      <w:numFmt w:val="decimal"/>
      <w:lvlText w:val=""/>
      <w:lvlJc w:val="left"/>
    </w:lvl>
    <w:lvl w:ilvl="7" w:tplc="CCECFC48">
      <w:numFmt w:val="decimal"/>
      <w:lvlText w:val=""/>
      <w:lvlJc w:val="left"/>
    </w:lvl>
    <w:lvl w:ilvl="8" w:tplc="106087C8">
      <w:numFmt w:val="decimal"/>
      <w:lvlText w:val=""/>
      <w:lvlJc w:val="left"/>
    </w:lvl>
  </w:abstractNum>
  <w:abstractNum w:abstractNumId="240" w15:restartNumberingAfterBreak="0">
    <w:nsid w:val="65968C1C"/>
    <w:multiLevelType w:val="hybridMultilevel"/>
    <w:tmpl w:val="8BE2DE28"/>
    <w:lvl w:ilvl="0" w:tplc="2BEC5622">
      <w:start w:val="1"/>
      <w:numFmt w:val="bullet"/>
      <w:lvlText w:val="*"/>
      <w:lvlJc w:val="left"/>
    </w:lvl>
    <w:lvl w:ilvl="1" w:tplc="CCB8613E">
      <w:numFmt w:val="decimal"/>
      <w:lvlText w:val=""/>
      <w:lvlJc w:val="left"/>
    </w:lvl>
    <w:lvl w:ilvl="2" w:tplc="02FE375E">
      <w:numFmt w:val="decimal"/>
      <w:lvlText w:val=""/>
      <w:lvlJc w:val="left"/>
    </w:lvl>
    <w:lvl w:ilvl="3" w:tplc="9E92E60A">
      <w:numFmt w:val="decimal"/>
      <w:lvlText w:val=""/>
      <w:lvlJc w:val="left"/>
    </w:lvl>
    <w:lvl w:ilvl="4" w:tplc="B4C2082A">
      <w:numFmt w:val="decimal"/>
      <w:lvlText w:val=""/>
      <w:lvlJc w:val="left"/>
    </w:lvl>
    <w:lvl w:ilvl="5" w:tplc="8C227634">
      <w:numFmt w:val="decimal"/>
      <w:lvlText w:val=""/>
      <w:lvlJc w:val="left"/>
    </w:lvl>
    <w:lvl w:ilvl="6" w:tplc="3592B17A">
      <w:numFmt w:val="decimal"/>
      <w:lvlText w:val=""/>
      <w:lvlJc w:val="left"/>
    </w:lvl>
    <w:lvl w:ilvl="7" w:tplc="3E58273A">
      <w:numFmt w:val="decimal"/>
      <w:lvlText w:val=""/>
      <w:lvlJc w:val="left"/>
    </w:lvl>
    <w:lvl w:ilvl="8" w:tplc="601C8B3E">
      <w:numFmt w:val="decimal"/>
      <w:lvlText w:val=""/>
      <w:lvlJc w:val="left"/>
    </w:lvl>
  </w:abstractNum>
  <w:abstractNum w:abstractNumId="241" w15:restartNumberingAfterBreak="0">
    <w:nsid w:val="67906F60"/>
    <w:multiLevelType w:val="hybridMultilevel"/>
    <w:tmpl w:val="7CAE7DA6"/>
    <w:lvl w:ilvl="0" w:tplc="ACB88A58">
      <w:start w:val="1"/>
      <w:numFmt w:val="bullet"/>
      <w:lvlText w:val=" "/>
      <w:lvlJc w:val="left"/>
    </w:lvl>
    <w:lvl w:ilvl="1" w:tplc="D6FE6020">
      <w:numFmt w:val="decimal"/>
      <w:lvlText w:val=""/>
      <w:lvlJc w:val="left"/>
    </w:lvl>
    <w:lvl w:ilvl="2" w:tplc="31D40922">
      <w:numFmt w:val="decimal"/>
      <w:lvlText w:val=""/>
      <w:lvlJc w:val="left"/>
    </w:lvl>
    <w:lvl w:ilvl="3" w:tplc="BB5C69CE">
      <w:numFmt w:val="decimal"/>
      <w:lvlText w:val=""/>
      <w:lvlJc w:val="left"/>
    </w:lvl>
    <w:lvl w:ilvl="4" w:tplc="966ACC6A">
      <w:numFmt w:val="decimal"/>
      <w:lvlText w:val=""/>
      <w:lvlJc w:val="left"/>
    </w:lvl>
    <w:lvl w:ilvl="5" w:tplc="98048024">
      <w:numFmt w:val="decimal"/>
      <w:lvlText w:val=""/>
      <w:lvlJc w:val="left"/>
    </w:lvl>
    <w:lvl w:ilvl="6" w:tplc="481E15B6">
      <w:numFmt w:val="decimal"/>
      <w:lvlText w:val=""/>
      <w:lvlJc w:val="left"/>
    </w:lvl>
    <w:lvl w:ilvl="7" w:tplc="3CD4EF86">
      <w:numFmt w:val="decimal"/>
      <w:lvlText w:val=""/>
      <w:lvlJc w:val="left"/>
    </w:lvl>
    <w:lvl w:ilvl="8" w:tplc="7062F808">
      <w:numFmt w:val="decimal"/>
      <w:lvlText w:val=""/>
      <w:lvlJc w:val="left"/>
    </w:lvl>
  </w:abstractNum>
  <w:abstractNum w:abstractNumId="242" w15:restartNumberingAfterBreak="0">
    <w:nsid w:val="684EED59"/>
    <w:multiLevelType w:val="hybridMultilevel"/>
    <w:tmpl w:val="228E2874"/>
    <w:lvl w:ilvl="0" w:tplc="3F8099B0">
      <w:start w:val="1"/>
      <w:numFmt w:val="bullet"/>
      <w:lvlText w:val="-"/>
      <w:lvlJc w:val="left"/>
    </w:lvl>
    <w:lvl w:ilvl="1" w:tplc="85DE081C">
      <w:numFmt w:val="decimal"/>
      <w:lvlText w:val=""/>
      <w:lvlJc w:val="left"/>
    </w:lvl>
    <w:lvl w:ilvl="2" w:tplc="869EF918">
      <w:numFmt w:val="decimal"/>
      <w:lvlText w:val=""/>
      <w:lvlJc w:val="left"/>
    </w:lvl>
    <w:lvl w:ilvl="3" w:tplc="D458D686">
      <w:numFmt w:val="decimal"/>
      <w:lvlText w:val=""/>
      <w:lvlJc w:val="left"/>
    </w:lvl>
    <w:lvl w:ilvl="4" w:tplc="712C0142">
      <w:numFmt w:val="decimal"/>
      <w:lvlText w:val=""/>
      <w:lvlJc w:val="left"/>
    </w:lvl>
    <w:lvl w:ilvl="5" w:tplc="81121FC6">
      <w:numFmt w:val="decimal"/>
      <w:lvlText w:val=""/>
      <w:lvlJc w:val="left"/>
    </w:lvl>
    <w:lvl w:ilvl="6" w:tplc="57D605E2">
      <w:numFmt w:val="decimal"/>
      <w:lvlText w:val=""/>
      <w:lvlJc w:val="left"/>
    </w:lvl>
    <w:lvl w:ilvl="7" w:tplc="2C52B92E">
      <w:numFmt w:val="decimal"/>
      <w:lvlText w:val=""/>
      <w:lvlJc w:val="left"/>
    </w:lvl>
    <w:lvl w:ilvl="8" w:tplc="C2C80D1C">
      <w:numFmt w:val="decimal"/>
      <w:lvlText w:val=""/>
      <w:lvlJc w:val="left"/>
    </w:lvl>
  </w:abstractNum>
  <w:abstractNum w:abstractNumId="243" w15:restartNumberingAfterBreak="0">
    <w:nsid w:val="68B867D3"/>
    <w:multiLevelType w:val="hybridMultilevel"/>
    <w:tmpl w:val="0D84C1A8"/>
    <w:lvl w:ilvl="0" w:tplc="F1D88B5E">
      <w:start w:val="1"/>
      <w:numFmt w:val="bullet"/>
      <w:lvlText w:val=" "/>
      <w:lvlJc w:val="left"/>
    </w:lvl>
    <w:lvl w:ilvl="1" w:tplc="3E0496FA">
      <w:numFmt w:val="decimal"/>
      <w:lvlText w:val=""/>
      <w:lvlJc w:val="left"/>
    </w:lvl>
    <w:lvl w:ilvl="2" w:tplc="792AAF5A">
      <w:numFmt w:val="decimal"/>
      <w:lvlText w:val=""/>
      <w:lvlJc w:val="left"/>
    </w:lvl>
    <w:lvl w:ilvl="3" w:tplc="9190BC44">
      <w:numFmt w:val="decimal"/>
      <w:lvlText w:val=""/>
      <w:lvlJc w:val="left"/>
    </w:lvl>
    <w:lvl w:ilvl="4" w:tplc="2E6C427C">
      <w:numFmt w:val="decimal"/>
      <w:lvlText w:val=""/>
      <w:lvlJc w:val="left"/>
    </w:lvl>
    <w:lvl w:ilvl="5" w:tplc="DCCAED3A">
      <w:numFmt w:val="decimal"/>
      <w:lvlText w:val=""/>
      <w:lvlJc w:val="left"/>
    </w:lvl>
    <w:lvl w:ilvl="6" w:tplc="72A8216A">
      <w:numFmt w:val="decimal"/>
      <w:lvlText w:val=""/>
      <w:lvlJc w:val="left"/>
    </w:lvl>
    <w:lvl w:ilvl="7" w:tplc="3A926234">
      <w:numFmt w:val="decimal"/>
      <w:lvlText w:val=""/>
      <w:lvlJc w:val="left"/>
    </w:lvl>
    <w:lvl w:ilvl="8" w:tplc="FC70FDEE">
      <w:numFmt w:val="decimal"/>
      <w:lvlText w:val=""/>
      <w:lvlJc w:val="left"/>
    </w:lvl>
  </w:abstractNum>
  <w:abstractNum w:abstractNumId="244" w15:restartNumberingAfterBreak="0">
    <w:nsid w:val="69D3947C"/>
    <w:multiLevelType w:val="hybridMultilevel"/>
    <w:tmpl w:val="497EF6E4"/>
    <w:lvl w:ilvl="0" w:tplc="1D64DD8C">
      <w:start w:val="1"/>
      <w:numFmt w:val="bullet"/>
      <w:lvlText w:val="-"/>
      <w:lvlJc w:val="left"/>
    </w:lvl>
    <w:lvl w:ilvl="1" w:tplc="06D45132">
      <w:numFmt w:val="decimal"/>
      <w:lvlText w:val=""/>
      <w:lvlJc w:val="left"/>
    </w:lvl>
    <w:lvl w:ilvl="2" w:tplc="4120C828">
      <w:numFmt w:val="decimal"/>
      <w:lvlText w:val=""/>
      <w:lvlJc w:val="left"/>
    </w:lvl>
    <w:lvl w:ilvl="3" w:tplc="5ED0AC94">
      <w:numFmt w:val="decimal"/>
      <w:lvlText w:val=""/>
      <w:lvlJc w:val="left"/>
    </w:lvl>
    <w:lvl w:ilvl="4" w:tplc="24B8EF0E">
      <w:numFmt w:val="decimal"/>
      <w:lvlText w:val=""/>
      <w:lvlJc w:val="left"/>
    </w:lvl>
    <w:lvl w:ilvl="5" w:tplc="79287A20">
      <w:numFmt w:val="decimal"/>
      <w:lvlText w:val=""/>
      <w:lvlJc w:val="left"/>
    </w:lvl>
    <w:lvl w:ilvl="6" w:tplc="988E0CBE">
      <w:numFmt w:val="decimal"/>
      <w:lvlText w:val=""/>
      <w:lvlJc w:val="left"/>
    </w:lvl>
    <w:lvl w:ilvl="7" w:tplc="1F229CB8">
      <w:numFmt w:val="decimal"/>
      <w:lvlText w:val=""/>
      <w:lvlJc w:val="left"/>
    </w:lvl>
    <w:lvl w:ilvl="8" w:tplc="E4F8B730">
      <w:numFmt w:val="decimal"/>
      <w:lvlText w:val=""/>
      <w:lvlJc w:val="left"/>
    </w:lvl>
  </w:abstractNum>
  <w:abstractNum w:abstractNumId="245" w15:restartNumberingAfterBreak="0">
    <w:nsid w:val="69E7F3E5"/>
    <w:multiLevelType w:val="hybridMultilevel"/>
    <w:tmpl w:val="A1CC97B2"/>
    <w:lvl w:ilvl="0" w:tplc="073497AC">
      <w:start w:val="1"/>
      <w:numFmt w:val="bullet"/>
      <w:lvlText w:val="**"/>
      <w:lvlJc w:val="left"/>
    </w:lvl>
    <w:lvl w:ilvl="1" w:tplc="1A42C59C">
      <w:numFmt w:val="decimal"/>
      <w:lvlText w:val=""/>
      <w:lvlJc w:val="left"/>
    </w:lvl>
    <w:lvl w:ilvl="2" w:tplc="8B78F504">
      <w:numFmt w:val="decimal"/>
      <w:lvlText w:val=""/>
      <w:lvlJc w:val="left"/>
    </w:lvl>
    <w:lvl w:ilvl="3" w:tplc="1F2AEBE4">
      <w:numFmt w:val="decimal"/>
      <w:lvlText w:val=""/>
      <w:lvlJc w:val="left"/>
    </w:lvl>
    <w:lvl w:ilvl="4" w:tplc="507ACDB2">
      <w:numFmt w:val="decimal"/>
      <w:lvlText w:val=""/>
      <w:lvlJc w:val="left"/>
    </w:lvl>
    <w:lvl w:ilvl="5" w:tplc="CAF84A60">
      <w:numFmt w:val="decimal"/>
      <w:lvlText w:val=""/>
      <w:lvlJc w:val="left"/>
    </w:lvl>
    <w:lvl w:ilvl="6" w:tplc="BCB88C94">
      <w:numFmt w:val="decimal"/>
      <w:lvlText w:val=""/>
      <w:lvlJc w:val="left"/>
    </w:lvl>
    <w:lvl w:ilvl="7" w:tplc="B6788B6C">
      <w:numFmt w:val="decimal"/>
      <w:lvlText w:val=""/>
      <w:lvlJc w:val="left"/>
    </w:lvl>
    <w:lvl w:ilvl="8" w:tplc="0F404CE0">
      <w:numFmt w:val="decimal"/>
      <w:lvlText w:val=""/>
      <w:lvlJc w:val="left"/>
    </w:lvl>
  </w:abstractNum>
  <w:abstractNum w:abstractNumId="246" w15:restartNumberingAfterBreak="0">
    <w:nsid w:val="6A37288A"/>
    <w:multiLevelType w:val="hybridMultilevel"/>
    <w:tmpl w:val="2A7E9B30"/>
    <w:lvl w:ilvl="0" w:tplc="F1FE1C9A">
      <w:start w:val="1"/>
      <w:numFmt w:val="decimal"/>
      <w:lvlText w:val="%1."/>
      <w:lvlJc w:val="left"/>
    </w:lvl>
    <w:lvl w:ilvl="1" w:tplc="B0D2011C">
      <w:numFmt w:val="decimal"/>
      <w:lvlText w:val=""/>
      <w:lvlJc w:val="left"/>
    </w:lvl>
    <w:lvl w:ilvl="2" w:tplc="1068A526">
      <w:numFmt w:val="decimal"/>
      <w:lvlText w:val=""/>
      <w:lvlJc w:val="left"/>
    </w:lvl>
    <w:lvl w:ilvl="3" w:tplc="4C8CFEE4">
      <w:numFmt w:val="decimal"/>
      <w:lvlText w:val=""/>
      <w:lvlJc w:val="left"/>
    </w:lvl>
    <w:lvl w:ilvl="4" w:tplc="10001C36">
      <w:numFmt w:val="decimal"/>
      <w:lvlText w:val=""/>
      <w:lvlJc w:val="left"/>
    </w:lvl>
    <w:lvl w:ilvl="5" w:tplc="896C85D6">
      <w:numFmt w:val="decimal"/>
      <w:lvlText w:val=""/>
      <w:lvlJc w:val="left"/>
    </w:lvl>
    <w:lvl w:ilvl="6" w:tplc="06763C60">
      <w:numFmt w:val="decimal"/>
      <w:lvlText w:val=""/>
      <w:lvlJc w:val="left"/>
    </w:lvl>
    <w:lvl w:ilvl="7" w:tplc="BA98D540">
      <w:numFmt w:val="decimal"/>
      <w:lvlText w:val=""/>
      <w:lvlJc w:val="left"/>
    </w:lvl>
    <w:lvl w:ilvl="8" w:tplc="A6F0BFA6">
      <w:numFmt w:val="decimal"/>
      <w:lvlText w:val=""/>
      <w:lvlJc w:val="left"/>
    </w:lvl>
  </w:abstractNum>
  <w:abstractNum w:abstractNumId="247" w15:restartNumberingAfterBreak="0">
    <w:nsid w:val="6A3B714C"/>
    <w:multiLevelType w:val="hybridMultilevel"/>
    <w:tmpl w:val="DB1C6FE4"/>
    <w:lvl w:ilvl="0" w:tplc="FAECF5A0">
      <w:start w:val="5"/>
      <w:numFmt w:val="decimal"/>
      <w:lvlText w:val="%1."/>
      <w:lvlJc w:val="left"/>
    </w:lvl>
    <w:lvl w:ilvl="1" w:tplc="91CA7E96">
      <w:numFmt w:val="decimal"/>
      <w:lvlText w:val=""/>
      <w:lvlJc w:val="left"/>
    </w:lvl>
    <w:lvl w:ilvl="2" w:tplc="B9A69136">
      <w:numFmt w:val="decimal"/>
      <w:lvlText w:val=""/>
      <w:lvlJc w:val="left"/>
    </w:lvl>
    <w:lvl w:ilvl="3" w:tplc="69EE5968">
      <w:numFmt w:val="decimal"/>
      <w:lvlText w:val=""/>
      <w:lvlJc w:val="left"/>
    </w:lvl>
    <w:lvl w:ilvl="4" w:tplc="4BB842D2">
      <w:numFmt w:val="decimal"/>
      <w:lvlText w:val=""/>
      <w:lvlJc w:val="left"/>
    </w:lvl>
    <w:lvl w:ilvl="5" w:tplc="E44E26F0">
      <w:numFmt w:val="decimal"/>
      <w:lvlText w:val=""/>
      <w:lvlJc w:val="left"/>
    </w:lvl>
    <w:lvl w:ilvl="6" w:tplc="19227BE8">
      <w:numFmt w:val="decimal"/>
      <w:lvlText w:val=""/>
      <w:lvlJc w:val="left"/>
    </w:lvl>
    <w:lvl w:ilvl="7" w:tplc="0A187FEC">
      <w:numFmt w:val="decimal"/>
      <w:lvlText w:val=""/>
      <w:lvlJc w:val="left"/>
    </w:lvl>
    <w:lvl w:ilvl="8" w:tplc="24507B08">
      <w:numFmt w:val="decimal"/>
      <w:lvlText w:val=""/>
      <w:lvlJc w:val="left"/>
    </w:lvl>
  </w:abstractNum>
  <w:abstractNum w:abstractNumId="248" w15:restartNumberingAfterBreak="0">
    <w:nsid w:val="6AA7B75C"/>
    <w:multiLevelType w:val="hybridMultilevel"/>
    <w:tmpl w:val="FE90771A"/>
    <w:lvl w:ilvl="0" w:tplc="A21456D4">
      <w:start w:val="1"/>
      <w:numFmt w:val="decimal"/>
      <w:lvlText w:val="%1"/>
      <w:lvlJc w:val="left"/>
    </w:lvl>
    <w:lvl w:ilvl="1" w:tplc="8C2A9254">
      <w:numFmt w:val="decimal"/>
      <w:lvlText w:val=""/>
      <w:lvlJc w:val="left"/>
    </w:lvl>
    <w:lvl w:ilvl="2" w:tplc="17240C48">
      <w:numFmt w:val="decimal"/>
      <w:lvlText w:val=""/>
      <w:lvlJc w:val="left"/>
    </w:lvl>
    <w:lvl w:ilvl="3" w:tplc="8BD852FC">
      <w:numFmt w:val="decimal"/>
      <w:lvlText w:val=""/>
      <w:lvlJc w:val="left"/>
    </w:lvl>
    <w:lvl w:ilvl="4" w:tplc="E23EDF54">
      <w:numFmt w:val="decimal"/>
      <w:lvlText w:val=""/>
      <w:lvlJc w:val="left"/>
    </w:lvl>
    <w:lvl w:ilvl="5" w:tplc="21AC4584">
      <w:numFmt w:val="decimal"/>
      <w:lvlText w:val=""/>
      <w:lvlJc w:val="left"/>
    </w:lvl>
    <w:lvl w:ilvl="6" w:tplc="2440EFBC">
      <w:numFmt w:val="decimal"/>
      <w:lvlText w:val=""/>
      <w:lvlJc w:val="left"/>
    </w:lvl>
    <w:lvl w:ilvl="7" w:tplc="984664D4">
      <w:numFmt w:val="decimal"/>
      <w:lvlText w:val=""/>
      <w:lvlJc w:val="left"/>
    </w:lvl>
    <w:lvl w:ilvl="8" w:tplc="A09E74BE">
      <w:numFmt w:val="decimal"/>
      <w:lvlText w:val=""/>
      <w:lvlJc w:val="left"/>
    </w:lvl>
  </w:abstractNum>
  <w:abstractNum w:abstractNumId="249" w15:restartNumberingAfterBreak="0">
    <w:nsid w:val="6B057295"/>
    <w:multiLevelType w:val="hybridMultilevel"/>
    <w:tmpl w:val="0B10D72E"/>
    <w:lvl w:ilvl="0" w:tplc="A65A3A96">
      <w:start w:val="1"/>
      <w:numFmt w:val="bullet"/>
      <w:lvlText w:val="-"/>
      <w:lvlJc w:val="left"/>
    </w:lvl>
    <w:lvl w:ilvl="1" w:tplc="0D76B07A">
      <w:numFmt w:val="decimal"/>
      <w:lvlText w:val=""/>
      <w:lvlJc w:val="left"/>
    </w:lvl>
    <w:lvl w:ilvl="2" w:tplc="C3727464">
      <w:numFmt w:val="decimal"/>
      <w:lvlText w:val=""/>
      <w:lvlJc w:val="left"/>
    </w:lvl>
    <w:lvl w:ilvl="3" w:tplc="8772A94E">
      <w:numFmt w:val="decimal"/>
      <w:lvlText w:val=""/>
      <w:lvlJc w:val="left"/>
    </w:lvl>
    <w:lvl w:ilvl="4" w:tplc="BD08801A">
      <w:numFmt w:val="decimal"/>
      <w:lvlText w:val=""/>
      <w:lvlJc w:val="left"/>
    </w:lvl>
    <w:lvl w:ilvl="5" w:tplc="C4EAEAD2">
      <w:numFmt w:val="decimal"/>
      <w:lvlText w:val=""/>
      <w:lvlJc w:val="left"/>
    </w:lvl>
    <w:lvl w:ilvl="6" w:tplc="0336B0DE">
      <w:numFmt w:val="decimal"/>
      <w:lvlText w:val=""/>
      <w:lvlJc w:val="left"/>
    </w:lvl>
    <w:lvl w:ilvl="7" w:tplc="DDB2B210">
      <w:numFmt w:val="decimal"/>
      <w:lvlText w:val=""/>
      <w:lvlJc w:val="left"/>
    </w:lvl>
    <w:lvl w:ilvl="8" w:tplc="C7BE6A00">
      <w:numFmt w:val="decimal"/>
      <w:lvlText w:val=""/>
      <w:lvlJc w:val="left"/>
    </w:lvl>
  </w:abstractNum>
  <w:abstractNum w:abstractNumId="250" w15:restartNumberingAfterBreak="0">
    <w:nsid w:val="6B1D2C14"/>
    <w:multiLevelType w:val="hybridMultilevel"/>
    <w:tmpl w:val="C136B7A6"/>
    <w:lvl w:ilvl="0" w:tplc="D3445AEE">
      <w:start w:val="4"/>
      <w:numFmt w:val="upperLetter"/>
      <w:lvlText w:val="%1."/>
      <w:lvlJc w:val="left"/>
    </w:lvl>
    <w:lvl w:ilvl="1" w:tplc="E7E4A57E">
      <w:numFmt w:val="decimal"/>
      <w:lvlText w:val=""/>
      <w:lvlJc w:val="left"/>
    </w:lvl>
    <w:lvl w:ilvl="2" w:tplc="7472A012">
      <w:numFmt w:val="decimal"/>
      <w:lvlText w:val=""/>
      <w:lvlJc w:val="left"/>
    </w:lvl>
    <w:lvl w:ilvl="3" w:tplc="5880B352">
      <w:numFmt w:val="decimal"/>
      <w:lvlText w:val=""/>
      <w:lvlJc w:val="left"/>
    </w:lvl>
    <w:lvl w:ilvl="4" w:tplc="D682DAA0">
      <w:numFmt w:val="decimal"/>
      <w:lvlText w:val=""/>
      <w:lvlJc w:val="left"/>
    </w:lvl>
    <w:lvl w:ilvl="5" w:tplc="EEACE652">
      <w:numFmt w:val="decimal"/>
      <w:lvlText w:val=""/>
      <w:lvlJc w:val="left"/>
    </w:lvl>
    <w:lvl w:ilvl="6" w:tplc="9758977A">
      <w:numFmt w:val="decimal"/>
      <w:lvlText w:val=""/>
      <w:lvlJc w:val="left"/>
    </w:lvl>
    <w:lvl w:ilvl="7" w:tplc="CD164804">
      <w:numFmt w:val="decimal"/>
      <w:lvlText w:val=""/>
      <w:lvlJc w:val="left"/>
    </w:lvl>
    <w:lvl w:ilvl="8" w:tplc="292CE0DC">
      <w:numFmt w:val="decimal"/>
      <w:lvlText w:val=""/>
      <w:lvlJc w:val="left"/>
    </w:lvl>
  </w:abstractNum>
  <w:abstractNum w:abstractNumId="251" w15:restartNumberingAfterBreak="0">
    <w:nsid w:val="6B47F63E"/>
    <w:multiLevelType w:val="hybridMultilevel"/>
    <w:tmpl w:val="21A40900"/>
    <w:lvl w:ilvl="0" w:tplc="8000DEA2">
      <w:start w:val="1"/>
      <w:numFmt w:val="lowerLetter"/>
      <w:lvlText w:val="%1"/>
      <w:lvlJc w:val="left"/>
    </w:lvl>
    <w:lvl w:ilvl="1" w:tplc="79680A18">
      <w:numFmt w:val="decimal"/>
      <w:lvlText w:val=""/>
      <w:lvlJc w:val="left"/>
    </w:lvl>
    <w:lvl w:ilvl="2" w:tplc="95649F3A">
      <w:numFmt w:val="decimal"/>
      <w:lvlText w:val=""/>
      <w:lvlJc w:val="left"/>
    </w:lvl>
    <w:lvl w:ilvl="3" w:tplc="DBEEC6C6">
      <w:numFmt w:val="decimal"/>
      <w:lvlText w:val=""/>
      <w:lvlJc w:val="left"/>
    </w:lvl>
    <w:lvl w:ilvl="4" w:tplc="4F84D44E">
      <w:numFmt w:val="decimal"/>
      <w:lvlText w:val=""/>
      <w:lvlJc w:val="left"/>
    </w:lvl>
    <w:lvl w:ilvl="5" w:tplc="5FAEEBBA">
      <w:numFmt w:val="decimal"/>
      <w:lvlText w:val=""/>
      <w:lvlJc w:val="left"/>
    </w:lvl>
    <w:lvl w:ilvl="6" w:tplc="CC76639A">
      <w:numFmt w:val="decimal"/>
      <w:lvlText w:val=""/>
      <w:lvlJc w:val="left"/>
    </w:lvl>
    <w:lvl w:ilvl="7" w:tplc="AB4ABB26">
      <w:numFmt w:val="decimal"/>
      <w:lvlText w:val=""/>
      <w:lvlJc w:val="left"/>
    </w:lvl>
    <w:lvl w:ilvl="8" w:tplc="2EE09A1E">
      <w:numFmt w:val="decimal"/>
      <w:lvlText w:val=""/>
      <w:lvlJc w:val="left"/>
    </w:lvl>
  </w:abstractNum>
  <w:abstractNum w:abstractNumId="252" w15:restartNumberingAfterBreak="0">
    <w:nsid w:val="6C5707D2"/>
    <w:multiLevelType w:val="hybridMultilevel"/>
    <w:tmpl w:val="7ADE23D4"/>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3" w15:restartNumberingAfterBreak="0">
    <w:nsid w:val="6C80EC70"/>
    <w:multiLevelType w:val="hybridMultilevel"/>
    <w:tmpl w:val="B0E0FDD6"/>
    <w:lvl w:ilvl="0" w:tplc="C82CC450">
      <w:start w:val="1"/>
      <w:numFmt w:val="upperLetter"/>
      <w:lvlText w:val="%1"/>
      <w:lvlJc w:val="left"/>
    </w:lvl>
    <w:lvl w:ilvl="1" w:tplc="DFEAAA6A">
      <w:numFmt w:val="decimal"/>
      <w:lvlText w:val=""/>
      <w:lvlJc w:val="left"/>
    </w:lvl>
    <w:lvl w:ilvl="2" w:tplc="1AE29EFA">
      <w:numFmt w:val="decimal"/>
      <w:lvlText w:val=""/>
      <w:lvlJc w:val="left"/>
    </w:lvl>
    <w:lvl w:ilvl="3" w:tplc="760AD702">
      <w:numFmt w:val="decimal"/>
      <w:lvlText w:val=""/>
      <w:lvlJc w:val="left"/>
    </w:lvl>
    <w:lvl w:ilvl="4" w:tplc="F5CE862C">
      <w:numFmt w:val="decimal"/>
      <w:lvlText w:val=""/>
      <w:lvlJc w:val="left"/>
    </w:lvl>
    <w:lvl w:ilvl="5" w:tplc="D4B23144">
      <w:numFmt w:val="decimal"/>
      <w:lvlText w:val=""/>
      <w:lvlJc w:val="left"/>
    </w:lvl>
    <w:lvl w:ilvl="6" w:tplc="4300A478">
      <w:numFmt w:val="decimal"/>
      <w:lvlText w:val=""/>
      <w:lvlJc w:val="left"/>
    </w:lvl>
    <w:lvl w:ilvl="7" w:tplc="279AB4FA">
      <w:numFmt w:val="decimal"/>
      <w:lvlText w:val=""/>
      <w:lvlJc w:val="left"/>
    </w:lvl>
    <w:lvl w:ilvl="8" w:tplc="5DBEAD0E">
      <w:numFmt w:val="decimal"/>
      <w:lvlText w:val=""/>
      <w:lvlJc w:val="left"/>
    </w:lvl>
  </w:abstractNum>
  <w:abstractNum w:abstractNumId="254" w15:restartNumberingAfterBreak="0">
    <w:nsid w:val="6CAA2304"/>
    <w:multiLevelType w:val="hybridMultilevel"/>
    <w:tmpl w:val="593A8A20"/>
    <w:lvl w:ilvl="0" w:tplc="683EA5DA">
      <w:start w:val="44"/>
      <w:numFmt w:val="upperLetter"/>
      <w:lvlText w:val="%1"/>
      <w:lvlJc w:val="left"/>
    </w:lvl>
    <w:lvl w:ilvl="1" w:tplc="0EA66BEE">
      <w:numFmt w:val="decimal"/>
      <w:lvlText w:val=""/>
      <w:lvlJc w:val="left"/>
    </w:lvl>
    <w:lvl w:ilvl="2" w:tplc="024ED3B8">
      <w:numFmt w:val="decimal"/>
      <w:lvlText w:val=""/>
      <w:lvlJc w:val="left"/>
    </w:lvl>
    <w:lvl w:ilvl="3" w:tplc="BF0EEDA2">
      <w:numFmt w:val="decimal"/>
      <w:lvlText w:val=""/>
      <w:lvlJc w:val="left"/>
    </w:lvl>
    <w:lvl w:ilvl="4" w:tplc="00BA1E4E">
      <w:numFmt w:val="decimal"/>
      <w:lvlText w:val=""/>
      <w:lvlJc w:val="left"/>
    </w:lvl>
    <w:lvl w:ilvl="5" w:tplc="0EE49516">
      <w:numFmt w:val="decimal"/>
      <w:lvlText w:val=""/>
      <w:lvlJc w:val="left"/>
    </w:lvl>
    <w:lvl w:ilvl="6" w:tplc="E06AE5BE">
      <w:numFmt w:val="decimal"/>
      <w:lvlText w:val=""/>
      <w:lvlJc w:val="left"/>
    </w:lvl>
    <w:lvl w:ilvl="7" w:tplc="6E30BC90">
      <w:numFmt w:val="decimal"/>
      <w:lvlText w:val=""/>
      <w:lvlJc w:val="left"/>
    </w:lvl>
    <w:lvl w:ilvl="8" w:tplc="9ADEE7A8">
      <w:numFmt w:val="decimal"/>
      <w:lvlText w:val=""/>
      <w:lvlJc w:val="left"/>
    </w:lvl>
  </w:abstractNum>
  <w:abstractNum w:abstractNumId="255" w15:restartNumberingAfterBreak="0">
    <w:nsid w:val="6E534CDE"/>
    <w:multiLevelType w:val="hybridMultilevel"/>
    <w:tmpl w:val="1A767A50"/>
    <w:lvl w:ilvl="0" w:tplc="CF86EA1E">
      <w:start w:val="1"/>
      <w:numFmt w:val="upperLetter"/>
      <w:lvlText w:val="%1"/>
      <w:lvlJc w:val="left"/>
    </w:lvl>
    <w:lvl w:ilvl="1" w:tplc="0F663512">
      <w:numFmt w:val="decimal"/>
      <w:lvlText w:val=""/>
      <w:lvlJc w:val="left"/>
    </w:lvl>
    <w:lvl w:ilvl="2" w:tplc="3A96DC0A">
      <w:numFmt w:val="decimal"/>
      <w:lvlText w:val=""/>
      <w:lvlJc w:val="left"/>
    </w:lvl>
    <w:lvl w:ilvl="3" w:tplc="0036945A">
      <w:numFmt w:val="decimal"/>
      <w:lvlText w:val=""/>
      <w:lvlJc w:val="left"/>
    </w:lvl>
    <w:lvl w:ilvl="4" w:tplc="D1F08100">
      <w:numFmt w:val="decimal"/>
      <w:lvlText w:val=""/>
      <w:lvlJc w:val="left"/>
    </w:lvl>
    <w:lvl w:ilvl="5" w:tplc="61845CB0">
      <w:numFmt w:val="decimal"/>
      <w:lvlText w:val=""/>
      <w:lvlJc w:val="left"/>
    </w:lvl>
    <w:lvl w:ilvl="6" w:tplc="48542452">
      <w:numFmt w:val="decimal"/>
      <w:lvlText w:val=""/>
      <w:lvlJc w:val="left"/>
    </w:lvl>
    <w:lvl w:ilvl="7" w:tplc="B16AA0C6">
      <w:numFmt w:val="decimal"/>
      <w:lvlText w:val=""/>
      <w:lvlJc w:val="left"/>
    </w:lvl>
    <w:lvl w:ilvl="8" w:tplc="57FE3EB4">
      <w:numFmt w:val="decimal"/>
      <w:lvlText w:val=""/>
      <w:lvlJc w:val="left"/>
    </w:lvl>
  </w:abstractNum>
  <w:abstractNum w:abstractNumId="256" w15:restartNumberingAfterBreak="0">
    <w:nsid w:val="6EAA85FB"/>
    <w:multiLevelType w:val="hybridMultilevel"/>
    <w:tmpl w:val="86DAE768"/>
    <w:lvl w:ilvl="0" w:tplc="17C2C2E8">
      <w:start w:val="1"/>
      <w:numFmt w:val="bullet"/>
      <w:lvlText w:val="*"/>
      <w:lvlJc w:val="left"/>
    </w:lvl>
    <w:lvl w:ilvl="1" w:tplc="BC940F92">
      <w:numFmt w:val="decimal"/>
      <w:lvlText w:val=""/>
      <w:lvlJc w:val="left"/>
    </w:lvl>
    <w:lvl w:ilvl="2" w:tplc="BCF0DB4A">
      <w:numFmt w:val="decimal"/>
      <w:lvlText w:val=""/>
      <w:lvlJc w:val="left"/>
    </w:lvl>
    <w:lvl w:ilvl="3" w:tplc="1E18C742">
      <w:numFmt w:val="decimal"/>
      <w:lvlText w:val=""/>
      <w:lvlJc w:val="left"/>
    </w:lvl>
    <w:lvl w:ilvl="4" w:tplc="D4683080">
      <w:numFmt w:val="decimal"/>
      <w:lvlText w:val=""/>
      <w:lvlJc w:val="left"/>
    </w:lvl>
    <w:lvl w:ilvl="5" w:tplc="2B606062">
      <w:numFmt w:val="decimal"/>
      <w:lvlText w:val=""/>
      <w:lvlJc w:val="left"/>
    </w:lvl>
    <w:lvl w:ilvl="6" w:tplc="0E808460">
      <w:numFmt w:val="decimal"/>
      <w:lvlText w:val=""/>
      <w:lvlJc w:val="left"/>
    </w:lvl>
    <w:lvl w:ilvl="7" w:tplc="E88A7F4E">
      <w:numFmt w:val="decimal"/>
      <w:lvlText w:val=""/>
      <w:lvlJc w:val="left"/>
    </w:lvl>
    <w:lvl w:ilvl="8" w:tplc="78FA98FC">
      <w:numFmt w:val="decimal"/>
      <w:lvlText w:val=""/>
      <w:lvlJc w:val="left"/>
    </w:lvl>
  </w:abstractNum>
  <w:abstractNum w:abstractNumId="257" w15:restartNumberingAfterBreak="0">
    <w:nsid w:val="6EBE4208"/>
    <w:multiLevelType w:val="hybridMultilevel"/>
    <w:tmpl w:val="2AC4ED30"/>
    <w:lvl w:ilvl="0" w:tplc="EBB2A698">
      <w:start w:val="1"/>
      <w:numFmt w:val="bullet"/>
      <w:lvlText w:val="-"/>
      <w:lvlJc w:val="left"/>
    </w:lvl>
    <w:lvl w:ilvl="1" w:tplc="B25CEAB2">
      <w:numFmt w:val="decimal"/>
      <w:lvlText w:val=""/>
      <w:lvlJc w:val="left"/>
    </w:lvl>
    <w:lvl w:ilvl="2" w:tplc="6A98B6E2">
      <w:numFmt w:val="decimal"/>
      <w:lvlText w:val=""/>
      <w:lvlJc w:val="left"/>
    </w:lvl>
    <w:lvl w:ilvl="3" w:tplc="AA228DFA">
      <w:numFmt w:val="decimal"/>
      <w:lvlText w:val=""/>
      <w:lvlJc w:val="left"/>
    </w:lvl>
    <w:lvl w:ilvl="4" w:tplc="188E6818">
      <w:numFmt w:val="decimal"/>
      <w:lvlText w:val=""/>
      <w:lvlJc w:val="left"/>
    </w:lvl>
    <w:lvl w:ilvl="5" w:tplc="CADA823E">
      <w:numFmt w:val="decimal"/>
      <w:lvlText w:val=""/>
      <w:lvlJc w:val="left"/>
    </w:lvl>
    <w:lvl w:ilvl="6" w:tplc="1626092C">
      <w:numFmt w:val="decimal"/>
      <w:lvlText w:val=""/>
      <w:lvlJc w:val="left"/>
    </w:lvl>
    <w:lvl w:ilvl="7" w:tplc="45AC270E">
      <w:numFmt w:val="decimal"/>
      <w:lvlText w:val=""/>
      <w:lvlJc w:val="left"/>
    </w:lvl>
    <w:lvl w:ilvl="8" w:tplc="BB06643C">
      <w:numFmt w:val="decimal"/>
      <w:lvlText w:val=""/>
      <w:lvlJc w:val="left"/>
    </w:lvl>
  </w:abstractNum>
  <w:abstractNum w:abstractNumId="258" w15:restartNumberingAfterBreak="0">
    <w:nsid w:val="6EC9D844"/>
    <w:multiLevelType w:val="hybridMultilevel"/>
    <w:tmpl w:val="80D4D436"/>
    <w:lvl w:ilvl="0" w:tplc="B220FDB0">
      <w:start w:val="14"/>
      <w:numFmt w:val="decimal"/>
      <w:lvlText w:val="%1."/>
      <w:lvlJc w:val="left"/>
    </w:lvl>
    <w:lvl w:ilvl="1" w:tplc="17765E0E">
      <w:numFmt w:val="decimal"/>
      <w:lvlText w:val=""/>
      <w:lvlJc w:val="left"/>
    </w:lvl>
    <w:lvl w:ilvl="2" w:tplc="9CE6B2C2">
      <w:numFmt w:val="decimal"/>
      <w:lvlText w:val=""/>
      <w:lvlJc w:val="left"/>
    </w:lvl>
    <w:lvl w:ilvl="3" w:tplc="526A0776">
      <w:numFmt w:val="decimal"/>
      <w:lvlText w:val=""/>
      <w:lvlJc w:val="left"/>
    </w:lvl>
    <w:lvl w:ilvl="4" w:tplc="9FDC2BC2">
      <w:numFmt w:val="decimal"/>
      <w:lvlText w:val=""/>
      <w:lvlJc w:val="left"/>
    </w:lvl>
    <w:lvl w:ilvl="5" w:tplc="FFC2616A">
      <w:numFmt w:val="decimal"/>
      <w:lvlText w:val=""/>
      <w:lvlJc w:val="left"/>
    </w:lvl>
    <w:lvl w:ilvl="6" w:tplc="AC6ACC12">
      <w:numFmt w:val="decimal"/>
      <w:lvlText w:val=""/>
      <w:lvlJc w:val="left"/>
    </w:lvl>
    <w:lvl w:ilvl="7" w:tplc="7DF0031A">
      <w:numFmt w:val="decimal"/>
      <w:lvlText w:val=""/>
      <w:lvlJc w:val="left"/>
    </w:lvl>
    <w:lvl w:ilvl="8" w:tplc="74A8B43A">
      <w:numFmt w:val="decimal"/>
      <w:lvlText w:val=""/>
      <w:lvlJc w:val="left"/>
    </w:lvl>
  </w:abstractNum>
  <w:abstractNum w:abstractNumId="259" w15:restartNumberingAfterBreak="0">
    <w:nsid w:val="6F25277F"/>
    <w:multiLevelType w:val="hybridMultilevel"/>
    <w:tmpl w:val="1ADE2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6FDE8AF6"/>
    <w:multiLevelType w:val="hybridMultilevel"/>
    <w:tmpl w:val="CB701F3C"/>
    <w:lvl w:ilvl="0" w:tplc="88E41526">
      <w:start w:val="1"/>
      <w:numFmt w:val="upperLetter"/>
      <w:lvlText w:val="%1"/>
      <w:lvlJc w:val="left"/>
    </w:lvl>
    <w:lvl w:ilvl="1" w:tplc="96CA6236">
      <w:numFmt w:val="decimal"/>
      <w:lvlText w:val=""/>
      <w:lvlJc w:val="left"/>
    </w:lvl>
    <w:lvl w:ilvl="2" w:tplc="40F667A6">
      <w:numFmt w:val="decimal"/>
      <w:lvlText w:val=""/>
      <w:lvlJc w:val="left"/>
    </w:lvl>
    <w:lvl w:ilvl="3" w:tplc="C3B6B322">
      <w:numFmt w:val="decimal"/>
      <w:lvlText w:val=""/>
      <w:lvlJc w:val="left"/>
    </w:lvl>
    <w:lvl w:ilvl="4" w:tplc="C360CD9C">
      <w:numFmt w:val="decimal"/>
      <w:lvlText w:val=""/>
      <w:lvlJc w:val="left"/>
    </w:lvl>
    <w:lvl w:ilvl="5" w:tplc="5CAC9E98">
      <w:numFmt w:val="decimal"/>
      <w:lvlText w:val=""/>
      <w:lvlJc w:val="left"/>
    </w:lvl>
    <w:lvl w:ilvl="6" w:tplc="D0B656BC">
      <w:numFmt w:val="decimal"/>
      <w:lvlText w:val=""/>
      <w:lvlJc w:val="left"/>
    </w:lvl>
    <w:lvl w:ilvl="7" w:tplc="04241E94">
      <w:numFmt w:val="decimal"/>
      <w:lvlText w:val=""/>
      <w:lvlJc w:val="left"/>
    </w:lvl>
    <w:lvl w:ilvl="8" w:tplc="955EC1D6">
      <w:numFmt w:val="decimal"/>
      <w:lvlText w:val=""/>
      <w:lvlJc w:val="left"/>
    </w:lvl>
  </w:abstractNum>
  <w:abstractNum w:abstractNumId="261" w15:restartNumberingAfterBreak="0">
    <w:nsid w:val="704E1DD5"/>
    <w:multiLevelType w:val="hybridMultilevel"/>
    <w:tmpl w:val="2A86A3DE"/>
    <w:lvl w:ilvl="0" w:tplc="01264F4E">
      <w:start w:val="1"/>
      <w:numFmt w:val="decimal"/>
      <w:lvlText w:val="%1."/>
      <w:lvlJc w:val="left"/>
    </w:lvl>
    <w:lvl w:ilvl="1" w:tplc="D9C27CCA">
      <w:numFmt w:val="decimal"/>
      <w:lvlText w:val=""/>
      <w:lvlJc w:val="left"/>
    </w:lvl>
    <w:lvl w:ilvl="2" w:tplc="CC427354">
      <w:numFmt w:val="decimal"/>
      <w:lvlText w:val=""/>
      <w:lvlJc w:val="left"/>
    </w:lvl>
    <w:lvl w:ilvl="3" w:tplc="E40659D2">
      <w:numFmt w:val="decimal"/>
      <w:lvlText w:val=""/>
      <w:lvlJc w:val="left"/>
    </w:lvl>
    <w:lvl w:ilvl="4" w:tplc="405ED0FA">
      <w:numFmt w:val="decimal"/>
      <w:lvlText w:val=""/>
      <w:lvlJc w:val="left"/>
    </w:lvl>
    <w:lvl w:ilvl="5" w:tplc="BD4A3102">
      <w:numFmt w:val="decimal"/>
      <w:lvlText w:val=""/>
      <w:lvlJc w:val="left"/>
    </w:lvl>
    <w:lvl w:ilvl="6" w:tplc="5FA2388A">
      <w:numFmt w:val="decimal"/>
      <w:lvlText w:val=""/>
      <w:lvlJc w:val="left"/>
    </w:lvl>
    <w:lvl w:ilvl="7" w:tplc="948EAA8C">
      <w:numFmt w:val="decimal"/>
      <w:lvlText w:val=""/>
      <w:lvlJc w:val="left"/>
    </w:lvl>
    <w:lvl w:ilvl="8" w:tplc="4968AF8C">
      <w:numFmt w:val="decimal"/>
      <w:lvlText w:val=""/>
      <w:lvlJc w:val="left"/>
    </w:lvl>
  </w:abstractNum>
  <w:abstractNum w:abstractNumId="262" w15:restartNumberingAfterBreak="0">
    <w:nsid w:val="706B674E"/>
    <w:multiLevelType w:val="hybridMultilevel"/>
    <w:tmpl w:val="23F03106"/>
    <w:lvl w:ilvl="0" w:tplc="2D80FEF8">
      <w:start w:val="1"/>
      <w:numFmt w:val="bullet"/>
      <w:lvlText w:val=" "/>
      <w:lvlJc w:val="left"/>
    </w:lvl>
    <w:lvl w:ilvl="1" w:tplc="3622FD7C">
      <w:numFmt w:val="decimal"/>
      <w:lvlText w:val=""/>
      <w:lvlJc w:val="left"/>
    </w:lvl>
    <w:lvl w:ilvl="2" w:tplc="1D04855A">
      <w:numFmt w:val="decimal"/>
      <w:lvlText w:val=""/>
      <w:lvlJc w:val="left"/>
    </w:lvl>
    <w:lvl w:ilvl="3" w:tplc="5F828FD0">
      <w:numFmt w:val="decimal"/>
      <w:lvlText w:val=""/>
      <w:lvlJc w:val="left"/>
    </w:lvl>
    <w:lvl w:ilvl="4" w:tplc="B25044CE">
      <w:numFmt w:val="decimal"/>
      <w:lvlText w:val=""/>
      <w:lvlJc w:val="left"/>
    </w:lvl>
    <w:lvl w:ilvl="5" w:tplc="FAD6880A">
      <w:numFmt w:val="decimal"/>
      <w:lvlText w:val=""/>
      <w:lvlJc w:val="left"/>
    </w:lvl>
    <w:lvl w:ilvl="6" w:tplc="5D2A859A">
      <w:numFmt w:val="decimal"/>
      <w:lvlText w:val=""/>
      <w:lvlJc w:val="left"/>
    </w:lvl>
    <w:lvl w:ilvl="7" w:tplc="F51E1510">
      <w:numFmt w:val="decimal"/>
      <w:lvlText w:val=""/>
      <w:lvlJc w:val="left"/>
    </w:lvl>
    <w:lvl w:ilvl="8" w:tplc="614E4A78">
      <w:numFmt w:val="decimal"/>
      <w:lvlText w:val=""/>
      <w:lvlJc w:val="left"/>
    </w:lvl>
  </w:abstractNum>
  <w:abstractNum w:abstractNumId="263" w15:restartNumberingAfterBreak="0">
    <w:nsid w:val="710757D0"/>
    <w:multiLevelType w:val="hybridMultilevel"/>
    <w:tmpl w:val="24B80D7C"/>
    <w:lvl w:ilvl="0" w:tplc="8D6E44D4">
      <w:start w:val="14"/>
      <w:numFmt w:val="decimal"/>
      <w:lvlText w:val="%1."/>
      <w:lvlJc w:val="left"/>
    </w:lvl>
    <w:lvl w:ilvl="1" w:tplc="DDFEDBDE">
      <w:numFmt w:val="decimal"/>
      <w:lvlText w:val=""/>
      <w:lvlJc w:val="left"/>
    </w:lvl>
    <w:lvl w:ilvl="2" w:tplc="638454D2">
      <w:numFmt w:val="decimal"/>
      <w:lvlText w:val=""/>
      <w:lvlJc w:val="left"/>
    </w:lvl>
    <w:lvl w:ilvl="3" w:tplc="6DAA716E">
      <w:numFmt w:val="decimal"/>
      <w:lvlText w:val=""/>
      <w:lvlJc w:val="left"/>
    </w:lvl>
    <w:lvl w:ilvl="4" w:tplc="F4A87F12">
      <w:numFmt w:val="decimal"/>
      <w:lvlText w:val=""/>
      <w:lvlJc w:val="left"/>
    </w:lvl>
    <w:lvl w:ilvl="5" w:tplc="7BCA594C">
      <w:numFmt w:val="decimal"/>
      <w:lvlText w:val=""/>
      <w:lvlJc w:val="left"/>
    </w:lvl>
    <w:lvl w:ilvl="6" w:tplc="0D2A7E8A">
      <w:numFmt w:val="decimal"/>
      <w:lvlText w:val=""/>
      <w:lvlJc w:val="left"/>
    </w:lvl>
    <w:lvl w:ilvl="7" w:tplc="15966982">
      <w:numFmt w:val="decimal"/>
      <w:lvlText w:val=""/>
      <w:lvlJc w:val="left"/>
    </w:lvl>
    <w:lvl w:ilvl="8" w:tplc="305484D8">
      <w:numFmt w:val="decimal"/>
      <w:lvlText w:val=""/>
      <w:lvlJc w:val="left"/>
    </w:lvl>
  </w:abstractNum>
  <w:abstractNum w:abstractNumId="264" w15:restartNumberingAfterBreak="0">
    <w:nsid w:val="71C1AF98"/>
    <w:multiLevelType w:val="hybridMultilevel"/>
    <w:tmpl w:val="EAC41CBE"/>
    <w:lvl w:ilvl="0" w:tplc="0C2EC442">
      <w:start w:val="1"/>
      <w:numFmt w:val="bullet"/>
      <w:lvlText w:val=" "/>
      <w:lvlJc w:val="left"/>
    </w:lvl>
    <w:lvl w:ilvl="1" w:tplc="B5563086">
      <w:numFmt w:val="decimal"/>
      <w:lvlText w:val=""/>
      <w:lvlJc w:val="left"/>
    </w:lvl>
    <w:lvl w:ilvl="2" w:tplc="03345D5E">
      <w:numFmt w:val="decimal"/>
      <w:lvlText w:val=""/>
      <w:lvlJc w:val="left"/>
    </w:lvl>
    <w:lvl w:ilvl="3" w:tplc="4168AE64">
      <w:numFmt w:val="decimal"/>
      <w:lvlText w:val=""/>
      <w:lvlJc w:val="left"/>
    </w:lvl>
    <w:lvl w:ilvl="4" w:tplc="B6927748">
      <w:numFmt w:val="decimal"/>
      <w:lvlText w:val=""/>
      <w:lvlJc w:val="left"/>
    </w:lvl>
    <w:lvl w:ilvl="5" w:tplc="77487D52">
      <w:numFmt w:val="decimal"/>
      <w:lvlText w:val=""/>
      <w:lvlJc w:val="left"/>
    </w:lvl>
    <w:lvl w:ilvl="6" w:tplc="4CFA9354">
      <w:numFmt w:val="decimal"/>
      <w:lvlText w:val=""/>
      <w:lvlJc w:val="left"/>
    </w:lvl>
    <w:lvl w:ilvl="7" w:tplc="7D7EC97C">
      <w:numFmt w:val="decimal"/>
      <w:lvlText w:val=""/>
      <w:lvlJc w:val="left"/>
    </w:lvl>
    <w:lvl w:ilvl="8" w:tplc="40BE2CD8">
      <w:numFmt w:val="decimal"/>
      <w:lvlText w:val=""/>
      <w:lvlJc w:val="left"/>
    </w:lvl>
  </w:abstractNum>
  <w:abstractNum w:abstractNumId="265" w15:restartNumberingAfterBreak="0">
    <w:nsid w:val="72E3413A"/>
    <w:multiLevelType w:val="hybridMultilevel"/>
    <w:tmpl w:val="4E6AA854"/>
    <w:lvl w:ilvl="0" w:tplc="458208E6">
      <w:start w:val="6"/>
      <w:numFmt w:val="decimal"/>
      <w:lvlText w:val="%1."/>
      <w:lvlJc w:val="left"/>
    </w:lvl>
    <w:lvl w:ilvl="1" w:tplc="BD642C3C">
      <w:numFmt w:val="decimal"/>
      <w:lvlText w:val=""/>
      <w:lvlJc w:val="left"/>
    </w:lvl>
    <w:lvl w:ilvl="2" w:tplc="43AEFC3A">
      <w:numFmt w:val="decimal"/>
      <w:lvlText w:val=""/>
      <w:lvlJc w:val="left"/>
    </w:lvl>
    <w:lvl w:ilvl="3" w:tplc="08C4B024">
      <w:numFmt w:val="decimal"/>
      <w:lvlText w:val=""/>
      <w:lvlJc w:val="left"/>
    </w:lvl>
    <w:lvl w:ilvl="4" w:tplc="FD2ADD36">
      <w:numFmt w:val="decimal"/>
      <w:lvlText w:val=""/>
      <w:lvlJc w:val="left"/>
    </w:lvl>
    <w:lvl w:ilvl="5" w:tplc="DA6ABC62">
      <w:numFmt w:val="decimal"/>
      <w:lvlText w:val=""/>
      <w:lvlJc w:val="left"/>
    </w:lvl>
    <w:lvl w:ilvl="6" w:tplc="82940746">
      <w:numFmt w:val="decimal"/>
      <w:lvlText w:val=""/>
      <w:lvlJc w:val="left"/>
    </w:lvl>
    <w:lvl w:ilvl="7" w:tplc="63FAF1E8">
      <w:numFmt w:val="decimal"/>
      <w:lvlText w:val=""/>
      <w:lvlJc w:val="left"/>
    </w:lvl>
    <w:lvl w:ilvl="8" w:tplc="06F44024">
      <w:numFmt w:val="decimal"/>
      <w:lvlText w:val=""/>
      <w:lvlJc w:val="left"/>
    </w:lvl>
  </w:abstractNum>
  <w:abstractNum w:abstractNumId="266" w15:restartNumberingAfterBreak="0">
    <w:nsid w:val="73D4D3C4"/>
    <w:multiLevelType w:val="hybridMultilevel"/>
    <w:tmpl w:val="D19041BE"/>
    <w:lvl w:ilvl="0" w:tplc="77706CD6">
      <w:start w:val="10"/>
      <w:numFmt w:val="decimal"/>
      <w:lvlText w:val="%1."/>
      <w:lvlJc w:val="left"/>
    </w:lvl>
    <w:lvl w:ilvl="1" w:tplc="B75A7E66">
      <w:numFmt w:val="decimal"/>
      <w:lvlText w:val=""/>
      <w:lvlJc w:val="left"/>
    </w:lvl>
    <w:lvl w:ilvl="2" w:tplc="A0405E1E">
      <w:numFmt w:val="decimal"/>
      <w:lvlText w:val=""/>
      <w:lvlJc w:val="left"/>
    </w:lvl>
    <w:lvl w:ilvl="3" w:tplc="08B42FEA">
      <w:numFmt w:val="decimal"/>
      <w:lvlText w:val=""/>
      <w:lvlJc w:val="left"/>
    </w:lvl>
    <w:lvl w:ilvl="4" w:tplc="762CFA58">
      <w:numFmt w:val="decimal"/>
      <w:lvlText w:val=""/>
      <w:lvlJc w:val="left"/>
    </w:lvl>
    <w:lvl w:ilvl="5" w:tplc="944A8388">
      <w:numFmt w:val="decimal"/>
      <w:lvlText w:val=""/>
      <w:lvlJc w:val="left"/>
    </w:lvl>
    <w:lvl w:ilvl="6" w:tplc="8F589D6E">
      <w:numFmt w:val="decimal"/>
      <w:lvlText w:val=""/>
      <w:lvlJc w:val="left"/>
    </w:lvl>
    <w:lvl w:ilvl="7" w:tplc="06DEB7FA">
      <w:numFmt w:val="decimal"/>
      <w:lvlText w:val=""/>
      <w:lvlJc w:val="left"/>
    </w:lvl>
    <w:lvl w:ilvl="8" w:tplc="8CA04FEE">
      <w:numFmt w:val="decimal"/>
      <w:lvlText w:val=""/>
      <w:lvlJc w:val="left"/>
    </w:lvl>
  </w:abstractNum>
  <w:abstractNum w:abstractNumId="267" w15:restartNumberingAfterBreak="0">
    <w:nsid w:val="740C3927"/>
    <w:multiLevelType w:val="hybridMultilevel"/>
    <w:tmpl w:val="9262512A"/>
    <w:lvl w:ilvl="0" w:tplc="CE644DBC">
      <w:start w:val="2"/>
      <w:numFmt w:val="bullet"/>
      <w:lvlText w:val="•"/>
      <w:lvlJc w:val="left"/>
      <w:pPr>
        <w:ind w:left="720" w:hanging="360"/>
      </w:pPr>
      <w:rPr>
        <w:rFonts w:ascii="Times New Roman" w:eastAsia="Times New Roman" w:hAnsi="Times New Roman" w:cs="Times New Roman" w:hint="default"/>
        <w:b/>
        <w:color w:val="000000"/>
        <w:sz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8" w15:restartNumberingAfterBreak="0">
    <w:nsid w:val="744939A3"/>
    <w:multiLevelType w:val="hybridMultilevel"/>
    <w:tmpl w:val="B38A57BE"/>
    <w:lvl w:ilvl="0" w:tplc="94B46396">
      <w:start w:val="3"/>
      <w:numFmt w:val="upperLetter"/>
      <w:lvlText w:val="%1."/>
      <w:lvlJc w:val="left"/>
    </w:lvl>
    <w:lvl w:ilvl="1" w:tplc="E05A7CAE">
      <w:numFmt w:val="decimal"/>
      <w:lvlText w:val=""/>
      <w:lvlJc w:val="left"/>
    </w:lvl>
    <w:lvl w:ilvl="2" w:tplc="85409108">
      <w:numFmt w:val="decimal"/>
      <w:lvlText w:val=""/>
      <w:lvlJc w:val="left"/>
    </w:lvl>
    <w:lvl w:ilvl="3" w:tplc="555C0152">
      <w:numFmt w:val="decimal"/>
      <w:lvlText w:val=""/>
      <w:lvlJc w:val="left"/>
    </w:lvl>
    <w:lvl w:ilvl="4" w:tplc="DF1CEE6A">
      <w:numFmt w:val="decimal"/>
      <w:lvlText w:val=""/>
      <w:lvlJc w:val="left"/>
    </w:lvl>
    <w:lvl w:ilvl="5" w:tplc="002841C4">
      <w:numFmt w:val="decimal"/>
      <w:lvlText w:val=""/>
      <w:lvlJc w:val="left"/>
    </w:lvl>
    <w:lvl w:ilvl="6" w:tplc="8E7E0566">
      <w:numFmt w:val="decimal"/>
      <w:lvlText w:val=""/>
      <w:lvlJc w:val="left"/>
    </w:lvl>
    <w:lvl w:ilvl="7" w:tplc="7C740744">
      <w:numFmt w:val="decimal"/>
      <w:lvlText w:val=""/>
      <w:lvlJc w:val="left"/>
    </w:lvl>
    <w:lvl w:ilvl="8" w:tplc="21201D3A">
      <w:numFmt w:val="decimal"/>
      <w:lvlText w:val=""/>
      <w:lvlJc w:val="left"/>
    </w:lvl>
  </w:abstractNum>
  <w:abstractNum w:abstractNumId="269" w15:restartNumberingAfterBreak="0">
    <w:nsid w:val="746F2E30"/>
    <w:multiLevelType w:val="hybridMultilevel"/>
    <w:tmpl w:val="EAA43944"/>
    <w:lvl w:ilvl="0" w:tplc="6E901DA2">
      <w:start w:val="1"/>
      <w:numFmt w:val="upperLetter"/>
      <w:lvlText w:val="%1"/>
      <w:lvlJc w:val="left"/>
    </w:lvl>
    <w:lvl w:ilvl="1" w:tplc="2FF4EA60">
      <w:numFmt w:val="decimal"/>
      <w:lvlText w:val=""/>
      <w:lvlJc w:val="left"/>
    </w:lvl>
    <w:lvl w:ilvl="2" w:tplc="10F4A54E">
      <w:numFmt w:val="decimal"/>
      <w:lvlText w:val=""/>
      <w:lvlJc w:val="left"/>
    </w:lvl>
    <w:lvl w:ilvl="3" w:tplc="26785286">
      <w:numFmt w:val="decimal"/>
      <w:lvlText w:val=""/>
      <w:lvlJc w:val="left"/>
    </w:lvl>
    <w:lvl w:ilvl="4" w:tplc="4AF0408E">
      <w:numFmt w:val="decimal"/>
      <w:lvlText w:val=""/>
      <w:lvlJc w:val="left"/>
    </w:lvl>
    <w:lvl w:ilvl="5" w:tplc="F9861742">
      <w:numFmt w:val="decimal"/>
      <w:lvlText w:val=""/>
      <w:lvlJc w:val="left"/>
    </w:lvl>
    <w:lvl w:ilvl="6" w:tplc="B7F6D2AA">
      <w:numFmt w:val="decimal"/>
      <w:lvlText w:val=""/>
      <w:lvlJc w:val="left"/>
    </w:lvl>
    <w:lvl w:ilvl="7" w:tplc="4CEE9BB4">
      <w:numFmt w:val="decimal"/>
      <w:lvlText w:val=""/>
      <w:lvlJc w:val="left"/>
    </w:lvl>
    <w:lvl w:ilvl="8" w:tplc="EA344F84">
      <w:numFmt w:val="decimal"/>
      <w:lvlText w:val=""/>
      <w:lvlJc w:val="left"/>
    </w:lvl>
  </w:abstractNum>
  <w:abstractNum w:abstractNumId="270" w15:restartNumberingAfterBreak="0">
    <w:nsid w:val="75486E47"/>
    <w:multiLevelType w:val="hybridMultilevel"/>
    <w:tmpl w:val="591E59D0"/>
    <w:lvl w:ilvl="0" w:tplc="DCA414D6">
      <w:start w:val="1"/>
      <w:numFmt w:val="upperLetter"/>
      <w:lvlText w:val="%1"/>
      <w:lvlJc w:val="left"/>
    </w:lvl>
    <w:lvl w:ilvl="1" w:tplc="A1A02050">
      <w:numFmt w:val="decimal"/>
      <w:lvlText w:val=""/>
      <w:lvlJc w:val="left"/>
    </w:lvl>
    <w:lvl w:ilvl="2" w:tplc="F59AB0C6">
      <w:numFmt w:val="decimal"/>
      <w:lvlText w:val=""/>
      <w:lvlJc w:val="left"/>
    </w:lvl>
    <w:lvl w:ilvl="3" w:tplc="3C701088">
      <w:numFmt w:val="decimal"/>
      <w:lvlText w:val=""/>
      <w:lvlJc w:val="left"/>
    </w:lvl>
    <w:lvl w:ilvl="4" w:tplc="B3463338">
      <w:numFmt w:val="decimal"/>
      <w:lvlText w:val=""/>
      <w:lvlJc w:val="left"/>
    </w:lvl>
    <w:lvl w:ilvl="5" w:tplc="69F6930E">
      <w:numFmt w:val="decimal"/>
      <w:lvlText w:val=""/>
      <w:lvlJc w:val="left"/>
    </w:lvl>
    <w:lvl w:ilvl="6" w:tplc="208E3EA0">
      <w:numFmt w:val="decimal"/>
      <w:lvlText w:val=""/>
      <w:lvlJc w:val="left"/>
    </w:lvl>
    <w:lvl w:ilvl="7" w:tplc="EB9681FC">
      <w:numFmt w:val="decimal"/>
      <w:lvlText w:val=""/>
      <w:lvlJc w:val="left"/>
    </w:lvl>
    <w:lvl w:ilvl="8" w:tplc="49129ED0">
      <w:numFmt w:val="decimal"/>
      <w:lvlText w:val=""/>
      <w:lvlJc w:val="left"/>
    </w:lvl>
  </w:abstractNum>
  <w:abstractNum w:abstractNumId="271" w15:restartNumberingAfterBreak="0">
    <w:nsid w:val="759F82CD"/>
    <w:multiLevelType w:val="hybridMultilevel"/>
    <w:tmpl w:val="E49024D6"/>
    <w:lvl w:ilvl="0" w:tplc="8078DCF2">
      <w:start w:val="8"/>
      <w:numFmt w:val="decimal"/>
      <w:lvlText w:val="%1."/>
      <w:lvlJc w:val="left"/>
    </w:lvl>
    <w:lvl w:ilvl="1" w:tplc="ACE2F2AA">
      <w:numFmt w:val="decimal"/>
      <w:lvlText w:val=""/>
      <w:lvlJc w:val="left"/>
    </w:lvl>
    <w:lvl w:ilvl="2" w:tplc="04DA7AA8">
      <w:numFmt w:val="decimal"/>
      <w:lvlText w:val=""/>
      <w:lvlJc w:val="left"/>
    </w:lvl>
    <w:lvl w:ilvl="3" w:tplc="F990CE64">
      <w:numFmt w:val="decimal"/>
      <w:lvlText w:val=""/>
      <w:lvlJc w:val="left"/>
    </w:lvl>
    <w:lvl w:ilvl="4" w:tplc="8494B81E">
      <w:numFmt w:val="decimal"/>
      <w:lvlText w:val=""/>
      <w:lvlJc w:val="left"/>
    </w:lvl>
    <w:lvl w:ilvl="5" w:tplc="0C0C677A">
      <w:numFmt w:val="decimal"/>
      <w:lvlText w:val=""/>
      <w:lvlJc w:val="left"/>
    </w:lvl>
    <w:lvl w:ilvl="6" w:tplc="37FE61BA">
      <w:numFmt w:val="decimal"/>
      <w:lvlText w:val=""/>
      <w:lvlJc w:val="left"/>
    </w:lvl>
    <w:lvl w:ilvl="7" w:tplc="A33A974E">
      <w:numFmt w:val="decimal"/>
      <w:lvlText w:val=""/>
      <w:lvlJc w:val="left"/>
    </w:lvl>
    <w:lvl w:ilvl="8" w:tplc="2CDA04BC">
      <w:numFmt w:val="decimal"/>
      <w:lvlText w:val=""/>
      <w:lvlJc w:val="left"/>
    </w:lvl>
  </w:abstractNum>
  <w:abstractNum w:abstractNumId="272" w15:restartNumberingAfterBreak="0">
    <w:nsid w:val="75E0858A"/>
    <w:multiLevelType w:val="hybridMultilevel"/>
    <w:tmpl w:val="7ACC58CA"/>
    <w:lvl w:ilvl="0" w:tplc="B2388F8E">
      <w:start w:val="1"/>
      <w:numFmt w:val="bullet"/>
      <w:lvlText w:val="*"/>
      <w:lvlJc w:val="left"/>
    </w:lvl>
    <w:lvl w:ilvl="1" w:tplc="AE80FABE">
      <w:numFmt w:val="decimal"/>
      <w:lvlText w:val=""/>
      <w:lvlJc w:val="left"/>
    </w:lvl>
    <w:lvl w:ilvl="2" w:tplc="0762BCFA">
      <w:numFmt w:val="decimal"/>
      <w:lvlText w:val=""/>
      <w:lvlJc w:val="left"/>
    </w:lvl>
    <w:lvl w:ilvl="3" w:tplc="35C4F14A">
      <w:numFmt w:val="decimal"/>
      <w:lvlText w:val=""/>
      <w:lvlJc w:val="left"/>
    </w:lvl>
    <w:lvl w:ilvl="4" w:tplc="5322C5FA">
      <w:numFmt w:val="decimal"/>
      <w:lvlText w:val=""/>
      <w:lvlJc w:val="left"/>
    </w:lvl>
    <w:lvl w:ilvl="5" w:tplc="97728792">
      <w:numFmt w:val="decimal"/>
      <w:lvlText w:val=""/>
      <w:lvlJc w:val="left"/>
    </w:lvl>
    <w:lvl w:ilvl="6" w:tplc="8B8E6C0C">
      <w:numFmt w:val="decimal"/>
      <w:lvlText w:val=""/>
      <w:lvlJc w:val="left"/>
    </w:lvl>
    <w:lvl w:ilvl="7" w:tplc="94FC239E">
      <w:numFmt w:val="decimal"/>
      <w:lvlText w:val=""/>
      <w:lvlJc w:val="left"/>
    </w:lvl>
    <w:lvl w:ilvl="8" w:tplc="C45E04FA">
      <w:numFmt w:val="decimal"/>
      <w:lvlText w:val=""/>
      <w:lvlJc w:val="left"/>
    </w:lvl>
  </w:abstractNum>
  <w:abstractNum w:abstractNumId="273" w15:restartNumberingAfterBreak="0">
    <w:nsid w:val="763CB680"/>
    <w:multiLevelType w:val="hybridMultilevel"/>
    <w:tmpl w:val="EC58A58C"/>
    <w:lvl w:ilvl="0" w:tplc="83408C8E">
      <w:start w:val="3"/>
      <w:numFmt w:val="decimal"/>
      <w:lvlText w:val="%1."/>
      <w:lvlJc w:val="left"/>
    </w:lvl>
    <w:lvl w:ilvl="1" w:tplc="9DDEBBEA">
      <w:numFmt w:val="decimal"/>
      <w:lvlText w:val=""/>
      <w:lvlJc w:val="left"/>
    </w:lvl>
    <w:lvl w:ilvl="2" w:tplc="9CC4B43C">
      <w:numFmt w:val="decimal"/>
      <w:lvlText w:val=""/>
      <w:lvlJc w:val="left"/>
    </w:lvl>
    <w:lvl w:ilvl="3" w:tplc="E0B28E2E">
      <w:numFmt w:val="decimal"/>
      <w:lvlText w:val=""/>
      <w:lvlJc w:val="left"/>
    </w:lvl>
    <w:lvl w:ilvl="4" w:tplc="17C4FAF8">
      <w:numFmt w:val="decimal"/>
      <w:lvlText w:val=""/>
      <w:lvlJc w:val="left"/>
    </w:lvl>
    <w:lvl w:ilvl="5" w:tplc="8EC2387C">
      <w:numFmt w:val="decimal"/>
      <w:lvlText w:val=""/>
      <w:lvlJc w:val="left"/>
    </w:lvl>
    <w:lvl w:ilvl="6" w:tplc="5C8A8EF6">
      <w:numFmt w:val="decimal"/>
      <w:lvlText w:val=""/>
      <w:lvlJc w:val="left"/>
    </w:lvl>
    <w:lvl w:ilvl="7" w:tplc="EFAC1D9E">
      <w:numFmt w:val="decimal"/>
      <w:lvlText w:val=""/>
      <w:lvlJc w:val="left"/>
    </w:lvl>
    <w:lvl w:ilvl="8" w:tplc="A1524484">
      <w:numFmt w:val="decimal"/>
      <w:lvlText w:val=""/>
      <w:lvlJc w:val="left"/>
    </w:lvl>
  </w:abstractNum>
  <w:abstractNum w:abstractNumId="274" w15:restartNumberingAfterBreak="0">
    <w:nsid w:val="77485850"/>
    <w:multiLevelType w:val="hybridMultilevel"/>
    <w:tmpl w:val="0D140CB8"/>
    <w:lvl w:ilvl="0" w:tplc="52B699F2">
      <w:start w:val="2"/>
      <w:numFmt w:val="upperLetter"/>
      <w:lvlText w:val="%1."/>
      <w:lvlJc w:val="left"/>
    </w:lvl>
    <w:lvl w:ilvl="1" w:tplc="8012CE80">
      <w:numFmt w:val="decimal"/>
      <w:lvlText w:val=""/>
      <w:lvlJc w:val="left"/>
    </w:lvl>
    <w:lvl w:ilvl="2" w:tplc="795E9B4E">
      <w:numFmt w:val="decimal"/>
      <w:lvlText w:val=""/>
      <w:lvlJc w:val="left"/>
    </w:lvl>
    <w:lvl w:ilvl="3" w:tplc="872E970A">
      <w:numFmt w:val="decimal"/>
      <w:lvlText w:val=""/>
      <w:lvlJc w:val="left"/>
    </w:lvl>
    <w:lvl w:ilvl="4" w:tplc="D21295D2">
      <w:numFmt w:val="decimal"/>
      <w:lvlText w:val=""/>
      <w:lvlJc w:val="left"/>
    </w:lvl>
    <w:lvl w:ilvl="5" w:tplc="431052D2">
      <w:numFmt w:val="decimal"/>
      <w:lvlText w:val=""/>
      <w:lvlJc w:val="left"/>
    </w:lvl>
    <w:lvl w:ilvl="6" w:tplc="B170BFB4">
      <w:numFmt w:val="decimal"/>
      <w:lvlText w:val=""/>
      <w:lvlJc w:val="left"/>
    </w:lvl>
    <w:lvl w:ilvl="7" w:tplc="D87CC53C">
      <w:numFmt w:val="decimal"/>
      <w:lvlText w:val=""/>
      <w:lvlJc w:val="left"/>
    </w:lvl>
    <w:lvl w:ilvl="8" w:tplc="2DF45596">
      <w:numFmt w:val="decimal"/>
      <w:lvlText w:val=""/>
      <w:lvlJc w:val="left"/>
    </w:lvl>
  </w:abstractNum>
  <w:abstractNum w:abstractNumId="275" w15:restartNumberingAfterBreak="0">
    <w:nsid w:val="779D8544"/>
    <w:multiLevelType w:val="hybridMultilevel"/>
    <w:tmpl w:val="9AF8C2EE"/>
    <w:lvl w:ilvl="0" w:tplc="CF8000B0">
      <w:start w:val="7"/>
      <w:numFmt w:val="decimal"/>
      <w:lvlText w:val="%1."/>
      <w:lvlJc w:val="left"/>
    </w:lvl>
    <w:lvl w:ilvl="1" w:tplc="C9E4CC36">
      <w:numFmt w:val="decimal"/>
      <w:lvlText w:val=""/>
      <w:lvlJc w:val="left"/>
    </w:lvl>
    <w:lvl w:ilvl="2" w:tplc="F06C27B8">
      <w:numFmt w:val="decimal"/>
      <w:lvlText w:val=""/>
      <w:lvlJc w:val="left"/>
    </w:lvl>
    <w:lvl w:ilvl="3" w:tplc="0D8ADB9C">
      <w:numFmt w:val="decimal"/>
      <w:lvlText w:val=""/>
      <w:lvlJc w:val="left"/>
    </w:lvl>
    <w:lvl w:ilvl="4" w:tplc="7A14E6DA">
      <w:numFmt w:val="decimal"/>
      <w:lvlText w:val=""/>
      <w:lvlJc w:val="left"/>
    </w:lvl>
    <w:lvl w:ilvl="5" w:tplc="CF2AF4E8">
      <w:numFmt w:val="decimal"/>
      <w:lvlText w:val=""/>
      <w:lvlJc w:val="left"/>
    </w:lvl>
    <w:lvl w:ilvl="6" w:tplc="18F6FFCA">
      <w:numFmt w:val="decimal"/>
      <w:lvlText w:val=""/>
      <w:lvlJc w:val="left"/>
    </w:lvl>
    <w:lvl w:ilvl="7" w:tplc="7A268B3C">
      <w:numFmt w:val="decimal"/>
      <w:lvlText w:val=""/>
      <w:lvlJc w:val="left"/>
    </w:lvl>
    <w:lvl w:ilvl="8" w:tplc="F0B627D0">
      <w:numFmt w:val="decimal"/>
      <w:lvlText w:val=""/>
      <w:lvlJc w:val="left"/>
    </w:lvl>
  </w:abstractNum>
  <w:abstractNum w:abstractNumId="276" w15:restartNumberingAfterBreak="0">
    <w:nsid w:val="78B5E776"/>
    <w:multiLevelType w:val="hybridMultilevel"/>
    <w:tmpl w:val="BCC69CEC"/>
    <w:lvl w:ilvl="0" w:tplc="9526625E">
      <w:start w:val="1"/>
      <w:numFmt w:val="bullet"/>
      <w:lvlText w:val="≤"/>
      <w:lvlJc w:val="left"/>
    </w:lvl>
    <w:lvl w:ilvl="1" w:tplc="14C8819E">
      <w:numFmt w:val="decimal"/>
      <w:lvlText w:val=""/>
      <w:lvlJc w:val="left"/>
    </w:lvl>
    <w:lvl w:ilvl="2" w:tplc="03A8C788">
      <w:numFmt w:val="decimal"/>
      <w:lvlText w:val=""/>
      <w:lvlJc w:val="left"/>
    </w:lvl>
    <w:lvl w:ilvl="3" w:tplc="5C8E312A">
      <w:numFmt w:val="decimal"/>
      <w:lvlText w:val=""/>
      <w:lvlJc w:val="left"/>
    </w:lvl>
    <w:lvl w:ilvl="4" w:tplc="85AA5636">
      <w:numFmt w:val="decimal"/>
      <w:lvlText w:val=""/>
      <w:lvlJc w:val="left"/>
    </w:lvl>
    <w:lvl w:ilvl="5" w:tplc="A8402984">
      <w:numFmt w:val="decimal"/>
      <w:lvlText w:val=""/>
      <w:lvlJc w:val="left"/>
    </w:lvl>
    <w:lvl w:ilvl="6" w:tplc="3A182482">
      <w:numFmt w:val="decimal"/>
      <w:lvlText w:val=""/>
      <w:lvlJc w:val="left"/>
    </w:lvl>
    <w:lvl w:ilvl="7" w:tplc="DA86DBB8">
      <w:numFmt w:val="decimal"/>
      <w:lvlText w:val=""/>
      <w:lvlJc w:val="left"/>
    </w:lvl>
    <w:lvl w:ilvl="8" w:tplc="AC7810C2">
      <w:numFmt w:val="decimal"/>
      <w:lvlText w:val=""/>
      <w:lvlJc w:val="left"/>
    </w:lvl>
  </w:abstractNum>
  <w:abstractNum w:abstractNumId="277" w15:restartNumberingAfterBreak="0">
    <w:nsid w:val="78DF6A55"/>
    <w:multiLevelType w:val="hybridMultilevel"/>
    <w:tmpl w:val="69F0BA98"/>
    <w:lvl w:ilvl="0" w:tplc="DDC21E56">
      <w:start w:val="3"/>
      <w:numFmt w:val="decimal"/>
      <w:lvlText w:val="%1."/>
      <w:lvlJc w:val="left"/>
    </w:lvl>
    <w:lvl w:ilvl="1" w:tplc="3EE65452">
      <w:numFmt w:val="decimal"/>
      <w:lvlText w:val=""/>
      <w:lvlJc w:val="left"/>
    </w:lvl>
    <w:lvl w:ilvl="2" w:tplc="496866F2">
      <w:numFmt w:val="decimal"/>
      <w:lvlText w:val=""/>
      <w:lvlJc w:val="left"/>
    </w:lvl>
    <w:lvl w:ilvl="3" w:tplc="D1AC3F84">
      <w:numFmt w:val="decimal"/>
      <w:lvlText w:val=""/>
      <w:lvlJc w:val="left"/>
    </w:lvl>
    <w:lvl w:ilvl="4" w:tplc="071AD922">
      <w:numFmt w:val="decimal"/>
      <w:lvlText w:val=""/>
      <w:lvlJc w:val="left"/>
    </w:lvl>
    <w:lvl w:ilvl="5" w:tplc="79F63FDE">
      <w:numFmt w:val="decimal"/>
      <w:lvlText w:val=""/>
      <w:lvlJc w:val="left"/>
    </w:lvl>
    <w:lvl w:ilvl="6" w:tplc="7E064A28">
      <w:numFmt w:val="decimal"/>
      <w:lvlText w:val=""/>
      <w:lvlJc w:val="left"/>
    </w:lvl>
    <w:lvl w:ilvl="7" w:tplc="2EC223E4">
      <w:numFmt w:val="decimal"/>
      <w:lvlText w:val=""/>
      <w:lvlJc w:val="left"/>
    </w:lvl>
    <w:lvl w:ilvl="8" w:tplc="536006B4">
      <w:numFmt w:val="decimal"/>
      <w:lvlText w:val=""/>
      <w:lvlJc w:val="left"/>
    </w:lvl>
  </w:abstractNum>
  <w:abstractNum w:abstractNumId="278" w15:restartNumberingAfterBreak="0">
    <w:nsid w:val="796E4D2A"/>
    <w:multiLevelType w:val="hybridMultilevel"/>
    <w:tmpl w:val="2FF2D864"/>
    <w:lvl w:ilvl="0" w:tplc="08888AF4">
      <w:numFmt w:val="bullet"/>
      <w:lvlText w:val=""/>
      <w:lvlJc w:val="left"/>
      <w:pPr>
        <w:ind w:left="720" w:hanging="360"/>
      </w:pPr>
      <w:rPr>
        <w:rFonts w:ascii="Symbol" w:eastAsia="Times New Roman" w:hAnsi="Symbol" w:cs="Symbol" w:hint="default"/>
        <w:b/>
        <w:color w:val="000000"/>
        <w:sz w:val="22"/>
      </w:rPr>
    </w:lvl>
    <w:lvl w:ilvl="1" w:tplc="08888AF4">
      <w:numFmt w:val="bullet"/>
      <w:lvlText w:val=""/>
      <w:lvlJc w:val="left"/>
      <w:pPr>
        <w:ind w:left="1440" w:hanging="360"/>
      </w:pPr>
      <w:rPr>
        <w:rFonts w:ascii="Symbol" w:eastAsia="Times New Roman" w:hAnsi="Symbol" w:cs="Symbol" w:hint="default"/>
        <w:color w:val="000000"/>
        <w:sz w:val="22"/>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9" w15:restartNumberingAfterBreak="0">
    <w:nsid w:val="7AB49DAF"/>
    <w:multiLevelType w:val="hybridMultilevel"/>
    <w:tmpl w:val="C10A392A"/>
    <w:lvl w:ilvl="0" w:tplc="5E84755C">
      <w:start w:val="1"/>
      <w:numFmt w:val="bullet"/>
      <w:lvlText w:val="≥"/>
      <w:lvlJc w:val="left"/>
    </w:lvl>
    <w:lvl w:ilvl="1" w:tplc="DA1C238A">
      <w:numFmt w:val="decimal"/>
      <w:lvlText w:val=""/>
      <w:lvlJc w:val="left"/>
    </w:lvl>
    <w:lvl w:ilvl="2" w:tplc="B13A6E1E">
      <w:numFmt w:val="decimal"/>
      <w:lvlText w:val=""/>
      <w:lvlJc w:val="left"/>
    </w:lvl>
    <w:lvl w:ilvl="3" w:tplc="01E2770A">
      <w:numFmt w:val="decimal"/>
      <w:lvlText w:val=""/>
      <w:lvlJc w:val="left"/>
    </w:lvl>
    <w:lvl w:ilvl="4" w:tplc="38AA3226">
      <w:numFmt w:val="decimal"/>
      <w:lvlText w:val=""/>
      <w:lvlJc w:val="left"/>
    </w:lvl>
    <w:lvl w:ilvl="5" w:tplc="35C4FC28">
      <w:numFmt w:val="decimal"/>
      <w:lvlText w:val=""/>
      <w:lvlJc w:val="left"/>
    </w:lvl>
    <w:lvl w:ilvl="6" w:tplc="38E888D8">
      <w:numFmt w:val="decimal"/>
      <w:lvlText w:val=""/>
      <w:lvlJc w:val="left"/>
    </w:lvl>
    <w:lvl w:ilvl="7" w:tplc="27E61042">
      <w:numFmt w:val="decimal"/>
      <w:lvlText w:val=""/>
      <w:lvlJc w:val="left"/>
    </w:lvl>
    <w:lvl w:ilvl="8" w:tplc="196A4B7A">
      <w:numFmt w:val="decimal"/>
      <w:lvlText w:val=""/>
      <w:lvlJc w:val="left"/>
    </w:lvl>
  </w:abstractNum>
  <w:abstractNum w:abstractNumId="280" w15:restartNumberingAfterBreak="0">
    <w:nsid w:val="7DFF9D09"/>
    <w:multiLevelType w:val="hybridMultilevel"/>
    <w:tmpl w:val="BAF85BBC"/>
    <w:lvl w:ilvl="0" w:tplc="99608D50">
      <w:start w:val="1"/>
      <w:numFmt w:val="upperLetter"/>
      <w:lvlText w:val="%1"/>
      <w:lvlJc w:val="left"/>
    </w:lvl>
    <w:lvl w:ilvl="1" w:tplc="C6506EF4">
      <w:numFmt w:val="decimal"/>
      <w:lvlText w:val=""/>
      <w:lvlJc w:val="left"/>
    </w:lvl>
    <w:lvl w:ilvl="2" w:tplc="07C45538">
      <w:numFmt w:val="decimal"/>
      <w:lvlText w:val=""/>
      <w:lvlJc w:val="left"/>
    </w:lvl>
    <w:lvl w:ilvl="3" w:tplc="B9EC2BE2">
      <w:numFmt w:val="decimal"/>
      <w:lvlText w:val=""/>
      <w:lvlJc w:val="left"/>
    </w:lvl>
    <w:lvl w:ilvl="4" w:tplc="D7A6AE02">
      <w:numFmt w:val="decimal"/>
      <w:lvlText w:val=""/>
      <w:lvlJc w:val="left"/>
    </w:lvl>
    <w:lvl w:ilvl="5" w:tplc="38B01B1E">
      <w:numFmt w:val="decimal"/>
      <w:lvlText w:val=""/>
      <w:lvlJc w:val="left"/>
    </w:lvl>
    <w:lvl w:ilvl="6" w:tplc="9410B6DE">
      <w:numFmt w:val="decimal"/>
      <w:lvlText w:val=""/>
      <w:lvlJc w:val="left"/>
    </w:lvl>
    <w:lvl w:ilvl="7" w:tplc="E642018E">
      <w:numFmt w:val="decimal"/>
      <w:lvlText w:val=""/>
      <w:lvlJc w:val="left"/>
    </w:lvl>
    <w:lvl w:ilvl="8" w:tplc="1442A0B2">
      <w:numFmt w:val="decimal"/>
      <w:lvlText w:val=""/>
      <w:lvlJc w:val="left"/>
    </w:lvl>
  </w:abstractNum>
  <w:abstractNum w:abstractNumId="281" w15:restartNumberingAfterBreak="0">
    <w:nsid w:val="7E0F6384"/>
    <w:multiLevelType w:val="hybridMultilevel"/>
    <w:tmpl w:val="E81C2632"/>
    <w:lvl w:ilvl="0" w:tplc="D6728020">
      <w:start w:val="4"/>
      <w:numFmt w:val="decimal"/>
      <w:lvlText w:val="%1."/>
      <w:lvlJc w:val="left"/>
    </w:lvl>
    <w:lvl w:ilvl="1" w:tplc="C28E5536">
      <w:numFmt w:val="decimal"/>
      <w:lvlText w:val=""/>
      <w:lvlJc w:val="left"/>
    </w:lvl>
    <w:lvl w:ilvl="2" w:tplc="8AC2CC92">
      <w:numFmt w:val="decimal"/>
      <w:lvlText w:val=""/>
      <w:lvlJc w:val="left"/>
    </w:lvl>
    <w:lvl w:ilvl="3" w:tplc="8FC85AE0">
      <w:numFmt w:val="decimal"/>
      <w:lvlText w:val=""/>
      <w:lvlJc w:val="left"/>
    </w:lvl>
    <w:lvl w:ilvl="4" w:tplc="C44E7E60">
      <w:numFmt w:val="decimal"/>
      <w:lvlText w:val=""/>
      <w:lvlJc w:val="left"/>
    </w:lvl>
    <w:lvl w:ilvl="5" w:tplc="AE1CD9C4">
      <w:numFmt w:val="decimal"/>
      <w:lvlText w:val=""/>
      <w:lvlJc w:val="left"/>
    </w:lvl>
    <w:lvl w:ilvl="6" w:tplc="EA406184">
      <w:numFmt w:val="decimal"/>
      <w:lvlText w:val=""/>
      <w:lvlJc w:val="left"/>
    </w:lvl>
    <w:lvl w:ilvl="7" w:tplc="5D90B534">
      <w:numFmt w:val="decimal"/>
      <w:lvlText w:val=""/>
      <w:lvlJc w:val="left"/>
    </w:lvl>
    <w:lvl w:ilvl="8" w:tplc="059C90F8">
      <w:numFmt w:val="decimal"/>
      <w:lvlText w:val=""/>
      <w:lvlJc w:val="left"/>
    </w:lvl>
  </w:abstractNum>
  <w:abstractNum w:abstractNumId="282" w15:restartNumberingAfterBreak="0">
    <w:nsid w:val="7E448DE9"/>
    <w:multiLevelType w:val="hybridMultilevel"/>
    <w:tmpl w:val="FDA2DADE"/>
    <w:lvl w:ilvl="0" w:tplc="2AF0C5EA">
      <w:start w:val="2"/>
      <w:numFmt w:val="decimal"/>
      <w:lvlText w:val="%1."/>
      <w:lvlJc w:val="left"/>
    </w:lvl>
    <w:lvl w:ilvl="1" w:tplc="42983AEE">
      <w:numFmt w:val="decimal"/>
      <w:lvlText w:val=""/>
      <w:lvlJc w:val="left"/>
    </w:lvl>
    <w:lvl w:ilvl="2" w:tplc="37AAD4A8">
      <w:numFmt w:val="decimal"/>
      <w:lvlText w:val=""/>
      <w:lvlJc w:val="left"/>
    </w:lvl>
    <w:lvl w:ilvl="3" w:tplc="BCF82778">
      <w:numFmt w:val="decimal"/>
      <w:lvlText w:val=""/>
      <w:lvlJc w:val="left"/>
    </w:lvl>
    <w:lvl w:ilvl="4" w:tplc="A5E4B0C2">
      <w:numFmt w:val="decimal"/>
      <w:lvlText w:val=""/>
      <w:lvlJc w:val="left"/>
    </w:lvl>
    <w:lvl w:ilvl="5" w:tplc="85A22DB6">
      <w:numFmt w:val="decimal"/>
      <w:lvlText w:val=""/>
      <w:lvlJc w:val="left"/>
    </w:lvl>
    <w:lvl w:ilvl="6" w:tplc="28FCA476">
      <w:numFmt w:val="decimal"/>
      <w:lvlText w:val=""/>
      <w:lvlJc w:val="left"/>
    </w:lvl>
    <w:lvl w:ilvl="7" w:tplc="F264AA0E">
      <w:numFmt w:val="decimal"/>
      <w:lvlText w:val=""/>
      <w:lvlJc w:val="left"/>
    </w:lvl>
    <w:lvl w:ilvl="8" w:tplc="8E70CAAC">
      <w:numFmt w:val="decimal"/>
      <w:lvlText w:val=""/>
      <w:lvlJc w:val="left"/>
    </w:lvl>
  </w:abstractNum>
  <w:num w:numId="1">
    <w:abstractNumId w:val="30"/>
  </w:num>
  <w:num w:numId="2">
    <w:abstractNumId w:val="12"/>
  </w:num>
  <w:num w:numId="3">
    <w:abstractNumId w:val="26"/>
  </w:num>
  <w:num w:numId="4">
    <w:abstractNumId w:val="10"/>
  </w:num>
  <w:num w:numId="5">
    <w:abstractNumId w:val="22"/>
  </w:num>
  <w:num w:numId="6">
    <w:abstractNumId w:val="24"/>
  </w:num>
  <w:num w:numId="7">
    <w:abstractNumId w:val="21"/>
  </w:num>
  <w:num w:numId="8">
    <w:abstractNumId w:val="25"/>
  </w:num>
  <w:num w:numId="9">
    <w:abstractNumId w:val="23"/>
  </w:num>
  <w:num w:numId="10">
    <w:abstractNumId w:val="0"/>
  </w:num>
  <w:num w:numId="11">
    <w:abstractNumId w:val="27"/>
  </w:num>
  <w:num w:numId="12">
    <w:abstractNumId w:val="18"/>
  </w:num>
  <w:num w:numId="13">
    <w:abstractNumId w:val="7"/>
  </w:num>
  <w:num w:numId="14">
    <w:abstractNumId w:val="14"/>
  </w:num>
  <w:num w:numId="15">
    <w:abstractNumId w:val="17"/>
  </w:num>
  <w:num w:numId="16">
    <w:abstractNumId w:val="16"/>
  </w:num>
  <w:num w:numId="17">
    <w:abstractNumId w:val="29"/>
  </w:num>
  <w:num w:numId="18">
    <w:abstractNumId w:val="5"/>
  </w:num>
  <w:num w:numId="19">
    <w:abstractNumId w:val="31"/>
  </w:num>
  <w:num w:numId="20">
    <w:abstractNumId w:val="3"/>
  </w:num>
  <w:num w:numId="21">
    <w:abstractNumId w:val="9"/>
  </w:num>
  <w:num w:numId="22">
    <w:abstractNumId w:val="8"/>
  </w:num>
  <w:num w:numId="23">
    <w:abstractNumId w:val="15"/>
  </w:num>
  <w:num w:numId="24">
    <w:abstractNumId w:val="13"/>
  </w:num>
  <w:num w:numId="25">
    <w:abstractNumId w:val="19"/>
  </w:num>
  <w:num w:numId="26">
    <w:abstractNumId w:val="6"/>
  </w:num>
  <w:num w:numId="27">
    <w:abstractNumId w:val="20"/>
  </w:num>
  <w:num w:numId="28">
    <w:abstractNumId w:val="2"/>
  </w:num>
  <w:num w:numId="29">
    <w:abstractNumId w:val="28"/>
  </w:num>
  <w:num w:numId="30">
    <w:abstractNumId w:val="1"/>
  </w:num>
  <w:num w:numId="31">
    <w:abstractNumId w:val="11"/>
  </w:num>
  <w:num w:numId="32">
    <w:abstractNumId w:val="4"/>
  </w:num>
  <w:num w:numId="33">
    <w:abstractNumId w:val="278"/>
  </w:num>
  <w:num w:numId="34">
    <w:abstractNumId w:val="191"/>
  </w:num>
  <w:num w:numId="35">
    <w:abstractNumId w:val="193"/>
  </w:num>
  <w:num w:numId="36">
    <w:abstractNumId w:val="97"/>
  </w:num>
  <w:num w:numId="37">
    <w:abstractNumId w:val="45"/>
  </w:num>
  <w:num w:numId="38">
    <w:abstractNumId w:val="185"/>
  </w:num>
  <w:num w:numId="39">
    <w:abstractNumId w:val="171"/>
  </w:num>
  <w:num w:numId="40">
    <w:abstractNumId w:val="252"/>
  </w:num>
  <w:num w:numId="41">
    <w:abstractNumId w:val="140"/>
  </w:num>
  <w:num w:numId="42">
    <w:abstractNumId w:val="174"/>
  </w:num>
  <w:num w:numId="43">
    <w:abstractNumId w:val="267"/>
  </w:num>
  <w:num w:numId="44">
    <w:abstractNumId w:val="46"/>
  </w:num>
  <w:num w:numId="45">
    <w:abstractNumId w:val="41"/>
  </w:num>
  <w:num w:numId="46">
    <w:abstractNumId w:val="78"/>
  </w:num>
  <w:num w:numId="47">
    <w:abstractNumId w:val="137"/>
  </w:num>
  <w:num w:numId="48">
    <w:abstractNumId w:val="203"/>
  </w:num>
  <w:num w:numId="49">
    <w:abstractNumId w:val="71"/>
  </w:num>
  <w:num w:numId="50">
    <w:abstractNumId w:val="220"/>
  </w:num>
  <w:num w:numId="51">
    <w:abstractNumId w:val="56"/>
  </w:num>
  <w:num w:numId="52">
    <w:abstractNumId w:val="151"/>
  </w:num>
  <w:num w:numId="53">
    <w:abstractNumId w:val="180"/>
  </w:num>
  <w:num w:numId="54">
    <w:abstractNumId w:val="277"/>
  </w:num>
  <w:num w:numId="55">
    <w:abstractNumId w:val="148"/>
  </w:num>
  <w:num w:numId="56">
    <w:abstractNumId w:val="118"/>
  </w:num>
  <w:num w:numId="57">
    <w:abstractNumId w:val="253"/>
  </w:num>
  <w:num w:numId="58">
    <w:abstractNumId w:val="144"/>
  </w:num>
  <w:num w:numId="59">
    <w:abstractNumId w:val="32"/>
  </w:num>
  <w:num w:numId="60">
    <w:abstractNumId w:val="121"/>
  </w:num>
  <w:num w:numId="61">
    <w:abstractNumId w:val="184"/>
  </w:num>
  <w:num w:numId="62">
    <w:abstractNumId w:val="248"/>
  </w:num>
  <w:num w:numId="63">
    <w:abstractNumId w:val="90"/>
  </w:num>
  <w:num w:numId="64">
    <w:abstractNumId w:val="212"/>
  </w:num>
  <w:num w:numId="65">
    <w:abstractNumId w:val="157"/>
  </w:num>
  <w:num w:numId="66">
    <w:abstractNumId w:val="156"/>
  </w:num>
  <w:num w:numId="67">
    <w:abstractNumId w:val="108"/>
  </w:num>
  <w:num w:numId="68">
    <w:abstractNumId w:val="222"/>
  </w:num>
  <w:num w:numId="69">
    <w:abstractNumId w:val="74"/>
  </w:num>
  <w:num w:numId="70">
    <w:abstractNumId w:val="194"/>
  </w:num>
  <w:num w:numId="71">
    <w:abstractNumId w:val="37"/>
  </w:num>
  <w:num w:numId="72">
    <w:abstractNumId w:val="139"/>
  </w:num>
  <w:num w:numId="73">
    <w:abstractNumId w:val="218"/>
  </w:num>
  <w:num w:numId="74">
    <w:abstractNumId w:val="210"/>
  </w:num>
  <w:num w:numId="75">
    <w:abstractNumId w:val="199"/>
  </w:num>
  <w:num w:numId="76">
    <w:abstractNumId w:val="122"/>
  </w:num>
  <w:num w:numId="77">
    <w:abstractNumId w:val="75"/>
  </w:num>
  <w:num w:numId="78">
    <w:abstractNumId w:val="188"/>
  </w:num>
  <w:num w:numId="79">
    <w:abstractNumId w:val="198"/>
  </w:num>
  <w:num w:numId="80">
    <w:abstractNumId w:val="228"/>
  </w:num>
  <w:num w:numId="81">
    <w:abstractNumId w:val="113"/>
  </w:num>
  <w:num w:numId="82">
    <w:abstractNumId w:val="229"/>
  </w:num>
  <w:num w:numId="83">
    <w:abstractNumId w:val="81"/>
  </w:num>
  <w:num w:numId="84">
    <w:abstractNumId w:val="272"/>
  </w:num>
  <w:num w:numId="85">
    <w:abstractNumId w:val="214"/>
  </w:num>
  <w:num w:numId="86">
    <w:abstractNumId w:val="204"/>
  </w:num>
  <w:num w:numId="87">
    <w:abstractNumId w:val="92"/>
  </w:num>
  <w:num w:numId="88">
    <w:abstractNumId w:val="168"/>
  </w:num>
  <w:num w:numId="89">
    <w:abstractNumId w:val="44"/>
  </w:num>
  <w:num w:numId="90">
    <w:abstractNumId w:val="95"/>
  </w:num>
  <w:num w:numId="91">
    <w:abstractNumId w:val="261"/>
  </w:num>
  <w:num w:numId="92">
    <w:abstractNumId w:val="216"/>
  </w:num>
  <w:num w:numId="93">
    <w:abstractNumId w:val="48"/>
  </w:num>
  <w:num w:numId="94">
    <w:abstractNumId w:val="55"/>
  </w:num>
  <w:num w:numId="95">
    <w:abstractNumId w:val="126"/>
  </w:num>
  <w:num w:numId="96">
    <w:abstractNumId w:val="176"/>
  </w:num>
  <w:num w:numId="97">
    <w:abstractNumId w:val="181"/>
  </w:num>
  <w:num w:numId="98">
    <w:abstractNumId w:val="209"/>
  </w:num>
  <w:num w:numId="99">
    <w:abstractNumId w:val="101"/>
  </w:num>
  <w:num w:numId="100">
    <w:abstractNumId w:val="235"/>
  </w:num>
  <w:num w:numId="101">
    <w:abstractNumId w:val="100"/>
  </w:num>
  <w:num w:numId="102">
    <w:abstractNumId w:val="114"/>
  </w:num>
  <w:num w:numId="103">
    <w:abstractNumId w:val="77"/>
  </w:num>
  <w:num w:numId="104">
    <w:abstractNumId w:val="280"/>
  </w:num>
  <w:num w:numId="105">
    <w:abstractNumId w:val="33"/>
  </w:num>
  <w:num w:numId="106">
    <w:abstractNumId w:val="245"/>
  </w:num>
  <w:num w:numId="107">
    <w:abstractNumId w:val="116"/>
  </w:num>
  <w:num w:numId="108">
    <w:abstractNumId w:val="76"/>
  </w:num>
  <w:num w:numId="109">
    <w:abstractNumId w:val="145"/>
  </w:num>
  <w:num w:numId="110">
    <w:abstractNumId w:val="279"/>
  </w:num>
  <w:num w:numId="111">
    <w:abstractNumId w:val="271"/>
  </w:num>
  <w:num w:numId="112">
    <w:abstractNumId w:val="231"/>
  </w:num>
  <w:num w:numId="113">
    <w:abstractNumId w:val="219"/>
  </w:num>
  <w:num w:numId="114">
    <w:abstractNumId w:val="59"/>
  </w:num>
  <w:num w:numId="115">
    <w:abstractNumId w:val="215"/>
  </w:num>
  <w:num w:numId="116">
    <w:abstractNumId w:val="132"/>
  </w:num>
  <w:num w:numId="117">
    <w:abstractNumId w:val="233"/>
  </w:num>
  <w:num w:numId="118">
    <w:abstractNumId w:val="276"/>
  </w:num>
  <w:num w:numId="119">
    <w:abstractNumId w:val="270"/>
  </w:num>
  <w:num w:numId="120">
    <w:abstractNumId w:val="255"/>
  </w:num>
  <w:num w:numId="121">
    <w:abstractNumId w:val="82"/>
  </w:num>
  <w:num w:numId="122">
    <w:abstractNumId w:val="240"/>
  </w:num>
  <w:num w:numId="123">
    <w:abstractNumId w:val="170"/>
  </w:num>
  <w:num w:numId="124">
    <w:abstractNumId w:val="105"/>
  </w:num>
  <w:num w:numId="125">
    <w:abstractNumId w:val="266"/>
  </w:num>
  <w:num w:numId="126">
    <w:abstractNumId w:val="269"/>
  </w:num>
  <w:num w:numId="127">
    <w:abstractNumId w:val="260"/>
  </w:num>
  <w:num w:numId="128">
    <w:abstractNumId w:val="163"/>
  </w:num>
  <w:num w:numId="129">
    <w:abstractNumId w:val="175"/>
  </w:num>
  <w:num w:numId="130">
    <w:abstractNumId w:val="68"/>
  </w:num>
  <w:num w:numId="131">
    <w:abstractNumId w:val="98"/>
  </w:num>
  <w:num w:numId="132">
    <w:abstractNumId w:val="256"/>
  </w:num>
  <w:num w:numId="133">
    <w:abstractNumId w:val="159"/>
  </w:num>
  <w:num w:numId="134">
    <w:abstractNumId w:val="150"/>
  </w:num>
  <w:num w:numId="135">
    <w:abstractNumId w:val="254"/>
  </w:num>
  <w:num w:numId="136">
    <w:abstractNumId w:val="161"/>
  </w:num>
  <w:num w:numId="137">
    <w:abstractNumId w:val="103"/>
  </w:num>
  <w:num w:numId="138">
    <w:abstractNumId w:val="73"/>
  </w:num>
  <w:num w:numId="139">
    <w:abstractNumId w:val="213"/>
  </w:num>
  <w:num w:numId="140">
    <w:abstractNumId w:val="226"/>
  </w:num>
  <w:num w:numId="141">
    <w:abstractNumId w:val="64"/>
  </w:num>
  <w:num w:numId="142">
    <w:abstractNumId w:val="186"/>
  </w:num>
  <w:num w:numId="143">
    <w:abstractNumId w:val="160"/>
  </w:num>
  <w:num w:numId="144">
    <w:abstractNumId w:val="251"/>
  </w:num>
  <w:num w:numId="145">
    <w:abstractNumId w:val="225"/>
  </w:num>
  <w:num w:numId="146">
    <w:abstractNumId w:val="72"/>
  </w:num>
  <w:num w:numId="147">
    <w:abstractNumId w:val="86"/>
  </w:num>
  <w:num w:numId="148">
    <w:abstractNumId w:val="164"/>
  </w:num>
  <w:num w:numId="149">
    <w:abstractNumId w:val="60"/>
  </w:num>
  <w:num w:numId="150">
    <w:abstractNumId w:val="63"/>
  </w:num>
  <w:num w:numId="151">
    <w:abstractNumId w:val="125"/>
  </w:num>
  <w:num w:numId="152">
    <w:abstractNumId w:val="111"/>
  </w:num>
  <w:num w:numId="153">
    <w:abstractNumId w:val="274"/>
  </w:num>
  <w:num w:numId="154">
    <w:abstractNumId w:val="268"/>
  </w:num>
  <w:num w:numId="155">
    <w:abstractNumId w:val="195"/>
  </w:num>
  <w:num w:numId="156">
    <w:abstractNumId w:val="250"/>
  </w:num>
  <w:num w:numId="157">
    <w:abstractNumId w:val="243"/>
  </w:num>
  <w:num w:numId="158">
    <w:abstractNumId w:val="162"/>
  </w:num>
  <w:num w:numId="159">
    <w:abstractNumId w:val="117"/>
  </w:num>
  <w:num w:numId="160">
    <w:abstractNumId w:val="134"/>
  </w:num>
  <w:num w:numId="161">
    <w:abstractNumId w:val="207"/>
  </w:num>
  <w:num w:numId="162">
    <w:abstractNumId w:val="187"/>
  </w:num>
  <w:num w:numId="163">
    <w:abstractNumId w:val="94"/>
  </w:num>
  <w:num w:numId="164">
    <w:abstractNumId w:val="65"/>
  </w:num>
  <w:num w:numId="165">
    <w:abstractNumId w:val="43"/>
  </w:num>
  <w:num w:numId="166">
    <w:abstractNumId w:val="53"/>
  </w:num>
  <w:num w:numId="167">
    <w:abstractNumId w:val="202"/>
  </w:num>
  <w:num w:numId="168">
    <w:abstractNumId w:val="128"/>
  </w:num>
  <w:num w:numId="169">
    <w:abstractNumId w:val="99"/>
  </w:num>
  <w:num w:numId="170">
    <w:abstractNumId w:val="115"/>
  </w:num>
  <w:num w:numId="171">
    <w:abstractNumId w:val="47"/>
  </w:num>
  <w:num w:numId="172">
    <w:abstractNumId w:val="142"/>
  </w:num>
  <w:num w:numId="173">
    <w:abstractNumId w:val="275"/>
  </w:num>
  <w:num w:numId="174">
    <w:abstractNumId w:val="178"/>
  </w:num>
  <w:num w:numId="175">
    <w:abstractNumId w:val="96"/>
  </w:num>
  <w:num w:numId="176">
    <w:abstractNumId w:val="206"/>
  </w:num>
  <w:num w:numId="177">
    <w:abstractNumId w:val="230"/>
  </w:num>
  <w:num w:numId="178">
    <w:abstractNumId w:val="158"/>
  </w:num>
  <w:num w:numId="179">
    <w:abstractNumId w:val="67"/>
  </w:num>
  <w:num w:numId="180">
    <w:abstractNumId w:val="263"/>
  </w:num>
  <w:num w:numId="181">
    <w:abstractNumId w:val="196"/>
  </w:num>
  <w:num w:numId="182">
    <w:abstractNumId w:val="165"/>
  </w:num>
  <w:num w:numId="183">
    <w:abstractNumId w:val="83"/>
  </w:num>
  <w:num w:numId="184">
    <w:abstractNumId w:val="173"/>
  </w:num>
  <w:num w:numId="185">
    <w:abstractNumId w:val="141"/>
  </w:num>
  <w:num w:numId="186">
    <w:abstractNumId w:val="247"/>
  </w:num>
  <w:num w:numId="187">
    <w:abstractNumId w:val="135"/>
  </w:num>
  <w:num w:numId="188">
    <w:abstractNumId w:val="91"/>
  </w:num>
  <w:num w:numId="189">
    <w:abstractNumId w:val="112"/>
  </w:num>
  <w:num w:numId="190">
    <w:abstractNumId w:val="227"/>
  </w:num>
  <w:num w:numId="191">
    <w:abstractNumId w:val="200"/>
  </w:num>
  <w:num w:numId="192">
    <w:abstractNumId w:val="281"/>
  </w:num>
  <w:num w:numId="193">
    <w:abstractNumId w:val="119"/>
  </w:num>
  <w:num w:numId="194">
    <w:abstractNumId w:val="265"/>
  </w:num>
  <w:num w:numId="195">
    <w:abstractNumId w:val="62"/>
  </w:num>
  <w:num w:numId="196">
    <w:abstractNumId w:val="138"/>
  </w:num>
  <w:num w:numId="197">
    <w:abstractNumId w:val="34"/>
  </w:num>
  <w:num w:numId="198">
    <w:abstractNumId w:val="239"/>
  </w:num>
  <w:num w:numId="199">
    <w:abstractNumId w:val="234"/>
  </w:num>
  <w:num w:numId="200">
    <w:abstractNumId w:val="104"/>
  </w:num>
  <w:num w:numId="201">
    <w:abstractNumId w:val="57"/>
  </w:num>
  <w:num w:numId="202">
    <w:abstractNumId w:val="258"/>
  </w:num>
  <w:num w:numId="203">
    <w:abstractNumId w:val="224"/>
  </w:num>
  <w:num w:numId="204">
    <w:abstractNumId w:val="38"/>
  </w:num>
  <w:num w:numId="205">
    <w:abstractNumId w:val="147"/>
  </w:num>
  <w:num w:numId="206">
    <w:abstractNumId w:val="282"/>
  </w:num>
  <w:num w:numId="207">
    <w:abstractNumId w:val="221"/>
  </w:num>
  <w:num w:numId="208">
    <w:abstractNumId w:val="84"/>
  </w:num>
  <w:num w:numId="209">
    <w:abstractNumId w:val="152"/>
  </w:num>
  <w:num w:numId="210">
    <w:abstractNumId w:val="257"/>
  </w:num>
  <w:num w:numId="211">
    <w:abstractNumId w:val="49"/>
  </w:num>
  <w:num w:numId="212">
    <w:abstractNumId w:val="52"/>
  </w:num>
  <w:num w:numId="213">
    <w:abstractNumId w:val="131"/>
  </w:num>
  <w:num w:numId="214">
    <w:abstractNumId w:val="106"/>
  </w:num>
  <w:num w:numId="215">
    <w:abstractNumId w:val="205"/>
  </w:num>
  <w:num w:numId="216">
    <w:abstractNumId w:val="241"/>
  </w:num>
  <w:num w:numId="217">
    <w:abstractNumId w:val="61"/>
  </w:num>
  <w:num w:numId="218">
    <w:abstractNumId w:val="39"/>
  </w:num>
  <w:num w:numId="219">
    <w:abstractNumId w:val="40"/>
  </w:num>
  <w:num w:numId="220">
    <w:abstractNumId w:val="149"/>
  </w:num>
  <w:num w:numId="221">
    <w:abstractNumId w:val="237"/>
  </w:num>
  <w:num w:numId="222">
    <w:abstractNumId w:val="217"/>
  </w:num>
  <w:num w:numId="223">
    <w:abstractNumId w:val="146"/>
  </w:num>
  <w:num w:numId="224">
    <w:abstractNumId w:val="58"/>
  </w:num>
  <w:num w:numId="225">
    <w:abstractNumId w:val="179"/>
  </w:num>
  <w:num w:numId="226">
    <w:abstractNumId w:val="177"/>
  </w:num>
  <w:num w:numId="227">
    <w:abstractNumId w:val="167"/>
  </w:num>
  <w:num w:numId="228">
    <w:abstractNumId w:val="182"/>
  </w:num>
  <w:num w:numId="229">
    <w:abstractNumId w:val="127"/>
  </w:num>
  <w:num w:numId="230">
    <w:abstractNumId w:val="107"/>
  </w:num>
  <w:num w:numId="231">
    <w:abstractNumId w:val="264"/>
  </w:num>
  <w:num w:numId="232">
    <w:abstractNumId w:val="154"/>
  </w:num>
  <w:num w:numId="233">
    <w:abstractNumId w:val="70"/>
  </w:num>
  <w:num w:numId="234">
    <w:abstractNumId w:val="189"/>
  </w:num>
  <w:num w:numId="235">
    <w:abstractNumId w:val="166"/>
  </w:num>
  <w:num w:numId="236">
    <w:abstractNumId w:val="192"/>
  </w:num>
  <w:num w:numId="237">
    <w:abstractNumId w:val="183"/>
  </w:num>
  <w:num w:numId="238">
    <w:abstractNumId w:val="89"/>
  </w:num>
  <w:num w:numId="239">
    <w:abstractNumId w:val="246"/>
  </w:num>
  <w:num w:numId="240">
    <w:abstractNumId w:val="42"/>
  </w:num>
  <w:num w:numId="241">
    <w:abstractNumId w:val="51"/>
  </w:num>
  <w:num w:numId="242">
    <w:abstractNumId w:val="273"/>
  </w:num>
  <w:num w:numId="243">
    <w:abstractNumId w:val="69"/>
  </w:num>
  <w:num w:numId="244">
    <w:abstractNumId w:val="155"/>
  </w:num>
  <w:num w:numId="245">
    <w:abstractNumId w:val="87"/>
  </w:num>
  <w:num w:numId="246">
    <w:abstractNumId w:val="244"/>
  </w:num>
  <w:num w:numId="247">
    <w:abstractNumId w:val="102"/>
  </w:num>
  <w:num w:numId="248">
    <w:abstractNumId w:val="124"/>
  </w:num>
  <w:num w:numId="249">
    <w:abstractNumId w:val="262"/>
  </w:num>
  <w:num w:numId="250">
    <w:abstractNumId w:val="120"/>
  </w:num>
  <w:num w:numId="251">
    <w:abstractNumId w:val="242"/>
  </w:num>
  <w:num w:numId="252">
    <w:abstractNumId w:val="208"/>
  </w:num>
  <w:num w:numId="253">
    <w:abstractNumId w:val="36"/>
  </w:num>
  <w:num w:numId="254">
    <w:abstractNumId w:val="93"/>
  </w:num>
  <w:num w:numId="255">
    <w:abstractNumId w:val="236"/>
  </w:num>
  <w:num w:numId="256">
    <w:abstractNumId w:val="197"/>
  </w:num>
  <w:num w:numId="257">
    <w:abstractNumId w:val="249"/>
  </w:num>
  <w:num w:numId="258">
    <w:abstractNumId w:val="109"/>
  </w:num>
  <w:num w:numId="259">
    <w:abstractNumId w:val="85"/>
  </w:num>
  <w:num w:numId="260">
    <w:abstractNumId w:val="79"/>
  </w:num>
  <w:num w:numId="261">
    <w:abstractNumId w:val="190"/>
  </w:num>
  <w:num w:numId="262">
    <w:abstractNumId w:val="54"/>
  </w:num>
  <w:num w:numId="263">
    <w:abstractNumId w:val="211"/>
  </w:num>
  <w:num w:numId="264">
    <w:abstractNumId w:val="238"/>
  </w:num>
  <w:num w:numId="265">
    <w:abstractNumId w:val="223"/>
  </w:num>
  <w:num w:numId="266">
    <w:abstractNumId w:val="80"/>
  </w:num>
  <w:num w:numId="267">
    <w:abstractNumId w:val="136"/>
  </w:num>
  <w:num w:numId="268">
    <w:abstractNumId w:val="110"/>
  </w:num>
  <w:num w:numId="269">
    <w:abstractNumId w:val="143"/>
  </w:num>
  <w:num w:numId="270">
    <w:abstractNumId w:val="88"/>
  </w:num>
  <w:num w:numId="271">
    <w:abstractNumId w:val="133"/>
  </w:num>
  <w:num w:numId="272">
    <w:abstractNumId w:val="169"/>
  </w:num>
  <w:num w:numId="273">
    <w:abstractNumId w:val="66"/>
  </w:num>
  <w:num w:numId="274">
    <w:abstractNumId w:val="172"/>
  </w:num>
  <w:num w:numId="275">
    <w:abstractNumId w:val="35"/>
  </w:num>
  <w:num w:numId="276">
    <w:abstractNumId w:val="129"/>
  </w:num>
  <w:num w:numId="277">
    <w:abstractNumId w:val="130"/>
  </w:num>
  <w:num w:numId="278">
    <w:abstractNumId w:val="123"/>
  </w:num>
  <w:num w:numId="279">
    <w:abstractNumId w:val="232"/>
  </w:num>
  <w:num w:numId="280">
    <w:abstractNumId w:val="50"/>
  </w:num>
  <w:num w:numId="281">
    <w:abstractNumId w:val="259"/>
  </w:num>
  <w:num w:numId="282">
    <w:abstractNumId w:val="201"/>
  </w:num>
  <w:num w:numId="283">
    <w:abstractNumId w:val="153"/>
  </w:num>
  <w:numIdMacAtCleanup w:val="2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08"/>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470"/>
    <w:rsid w:val="00004B8A"/>
    <w:rsid w:val="00011636"/>
    <w:rsid w:val="000257E7"/>
    <w:rsid w:val="000265D8"/>
    <w:rsid w:val="00040926"/>
    <w:rsid w:val="00040BC9"/>
    <w:rsid w:val="000413E4"/>
    <w:rsid w:val="0004312C"/>
    <w:rsid w:val="00045E1D"/>
    <w:rsid w:val="00066B68"/>
    <w:rsid w:val="000670DF"/>
    <w:rsid w:val="00076860"/>
    <w:rsid w:val="00091B1A"/>
    <w:rsid w:val="000A40DE"/>
    <w:rsid w:val="000A4AC6"/>
    <w:rsid w:val="000A72D0"/>
    <w:rsid w:val="000B32A1"/>
    <w:rsid w:val="000B496E"/>
    <w:rsid w:val="000C0AB2"/>
    <w:rsid w:val="000C3705"/>
    <w:rsid w:val="000C49E1"/>
    <w:rsid w:val="000D3E97"/>
    <w:rsid w:val="000E7E14"/>
    <w:rsid w:val="000F2236"/>
    <w:rsid w:val="000F451A"/>
    <w:rsid w:val="00102360"/>
    <w:rsid w:val="00103820"/>
    <w:rsid w:val="00112125"/>
    <w:rsid w:val="0012141D"/>
    <w:rsid w:val="0012276D"/>
    <w:rsid w:val="00123201"/>
    <w:rsid w:val="00132F14"/>
    <w:rsid w:val="00133EB1"/>
    <w:rsid w:val="0015536E"/>
    <w:rsid w:val="00161289"/>
    <w:rsid w:val="0016247E"/>
    <w:rsid w:val="00185A20"/>
    <w:rsid w:val="00190438"/>
    <w:rsid w:val="001926B1"/>
    <w:rsid w:val="001A26D4"/>
    <w:rsid w:val="001A4872"/>
    <w:rsid w:val="001B7456"/>
    <w:rsid w:val="001C44AA"/>
    <w:rsid w:val="001C4B29"/>
    <w:rsid w:val="001C5204"/>
    <w:rsid w:val="001D14D0"/>
    <w:rsid w:val="001E751B"/>
    <w:rsid w:val="00204F38"/>
    <w:rsid w:val="00206D89"/>
    <w:rsid w:val="002151F1"/>
    <w:rsid w:val="00217859"/>
    <w:rsid w:val="00220D78"/>
    <w:rsid w:val="00227E2A"/>
    <w:rsid w:val="00234060"/>
    <w:rsid w:val="00236E58"/>
    <w:rsid w:val="00240091"/>
    <w:rsid w:val="002403D6"/>
    <w:rsid w:val="0024088B"/>
    <w:rsid w:val="00241764"/>
    <w:rsid w:val="00241996"/>
    <w:rsid w:val="00251FE4"/>
    <w:rsid w:val="00255839"/>
    <w:rsid w:val="002558C2"/>
    <w:rsid w:val="00262816"/>
    <w:rsid w:val="002644EA"/>
    <w:rsid w:val="00271D31"/>
    <w:rsid w:val="00272FB6"/>
    <w:rsid w:val="002908EE"/>
    <w:rsid w:val="00294AAF"/>
    <w:rsid w:val="002A36E9"/>
    <w:rsid w:val="002A3846"/>
    <w:rsid w:val="002A60FC"/>
    <w:rsid w:val="002A7868"/>
    <w:rsid w:val="002B0C95"/>
    <w:rsid w:val="002B2D33"/>
    <w:rsid w:val="002B3E73"/>
    <w:rsid w:val="002B50B2"/>
    <w:rsid w:val="002C0463"/>
    <w:rsid w:val="002C1726"/>
    <w:rsid w:val="002C2C81"/>
    <w:rsid w:val="002C4BCC"/>
    <w:rsid w:val="002C61C3"/>
    <w:rsid w:val="002C7EC5"/>
    <w:rsid w:val="002E0674"/>
    <w:rsid w:val="002F76AD"/>
    <w:rsid w:val="00303F99"/>
    <w:rsid w:val="003064E2"/>
    <w:rsid w:val="00311052"/>
    <w:rsid w:val="0032014B"/>
    <w:rsid w:val="00320D14"/>
    <w:rsid w:val="003212C5"/>
    <w:rsid w:val="003262E2"/>
    <w:rsid w:val="00330BD7"/>
    <w:rsid w:val="00342768"/>
    <w:rsid w:val="00374A23"/>
    <w:rsid w:val="00381FC5"/>
    <w:rsid w:val="00385B2B"/>
    <w:rsid w:val="003B0771"/>
    <w:rsid w:val="003B247B"/>
    <w:rsid w:val="003C09DB"/>
    <w:rsid w:val="003D25C3"/>
    <w:rsid w:val="003D5A80"/>
    <w:rsid w:val="003D7B1B"/>
    <w:rsid w:val="003E368F"/>
    <w:rsid w:val="003E6BA3"/>
    <w:rsid w:val="003F0F42"/>
    <w:rsid w:val="003F161F"/>
    <w:rsid w:val="003F1E19"/>
    <w:rsid w:val="003F2E23"/>
    <w:rsid w:val="003F6942"/>
    <w:rsid w:val="00400C49"/>
    <w:rsid w:val="004030BF"/>
    <w:rsid w:val="00407676"/>
    <w:rsid w:val="00412E8A"/>
    <w:rsid w:val="004342CD"/>
    <w:rsid w:val="004352B9"/>
    <w:rsid w:val="00445D25"/>
    <w:rsid w:val="00457CF0"/>
    <w:rsid w:val="00462402"/>
    <w:rsid w:val="00467CDB"/>
    <w:rsid w:val="00485AD0"/>
    <w:rsid w:val="00494379"/>
    <w:rsid w:val="004955CC"/>
    <w:rsid w:val="004A0FE5"/>
    <w:rsid w:val="004A2F1B"/>
    <w:rsid w:val="004A5319"/>
    <w:rsid w:val="004A62F4"/>
    <w:rsid w:val="004B1706"/>
    <w:rsid w:val="004B1B37"/>
    <w:rsid w:val="004B2E70"/>
    <w:rsid w:val="004C2F13"/>
    <w:rsid w:val="004C69E2"/>
    <w:rsid w:val="004C7387"/>
    <w:rsid w:val="004C73CB"/>
    <w:rsid w:val="004D3658"/>
    <w:rsid w:val="004D3E33"/>
    <w:rsid w:val="004D4002"/>
    <w:rsid w:val="004D6470"/>
    <w:rsid w:val="004F2492"/>
    <w:rsid w:val="004F31E5"/>
    <w:rsid w:val="00502BAB"/>
    <w:rsid w:val="00511656"/>
    <w:rsid w:val="00511B78"/>
    <w:rsid w:val="005134DF"/>
    <w:rsid w:val="005210A0"/>
    <w:rsid w:val="00522BE6"/>
    <w:rsid w:val="0052704C"/>
    <w:rsid w:val="005418E0"/>
    <w:rsid w:val="00547BB6"/>
    <w:rsid w:val="00555058"/>
    <w:rsid w:val="00556CCD"/>
    <w:rsid w:val="00567DA4"/>
    <w:rsid w:val="00575D1B"/>
    <w:rsid w:val="00580800"/>
    <w:rsid w:val="0059349B"/>
    <w:rsid w:val="00597310"/>
    <w:rsid w:val="005A3C7C"/>
    <w:rsid w:val="005B27B7"/>
    <w:rsid w:val="005B300B"/>
    <w:rsid w:val="005B68D5"/>
    <w:rsid w:val="005C3C96"/>
    <w:rsid w:val="005C5F65"/>
    <w:rsid w:val="005D13B0"/>
    <w:rsid w:val="005E104E"/>
    <w:rsid w:val="005F215B"/>
    <w:rsid w:val="005F2BC9"/>
    <w:rsid w:val="00602E58"/>
    <w:rsid w:val="006070C3"/>
    <w:rsid w:val="006214DD"/>
    <w:rsid w:val="00621E19"/>
    <w:rsid w:val="0062514F"/>
    <w:rsid w:val="006278A2"/>
    <w:rsid w:val="00637564"/>
    <w:rsid w:val="00641FEE"/>
    <w:rsid w:val="00642998"/>
    <w:rsid w:val="00661EF7"/>
    <w:rsid w:val="00664208"/>
    <w:rsid w:val="006716CD"/>
    <w:rsid w:val="006833F9"/>
    <w:rsid w:val="00687AA0"/>
    <w:rsid w:val="0069325F"/>
    <w:rsid w:val="006A0FAB"/>
    <w:rsid w:val="006A1BC5"/>
    <w:rsid w:val="006A645F"/>
    <w:rsid w:val="006B219C"/>
    <w:rsid w:val="006C13FD"/>
    <w:rsid w:val="006C6331"/>
    <w:rsid w:val="006D1421"/>
    <w:rsid w:val="006D6521"/>
    <w:rsid w:val="006E1EEA"/>
    <w:rsid w:val="006E27A3"/>
    <w:rsid w:val="006E51AB"/>
    <w:rsid w:val="007070F2"/>
    <w:rsid w:val="0070736B"/>
    <w:rsid w:val="0071102A"/>
    <w:rsid w:val="0071384B"/>
    <w:rsid w:val="0071726B"/>
    <w:rsid w:val="0072503F"/>
    <w:rsid w:val="007440E6"/>
    <w:rsid w:val="007463D7"/>
    <w:rsid w:val="00753C84"/>
    <w:rsid w:val="00755B98"/>
    <w:rsid w:val="007628ED"/>
    <w:rsid w:val="00763FA8"/>
    <w:rsid w:val="00764778"/>
    <w:rsid w:val="00764C16"/>
    <w:rsid w:val="00770AC8"/>
    <w:rsid w:val="007752FD"/>
    <w:rsid w:val="00777790"/>
    <w:rsid w:val="00784253"/>
    <w:rsid w:val="007844BD"/>
    <w:rsid w:val="00790BED"/>
    <w:rsid w:val="00796810"/>
    <w:rsid w:val="007B2A67"/>
    <w:rsid w:val="007C5646"/>
    <w:rsid w:val="007C6A7A"/>
    <w:rsid w:val="007E03F7"/>
    <w:rsid w:val="007E179E"/>
    <w:rsid w:val="00807D57"/>
    <w:rsid w:val="00813BDA"/>
    <w:rsid w:val="00817C7D"/>
    <w:rsid w:val="00820079"/>
    <w:rsid w:val="008203B3"/>
    <w:rsid w:val="0082311C"/>
    <w:rsid w:val="00826323"/>
    <w:rsid w:val="00833DF9"/>
    <w:rsid w:val="0084335F"/>
    <w:rsid w:val="00850FFC"/>
    <w:rsid w:val="00853E16"/>
    <w:rsid w:val="008555BA"/>
    <w:rsid w:val="00855E58"/>
    <w:rsid w:val="00855E6B"/>
    <w:rsid w:val="00862045"/>
    <w:rsid w:val="0086272C"/>
    <w:rsid w:val="008658A7"/>
    <w:rsid w:val="008715BC"/>
    <w:rsid w:val="0087451F"/>
    <w:rsid w:val="008756A4"/>
    <w:rsid w:val="00875BA9"/>
    <w:rsid w:val="00877957"/>
    <w:rsid w:val="00881966"/>
    <w:rsid w:val="00894078"/>
    <w:rsid w:val="0089494D"/>
    <w:rsid w:val="008A01CE"/>
    <w:rsid w:val="008B5237"/>
    <w:rsid w:val="008B6253"/>
    <w:rsid w:val="008C198F"/>
    <w:rsid w:val="008C402E"/>
    <w:rsid w:val="008C4734"/>
    <w:rsid w:val="008C6538"/>
    <w:rsid w:val="008D0FD1"/>
    <w:rsid w:val="008D2748"/>
    <w:rsid w:val="008D2A60"/>
    <w:rsid w:val="008D2BC1"/>
    <w:rsid w:val="008D733D"/>
    <w:rsid w:val="008E1B41"/>
    <w:rsid w:val="008E487F"/>
    <w:rsid w:val="008F006B"/>
    <w:rsid w:val="008F7172"/>
    <w:rsid w:val="0090288D"/>
    <w:rsid w:val="009055F8"/>
    <w:rsid w:val="009107CD"/>
    <w:rsid w:val="00912B97"/>
    <w:rsid w:val="0091417F"/>
    <w:rsid w:val="00915004"/>
    <w:rsid w:val="009203CC"/>
    <w:rsid w:val="00924F2C"/>
    <w:rsid w:val="0093753B"/>
    <w:rsid w:val="009435CA"/>
    <w:rsid w:val="0095226C"/>
    <w:rsid w:val="0095241D"/>
    <w:rsid w:val="009524D5"/>
    <w:rsid w:val="00955BFB"/>
    <w:rsid w:val="00960D54"/>
    <w:rsid w:val="00963EB8"/>
    <w:rsid w:val="00970650"/>
    <w:rsid w:val="009718E9"/>
    <w:rsid w:val="00972F06"/>
    <w:rsid w:val="00974200"/>
    <w:rsid w:val="009867CB"/>
    <w:rsid w:val="00991539"/>
    <w:rsid w:val="009958AD"/>
    <w:rsid w:val="00995FF0"/>
    <w:rsid w:val="009A3CA5"/>
    <w:rsid w:val="009A6388"/>
    <w:rsid w:val="009B200B"/>
    <w:rsid w:val="009C262F"/>
    <w:rsid w:val="009D2EC4"/>
    <w:rsid w:val="009D669B"/>
    <w:rsid w:val="009E58F7"/>
    <w:rsid w:val="009F1343"/>
    <w:rsid w:val="009F300F"/>
    <w:rsid w:val="009F5A52"/>
    <w:rsid w:val="009F64C9"/>
    <w:rsid w:val="00A01F35"/>
    <w:rsid w:val="00A02A1A"/>
    <w:rsid w:val="00A07BD5"/>
    <w:rsid w:val="00A1595E"/>
    <w:rsid w:val="00A44B16"/>
    <w:rsid w:val="00A46700"/>
    <w:rsid w:val="00A4752D"/>
    <w:rsid w:val="00A512AB"/>
    <w:rsid w:val="00A55219"/>
    <w:rsid w:val="00A6511B"/>
    <w:rsid w:val="00A726FD"/>
    <w:rsid w:val="00A73901"/>
    <w:rsid w:val="00A74B21"/>
    <w:rsid w:val="00A74C94"/>
    <w:rsid w:val="00A74D3C"/>
    <w:rsid w:val="00A81634"/>
    <w:rsid w:val="00A818FE"/>
    <w:rsid w:val="00A85C17"/>
    <w:rsid w:val="00A902F6"/>
    <w:rsid w:val="00A92DCD"/>
    <w:rsid w:val="00A9410E"/>
    <w:rsid w:val="00A97C7A"/>
    <w:rsid w:val="00AA3879"/>
    <w:rsid w:val="00AA5A82"/>
    <w:rsid w:val="00AC6733"/>
    <w:rsid w:val="00AD601B"/>
    <w:rsid w:val="00AD67EC"/>
    <w:rsid w:val="00AD7B64"/>
    <w:rsid w:val="00AE7B84"/>
    <w:rsid w:val="00AF4376"/>
    <w:rsid w:val="00B004D7"/>
    <w:rsid w:val="00B01422"/>
    <w:rsid w:val="00B0160F"/>
    <w:rsid w:val="00B01C0A"/>
    <w:rsid w:val="00B065A7"/>
    <w:rsid w:val="00B06D92"/>
    <w:rsid w:val="00B24110"/>
    <w:rsid w:val="00B24861"/>
    <w:rsid w:val="00B33F5C"/>
    <w:rsid w:val="00B34E89"/>
    <w:rsid w:val="00B44BCA"/>
    <w:rsid w:val="00B50DFC"/>
    <w:rsid w:val="00B61815"/>
    <w:rsid w:val="00B65AE4"/>
    <w:rsid w:val="00B7163A"/>
    <w:rsid w:val="00B72998"/>
    <w:rsid w:val="00B778A2"/>
    <w:rsid w:val="00B803DB"/>
    <w:rsid w:val="00B960D5"/>
    <w:rsid w:val="00BA01FD"/>
    <w:rsid w:val="00BA33C5"/>
    <w:rsid w:val="00BA6374"/>
    <w:rsid w:val="00BA6E39"/>
    <w:rsid w:val="00BB3EAF"/>
    <w:rsid w:val="00BC3BCD"/>
    <w:rsid w:val="00BD4CF0"/>
    <w:rsid w:val="00BD5400"/>
    <w:rsid w:val="00BE39CC"/>
    <w:rsid w:val="00BF000F"/>
    <w:rsid w:val="00BF3CCA"/>
    <w:rsid w:val="00BF6C1F"/>
    <w:rsid w:val="00C06504"/>
    <w:rsid w:val="00C136FF"/>
    <w:rsid w:val="00C24A84"/>
    <w:rsid w:val="00C257EE"/>
    <w:rsid w:val="00C25C56"/>
    <w:rsid w:val="00C268FE"/>
    <w:rsid w:val="00C27CC8"/>
    <w:rsid w:val="00C416B8"/>
    <w:rsid w:val="00C441EC"/>
    <w:rsid w:val="00C45F39"/>
    <w:rsid w:val="00C5286C"/>
    <w:rsid w:val="00C56156"/>
    <w:rsid w:val="00C613D0"/>
    <w:rsid w:val="00C6323E"/>
    <w:rsid w:val="00C66A42"/>
    <w:rsid w:val="00C72DE0"/>
    <w:rsid w:val="00C77860"/>
    <w:rsid w:val="00C77F80"/>
    <w:rsid w:val="00C80279"/>
    <w:rsid w:val="00C818B9"/>
    <w:rsid w:val="00C96C74"/>
    <w:rsid w:val="00CA05C4"/>
    <w:rsid w:val="00CA6596"/>
    <w:rsid w:val="00CA71E1"/>
    <w:rsid w:val="00CA7EED"/>
    <w:rsid w:val="00CB4BFE"/>
    <w:rsid w:val="00CC026C"/>
    <w:rsid w:val="00CC2E38"/>
    <w:rsid w:val="00CC7B9F"/>
    <w:rsid w:val="00CD30A5"/>
    <w:rsid w:val="00CE510A"/>
    <w:rsid w:val="00CE71E7"/>
    <w:rsid w:val="00CF6896"/>
    <w:rsid w:val="00D019A6"/>
    <w:rsid w:val="00D101D1"/>
    <w:rsid w:val="00D2526D"/>
    <w:rsid w:val="00D317B4"/>
    <w:rsid w:val="00D414C9"/>
    <w:rsid w:val="00D54B1F"/>
    <w:rsid w:val="00D61C6B"/>
    <w:rsid w:val="00D63516"/>
    <w:rsid w:val="00D63CB8"/>
    <w:rsid w:val="00D7134E"/>
    <w:rsid w:val="00D7256D"/>
    <w:rsid w:val="00D86D46"/>
    <w:rsid w:val="00D870A5"/>
    <w:rsid w:val="00D9445D"/>
    <w:rsid w:val="00D968CE"/>
    <w:rsid w:val="00DA113D"/>
    <w:rsid w:val="00DB18E7"/>
    <w:rsid w:val="00DB6352"/>
    <w:rsid w:val="00DC48C2"/>
    <w:rsid w:val="00DC500E"/>
    <w:rsid w:val="00DD7D3B"/>
    <w:rsid w:val="00DF0929"/>
    <w:rsid w:val="00E037E8"/>
    <w:rsid w:val="00E04992"/>
    <w:rsid w:val="00E05B34"/>
    <w:rsid w:val="00E05C94"/>
    <w:rsid w:val="00E11DBD"/>
    <w:rsid w:val="00E144CD"/>
    <w:rsid w:val="00E26B3B"/>
    <w:rsid w:val="00E27FD7"/>
    <w:rsid w:val="00E32201"/>
    <w:rsid w:val="00E331E7"/>
    <w:rsid w:val="00E357AC"/>
    <w:rsid w:val="00E41D7C"/>
    <w:rsid w:val="00E42F9B"/>
    <w:rsid w:val="00E4512E"/>
    <w:rsid w:val="00E505F9"/>
    <w:rsid w:val="00E55519"/>
    <w:rsid w:val="00E577A1"/>
    <w:rsid w:val="00E6351F"/>
    <w:rsid w:val="00E64005"/>
    <w:rsid w:val="00E66B66"/>
    <w:rsid w:val="00E672BD"/>
    <w:rsid w:val="00E708C1"/>
    <w:rsid w:val="00EA0E92"/>
    <w:rsid w:val="00EA2C05"/>
    <w:rsid w:val="00EA436F"/>
    <w:rsid w:val="00EB0DB0"/>
    <w:rsid w:val="00EB20AE"/>
    <w:rsid w:val="00EB3F72"/>
    <w:rsid w:val="00EC0285"/>
    <w:rsid w:val="00EC387A"/>
    <w:rsid w:val="00EC54A5"/>
    <w:rsid w:val="00EC6443"/>
    <w:rsid w:val="00ED1243"/>
    <w:rsid w:val="00ED18DF"/>
    <w:rsid w:val="00ED2F16"/>
    <w:rsid w:val="00ED57B3"/>
    <w:rsid w:val="00ED6331"/>
    <w:rsid w:val="00EF01B4"/>
    <w:rsid w:val="00EF084A"/>
    <w:rsid w:val="00EF6D76"/>
    <w:rsid w:val="00F01A41"/>
    <w:rsid w:val="00F03116"/>
    <w:rsid w:val="00F1445A"/>
    <w:rsid w:val="00F20731"/>
    <w:rsid w:val="00F27F4F"/>
    <w:rsid w:val="00F3487F"/>
    <w:rsid w:val="00F45E67"/>
    <w:rsid w:val="00F600EC"/>
    <w:rsid w:val="00F61DCE"/>
    <w:rsid w:val="00F6458B"/>
    <w:rsid w:val="00F72A2F"/>
    <w:rsid w:val="00F82A37"/>
    <w:rsid w:val="00F86345"/>
    <w:rsid w:val="00F972E4"/>
    <w:rsid w:val="00FA343E"/>
    <w:rsid w:val="00FB0963"/>
    <w:rsid w:val="00FB14C1"/>
    <w:rsid w:val="00FC1B35"/>
    <w:rsid w:val="00FC7363"/>
    <w:rsid w:val="00FD0DFA"/>
    <w:rsid w:val="00FD4D95"/>
    <w:rsid w:val="00FE1109"/>
    <w:rsid w:val="00FE3E05"/>
    <w:rsid w:val="00FE5B85"/>
    <w:rsid w:val="00FE689F"/>
    <w:rsid w:val="00FF04AD"/>
    <w:rsid w:val="00FF316E"/>
    <w:rsid w:val="00FF6991"/>
    <w:rsid w:val="00FF6CAC"/>
    <w:rsid w:val="00FF6F9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841D2"/>
  <w15:docId w15:val="{E7A2B9C1-AD65-4E9B-9F45-FD00AC24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04F38"/>
    <w:pPr>
      <w:spacing w:after="0"/>
    </w:pPr>
    <w:rPr>
      <w:rFonts w:ascii="Times New Roman" w:eastAsia="Times New Roman" w:hAnsi="Times New Roman" w:cs="Times New Roman"/>
    </w:rPr>
  </w:style>
  <w:style w:type="paragraph" w:styleId="Cmsor2">
    <w:name w:val="heading 2"/>
    <w:basedOn w:val="Norml"/>
    <w:next w:val="Norml"/>
    <w:link w:val="Cmsor2Char"/>
    <w:qFormat/>
    <w:rsid w:val="004D6470"/>
    <w:pPr>
      <w:keepNext/>
      <w:spacing w:line="240" w:lineRule="auto"/>
      <w:outlineLvl w:val="1"/>
    </w:pPr>
    <w:rPr>
      <w:b/>
      <w:bCs/>
      <w:iCs/>
      <w:color w:val="008000"/>
      <w:sz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A71E1"/>
    <w:pPr>
      <w:spacing w:after="0" w:line="240" w:lineRule="auto"/>
    </w:pPr>
    <w:rPr>
      <w:rFonts w:ascii="Times New Roman" w:hAnsi="Times New Roman"/>
    </w:rPr>
  </w:style>
  <w:style w:type="character" w:customStyle="1" w:styleId="Cmsor2Char">
    <w:name w:val="Címsor 2 Char"/>
    <w:basedOn w:val="Bekezdsalapbettpusa"/>
    <w:link w:val="Cmsor2"/>
    <w:rsid w:val="004D6470"/>
    <w:rPr>
      <w:rFonts w:ascii="Times New Roman" w:eastAsia="Times New Roman" w:hAnsi="Times New Roman" w:cs="Times New Roman"/>
      <w:b/>
      <w:bCs/>
      <w:iCs/>
      <w:color w:val="008000"/>
      <w:sz w:val="24"/>
      <w:lang w:eastAsia="hu-HU"/>
    </w:rPr>
  </w:style>
  <w:style w:type="paragraph" w:styleId="Listaszerbekezds">
    <w:name w:val="List Paragraph"/>
    <w:basedOn w:val="Norml"/>
    <w:uiPriority w:val="34"/>
    <w:qFormat/>
    <w:rsid w:val="00204F38"/>
    <w:pPr>
      <w:ind w:left="720"/>
      <w:contextualSpacing/>
    </w:pPr>
  </w:style>
  <w:style w:type="table" w:styleId="Rcsostblzat">
    <w:name w:val="Table Grid"/>
    <w:basedOn w:val="Normltblzat"/>
    <w:uiPriority w:val="39"/>
    <w:rsid w:val="004D6470"/>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D6470"/>
    <w:pPr>
      <w:tabs>
        <w:tab w:val="center" w:pos="4536"/>
        <w:tab w:val="right" w:pos="9072"/>
      </w:tabs>
      <w:spacing w:line="240" w:lineRule="auto"/>
    </w:pPr>
  </w:style>
  <w:style w:type="character" w:customStyle="1" w:styleId="lfejChar">
    <w:name w:val="Élőfej Char"/>
    <w:basedOn w:val="Bekezdsalapbettpusa"/>
    <w:link w:val="lfej"/>
    <w:uiPriority w:val="99"/>
    <w:rsid w:val="004D6470"/>
    <w:rPr>
      <w:rFonts w:ascii="Times New Roman" w:eastAsia="Times New Roman" w:hAnsi="Times New Roman" w:cs="Times New Roman"/>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4D6470"/>
    <w:pPr>
      <w:tabs>
        <w:tab w:val="center" w:pos="4536"/>
        <w:tab w:val="right" w:pos="9072"/>
      </w:tabs>
      <w:spacing w:line="240" w:lineRule="auto"/>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4D6470"/>
    <w:rPr>
      <w:rFonts w:ascii="Times New Roman" w:eastAsia="Times New Roman" w:hAnsi="Times New Roman" w:cs="Times New Roman"/>
    </w:rPr>
  </w:style>
  <w:style w:type="paragraph" w:styleId="Buborkszveg">
    <w:name w:val="Balloon Text"/>
    <w:basedOn w:val="Norml"/>
    <w:link w:val="BuborkszvegChar"/>
    <w:uiPriority w:val="99"/>
    <w:semiHidden/>
    <w:unhideWhenUsed/>
    <w:rsid w:val="00204F38"/>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D6470"/>
    <w:rPr>
      <w:rFonts w:ascii="Segoe UI" w:eastAsia="Times New Roman" w:hAnsi="Segoe UI" w:cs="Segoe UI"/>
      <w:sz w:val="18"/>
      <w:szCs w:val="18"/>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4D6470"/>
    <w:rPr>
      <w:rFonts w:cs="Times New Roman"/>
      <w:color w:val="0000FF"/>
      <w:u w:val="single"/>
    </w:rPr>
  </w:style>
  <w:style w:type="character" w:styleId="Jegyzethivatkozs">
    <w:name w:val="annotation reference"/>
    <w:uiPriority w:val="99"/>
    <w:semiHidden/>
    <w:unhideWhenUsed/>
    <w:rsid w:val="004D6470"/>
    <w:rPr>
      <w:sz w:val="16"/>
      <w:szCs w:val="16"/>
    </w:rPr>
  </w:style>
  <w:style w:type="paragraph" w:styleId="Jegyzetszveg">
    <w:name w:val="annotation text"/>
    <w:basedOn w:val="Norml"/>
    <w:link w:val="JegyzetszvegChar"/>
    <w:uiPriority w:val="99"/>
    <w:semiHidden/>
    <w:unhideWhenUsed/>
    <w:rsid w:val="004D6470"/>
    <w:rPr>
      <w:sz w:val="20"/>
      <w:szCs w:val="20"/>
    </w:rPr>
  </w:style>
  <w:style w:type="character" w:customStyle="1" w:styleId="JegyzetszvegChar">
    <w:name w:val="Jegyzetszöveg Char"/>
    <w:basedOn w:val="Bekezdsalapbettpusa"/>
    <w:link w:val="Jegyzetszveg"/>
    <w:uiPriority w:val="99"/>
    <w:semiHidden/>
    <w:rsid w:val="004D6470"/>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4D6470"/>
    <w:rPr>
      <w:b/>
      <w:bCs/>
    </w:rPr>
  </w:style>
  <w:style w:type="character" w:customStyle="1" w:styleId="MegjegyzstrgyaChar">
    <w:name w:val="Megjegyzés tárgya Char"/>
    <w:basedOn w:val="JegyzetszvegChar"/>
    <w:link w:val="Megjegyzstrgya"/>
    <w:uiPriority w:val="99"/>
    <w:semiHidden/>
    <w:rsid w:val="004D6470"/>
    <w:rPr>
      <w:rFonts w:ascii="Times New Roman" w:eastAsia="Times New Roman" w:hAnsi="Times New Roman" w:cs="Times New Roman"/>
      <w:b/>
      <w:bCs/>
      <w:sz w:val="20"/>
      <w:szCs w:val="20"/>
    </w:rPr>
  </w:style>
  <w:style w:type="paragraph" w:styleId="NormlWeb">
    <w:name w:val="Normal (Web)"/>
    <w:basedOn w:val="Norml"/>
    <w:unhideWhenUsed/>
    <w:rsid w:val="002B2D33"/>
    <w:pPr>
      <w:spacing w:line="240" w:lineRule="auto"/>
    </w:pPr>
    <w:rPr>
      <w:sz w:val="24"/>
      <w:szCs w:val="24"/>
      <w:lang w:val="en-US"/>
    </w:rPr>
  </w:style>
  <w:style w:type="paragraph" w:customStyle="1" w:styleId="Default">
    <w:name w:val="Default"/>
    <w:rsid w:val="00BF3CC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Kpalrs">
    <w:name w:val="caption"/>
    <w:basedOn w:val="Norml"/>
    <w:next w:val="Norml"/>
    <w:uiPriority w:val="35"/>
    <w:unhideWhenUsed/>
    <w:qFormat/>
    <w:rsid w:val="00204F38"/>
    <w:pPr>
      <w:spacing w:after="200" w:line="240" w:lineRule="auto"/>
    </w:pPr>
    <w:rPr>
      <w:rFonts w:eastAsiaTheme="minorEastAsia"/>
      <w:b/>
      <w:bCs/>
      <w:color w:val="4F81BD" w:themeColor="accent1"/>
      <w:sz w:val="18"/>
      <w:szCs w:val="18"/>
      <w:lang w:val="cs-CZ" w:eastAsia="cs-CZ"/>
    </w:rPr>
  </w:style>
  <w:style w:type="table" w:customStyle="1" w:styleId="TableGrid">
    <w:name w:val="TableGrid"/>
    <w:rsid w:val="00204F38"/>
    <w:pPr>
      <w:spacing w:after="0" w:line="240" w:lineRule="auto"/>
    </w:pPr>
    <w:rPr>
      <w:rFonts w:eastAsiaTheme="minorEastAsia"/>
      <w:lang w:val="en-US"/>
    </w:rPr>
    <w:tblPr>
      <w:tblCellMar>
        <w:top w:w="0" w:type="dxa"/>
        <w:left w:w="0" w:type="dxa"/>
        <w:bottom w:w="0" w:type="dxa"/>
        <w:right w:w="0" w:type="dxa"/>
      </w:tblCellMar>
    </w:tblPr>
  </w:style>
  <w:style w:type="paragraph" w:styleId="Vltozat">
    <w:name w:val="Revision"/>
    <w:hidden/>
    <w:uiPriority w:val="99"/>
    <w:semiHidden/>
    <w:rsid w:val="009E58F7"/>
    <w:pPr>
      <w:spacing w:after="0" w:line="240" w:lineRule="auto"/>
    </w:pPr>
    <w:rPr>
      <w:rFonts w:ascii="Times New Roman" w:eastAsia="Times New Roman" w:hAnsi="Times New Roman" w:cs="Times New Roman"/>
    </w:rPr>
  </w:style>
  <w:style w:type="character" w:customStyle="1" w:styleId="fontstyle01">
    <w:name w:val="fontstyle01"/>
    <w:basedOn w:val="Bekezdsalapbettpusa"/>
    <w:rsid w:val="001D14D0"/>
    <w:rPr>
      <w:rFonts w:ascii="TimesNewRoman" w:eastAsia="TimesNewRoman" w:hint="eastAsia"/>
      <w:b/>
      <w:bCs/>
      <w:i w:val="0"/>
      <w:iCs w:val="0"/>
      <w:color w:val="000000"/>
      <w:sz w:val="22"/>
      <w:szCs w:val="22"/>
    </w:rPr>
  </w:style>
  <w:style w:type="character" w:customStyle="1" w:styleId="fontstyle11">
    <w:name w:val="fontstyle11"/>
    <w:basedOn w:val="Bekezdsalapbettpusa"/>
    <w:rsid w:val="001D14D0"/>
    <w:rPr>
      <w:rFonts w:ascii="TimesNewRoman" w:eastAsia="TimesNewRoman" w:hint="eastAsia"/>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063538">
      <w:bodyDiv w:val="1"/>
      <w:marLeft w:val="0"/>
      <w:marRight w:val="0"/>
      <w:marTop w:val="0"/>
      <w:marBottom w:val="0"/>
      <w:divBdr>
        <w:top w:val="none" w:sz="0" w:space="0" w:color="auto"/>
        <w:left w:val="none" w:sz="0" w:space="0" w:color="auto"/>
        <w:bottom w:val="none" w:sz="0" w:space="0" w:color="auto"/>
        <w:right w:val="none" w:sz="0" w:space="0" w:color="auto"/>
      </w:divBdr>
    </w:div>
    <w:div w:id="1869442318">
      <w:bodyDiv w:val="1"/>
      <w:marLeft w:val="0"/>
      <w:marRight w:val="0"/>
      <w:marTop w:val="0"/>
      <w:marBottom w:val="0"/>
      <w:divBdr>
        <w:top w:val="none" w:sz="0" w:space="0" w:color="auto"/>
        <w:left w:val="none" w:sz="0" w:space="0" w:color="auto"/>
        <w:bottom w:val="none" w:sz="0" w:space="0" w:color="auto"/>
        <w:right w:val="none" w:sz="0" w:space="0" w:color="auto"/>
      </w:divBdr>
      <w:divsChild>
        <w:div w:id="1797790388">
          <w:marLeft w:val="0"/>
          <w:marRight w:val="0"/>
          <w:marTop w:val="0"/>
          <w:marBottom w:val="0"/>
          <w:divBdr>
            <w:top w:val="none" w:sz="0" w:space="0" w:color="auto"/>
            <w:left w:val="none" w:sz="0" w:space="0" w:color="auto"/>
            <w:bottom w:val="none" w:sz="0" w:space="0" w:color="auto"/>
            <w:right w:val="none" w:sz="0" w:space="0" w:color="auto"/>
          </w:divBdr>
          <w:divsChild>
            <w:div w:id="411506789">
              <w:marLeft w:val="0"/>
              <w:marRight w:val="0"/>
              <w:marTop w:val="0"/>
              <w:marBottom w:val="0"/>
              <w:divBdr>
                <w:top w:val="none" w:sz="0" w:space="0" w:color="auto"/>
                <w:left w:val="none" w:sz="0" w:space="0" w:color="auto"/>
                <w:bottom w:val="none" w:sz="0" w:space="0" w:color="auto"/>
                <w:right w:val="none" w:sz="0" w:space="0" w:color="auto"/>
              </w:divBdr>
              <w:divsChild>
                <w:div w:id="1219629038">
                  <w:marLeft w:val="0"/>
                  <w:marRight w:val="0"/>
                  <w:marTop w:val="0"/>
                  <w:marBottom w:val="0"/>
                  <w:divBdr>
                    <w:top w:val="none" w:sz="0" w:space="0" w:color="auto"/>
                    <w:left w:val="none" w:sz="0" w:space="0" w:color="auto"/>
                    <w:bottom w:val="none" w:sz="0" w:space="0" w:color="auto"/>
                    <w:right w:val="none" w:sz="0" w:space="0" w:color="auto"/>
                  </w:divBdr>
                  <w:divsChild>
                    <w:div w:id="948775500">
                      <w:marLeft w:val="0"/>
                      <w:marRight w:val="0"/>
                      <w:marTop w:val="0"/>
                      <w:marBottom w:val="0"/>
                      <w:divBdr>
                        <w:top w:val="none" w:sz="0" w:space="0" w:color="auto"/>
                        <w:left w:val="none" w:sz="0" w:space="0" w:color="auto"/>
                        <w:bottom w:val="none" w:sz="0" w:space="0" w:color="auto"/>
                        <w:right w:val="none" w:sz="0" w:space="0" w:color="auto"/>
                      </w:divBdr>
                      <w:divsChild>
                        <w:div w:id="1138887348">
                          <w:marLeft w:val="0"/>
                          <w:marRight w:val="0"/>
                          <w:marTop w:val="0"/>
                          <w:marBottom w:val="0"/>
                          <w:divBdr>
                            <w:top w:val="none" w:sz="0" w:space="0" w:color="auto"/>
                            <w:left w:val="none" w:sz="0" w:space="0" w:color="auto"/>
                            <w:bottom w:val="none" w:sz="0" w:space="0" w:color="auto"/>
                            <w:right w:val="none" w:sz="0" w:space="0" w:color="auto"/>
                          </w:divBdr>
                          <w:divsChild>
                            <w:div w:id="76345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444250">
          <w:marLeft w:val="0"/>
          <w:marRight w:val="0"/>
          <w:marTop w:val="0"/>
          <w:marBottom w:val="0"/>
          <w:divBdr>
            <w:top w:val="none" w:sz="0" w:space="0" w:color="auto"/>
            <w:left w:val="none" w:sz="0" w:space="0" w:color="auto"/>
            <w:bottom w:val="none" w:sz="0" w:space="0" w:color="auto"/>
            <w:right w:val="none" w:sz="0" w:space="0" w:color="auto"/>
          </w:divBdr>
          <w:divsChild>
            <w:div w:id="1046419085">
              <w:marLeft w:val="0"/>
              <w:marRight w:val="0"/>
              <w:marTop w:val="0"/>
              <w:marBottom w:val="0"/>
              <w:divBdr>
                <w:top w:val="none" w:sz="0" w:space="0" w:color="auto"/>
                <w:left w:val="none" w:sz="0" w:space="0" w:color="auto"/>
                <w:bottom w:val="none" w:sz="0" w:space="0" w:color="auto"/>
                <w:right w:val="none" w:sz="0" w:space="0" w:color="auto"/>
              </w:divBdr>
              <w:divsChild>
                <w:div w:id="882060229">
                  <w:marLeft w:val="0"/>
                  <w:marRight w:val="0"/>
                  <w:marTop w:val="0"/>
                  <w:marBottom w:val="0"/>
                  <w:divBdr>
                    <w:top w:val="none" w:sz="0" w:space="0" w:color="auto"/>
                    <w:left w:val="none" w:sz="0" w:space="0" w:color="auto"/>
                    <w:bottom w:val="none" w:sz="0" w:space="0" w:color="auto"/>
                    <w:right w:val="none" w:sz="0" w:space="0" w:color="auto"/>
                  </w:divBdr>
                  <w:divsChild>
                    <w:div w:id="473257571">
                      <w:marLeft w:val="0"/>
                      <w:marRight w:val="0"/>
                      <w:marTop w:val="0"/>
                      <w:marBottom w:val="0"/>
                      <w:divBdr>
                        <w:top w:val="none" w:sz="0" w:space="0" w:color="auto"/>
                        <w:left w:val="none" w:sz="0" w:space="0" w:color="auto"/>
                        <w:bottom w:val="none" w:sz="0" w:space="0" w:color="auto"/>
                        <w:right w:val="none" w:sz="0" w:space="0" w:color="auto"/>
                      </w:divBdr>
                      <w:divsChild>
                        <w:div w:id="125720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697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5377F-1FB4-490E-B26D-3D4A1B559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14880</Words>
  <Characters>102678</Characters>
  <Application>Microsoft Office Word</Application>
  <DocSecurity>0</DocSecurity>
  <Lines>855</Lines>
  <Paragraphs>234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Novartis</Company>
  <LinksUpToDate>false</LinksUpToDate>
  <CharactersWithSpaces>117324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final_008_009</dc:creator>
  <cp:lastModifiedBy>HU-OGYI 59.1</cp:lastModifiedBy>
  <cp:revision>3</cp:revision>
  <cp:lastPrinted>2017-01-03T09:35:00Z</cp:lastPrinted>
  <dcterms:created xsi:type="dcterms:W3CDTF">2022-07-25T12:42:00Z</dcterms:created>
  <dcterms:modified xsi:type="dcterms:W3CDTF">2022-07-25T12:42:00Z</dcterms:modified>
</cp:coreProperties>
</file>