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40EB1" w14:textId="77777777" w:rsidR="00C67376" w:rsidRDefault="0022703E">
      <w:pPr>
        <w:widowControl w:val="0"/>
        <w:spacing w:line="240" w:lineRule="auto"/>
        <w:rPr>
          <w:lang w:val="hu-HU"/>
        </w:rPr>
      </w:pPr>
      <w:r>
        <w:rPr>
          <w:b/>
          <w:bCs/>
          <w:lang w:val="hu-HU"/>
        </w:rPr>
        <w:t>1.</w:t>
      </w:r>
      <w:r>
        <w:rPr>
          <w:b/>
          <w:bCs/>
          <w:lang w:val="hu-HU"/>
        </w:rPr>
        <w:tab/>
        <w:t>A GYÓGYSZER NEVE</w:t>
      </w:r>
    </w:p>
    <w:p w14:paraId="32045B18" w14:textId="77777777" w:rsidR="00C67376" w:rsidRDefault="00C67376">
      <w:pPr>
        <w:widowControl w:val="0"/>
        <w:spacing w:line="240" w:lineRule="auto"/>
        <w:rPr>
          <w:lang w:val="hu-HU"/>
        </w:rPr>
      </w:pPr>
    </w:p>
    <w:p w14:paraId="6C27636F" w14:textId="77777777" w:rsidR="00C67376" w:rsidRDefault="0022703E">
      <w:pPr>
        <w:widowControl w:val="0"/>
        <w:spacing w:line="240" w:lineRule="auto"/>
        <w:rPr>
          <w:lang w:val="hu-HU"/>
        </w:rPr>
      </w:pPr>
      <w:r>
        <w:rPr>
          <w:lang w:val="hu-HU"/>
        </w:rPr>
        <w:t>Vizilatan 0,05 mg/ml oldatos szemcsepp</w:t>
      </w:r>
    </w:p>
    <w:p w14:paraId="3E1E909C" w14:textId="77777777" w:rsidR="00C67376" w:rsidRDefault="00C67376">
      <w:pPr>
        <w:widowControl w:val="0"/>
        <w:spacing w:line="240" w:lineRule="auto"/>
        <w:rPr>
          <w:lang w:val="hu-HU"/>
        </w:rPr>
      </w:pPr>
    </w:p>
    <w:p w14:paraId="359E911B" w14:textId="77777777" w:rsidR="00C67376" w:rsidRDefault="00C67376">
      <w:pPr>
        <w:widowControl w:val="0"/>
        <w:spacing w:line="240" w:lineRule="auto"/>
        <w:rPr>
          <w:lang w:val="hu-HU"/>
        </w:rPr>
      </w:pPr>
    </w:p>
    <w:p w14:paraId="1F3189E2" w14:textId="77777777" w:rsidR="00C67376" w:rsidRDefault="0022703E">
      <w:pPr>
        <w:widowControl w:val="0"/>
        <w:spacing w:line="240" w:lineRule="auto"/>
        <w:rPr>
          <w:b/>
          <w:bCs/>
          <w:lang w:val="hu-HU"/>
        </w:rPr>
      </w:pPr>
      <w:r>
        <w:rPr>
          <w:b/>
          <w:bCs/>
          <w:lang w:val="hu-HU"/>
        </w:rPr>
        <w:t>2.</w:t>
      </w:r>
      <w:r>
        <w:rPr>
          <w:b/>
          <w:bCs/>
          <w:lang w:val="hu-HU"/>
        </w:rPr>
        <w:tab/>
        <w:t>MINŐSÉGI ÉS MENNYISÉGI ÖSSZETÉTEL</w:t>
      </w:r>
    </w:p>
    <w:p w14:paraId="4A836B1B" w14:textId="77777777" w:rsidR="00C67376" w:rsidRDefault="00C67376">
      <w:pPr>
        <w:widowControl w:val="0"/>
        <w:spacing w:line="240" w:lineRule="auto"/>
        <w:rPr>
          <w:lang w:val="hu-HU"/>
        </w:rPr>
      </w:pPr>
    </w:p>
    <w:p w14:paraId="2EB0DA01" w14:textId="77777777" w:rsidR="00C67376" w:rsidRDefault="0022703E">
      <w:pPr>
        <w:pStyle w:val="EMEAEnBodyText"/>
        <w:spacing w:before="0" w:after="0"/>
        <w:rPr>
          <w:lang w:val="hu-HU"/>
        </w:rPr>
      </w:pPr>
      <w:r>
        <w:rPr>
          <w:lang w:val="hu-HU"/>
        </w:rPr>
        <w:t>0,05 mg (50 mikrogramm) latanoprosztot tartalmaz milliliterenként.</w:t>
      </w:r>
    </w:p>
    <w:p w14:paraId="51A8211E" w14:textId="77777777" w:rsidR="00C67376" w:rsidRDefault="0022703E">
      <w:pPr>
        <w:pStyle w:val="EMEAEnBodyText"/>
        <w:spacing w:before="0" w:after="0"/>
        <w:rPr>
          <w:lang w:val="hu-HU"/>
        </w:rPr>
      </w:pPr>
      <w:r>
        <w:rPr>
          <w:lang w:val="hu-HU"/>
        </w:rPr>
        <w:t>Körülbelül 1,5 mikrogramm latanoprosztot tartalmaz cseppenként.</w:t>
      </w:r>
    </w:p>
    <w:p w14:paraId="3A0B640D" w14:textId="77777777" w:rsidR="00C67376" w:rsidRDefault="00C67376">
      <w:pPr>
        <w:pStyle w:val="EMEAEnBodyText"/>
        <w:spacing w:before="0" w:after="0"/>
        <w:rPr>
          <w:lang w:val="hu-HU"/>
        </w:rPr>
      </w:pPr>
    </w:p>
    <w:p w14:paraId="620A0CA1" w14:textId="77777777" w:rsidR="00C67376" w:rsidRDefault="0022703E">
      <w:pPr>
        <w:pStyle w:val="EMEAEnBodyText"/>
        <w:spacing w:before="0" w:after="0"/>
        <w:rPr>
          <w:u w:val="single"/>
          <w:lang w:val="hu-HU"/>
        </w:rPr>
      </w:pPr>
      <w:r>
        <w:rPr>
          <w:u w:val="single"/>
          <w:lang w:val="hu-HU"/>
        </w:rPr>
        <w:t>Ismert hatású segédanyagok:</w:t>
      </w:r>
    </w:p>
    <w:p w14:paraId="36936863" w14:textId="3C3DC17D" w:rsidR="00C67376" w:rsidRDefault="0022703E" w:rsidP="0039498B">
      <w:pPr>
        <w:pStyle w:val="EMEAEnBodyText"/>
        <w:spacing w:before="0" w:after="0"/>
        <w:jc w:val="left"/>
        <w:rPr>
          <w:lang w:val="hu-HU"/>
        </w:rPr>
      </w:pPr>
      <w:r>
        <w:rPr>
          <w:lang w:val="hu-HU"/>
        </w:rPr>
        <w:t>25 mg makrogol-glicerin-hidroxisztearátot tartalmaz milliliterenként, ami megfelel 0,75 mg-nak cseppenként (lásd 4.4 pont).</w:t>
      </w:r>
    </w:p>
    <w:p w14:paraId="50186705" w14:textId="77777777" w:rsidR="00C67376" w:rsidRDefault="0022703E" w:rsidP="0039498B">
      <w:pPr>
        <w:pStyle w:val="EMEAEnBodyText"/>
        <w:spacing w:before="0" w:after="0"/>
        <w:jc w:val="left"/>
        <w:rPr>
          <w:lang w:val="hu-HU"/>
        </w:rPr>
      </w:pPr>
      <w:r>
        <w:rPr>
          <w:lang w:val="hu-HU"/>
        </w:rPr>
        <w:t>6,79 mg foszfátot tartalmaz milliliterenként, ami megfelel 0,1905 mg-nak cseppenként.</w:t>
      </w:r>
    </w:p>
    <w:p w14:paraId="5335087A" w14:textId="77777777" w:rsidR="00C67376" w:rsidRDefault="00C67376">
      <w:pPr>
        <w:pStyle w:val="EMEAEnBodyText"/>
        <w:spacing w:before="0" w:after="0"/>
        <w:rPr>
          <w:lang w:val="hu-HU"/>
        </w:rPr>
      </w:pPr>
    </w:p>
    <w:p w14:paraId="34930C1C" w14:textId="77777777" w:rsidR="00C67376" w:rsidRDefault="0022703E">
      <w:pPr>
        <w:pStyle w:val="EMEAEnBodyText"/>
        <w:spacing w:before="0" w:after="0"/>
        <w:rPr>
          <w:lang w:val="hu-HU"/>
        </w:rPr>
      </w:pPr>
      <w:r>
        <w:rPr>
          <w:lang w:val="hu-HU"/>
        </w:rPr>
        <w:t>A segédanyagok teljes listáját lásd a 6.1 pontban.</w:t>
      </w:r>
    </w:p>
    <w:p w14:paraId="08445535" w14:textId="77777777" w:rsidR="00C67376" w:rsidRDefault="00C67376">
      <w:pPr>
        <w:widowControl w:val="0"/>
        <w:spacing w:line="240" w:lineRule="auto"/>
        <w:rPr>
          <w:b/>
          <w:bCs/>
          <w:lang w:val="hu-HU"/>
        </w:rPr>
      </w:pPr>
    </w:p>
    <w:p w14:paraId="40858D39" w14:textId="77777777" w:rsidR="00C67376" w:rsidRDefault="00C67376">
      <w:pPr>
        <w:widowControl w:val="0"/>
        <w:spacing w:line="240" w:lineRule="auto"/>
        <w:rPr>
          <w:b/>
          <w:bCs/>
          <w:lang w:val="hu-HU"/>
        </w:rPr>
      </w:pPr>
    </w:p>
    <w:p w14:paraId="5E879BAC" w14:textId="77777777" w:rsidR="00C67376" w:rsidRDefault="0022703E">
      <w:pPr>
        <w:spacing w:line="240" w:lineRule="auto"/>
        <w:ind w:left="567" w:hanging="567"/>
        <w:rPr>
          <w:b/>
          <w:bCs/>
          <w:lang w:val="hu-HU"/>
        </w:rPr>
      </w:pPr>
      <w:r>
        <w:rPr>
          <w:b/>
          <w:bCs/>
          <w:lang w:val="hu-HU"/>
        </w:rPr>
        <w:t>3.</w:t>
      </w:r>
      <w:r>
        <w:rPr>
          <w:b/>
          <w:bCs/>
          <w:lang w:val="hu-HU"/>
        </w:rPr>
        <w:tab/>
        <w:t>GYÓGYSZERFORMA</w:t>
      </w:r>
    </w:p>
    <w:p w14:paraId="136BF8C4" w14:textId="77777777" w:rsidR="00C67376" w:rsidRDefault="00C67376">
      <w:pPr>
        <w:spacing w:line="240" w:lineRule="auto"/>
        <w:ind w:left="567" w:hanging="567"/>
        <w:rPr>
          <w:b/>
          <w:bCs/>
          <w:lang w:val="hu-HU"/>
        </w:rPr>
      </w:pPr>
    </w:p>
    <w:p w14:paraId="30334488" w14:textId="77777777" w:rsidR="00C67376" w:rsidRDefault="0022703E">
      <w:pPr>
        <w:spacing w:line="240" w:lineRule="auto"/>
        <w:rPr>
          <w:lang w:val="hu-HU"/>
        </w:rPr>
      </w:pPr>
      <w:r>
        <w:rPr>
          <w:lang w:val="hu-HU"/>
        </w:rPr>
        <w:t>Oldatos szemcsepp</w:t>
      </w:r>
    </w:p>
    <w:p w14:paraId="39D8DA44" w14:textId="77777777" w:rsidR="00C67376" w:rsidRDefault="0022703E">
      <w:pPr>
        <w:spacing w:line="240" w:lineRule="auto"/>
        <w:rPr>
          <w:lang w:val="hu-HU"/>
        </w:rPr>
      </w:pPr>
      <w:r>
        <w:rPr>
          <w:lang w:val="hu-HU"/>
        </w:rPr>
        <w:t>Tiszta, színtelen, gyakorlatilag látható részecskéktől mentes vizes oldat.</w:t>
      </w:r>
    </w:p>
    <w:p w14:paraId="4F3A39C5" w14:textId="77777777" w:rsidR="00C67376" w:rsidRDefault="00C67376">
      <w:pPr>
        <w:spacing w:line="240" w:lineRule="auto"/>
        <w:rPr>
          <w:lang w:val="hu-HU"/>
        </w:rPr>
      </w:pPr>
    </w:p>
    <w:p w14:paraId="07C716F5" w14:textId="77777777" w:rsidR="00C67376" w:rsidRDefault="0022703E">
      <w:pPr>
        <w:spacing w:line="240" w:lineRule="auto"/>
        <w:rPr>
          <w:lang w:val="hu-HU"/>
        </w:rPr>
      </w:pPr>
      <w:r>
        <w:rPr>
          <w:lang w:val="hu-HU"/>
        </w:rPr>
        <w:t>pH: 5,5-6,5</w:t>
      </w:r>
    </w:p>
    <w:p w14:paraId="7BC8670D" w14:textId="77777777" w:rsidR="00C67376" w:rsidRDefault="0022703E">
      <w:pPr>
        <w:spacing w:line="240" w:lineRule="auto"/>
        <w:rPr>
          <w:lang w:val="hu-HU"/>
        </w:rPr>
      </w:pPr>
      <w:r>
        <w:rPr>
          <w:lang w:val="hu-HU"/>
        </w:rPr>
        <w:t>Ozmolalitás: 260 mOsm/kg ± 10%</w:t>
      </w:r>
    </w:p>
    <w:p w14:paraId="52266AD0" w14:textId="77777777" w:rsidR="00C67376" w:rsidRDefault="00C67376">
      <w:pPr>
        <w:spacing w:line="240" w:lineRule="auto"/>
        <w:jc w:val="both"/>
        <w:rPr>
          <w:lang w:val="hu-HU"/>
        </w:rPr>
      </w:pPr>
    </w:p>
    <w:p w14:paraId="26DC889A" w14:textId="77777777" w:rsidR="00C67376" w:rsidRDefault="00C67376">
      <w:pPr>
        <w:spacing w:line="240" w:lineRule="auto"/>
        <w:rPr>
          <w:lang w:val="hu-HU"/>
        </w:rPr>
      </w:pPr>
    </w:p>
    <w:p w14:paraId="75714A05" w14:textId="77777777" w:rsidR="00C67376" w:rsidRDefault="0022703E">
      <w:pPr>
        <w:spacing w:line="240" w:lineRule="auto"/>
        <w:ind w:left="567" w:hanging="567"/>
        <w:outlineLvl w:val="0"/>
        <w:rPr>
          <w:b/>
          <w:bCs/>
          <w:lang w:val="hu-HU"/>
        </w:rPr>
      </w:pPr>
      <w:r>
        <w:rPr>
          <w:b/>
          <w:bCs/>
          <w:lang w:val="hu-HU"/>
        </w:rPr>
        <w:t>4.</w:t>
      </w:r>
      <w:r>
        <w:rPr>
          <w:b/>
          <w:bCs/>
          <w:lang w:val="hu-HU"/>
        </w:rPr>
        <w:tab/>
        <w:t>KLINIKAI JELLEMZŐK</w:t>
      </w:r>
    </w:p>
    <w:p w14:paraId="16318600" w14:textId="77777777" w:rsidR="00C67376" w:rsidRDefault="00C67376">
      <w:pPr>
        <w:spacing w:line="240" w:lineRule="auto"/>
        <w:ind w:left="567" w:hanging="567"/>
        <w:outlineLvl w:val="0"/>
        <w:rPr>
          <w:b/>
          <w:bCs/>
          <w:lang w:val="hu-HU"/>
        </w:rPr>
      </w:pPr>
    </w:p>
    <w:p w14:paraId="04EE5BEF" w14:textId="77777777" w:rsidR="00C67376" w:rsidRDefault="0022703E">
      <w:pPr>
        <w:spacing w:line="240" w:lineRule="auto"/>
        <w:ind w:left="567" w:hanging="567"/>
        <w:outlineLvl w:val="0"/>
        <w:rPr>
          <w:b/>
          <w:bCs/>
          <w:lang w:val="hu-HU"/>
        </w:rPr>
      </w:pPr>
      <w:r>
        <w:rPr>
          <w:b/>
          <w:bCs/>
          <w:lang w:val="hu-HU"/>
        </w:rPr>
        <w:t>4.1</w:t>
      </w:r>
      <w:r>
        <w:rPr>
          <w:b/>
          <w:bCs/>
          <w:lang w:val="hu-HU"/>
        </w:rPr>
        <w:tab/>
        <w:t>Terápiás javallatok</w:t>
      </w:r>
    </w:p>
    <w:p w14:paraId="4749A090" w14:textId="77777777" w:rsidR="00C67376" w:rsidRDefault="00C67376">
      <w:pPr>
        <w:spacing w:line="240" w:lineRule="auto"/>
        <w:ind w:left="567" w:hanging="567"/>
        <w:outlineLvl w:val="0"/>
        <w:rPr>
          <w:b/>
          <w:bCs/>
          <w:lang w:val="hu-HU"/>
        </w:rPr>
      </w:pPr>
    </w:p>
    <w:p w14:paraId="6EA18BC0" w14:textId="77777777" w:rsidR="00C67376" w:rsidRDefault="0022703E">
      <w:pPr>
        <w:spacing w:line="240" w:lineRule="auto"/>
        <w:rPr>
          <w:lang w:val="hu-HU"/>
        </w:rPr>
      </w:pPr>
      <w:r>
        <w:rPr>
          <w:lang w:val="hu-HU"/>
        </w:rPr>
        <w:t>Az emelkedett szembelnyomás (</w:t>
      </w:r>
      <w:r>
        <w:rPr>
          <w:i/>
          <w:lang w:val="hu-HU"/>
        </w:rPr>
        <w:t>intraocular pressure</w:t>
      </w:r>
      <w:r>
        <w:rPr>
          <w:lang w:val="hu-HU"/>
        </w:rPr>
        <w:t>, IOP) csökkentése nyitott zugú glaucoma és emelkedett intraocularis nyomás esetén felnőtteknél (beleértve az időseket is).</w:t>
      </w:r>
    </w:p>
    <w:p w14:paraId="467B43FA" w14:textId="77777777" w:rsidR="00C67376" w:rsidRDefault="00C67376">
      <w:pPr>
        <w:spacing w:line="240" w:lineRule="auto"/>
        <w:rPr>
          <w:lang w:val="hu-HU"/>
        </w:rPr>
      </w:pPr>
    </w:p>
    <w:p w14:paraId="01EBB826" w14:textId="77777777" w:rsidR="00C67376" w:rsidRDefault="0022703E">
      <w:pPr>
        <w:rPr>
          <w:lang w:val="hu-HU"/>
        </w:rPr>
      </w:pPr>
      <w:r>
        <w:rPr>
          <w:lang w:val="hu-HU"/>
        </w:rPr>
        <w:t>Az emelkedett szembelnyomás (IOP) csökkentése emelkedett intraocularis nyomás és glaucoma esetén gyermekeknél és serdülőknél.</w:t>
      </w:r>
    </w:p>
    <w:p w14:paraId="4B04339D" w14:textId="77777777" w:rsidR="00C67376" w:rsidRDefault="00C67376">
      <w:pPr>
        <w:spacing w:line="240" w:lineRule="auto"/>
        <w:rPr>
          <w:lang w:val="hu-HU"/>
        </w:rPr>
      </w:pPr>
    </w:p>
    <w:p w14:paraId="7B3CF583" w14:textId="77777777" w:rsidR="00C67376" w:rsidRDefault="0022703E">
      <w:pPr>
        <w:spacing w:line="240" w:lineRule="auto"/>
        <w:ind w:left="567" w:hanging="567"/>
        <w:outlineLvl w:val="0"/>
        <w:rPr>
          <w:b/>
          <w:bCs/>
          <w:lang w:val="hu-HU"/>
        </w:rPr>
      </w:pPr>
      <w:r>
        <w:rPr>
          <w:b/>
          <w:bCs/>
          <w:lang w:val="hu-HU"/>
        </w:rPr>
        <w:t>4.2</w:t>
      </w:r>
      <w:r>
        <w:rPr>
          <w:b/>
          <w:bCs/>
          <w:lang w:val="hu-HU"/>
        </w:rPr>
        <w:tab/>
        <w:t>Adagolás és alkalmazás</w:t>
      </w:r>
    </w:p>
    <w:p w14:paraId="6CA38D83" w14:textId="77777777" w:rsidR="00C67376" w:rsidRDefault="00C67376">
      <w:pPr>
        <w:spacing w:line="240" w:lineRule="auto"/>
        <w:ind w:left="567" w:hanging="567"/>
        <w:outlineLvl w:val="0"/>
        <w:rPr>
          <w:b/>
          <w:bCs/>
          <w:lang w:val="hu-HU"/>
        </w:rPr>
      </w:pPr>
    </w:p>
    <w:p w14:paraId="5978BC38" w14:textId="77777777" w:rsidR="00C67376" w:rsidRDefault="0022703E">
      <w:pPr>
        <w:spacing w:line="240" w:lineRule="auto"/>
        <w:rPr>
          <w:u w:val="single"/>
          <w:lang w:val="hu-HU"/>
        </w:rPr>
      </w:pPr>
      <w:r>
        <w:rPr>
          <w:u w:val="single"/>
          <w:lang w:val="hu-HU"/>
        </w:rPr>
        <w:t>Adagolás</w:t>
      </w:r>
    </w:p>
    <w:p w14:paraId="07D9A443" w14:textId="77777777" w:rsidR="00C67376" w:rsidRDefault="00C67376">
      <w:pPr>
        <w:spacing w:line="240" w:lineRule="auto"/>
        <w:jc w:val="both"/>
        <w:rPr>
          <w:lang w:val="hu-HU"/>
        </w:rPr>
      </w:pPr>
    </w:p>
    <w:p w14:paraId="437F51BE" w14:textId="77777777" w:rsidR="00C67376" w:rsidRDefault="0022703E">
      <w:pPr>
        <w:spacing w:line="240" w:lineRule="auto"/>
        <w:rPr>
          <w:i/>
          <w:lang w:val="hu-HU"/>
        </w:rPr>
      </w:pPr>
      <w:r>
        <w:rPr>
          <w:i/>
          <w:lang w:val="hu-HU"/>
        </w:rPr>
        <w:t>Felnőttek (beleértve az időseket is)</w:t>
      </w:r>
    </w:p>
    <w:p w14:paraId="066FB0BB" w14:textId="77777777" w:rsidR="00C67376" w:rsidRDefault="0022703E">
      <w:pPr>
        <w:spacing w:line="240" w:lineRule="auto"/>
        <w:rPr>
          <w:lang w:val="hu-HU"/>
        </w:rPr>
      </w:pPr>
      <w:r>
        <w:rPr>
          <w:lang w:val="hu-HU"/>
        </w:rPr>
        <w:t>A javasolt dózis 1 csepp az érintett szem(ek)be naponta egyszer. A Vizilatan optimális hatása esti adagolással érhető el.</w:t>
      </w:r>
    </w:p>
    <w:p w14:paraId="05DBAD16" w14:textId="77777777" w:rsidR="00C67376" w:rsidRDefault="00C67376">
      <w:pPr>
        <w:spacing w:line="240" w:lineRule="auto"/>
        <w:rPr>
          <w:lang w:val="hu-HU"/>
        </w:rPr>
      </w:pPr>
    </w:p>
    <w:p w14:paraId="578BCC7A" w14:textId="77777777" w:rsidR="00C67376" w:rsidRDefault="0022703E">
      <w:pPr>
        <w:spacing w:line="240" w:lineRule="auto"/>
        <w:rPr>
          <w:lang w:val="hu-HU"/>
        </w:rPr>
      </w:pPr>
      <w:r>
        <w:rPr>
          <w:lang w:val="hu-HU"/>
        </w:rPr>
        <w:t>A Vizilatan naponta csak egyszer adagolható, mivel kimutatták, hogy a gyakoribb adagolás csökkenti a szembelnyomást csökkentő hatást.</w:t>
      </w:r>
    </w:p>
    <w:p w14:paraId="293059F6" w14:textId="77777777" w:rsidR="00C67376" w:rsidRDefault="00C67376">
      <w:pPr>
        <w:spacing w:line="240" w:lineRule="auto"/>
        <w:rPr>
          <w:lang w:val="hu-HU"/>
        </w:rPr>
      </w:pPr>
    </w:p>
    <w:p w14:paraId="3EF7EC96" w14:textId="77777777" w:rsidR="00C67376" w:rsidRDefault="0022703E">
      <w:pPr>
        <w:spacing w:line="240" w:lineRule="auto"/>
        <w:rPr>
          <w:lang w:val="hu-HU"/>
        </w:rPr>
      </w:pPr>
      <w:r>
        <w:rPr>
          <w:lang w:val="hu-HU"/>
        </w:rPr>
        <w:t>Ha egy dózis kimarad, az adagolást a következő szokásos dózissal kell folytatni.</w:t>
      </w:r>
    </w:p>
    <w:p w14:paraId="483C1580" w14:textId="77777777" w:rsidR="00C67376" w:rsidRDefault="00C67376">
      <w:pPr>
        <w:spacing w:line="240" w:lineRule="auto"/>
        <w:rPr>
          <w:lang w:val="hu-HU"/>
        </w:rPr>
      </w:pPr>
    </w:p>
    <w:p w14:paraId="4411B5A1" w14:textId="77777777" w:rsidR="00C67376" w:rsidRDefault="0022703E">
      <w:pPr>
        <w:spacing w:line="240" w:lineRule="auto"/>
        <w:rPr>
          <w:i/>
          <w:lang w:val="hu-HU"/>
        </w:rPr>
      </w:pPr>
      <w:r>
        <w:rPr>
          <w:i/>
          <w:lang w:val="hu-HU"/>
        </w:rPr>
        <w:t>Gyermekek és serdülők</w:t>
      </w:r>
    </w:p>
    <w:p w14:paraId="7671AB11" w14:textId="28349AB9" w:rsidR="00C67376" w:rsidRDefault="0022703E">
      <w:pPr>
        <w:spacing w:line="240" w:lineRule="auto"/>
        <w:rPr>
          <w:lang w:val="hu-HU"/>
        </w:rPr>
      </w:pPr>
      <w:r>
        <w:rPr>
          <w:lang w:val="hu-HU"/>
        </w:rPr>
        <w:t>A Vizilatan oldatos szemcsepp gyermekeknél és serdülőknél a felnőttek adagolásával megegyező dózisban alkalmazható. Koraszülött csecsemőkre vonatkozó adatok nem állnak rendelkezésre (36 hetes gesztációs kor alatt). Az 1 évesnél fiatalabb korcsoportra vonatkozó adatok nagyon korlátozottak (lásd 5.1 pont).</w:t>
      </w:r>
    </w:p>
    <w:p w14:paraId="01BC9341" w14:textId="77777777" w:rsidR="00C67376" w:rsidRDefault="00C67376">
      <w:pPr>
        <w:spacing w:line="240" w:lineRule="auto"/>
        <w:rPr>
          <w:u w:val="single"/>
          <w:lang w:val="hu-HU"/>
        </w:rPr>
      </w:pPr>
    </w:p>
    <w:p w14:paraId="3A69E3A1" w14:textId="77777777" w:rsidR="00C67376" w:rsidRDefault="0022703E">
      <w:pPr>
        <w:spacing w:line="240" w:lineRule="auto"/>
        <w:rPr>
          <w:u w:val="single"/>
          <w:lang w:val="hu-HU"/>
        </w:rPr>
      </w:pPr>
      <w:r>
        <w:rPr>
          <w:u w:val="single"/>
          <w:lang w:val="hu-HU"/>
        </w:rPr>
        <w:t>Az alkalmazás módja</w:t>
      </w:r>
    </w:p>
    <w:p w14:paraId="0B4E681E" w14:textId="77777777" w:rsidR="00C67376" w:rsidRDefault="0022703E">
      <w:pPr>
        <w:spacing w:line="240" w:lineRule="auto"/>
        <w:rPr>
          <w:lang w:val="hu-HU"/>
        </w:rPr>
      </w:pPr>
      <w:r>
        <w:rPr>
          <w:lang w:val="hu-HU"/>
        </w:rPr>
        <w:lastRenderedPageBreak/>
        <w:t>Szemészeti alkalmazásra.</w:t>
      </w:r>
    </w:p>
    <w:p w14:paraId="59FCFC19" w14:textId="77777777" w:rsidR="00C67376" w:rsidRDefault="0022703E">
      <w:pPr>
        <w:rPr>
          <w:lang w:val="hu-HU"/>
        </w:rPr>
      </w:pPr>
      <w:r>
        <w:rPr>
          <w:lang w:val="hu-HU"/>
        </w:rPr>
        <w:t>Mint a többi szemcsepp esetében, a lehetséges szisztémás felszívódás csökkentése érdekében javasolt a mediális szemzugban a könnyvezeték 1 percen át tartó összenyomása. Ezt minden csepp becseppentését követően azonnal el kell végezni.</w:t>
      </w:r>
    </w:p>
    <w:p w14:paraId="59602392" w14:textId="77777777" w:rsidR="00C67376" w:rsidRDefault="00C67376">
      <w:pPr>
        <w:rPr>
          <w:lang w:val="hu-HU"/>
        </w:rPr>
      </w:pPr>
    </w:p>
    <w:p w14:paraId="584185BC" w14:textId="77777777" w:rsidR="00C67376" w:rsidRDefault="0022703E">
      <w:pPr>
        <w:tabs>
          <w:tab w:val="left" w:pos="708"/>
        </w:tabs>
        <w:rPr>
          <w:lang w:val="hu-HU"/>
        </w:rPr>
      </w:pPr>
      <w:r>
        <w:rPr>
          <w:lang w:val="hu-HU"/>
        </w:rPr>
        <w:t>A szemcsepp becseppentése előtt a kontaktlencséket el kell távolítani a szem(ek)ből, és csak 15 perc elteltével szabad visszahelyezni.</w:t>
      </w:r>
    </w:p>
    <w:p w14:paraId="64B45423" w14:textId="77777777" w:rsidR="00C67376" w:rsidRDefault="00C67376">
      <w:pPr>
        <w:rPr>
          <w:lang w:val="hu-HU"/>
        </w:rPr>
      </w:pPr>
    </w:p>
    <w:p w14:paraId="750CB08F" w14:textId="77777777" w:rsidR="00C67376" w:rsidRDefault="0022703E">
      <w:pPr>
        <w:rPr>
          <w:lang w:val="hu-HU"/>
        </w:rPr>
      </w:pPr>
      <w:r>
        <w:rPr>
          <w:lang w:val="hu-HU"/>
        </w:rPr>
        <w:t>Egynél több lokális szemészeti készítmény alkalmazása esetén a készítményeket legalább 5 perc különbséggel kell alkalmazni.</w:t>
      </w:r>
    </w:p>
    <w:p w14:paraId="02DE42BB" w14:textId="77777777" w:rsidR="00C67376" w:rsidRDefault="00C67376">
      <w:pPr>
        <w:rPr>
          <w:lang w:val="hu-HU"/>
        </w:rPr>
      </w:pPr>
    </w:p>
    <w:p w14:paraId="23B2BF40" w14:textId="77777777" w:rsidR="00C67376" w:rsidRDefault="0022703E">
      <w:pPr>
        <w:rPr>
          <w:lang w:val="hu-HU"/>
        </w:rPr>
      </w:pPr>
      <w:r>
        <w:rPr>
          <w:lang w:val="hu-HU"/>
        </w:rPr>
        <w:t xml:space="preserve">A gyógyszer alkalmazására vonatkozó utasításokat lásd a 6.6 pontban. </w:t>
      </w:r>
    </w:p>
    <w:p w14:paraId="1B5FC063" w14:textId="77777777" w:rsidR="00C67376" w:rsidRDefault="00C67376">
      <w:pPr>
        <w:rPr>
          <w:lang w:val="hu-HU"/>
        </w:rPr>
      </w:pPr>
    </w:p>
    <w:p w14:paraId="4364610B" w14:textId="77777777" w:rsidR="00C67376" w:rsidRDefault="0022703E">
      <w:pPr>
        <w:rPr>
          <w:lang w:val="hu-HU"/>
        </w:rPr>
      </w:pPr>
      <w:r>
        <w:rPr>
          <w:lang w:val="hu-HU"/>
        </w:rPr>
        <w:t>A Vizilatan szemcsepp tartósítószer-mentes steril oldat.</w:t>
      </w:r>
    </w:p>
    <w:p w14:paraId="7CEBBCFB" w14:textId="77777777" w:rsidR="00C67376" w:rsidRDefault="00C67376">
      <w:pPr>
        <w:spacing w:line="240" w:lineRule="auto"/>
        <w:rPr>
          <w:lang w:val="hu-HU"/>
        </w:rPr>
      </w:pPr>
    </w:p>
    <w:p w14:paraId="7ABDEF27" w14:textId="77777777" w:rsidR="00C67376" w:rsidRDefault="0022703E">
      <w:pPr>
        <w:spacing w:line="240" w:lineRule="auto"/>
        <w:ind w:left="567" w:hanging="567"/>
        <w:outlineLvl w:val="0"/>
        <w:rPr>
          <w:b/>
          <w:bCs/>
          <w:lang w:val="hu-HU"/>
        </w:rPr>
      </w:pPr>
      <w:r>
        <w:rPr>
          <w:b/>
          <w:bCs/>
          <w:lang w:val="hu-HU"/>
        </w:rPr>
        <w:t>4.3</w:t>
      </w:r>
      <w:r>
        <w:rPr>
          <w:b/>
          <w:bCs/>
          <w:lang w:val="hu-HU"/>
        </w:rPr>
        <w:tab/>
        <w:t>Ellenjavallatok</w:t>
      </w:r>
    </w:p>
    <w:p w14:paraId="638CA2AD" w14:textId="77777777" w:rsidR="00C67376" w:rsidRDefault="00C67376">
      <w:pPr>
        <w:spacing w:line="240" w:lineRule="auto"/>
        <w:rPr>
          <w:lang w:val="hu-HU"/>
        </w:rPr>
      </w:pPr>
    </w:p>
    <w:p w14:paraId="2549BC43" w14:textId="77777777" w:rsidR="00C67376" w:rsidRDefault="0022703E">
      <w:pPr>
        <w:spacing w:line="240" w:lineRule="auto"/>
        <w:rPr>
          <w:lang w:val="hu-HU"/>
        </w:rPr>
      </w:pPr>
      <w:r>
        <w:rPr>
          <w:lang w:val="hu-HU"/>
        </w:rPr>
        <w:t>A készítmény hatóanyagával vagy a 6.1 pontban felsorolt bármely segédanyagával szembeni túlérzékenység.</w:t>
      </w:r>
    </w:p>
    <w:p w14:paraId="18C82205" w14:textId="77777777" w:rsidR="00C67376" w:rsidRDefault="00C67376">
      <w:pPr>
        <w:spacing w:line="240" w:lineRule="auto"/>
        <w:rPr>
          <w:lang w:val="hu-HU"/>
        </w:rPr>
      </w:pPr>
    </w:p>
    <w:p w14:paraId="50CDDED3" w14:textId="77777777" w:rsidR="00C67376" w:rsidRDefault="0022703E">
      <w:pPr>
        <w:spacing w:line="240" w:lineRule="auto"/>
        <w:ind w:left="567" w:hanging="567"/>
        <w:outlineLvl w:val="0"/>
        <w:rPr>
          <w:b/>
          <w:bCs/>
          <w:lang w:val="hu-HU"/>
        </w:rPr>
      </w:pPr>
      <w:r>
        <w:rPr>
          <w:b/>
          <w:bCs/>
          <w:lang w:val="hu-HU"/>
        </w:rPr>
        <w:t>4.4</w:t>
      </w:r>
      <w:r>
        <w:rPr>
          <w:b/>
          <w:bCs/>
          <w:lang w:val="hu-HU"/>
        </w:rPr>
        <w:tab/>
        <w:t>Különleges figyelmeztetések és az alkalmazással kapcsolatos óvintézkedések</w:t>
      </w:r>
    </w:p>
    <w:p w14:paraId="04EA29A9" w14:textId="77777777" w:rsidR="00C67376" w:rsidRDefault="00C67376">
      <w:pPr>
        <w:spacing w:line="240" w:lineRule="auto"/>
        <w:rPr>
          <w:lang w:val="hu-HU"/>
        </w:rPr>
      </w:pPr>
    </w:p>
    <w:p w14:paraId="264CE62D" w14:textId="77777777" w:rsidR="00C67376" w:rsidRDefault="0022703E">
      <w:pPr>
        <w:suppressAutoHyphens/>
        <w:spacing w:line="240" w:lineRule="auto"/>
        <w:rPr>
          <w:lang w:val="hu-HU" w:eastAsia="en-GB"/>
        </w:rPr>
      </w:pPr>
      <w:r>
        <w:rPr>
          <w:lang w:val="hu-HU"/>
        </w:rPr>
        <w:t xml:space="preserve">A Vizilatan az íriszben található barna pigment mennyiségének növelésével fokozatosan megváltoztathatja a szem színét. A kezelés előtt a beteget tájékoztatni kell az esetleg bekövetkező, maradandó szemszínváltozásról. Unilaterális alkalmazáskor permanens </w:t>
      </w:r>
      <w:r>
        <w:rPr>
          <w:lang w:val="hu-HU" w:eastAsia="en-GB"/>
        </w:rPr>
        <w:t>heterochromia jöhet létre.</w:t>
      </w:r>
    </w:p>
    <w:p w14:paraId="6F272583" w14:textId="77777777" w:rsidR="00C67376" w:rsidRDefault="00C67376">
      <w:pPr>
        <w:suppressAutoHyphens/>
        <w:spacing w:line="240" w:lineRule="auto"/>
        <w:rPr>
          <w:lang w:val="hu-HU" w:eastAsia="en-GB"/>
        </w:rPr>
      </w:pPr>
    </w:p>
    <w:p w14:paraId="4BD6F246" w14:textId="77777777" w:rsidR="00C67376" w:rsidRDefault="0022703E">
      <w:pPr>
        <w:suppressAutoHyphens/>
        <w:spacing w:line="240" w:lineRule="auto"/>
        <w:rPr>
          <w:lang w:val="hu-HU" w:eastAsia="en-GB"/>
        </w:rPr>
      </w:pPr>
      <w:r>
        <w:rPr>
          <w:lang w:val="hu-HU" w:eastAsia="en-GB"/>
        </w:rPr>
        <w:t>Ezt a szemszínváltozást főleg olyan betegeknél figyelték meg, akiknek az írisze kevert színű, pl. kékesbarna, szürkésbarna, sárgásbarna és zöldesbarna. A latanoproszttal végzett vizsgálatok szerint a változás általában a terápia első 8 hónapjában jelentkezik, ritkán előfordul a második vagy harmadik évben, de nem volt megfigyelhető a kezelés negyedik éve után. Az írisz pigmentációjának üteme az idővel csökken, és öt évig stabil marad. A fokozott pigmentáció öt éven túli hatásait nem vizsgálták. Egy 5 évig tartó, nyílt, a latanoproszt biztonságosságát elemző vizsgálatban a résztvevő betegek 33%</w:t>
      </w:r>
      <w:r>
        <w:rPr>
          <w:lang w:val="hu-HU" w:eastAsia="en-GB"/>
        </w:rPr>
        <w:noBreakHyphen/>
        <w:t>ánál következett be íriszpigmentáció (lásd 4.8 pont). Az írisz színváltozása az esetek többségénél kismértékű, és gyakran klinikailag nem is észlelhető. A kevert színösszetételű íriszű betegeknél a szemszínváltozás előfordulási gyakorisága 7</w:t>
      </w:r>
      <w:r>
        <w:rPr>
          <w:lang w:val="hu-HU" w:eastAsia="en-GB"/>
        </w:rPr>
        <w:noBreakHyphen/>
        <w:t>85% közötti, és leggyakrabban a sárgásbarna írisz esetében következik be. Homogén kékszemű betegeknél nem figyeltek meg ilyen változást, míg a szintén homogén szürke, zöld vagy barna szemszínű betegek esetében is csak ritkán fordult elő.</w:t>
      </w:r>
    </w:p>
    <w:p w14:paraId="10193FA0" w14:textId="77777777" w:rsidR="00C67376" w:rsidRDefault="00C67376">
      <w:pPr>
        <w:suppressAutoHyphens/>
        <w:spacing w:line="240" w:lineRule="auto"/>
        <w:rPr>
          <w:lang w:val="hu-HU" w:eastAsia="en-GB"/>
        </w:rPr>
      </w:pPr>
    </w:p>
    <w:p w14:paraId="33AA8896" w14:textId="4A2FDF75" w:rsidR="00C67376" w:rsidRDefault="0022703E">
      <w:pPr>
        <w:suppressAutoHyphens/>
        <w:spacing w:line="240" w:lineRule="auto"/>
        <w:rPr>
          <w:lang w:val="hu-HU" w:eastAsia="en-GB"/>
        </w:rPr>
      </w:pPr>
      <w:r>
        <w:rPr>
          <w:lang w:val="hu-HU" w:eastAsia="en-GB"/>
        </w:rPr>
        <w:t>Egy hosszú távú megfigyeléses gyermekgyógyászati vizsgálatban, amelyben a szem hiperpigmentáció</w:t>
      </w:r>
      <w:r w:rsidR="00F566E6">
        <w:rPr>
          <w:lang w:val="hu-HU" w:eastAsia="en-GB"/>
        </w:rPr>
        <w:t>s</w:t>
      </w:r>
      <w:r>
        <w:rPr>
          <w:lang w:val="hu-HU" w:eastAsia="en-GB"/>
        </w:rPr>
        <w:t xml:space="preserve"> változásait vizsgálták pediátriai glaucomában szenvedő betegeknél, az iris színének sötétedését és lokalizált iris-pigmentációt </w:t>
      </w:r>
      <w:r w:rsidR="00F566E6">
        <w:rPr>
          <w:lang w:val="hu-HU" w:eastAsia="en-GB"/>
        </w:rPr>
        <w:t xml:space="preserve">kissé gyakrabban </w:t>
      </w:r>
      <w:r>
        <w:rPr>
          <w:lang w:val="hu-HU" w:eastAsia="en-GB"/>
        </w:rPr>
        <w:t>figyeltek meg azoknál a betegeknél, akik latanoproszt-expozícióban részesültek, mint akik nem (lásd 5.1 pont).</w:t>
      </w:r>
    </w:p>
    <w:p w14:paraId="3046A375" w14:textId="77777777" w:rsidR="00C67376" w:rsidRDefault="00C67376">
      <w:pPr>
        <w:suppressAutoHyphens/>
        <w:spacing w:line="240" w:lineRule="auto"/>
        <w:rPr>
          <w:lang w:val="hu-HU" w:eastAsia="en-GB"/>
        </w:rPr>
      </w:pPr>
    </w:p>
    <w:p w14:paraId="20F9857D" w14:textId="77777777" w:rsidR="00C67376" w:rsidRDefault="0022703E">
      <w:pPr>
        <w:suppressAutoHyphens/>
        <w:spacing w:line="240" w:lineRule="auto"/>
        <w:rPr>
          <w:lang w:val="hu-HU" w:eastAsia="en-GB"/>
        </w:rPr>
      </w:pPr>
      <w:r>
        <w:rPr>
          <w:lang w:val="hu-HU" w:eastAsia="en-GB"/>
        </w:rPr>
        <w:t>A színváltozást az írisz stromájában található melanocyták megnövekedett melanintartalma, és nem a melanocyták számának emelkedése idézi elő. Az érintett szemben a pupilla körüli barna pigmentáció jellemzően koncentrikusan terjed a perifériák felé, de előfordulhat, hogy a barnás elszíneződés az egész íriszt vagy annak csak bizonyos részeit érinti. A kezelés leállítása után a továbbiakban nem nő az íriszben a barna pigmentek mennyisége. A színváltozás az eddig elvégzett klinikai vizsgálatok során nem volt összefüggésbe hozható semmilyen tünettel vagy patológiás változással.</w:t>
      </w:r>
    </w:p>
    <w:p w14:paraId="1F82D8EA" w14:textId="77777777" w:rsidR="00C67376" w:rsidRDefault="00C67376">
      <w:pPr>
        <w:suppressAutoHyphens/>
        <w:spacing w:line="240" w:lineRule="auto"/>
        <w:rPr>
          <w:lang w:val="hu-HU" w:eastAsia="en-GB"/>
        </w:rPr>
      </w:pPr>
    </w:p>
    <w:p w14:paraId="79C84DF0" w14:textId="77777777" w:rsidR="00C67376" w:rsidRDefault="0022703E">
      <w:pPr>
        <w:suppressAutoHyphens/>
        <w:spacing w:line="240" w:lineRule="auto"/>
        <w:rPr>
          <w:lang w:val="hu-HU" w:eastAsia="en-GB"/>
        </w:rPr>
      </w:pPr>
      <w:r>
        <w:rPr>
          <w:lang w:val="hu-HU" w:eastAsia="en-GB"/>
        </w:rPr>
        <w:t>A kezelés az íriszben található naevusokat, illetve szeplőket nem érintette. Klinikai vizsgálatokban nem figyeltek meg pigmentfelhalmozódást a trabecularis hálózatban vagy az elülső csarnok más részeiben. Ötéves klinikai tapasztalat alapján kijelenthető, hogy a fokozott íriszpigmentációnak nincsenek negatív klinikai következményei, és a l</w:t>
      </w:r>
      <w:r>
        <w:rPr>
          <w:lang w:val="hu-HU"/>
        </w:rPr>
        <w:t>atanoproszt-terápia az í</w:t>
      </w:r>
      <w:r>
        <w:rPr>
          <w:lang w:val="hu-HU" w:eastAsia="en-GB"/>
        </w:rPr>
        <w:t>riszpigmentáció megjelenése után is folytatható. A betegeket azonban rendszeresen monitorozni kell, és amennyiben ezt a klinikai állapot indokolja, a Vizilatan-</w:t>
      </w:r>
      <w:r>
        <w:rPr>
          <w:lang w:val="hu-HU"/>
        </w:rPr>
        <w:t>kezelés</w:t>
      </w:r>
      <w:r>
        <w:rPr>
          <w:lang w:val="hu-HU" w:eastAsia="en-GB"/>
        </w:rPr>
        <w:t xml:space="preserve"> leállítható.</w:t>
      </w:r>
    </w:p>
    <w:p w14:paraId="1462F497" w14:textId="77777777" w:rsidR="00C67376" w:rsidRDefault="00C67376">
      <w:pPr>
        <w:suppressAutoHyphens/>
        <w:spacing w:line="240" w:lineRule="auto"/>
        <w:rPr>
          <w:lang w:val="hu-HU" w:eastAsia="en-GB"/>
        </w:rPr>
      </w:pPr>
    </w:p>
    <w:p w14:paraId="334DF6D5" w14:textId="77777777" w:rsidR="00C67376" w:rsidRDefault="0022703E">
      <w:pPr>
        <w:suppressAutoHyphens/>
        <w:spacing w:line="240" w:lineRule="auto"/>
        <w:rPr>
          <w:lang w:val="hu-HU"/>
        </w:rPr>
      </w:pPr>
      <w:r>
        <w:rPr>
          <w:lang w:val="hu-HU" w:eastAsia="en-GB"/>
        </w:rPr>
        <w:t xml:space="preserve">A </w:t>
      </w:r>
      <w:r>
        <w:rPr>
          <w:lang w:val="hu-HU"/>
        </w:rPr>
        <w:t>latanoproszt alkalmazásával kapcsolatban csupán korlátozott tapasztalat áll rendelkezésre krónikus zártzugú glaucomában</w:t>
      </w:r>
      <w:r>
        <w:rPr>
          <w:lang w:val="hu-HU" w:eastAsia="en-GB"/>
        </w:rPr>
        <w:t>, pseudophakiás betegek nyitott zugú glaucomájában, illetve pigmentációs glaucomában. Nem állnak rendelkezésre tapasztalatok a Vizilatan</w:t>
      </w:r>
      <w:r>
        <w:rPr>
          <w:lang w:val="hu-HU"/>
        </w:rPr>
        <w:t xml:space="preserve"> </w:t>
      </w:r>
      <w:r>
        <w:rPr>
          <w:lang w:val="hu-HU" w:eastAsia="en-GB"/>
        </w:rPr>
        <w:t xml:space="preserve">alkalmazására vonatkozóan gyulladással járó, illetve neovascularis glaucomában, vagy a szem gyulladásos megbetegedéseiben. A </w:t>
      </w:r>
      <w:r>
        <w:rPr>
          <w:lang w:val="hu-HU"/>
        </w:rPr>
        <w:t xml:space="preserve">Vizilatan </w:t>
      </w:r>
      <w:r>
        <w:rPr>
          <w:lang w:val="hu-HU" w:eastAsia="en-GB"/>
        </w:rPr>
        <w:t xml:space="preserve">nem, vagy csak kismértékben hat a pupillára, zártzugú glaucoma akut rohamaira vonatkozó tapasztalatok azonban nem állnak rendelkezésre. Ennek megfelelően további tapasztalatok megszerzéséig a </w:t>
      </w:r>
      <w:r>
        <w:rPr>
          <w:lang w:val="hu-HU"/>
        </w:rPr>
        <w:t>Vizilatan ezekben az állapotokban csak kellő óvatossággal alkalmazható.</w:t>
      </w:r>
    </w:p>
    <w:p w14:paraId="51032923" w14:textId="77777777" w:rsidR="00C67376" w:rsidRDefault="00C67376">
      <w:pPr>
        <w:suppressAutoHyphens/>
        <w:spacing w:line="240" w:lineRule="auto"/>
        <w:rPr>
          <w:lang w:val="hu-HU" w:eastAsia="en-GB"/>
        </w:rPr>
      </w:pPr>
    </w:p>
    <w:p w14:paraId="014E02CE" w14:textId="77777777" w:rsidR="00C67376" w:rsidRDefault="0022703E">
      <w:pPr>
        <w:suppressAutoHyphens/>
        <w:spacing w:line="240" w:lineRule="auto"/>
        <w:rPr>
          <w:lang w:val="hu-HU" w:eastAsia="en-GB"/>
        </w:rPr>
      </w:pPr>
      <w:r>
        <w:rPr>
          <w:lang w:val="hu-HU"/>
        </w:rPr>
        <w:t>C</w:t>
      </w:r>
      <w:r>
        <w:rPr>
          <w:lang w:val="hu-HU" w:eastAsia="en-GB"/>
        </w:rPr>
        <w:t xml:space="preserve">ataracta-műtétek perioperatív periódusában a </w:t>
      </w:r>
      <w:r>
        <w:rPr>
          <w:lang w:val="hu-HU"/>
        </w:rPr>
        <w:t>Vizilatan alkalmazásáról csupán korlátozott mennyiségű klinikai adat áll rendelkezésre. A Vizilatan ezeknél a betegeknél csak megfelelő elővigyázatossággal alkalmazható.</w:t>
      </w:r>
    </w:p>
    <w:p w14:paraId="28CE3935" w14:textId="77777777" w:rsidR="00C67376" w:rsidRDefault="00C67376">
      <w:pPr>
        <w:suppressAutoHyphens/>
        <w:spacing w:line="240" w:lineRule="auto"/>
        <w:rPr>
          <w:lang w:val="hu-HU" w:eastAsia="en-GB"/>
        </w:rPr>
      </w:pPr>
    </w:p>
    <w:p w14:paraId="0A756BB8" w14:textId="77777777" w:rsidR="00C67376" w:rsidRDefault="0022703E">
      <w:pPr>
        <w:suppressAutoHyphens/>
        <w:spacing w:line="240" w:lineRule="auto"/>
        <w:ind w:right="-111"/>
        <w:rPr>
          <w:lang w:val="hu-HU"/>
        </w:rPr>
      </w:pPr>
      <w:r>
        <w:rPr>
          <w:lang w:val="hu-HU"/>
        </w:rPr>
        <w:t>A Vizilatant kellő körültekintéssel kell alkalmazni azoknál a betegeknél, akiknek az anamnézisében keratitis herpetica szerepel, illetve alkalmazása kerülendő aktív herpes simplex keratitis esetén, továbbá azoknál a betegeknél, akiknek az anamnézisében recurrens keratitis herpetica szerepel, különösen, ha az prosztaglandin-analógok alkalmazása mellett jelentkezett.</w:t>
      </w:r>
    </w:p>
    <w:p w14:paraId="55B21911" w14:textId="77777777" w:rsidR="00C67376" w:rsidRDefault="0022703E">
      <w:pPr>
        <w:suppressAutoHyphens/>
        <w:spacing w:line="240" w:lineRule="auto"/>
        <w:rPr>
          <w:lang w:val="hu-HU" w:eastAsia="en-GB"/>
        </w:rPr>
      </w:pPr>
      <w:r>
        <w:rPr>
          <w:lang w:val="hu-HU" w:eastAsia="en-GB"/>
        </w:rPr>
        <w:t xml:space="preserve">Macula oedema előfordulásáról (lásd 4.8 pont) főként aphakiás, illetve szakadt a hátsó lencsekapszulás vagy sérült elülső csarnok lencserészű pseudophakiás betegeknél, valamint fokozott kockázatú cystoid macula oedema (pl. diabeteses retinopathia és retinalis véna-elzáródás) esetén számoltak be. A </w:t>
      </w:r>
      <w:r>
        <w:rPr>
          <w:lang w:val="hu-HU"/>
        </w:rPr>
        <w:t xml:space="preserve">Vizilatan csak kellő körültekintéssel alkalmazható </w:t>
      </w:r>
      <w:r>
        <w:rPr>
          <w:lang w:val="hu-HU" w:eastAsia="en-GB"/>
        </w:rPr>
        <w:t>aphakiás betegeknél, szakadt hátsó lencsekapszulás vagy sérült elülső csarnok lencserészű pseudophakiás betegeknél, illetve cystoid macula oedema fokozott kockázata esetén.</w:t>
      </w:r>
    </w:p>
    <w:p w14:paraId="2C78919B" w14:textId="77777777" w:rsidR="00C67376" w:rsidRDefault="00C67376">
      <w:pPr>
        <w:suppressAutoHyphens/>
        <w:spacing w:line="240" w:lineRule="auto"/>
        <w:rPr>
          <w:lang w:val="hu-HU" w:eastAsia="en-GB"/>
        </w:rPr>
      </w:pPr>
    </w:p>
    <w:p w14:paraId="2876C32C" w14:textId="77777777" w:rsidR="00C67376" w:rsidRDefault="0022703E">
      <w:pPr>
        <w:suppressAutoHyphens/>
        <w:spacing w:line="240" w:lineRule="auto"/>
        <w:rPr>
          <w:lang w:val="hu-HU" w:eastAsia="en-GB"/>
        </w:rPr>
      </w:pPr>
      <w:r>
        <w:rPr>
          <w:lang w:val="hu-HU" w:eastAsia="en-GB"/>
        </w:rPr>
        <w:t xml:space="preserve">Iritisre/uveitisre való hajlamosító kockázati tényezők esetén a </w:t>
      </w:r>
      <w:r>
        <w:rPr>
          <w:lang w:val="hu-HU"/>
        </w:rPr>
        <w:t>Vizilatan</w:t>
      </w:r>
      <w:r>
        <w:rPr>
          <w:i/>
          <w:lang w:val="hu-HU"/>
        </w:rPr>
        <w:t xml:space="preserve"> </w:t>
      </w:r>
      <w:r>
        <w:rPr>
          <w:lang w:val="hu-HU"/>
        </w:rPr>
        <w:t>alkalmazása elővigyázatosságot igényel</w:t>
      </w:r>
      <w:r>
        <w:rPr>
          <w:lang w:val="hu-HU" w:eastAsia="en-GB"/>
        </w:rPr>
        <w:t>.</w:t>
      </w:r>
    </w:p>
    <w:p w14:paraId="6F2A3CFB" w14:textId="77777777" w:rsidR="00C67376" w:rsidRDefault="00C67376">
      <w:pPr>
        <w:suppressAutoHyphens/>
        <w:spacing w:line="240" w:lineRule="auto"/>
        <w:rPr>
          <w:lang w:val="hu-HU" w:eastAsia="en-GB"/>
        </w:rPr>
      </w:pPr>
    </w:p>
    <w:p w14:paraId="42726CC2" w14:textId="77777777" w:rsidR="00C67376" w:rsidRDefault="0022703E">
      <w:pPr>
        <w:suppressAutoHyphens/>
        <w:spacing w:line="240" w:lineRule="auto"/>
        <w:rPr>
          <w:lang w:val="hu-HU" w:eastAsia="en-GB"/>
        </w:rPr>
      </w:pPr>
      <w:r>
        <w:rPr>
          <w:lang w:val="hu-HU" w:eastAsia="en-GB"/>
        </w:rPr>
        <w:t>Asthmás betegekkel kapcsolatosan csupán korlátozott a tapasztalat, de a forgalomba hozatalt követően néhány esetben az asztma és/vagy a dyspnoe súlyosbodásáról számoltak be. Amíg nem állnak rendelkezésre megfelelő tapasztalatok, addig asztmás betegeket csak kellő óvatossággal szabad kezelni (lásd még 4.8 pont).</w:t>
      </w:r>
    </w:p>
    <w:p w14:paraId="3AC326D1" w14:textId="77777777" w:rsidR="00C67376" w:rsidRDefault="00C67376">
      <w:pPr>
        <w:suppressAutoHyphens/>
        <w:spacing w:line="240" w:lineRule="auto"/>
        <w:rPr>
          <w:lang w:val="hu-HU" w:eastAsia="en-GB"/>
        </w:rPr>
      </w:pPr>
    </w:p>
    <w:p w14:paraId="6BB4FFAF" w14:textId="77777777" w:rsidR="00C67376" w:rsidRDefault="0022703E">
      <w:pPr>
        <w:suppressAutoHyphens/>
        <w:spacing w:line="240" w:lineRule="auto"/>
        <w:rPr>
          <w:lang w:val="hu-HU" w:eastAsia="en-GB"/>
        </w:rPr>
      </w:pPr>
      <w:r>
        <w:rPr>
          <w:lang w:val="hu-HU" w:eastAsia="en-GB"/>
        </w:rPr>
        <w:t xml:space="preserve">A periorbitális bőrterület elszíneződését túlnyomórészt japán betegeknél figyelték meg. Az eddig szerzett tapasztalatok szerint a bőr periorbitalis területének elszíneződése nem maradandó, és néhány esetben a </w:t>
      </w:r>
      <w:r>
        <w:rPr>
          <w:lang w:val="hu-HU"/>
        </w:rPr>
        <w:t xml:space="preserve">latanoproszt kezelés folytatása mellett is megszűnik. </w:t>
      </w:r>
    </w:p>
    <w:p w14:paraId="19C1BBA9" w14:textId="77777777" w:rsidR="00C67376" w:rsidRDefault="00C67376">
      <w:pPr>
        <w:suppressAutoHyphens/>
        <w:spacing w:line="240" w:lineRule="auto"/>
        <w:rPr>
          <w:lang w:val="hu-HU" w:eastAsia="en-GB"/>
        </w:rPr>
      </w:pPr>
    </w:p>
    <w:p w14:paraId="38490934" w14:textId="77777777" w:rsidR="00C67376" w:rsidRDefault="0022703E">
      <w:pPr>
        <w:suppressAutoHyphens/>
        <w:spacing w:line="240" w:lineRule="auto"/>
        <w:rPr>
          <w:lang w:val="hu-HU" w:eastAsia="en-GB"/>
        </w:rPr>
      </w:pPr>
      <w:r>
        <w:rPr>
          <w:lang w:val="hu-HU" w:eastAsia="en-GB"/>
        </w:rPr>
        <w:t>A Vizilatan a kezelt szem és szemkörnyéki területeken a szempillák illetve piheszőrök fokozatos változását idézheti elő, melybe beletartozhat a hosszabb, vastagabb, erőteljesebben pigmentált és nagyobb számban növő szempillák vagy piheszőrök megjelenése, továbbá a szempillák rendellenes irányú növekedése. A szempillákat érintő változások reverzíbilisek a kezelés leállítása után.</w:t>
      </w:r>
    </w:p>
    <w:p w14:paraId="64F2DC51" w14:textId="77777777" w:rsidR="00C67376" w:rsidRDefault="00C67376">
      <w:pPr>
        <w:suppressAutoHyphens/>
        <w:spacing w:line="240" w:lineRule="auto"/>
        <w:rPr>
          <w:lang w:val="hu-HU"/>
        </w:rPr>
      </w:pPr>
    </w:p>
    <w:p w14:paraId="53FAF3C1" w14:textId="77777777" w:rsidR="00C67376" w:rsidRDefault="0022703E">
      <w:pPr>
        <w:spacing w:line="240" w:lineRule="auto"/>
        <w:rPr>
          <w:u w:val="single"/>
          <w:lang w:val="hu-HU"/>
        </w:rPr>
      </w:pPr>
      <w:r>
        <w:rPr>
          <w:u w:val="single"/>
          <w:lang w:val="hu-HU"/>
        </w:rPr>
        <w:t>Gyermekek és serdülők</w:t>
      </w:r>
    </w:p>
    <w:p w14:paraId="5D661545" w14:textId="299C572F" w:rsidR="00C67376" w:rsidRDefault="0022703E">
      <w:pPr>
        <w:suppressAutoHyphens/>
        <w:spacing w:line="240" w:lineRule="auto"/>
        <w:rPr>
          <w:lang w:val="hu-HU" w:eastAsia="ar-SA"/>
        </w:rPr>
      </w:pPr>
      <w:r>
        <w:rPr>
          <w:lang w:val="hu-HU" w:eastAsia="ar-SA"/>
        </w:rPr>
        <w:t xml:space="preserve">Az 1 évesnél fiatalabb korcsoportra vonatkozó hatásossági és biztonságossági adatok igen korlátozottak (lásd 5.1 pont). Koraszülött csecsemőkre (36 hetes gesztációs kor alatt) vonatkozó adatok nem állnak rendelkezésre. </w:t>
      </w:r>
    </w:p>
    <w:p w14:paraId="304ACFF5" w14:textId="77777777" w:rsidR="00C67376" w:rsidRDefault="0022703E">
      <w:pPr>
        <w:suppressAutoHyphens/>
        <w:spacing w:line="240" w:lineRule="auto"/>
        <w:rPr>
          <w:lang w:val="hu-HU" w:eastAsia="ar-SA"/>
        </w:rPr>
      </w:pPr>
      <w:r>
        <w:rPr>
          <w:lang w:val="hu-HU" w:eastAsia="ar-SA"/>
        </w:rPr>
        <w:t>0</w:t>
      </w:r>
      <w:r>
        <w:rPr>
          <w:lang w:val="hu-HU" w:eastAsia="ar-SA"/>
        </w:rPr>
        <w:noBreakHyphen/>
        <w:t>3 éves gyermekeknél, akik főleg PCG</w:t>
      </w:r>
      <w:r>
        <w:rPr>
          <w:lang w:val="hu-HU" w:eastAsia="ar-SA"/>
        </w:rPr>
        <w:noBreakHyphen/>
        <w:t>ben (primer congenitalis glaucoma) szenvednek, a műtét (pl. trabeculotomia/goniotomia) marad az elsővonalbeli kezelés.</w:t>
      </w:r>
    </w:p>
    <w:p w14:paraId="6E7CE2DF" w14:textId="77777777" w:rsidR="00C67376" w:rsidRDefault="00C67376">
      <w:pPr>
        <w:spacing w:line="240" w:lineRule="auto"/>
        <w:rPr>
          <w:lang w:val="hu-HU"/>
        </w:rPr>
      </w:pPr>
    </w:p>
    <w:p w14:paraId="48186FDC" w14:textId="77777777" w:rsidR="00C67376" w:rsidRDefault="0022703E">
      <w:pPr>
        <w:spacing w:line="240" w:lineRule="auto"/>
        <w:rPr>
          <w:u w:val="single"/>
          <w:lang w:val="hu-HU"/>
        </w:rPr>
      </w:pPr>
      <w:r>
        <w:rPr>
          <w:u w:val="single"/>
          <w:lang w:val="hu-HU"/>
        </w:rPr>
        <w:t>Segédanyagok</w:t>
      </w:r>
    </w:p>
    <w:p w14:paraId="6C8825A8" w14:textId="77777777" w:rsidR="00C67376" w:rsidRDefault="0022703E">
      <w:pPr>
        <w:spacing w:line="240" w:lineRule="auto"/>
        <w:rPr>
          <w:lang w:val="hu-HU"/>
        </w:rPr>
      </w:pPr>
      <w:r>
        <w:rPr>
          <w:lang w:val="hu-HU"/>
        </w:rPr>
        <w:t>A Vizilatan makrogol-glicerin-hidroxisztearátot tartalmaz, ami bőrreakciókat okozhat.</w:t>
      </w:r>
    </w:p>
    <w:p w14:paraId="3E199CF6" w14:textId="77777777" w:rsidR="00C67376" w:rsidRDefault="0022703E">
      <w:pPr>
        <w:spacing w:line="240" w:lineRule="auto"/>
        <w:rPr>
          <w:lang w:val="hu-HU"/>
        </w:rPr>
      </w:pPr>
      <w:r>
        <w:rPr>
          <w:lang w:val="hu-HU"/>
        </w:rPr>
        <w:t xml:space="preserve">Ez a gyógyszer 0,19 mg foszfátot tartalmaz cseppenként, ami 6,79 mg/ml-nek felel meg. </w:t>
      </w:r>
    </w:p>
    <w:p w14:paraId="77A757D0" w14:textId="77777777" w:rsidR="00C67376" w:rsidRDefault="00C67376">
      <w:pPr>
        <w:spacing w:line="240" w:lineRule="auto"/>
        <w:rPr>
          <w:lang w:val="hu-HU"/>
        </w:rPr>
      </w:pPr>
    </w:p>
    <w:p w14:paraId="69E0CD95" w14:textId="77777777" w:rsidR="00C67376" w:rsidRDefault="0022703E">
      <w:pPr>
        <w:spacing w:line="240" w:lineRule="auto"/>
        <w:ind w:left="567" w:hanging="567"/>
        <w:outlineLvl w:val="0"/>
        <w:rPr>
          <w:b/>
          <w:bCs/>
          <w:lang w:val="hu-HU"/>
        </w:rPr>
      </w:pPr>
      <w:r>
        <w:rPr>
          <w:b/>
          <w:bCs/>
          <w:lang w:val="hu-HU"/>
        </w:rPr>
        <w:t>4.5</w:t>
      </w:r>
      <w:r>
        <w:rPr>
          <w:b/>
          <w:bCs/>
          <w:lang w:val="hu-HU"/>
        </w:rPr>
        <w:tab/>
        <w:t>Gyógyszerkölcsönhatások és egyéb interakciók</w:t>
      </w:r>
    </w:p>
    <w:p w14:paraId="703BB341" w14:textId="77777777" w:rsidR="00C67376" w:rsidRDefault="00C67376">
      <w:pPr>
        <w:spacing w:line="240" w:lineRule="auto"/>
        <w:rPr>
          <w:lang w:val="hu-HU"/>
        </w:rPr>
      </w:pPr>
    </w:p>
    <w:p w14:paraId="3D58B48F" w14:textId="77777777" w:rsidR="00C67376" w:rsidRDefault="0022703E">
      <w:pPr>
        <w:rPr>
          <w:lang w:val="hu-HU" w:eastAsia="en-GB"/>
        </w:rPr>
      </w:pPr>
      <w:r>
        <w:rPr>
          <w:lang w:val="hu-HU" w:eastAsia="en-GB"/>
        </w:rPr>
        <w:t>Egyértelmű gyógyszerkölcsönhatásokra vonatkozó adatok nem állnak rendelkezésre.</w:t>
      </w:r>
    </w:p>
    <w:p w14:paraId="0F1393D1" w14:textId="77777777" w:rsidR="00C67376" w:rsidRDefault="00C67376">
      <w:pPr>
        <w:suppressAutoHyphens/>
        <w:spacing w:line="240" w:lineRule="auto"/>
        <w:rPr>
          <w:lang w:val="hu-HU" w:eastAsia="en-GB"/>
        </w:rPr>
      </w:pPr>
    </w:p>
    <w:p w14:paraId="7D1A5F6F" w14:textId="77777777" w:rsidR="00C67376" w:rsidRDefault="0022703E">
      <w:pPr>
        <w:suppressAutoHyphens/>
        <w:spacing w:line="240" w:lineRule="auto"/>
        <w:rPr>
          <w:lang w:val="hu-HU" w:eastAsia="en-GB"/>
        </w:rPr>
      </w:pPr>
      <w:r>
        <w:rPr>
          <w:lang w:val="hu-HU" w:eastAsia="en-GB"/>
        </w:rPr>
        <w:lastRenderedPageBreak/>
        <w:t>A szembelnyomás paradox fokozódásáról számoltak be két prosztaglandin-analóg egyidejű szemészeti alkalmazását követően. Ezért két vagy több prosztaglandin tartalmú készítmény, prosztaglandin-analóg vagy prosztaglandin származék egyidejű alkalmazása nem javasolt.</w:t>
      </w:r>
    </w:p>
    <w:p w14:paraId="77CC3376" w14:textId="77777777" w:rsidR="00C67376" w:rsidRDefault="00C67376">
      <w:pPr>
        <w:suppressAutoHyphens/>
        <w:spacing w:line="240" w:lineRule="auto"/>
        <w:rPr>
          <w:lang w:val="hu-HU"/>
        </w:rPr>
      </w:pPr>
    </w:p>
    <w:p w14:paraId="6FDF25BC" w14:textId="77777777" w:rsidR="00C67376" w:rsidRDefault="0022703E">
      <w:pPr>
        <w:rPr>
          <w:u w:val="single"/>
          <w:lang w:val="hu-HU" w:eastAsia="ar-SA"/>
        </w:rPr>
      </w:pPr>
      <w:r>
        <w:rPr>
          <w:u w:val="single"/>
          <w:lang w:val="hu-HU" w:eastAsia="ar-SA"/>
        </w:rPr>
        <w:t>Gyermekek és serdülők</w:t>
      </w:r>
    </w:p>
    <w:p w14:paraId="5EB77E7A" w14:textId="77777777" w:rsidR="00C67376" w:rsidRDefault="00C67376">
      <w:pPr>
        <w:suppressAutoHyphens/>
        <w:spacing w:line="240" w:lineRule="auto"/>
        <w:rPr>
          <w:i/>
          <w:lang w:val="hu-HU" w:eastAsia="ar-SA"/>
        </w:rPr>
      </w:pPr>
    </w:p>
    <w:p w14:paraId="407BFECA" w14:textId="77777777" w:rsidR="00C67376" w:rsidRDefault="0022703E">
      <w:pPr>
        <w:suppressAutoHyphens/>
        <w:spacing w:line="240" w:lineRule="auto"/>
        <w:rPr>
          <w:lang w:val="hu-HU" w:eastAsia="ar-SA"/>
        </w:rPr>
      </w:pPr>
      <w:r>
        <w:rPr>
          <w:lang w:val="hu-HU" w:eastAsia="ar-SA"/>
        </w:rPr>
        <w:t>Interakciós vizsgálatokat csak felnőttek körében végeztek.</w:t>
      </w:r>
    </w:p>
    <w:p w14:paraId="6FEA5782" w14:textId="77777777" w:rsidR="00C67376" w:rsidRDefault="00C67376">
      <w:pPr>
        <w:spacing w:line="240" w:lineRule="auto"/>
        <w:rPr>
          <w:lang w:val="hu-HU"/>
        </w:rPr>
      </w:pPr>
    </w:p>
    <w:p w14:paraId="0C2C050D" w14:textId="77777777" w:rsidR="00C67376" w:rsidRDefault="0022703E">
      <w:pPr>
        <w:spacing w:line="240" w:lineRule="auto"/>
        <w:ind w:left="567" w:hanging="567"/>
        <w:outlineLvl w:val="0"/>
        <w:rPr>
          <w:b/>
          <w:bCs/>
          <w:lang w:val="hu-HU"/>
        </w:rPr>
      </w:pPr>
      <w:r>
        <w:rPr>
          <w:b/>
          <w:bCs/>
          <w:lang w:val="hu-HU"/>
        </w:rPr>
        <w:t>4.6</w:t>
      </w:r>
      <w:r>
        <w:rPr>
          <w:b/>
          <w:bCs/>
          <w:lang w:val="hu-HU"/>
        </w:rPr>
        <w:tab/>
        <w:t>Termékenység, terhesség és szoptatás</w:t>
      </w:r>
    </w:p>
    <w:p w14:paraId="0FCA69B7" w14:textId="77777777" w:rsidR="00C67376" w:rsidRDefault="00C67376">
      <w:pPr>
        <w:spacing w:line="240" w:lineRule="auto"/>
        <w:rPr>
          <w:lang w:val="hu-HU"/>
        </w:rPr>
      </w:pPr>
    </w:p>
    <w:p w14:paraId="6346487A" w14:textId="77777777" w:rsidR="00C67376" w:rsidRDefault="0022703E">
      <w:pPr>
        <w:spacing w:line="240" w:lineRule="auto"/>
        <w:rPr>
          <w:u w:val="single"/>
          <w:lang w:val="hu-HU"/>
        </w:rPr>
      </w:pPr>
      <w:r>
        <w:rPr>
          <w:u w:val="single"/>
          <w:lang w:val="hu-HU"/>
        </w:rPr>
        <w:t>Terhesség</w:t>
      </w:r>
    </w:p>
    <w:p w14:paraId="1A57569A" w14:textId="77777777" w:rsidR="00C67376" w:rsidRDefault="0022703E">
      <w:pPr>
        <w:suppressAutoHyphens/>
        <w:spacing w:line="240" w:lineRule="auto"/>
        <w:rPr>
          <w:lang w:val="hu-HU" w:eastAsia="en-GB"/>
        </w:rPr>
      </w:pPr>
      <w:r>
        <w:rPr>
          <w:lang w:val="hu-HU" w:eastAsia="en-GB"/>
        </w:rPr>
        <w:t xml:space="preserve">A latanoproszt biztonságosságát humán terhességben nem igazolták. Potenciálisan ártalmas farmakológiai hatást gyakorolhat a terhesség lefolyására, a magzatra és az újszülöttre, ezért a </w:t>
      </w:r>
      <w:r>
        <w:rPr>
          <w:lang w:val="hu-HU"/>
        </w:rPr>
        <w:t xml:space="preserve">Vizilatan </w:t>
      </w:r>
      <w:r>
        <w:rPr>
          <w:lang w:val="hu-HU" w:eastAsia="en-GB"/>
        </w:rPr>
        <w:t>terhesség alatt nem alkalmazható.</w:t>
      </w:r>
    </w:p>
    <w:p w14:paraId="23A2031A" w14:textId="77777777" w:rsidR="00C67376" w:rsidRDefault="00C67376">
      <w:pPr>
        <w:spacing w:line="240" w:lineRule="auto"/>
        <w:rPr>
          <w:u w:val="single"/>
          <w:lang w:val="hu-HU"/>
        </w:rPr>
      </w:pPr>
    </w:p>
    <w:p w14:paraId="195DB5EB" w14:textId="77777777" w:rsidR="00C67376" w:rsidRDefault="0022703E">
      <w:pPr>
        <w:spacing w:line="240" w:lineRule="auto"/>
        <w:rPr>
          <w:u w:val="single"/>
          <w:lang w:val="hu-HU"/>
        </w:rPr>
      </w:pPr>
      <w:r>
        <w:rPr>
          <w:u w:val="single"/>
          <w:lang w:val="hu-HU"/>
        </w:rPr>
        <w:t>Szoptatás</w:t>
      </w:r>
    </w:p>
    <w:p w14:paraId="3B18B810" w14:textId="77777777" w:rsidR="00C67376" w:rsidRDefault="0022703E">
      <w:pPr>
        <w:suppressAutoHyphens/>
        <w:spacing w:line="240" w:lineRule="auto"/>
        <w:rPr>
          <w:lang w:val="hu-HU" w:eastAsia="en-GB"/>
        </w:rPr>
      </w:pPr>
      <w:r>
        <w:rPr>
          <w:lang w:val="hu-HU" w:eastAsia="en-GB"/>
        </w:rPr>
        <w:t xml:space="preserve">A latanoproszt és metabolitjai kiválasztódhatnak az anyatejbe, ezért a </w:t>
      </w:r>
      <w:r>
        <w:rPr>
          <w:lang w:val="hu-HU"/>
        </w:rPr>
        <w:t>Vizilatan szoptatás alatt nem alkalmazható, vagy a készítmény alkalmazásának idejére fel kell függeszteni a szoptatást.</w:t>
      </w:r>
    </w:p>
    <w:p w14:paraId="3E5A006D" w14:textId="77777777" w:rsidR="00C67376" w:rsidRDefault="00C67376">
      <w:pPr>
        <w:spacing w:line="240" w:lineRule="auto"/>
        <w:rPr>
          <w:u w:val="single"/>
          <w:lang w:val="hu-HU"/>
        </w:rPr>
      </w:pPr>
    </w:p>
    <w:p w14:paraId="1DCF1B6F" w14:textId="77777777" w:rsidR="00C67376" w:rsidRDefault="0022703E">
      <w:pPr>
        <w:spacing w:line="240" w:lineRule="auto"/>
        <w:rPr>
          <w:u w:val="single"/>
          <w:lang w:val="hu-HU"/>
        </w:rPr>
      </w:pPr>
      <w:r>
        <w:rPr>
          <w:u w:val="single"/>
          <w:lang w:val="hu-HU"/>
        </w:rPr>
        <w:t>Termékenység</w:t>
      </w:r>
    </w:p>
    <w:p w14:paraId="2D5C2FE4" w14:textId="77777777" w:rsidR="00C67376" w:rsidRDefault="0022703E">
      <w:pPr>
        <w:tabs>
          <w:tab w:val="clear" w:pos="567"/>
          <w:tab w:val="left" w:pos="708"/>
        </w:tabs>
        <w:suppressAutoHyphens/>
        <w:spacing w:line="240" w:lineRule="auto"/>
        <w:ind w:right="-2"/>
        <w:outlineLvl w:val="0"/>
        <w:rPr>
          <w:lang w:val="hu-HU"/>
        </w:rPr>
      </w:pPr>
      <w:r>
        <w:rPr>
          <w:lang w:val="hu-HU"/>
        </w:rPr>
        <w:t>Állatkísérletekben nem észlelték a latanoproszt hímek vagy a nőstények termékenységére gyakorolt bármilyen hatását (lásd 5.3 pont).</w:t>
      </w:r>
    </w:p>
    <w:p w14:paraId="44A60B01" w14:textId="77777777" w:rsidR="00C67376" w:rsidRDefault="00C67376">
      <w:pPr>
        <w:spacing w:line="240" w:lineRule="auto"/>
        <w:rPr>
          <w:lang w:val="hu-HU"/>
        </w:rPr>
      </w:pPr>
    </w:p>
    <w:p w14:paraId="310102A6" w14:textId="77777777" w:rsidR="00C67376" w:rsidRDefault="0022703E">
      <w:pPr>
        <w:spacing w:line="240" w:lineRule="auto"/>
        <w:ind w:left="567" w:hanging="567"/>
        <w:outlineLvl w:val="0"/>
        <w:rPr>
          <w:b/>
          <w:bCs/>
          <w:lang w:val="hu-HU"/>
        </w:rPr>
      </w:pPr>
      <w:r>
        <w:rPr>
          <w:b/>
          <w:bCs/>
          <w:lang w:val="hu-HU"/>
        </w:rPr>
        <w:t>4.7</w:t>
      </w:r>
      <w:r>
        <w:rPr>
          <w:b/>
          <w:bCs/>
          <w:lang w:val="hu-HU"/>
        </w:rPr>
        <w:tab/>
        <w:t>A készítmény hatásai a gépjárművezetéshez és a gépek kezeléséhez szükséges képességekre</w:t>
      </w:r>
    </w:p>
    <w:p w14:paraId="0ECF799E" w14:textId="77777777" w:rsidR="00C67376" w:rsidRDefault="00C67376">
      <w:pPr>
        <w:spacing w:line="240" w:lineRule="auto"/>
        <w:ind w:left="567" w:hanging="567"/>
        <w:outlineLvl w:val="0"/>
        <w:rPr>
          <w:b/>
          <w:bCs/>
          <w:lang w:val="hu-HU"/>
        </w:rPr>
      </w:pPr>
    </w:p>
    <w:p w14:paraId="487957AC" w14:textId="77777777" w:rsidR="00C67376" w:rsidRDefault="0022703E">
      <w:pPr>
        <w:suppressAutoHyphens/>
        <w:spacing w:line="240" w:lineRule="auto"/>
        <w:rPr>
          <w:lang w:val="hu-HU" w:eastAsia="en-GB"/>
        </w:rPr>
      </w:pPr>
      <w:r>
        <w:rPr>
          <w:lang w:val="hu-HU" w:eastAsia="en-GB"/>
        </w:rPr>
        <w:t>A Vizilatan kismértékben befolyásolja a gépjárművezetéshez és a gépek kezeléséhez szükséges képességeket. Egyéb szemészeti készítményekhez hasonlóan becseppentéskor a szemcsepp átmeneti homályos látást okozhat. Amíg ez meg nem szűnik, a beteg ne vezessen gépjárművet, és ne kezeljen gépeket.</w:t>
      </w:r>
    </w:p>
    <w:p w14:paraId="722540F1" w14:textId="77777777" w:rsidR="00C67376" w:rsidRDefault="00C67376">
      <w:pPr>
        <w:spacing w:line="240" w:lineRule="auto"/>
        <w:rPr>
          <w:lang w:val="hu-HU"/>
        </w:rPr>
      </w:pPr>
    </w:p>
    <w:p w14:paraId="1A394721" w14:textId="77777777" w:rsidR="00C67376" w:rsidRDefault="0022703E">
      <w:pPr>
        <w:spacing w:line="240" w:lineRule="auto"/>
        <w:ind w:left="567" w:hanging="567"/>
        <w:outlineLvl w:val="0"/>
        <w:rPr>
          <w:b/>
          <w:bCs/>
          <w:lang w:val="hu-HU"/>
        </w:rPr>
      </w:pPr>
      <w:r>
        <w:rPr>
          <w:b/>
          <w:bCs/>
          <w:lang w:val="hu-HU"/>
        </w:rPr>
        <w:t>4.8</w:t>
      </w:r>
      <w:r>
        <w:rPr>
          <w:b/>
          <w:bCs/>
          <w:lang w:val="hu-HU"/>
        </w:rPr>
        <w:tab/>
        <w:t>Nemkívánatos hatások, mellékhatások</w:t>
      </w:r>
    </w:p>
    <w:p w14:paraId="226A6DEB" w14:textId="77777777" w:rsidR="00C67376" w:rsidRDefault="00C67376">
      <w:pPr>
        <w:spacing w:line="240" w:lineRule="auto"/>
        <w:rPr>
          <w:i/>
          <w:lang w:val="hu-HU"/>
        </w:rPr>
      </w:pPr>
    </w:p>
    <w:p w14:paraId="68079B4C" w14:textId="77777777" w:rsidR="00C67376" w:rsidRDefault="0022703E">
      <w:pPr>
        <w:suppressAutoHyphens/>
        <w:spacing w:line="240" w:lineRule="auto"/>
        <w:rPr>
          <w:u w:val="single"/>
          <w:lang w:val="hu-HU" w:eastAsia="en-GB"/>
        </w:rPr>
      </w:pPr>
      <w:r>
        <w:rPr>
          <w:u w:val="single"/>
          <w:lang w:val="hu-HU" w:eastAsia="en-GB"/>
        </w:rPr>
        <w:t>A biztonsági profil összefoglalása</w:t>
      </w:r>
    </w:p>
    <w:p w14:paraId="06DDA507" w14:textId="77777777" w:rsidR="00C67376" w:rsidRDefault="0022703E">
      <w:pPr>
        <w:suppressAutoHyphens/>
        <w:spacing w:line="240" w:lineRule="auto"/>
        <w:rPr>
          <w:lang w:val="hu-HU" w:eastAsia="en-GB"/>
        </w:rPr>
      </w:pPr>
      <w:r>
        <w:rPr>
          <w:lang w:val="hu-HU" w:eastAsia="en-GB"/>
        </w:rPr>
        <w:t>A mellékhatások túlnyomó része a látószervet érinti. Egy nyílt, a latanoproszt biztonságosságát 5 éven keresztül vizsgáló tanulmányban a betegek 33%</w:t>
      </w:r>
      <w:r>
        <w:rPr>
          <w:lang w:val="hu-HU" w:eastAsia="en-GB"/>
        </w:rPr>
        <w:noBreakHyphen/>
        <w:t xml:space="preserve">ánál jelentkezett íriszpigmentáció (lásd 4.4 pont). Az egyéb szemészeti mellékhatások rendszerint átmenetiek és nagy dózisok alkalmazásánál fordulnak elő. </w:t>
      </w:r>
    </w:p>
    <w:p w14:paraId="0010BF09" w14:textId="77777777" w:rsidR="00C67376" w:rsidRDefault="00C67376">
      <w:pPr>
        <w:suppressAutoHyphens/>
        <w:spacing w:line="240" w:lineRule="auto"/>
        <w:rPr>
          <w:lang w:val="hu-HU" w:eastAsia="en-GB"/>
        </w:rPr>
      </w:pPr>
    </w:p>
    <w:p w14:paraId="1D7D664F" w14:textId="77777777" w:rsidR="00C67376" w:rsidRDefault="0022703E">
      <w:pPr>
        <w:suppressAutoHyphens/>
        <w:spacing w:line="240" w:lineRule="auto"/>
        <w:rPr>
          <w:u w:val="single"/>
          <w:lang w:val="hu-HU" w:eastAsia="en-GB"/>
        </w:rPr>
      </w:pPr>
      <w:r>
        <w:rPr>
          <w:u w:val="single"/>
          <w:lang w:val="hu-HU" w:eastAsia="en-GB"/>
        </w:rPr>
        <w:t>A mellékhatások táblázatos összefoglalása</w:t>
      </w:r>
    </w:p>
    <w:p w14:paraId="6ECA945A" w14:textId="77777777" w:rsidR="00C67376" w:rsidRDefault="0022703E">
      <w:pPr>
        <w:suppressAutoHyphens/>
        <w:spacing w:line="240" w:lineRule="auto"/>
        <w:rPr>
          <w:lang w:val="hu-HU" w:eastAsia="en-GB"/>
        </w:rPr>
      </w:pPr>
      <w:r>
        <w:rPr>
          <w:lang w:val="hu-HU" w:eastAsia="en-GB"/>
        </w:rPr>
        <w:t>A mellékhatások szervrendszeri és gyakorisági kategóriák szerint kerültek felsorolásra. A gyakorisági osztályozás a következő konvenció szerint történt: nagyon gyakori (</w:t>
      </w:r>
      <w:r>
        <w:rPr>
          <w:rFonts w:ascii="Symbol" w:eastAsia="Symbol" w:hAnsi="Symbol" w:cs="Symbol"/>
          <w:lang w:val="hu-HU"/>
        </w:rPr>
        <w:t></w:t>
      </w:r>
      <w:r>
        <w:rPr>
          <w:lang w:val="hu-HU" w:eastAsia="en-GB"/>
        </w:rPr>
        <w:t>1/10), gyakori (</w:t>
      </w:r>
      <w:r>
        <w:rPr>
          <w:rFonts w:ascii="Symbol" w:eastAsia="Symbol" w:hAnsi="Symbol" w:cs="Symbol"/>
          <w:lang w:val="hu-HU"/>
        </w:rPr>
        <w:t></w:t>
      </w:r>
      <w:r>
        <w:rPr>
          <w:lang w:val="hu-HU" w:eastAsia="en-GB"/>
        </w:rPr>
        <w:t>1/100 –  &lt;1/10), nem gyakori (</w:t>
      </w:r>
      <w:r>
        <w:rPr>
          <w:rFonts w:ascii="Symbol" w:eastAsia="Symbol" w:hAnsi="Symbol" w:cs="Symbol"/>
          <w:lang w:val="hu-HU"/>
        </w:rPr>
        <w:t></w:t>
      </w:r>
      <w:r>
        <w:rPr>
          <w:lang w:val="hu-HU" w:eastAsia="en-GB"/>
        </w:rPr>
        <w:t>1/1000 – &lt;1/100), ritka (</w:t>
      </w:r>
      <w:r>
        <w:rPr>
          <w:rFonts w:ascii="Symbol" w:eastAsia="Symbol" w:hAnsi="Symbol" w:cs="Symbol"/>
          <w:lang w:val="hu-HU"/>
        </w:rPr>
        <w:t></w:t>
      </w:r>
      <w:r>
        <w:rPr>
          <w:lang w:val="hu-HU" w:eastAsia="en-GB"/>
        </w:rPr>
        <w:t>1/10 0000 – &lt;1/1000), nagyon ritka (&lt;1/10 000), nem ismert (a gyakoriság a rendelkezésre álló adatokból nem állapítható meg).</w:t>
      </w:r>
    </w:p>
    <w:p w14:paraId="6CAA3C40" w14:textId="77777777" w:rsidR="00C67376" w:rsidRDefault="00C67376">
      <w:pPr>
        <w:suppressAutoHyphens/>
        <w:spacing w:line="240" w:lineRule="auto"/>
        <w:rPr>
          <w:b/>
          <w:bCs/>
          <w:lang w:val="hu-HU"/>
        </w:rPr>
      </w:pPr>
    </w:p>
    <w:tbl>
      <w:tblPr>
        <w:tblStyle w:val="TableNormal"/>
        <w:tblW w:w="63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0"/>
        <w:gridCol w:w="1744"/>
        <w:gridCol w:w="1524"/>
        <w:gridCol w:w="1866"/>
        <w:gridCol w:w="1710"/>
        <w:gridCol w:w="1361"/>
        <w:gridCol w:w="1720"/>
      </w:tblGrid>
      <w:tr w:rsidR="00C67376" w14:paraId="79101240" w14:textId="77777777">
        <w:trPr>
          <w:trHeight w:val="1021"/>
          <w:tblHeader/>
          <w:jc w:val="center"/>
        </w:trPr>
        <w:tc>
          <w:tcPr>
            <w:tcW w:w="778" w:type="pct"/>
          </w:tcPr>
          <w:p w14:paraId="59D65152" w14:textId="77777777" w:rsidR="00C67376" w:rsidRDefault="0022703E">
            <w:pPr>
              <w:spacing w:line="240" w:lineRule="auto"/>
              <w:rPr>
                <w:b/>
                <w:bCs/>
                <w:lang w:val="hu-HU"/>
              </w:rPr>
            </w:pPr>
            <w:r>
              <w:rPr>
                <w:b/>
                <w:bCs/>
                <w:lang w:val="hu-HU"/>
              </w:rPr>
              <w:t>Szervrendszer</w:t>
            </w:r>
          </w:p>
        </w:tc>
        <w:tc>
          <w:tcPr>
            <w:tcW w:w="742" w:type="pct"/>
          </w:tcPr>
          <w:p w14:paraId="0DFA8A30" w14:textId="77777777" w:rsidR="00C67376" w:rsidRDefault="0022703E">
            <w:pPr>
              <w:spacing w:line="240" w:lineRule="auto"/>
              <w:rPr>
                <w:b/>
                <w:bCs/>
                <w:lang w:val="hu-HU"/>
              </w:rPr>
            </w:pPr>
            <w:r>
              <w:rPr>
                <w:b/>
                <w:bCs/>
                <w:lang w:val="hu-HU"/>
              </w:rPr>
              <w:t>Nagyon gyakori</w:t>
            </w:r>
          </w:p>
          <w:p w14:paraId="5F940D48" w14:textId="77777777" w:rsidR="00C67376" w:rsidRDefault="0022703E">
            <w:pPr>
              <w:spacing w:line="240" w:lineRule="auto"/>
              <w:rPr>
                <w:b/>
                <w:bCs/>
                <w:lang w:val="hu-HU"/>
              </w:rPr>
            </w:pPr>
            <w:r>
              <w:rPr>
                <w:b/>
                <w:bCs/>
                <w:lang w:val="hu-HU"/>
              </w:rPr>
              <w:t xml:space="preserve"> ≥1/10 </w:t>
            </w:r>
          </w:p>
          <w:p w14:paraId="4DCE65B0" w14:textId="77777777" w:rsidR="00C67376" w:rsidRDefault="0022703E">
            <w:pPr>
              <w:spacing w:line="240" w:lineRule="auto"/>
              <w:rPr>
                <w:b/>
                <w:bCs/>
                <w:lang w:val="hu-HU"/>
              </w:rPr>
            </w:pPr>
            <w:r>
              <w:rPr>
                <w:b/>
                <w:bCs/>
                <w:lang w:val="hu-HU"/>
              </w:rPr>
              <w:t xml:space="preserve"> </w:t>
            </w:r>
          </w:p>
        </w:tc>
        <w:tc>
          <w:tcPr>
            <w:tcW w:w="648" w:type="pct"/>
          </w:tcPr>
          <w:p w14:paraId="021FE550" w14:textId="77777777" w:rsidR="00C67376" w:rsidRDefault="0022703E">
            <w:pPr>
              <w:spacing w:line="240" w:lineRule="auto"/>
              <w:rPr>
                <w:b/>
                <w:bCs/>
                <w:lang w:val="hu-HU"/>
              </w:rPr>
            </w:pPr>
            <w:r>
              <w:rPr>
                <w:b/>
                <w:bCs/>
                <w:lang w:val="hu-HU"/>
              </w:rPr>
              <w:t>Gyakori</w:t>
            </w:r>
          </w:p>
          <w:p w14:paraId="1CACCF68" w14:textId="77777777" w:rsidR="00C67376" w:rsidRDefault="0022703E">
            <w:pPr>
              <w:spacing w:line="240" w:lineRule="auto"/>
              <w:rPr>
                <w:b/>
                <w:bCs/>
                <w:lang w:val="hu-HU"/>
              </w:rPr>
            </w:pPr>
            <w:r>
              <w:rPr>
                <w:b/>
                <w:bCs/>
                <w:lang w:val="hu-HU"/>
              </w:rPr>
              <w:t xml:space="preserve"> ≥1/100 – &lt;1/10 </w:t>
            </w:r>
          </w:p>
        </w:tc>
        <w:tc>
          <w:tcPr>
            <w:tcW w:w="794" w:type="pct"/>
          </w:tcPr>
          <w:p w14:paraId="2C9D9C1B" w14:textId="77777777" w:rsidR="00C67376" w:rsidRDefault="0022703E">
            <w:pPr>
              <w:spacing w:line="240" w:lineRule="auto"/>
              <w:rPr>
                <w:b/>
                <w:bCs/>
                <w:lang w:val="hu-HU"/>
              </w:rPr>
            </w:pPr>
            <w:r>
              <w:rPr>
                <w:b/>
                <w:bCs/>
                <w:lang w:val="hu-HU"/>
              </w:rPr>
              <w:t>Nem gyakori</w:t>
            </w:r>
          </w:p>
          <w:p w14:paraId="357A81B0" w14:textId="77777777" w:rsidR="00C67376" w:rsidRDefault="0022703E">
            <w:pPr>
              <w:spacing w:line="240" w:lineRule="auto"/>
              <w:rPr>
                <w:b/>
                <w:bCs/>
                <w:lang w:val="hu-HU"/>
              </w:rPr>
            </w:pPr>
            <w:r>
              <w:rPr>
                <w:b/>
                <w:bCs/>
                <w:lang w:val="hu-HU"/>
              </w:rPr>
              <w:t xml:space="preserve"> ≥1/1000 – &lt;1/100 </w:t>
            </w:r>
          </w:p>
          <w:p w14:paraId="37CE1A86" w14:textId="77777777" w:rsidR="00C67376" w:rsidRDefault="00C67376">
            <w:pPr>
              <w:spacing w:line="240" w:lineRule="auto"/>
              <w:rPr>
                <w:b/>
                <w:bCs/>
                <w:lang w:val="hu-HU"/>
              </w:rPr>
            </w:pPr>
          </w:p>
        </w:tc>
        <w:tc>
          <w:tcPr>
            <w:tcW w:w="804" w:type="pct"/>
          </w:tcPr>
          <w:p w14:paraId="78DC5B7F" w14:textId="77777777" w:rsidR="00C67376" w:rsidRDefault="0022703E">
            <w:pPr>
              <w:spacing w:line="240" w:lineRule="auto"/>
              <w:rPr>
                <w:b/>
                <w:bCs/>
                <w:lang w:val="hu-HU"/>
              </w:rPr>
            </w:pPr>
            <w:r>
              <w:rPr>
                <w:b/>
                <w:bCs/>
                <w:lang w:val="hu-HU"/>
              </w:rPr>
              <w:t>Ritka</w:t>
            </w:r>
          </w:p>
          <w:p w14:paraId="38AF08A7" w14:textId="77777777" w:rsidR="00C67376" w:rsidRDefault="0022703E">
            <w:pPr>
              <w:spacing w:line="240" w:lineRule="auto"/>
              <w:rPr>
                <w:b/>
                <w:bCs/>
                <w:lang w:val="hu-HU"/>
              </w:rPr>
            </w:pPr>
            <w:r>
              <w:rPr>
                <w:b/>
                <w:bCs/>
                <w:lang w:val="hu-HU"/>
              </w:rPr>
              <w:t xml:space="preserve"> ≥1/10 000 – &lt;1/1000 </w:t>
            </w:r>
          </w:p>
        </w:tc>
        <w:tc>
          <w:tcPr>
            <w:tcW w:w="617" w:type="pct"/>
          </w:tcPr>
          <w:p w14:paraId="2DEBCFB4" w14:textId="77777777" w:rsidR="00C67376" w:rsidRDefault="0022703E">
            <w:pPr>
              <w:spacing w:line="240" w:lineRule="auto"/>
              <w:rPr>
                <w:b/>
                <w:bCs/>
                <w:lang w:val="hu-HU"/>
              </w:rPr>
            </w:pPr>
            <w:r>
              <w:rPr>
                <w:b/>
                <w:bCs/>
                <w:lang w:val="hu-HU"/>
              </w:rPr>
              <w:t>Nagyon ritka</w:t>
            </w:r>
          </w:p>
          <w:p w14:paraId="4A8BE87C" w14:textId="77777777" w:rsidR="00C67376" w:rsidRDefault="0022703E">
            <w:pPr>
              <w:spacing w:line="240" w:lineRule="auto"/>
              <w:rPr>
                <w:b/>
                <w:bCs/>
                <w:lang w:val="hu-HU"/>
              </w:rPr>
            </w:pPr>
            <w:r>
              <w:rPr>
                <w:b/>
                <w:bCs/>
                <w:lang w:val="hu-HU"/>
              </w:rPr>
              <w:t>&lt;1/10 000</w:t>
            </w:r>
          </w:p>
        </w:tc>
        <w:tc>
          <w:tcPr>
            <w:tcW w:w="617" w:type="pct"/>
          </w:tcPr>
          <w:p w14:paraId="7462AA72" w14:textId="77777777" w:rsidR="00C67376" w:rsidRDefault="0022703E">
            <w:pPr>
              <w:spacing w:line="240" w:lineRule="auto"/>
              <w:rPr>
                <w:b/>
                <w:bCs/>
                <w:lang w:val="hu-HU"/>
              </w:rPr>
            </w:pPr>
            <w:r>
              <w:rPr>
                <w:b/>
                <w:bCs/>
                <w:lang w:val="hu-HU"/>
              </w:rPr>
              <w:t>Nem ismert</w:t>
            </w:r>
          </w:p>
          <w:p w14:paraId="0831C99C" w14:textId="77777777" w:rsidR="00C67376" w:rsidRDefault="0022703E">
            <w:pPr>
              <w:spacing w:line="240" w:lineRule="auto"/>
              <w:rPr>
                <w:b/>
                <w:bCs/>
                <w:lang w:val="hu-HU"/>
              </w:rPr>
            </w:pPr>
            <w:r>
              <w:rPr>
                <w:b/>
                <w:bCs/>
                <w:lang w:val="hu-HU" w:eastAsia="en-GB"/>
              </w:rPr>
              <w:t>a gyakoriság a rendelkezésre álló adatokból nem állapítható meg</w:t>
            </w:r>
          </w:p>
        </w:tc>
      </w:tr>
      <w:tr w:rsidR="00C67376" w14:paraId="6F41CA7E" w14:textId="77777777">
        <w:trPr>
          <w:trHeight w:val="526"/>
          <w:jc w:val="center"/>
        </w:trPr>
        <w:tc>
          <w:tcPr>
            <w:tcW w:w="778" w:type="pct"/>
          </w:tcPr>
          <w:p w14:paraId="7899245F" w14:textId="77777777" w:rsidR="00C67376" w:rsidRDefault="0022703E">
            <w:pPr>
              <w:spacing w:line="240" w:lineRule="auto"/>
              <w:rPr>
                <w:i/>
                <w:lang w:val="hu-HU"/>
              </w:rPr>
            </w:pPr>
            <w:r>
              <w:rPr>
                <w:i/>
                <w:lang w:val="hu-HU"/>
              </w:rPr>
              <w:t>Fertőző betegségek és parazitafertőzések</w:t>
            </w:r>
          </w:p>
        </w:tc>
        <w:tc>
          <w:tcPr>
            <w:tcW w:w="742" w:type="pct"/>
          </w:tcPr>
          <w:p w14:paraId="26154BEC" w14:textId="77777777" w:rsidR="00C67376" w:rsidRDefault="00C67376">
            <w:pPr>
              <w:spacing w:line="240" w:lineRule="auto"/>
              <w:rPr>
                <w:lang w:val="hu-HU"/>
              </w:rPr>
            </w:pPr>
          </w:p>
        </w:tc>
        <w:tc>
          <w:tcPr>
            <w:tcW w:w="648" w:type="pct"/>
          </w:tcPr>
          <w:p w14:paraId="1A0E5682" w14:textId="77777777" w:rsidR="00C67376" w:rsidRDefault="00C67376">
            <w:pPr>
              <w:spacing w:line="240" w:lineRule="auto"/>
              <w:rPr>
                <w:lang w:val="hu-HU"/>
              </w:rPr>
            </w:pPr>
          </w:p>
        </w:tc>
        <w:tc>
          <w:tcPr>
            <w:tcW w:w="794" w:type="pct"/>
          </w:tcPr>
          <w:p w14:paraId="33196E6D" w14:textId="77777777" w:rsidR="00C67376" w:rsidRDefault="00C67376">
            <w:pPr>
              <w:spacing w:line="240" w:lineRule="auto"/>
              <w:rPr>
                <w:lang w:val="hu-HU"/>
              </w:rPr>
            </w:pPr>
          </w:p>
        </w:tc>
        <w:tc>
          <w:tcPr>
            <w:tcW w:w="804" w:type="pct"/>
          </w:tcPr>
          <w:p w14:paraId="71AE2416" w14:textId="77777777" w:rsidR="00C67376" w:rsidRDefault="0022703E">
            <w:pPr>
              <w:spacing w:line="240" w:lineRule="auto"/>
              <w:rPr>
                <w:lang w:val="hu-HU"/>
              </w:rPr>
            </w:pPr>
            <w:r>
              <w:rPr>
                <w:lang w:val="hu-HU"/>
              </w:rPr>
              <w:t>Keratitis herpetica *</w:t>
            </w:r>
          </w:p>
        </w:tc>
        <w:tc>
          <w:tcPr>
            <w:tcW w:w="617" w:type="pct"/>
          </w:tcPr>
          <w:p w14:paraId="40AB4DB0" w14:textId="77777777" w:rsidR="00C67376" w:rsidRDefault="00C67376">
            <w:pPr>
              <w:spacing w:line="240" w:lineRule="auto"/>
              <w:rPr>
                <w:lang w:val="hu-HU"/>
              </w:rPr>
            </w:pPr>
          </w:p>
        </w:tc>
        <w:tc>
          <w:tcPr>
            <w:tcW w:w="617" w:type="pct"/>
          </w:tcPr>
          <w:p w14:paraId="06D02FC9" w14:textId="77777777" w:rsidR="00C67376" w:rsidRDefault="0022703E">
            <w:pPr>
              <w:spacing w:line="240" w:lineRule="auto"/>
              <w:rPr>
                <w:lang w:val="hu-HU"/>
              </w:rPr>
            </w:pPr>
            <w:r>
              <w:rPr>
                <w:lang w:val="hu-HU"/>
              </w:rPr>
              <w:t>Nasopharyngitis;</w:t>
            </w:r>
          </w:p>
          <w:p w14:paraId="7BC5D322" w14:textId="77777777" w:rsidR="00C67376" w:rsidRDefault="0022703E">
            <w:pPr>
              <w:spacing w:line="240" w:lineRule="auto"/>
              <w:rPr>
                <w:lang w:val="hu-HU"/>
              </w:rPr>
            </w:pPr>
            <w:r>
              <w:rPr>
                <w:lang w:val="hu-HU"/>
              </w:rPr>
              <w:t>felső légúti fertőzés</w:t>
            </w:r>
          </w:p>
        </w:tc>
      </w:tr>
      <w:tr w:rsidR="00C67376" w14:paraId="5581884A" w14:textId="77777777">
        <w:trPr>
          <w:trHeight w:val="511"/>
          <w:jc w:val="center"/>
        </w:trPr>
        <w:tc>
          <w:tcPr>
            <w:tcW w:w="778" w:type="pct"/>
          </w:tcPr>
          <w:p w14:paraId="4A022973" w14:textId="77777777" w:rsidR="00C67376" w:rsidRDefault="0022703E">
            <w:pPr>
              <w:spacing w:line="240" w:lineRule="auto"/>
              <w:rPr>
                <w:i/>
                <w:lang w:val="hu-HU"/>
              </w:rPr>
            </w:pPr>
            <w:r>
              <w:rPr>
                <w:i/>
                <w:lang w:val="hu-HU"/>
              </w:rPr>
              <w:t>Idegrendszeri betegségek és tünetek</w:t>
            </w:r>
          </w:p>
        </w:tc>
        <w:tc>
          <w:tcPr>
            <w:tcW w:w="742" w:type="pct"/>
          </w:tcPr>
          <w:p w14:paraId="4FFD0D59" w14:textId="77777777" w:rsidR="00C67376" w:rsidRDefault="00C67376">
            <w:pPr>
              <w:spacing w:line="240" w:lineRule="auto"/>
              <w:rPr>
                <w:lang w:val="hu-HU"/>
              </w:rPr>
            </w:pPr>
          </w:p>
        </w:tc>
        <w:tc>
          <w:tcPr>
            <w:tcW w:w="648" w:type="pct"/>
          </w:tcPr>
          <w:p w14:paraId="39F5F0BD" w14:textId="77777777" w:rsidR="00C67376" w:rsidRDefault="00C67376">
            <w:pPr>
              <w:spacing w:line="240" w:lineRule="auto"/>
              <w:rPr>
                <w:lang w:val="hu-HU"/>
              </w:rPr>
            </w:pPr>
          </w:p>
        </w:tc>
        <w:tc>
          <w:tcPr>
            <w:tcW w:w="794" w:type="pct"/>
          </w:tcPr>
          <w:p w14:paraId="2B216199" w14:textId="77777777" w:rsidR="00C67376" w:rsidRDefault="0022703E">
            <w:pPr>
              <w:spacing w:line="240" w:lineRule="auto"/>
              <w:rPr>
                <w:lang w:val="hu-HU"/>
              </w:rPr>
            </w:pPr>
            <w:r>
              <w:rPr>
                <w:lang w:val="hu-HU"/>
              </w:rPr>
              <w:t>Fejfájás*; szédülés*</w:t>
            </w:r>
          </w:p>
        </w:tc>
        <w:tc>
          <w:tcPr>
            <w:tcW w:w="804" w:type="pct"/>
          </w:tcPr>
          <w:p w14:paraId="3AA9E361" w14:textId="77777777" w:rsidR="00C67376" w:rsidRDefault="00C67376">
            <w:pPr>
              <w:spacing w:line="240" w:lineRule="auto"/>
              <w:rPr>
                <w:lang w:val="hu-HU"/>
              </w:rPr>
            </w:pPr>
          </w:p>
        </w:tc>
        <w:tc>
          <w:tcPr>
            <w:tcW w:w="617" w:type="pct"/>
          </w:tcPr>
          <w:p w14:paraId="2284CDF1" w14:textId="77777777" w:rsidR="00C67376" w:rsidRDefault="00C67376">
            <w:pPr>
              <w:spacing w:line="240" w:lineRule="auto"/>
              <w:rPr>
                <w:lang w:val="hu-HU"/>
              </w:rPr>
            </w:pPr>
          </w:p>
        </w:tc>
        <w:tc>
          <w:tcPr>
            <w:tcW w:w="617" w:type="pct"/>
          </w:tcPr>
          <w:p w14:paraId="5BDD57E3" w14:textId="77777777" w:rsidR="00C67376" w:rsidRDefault="00C67376">
            <w:pPr>
              <w:spacing w:line="240" w:lineRule="auto"/>
              <w:rPr>
                <w:lang w:val="hu-HU"/>
              </w:rPr>
            </w:pPr>
          </w:p>
        </w:tc>
      </w:tr>
      <w:tr w:rsidR="00C67376" w14:paraId="3E1891B7" w14:textId="77777777">
        <w:trPr>
          <w:trHeight w:val="4243"/>
          <w:jc w:val="center"/>
        </w:trPr>
        <w:tc>
          <w:tcPr>
            <w:tcW w:w="778" w:type="pct"/>
          </w:tcPr>
          <w:p w14:paraId="65565D24" w14:textId="77777777" w:rsidR="00C67376" w:rsidRDefault="0022703E">
            <w:pPr>
              <w:spacing w:line="240" w:lineRule="auto"/>
              <w:rPr>
                <w:i/>
                <w:lang w:val="hu-HU"/>
              </w:rPr>
            </w:pPr>
            <w:r>
              <w:rPr>
                <w:i/>
                <w:lang w:val="hu-HU"/>
              </w:rPr>
              <w:lastRenderedPageBreak/>
              <w:t>Szembetegségek és szemészeti tünetek</w:t>
            </w:r>
          </w:p>
        </w:tc>
        <w:tc>
          <w:tcPr>
            <w:tcW w:w="742" w:type="pct"/>
          </w:tcPr>
          <w:p w14:paraId="3D401B40" w14:textId="77777777" w:rsidR="00C67376" w:rsidRDefault="0022703E">
            <w:pPr>
              <w:spacing w:line="240" w:lineRule="auto"/>
              <w:rPr>
                <w:lang w:val="hu-HU"/>
              </w:rPr>
            </w:pPr>
            <w:r>
              <w:rPr>
                <w:lang w:val="hu-HU"/>
              </w:rPr>
              <w:t xml:space="preserve">Fokozott íriszpigmentáció; conjunctivalis hyperaemia, szemirritáció (égő, súrlódó érzés, viszketés, csípő- és idegentest-érzés a szemben); a szempilla és a piheszőrök változásai (hosszabb, vastagabb, fokozottan pigmentált és dúsabb szőrszálak) </w:t>
            </w:r>
          </w:p>
          <w:p w14:paraId="5F6232AD" w14:textId="77777777" w:rsidR="00C67376" w:rsidRDefault="00C67376">
            <w:pPr>
              <w:spacing w:line="240" w:lineRule="auto"/>
              <w:rPr>
                <w:lang w:val="hu-HU"/>
              </w:rPr>
            </w:pPr>
          </w:p>
        </w:tc>
        <w:tc>
          <w:tcPr>
            <w:tcW w:w="648" w:type="pct"/>
          </w:tcPr>
          <w:p w14:paraId="553EFB2D" w14:textId="77777777" w:rsidR="00C67376" w:rsidRDefault="0022703E">
            <w:pPr>
              <w:spacing w:line="240" w:lineRule="auto"/>
              <w:rPr>
                <w:lang w:val="hu-HU"/>
              </w:rPr>
            </w:pPr>
            <w:r>
              <w:rPr>
                <w:lang w:val="hu-HU"/>
              </w:rPr>
              <w:t>Többnyire tünetek nélküli keratitis punctata; blepharitis; szemfájdalom; photophobia;</w:t>
            </w:r>
          </w:p>
          <w:p w14:paraId="6C36CF80" w14:textId="77777777" w:rsidR="00C67376" w:rsidRDefault="0022703E">
            <w:pPr>
              <w:spacing w:line="240" w:lineRule="auto"/>
              <w:rPr>
                <w:lang w:val="hu-HU"/>
              </w:rPr>
            </w:pPr>
            <w:r>
              <w:rPr>
                <w:lang w:val="hu-HU"/>
              </w:rPr>
              <w:t>conjunctivitis*</w:t>
            </w:r>
          </w:p>
          <w:p w14:paraId="0DC35FC2" w14:textId="77777777" w:rsidR="00C67376" w:rsidRDefault="00C67376">
            <w:pPr>
              <w:spacing w:line="240" w:lineRule="auto"/>
              <w:rPr>
                <w:lang w:val="hu-HU"/>
              </w:rPr>
            </w:pPr>
          </w:p>
        </w:tc>
        <w:tc>
          <w:tcPr>
            <w:tcW w:w="794" w:type="pct"/>
          </w:tcPr>
          <w:p w14:paraId="1B3D4B81" w14:textId="77777777" w:rsidR="00C67376" w:rsidRDefault="0022703E">
            <w:pPr>
              <w:spacing w:line="240" w:lineRule="auto"/>
              <w:rPr>
                <w:lang w:val="hu-HU"/>
              </w:rPr>
            </w:pPr>
            <w:r>
              <w:rPr>
                <w:lang w:val="hu-HU"/>
              </w:rPr>
              <w:t>Szemhéj ödéma: szemszárazság, keratitis*, homályos látás, macula oedema, a cisztás macula oedemát is beleértve *, uveitis*</w:t>
            </w:r>
          </w:p>
        </w:tc>
        <w:tc>
          <w:tcPr>
            <w:tcW w:w="804" w:type="pct"/>
          </w:tcPr>
          <w:p w14:paraId="198645EB" w14:textId="77777777" w:rsidR="00C67376" w:rsidRDefault="0022703E">
            <w:pPr>
              <w:spacing w:line="240" w:lineRule="auto"/>
              <w:rPr>
                <w:lang w:val="hu-HU"/>
              </w:rPr>
            </w:pPr>
            <w:r>
              <w:rPr>
                <w:lang w:val="hu-HU"/>
              </w:rPr>
              <w:t>Iritis; cornea oedema*; cornea erózió; periorbitalis oedema; trichiasis*; distichiasis;</w:t>
            </w:r>
          </w:p>
          <w:p w14:paraId="4F3508BC" w14:textId="77777777" w:rsidR="00C67376" w:rsidRDefault="0022703E">
            <w:pPr>
              <w:spacing w:line="240" w:lineRule="auto"/>
              <w:rPr>
                <w:lang w:val="hu-HU"/>
              </w:rPr>
            </w:pPr>
            <w:r>
              <w:rPr>
                <w:lang w:val="hu-HU"/>
              </w:rPr>
              <w:t xml:space="preserve">íriszciszta*; a szemhéj pigmentációja; </w:t>
            </w:r>
            <w:hyperlink r:id="rId7" w:history="1">
              <w:r>
                <w:rPr>
                  <w:lang w:val="hu-HU"/>
                </w:rPr>
                <w:t>szem pemphigoid</w:t>
              </w:r>
            </w:hyperlink>
            <w:r>
              <w:rPr>
                <w:lang w:val="hu-HU"/>
              </w:rPr>
              <w:t xml:space="preserve">* </w:t>
            </w:r>
          </w:p>
        </w:tc>
        <w:tc>
          <w:tcPr>
            <w:tcW w:w="617" w:type="pct"/>
          </w:tcPr>
          <w:p w14:paraId="409CEF43" w14:textId="77777777" w:rsidR="00C67376" w:rsidRDefault="0022703E">
            <w:pPr>
              <w:spacing w:line="240" w:lineRule="auto"/>
              <w:rPr>
                <w:lang w:val="hu-HU"/>
              </w:rPr>
            </w:pPr>
            <w:r>
              <w:rPr>
                <w:lang w:val="hu-HU"/>
              </w:rPr>
              <w:t>a szemhéjredő (sulcus) mélyülése</w:t>
            </w:r>
          </w:p>
        </w:tc>
        <w:tc>
          <w:tcPr>
            <w:tcW w:w="617" w:type="pct"/>
          </w:tcPr>
          <w:p w14:paraId="5F93A472" w14:textId="77777777" w:rsidR="00C67376" w:rsidRDefault="0022703E">
            <w:pPr>
              <w:spacing w:line="240" w:lineRule="auto"/>
              <w:rPr>
                <w:lang w:val="hu-HU"/>
              </w:rPr>
            </w:pPr>
            <w:r>
              <w:rPr>
                <w:lang w:val="hu-HU"/>
              </w:rPr>
              <w:t>Szemhéj-erythema*; szemhéj-irritáció*; beszáradt váladék a szemhéjon *; fokozott könnyezés*</w:t>
            </w:r>
          </w:p>
        </w:tc>
      </w:tr>
      <w:tr w:rsidR="00C67376" w14:paraId="08D6675D" w14:textId="77777777">
        <w:trPr>
          <w:trHeight w:val="766"/>
          <w:jc w:val="center"/>
        </w:trPr>
        <w:tc>
          <w:tcPr>
            <w:tcW w:w="778" w:type="pct"/>
          </w:tcPr>
          <w:p w14:paraId="4F9AED53" w14:textId="77777777" w:rsidR="00C67376" w:rsidRDefault="0022703E">
            <w:pPr>
              <w:spacing w:line="240" w:lineRule="auto"/>
              <w:rPr>
                <w:i/>
                <w:lang w:val="hu-HU"/>
              </w:rPr>
            </w:pPr>
            <w:r>
              <w:rPr>
                <w:i/>
                <w:lang w:val="hu-HU"/>
              </w:rPr>
              <w:t>Szívbetegségek és a szívvel kapcsolatos tünetek</w:t>
            </w:r>
          </w:p>
        </w:tc>
        <w:tc>
          <w:tcPr>
            <w:tcW w:w="742" w:type="pct"/>
          </w:tcPr>
          <w:p w14:paraId="058F6CD0" w14:textId="77777777" w:rsidR="00C67376" w:rsidRDefault="00C67376">
            <w:pPr>
              <w:spacing w:line="240" w:lineRule="auto"/>
              <w:rPr>
                <w:lang w:val="hu-HU"/>
              </w:rPr>
            </w:pPr>
          </w:p>
        </w:tc>
        <w:tc>
          <w:tcPr>
            <w:tcW w:w="648" w:type="pct"/>
          </w:tcPr>
          <w:p w14:paraId="6A4E0B00" w14:textId="77777777" w:rsidR="00C67376" w:rsidRDefault="00C67376">
            <w:pPr>
              <w:spacing w:line="240" w:lineRule="auto"/>
              <w:rPr>
                <w:lang w:val="hu-HU"/>
              </w:rPr>
            </w:pPr>
          </w:p>
        </w:tc>
        <w:tc>
          <w:tcPr>
            <w:tcW w:w="794" w:type="pct"/>
          </w:tcPr>
          <w:p w14:paraId="4F08FBFB" w14:textId="77777777" w:rsidR="00C67376" w:rsidRDefault="0022703E">
            <w:pPr>
              <w:spacing w:line="240" w:lineRule="auto"/>
              <w:rPr>
                <w:lang w:val="hu-HU"/>
              </w:rPr>
            </w:pPr>
            <w:r>
              <w:rPr>
                <w:lang w:val="hu-HU"/>
              </w:rPr>
              <w:t>Angina pectoris; szívdobogásérzés*</w:t>
            </w:r>
          </w:p>
        </w:tc>
        <w:tc>
          <w:tcPr>
            <w:tcW w:w="804" w:type="pct"/>
          </w:tcPr>
          <w:p w14:paraId="26B7A520" w14:textId="77777777" w:rsidR="00C67376" w:rsidRDefault="00C67376">
            <w:pPr>
              <w:spacing w:line="240" w:lineRule="auto"/>
              <w:rPr>
                <w:lang w:val="hu-HU"/>
              </w:rPr>
            </w:pPr>
          </w:p>
        </w:tc>
        <w:tc>
          <w:tcPr>
            <w:tcW w:w="617" w:type="pct"/>
          </w:tcPr>
          <w:p w14:paraId="6E468767" w14:textId="77777777" w:rsidR="00C67376" w:rsidRDefault="0022703E">
            <w:pPr>
              <w:spacing w:line="240" w:lineRule="auto"/>
              <w:rPr>
                <w:lang w:val="hu-HU"/>
              </w:rPr>
            </w:pPr>
            <w:r>
              <w:rPr>
                <w:lang w:val="hu-HU"/>
              </w:rPr>
              <w:t>Instabil angina</w:t>
            </w:r>
          </w:p>
        </w:tc>
        <w:tc>
          <w:tcPr>
            <w:tcW w:w="617" w:type="pct"/>
          </w:tcPr>
          <w:p w14:paraId="22C55EE6" w14:textId="77777777" w:rsidR="00C67376" w:rsidRDefault="00C67376">
            <w:pPr>
              <w:spacing w:line="240" w:lineRule="auto"/>
              <w:rPr>
                <w:lang w:val="hu-HU"/>
              </w:rPr>
            </w:pPr>
          </w:p>
        </w:tc>
      </w:tr>
      <w:tr w:rsidR="00C67376" w14:paraId="61ABF926" w14:textId="77777777">
        <w:trPr>
          <w:trHeight w:val="1036"/>
          <w:jc w:val="center"/>
        </w:trPr>
        <w:tc>
          <w:tcPr>
            <w:tcW w:w="778" w:type="pct"/>
          </w:tcPr>
          <w:p w14:paraId="24480B0A" w14:textId="77777777" w:rsidR="00C67376" w:rsidRDefault="0022703E">
            <w:pPr>
              <w:spacing w:line="240" w:lineRule="auto"/>
              <w:rPr>
                <w:i/>
                <w:lang w:val="hu-HU"/>
              </w:rPr>
            </w:pPr>
            <w:r>
              <w:rPr>
                <w:i/>
                <w:lang w:val="hu-HU"/>
              </w:rPr>
              <w:t>Légzőrendszeri, mellkasi és mediastinalis betegségek és tünetek</w:t>
            </w:r>
          </w:p>
        </w:tc>
        <w:tc>
          <w:tcPr>
            <w:tcW w:w="742" w:type="pct"/>
          </w:tcPr>
          <w:p w14:paraId="7ADC5792" w14:textId="77777777" w:rsidR="00C67376" w:rsidRDefault="00C67376">
            <w:pPr>
              <w:spacing w:line="240" w:lineRule="auto"/>
              <w:rPr>
                <w:lang w:val="hu-HU"/>
              </w:rPr>
            </w:pPr>
          </w:p>
        </w:tc>
        <w:tc>
          <w:tcPr>
            <w:tcW w:w="648" w:type="pct"/>
          </w:tcPr>
          <w:p w14:paraId="72186D2E" w14:textId="77777777" w:rsidR="00C67376" w:rsidRDefault="00C67376">
            <w:pPr>
              <w:spacing w:line="240" w:lineRule="auto"/>
              <w:rPr>
                <w:lang w:val="hu-HU"/>
              </w:rPr>
            </w:pPr>
          </w:p>
        </w:tc>
        <w:tc>
          <w:tcPr>
            <w:tcW w:w="794" w:type="pct"/>
          </w:tcPr>
          <w:p w14:paraId="2E216257" w14:textId="77777777" w:rsidR="00C67376" w:rsidRDefault="0022703E">
            <w:pPr>
              <w:spacing w:line="240" w:lineRule="auto"/>
              <w:rPr>
                <w:lang w:val="hu-HU"/>
              </w:rPr>
            </w:pPr>
            <w:r>
              <w:rPr>
                <w:lang w:val="hu-HU"/>
              </w:rPr>
              <w:t>Asthma*;</w:t>
            </w:r>
            <w:r>
              <w:t xml:space="preserve"> </w:t>
            </w:r>
            <w:r>
              <w:rPr>
                <w:lang w:val="hu-HU"/>
              </w:rPr>
              <w:t>dyspnoe*</w:t>
            </w:r>
          </w:p>
        </w:tc>
        <w:tc>
          <w:tcPr>
            <w:tcW w:w="804" w:type="pct"/>
          </w:tcPr>
          <w:p w14:paraId="51C67B59" w14:textId="77777777" w:rsidR="00C67376" w:rsidRDefault="0022703E">
            <w:pPr>
              <w:spacing w:line="240" w:lineRule="auto"/>
              <w:rPr>
                <w:lang w:val="hu-HU"/>
              </w:rPr>
            </w:pPr>
            <w:r>
              <w:rPr>
                <w:lang w:val="hu-HU"/>
              </w:rPr>
              <w:t xml:space="preserve">Asthma exacerbációja; </w:t>
            </w:r>
          </w:p>
        </w:tc>
        <w:tc>
          <w:tcPr>
            <w:tcW w:w="617" w:type="pct"/>
          </w:tcPr>
          <w:p w14:paraId="4676D3B5" w14:textId="77777777" w:rsidR="00C67376" w:rsidRDefault="00C67376">
            <w:pPr>
              <w:spacing w:line="240" w:lineRule="auto"/>
              <w:rPr>
                <w:lang w:val="hu-HU"/>
              </w:rPr>
            </w:pPr>
          </w:p>
        </w:tc>
        <w:tc>
          <w:tcPr>
            <w:tcW w:w="617" w:type="pct"/>
          </w:tcPr>
          <w:p w14:paraId="57A4A071" w14:textId="77777777" w:rsidR="00C67376" w:rsidRDefault="00C67376">
            <w:pPr>
              <w:spacing w:line="240" w:lineRule="auto"/>
              <w:rPr>
                <w:lang w:val="hu-HU"/>
              </w:rPr>
            </w:pPr>
          </w:p>
        </w:tc>
      </w:tr>
      <w:tr w:rsidR="00C67376" w14:paraId="4772BF2B" w14:textId="77777777">
        <w:trPr>
          <w:trHeight w:val="1036"/>
          <w:jc w:val="center"/>
        </w:trPr>
        <w:tc>
          <w:tcPr>
            <w:tcW w:w="778" w:type="pct"/>
          </w:tcPr>
          <w:p w14:paraId="1D820870" w14:textId="77777777" w:rsidR="00C67376" w:rsidRDefault="0022703E">
            <w:pPr>
              <w:spacing w:line="240" w:lineRule="auto"/>
              <w:rPr>
                <w:i/>
                <w:lang w:val="hu-HU"/>
              </w:rPr>
            </w:pPr>
            <w:r>
              <w:rPr>
                <w:i/>
                <w:lang w:val="hu-HU"/>
              </w:rPr>
              <w:t>Emésztőrendszeri betegségek és tünetek</w:t>
            </w:r>
          </w:p>
        </w:tc>
        <w:tc>
          <w:tcPr>
            <w:tcW w:w="742" w:type="pct"/>
          </w:tcPr>
          <w:p w14:paraId="208A7E2A" w14:textId="77777777" w:rsidR="00C67376" w:rsidRDefault="00C67376">
            <w:pPr>
              <w:spacing w:line="240" w:lineRule="auto"/>
              <w:rPr>
                <w:lang w:val="hu-HU"/>
              </w:rPr>
            </w:pPr>
          </w:p>
        </w:tc>
        <w:tc>
          <w:tcPr>
            <w:tcW w:w="648" w:type="pct"/>
          </w:tcPr>
          <w:p w14:paraId="7C16E40D" w14:textId="77777777" w:rsidR="00C67376" w:rsidRDefault="00C67376">
            <w:pPr>
              <w:spacing w:line="240" w:lineRule="auto"/>
              <w:rPr>
                <w:lang w:val="hu-HU"/>
              </w:rPr>
            </w:pPr>
          </w:p>
        </w:tc>
        <w:tc>
          <w:tcPr>
            <w:tcW w:w="794" w:type="pct"/>
          </w:tcPr>
          <w:p w14:paraId="1537BBEA" w14:textId="77777777" w:rsidR="00C67376" w:rsidRDefault="0022703E">
            <w:pPr>
              <w:spacing w:line="240" w:lineRule="auto"/>
              <w:rPr>
                <w:lang w:val="hu-HU"/>
              </w:rPr>
            </w:pPr>
            <w:r>
              <w:rPr>
                <w:lang w:val="hu-HU"/>
              </w:rPr>
              <w:t>Hányinger,</w:t>
            </w:r>
          </w:p>
          <w:p w14:paraId="1630B6C9" w14:textId="77777777" w:rsidR="00C67376" w:rsidRDefault="0022703E">
            <w:pPr>
              <w:spacing w:line="240" w:lineRule="auto"/>
              <w:rPr>
                <w:lang w:val="hu-HU"/>
              </w:rPr>
            </w:pPr>
            <w:r>
              <w:rPr>
                <w:lang w:val="hu-HU"/>
              </w:rPr>
              <w:t xml:space="preserve">hányás </w:t>
            </w:r>
          </w:p>
        </w:tc>
        <w:tc>
          <w:tcPr>
            <w:tcW w:w="804" w:type="pct"/>
          </w:tcPr>
          <w:p w14:paraId="65E0E807" w14:textId="77777777" w:rsidR="00C67376" w:rsidRDefault="00C67376">
            <w:pPr>
              <w:spacing w:line="240" w:lineRule="auto"/>
              <w:rPr>
                <w:lang w:val="hu-HU"/>
              </w:rPr>
            </w:pPr>
          </w:p>
        </w:tc>
        <w:tc>
          <w:tcPr>
            <w:tcW w:w="617" w:type="pct"/>
          </w:tcPr>
          <w:p w14:paraId="0032386D" w14:textId="77777777" w:rsidR="00C67376" w:rsidRDefault="00C67376">
            <w:pPr>
              <w:spacing w:line="240" w:lineRule="auto"/>
              <w:rPr>
                <w:lang w:val="hu-HU"/>
              </w:rPr>
            </w:pPr>
          </w:p>
        </w:tc>
        <w:tc>
          <w:tcPr>
            <w:tcW w:w="617" w:type="pct"/>
          </w:tcPr>
          <w:p w14:paraId="21AB65F2" w14:textId="77777777" w:rsidR="00C67376" w:rsidRDefault="00C67376">
            <w:pPr>
              <w:spacing w:line="240" w:lineRule="auto"/>
              <w:rPr>
                <w:lang w:val="hu-HU"/>
              </w:rPr>
            </w:pPr>
          </w:p>
        </w:tc>
      </w:tr>
      <w:tr w:rsidR="00C67376" w14:paraId="7C11AD79" w14:textId="77777777">
        <w:trPr>
          <w:trHeight w:val="766"/>
          <w:jc w:val="center"/>
        </w:trPr>
        <w:tc>
          <w:tcPr>
            <w:tcW w:w="778" w:type="pct"/>
          </w:tcPr>
          <w:p w14:paraId="181CBD13" w14:textId="77777777" w:rsidR="00C67376" w:rsidRDefault="0022703E">
            <w:pPr>
              <w:spacing w:line="240" w:lineRule="auto"/>
              <w:rPr>
                <w:i/>
                <w:lang w:val="hu-HU"/>
              </w:rPr>
            </w:pPr>
            <w:r>
              <w:rPr>
                <w:i/>
                <w:lang w:val="hu-HU"/>
              </w:rPr>
              <w:t>A bőr és a bőr alatti szövet betegségei és tünetei</w:t>
            </w:r>
          </w:p>
        </w:tc>
        <w:tc>
          <w:tcPr>
            <w:tcW w:w="742" w:type="pct"/>
          </w:tcPr>
          <w:p w14:paraId="218E3D53" w14:textId="77777777" w:rsidR="00C67376" w:rsidRDefault="00C67376">
            <w:pPr>
              <w:spacing w:line="240" w:lineRule="auto"/>
              <w:rPr>
                <w:lang w:val="hu-HU"/>
              </w:rPr>
            </w:pPr>
          </w:p>
        </w:tc>
        <w:tc>
          <w:tcPr>
            <w:tcW w:w="648" w:type="pct"/>
          </w:tcPr>
          <w:p w14:paraId="68D34E33" w14:textId="77777777" w:rsidR="00C67376" w:rsidRDefault="00C67376">
            <w:pPr>
              <w:spacing w:line="240" w:lineRule="auto"/>
              <w:rPr>
                <w:lang w:val="hu-HU"/>
              </w:rPr>
            </w:pPr>
          </w:p>
        </w:tc>
        <w:tc>
          <w:tcPr>
            <w:tcW w:w="794" w:type="pct"/>
          </w:tcPr>
          <w:p w14:paraId="0D6BEB73" w14:textId="77777777" w:rsidR="00C67376" w:rsidRDefault="0022703E">
            <w:pPr>
              <w:spacing w:line="240" w:lineRule="auto"/>
              <w:rPr>
                <w:lang w:val="hu-HU"/>
              </w:rPr>
            </w:pPr>
            <w:r>
              <w:rPr>
                <w:lang w:val="hu-HU"/>
              </w:rPr>
              <w:t>Bőrkiütés</w:t>
            </w:r>
          </w:p>
        </w:tc>
        <w:tc>
          <w:tcPr>
            <w:tcW w:w="804" w:type="pct"/>
          </w:tcPr>
          <w:p w14:paraId="003443FE" w14:textId="77777777" w:rsidR="00C67376" w:rsidRDefault="0022703E">
            <w:pPr>
              <w:spacing w:line="240" w:lineRule="auto"/>
              <w:rPr>
                <w:lang w:val="hu-HU"/>
              </w:rPr>
            </w:pPr>
            <w:r>
              <w:rPr>
                <w:lang w:val="hu-HU"/>
              </w:rPr>
              <w:t>Pruritus; lokális bőrreakció a szemhéjakon</w:t>
            </w:r>
          </w:p>
        </w:tc>
        <w:tc>
          <w:tcPr>
            <w:tcW w:w="617" w:type="pct"/>
          </w:tcPr>
          <w:p w14:paraId="70211700" w14:textId="77777777" w:rsidR="00C67376" w:rsidRDefault="00C67376">
            <w:pPr>
              <w:spacing w:line="240" w:lineRule="auto"/>
              <w:rPr>
                <w:lang w:val="hu-HU"/>
              </w:rPr>
            </w:pPr>
          </w:p>
        </w:tc>
        <w:tc>
          <w:tcPr>
            <w:tcW w:w="617" w:type="pct"/>
          </w:tcPr>
          <w:p w14:paraId="407C4FE4" w14:textId="77777777" w:rsidR="00C67376" w:rsidRDefault="00C67376">
            <w:pPr>
              <w:spacing w:line="240" w:lineRule="auto"/>
              <w:rPr>
                <w:lang w:val="hu-HU"/>
              </w:rPr>
            </w:pPr>
          </w:p>
        </w:tc>
      </w:tr>
      <w:tr w:rsidR="00C67376" w14:paraId="7C69FAC5" w14:textId="77777777">
        <w:trPr>
          <w:trHeight w:val="781"/>
          <w:jc w:val="center"/>
        </w:trPr>
        <w:tc>
          <w:tcPr>
            <w:tcW w:w="778" w:type="pct"/>
          </w:tcPr>
          <w:p w14:paraId="4D38FE61" w14:textId="77777777" w:rsidR="00C67376" w:rsidRDefault="0022703E">
            <w:pPr>
              <w:spacing w:line="240" w:lineRule="auto"/>
              <w:rPr>
                <w:i/>
                <w:lang w:val="hu-HU"/>
              </w:rPr>
            </w:pPr>
            <w:r>
              <w:rPr>
                <w:i/>
                <w:lang w:val="hu-HU"/>
              </w:rPr>
              <w:t>Váz-izomrendszeri és kötőszöveti betegségek és tünetek</w:t>
            </w:r>
          </w:p>
        </w:tc>
        <w:tc>
          <w:tcPr>
            <w:tcW w:w="742" w:type="pct"/>
          </w:tcPr>
          <w:p w14:paraId="1E83C028" w14:textId="77777777" w:rsidR="00C67376" w:rsidRDefault="00C67376">
            <w:pPr>
              <w:spacing w:line="240" w:lineRule="auto"/>
              <w:rPr>
                <w:lang w:val="hu-HU"/>
              </w:rPr>
            </w:pPr>
          </w:p>
        </w:tc>
        <w:tc>
          <w:tcPr>
            <w:tcW w:w="648" w:type="pct"/>
          </w:tcPr>
          <w:p w14:paraId="3F6F8E1B" w14:textId="77777777" w:rsidR="00C67376" w:rsidRDefault="00C67376">
            <w:pPr>
              <w:spacing w:line="240" w:lineRule="auto"/>
              <w:rPr>
                <w:lang w:val="hu-HU"/>
              </w:rPr>
            </w:pPr>
          </w:p>
        </w:tc>
        <w:tc>
          <w:tcPr>
            <w:tcW w:w="794" w:type="pct"/>
          </w:tcPr>
          <w:p w14:paraId="35AB77E7" w14:textId="77777777" w:rsidR="00C67376" w:rsidRDefault="0022703E">
            <w:pPr>
              <w:spacing w:line="240" w:lineRule="auto"/>
              <w:rPr>
                <w:lang w:val="hu-HU"/>
              </w:rPr>
            </w:pPr>
            <w:r>
              <w:rPr>
                <w:lang w:val="hu-HU"/>
              </w:rPr>
              <w:t>Myalgia*; arthralgia*</w:t>
            </w:r>
          </w:p>
        </w:tc>
        <w:tc>
          <w:tcPr>
            <w:tcW w:w="804" w:type="pct"/>
          </w:tcPr>
          <w:p w14:paraId="0E23A772" w14:textId="77777777" w:rsidR="00C67376" w:rsidRDefault="00C67376">
            <w:pPr>
              <w:spacing w:line="240" w:lineRule="auto"/>
              <w:rPr>
                <w:lang w:val="hu-HU"/>
              </w:rPr>
            </w:pPr>
          </w:p>
        </w:tc>
        <w:tc>
          <w:tcPr>
            <w:tcW w:w="617" w:type="pct"/>
          </w:tcPr>
          <w:p w14:paraId="08DB81AE" w14:textId="77777777" w:rsidR="00C67376" w:rsidRDefault="00C67376">
            <w:pPr>
              <w:spacing w:line="240" w:lineRule="auto"/>
              <w:rPr>
                <w:lang w:val="hu-HU"/>
              </w:rPr>
            </w:pPr>
          </w:p>
        </w:tc>
        <w:tc>
          <w:tcPr>
            <w:tcW w:w="617" w:type="pct"/>
          </w:tcPr>
          <w:p w14:paraId="680AABB4" w14:textId="77777777" w:rsidR="00C67376" w:rsidRDefault="00C67376">
            <w:pPr>
              <w:spacing w:line="240" w:lineRule="auto"/>
              <w:rPr>
                <w:lang w:val="hu-HU"/>
              </w:rPr>
            </w:pPr>
          </w:p>
        </w:tc>
      </w:tr>
      <w:tr w:rsidR="00C67376" w14:paraId="493B88AF" w14:textId="77777777">
        <w:trPr>
          <w:trHeight w:val="781"/>
          <w:jc w:val="center"/>
        </w:trPr>
        <w:tc>
          <w:tcPr>
            <w:tcW w:w="778" w:type="pct"/>
          </w:tcPr>
          <w:p w14:paraId="08C6445E" w14:textId="77777777" w:rsidR="00C67376" w:rsidRDefault="0022703E">
            <w:pPr>
              <w:spacing w:line="240" w:lineRule="auto"/>
              <w:rPr>
                <w:i/>
                <w:lang w:val="hu-HU"/>
              </w:rPr>
            </w:pPr>
            <w:r>
              <w:rPr>
                <w:i/>
                <w:lang w:val="hu-HU"/>
              </w:rPr>
              <w:t>Általános tünetek, az alkalmazás helyén fellépő reakciók</w:t>
            </w:r>
          </w:p>
        </w:tc>
        <w:tc>
          <w:tcPr>
            <w:tcW w:w="742" w:type="pct"/>
          </w:tcPr>
          <w:p w14:paraId="393973BC" w14:textId="77777777" w:rsidR="00C67376" w:rsidRDefault="00C67376">
            <w:pPr>
              <w:spacing w:line="240" w:lineRule="auto"/>
              <w:rPr>
                <w:lang w:val="hu-HU"/>
              </w:rPr>
            </w:pPr>
          </w:p>
        </w:tc>
        <w:tc>
          <w:tcPr>
            <w:tcW w:w="648" w:type="pct"/>
          </w:tcPr>
          <w:p w14:paraId="6C19C5DE" w14:textId="77777777" w:rsidR="00C67376" w:rsidRDefault="00C67376">
            <w:pPr>
              <w:spacing w:line="240" w:lineRule="auto"/>
              <w:rPr>
                <w:lang w:val="hu-HU"/>
              </w:rPr>
            </w:pPr>
          </w:p>
        </w:tc>
        <w:tc>
          <w:tcPr>
            <w:tcW w:w="794" w:type="pct"/>
          </w:tcPr>
          <w:p w14:paraId="33C8B5EF" w14:textId="77777777" w:rsidR="00C67376" w:rsidRDefault="0022703E">
            <w:pPr>
              <w:spacing w:line="240" w:lineRule="auto"/>
              <w:rPr>
                <w:lang w:val="hu-HU"/>
              </w:rPr>
            </w:pPr>
            <w:r>
              <w:rPr>
                <w:lang w:val="hu-HU"/>
              </w:rPr>
              <w:t>Mellkasi fájdalom*</w:t>
            </w:r>
          </w:p>
        </w:tc>
        <w:tc>
          <w:tcPr>
            <w:tcW w:w="804" w:type="pct"/>
          </w:tcPr>
          <w:p w14:paraId="35F85509" w14:textId="77777777" w:rsidR="00C67376" w:rsidRDefault="00C67376">
            <w:pPr>
              <w:spacing w:line="240" w:lineRule="auto"/>
              <w:rPr>
                <w:lang w:val="hu-HU"/>
              </w:rPr>
            </w:pPr>
          </w:p>
        </w:tc>
        <w:tc>
          <w:tcPr>
            <w:tcW w:w="617" w:type="pct"/>
          </w:tcPr>
          <w:p w14:paraId="12E3117D" w14:textId="77777777" w:rsidR="00C67376" w:rsidRDefault="00C67376">
            <w:pPr>
              <w:spacing w:line="240" w:lineRule="auto"/>
              <w:rPr>
                <w:lang w:val="hu-HU"/>
              </w:rPr>
            </w:pPr>
          </w:p>
        </w:tc>
        <w:tc>
          <w:tcPr>
            <w:tcW w:w="617" w:type="pct"/>
          </w:tcPr>
          <w:p w14:paraId="2C22AC5F" w14:textId="77777777" w:rsidR="00C67376" w:rsidRDefault="00C67376">
            <w:pPr>
              <w:spacing w:line="240" w:lineRule="auto"/>
              <w:rPr>
                <w:lang w:val="hu-HU"/>
              </w:rPr>
            </w:pPr>
          </w:p>
        </w:tc>
      </w:tr>
    </w:tbl>
    <w:p w14:paraId="0BF7890E" w14:textId="77777777" w:rsidR="00C67376" w:rsidRDefault="0022703E">
      <w:pPr>
        <w:pStyle w:val="Szvegtrzsbehzssal"/>
        <w:tabs>
          <w:tab w:val="left" w:pos="567"/>
        </w:tabs>
        <w:ind w:left="0"/>
        <w:rPr>
          <w:sz w:val="22"/>
          <w:szCs w:val="22"/>
          <w:lang w:val="hu-HU"/>
        </w:rPr>
      </w:pPr>
      <w:r>
        <w:rPr>
          <w:sz w:val="22"/>
          <w:szCs w:val="22"/>
          <w:lang w:val="hu-HU"/>
        </w:rPr>
        <w:t>*A forgalomba hozatalt követően azonosított mellékhatás</w:t>
      </w:r>
    </w:p>
    <w:p w14:paraId="32518BA5" w14:textId="77777777" w:rsidR="00C67376" w:rsidRDefault="00C67376">
      <w:pPr>
        <w:pStyle w:val="Szvegtrzsbehzssal"/>
        <w:tabs>
          <w:tab w:val="left" w:pos="567"/>
        </w:tabs>
        <w:ind w:left="0"/>
        <w:rPr>
          <w:sz w:val="22"/>
          <w:szCs w:val="22"/>
          <w:lang w:val="hu-HU"/>
        </w:rPr>
      </w:pPr>
    </w:p>
    <w:p w14:paraId="7D66FD33" w14:textId="77777777" w:rsidR="00C67376" w:rsidRDefault="0022703E">
      <w:pPr>
        <w:spacing w:line="240" w:lineRule="auto"/>
        <w:rPr>
          <w:rFonts w:eastAsia="TimesNewRoman"/>
          <w:lang w:val="hu-HU"/>
        </w:rPr>
      </w:pPr>
      <w:r>
        <w:rPr>
          <w:rFonts w:eastAsia="TimesNewRoman"/>
          <w:lang w:val="hu-HU"/>
        </w:rPr>
        <w:t xml:space="preserve">Nagyon ritkán szaruhártya-meszesedést észleltek foszfáttartalmú szemcseppek használatakor jelentősen károsodott szaruhártya esetén. </w:t>
      </w:r>
    </w:p>
    <w:p w14:paraId="730C7992" w14:textId="77777777" w:rsidR="00C67376" w:rsidRDefault="00C67376">
      <w:pPr>
        <w:spacing w:line="240" w:lineRule="auto"/>
        <w:rPr>
          <w:lang w:val="hu-HU"/>
        </w:rPr>
      </w:pPr>
    </w:p>
    <w:p w14:paraId="40A0D38B" w14:textId="77777777" w:rsidR="00C67376" w:rsidRDefault="0022703E">
      <w:pPr>
        <w:spacing w:line="240" w:lineRule="auto"/>
        <w:rPr>
          <w:u w:val="single"/>
          <w:lang w:val="hu-HU"/>
        </w:rPr>
      </w:pPr>
      <w:r>
        <w:rPr>
          <w:u w:val="single"/>
          <w:lang w:val="hu-HU"/>
        </w:rPr>
        <w:t>Gyermekek és serdülők</w:t>
      </w:r>
    </w:p>
    <w:p w14:paraId="74E05EEC" w14:textId="0D98C000" w:rsidR="00C67376" w:rsidRDefault="0022703E">
      <w:pPr>
        <w:pStyle w:val="Szvegtrzsbehzssal"/>
        <w:tabs>
          <w:tab w:val="left" w:pos="567"/>
        </w:tabs>
        <w:ind w:left="0"/>
        <w:rPr>
          <w:sz w:val="22"/>
          <w:szCs w:val="22"/>
          <w:lang w:val="hu-HU"/>
        </w:rPr>
      </w:pPr>
      <w:r>
        <w:rPr>
          <w:sz w:val="22"/>
          <w:szCs w:val="22"/>
          <w:lang w:val="hu-HU"/>
        </w:rPr>
        <w:t xml:space="preserve">93 (25 és 68) gyermek és serdülő részvételével végzett két rövid távú klinikai vizsgálatban (≤ 12 hét) a biztonságossági profil hasonló volt a felnőtteknél megfigyelthez és nem jelentettek új nem kívánatos </w:t>
      </w:r>
      <w:r w:rsidR="00EE5225">
        <w:rPr>
          <w:sz w:val="22"/>
          <w:szCs w:val="22"/>
          <w:lang w:val="hu-HU"/>
        </w:rPr>
        <w:t>eseményt</w:t>
      </w:r>
      <w:r>
        <w:rPr>
          <w:sz w:val="22"/>
          <w:szCs w:val="22"/>
          <w:lang w:val="hu-HU"/>
        </w:rPr>
        <w:t xml:space="preserve">. A rövid távú biztonságossági profil a különböző gyermekgyógyászati alcsoportokban is hasonló volt (lásd 5.1 pont). A felnőttekhez képest gyermekeknél és serdülőknél gyakrabban figyelték meg a következő nemkívánatos </w:t>
      </w:r>
      <w:r w:rsidR="00EE5225">
        <w:rPr>
          <w:sz w:val="22"/>
          <w:szCs w:val="22"/>
          <w:lang w:val="hu-HU"/>
        </w:rPr>
        <w:t>eseményeket</w:t>
      </w:r>
      <w:r>
        <w:rPr>
          <w:sz w:val="22"/>
          <w:szCs w:val="22"/>
          <w:lang w:val="hu-HU"/>
        </w:rPr>
        <w:t>: nasopharyngitis és láz.</w:t>
      </w:r>
    </w:p>
    <w:p w14:paraId="5EA6855C" w14:textId="77777777" w:rsidR="00C67376" w:rsidRDefault="00C67376">
      <w:pPr>
        <w:pStyle w:val="Szvegtrzsbehzssal"/>
        <w:tabs>
          <w:tab w:val="left" w:pos="567"/>
        </w:tabs>
        <w:ind w:left="0"/>
        <w:rPr>
          <w:sz w:val="22"/>
          <w:szCs w:val="22"/>
          <w:lang w:val="hu-HU"/>
        </w:rPr>
      </w:pPr>
    </w:p>
    <w:p w14:paraId="3556FD8E" w14:textId="77777777" w:rsidR="00C67376" w:rsidRDefault="0022703E">
      <w:pPr>
        <w:pStyle w:val="Szvegtrzsbehzssal"/>
        <w:tabs>
          <w:tab w:val="left" w:pos="567"/>
        </w:tabs>
        <w:ind w:left="0"/>
        <w:rPr>
          <w:sz w:val="22"/>
          <w:szCs w:val="22"/>
          <w:lang w:val="hu-HU"/>
        </w:rPr>
      </w:pPr>
      <w:r>
        <w:rPr>
          <w:sz w:val="22"/>
          <w:szCs w:val="22"/>
          <w:lang w:val="hu-HU"/>
        </w:rPr>
        <w:t>Egy 115 beteg részvételével végzett, hosszú távú megfigyeléses gyermekgyógyászati vizsgálatban a biztonságossági profil hasonló volt a korábbi gyermekgyógyászati vizsgálatokban megfigyelthez, és nem jelentettek új nemkívánatos eseményt (lásd 5.1 pont).</w:t>
      </w:r>
    </w:p>
    <w:p w14:paraId="6549EFF9" w14:textId="77777777" w:rsidR="00C67376" w:rsidRDefault="00C67376">
      <w:pPr>
        <w:spacing w:line="240" w:lineRule="auto"/>
        <w:rPr>
          <w:u w:val="single"/>
          <w:lang w:val="hu-HU"/>
        </w:rPr>
      </w:pPr>
    </w:p>
    <w:p w14:paraId="608816EB" w14:textId="77777777" w:rsidR="00C67376" w:rsidRDefault="0022703E">
      <w:pPr>
        <w:spacing w:line="240" w:lineRule="auto"/>
        <w:rPr>
          <w:u w:val="single"/>
          <w:lang w:val="hu-HU"/>
        </w:rPr>
      </w:pPr>
      <w:r>
        <w:rPr>
          <w:u w:val="single"/>
          <w:lang w:val="hu-HU"/>
        </w:rPr>
        <w:t>Feltételezett mellékhatások bejelentése</w:t>
      </w:r>
    </w:p>
    <w:p w14:paraId="5FE4320D" w14:textId="77777777" w:rsidR="00C67376" w:rsidRDefault="0022703E">
      <w:pPr>
        <w:spacing w:line="240" w:lineRule="auto"/>
        <w:rPr>
          <w:lang w:val="hu-HU"/>
        </w:rPr>
      </w:pPr>
      <w:r>
        <w:rPr>
          <w:lang w:val="hu-HU"/>
        </w:rPr>
        <w:t>A gyógyszer engedélyezését követően lényeges a feltételezett mellékhatások bejelentése, mert ez fontos eszköze annak, hogy a gyógyszer előny/kockázat profilját folyamatosan figyelemmel lehessen kísérni.</w:t>
      </w:r>
    </w:p>
    <w:p w14:paraId="50610027" w14:textId="1B3FA21C" w:rsidR="00C67376" w:rsidRDefault="0022703E">
      <w:pPr>
        <w:spacing w:line="240" w:lineRule="auto"/>
        <w:rPr>
          <w:lang w:val="hu-HU"/>
        </w:rPr>
      </w:pPr>
      <w:r>
        <w:rPr>
          <w:lang w:val="hu-HU"/>
        </w:rPr>
        <w:t xml:space="preserve">Az egészségügyi szakembereket kérjük, hogy jelentsék be a feltételezett mellékhatásokat a hatóság részére az </w:t>
      </w:r>
      <w:hyperlink r:id="rId8" w:history="1">
        <w:r>
          <w:rPr>
            <w:rStyle w:val="HyperlinkFooterChar2FooterChar1CharFooterChar2CharChar1FooterChar1CharCharCharllbCharCharCharCharCharFooterChar1CharCharCharChar1CharFooterChar2CharChar1CharCharCharChar"/>
            <w:lang w:val="hu-HU"/>
          </w:rPr>
          <w:t>V. függelékben</w:t>
        </w:r>
      </w:hyperlink>
      <w:r>
        <w:rPr>
          <w:lang w:val="hu-HU"/>
        </w:rPr>
        <w:t xml:space="preserve"> található elérhetőségek valamelyikén keresztül</w:t>
      </w:r>
      <w:r>
        <w:rPr>
          <w:color w:val="008000"/>
          <w:lang w:val="hu-HU"/>
        </w:rPr>
        <w:t>.</w:t>
      </w:r>
    </w:p>
    <w:p w14:paraId="344FB36F" w14:textId="77777777" w:rsidR="00C67376" w:rsidRDefault="00C67376">
      <w:pPr>
        <w:spacing w:line="240" w:lineRule="auto"/>
        <w:rPr>
          <w:b/>
          <w:bCs/>
          <w:lang w:val="hu-HU"/>
        </w:rPr>
      </w:pPr>
    </w:p>
    <w:p w14:paraId="70A365F0" w14:textId="77777777" w:rsidR="00C67376" w:rsidRDefault="0022703E">
      <w:pPr>
        <w:spacing w:line="240" w:lineRule="auto"/>
        <w:ind w:left="567" w:hanging="567"/>
        <w:outlineLvl w:val="0"/>
        <w:rPr>
          <w:b/>
          <w:bCs/>
          <w:lang w:val="hu-HU"/>
        </w:rPr>
      </w:pPr>
      <w:r>
        <w:rPr>
          <w:b/>
          <w:bCs/>
          <w:lang w:val="hu-HU"/>
        </w:rPr>
        <w:t>4.9</w:t>
      </w:r>
      <w:r>
        <w:rPr>
          <w:b/>
          <w:bCs/>
          <w:lang w:val="hu-HU"/>
        </w:rPr>
        <w:tab/>
        <w:t>Túladagolás</w:t>
      </w:r>
    </w:p>
    <w:p w14:paraId="478AA65E" w14:textId="77777777" w:rsidR="00C67376" w:rsidRDefault="00C67376">
      <w:pPr>
        <w:spacing w:line="240" w:lineRule="auto"/>
        <w:ind w:left="567" w:hanging="567"/>
        <w:outlineLvl w:val="0"/>
        <w:rPr>
          <w:b/>
          <w:bCs/>
          <w:lang w:val="hu-HU"/>
        </w:rPr>
      </w:pPr>
    </w:p>
    <w:p w14:paraId="2D1D397E" w14:textId="77777777" w:rsidR="00C67376" w:rsidRDefault="0022703E">
      <w:pPr>
        <w:spacing w:line="240" w:lineRule="auto"/>
        <w:ind w:left="567" w:hanging="567"/>
        <w:outlineLvl w:val="0"/>
        <w:rPr>
          <w:u w:val="single"/>
          <w:lang w:val="hu-HU"/>
        </w:rPr>
      </w:pPr>
      <w:r>
        <w:rPr>
          <w:u w:val="single"/>
          <w:lang w:val="hu-HU"/>
        </w:rPr>
        <w:t>Tünetek</w:t>
      </w:r>
    </w:p>
    <w:p w14:paraId="55336C57" w14:textId="77777777" w:rsidR="00C67376" w:rsidRDefault="0022703E">
      <w:pPr>
        <w:rPr>
          <w:lang w:val="hu-HU"/>
        </w:rPr>
      </w:pPr>
      <w:r>
        <w:rPr>
          <w:lang w:val="hu-HU"/>
        </w:rPr>
        <w:t xml:space="preserve">Eltekintve bizonyos szem-irritációktól és a conjunctiva hyperaemiájától, a Vizilatan túladagolásnak nem ismert egyéb, szemet érintő mellékhatása. </w:t>
      </w:r>
    </w:p>
    <w:p w14:paraId="30D03014" w14:textId="77777777" w:rsidR="00C67376" w:rsidRDefault="00C67376">
      <w:pPr>
        <w:ind w:right="-367"/>
        <w:rPr>
          <w:lang w:val="hu-HU"/>
        </w:rPr>
      </w:pPr>
    </w:p>
    <w:p w14:paraId="3DD14D60" w14:textId="77777777" w:rsidR="00C67376" w:rsidRDefault="0022703E">
      <w:pPr>
        <w:pStyle w:val="Szvegtrzsbehzssal"/>
        <w:tabs>
          <w:tab w:val="left" w:pos="567"/>
        </w:tabs>
        <w:ind w:left="0"/>
        <w:rPr>
          <w:sz w:val="22"/>
          <w:szCs w:val="22"/>
          <w:u w:val="single"/>
          <w:lang w:val="hu-HU"/>
        </w:rPr>
      </w:pPr>
      <w:r>
        <w:rPr>
          <w:sz w:val="22"/>
          <w:szCs w:val="22"/>
          <w:u w:val="single"/>
          <w:lang w:val="hu-HU"/>
        </w:rPr>
        <w:t>Kezelés</w:t>
      </w:r>
    </w:p>
    <w:p w14:paraId="21923B1C" w14:textId="77777777" w:rsidR="00C67376" w:rsidRDefault="0022703E">
      <w:pPr>
        <w:pStyle w:val="Szvegtrzsbehzssal"/>
        <w:tabs>
          <w:tab w:val="left" w:pos="567"/>
        </w:tabs>
        <w:ind w:left="0"/>
        <w:rPr>
          <w:sz w:val="22"/>
          <w:szCs w:val="22"/>
          <w:lang w:val="hu-HU"/>
        </w:rPr>
      </w:pPr>
      <w:r>
        <w:rPr>
          <w:sz w:val="22"/>
          <w:szCs w:val="22"/>
          <w:lang w:val="hu-HU"/>
        </w:rPr>
        <w:t>Egészséges önkénteseknél 3 mikrogramm/ttkg latanoproszt intravénás infúzióban adva nem váltott ki tüneteket, de 5,5-10 mikrogramm/ttkg dózisban hányingert, hasi fájdalmat, szédülést, fáradtságot, kimelegedést, izzadást okozott. Majmoknál a latanoproszt intravénás infúziójának 500 mikrogramm/ttkg dózisig nincs jelentős hatása a kardiovaszkuláris rendszerre.</w:t>
      </w:r>
    </w:p>
    <w:p w14:paraId="01F275D8" w14:textId="77777777" w:rsidR="00C67376" w:rsidRDefault="00C67376">
      <w:pPr>
        <w:ind w:right="-367"/>
        <w:rPr>
          <w:lang w:val="hu-HU"/>
        </w:rPr>
      </w:pPr>
    </w:p>
    <w:p w14:paraId="4D9F9CAF" w14:textId="77777777" w:rsidR="00C67376" w:rsidRDefault="0022703E">
      <w:pPr>
        <w:rPr>
          <w:lang w:val="hu-HU"/>
        </w:rPr>
      </w:pPr>
      <w:r>
        <w:rPr>
          <w:lang w:val="hu-HU"/>
        </w:rPr>
        <w:t>A latanoproszt intravénás beadása majmoknál átmeneti bronchus szűkületet váltott ki. Közepesen súlyos asthma bronchialéban szenvedő betegeknél a Vizilatan nem okozott bronchoconstrictiót a szemben lokálisan, a klinikai dózis hétszeresét alkalmazva.</w:t>
      </w:r>
    </w:p>
    <w:p w14:paraId="7F4ACEC6" w14:textId="77777777" w:rsidR="00C67376" w:rsidRDefault="00C67376">
      <w:pPr>
        <w:rPr>
          <w:lang w:val="hu-HU"/>
        </w:rPr>
      </w:pPr>
    </w:p>
    <w:p w14:paraId="73EB73AB" w14:textId="77777777" w:rsidR="00C67376" w:rsidRDefault="0022703E">
      <w:pPr>
        <w:rPr>
          <w:lang w:val="hu-HU"/>
        </w:rPr>
      </w:pPr>
      <w:r>
        <w:rPr>
          <w:lang w:val="hu-HU"/>
        </w:rPr>
        <w:t>Vizilatan túladagolás esetén tüneti kezelést kell alkalmazni.</w:t>
      </w:r>
    </w:p>
    <w:p w14:paraId="2AC15D23" w14:textId="77777777" w:rsidR="00C67376" w:rsidRDefault="00C67376">
      <w:pPr>
        <w:spacing w:line="240" w:lineRule="auto"/>
        <w:ind w:left="567" w:hanging="567"/>
        <w:outlineLvl w:val="0"/>
        <w:rPr>
          <w:b/>
          <w:bCs/>
          <w:lang w:val="hu-HU"/>
        </w:rPr>
      </w:pPr>
    </w:p>
    <w:p w14:paraId="571EBE7D" w14:textId="77777777" w:rsidR="00C67376" w:rsidRDefault="0022703E">
      <w:pPr>
        <w:spacing w:line="240" w:lineRule="auto"/>
        <w:ind w:left="567" w:hanging="567"/>
        <w:outlineLvl w:val="0"/>
        <w:rPr>
          <w:lang w:val="hu-HU"/>
        </w:rPr>
      </w:pPr>
      <w:r>
        <w:rPr>
          <w:lang w:val="hu-HU"/>
        </w:rPr>
        <w:t>A Vizilatan oldatos szemcsepp véletlen lenyelésekor a következő információk hasznosak lehetnek:</w:t>
      </w:r>
    </w:p>
    <w:p w14:paraId="517E92C8" w14:textId="77777777" w:rsidR="00C67376" w:rsidRDefault="0022703E">
      <w:pPr>
        <w:spacing w:line="240" w:lineRule="auto"/>
        <w:ind w:left="567" w:hanging="567"/>
        <w:outlineLvl w:val="0"/>
        <w:rPr>
          <w:lang w:val="hu-HU"/>
        </w:rPr>
      </w:pPr>
      <w:r>
        <w:rPr>
          <w:lang w:val="hu-HU"/>
        </w:rPr>
        <w:t>egy cseppentős tartály 125 mikrogramm latanoprosztot tartalmaz. Több mint 90%-a májon át „first</w:t>
      </w:r>
    </w:p>
    <w:p w14:paraId="7FD1E688" w14:textId="77777777" w:rsidR="00C67376" w:rsidRDefault="0022703E">
      <w:pPr>
        <w:spacing w:line="240" w:lineRule="auto"/>
        <w:ind w:left="567" w:hanging="567"/>
        <w:outlineLvl w:val="0"/>
        <w:rPr>
          <w:b/>
          <w:bCs/>
          <w:lang w:val="hu-HU"/>
        </w:rPr>
      </w:pPr>
      <w:r>
        <w:rPr>
          <w:lang w:val="hu-HU"/>
        </w:rPr>
        <w:t>pass” mechanizmus révén metabolizálódik.</w:t>
      </w:r>
    </w:p>
    <w:p w14:paraId="3285F47B" w14:textId="77777777" w:rsidR="00C67376" w:rsidRDefault="00C67376">
      <w:pPr>
        <w:spacing w:line="240" w:lineRule="auto"/>
        <w:ind w:left="567" w:hanging="567"/>
        <w:outlineLvl w:val="0"/>
        <w:rPr>
          <w:b/>
          <w:bCs/>
          <w:lang w:val="hu-HU"/>
        </w:rPr>
      </w:pPr>
    </w:p>
    <w:p w14:paraId="5800DCF0" w14:textId="77777777" w:rsidR="00C67376" w:rsidRDefault="00C67376">
      <w:pPr>
        <w:spacing w:line="240" w:lineRule="auto"/>
        <w:ind w:left="567" w:hanging="567"/>
        <w:outlineLvl w:val="0"/>
        <w:rPr>
          <w:b/>
          <w:bCs/>
          <w:lang w:val="hu-HU"/>
        </w:rPr>
      </w:pPr>
    </w:p>
    <w:p w14:paraId="3428BD41" w14:textId="77777777" w:rsidR="00C67376" w:rsidRDefault="0022703E">
      <w:pPr>
        <w:spacing w:line="240" w:lineRule="auto"/>
        <w:ind w:left="567" w:hanging="567"/>
        <w:outlineLvl w:val="0"/>
        <w:rPr>
          <w:b/>
          <w:bCs/>
          <w:lang w:val="hu-HU"/>
        </w:rPr>
      </w:pPr>
      <w:r>
        <w:rPr>
          <w:b/>
          <w:bCs/>
          <w:lang w:val="hu-HU"/>
        </w:rPr>
        <w:t>5.</w:t>
      </w:r>
      <w:r>
        <w:rPr>
          <w:b/>
          <w:bCs/>
          <w:lang w:val="hu-HU"/>
        </w:rPr>
        <w:tab/>
        <w:t>FARMAKOLÓGIAI TULAJDONSÁGOK</w:t>
      </w:r>
    </w:p>
    <w:p w14:paraId="19F126D4" w14:textId="77777777" w:rsidR="00C67376" w:rsidRDefault="00C67376">
      <w:pPr>
        <w:spacing w:line="240" w:lineRule="auto"/>
        <w:ind w:left="567" w:hanging="567"/>
        <w:outlineLvl w:val="0"/>
        <w:rPr>
          <w:b/>
          <w:bCs/>
          <w:lang w:val="hu-HU"/>
        </w:rPr>
      </w:pPr>
    </w:p>
    <w:p w14:paraId="536B600B" w14:textId="77777777" w:rsidR="00C67376" w:rsidRDefault="0022703E">
      <w:pPr>
        <w:spacing w:line="240" w:lineRule="auto"/>
        <w:ind w:left="567" w:hanging="567"/>
        <w:outlineLvl w:val="0"/>
        <w:rPr>
          <w:b/>
          <w:bCs/>
          <w:lang w:val="hu-HU"/>
        </w:rPr>
      </w:pPr>
      <w:r>
        <w:rPr>
          <w:b/>
          <w:bCs/>
          <w:lang w:val="hu-HU"/>
        </w:rPr>
        <w:t>5.1</w:t>
      </w:r>
      <w:r>
        <w:rPr>
          <w:b/>
          <w:bCs/>
          <w:lang w:val="hu-HU"/>
        </w:rPr>
        <w:tab/>
        <w:t>Farmakodinámiás tulajdonságok</w:t>
      </w:r>
    </w:p>
    <w:p w14:paraId="59505558" w14:textId="77777777" w:rsidR="00C67376" w:rsidRDefault="00C67376">
      <w:pPr>
        <w:spacing w:line="240" w:lineRule="auto"/>
        <w:rPr>
          <w:lang w:val="hu-HU"/>
        </w:rPr>
      </w:pPr>
    </w:p>
    <w:p w14:paraId="79E6F884" w14:textId="77777777" w:rsidR="00C67376" w:rsidRDefault="0022703E">
      <w:pPr>
        <w:rPr>
          <w:lang w:val="hu-HU"/>
        </w:rPr>
      </w:pPr>
      <w:r>
        <w:rPr>
          <w:lang w:val="hu-HU"/>
        </w:rPr>
        <w:t>Farmakoterápiás csoport: szemészeti készítmények, glaucoma elleni készítmények és pupillaszűkítők, prosztaglandin-analógok,</w:t>
      </w:r>
    </w:p>
    <w:p w14:paraId="2CD8E135" w14:textId="77777777" w:rsidR="00C67376" w:rsidRDefault="0022703E">
      <w:pPr>
        <w:rPr>
          <w:lang w:val="hu-HU"/>
        </w:rPr>
      </w:pPr>
      <w:r>
        <w:rPr>
          <w:lang w:val="hu-HU"/>
        </w:rPr>
        <w:t>ATC-kód: S01E E01</w:t>
      </w:r>
    </w:p>
    <w:p w14:paraId="17446E78" w14:textId="77777777" w:rsidR="00C67376" w:rsidRDefault="00C67376">
      <w:pPr>
        <w:pStyle w:val="Vgjegyzetszvege"/>
        <w:tabs>
          <w:tab w:val="left" w:pos="567"/>
        </w:tabs>
        <w:spacing w:line="240" w:lineRule="auto"/>
        <w:rPr>
          <w:lang w:val="hu-HU"/>
        </w:rPr>
      </w:pPr>
    </w:p>
    <w:p w14:paraId="374EBE9F" w14:textId="77777777" w:rsidR="00C67376" w:rsidRDefault="0022703E">
      <w:pPr>
        <w:spacing w:line="240" w:lineRule="auto"/>
        <w:rPr>
          <w:u w:val="single"/>
          <w:lang w:val="hu-HU"/>
        </w:rPr>
      </w:pPr>
      <w:r>
        <w:rPr>
          <w:u w:val="single"/>
          <w:lang w:val="hu-HU"/>
        </w:rPr>
        <w:t>Hatásmechanizmus</w:t>
      </w:r>
    </w:p>
    <w:p w14:paraId="62F3A91C" w14:textId="77777777" w:rsidR="00C67376" w:rsidRDefault="0022703E">
      <w:pPr>
        <w:rPr>
          <w:lang w:val="hu-HU"/>
        </w:rPr>
      </w:pPr>
      <w:r>
        <w:rPr>
          <w:lang w:val="hu-HU"/>
        </w:rPr>
        <w:t>A hatóanyag a latanoproszt, egy prosztaglandin F</w:t>
      </w:r>
      <w:r>
        <w:rPr>
          <w:vertAlign w:val="subscript"/>
          <w:lang w:val="hu-HU"/>
        </w:rPr>
        <w:t>2</w:t>
      </w:r>
      <w:r>
        <w:rPr>
          <w:rFonts w:ascii="Symbol" w:hAnsi="Symbol"/>
          <w:vertAlign w:val="subscript"/>
          <w:lang w:val="hu-HU"/>
        </w:rPr>
        <w:t></w:t>
      </w:r>
      <w:r>
        <w:rPr>
          <w:lang w:val="hu-HU"/>
        </w:rPr>
        <w:t xml:space="preserve"> analóg, szelektív prosztanoid FP receptor agonista, mely a csarnokvíz uveoscleralis elfolyásának növelésével csökkenti a szem belnyomását. A szembelnyomás csökkenése embernél körülbelül az alkalmazást követő 3. és 4. óra között kezdődik. A készítmény maximális hatását a 8. óra és a 12. óra között éri el. A nyomáscsökkenés 24 órán át megtartott.</w:t>
      </w:r>
    </w:p>
    <w:p w14:paraId="38AB7EB9" w14:textId="77777777" w:rsidR="00C67376" w:rsidRDefault="00C67376">
      <w:pPr>
        <w:rPr>
          <w:lang w:val="hu-HU"/>
        </w:rPr>
      </w:pPr>
    </w:p>
    <w:p w14:paraId="26295A19" w14:textId="77777777" w:rsidR="00C67376" w:rsidRDefault="0022703E">
      <w:pPr>
        <w:rPr>
          <w:lang w:val="hu-HU"/>
        </w:rPr>
      </w:pPr>
      <w:r>
        <w:rPr>
          <w:lang w:val="hu-HU" w:eastAsia="en-GB"/>
        </w:rPr>
        <w:t xml:space="preserve">Az állatkísérletek és a humán </w:t>
      </w:r>
      <w:r>
        <w:rPr>
          <w:lang w:val="hu-HU"/>
        </w:rPr>
        <w:t>vizsgálatok szerint a hatás fő hatásmechanizmus a fokozott uveoscleralis elfolyás. Ezenkívül más elfolyást növelő lehetőségről is beszámoltak humán vonatkozásban (a trabecularis elfolyás ellenállásának csökkentése).</w:t>
      </w:r>
    </w:p>
    <w:p w14:paraId="1B723139" w14:textId="77777777" w:rsidR="00C67376" w:rsidRDefault="00C67376">
      <w:pPr>
        <w:rPr>
          <w:lang w:val="hu-HU"/>
        </w:rPr>
      </w:pPr>
    </w:p>
    <w:p w14:paraId="06D71DC5" w14:textId="77777777" w:rsidR="00C67376" w:rsidRDefault="0022703E">
      <w:pPr>
        <w:spacing w:line="240" w:lineRule="auto"/>
        <w:rPr>
          <w:u w:val="single"/>
          <w:lang w:val="hu-HU"/>
        </w:rPr>
      </w:pPr>
      <w:r>
        <w:rPr>
          <w:u w:val="single"/>
          <w:lang w:val="hu-HU"/>
        </w:rPr>
        <w:t>Farmakodinámiás hatások</w:t>
      </w:r>
    </w:p>
    <w:p w14:paraId="059DBBAD" w14:textId="77777777" w:rsidR="00C67376" w:rsidRDefault="0022703E">
      <w:pPr>
        <w:pStyle w:val="Szvegtrzsbehzssal"/>
        <w:tabs>
          <w:tab w:val="left" w:pos="567"/>
        </w:tabs>
        <w:ind w:left="0"/>
        <w:rPr>
          <w:sz w:val="22"/>
          <w:szCs w:val="22"/>
          <w:lang w:val="hu-HU"/>
        </w:rPr>
      </w:pPr>
      <w:r>
        <w:rPr>
          <w:sz w:val="22"/>
          <w:szCs w:val="22"/>
          <w:lang w:val="hu-HU"/>
        </w:rPr>
        <w:t xml:space="preserve">Kulcsfontosságú (pivotális) vizsgálatok bizonyították a latanoproszt hatásosságát monoterápiában. Kombinációban történő alkalmazásra vonatkozóan is végeztek vizsgálatokat. Ide tartoznak azok a vizsgálatok, melyek igazolták, hogy a latanoproszt hatásos béta adrenerg receptor antagonistákkal (timolol) kombinációban alkalmazva. Rövid távú (1-2 hétig tartó) vizsgálatok szerint a latanoproszt hatása adrenerg agonistákkal (dipivalil epinefrin), </w:t>
      </w:r>
      <w:r>
        <w:rPr>
          <w:i/>
          <w:sz w:val="22"/>
          <w:szCs w:val="22"/>
          <w:lang w:val="hu-HU"/>
        </w:rPr>
        <w:t>per os</w:t>
      </w:r>
      <w:r>
        <w:rPr>
          <w:sz w:val="22"/>
          <w:szCs w:val="22"/>
          <w:lang w:val="hu-HU"/>
        </w:rPr>
        <w:t xml:space="preserve"> alkalmazott karboanhidráz gátlókkal (acetazolamid) kombinációban alkalmazva additív és kolinerg agonistákkal (pilokarpin) legalább részben additív.</w:t>
      </w:r>
    </w:p>
    <w:p w14:paraId="0F359CAA" w14:textId="77777777" w:rsidR="00C67376" w:rsidRDefault="00C67376">
      <w:pPr>
        <w:pStyle w:val="Szvegtrzsbehzssal"/>
        <w:tabs>
          <w:tab w:val="left" w:pos="567"/>
        </w:tabs>
        <w:ind w:left="0"/>
        <w:rPr>
          <w:sz w:val="22"/>
          <w:szCs w:val="22"/>
          <w:lang w:val="hu-HU"/>
        </w:rPr>
      </w:pPr>
    </w:p>
    <w:p w14:paraId="16C7DDCF" w14:textId="77777777" w:rsidR="00C67376" w:rsidRDefault="0022703E">
      <w:pPr>
        <w:pStyle w:val="Szvegtrzsbehzssal"/>
        <w:tabs>
          <w:tab w:val="left" w:pos="567"/>
        </w:tabs>
        <w:ind w:left="0"/>
        <w:rPr>
          <w:sz w:val="22"/>
          <w:szCs w:val="22"/>
          <w:lang w:val="hu-HU"/>
        </w:rPr>
      </w:pPr>
      <w:r>
        <w:rPr>
          <w:sz w:val="22"/>
          <w:szCs w:val="22"/>
          <w:lang w:val="hu-HU"/>
        </w:rPr>
        <w:t>Klinikai vizsgálatok szerint a latanoprosztnak nincs szignifikáns hatása a csarnokvíz termelődésére. A latanoprosztnak nincs hatása a vér-csarnokvíz barrierre.</w:t>
      </w:r>
    </w:p>
    <w:p w14:paraId="0C94FC95" w14:textId="77777777" w:rsidR="00C67376" w:rsidRDefault="00C67376">
      <w:pPr>
        <w:pStyle w:val="Szvegtrzsbehzssal"/>
        <w:tabs>
          <w:tab w:val="left" w:pos="567"/>
        </w:tabs>
        <w:ind w:left="0"/>
        <w:rPr>
          <w:sz w:val="22"/>
          <w:szCs w:val="22"/>
          <w:lang w:val="hu-HU"/>
        </w:rPr>
      </w:pPr>
    </w:p>
    <w:p w14:paraId="4AAAA450" w14:textId="77777777" w:rsidR="00C67376" w:rsidRDefault="0022703E">
      <w:pPr>
        <w:pStyle w:val="Szvegtrzsbehzssal"/>
        <w:tabs>
          <w:tab w:val="left" w:pos="567"/>
        </w:tabs>
        <w:ind w:left="0"/>
        <w:rPr>
          <w:sz w:val="22"/>
          <w:szCs w:val="22"/>
          <w:lang w:val="hu-HU"/>
        </w:rPr>
      </w:pPr>
      <w:r>
        <w:rPr>
          <w:sz w:val="22"/>
          <w:szCs w:val="22"/>
          <w:lang w:val="hu-HU"/>
        </w:rPr>
        <w:t>Majmokon végzett kísérletek azt bizonyították, hogy a latanoproszt klinikai adagjának nincs, vagy elhanyagolható hatása van az intraocularis vérkeringésre. Helyi kezelés alatt azonban enyhe vagy mérsékelt kötőhártya- vagy episcleralis hyperaemia előfordulhat.</w:t>
      </w:r>
    </w:p>
    <w:p w14:paraId="0F6E7625" w14:textId="77777777" w:rsidR="00C67376" w:rsidRDefault="00C67376">
      <w:pPr>
        <w:pStyle w:val="Szvegtrzsbehzssal"/>
        <w:tabs>
          <w:tab w:val="left" w:pos="567"/>
        </w:tabs>
        <w:ind w:left="0"/>
        <w:rPr>
          <w:sz w:val="22"/>
          <w:szCs w:val="22"/>
          <w:lang w:val="hu-HU"/>
        </w:rPr>
      </w:pPr>
    </w:p>
    <w:p w14:paraId="1BB71E32" w14:textId="77777777" w:rsidR="00C67376" w:rsidRDefault="0022703E">
      <w:pPr>
        <w:pStyle w:val="Szvegtrzsbehzssal"/>
        <w:tabs>
          <w:tab w:val="left" w:pos="567"/>
        </w:tabs>
        <w:ind w:left="0"/>
        <w:rPr>
          <w:sz w:val="22"/>
          <w:szCs w:val="22"/>
          <w:lang w:val="hu-HU"/>
        </w:rPr>
      </w:pPr>
      <w:r>
        <w:rPr>
          <w:sz w:val="22"/>
          <w:szCs w:val="22"/>
          <w:lang w:val="hu-HU"/>
        </w:rPr>
        <w:t>Exracapsularis lencseextrakción átesett majom szemek krónikus latanoproszt kezelése nem befolyásolta a retina ereit fluoreszcein-angiográfiás vizsgálat szerint.</w:t>
      </w:r>
    </w:p>
    <w:p w14:paraId="5B0E12D8" w14:textId="77777777" w:rsidR="00C67376" w:rsidRDefault="00C67376">
      <w:pPr>
        <w:pStyle w:val="Szvegtrzsbehzssal"/>
        <w:tabs>
          <w:tab w:val="left" w:pos="567"/>
        </w:tabs>
        <w:ind w:left="0"/>
        <w:rPr>
          <w:sz w:val="22"/>
          <w:szCs w:val="22"/>
          <w:lang w:val="hu-HU"/>
        </w:rPr>
      </w:pPr>
    </w:p>
    <w:p w14:paraId="45F5C887" w14:textId="77777777" w:rsidR="00C67376" w:rsidRDefault="0022703E">
      <w:pPr>
        <w:pStyle w:val="Szvegtrzsbehzssal"/>
        <w:tabs>
          <w:tab w:val="left" w:pos="567"/>
        </w:tabs>
        <w:ind w:left="0"/>
        <w:rPr>
          <w:sz w:val="22"/>
          <w:szCs w:val="22"/>
          <w:lang w:val="hu-HU"/>
        </w:rPr>
      </w:pPr>
      <w:r>
        <w:rPr>
          <w:sz w:val="22"/>
          <w:szCs w:val="22"/>
          <w:lang w:val="hu-HU"/>
        </w:rPr>
        <w:t>Rövid távú kezelés során a latanoproszt nem okozott fluoreszcein szivárgást a pseudophakiás emberi szem hátsó szegmensében.</w:t>
      </w:r>
    </w:p>
    <w:p w14:paraId="011AB7A4" w14:textId="77777777" w:rsidR="00C67376" w:rsidRDefault="00C67376">
      <w:pPr>
        <w:pStyle w:val="Szvegtrzsbehzssal"/>
        <w:tabs>
          <w:tab w:val="left" w:pos="567"/>
        </w:tabs>
        <w:ind w:left="0"/>
        <w:rPr>
          <w:sz w:val="22"/>
          <w:szCs w:val="22"/>
          <w:lang w:val="hu-HU"/>
        </w:rPr>
      </w:pPr>
    </w:p>
    <w:p w14:paraId="7903C4D3" w14:textId="77777777" w:rsidR="00C67376" w:rsidRDefault="0022703E">
      <w:pPr>
        <w:rPr>
          <w:lang w:val="hu-HU"/>
        </w:rPr>
      </w:pPr>
      <w:r>
        <w:rPr>
          <w:lang w:val="hu-HU"/>
        </w:rPr>
        <w:t>A latanoproszt klinikai dózisokban alkalmazva nem mutatott szignifikáns farmakológiai hatást a kardiovaszkuláris- és légzőrendszerre.</w:t>
      </w:r>
    </w:p>
    <w:p w14:paraId="20A2BFFA" w14:textId="77777777" w:rsidR="00C67376" w:rsidRDefault="00C67376">
      <w:pPr>
        <w:spacing w:line="240" w:lineRule="auto"/>
        <w:rPr>
          <w:u w:val="single"/>
          <w:lang w:val="hu-HU"/>
        </w:rPr>
      </w:pPr>
    </w:p>
    <w:p w14:paraId="1EAB9970" w14:textId="77777777" w:rsidR="00C67376" w:rsidRDefault="0022703E">
      <w:pPr>
        <w:spacing w:line="240" w:lineRule="auto"/>
        <w:rPr>
          <w:u w:val="single"/>
          <w:lang w:val="hu-HU"/>
        </w:rPr>
      </w:pPr>
      <w:r>
        <w:rPr>
          <w:u w:val="single"/>
          <w:lang w:val="hu-HU"/>
        </w:rPr>
        <w:t>Gyermekek és serdülők</w:t>
      </w:r>
    </w:p>
    <w:p w14:paraId="382A1955" w14:textId="77777777" w:rsidR="00C67376" w:rsidRDefault="0022703E">
      <w:pPr>
        <w:rPr>
          <w:lang w:val="hu-HU"/>
        </w:rPr>
      </w:pPr>
      <w:r>
        <w:rPr>
          <w:lang w:val="hu-HU"/>
        </w:rPr>
        <w:t>18 évesnél fiatalabb gyermekgyógyászati betegeknél a latanoproszt hatásosságát egy, 107, ocularis hypertensióban és pediátriai glaucomában szenvedő beteg részvételével végzett, a latanoprosztot timolollal összehasonlító, 12 hetes, kettősen maszkírozott klinikai vizsgálatban vizsgálták. Az újszülöttek gesztációs korának legalább 36 hétnek kellett lennie. A betegek naponta egyszer 50 mikrogramm/ml latanoprosztot vagy naponta kétszer 0,5%-os (illetve a 3 éves kornál fiatalabb betegek 0,25%-os) timololt kaptak. Az elsődleges hatásossági végpont a kezelés kezdete és a vizsgálat 12. hete közötti átlagos intraocularis nyomáscsökkenés (IOP – intraocular pressure) volt. Az átlagos IOP-csökkenés hasonló volt a latanoproszttal, illetve timolollal kezelt csoportban. A 12. héten a latanoproszttal kezelt csoportban az átlagos IOP-csökkenés minden kezelt korcsoportban (0</w:t>
      </w:r>
      <w:r>
        <w:rPr>
          <w:lang w:val="hu-HU"/>
        </w:rPr>
        <w:noBreakHyphen/>
        <w:t>3 év, 3</w:t>
      </w:r>
      <w:r>
        <w:rPr>
          <w:lang w:val="hu-HU"/>
        </w:rPr>
        <w:noBreakHyphen/>
        <w:t>12 év és 12</w:t>
      </w:r>
      <w:r>
        <w:rPr>
          <w:lang w:val="hu-HU"/>
        </w:rPr>
        <w:noBreakHyphen/>
        <w:t>18 éves korú) hasonló volt a timolollal kezelt csoportban mérthez.</w:t>
      </w:r>
    </w:p>
    <w:p w14:paraId="421A9BD5" w14:textId="77777777" w:rsidR="00C67376" w:rsidRDefault="0022703E">
      <w:pPr>
        <w:rPr>
          <w:lang w:val="hu-HU"/>
        </w:rPr>
      </w:pPr>
      <w:r>
        <w:rPr>
          <w:lang w:val="hu-HU"/>
        </w:rPr>
        <w:t>Azonban a latanoprosztra vonatkozó hatásossági adatok a 0</w:t>
      </w:r>
      <w:r>
        <w:rPr>
          <w:lang w:val="hu-HU"/>
        </w:rPr>
        <w:noBreakHyphen/>
        <w:t>3 éves korcsoportban 13 beteg adatain alapulnak, és a gyermekgyógyászati klinikai vizsgálatban a 0</w:t>
      </w:r>
      <w:r>
        <w:rPr>
          <w:lang w:val="hu-HU"/>
        </w:rPr>
        <w:noBreakHyphen/>
        <w:t>1 éves korosztályt képviselő 4 betegnél releváns hatásosság nem volt kimutatható. Koraszülött (36 hét alatti gesztációs korú) csecsemőkre vonatkozó adatok nem állnak rendelkezésre.</w:t>
      </w:r>
    </w:p>
    <w:p w14:paraId="11D91EF0" w14:textId="77777777" w:rsidR="00C67376" w:rsidRDefault="00C67376">
      <w:pPr>
        <w:rPr>
          <w:lang w:val="hu-HU"/>
        </w:rPr>
      </w:pPr>
    </w:p>
    <w:p w14:paraId="51848785" w14:textId="77777777" w:rsidR="00C67376" w:rsidRDefault="0022703E">
      <w:pPr>
        <w:rPr>
          <w:lang w:val="hu-HU"/>
        </w:rPr>
      </w:pPr>
      <w:r>
        <w:rPr>
          <w:lang w:val="hu-HU"/>
        </w:rPr>
        <w:t>A primer congenitalis/infantilis glaucomában (PCG) szenvedő betegek alcsoportjában mért IOP-csökkenés hasonló volt a latanoproszttal, illetve timolollal kezelt csoportban. A nem PCG (juvenilis nyitott zugú glaucoma, aphakiás glaucoma) alcsoport hasonló eredményeket mutatott, mint a PCG alcsoport.</w:t>
      </w:r>
    </w:p>
    <w:p w14:paraId="644FEB35" w14:textId="77777777" w:rsidR="00C67376" w:rsidRDefault="00C67376">
      <w:pPr>
        <w:rPr>
          <w:lang w:val="hu-HU"/>
        </w:rPr>
      </w:pPr>
    </w:p>
    <w:p w14:paraId="68FF2DB0" w14:textId="77777777" w:rsidR="00C67376" w:rsidRDefault="0022703E">
      <w:pPr>
        <w:rPr>
          <w:lang w:val="hu-HU"/>
        </w:rPr>
      </w:pPr>
      <w:r>
        <w:rPr>
          <w:lang w:val="hu-HU"/>
        </w:rPr>
        <w:t>Az IOP-re gyakorolt hatás a kezelés első hete után (lásd a grafikont) megmutatkozott, és a vizsgálat 12 hetes időtartama alatt a felnőttekhez hasonlóan megtartott volt.</w:t>
      </w:r>
    </w:p>
    <w:p w14:paraId="2088A62F" w14:textId="77777777" w:rsidR="00C67376" w:rsidRDefault="00C67376">
      <w:pPr>
        <w:spacing w:line="240" w:lineRule="auto"/>
        <w:rPr>
          <w:lang w:val="hu-HU"/>
        </w:rPr>
      </w:pPr>
    </w:p>
    <w:tbl>
      <w:tblPr>
        <w:tblStyle w:val="TableNormal"/>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3185"/>
        <w:gridCol w:w="8"/>
        <w:gridCol w:w="1610"/>
        <w:gridCol w:w="1567"/>
        <w:gridCol w:w="1624"/>
        <w:gridCol w:w="1561"/>
      </w:tblGrid>
      <w:tr w:rsidR="00C67376" w14:paraId="2C22D7CE" w14:textId="77777777">
        <w:trPr>
          <w:cantSplit/>
          <w:tblHeader/>
        </w:trPr>
        <w:tc>
          <w:tcPr>
            <w:tcW w:w="9555" w:type="dxa"/>
            <w:gridSpan w:val="6"/>
          </w:tcPr>
          <w:p w14:paraId="355C2C78" w14:textId="77777777" w:rsidR="00C67376" w:rsidRDefault="0022703E">
            <w:pPr>
              <w:rPr>
                <w:b/>
                <w:bCs/>
                <w:lang w:val="hu-HU"/>
              </w:rPr>
            </w:pPr>
            <w:r>
              <w:rPr>
                <w:b/>
                <w:bCs/>
                <w:lang w:val="hu-HU"/>
              </w:rPr>
              <w:t>Táblázat: IOP-csökkenés (Hgmm) a 12. héten aktív kezelési csoportonként és a kezelés kezdetén felállított diagnózisokra vonatkoztatva</w:t>
            </w:r>
          </w:p>
        </w:tc>
      </w:tr>
      <w:tr w:rsidR="00C67376" w14:paraId="222106FA" w14:textId="77777777">
        <w:trPr>
          <w:cantSplit/>
          <w:tblHeader/>
        </w:trPr>
        <w:tc>
          <w:tcPr>
            <w:tcW w:w="3185" w:type="dxa"/>
          </w:tcPr>
          <w:p w14:paraId="4FBDB601" w14:textId="77777777" w:rsidR="00C67376" w:rsidRDefault="00C67376">
            <w:pPr>
              <w:rPr>
                <w:lang w:val="hu-HU"/>
              </w:rPr>
            </w:pPr>
          </w:p>
          <w:p w14:paraId="3BFC18BC" w14:textId="77777777" w:rsidR="00C67376" w:rsidRDefault="00C67376">
            <w:pPr>
              <w:rPr>
                <w:lang w:val="hu-HU"/>
              </w:rPr>
            </w:pPr>
          </w:p>
        </w:tc>
        <w:tc>
          <w:tcPr>
            <w:tcW w:w="3185" w:type="dxa"/>
            <w:gridSpan w:val="3"/>
          </w:tcPr>
          <w:p w14:paraId="514DAC01" w14:textId="77777777" w:rsidR="00C67376" w:rsidRDefault="0022703E">
            <w:pPr>
              <w:jc w:val="center"/>
              <w:rPr>
                <w:b/>
                <w:bCs/>
                <w:lang w:val="hu-HU"/>
              </w:rPr>
            </w:pPr>
            <w:r>
              <w:rPr>
                <w:b/>
                <w:bCs/>
                <w:lang w:val="hu-HU"/>
              </w:rPr>
              <w:t>Latanoproszt</w:t>
            </w:r>
          </w:p>
          <w:p w14:paraId="2BCC75AF" w14:textId="77777777" w:rsidR="00C67376" w:rsidRDefault="0022703E">
            <w:pPr>
              <w:jc w:val="center"/>
              <w:rPr>
                <w:b/>
                <w:bCs/>
                <w:lang w:val="hu-HU"/>
              </w:rPr>
            </w:pPr>
            <w:r>
              <w:rPr>
                <w:b/>
                <w:bCs/>
                <w:lang w:val="hu-HU"/>
              </w:rPr>
              <w:t>N=53</w:t>
            </w:r>
          </w:p>
        </w:tc>
        <w:tc>
          <w:tcPr>
            <w:tcW w:w="3185" w:type="dxa"/>
            <w:gridSpan w:val="2"/>
          </w:tcPr>
          <w:p w14:paraId="5DCB93D0" w14:textId="77777777" w:rsidR="00C67376" w:rsidRDefault="0022703E">
            <w:pPr>
              <w:jc w:val="center"/>
              <w:rPr>
                <w:b/>
                <w:bCs/>
                <w:lang w:val="hu-HU"/>
              </w:rPr>
            </w:pPr>
            <w:r>
              <w:rPr>
                <w:b/>
                <w:bCs/>
                <w:lang w:val="hu-HU"/>
              </w:rPr>
              <w:t>Timolol</w:t>
            </w:r>
          </w:p>
          <w:p w14:paraId="65F27936" w14:textId="77777777" w:rsidR="00C67376" w:rsidRDefault="0022703E">
            <w:pPr>
              <w:jc w:val="center"/>
              <w:rPr>
                <w:b/>
                <w:bCs/>
                <w:lang w:val="hu-HU"/>
              </w:rPr>
            </w:pPr>
            <w:r>
              <w:rPr>
                <w:b/>
                <w:bCs/>
                <w:lang w:val="hu-HU"/>
              </w:rPr>
              <w:t>N=54</w:t>
            </w:r>
          </w:p>
        </w:tc>
      </w:tr>
      <w:tr w:rsidR="00C67376" w14:paraId="77B6A55C" w14:textId="77777777">
        <w:trPr>
          <w:cantSplit/>
          <w:tblHeader/>
        </w:trPr>
        <w:tc>
          <w:tcPr>
            <w:tcW w:w="3185" w:type="dxa"/>
          </w:tcPr>
          <w:p w14:paraId="6815700C" w14:textId="77777777" w:rsidR="00C67376" w:rsidRDefault="0022703E">
            <w:pPr>
              <w:rPr>
                <w:lang w:val="hu-HU"/>
              </w:rPr>
            </w:pPr>
            <w:r>
              <w:rPr>
                <w:lang w:val="hu-HU"/>
              </w:rPr>
              <w:t>Kiindulási átlag (SH)</w:t>
            </w:r>
          </w:p>
        </w:tc>
        <w:tc>
          <w:tcPr>
            <w:tcW w:w="3185" w:type="dxa"/>
            <w:gridSpan w:val="3"/>
          </w:tcPr>
          <w:p w14:paraId="1978644A" w14:textId="77777777" w:rsidR="00C67376" w:rsidRDefault="0022703E">
            <w:pPr>
              <w:jc w:val="center"/>
              <w:rPr>
                <w:lang w:val="hu-HU"/>
              </w:rPr>
            </w:pPr>
            <w:r>
              <w:rPr>
                <w:lang w:val="hu-HU"/>
              </w:rPr>
              <w:t>27,3 (0,75)</w:t>
            </w:r>
          </w:p>
        </w:tc>
        <w:tc>
          <w:tcPr>
            <w:tcW w:w="3185" w:type="dxa"/>
            <w:gridSpan w:val="2"/>
          </w:tcPr>
          <w:p w14:paraId="3AAC1BE3" w14:textId="77777777" w:rsidR="00C67376" w:rsidRDefault="0022703E">
            <w:pPr>
              <w:jc w:val="center"/>
              <w:rPr>
                <w:lang w:val="hu-HU"/>
              </w:rPr>
            </w:pPr>
            <w:r>
              <w:rPr>
                <w:lang w:val="hu-HU"/>
              </w:rPr>
              <w:t>27,8 (0,84)</w:t>
            </w:r>
          </w:p>
        </w:tc>
      </w:tr>
      <w:tr w:rsidR="00C67376" w14:paraId="3E590044" w14:textId="77777777">
        <w:trPr>
          <w:cantSplit/>
          <w:tblHeader/>
        </w:trPr>
        <w:tc>
          <w:tcPr>
            <w:tcW w:w="3185" w:type="dxa"/>
          </w:tcPr>
          <w:p w14:paraId="34F2A8B8" w14:textId="77777777" w:rsidR="00C67376" w:rsidRDefault="0022703E">
            <w:pPr>
              <w:rPr>
                <w:lang w:val="hu-HU"/>
              </w:rPr>
            </w:pPr>
            <w:r>
              <w:rPr>
                <w:lang w:val="hu-HU"/>
              </w:rPr>
              <w:t>Változás a 12. héten a kiindulási átlaghoz képest</w:t>
            </w:r>
            <w:r>
              <w:rPr>
                <w:vertAlign w:val="superscript"/>
                <w:lang w:val="hu-HU"/>
              </w:rPr>
              <w:t>†</w:t>
            </w:r>
            <w:r>
              <w:rPr>
                <w:lang w:val="hu-HU"/>
              </w:rPr>
              <w:t>(SH)</w:t>
            </w:r>
          </w:p>
        </w:tc>
        <w:tc>
          <w:tcPr>
            <w:tcW w:w="3185" w:type="dxa"/>
            <w:gridSpan w:val="3"/>
          </w:tcPr>
          <w:p w14:paraId="5C3F5CB4" w14:textId="77777777" w:rsidR="00C67376" w:rsidRDefault="0022703E">
            <w:pPr>
              <w:jc w:val="center"/>
              <w:rPr>
                <w:lang w:val="hu-HU"/>
              </w:rPr>
            </w:pPr>
            <w:r>
              <w:rPr>
                <w:lang w:val="hu-HU"/>
              </w:rPr>
              <w:t>-7,18 (0,81)</w:t>
            </w:r>
          </w:p>
        </w:tc>
        <w:tc>
          <w:tcPr>
            <w:tcW w:w="3185" w:type="dxa"/>
            <w:gridSpan w:val="2"/>
          </w:tcPr>
          <w:p w14:paraId="05D458A2" w14:textId="77777777" w:rsidR="00C67376" w:rsidRDefault="0022703E">
            <w:pPr>
              <w:jc w:val="center"/>
              <w:rPr>
                <w:lang w:val="hu-HU"/>
              </w:rPr>
            </w:pPr>
            <w:r>
              <w:rPr>
                <w:lang w:val="hu-HU"/>
              </w:rPr>
              <w:t>-5,72 (0,81)</w:t>
            </w:r>
          </w:p>
        </w:tc>
      </w:tr>
      <w:tr w:rsidR="00C67376" w14:paraId="1BE9DD08" w14:textId="77777777">
        <w:trPr>
          <w:cantSplit/>
          <w:tblHeader/>
        </w:trPr>
        <w:tc>
          <w:tcPr>
            <w:tcW w:w="3193" w:type="dxa"/>
            <w:gridSpan w:val="2"/>
          </w:tcPr>
          <w:p w14:paraId="776BFA21" w14:textId="77777777" w:rsidR="00C67376" w:rsidRDefault="0022703E">
            <w:pPr>
              <w:rPr>
                <w:lang w:val="hu-HU"/>
              </w:rPr>
            </w:pPr>
            <w:r>
              <w:rPr>
                <w:i/>
                <w:lang w:val="hu-HU"/>
              </w:rPr>
              <w:t>p</w:t>
            </w:r>
            <w:r>
              <w:rPr>
                <w:lang w:val="hu-HU"/>
              </w:rPr>
              <w:t>-érték a timolollal szemben</w:t>
            </w:r>
          </w:p>
        </w:tc>
        <w:tc>
          <w:tcPr>
            <w:tcW w:w="6362" w:type="dxa"/>
            <w:gridSpan w:val="4"/>
          </w:tcPr>
          <w:p w14:paraId="0467C47F" w14:textId="77777777" w:rsidR="00C67376" w:rsidRDefault="0022703E">
            <w:pPr>
              <w:jc w:val="center"/>
              <w:rPr>
                <w:lang w:val="hu-HU"/>
              </w:rPr>
            </w:pPr>
            <w:r>
              <w:rPr>
                <w:lang w:val="hu-HU"/>
              </w:rPr>
              <w:t>0,2056</w:t>
            </w:r>
          </w:p>
        </w:tc>
      </w:tr>
      <w:tr w:rsidR="00C67376" w14:paraId="5C0B1814" w14:textId="77777777">
        <w:trPr>
          <w:cantSplit/>
          <w:tblHeader/>
        </w:trPr>
        <w:tc>
          <w:tcPr>
            <w:tcW w:w="3193" w:type="dxa"/>
            <w:gridSpan w:val="2"/>
          </w:tcPr>
          <w:p w14:paraId="75D14BC7" w14:textId="77777777" w:rsidR="00C67376" w:rsidRDefault="00C67376">
            <w:pPr>
              <w:keepNext/>
              <w:rPr>
                <w:lang w:val="hu-HU"/>
              </w:rPr>
            </w:pPr>
          </w:p>
          <w:p w14:paraId="79550341" w14:textId="77777777" w:rsidR="00C67376" w:rsidRDefault="00C67376">
            <w:pPr>
              <w:keepNext/>
              <w:rPr>
                <w:lang w:val="hu-HU"/>
              </w:rPr>
            </w:pPr>
          </w:p>
        </w:tc>
        <w:tc>
          <w:tcPr>
            <w:tcW w:w="1610" w:type="dxa"/>
          </w:tcPr>
          <w:p w14:paraId="4D6ADF74" w14:textId="77777777" w:rsidR="00C67376" w:rsidRDefault="0022703E">
            <w:pPr>
              <w:keepNext/>
              <w:jc w:val="center"/>
              <w:rPr>
                <w:b/>
                <w:bCs/>
                <w:lang w:val="hu-HU"/>
              </w:rPr>
            </w:pPr>
            <w:r>
              <w:rPr>
                <w:b/>
                <w:bCs/>
                <w:lang w:val="hu-HU"/>
              </w:rPr>
              <w:t>PCG</w:t>
            </w:r>
          </w:p>
          <w:p w14:paraId="180B5550" w14:textId="77777777" w:rsidR="00C67376" w:rsidRDefault="0022703E">
            <w:pPr>
              <w:keepNext/>
              <w:jc w:val="center"/>
              <w:rPr>
                <w:b/>
                <w:bCs/>
                <w:lang w:val="hu-HU"/>
              </w:rPr>
            </w:pPr>
            <w:r>
              <w:rPr>
                <w:b/>
                <w:bCs/>
                <w:lang w:val="hu-HU"/>
              </w:rPr>
              <w:t>N=28</w:t>
            </w:r>
          </w:p>
        </w:tc>
        <w:tc>
          <w:tcPr>
            <w:tcW w:w="1567" w:type="dxa"/>
          </w:tcPr>
          <w:p w14:paraId="05D48E52" w14:textId="77777777" w:rsidR="00C67376" w:rsidRDefault="0022703E">
            <w:pPr>
              <w:keepNext/>
              <w:jc w:val="center"/>
              <w:rPr>
                <w:b/>
                <w:bCs/>
                <w:lang w:val="hu-HU"/>
              </w:rPr>
            </w:pPr>
            <w:r>
              <w:rPr>
                <w:b/>
                <w:bCs/>
                <w:lang w:val="hu-HU"/>
              </w:rPr>
              <w:t>Nem PCG</w:t>
            </w:r>
          </w:p>
          <w:p w14:paraId="4664925E" w14:textId="77777777" w:rsidR="00C67376" w:rsidRDefault="0022703E">
            <w:pPr>
              <w:keepNext/>
              <w:jc w:val="center"/>
              <w:rPr>
                <w:b/>
                <w:bCs/>
                <w:lang w:val="hu-HU"/>
              </w:rPr>
            </w:pPr>
            <w:r>
              <w:rPr>
                <w:b/>
                <w:bCs/>
                <w:lang w:val="hu-HU"/>
              </w:rPr>
              <w:t>N=25</w:t>
            </w:r>
          </w:p>
        </w:tc>
        <w:tc>
          <w:tcPr>
            <w:tcW w:w="1624" w:type="dxa"/>
          </w:tcPr>
          <w:p w14:paraId="1B4FEAEE" w14:textId="77777777" w:rsidR="00C67376" w:rsidRDefault="0022703E">
            <w:pPr>
              <w:keepNext/>
              <w:jc w:val="center"/>
              <w:rPr>
                <w:b/>
                <w:bCs/>
                <w:lang w:val="hu-HU"/>
              </w:rPr>
            </w:pPr>
            <w:r>
              <w:rPr>
                <w:b/>
                <w:bCs/>
                <w:lang w:val="hu-HU"/>
              </w:rPr>
              <w:t>PCG</w:t>
            </w:r>
          </w:p>
          <w:p w14:paraId="63F46A93" w14:textId="77777777" w:rsidR="00C67376" w:rsidRDefault="0022703E">
            <w:pPr>
              <w:keepNext/>
              <w:jc w:val="center"/>
              <w:rPr>
                <w:b/>
                <w:bCs/>
                <w:lang w:val="hu-HU"/>
              </w:rPr>
            </w:pPr>
            <w:r>
              <w:rPr>
                <w:b/>
                <w:bCs/>
                <w:lang w:val="hu-HU"/>
              </w:rPr>
              <w:t>N=26</w:t>
            </w:r>
          </w:p>
        </w:tc>
        <w:tc>
          <w:tcPr>
            <w:tcW w:w="1561" w:type="dxa"/>
          </w:tcPr>
          <w:p w14:paraId="32A9797F" w14:textId="77777777" w:rsidR="00C67376" w:rsidRDefault="0022703E">
            <w:pPr>
              <w:keepNext/>
              <w:jc w:val="center"/>
              <w:rPr>
                <w:b/>
                <w:bCs/>
                <w:lang w:val="hu-HU"/>
              </w:rPr>
            </w:pPr>
            <w:r>
              <w:rPr>
                <w:b/>
                <w:bCs/>
                <w:lang w:val="hu-HU"/>
              </w:rPr>
              <w:t>Nem PCG</w:t>
            </w:r>
          </w:p>
          <w:p w14:paraId="2AA6CCCA" w14:textId="77777777" w:rsidR="00C67376" w:rsidRDefault="0022703E">
            <w:pPr>
              <w:keepNext/>
              <w:jc w:val="center"/>
              <w:rPr>
                <w:b/>
                <w:bCs/>
                <w:lang w:val="hu-HU"/>
              </w:rPr>
            </w:pPr>
            <w:r>
              <w:rPr>
                <w:b/>
                <w:bCs/>
                <w:lang w:val="hu-HU"/>
              </w:rPr>
              <w:t>N=28</w:t>
            </w:r>
          </w:p>
        </w:tc>
      </w:tr>
      <w:tr w:rsidR="00C67376" w14:paraId="7CA3185F" w14:textId="77777777">
        <w:trPr>
          <w:cantSplit/>
          <w:tblHeader/>
        </w:trPr>
        <w:tc>
          <w:tcPr>
            <w:tcW w:w="3193" w:type="dxa"/>
            <w:gridSpan w:val="2"/>
          </w:tcPr>
          <w:p w14:paraId="30A7A809" w14:textId="77777777" w:rsidR="00C67376" w:rsidRDefault="0022703E">
            <w:pPr>
              <w:rPr>
                <w:lang w:val="hu-HU"/>
              </w:rPr>
            </w:pPr>
            <w:r>
              <w:rPr>
                <w:lang w:val="hu-HU"/>
              </w:rPr>
              <w:t>Kiindulási átlag (SH)</w:t>
            </w:r>
          </w:p>
        </w:tc>
        <w:tc>
          <w:tcPr>
            <w:tcW w:w="1610" w:type="dxa"/>
          </w:tcPr>
          <w:p w14:paraId="2AE622E9" w14:textId="77777777" w:rsidR="00C67376" w:rsidRDefault="0022703E">
            <w:pPr>
              <w:keepNext/>
              <w:jc w:val="center"/>
              <w:rPr>
                <w:lang w:val="hu-HU"/>
              </w:rPr>
            </w:pPr>
            <w:r>
              <w:rPr>
                <w:lang w:val="hu-HU"/>
              </w:rPr>
              <w:t>26,5 (0,72)</w:t>
            </w:r>
          </w:p>
        </w:tc>
        <w:tc>
          <w:tcPr>
            <w:tcW w:w="1567" w:type="dxa"/>
          </w:tcPr>
          <w:p w14:paraId="59D5FC9D" w14:textId="77777777" w:rsidR="00C67376" w:rsidRDefault="0022703E">
            <w:pPr>
              <w:keepNext/>
              <w:jc w:val="center"/>
              <w:rPr>
                <w:lang w:val="hu-HU"/>
              </w:rPr>
            </w:pPr>
            <w:r>
              <w:rPr>
                <w:lang w:val="hu-HU"/>
              </w:rPr>
              <w:t>28,2 (1,37)</w:t>
            </w:r>
          </w:p>
        </w:tc>
        <w:tc>
          <w:tcPr>
            <w:tcW w:w="1624" w:type="dxa"/>
          </w:tcPr>
          <w:p w14:paraId="0149072E" w14:textId="77777777" w:rsidR="00C67376" w:rsidRDefault="0022703E">
            <w:pPr>
              <w:keepNext/>
              <w:jc w:val="center"/>
              <w:rPr>
                <w:lang w:val="hu-HU"/>
              </w:rPr>
            </w:pPr>
            <w:r>
              <w:rPr>
                <w:lang w:val="hu-HU"/>
              </w:rPr>
              <w:t>26,3 (0,95)</w:t>
            </w:r>
          </w:p>
        </w:tc>
        <w:tc>
          <w:tcPr>
            <w:tcW w:w="1561" w:type="dxa"/>
          </w:tcPr>
          <w:p w14:paraId="69A511A7" w14:textId="77777777" w:rsidR="00C67376" w:rsidRDefault="0022703E">
            <w:pPr>
              <w:keepNext/>
              <w:jc w:val="center"/>
              <w:rPr>
                <w:lang w:val="hu-HU"/>
              </w:rPr>
            </w:pPr>
            <w:r>
              <w:rPr>
                <w:lang w:val="hu-HU"/>
              </w:rPr>
              <w:t>29,1 (1,33)</w:t>
            </w:r>
          </w:p>
        </w:tc>
      </w:tr>
      <w:tr w:rsidR="00C67376" w14:paraId="6B21CD05" w14:textId="77777777">
        <w:trPr>
          <w:cantSplit/>
          <w:tblHeader/>
        </w:trPr>
        <w:tc>
          <w:tcPr>
            <w:tcW w:w="3193" w:type="dxa"/>
            <w:gridSpan w:val="2"/>
          </w:tcPr>
          <w:p w14:paraId="17EADE9D" w14:textId="77777777" w:rsidR="00C67376" w:rsidRDefault="0022703E">
            <w:pPr>
              <w:rPr>
                <w:lang w:val="hu-HU"/>
              </w:rPr>
            </w:pPr>
            <w:r>
              <w:rPr>
                <w:lang w:val="hu-HU"/>
              </w:rPr>
              <w:t>Változás a 12. héten a kiindulási átlaghoz képest†(SH)</w:t>
            </w:r>
          </w:p>
        </w:tc>
        <w:tc>
          <w:tcPr>
            <w:tcW w:w="1610" w:type="dxa"/>
          </w:tcPr>
          <w:p w14:paraId="286AE84E" w14:textId="77777777" w:rsidR="00C67376" w:rsidRDefault="0022703E">
            <w:pPr>
              <w:keepNext/>
              <w:jc w:val="center"/>
              <w:rPr>
                <w:lang w:val="hu-HU"/>
              </w:rPr>
            </w:pPr>
            <w:r>
              <w:rPr>
                <w:lang w:val="hu-HU"/>
              </w:rPr>
              <w:t>-5,90 (0,98)</w:t>
            </w:r>
          </w:p>
        </w:tc>
        <w:tc>
          <w:tcPr>
            <w:tcW w:w="1567" w:type="dxa"/>
          </w:tcPr>
          <w:p w14:paraId="285EC5D0" w14:textId="77777777" w:rsidR="00C67376" w:rsidRDefault="0022703E">
            <w:pPr>
              <w:keepNext/>
              <w:jc w:val="center"/>
              <w:rPr>
                <w:lang w:val="hu-HU"/>
              </w:rPr>
            </w:pPr>
            <w:r>
              <w:rPr>
                <w:lang w:val="hu-HU"/>
              </w:rPr>
              <w:t>-8,66 (1,25)</w:t>
            </w:r>
          </w:p>
        </w:tc>
        <w:tc>
          <w:tcPr>
            <w:tcW w:w="1624" w:type="dxa"/>
          </w:tcPr>
          <w:p w14:paraId="56D78F5B" w14:textId="77777777" w:rsidR="00C67376" w:rsidRDefault="0022703E">
            <w:pPr>
              <w:keepNext/>
              <w:jc w:val="center"/>
              <w:rPr>
                <w:lang w:val="hu-HU"/>
              </w:rPr>
            </w:pPr>
            <w:r>
              <w:rPr>
                <w:lang w:val="hu-HU"/>
              </w:rPr>
              <w:t>-5,34 (1,02)</w:t>
            </w:r>
          </w:p>
        </w:tc>
        <w:tc>
          <w:tcPr>
            <w:tcW w:w="1561" w:type="dxa"/>
          </w:tcPr>
          <w:p w14:paraId="26A38B40" w14:textId="77777777" w:rsidR="00C67376" w:rsidRDefault="0022703E">
            <w:pPr>
              <w:keepNext/>
              <w:jc w:val="center"/>
              <w:rPr>
                <w:lang w:val="hu-HU"/>
              </w:rPr>
            </w:pPr>
            <w:r>
              <w:rPr>
                <w:lang w:val="hu-HU"/>
              </w:rPr>
              <w:t>-6,02 (1,18)</w:t>
            </w:r>
          </w:p>
        </w:tc>
      </w:tr>
      <w:tr w:rsidR="00C67376" w14:paraId="2D0864BA" w14:textId="77777777">
        <w:trPr>
          <w:cantSplit/>
          <w:tblHeader/>
        </w:trPr>
        <w:tc>
          <w:tcPr>
            <w:tcW w:w="3193" w:type="dxa"/>
            <w:gridSpan w:val="2"/>
          </w:tcPr>
          <w:p w14:paraId="0AC3308E" w14:textId="77777777" w:rsidR="00C67376" w:rsidRDefault="0022703E">
            <w:pPr>
              <w:rPr>
                <w:lang w:val="hu-HU"/>
              </w:rPr>
            </w:pPr>
            <w:r>
              <w:rPr>
                <w:i/>
                <w:lang w:val="hu-HU"/>
              </w:rPr>
              <w:t>p</w:t>
            </w:r>
            <w:r>
              <w:rPr>
                <w:lang w:val="hu-HU"/>
              </w:rPr>
              <w:t>-érték a timolollal szemben</w:t>
            </w:r>
          </w:p>
        </w:tc>
        <w:tc>
          <w:tcPr>
            <w:tcW w:w="1610" w:type="dxa"/>
          </w:tcPr>
          <w:p w14:paraId="7D2A7540" w14:textId="77777777" w:rsidR="00C67376" w:rsidRDefault="0022703E">
            <w:pPr>
              <w:keepNext/>
              <w:jc w:val="center"/>
              <w:rPr>
                <w:lang w:val="hu-HU"/>
              </w:rPr>
            </w:pPr>
            <w:r>
              <w:rPr>
                <w:lang w:val="hu-HU"/>
              </w:rPr>
              <w:t>0,6957</w:t>
            </w:r>
          </w:p>
        </w:tc>
        <w:tc>
          <w:tcPr>
            <w:tcW w:w="1567" w:type="dxa"/>
          </w:tcPr>
          <w:p w14:paraId="60E104E5" w14:textId="77777777" w:rsidR="00C67376" w:rsidRDefault="0022703E">
            <w:pPr>
              <w:keepNext/>
              <w:jc w:val="center"/>
              <w:rPr>
                <w:lang w:val="hu-HU"/>
              </w:rPr>
            </w:pPr>
            <w:r>
              <w:rPr>
                <w:lang w:val="hu-HU"/>
              </w:rPr>
              <w:t>0,1317</w:t>
            </w:r>
          </w:p>
        </w:tc>
        <w:tc>
          <w:tcPr>
            <w:tcW w:w="1624" w:type="dxa"/>
          </w:tcPr>
          <w:p w14:paraId="3385ADB8" w14:textId="77777777" w:rsidR="00C67376" w:rsidRDefault="00C67376">
            <w:pPr>
              <w:keepNext/>
              <w:jc w:val="center"/>
              <w:rPr>
                <w:lang w:val="hu-HU"/>
              </w:rPr>
            </w:pPr>
          </w:p>
        </w:tc>
        <w:tc>
          <w:tcPr>
            <w:tcW w:w="1561" w:type="dxa"/>
          </w:tcPr>
          <w:p w14:paraId="2A662E3B" w14:textId="77777777" w:rsidR="00C67376" w:rsidRDefault="00C67376">
            <w:pPr>
              <w:keepNext/>
              <w:jc w:val="center"/>
              <w:rPr>
                <w:lang w:val="hu-HU"/>
              </w:rPr>
            </w:pPr>
          </w:p>
        </w:tc>
      </w:tr>
    </w:tbl>
    <w:p w14:paraId="360CFE80" w14:textId="77777777" w:rsidR="00C67376" w:rsidRDefault="0022703E">
      <w:pPr>
        <w:rPr>
          <w:lang w:val="hu-HU"/>
        </w:rPr>
      </w:pPr>
      <w:r>
        <w:rPr>
          <w:lang w:val="hu-HU"/>
        </w:rPr>
        <w:t>SH: standard hiba</w:t>
      </w:r>
    </w:p>
    <w:p w14:paraId="2B8C408E" w14:textId="77777777" w:rsidR="00C67376" w:rsidRDefault="0022703E">
      <w:pPr>
        <w:rPr>
          <w:lang w:val="hu-HU"/>
        </w:rPr>
      </w:pPr>
      <w:r>
        <w:rPr>
          <w:vertAlign w:val="superscript"/>
          <w:lang w:val="hu-HU"/>
        </w:rPr>
        <w:t>†</w:t>
      </w:r>
      <w:r>
        <w:rPr>
          <w:lang w:val="hu-HU"/>
        </w:rPr>
        <w:t xml:space="preserve"> Kovariancia analízis (ANCOVA) modellen alapuló korrigált becslés.</w:t>
      </w:r>
    </w:p>
    <w:p w14:paraId="3E954913" w14:textId="77777777" w:rsidR="00C67376" w:rsidRDefault="00C67376">
      <w:pPr>
        <w:spacing w:line="240" w:lineRule="auto"/>
        <w:rPr>
          <w:lang w:val="hu-HU"/>
        </w:rPr>
      </w:pPr>
    </w:p>
    <w:p w14:paraId="00212E4E" w14:textId="380A72CD" w:rsidR="00C67376" w:rsidRDefault="0022703E">
      <w:pPr>
        <w:spacing w:line="240" w:lineRule="auto"/>
        <w:rPr>
          <w:lang w:val="hu-HU"/>
        </w:rPr>
      </w:pPr>
      <w:r>
        <w:rPr>
          <w:lang w:val="hu-HU"/>
        </w:rPr>
        <w:t xml:space="preserve">Két beavatkozással </w:t>
      </w:r>
      <w:r w:rsidR="00F566E6">
        <w:rPr>
          <w:lang w:val="hu-HU"/>
        </w:rPr>
        <w:t xml:space="preserve">nem </w:t>
      </w:r>
      <w:r>
        <w:rPr>
          <w:lang w:val="hu-HU"/>
        </w:rPr>
        <w:t xml:space="preserve">járó (non-interventional – NI), hosszú távú, engedélyezés utáni gyógyszerbiztonsági vizsgálatot </w:t>
      </w:r>
      <w:r w:rsidR="00F566E6">
        <w:rPr>
          <w:lang w:val="hu-HU"/>
        </w:rPr>
        <w:t>(</w:t>
      </w:r>
      <w:r w:rsidR="00F566E6" w:rsidRPr="00435E46">
        <w:rPr>
          <w:bCs/>
          <w:iCs/>
          <w:lang w:val="uk-UA"/>
        </w:rPr>
        <w:t>post</w:t>
      </w:r>
      <w:r w:rsidR="00F566E6">
        <w:rPr>
          <w:bCs/>
          <w:iCs/>
          <w:lang w:val="hu-HU"/>
        </w:rPr>
        <w:t>-</w:t>
      </w:r>
      <w:r w:rsidR="00F566E6" w:rsidRPr="00435E46">
        <w:rPr>
          <w:bCs/>
          <w:iCs/>
          <w:lang w:val="uk-UA"/>
        </w:rPr>
        <w:t>authorisation safety stud</w:t>
      </w:r>
      <w:r w:rsidR="00F566E6">
        <w:rPr>
          <w:bCs/>
          <w:iCs/>
          <w:lang w:val="hu-HU"/>
        </w:rPr>
        <w:t>y,</w:t>
      </w:r>
      <w:r w:rsidR="00F566E6" w:rsidRPr="00435E46">
        <w:rPr>
          <w:bCs/>
          <w:iCs/>
          <w:lang w:val="uk-UA"/>
        </w:rPr>
        <w:t xml:space="preserve"> PASS)</w:t>
      </w:r>
      <w:r w:rsidR="00F566E6">
        <w:rPr>
          <w:bCs/>
          <w:iCs/>
          <w:lang w:val="hu-HU"/>
        </w:rPr>
        <w:t xml:space="preserve"> </w:t>
      </w:r>
      <w:r>
        <w:rPr>
          <w:lang w:val="hu-HU"/>
        </w:rPr>
        <w:t>terveztek meg a szem hiperpigmentációs változásai indicenciasűrűségének megállapítására egy 10 évet felölelő utánkövetési időszak alatt, a glaucomában és emelkedett IOP-ben szenvedő gyermekgyógyászati betegek körében végzett vizsgálat 3 éves időszaka, illetve a 7 éves kiterjesztési utánkövető vizsgálat alatt gyűjtött adatok összevonásával. Az alapvizsgálatból összesen 115 beteget vezettek át és vontak be a teljes elemzésbe (Full Analysis Set – FAS). A vizsgálat</w:t>
      </w:r>
      <w:r w:rsidR="00EE5225">
        <w:rPr>
          <w:lang w:val="hu-HU"/>
        </w:rPr>
        <w:t>ba bevonás</w:t>
      </w:r>
      <w:r>
        <w:rPr>
          <w:lang w:val="hu-HU"/>
        </w:rPr>
        <w:t>ra alkalmas, 18 évnél fiatalabb betegeket három csoportra osztották: 76 beteg került a latanoproszt-csoportba (folyamatos latanoproszt-kezelést kapott ≥ 1 hónapon keresztül); 1 beteg a nem latanoproszt prosztaglandinanalógok (PGA) csoportjába (folyamatos kezelést kapott nem latanoproszt PGA-val ≥ 1 hónapon keresztül); és 38 beteg a PGA-expozíció nélküli csoportba (nem kapott folyamatos kezelést semmilyen PGA-val ≥ 1 hónapon keresztül). A vizsgálati eredmények azt mutatták, hogy a szem hiperpigmentációs változásai csak kis számú betegnél voltak megfigyelhetők mindkét kezelt csoportban, és gyakrabban fordultak elő a latanoproszt-expozíciós csoportban, mint a PGA-expozíció nélküli csoportban. A szempilla hiperpigmentációjának aránya 4,5% volt a latanoproszt-expozíciós csoportban, szemben a PGA-expozíció nélküli csoport 0%-ával; és az iris-hiperpigmentáció aránya 6,0% volt a 3,0%-kal szemben. A szem hiperpigmentációs változásainak incidenciasűrűsége (100 betegévenként) alacsony volt és hasonló volt mindkét kezelési csoportban: a szempilla-meghosszabbodásé 2,53, illetve 3,35; az iris-hiperpigmentációé 0,92, illetve 0,42; és a szempilla-hiperpigmentációé 0,69, illetve 0.</w:t>
      </w:r>
    </w:p>
    <w:p w14:paraId="13FA15FE" w14:textId="77777777" w:rsidR="00C67376" w:rsidRDefault="00C67376">
      <w:pPr>
        <w:spacing w:line="240" w:lineRule="auto"/>
        <w:rPr>
          <w:lang w:val="hu-HU"/>
        </w:rPr>
      </w:pPr>
    </w:p>
    <w:p w14:paraId="7C2A78D4" w14:textId="572A1ACA" w:rsidR="00C67376" w:rsidRDefault="0022703E">
      <w:pPr>
        <w:spacing w:line="240" w:lineRule="auto"/>
        <w:rPr>
          <w:lang w:val="hu-HU"/>
        </w:rPr>
      </w:pPr>
      <w:r>
        <w:rPr>
          <w:lang w:val="hu-HU"/>
        </w:rPr>
        <w:t xml:space="preserve">A vizsgálati kezeléssel kapcsolatban nem figyeltek meg semmilyen súlyos </w:t>
      </w:r>
      <w:r w:rsidR="00EE5225">
        <w:rPr>
          <w:lang w:val="hu-HU"/>
        </w:rPr>
        <w:t>nemkívánatos eseményt</w:t>
      </w:r>
      <w:r>
        <w:rPr>
          <w:lang w:val="hu-HU"/>
        </w:rPr>
        <w:t xml:space="preserve"> (serious adverse events – SAE). A kezeléssel összefügg</w:t>
      </w:r>
      <w:r w:rsidR="00EE5225">
        <w:rPr>
          <w:lang w:val="hu-HU"/>
        </w:rPr>
        <w:t>ő nemkívánatos események</w:t>
      </w:r>
      <w:r>
        <w:rPr>
          <w:lang w:val="hu-HU"/>
        </w:rPr>
        <w:t xml:space="preserve"> (treatment emergent adverse events – TEAE) többségét a Szembetegségek és szemészeti tünetek szervrendszeri kategóriában jelentették, többnyire enyhék voltak és gyakrabban jelentették a latanoproszt-expozíciós csoportban, mint a PGA-expozíció nélküli csoportban. A jelenlegi biztonságossági profilhoz képest nem találtak klinikailag jelentős biztonságossági aggályokat vagy új biztonságossági aggályokat, sem a mellékhatások eltérő előfordulási gyakoriságát. Összességében a vizsgálatban megfigyelt biztonságossági végpontok gyakorisága hasonló volt a </w:t>
      </w:r>
      <w:r w:rsidR="00EE5225">
        <w:rPr>
          <w:lang w:val="hu-HU"/>
        </w:rPr>
        <w:t xml:space="preserve">nemkívánatos események </w:t>
      </w:r>
      <w:r>
        <w:rPr>
          <w:lang w:val="hu-HU"/>
        </w:rPr>
        <w:t>korábbi gyermekgyógyászati vizsgálatokban jelentett gyakoriság</w:t>
      </w:r>
      <w:r w:rsidR="00EE5225">
        <w:rPr>
          <w:lang w:val="hu-HU"/>
        </w:rPr>
        <w:t>ai</w:t>
      </w:r>
      <w:r>
        <w:rPr>
          <w:lang w:val="hu-HU"/>
        </w:rPr>
        <w:t>hoz.</w:t>
      </w:r>
    </w:p>
    <w:p w14:paraId="046A5722" w14:textId="77777777" w:rsidR="00C67376" w:rsidRDefault="00C67376">
      <w:pPr>
        <w:spacing w:line="240" w:lineRule="auto"/>
        <w:rPr>
          <w:lang w:val="hu-HU"/>
        </w:rPr>
      </w:pPr>
    </w:p>
    <w:p w14:paraId="7E9D719D" w14:textId="77777777" w:rsidR="00C67376" w:rsidRDefault="0022703E">
      <w:pPr>
        <w:spacing w:line="240" w:lineRule="auto"/>
        <w:ind w:left="567" w:hanging="567"/>
        <w:outlineLvl w:val="0"/>
        <w:rPr>
          <w:b/>
          <w:bCs/>
          <w:lang w:val="hu-HU"/>
        </w:rPr>
      </w:pPr>
      <w:r>
        <w:rPr>
          <w:b/>
          <w:bCs/>
          <w:lang w:val="hu-HU"/>
        </w:rPr>
        <w:t>5.2</w:t>
      </w:r>
      <w:r>
        <w:rPr>
          <w:b/>
          <w:bCs/>
          <w:lang w:val="hu-HU"/>
        </w:rPr>
        <w:tab/>
        <w:t>Farmakokinetikai tulajdonságok</w:t>
      </w:r>
    </w:p>
    <w:p w14:paraId="791C9210" w14:textId="77777777" w:rsidR="00C67376" w:rsidRDefault="00C67376">
      <w:pPr>
        <w:spacing w:line="240" w:lineRule="auto"/>
        <w:ind w:left="567" w:hanging="567"/>
        <w:outlineLvl w:val="0"/>
        <w:rPr>
          <w:b/>
          <w:bCs/>
          <w:lang w:val="hu-HU"/>
        </w:rPr>
      </w:pPr>
    </w:p>
    <w:p w14:paraId="581C5DBB" w14:textId="77777777" w:rsidR="00C67376" w:rsidRDefault="0022703E">
      <w:pPr>
        <w:spacing w:line="240" w:lineRule="auto"/>
        <w:ind w:left="567" w:hanging="567"/>
        <w:outlineLvl w:val="0"/>
        <w:rPr>
          <w:u w:val="single"/>
          <w:lang w:val="hu-HU"/>
        </w:rPr>
      </w:pPr>
      <w:r>
        <w:rPr>
          <w:u w:val="single"/>
          <w:lang w:val="hu-HU"/>
        </w:rPr>
        <w:t>Felszívódás</w:t>
      </w:r>
    </w:p>
    <w:p w14:paraId="5344BAC1" w14:textId="77777777" w:rsidR="00C67376" w:rsidRDefault="0022703E">
      <w:pPr>
        <w:rPr>
          <w:lang w:val="hu-HU"/>
        </w:rPr>
      </w:pPr>
      <w:r>
        <w:rPr>
          <w:lang w:val="hu-HU"/>
        </w:rPr>
        <w:t>A latanoproszt (molekulatömege 432,58) egy inaktív izopropil-észter prodrug, mely hidrolízist követően latanoprosztsavvá alakulva válik biológiailag aktívvá.</w:t>
      </w:r>
    </w:p>
    <w:p w14:paraId="0EBD6691" w14:textId="77777777" w:rsidR="00C67376" w:rsidRDefault="00C67376">
      <w:pPr>
        <w:rPr>
          <w:lang w:val="hu-HU"/>
        </w:rPr>
      </w:pPr>
    </w:p>
    <w:p w14:paraId="13148419" w14:textId="77777777" w:rsidR="00C67376" w:rsidRDefault="0022703E">
      <w:pPr>
        <w:rPr>
          <w:lang w:val="hu-HU"/>
        </w:rPr>
      </w:pPr>
      <w:r>
        <w:rPr>
          <w:lang w:val="hu-HU"/>
        </w:rPr>
        <w:t>A prodrug a corneán jól felszívódik, a corneán való átjutás során hidrolizálódik, és ezáltal már aktiválódott állapotban kerül a csarnokvízbe.</w:t>
      </w:r>
    </w:p>
    <w:p w14:paraId="151C6822" w14:textId="77777777" w:rsidR="00C67376" w:rsidRDefault="00C67376">
      <w:pPr>
        <w:rPr>
          <w:lang w:val="hu-HU"/>
        </w:rPr>
      </w:pPr>
    </w:p>
    <w:p w14:paraId="7DD3AAE7" w14:textId="77777777" w:rsidR="00C67376" w:rsidRDefault="0022703E">
      <w:pPr>
        <w:rPr>
          <w:u w:val="single"/>
          <w:lang w:val="hu-HU"/>
        </w:rPr>
      </w:pPr>
      <w:r>
        <w:rPr>
          <w:u w:val="single"/>
          <w:lang w:val="hu-HU"/>
        </w:rPr>
        <w:t>Eloszlás</w:t>
      </w:r>
    </w:p>
    <w:p w14:paraId="3C5055DB" w14:textId="77777777" w:rsidR="00C67376" w:rsidRDefault="0022703E">
      <w:pPr>
        <w:rPr>
          <w:lang w:val="hu-HU"/>
        </w:rPr>
      </w:pPr>
      <w:r>
        <w:rPr>
          <w:lang w:val="hu-HU"/>
        </w:rPr>
        <w:lastRenderedPageBreak/>
        <w:t>Humán vizsgálatok szerint a latanoproszt csúcskoncentrációja a csarnokvízben helyi alkalmazást követően körülbelül 2 óra múlva mérhető. Majmoknál helyi alkalmazást követően a latanoproszt főként az elülső szegmensben, a kötőhártyában és a szemhéjakban oszlik meg. A gyógyszer csak kis mennyiségben éri el a hátsó szegmenst.</w:t>
      </w:r>
    </w:p>
    <w:p w14:paraId="70FA88CC" w14:textId="77777777" w:rsidR="00C67376" w:rsidRDefault="00C67376">
      <w:pPr>
        <w:rPr>
          <w:lang w:val="hu-HU"/>
        </w:rPr>
      </w:pPr>
    </w:p>
    <w:p w14:paraId="565EFCEF" w14:textId="77777777" w:rsidR="00C67376" w:rsidRDefault="0022703E">
      <w:pPr>
        <w:rPr>
          <w:lang w:val="hu-HU"/>
        </w:rPr>
      </w:pPr>
      <w:r>
        <w:rPr>
          <w:lang w:val="hu-HU"/>
        </w:rPr>
        <w:t>Embernél latanoproszt intravénás beadását követően az eloszlási térfogat 0,16 ± 0,02 l/ttkg, benzalkónium-kloriddal tartósított latanoproszt 50 μg/ml szemcsepp szemészeti alkalmazását követően pedig 0,36 l/ttkg.</w:t>
      </w:r>
    </w:p>
    <w:p w14:paraId="151A3C5C" w14:textId="77777777" w:rsidR="00C67376" w:rsidRDefault="00C67376">
      <w:pPr>
        <w:rPr>
          <w:lang w:val="hu-HU"/>
        </w:rPr>
      </w:pPr>
    </w:p>
    <w:p w14:paraId="2A8A5F9A" w14:textId="77777777" w:rsidR="00C67376" w:rsidRDefault="0022703E">
      <w:pPr>
        <w:rPr>
          <w:u w:val="single"/>
          <w:lang w:val="hu-HU"/>
        </w:rPr>
      </w:pPr>
      <w:r>
        <w:rPr>
          <w:u w:val="single"/>
          <w:lang w:val="hu-HU"/>
        </w:rPr>
        <w:t>Biotranszformáció és elimináció</w:t>
      </w:r>
    </w:p>
    <w:p w14:paraId="19826A0B" w14:textId="77777777" w:rsidR="00C67376" w:rsidRDefault="0022703E">
      <w:pPr>
        <w:rPr>
          <w:lang w:val="hu-HU"/>
        </w:rPr>
      </w:pPr>
      <w:r>
        <w:rPr>
          <w:lang w:val="hu-HU"/>
        </w:rPr>
        <w:t>A latanoprosztsav a szemben gyakorlatilag nem metabolizálódik. A metabolizmus fő helye a máj. Felezési ideje az emberi plazmában 17 perc. Fő metabolitjai az 1,2-dinor, ill. 1,2,3,4-tetranor metabolitok, melyek állatkísérletekben nem, vagy nagyon csekély biológiai aktivitást mutatnak, és főként a vizelettel választódnak ki.</w:t>
      </w:r>
    </w:p>
    <w:p w14:paraId="3B2AEC55" w14:textId="77777777" w:rsidR="00C67376" w:rsidRDefault="00C67376">
      <w:pPr>
        <w:rPr>
          <w:lang w:val="hu-HU"/>
        </w:rPr>
      </w:pPr>
    </w:p>
    <w:p w14:paraId="78B94587" w14:textId="77777777" w:rsidR="00C67376" w:rsidRDefault="0022703E">
      <w:pPr>
        <w:pStyle w:val="Norml1"/>
        <w:rPr>
          <w:i/>
          <w:sz w:val="22"/>
          <w:szCs w:val="22"/>
        </w:rPr>
      </w:pPr>
      <w:r>
        <w:rPr>
          <w:sz w:val="22"/>
          <w:szCs w:val="22"/>
          <w:u w:val="single"/>
        </w:rPr>
        <w:t>Gyermekek és serdülők</w:t>
      </w:r>
    </w:p>
    <w:p w14:paraId="76AD4546" w14:textId="77777777" w:rsidR="00C67376" w:rsidRDefault="0022703E">
      <w:pPr>
        <w:pStyle w:val="Norml1"/>
        <w:rPr>
          <w:sz w:val="22"/>
          <w:szCs w:val="22"/>
        </w:rPr>
      </w:pPr>
      <w:r>
        <w:rPr>
          <w:sz w:val="22"/>
          <w:szCs w:val="22"/>
        </w:rPr>
        <w:t>A latanoprosztsav plazmakoncentrációinak meghatározására egy nyílt farmakokinetikai vizsgálatot végeztek ocularis hypertensióban és glaucomában szenvedő 22 felnőtt és 25 gyermek és serdülő (újszülött korútól 18 éves korig) részvételével. Minden korcsoportban mindkét szemet naponta egy csepp 50 mikrogramm/ml latanoproszttal kezelték legalább 2 héten át. A latanoprosztsav szisztémás expozíciója a felnőtteknél mérthez képest körülbelül 2-szer magasabb volt a 3</w:t>
      </w:r>
      <w:r>
        <w:rPr>
          <w:sz w:val="22"/>
          <w:szCs w:val="22"/>
        </w:rPr>
        <w:noBreakHyphen/>
        <w:t>12 éves korú, és 6</w:t>
      </w:r>
      <w:r>
        <w:rPr>
          <w:sz w:val="22"/>
          <w:szCs w:val="22"/>
        </w:rPr>
        <w:noBreakHyphen/>
        <w:t>szor magasabb a 3 évnél fiatalabb gyermekeknél, de a szisztémás mellékhatások széles biztonságossági sávja megtartott volt (lásd 4.9 pont). A plazma-csúcskoncentráció eléréséig eltelt medián idő 5 perc volt az alkalmazást követően minden korcsoportban. A medián plazma eliminációs felezési rövid (&lt;20 perc), gyermekgyógyászati és felnőtt betegeknél hasonló volt, és dinamikus egyensúlyi állapotban nem eredményezett latanoprosztsav-akkumulációt a szisztémás keringésben.</w:t>
      </w:r>
    </w:p>
    <w:p w14:paraId="70478ABC" w14:textId="77777777" w:rsidR="00C67376" w:rsidRDefault="00C67376">
      <w:pPr>
        <w:rPr>
          <w:lang w:val="hu-HU"/>
        </w:rPr>
      </w:pPr>
    </w:p>
    <w:p w14:paraId="03A23554" w14:textId="77777777" w:rsidR="00C67376" w:rsidRDefault="0022703E">
      <w:pPr>
        <w:spacing w:line="240" w:lineRule="auto"/>
        <w:ind w:left="567" w:hanging="567"/>
        <w:outlineLvl w:val="0"/>
        <w:rPr>
          <w:b/>
          <w:bCs/>
          <w:lang w:val="hu-HU"/>
        </w:rPr>
      </w:pPr>
      <w:r>
        <w:rPr>
          <w:b/>
          <w:bCs/>
          <w:lang w:val="hu-HU"/>
        </w:rPr>
        <w:t>5.3</w:t>
      </w:r>
      <w:r>
        <w:rPr>
          <w:b/>
          <w:bCs/>
          <w:lang w:val="hu-HU"/>
        </w:rPr>
        <w:tab/>
        <w:t>A preklinikai biztonságossági vizsgálatok eredményei</w:t>
      </w:r>
    </w:p>
    <w:p w14:paraId="00E481B4" w14:textId="77777777" w:rsidR="00C67376" w:rsidRDefault="00C67376">
      <w:pPr>
        <w:spacing w:line="240" w:lineRule="auto"/>
        <w:ind w:left="567" w:hanging="567"/>
        <w:outlineLvl w:val="0"/>
        <w:rPr>
          <w:b/>
          <w:bCs/>
          <w:lang w:val="hu-HU"/>
        </w:rPr>
      </w:pPr>
    </w:p>
    <w:p w14:paraId="595093FB" w14:textId="77777777" w:rsidR="00C67376" w:rsidRDefault="0022703E">
      <w:pPr>
        <w:pStyle w:val="Szvegtrzsbehzssal"/>
        <w:tabs>
          <w:tab w:val="left" w:pos="567"/>
        </w:tabs>
        <w:ind w:left="0"/>
        <w:rPr>
          <w:sz w:val="22"/>
          <w:szCs w:val="22"/>
          <w:lang w:val="hu-HU"/>
        </w:rPr>
      </w:pPr>
      <w:r>
        <w:rPr>
          <w:sz w:val="22"/>
          <w:szCs w:val="22"/>
          <w:lang w:val="hu-HU"/>
        </w:rPr>
        <w:t>A latanoproszt szemészeti és szisztémás toxicitását számos állatfajnál vizsgálták. Általában a latanoproszt jól tolerálható; a toxikus adag a szemészeti gyakorlatban használatos dózis ezerszerese. Nagy dózisban, a klinikai dózis kb. 100</w:t>
      </w:r>
      <w:r>
        <w:rPr>
          <w:sz w:val="22"/>
          <w:szCs w:val="22"/>
          <w:lang w:val="hu-HU"/>
        </w:rPr>
        <w:noBreakHyphen/>
        <w:t>szorosát intravénásan alkalmazva nem anesztetizált majmoknál a légzési frekvencia megnövekedése volt megfigyelhető, valószínűleg a rövid ideig tartó bronchoconstrictio miatt. Állatkísérletekben a latanoproszt szenzitizáló tulajdonságokkal nem rendelkezett.</w:t>
      </w:r>
    </w:p>
    <w:p w14:paraId="0349E9DE" w14:textId="77777777" w:rsidR="00C67376" w:rsidRDefault="00C67376">
      <w:pPr>
        <w:pStyle w:val="Szvegtrzsbehzssal"/>
        <w:tabs>
          <w:tab w:val="left" w:pos="567"/>
        </w:tabs>
        <w:ind w:left="0"/>
        <w:rPr>
          <w:sz w:val="22"/>
          <w:szCs w:val="22"/>
          <w:lang w:val="hu-HU"/>
        </w:rPr>
      </w:pPr>
    </w:p>
    <w:p w14:paraId="459D94E2" w14:textId="77777777" w:rsidR="00C67376" w:rsidRDefault="0022703E">
      <w:pPr>
        <w:rPr>
          <w:lang w:val="hu-HU"/>
        </w:rPr>
      </w:pPr>
      <w:r>
        <w:rPr>
          <w:lang w:val="hu-HU"/>
        </w:rPr>
        <w:t>Majmoknál és nyulaknál 100 mikrogramm/szem/nap dózisig (a klinikai dózis 1,5 mikrogramm/szem/nap) a szemben toxikus hatásokat nem mutattak ki, bár majmoknál kimutatták, hogy a latanoproszt fokozott íriszpigmentációt okozott.</w:t>
      </w:r>
    </w:p>
    <w:p w14:paraId="49657486" w14:textId="77777777" w:rsidR="00C67376" w:rsidRDefault="00C67376">
      <w:pPr>
        <w:rPr>
          <w:lang w:val="hu-HU"/>
        </w:rPr>
      </w:pPr>
    </w:p>
    <w:p w14:paraId="54342207" w14:textId="77777777" w:rsidR="00C67376" w:rsidRDefault="0022703E">
      <w:pPr>
        <w:pStyle w:val="Szvegtrzsbehzssal"/>
        <w:tabs>
          <w:tab w:val="left" w:pos="567"/>
        </w:tabs>
        <w:ind w:left="0"/>
        <w:rPr>
          <w:sz w:val="22"/>
          <w:szCs w:val="22"/>
          <w:lang w:val="hu-HU"/>
        </w:rPr>
      </w:pPr>
      <w:r>
        <w:rPr>
          <w:sz w:val="22"/>
          <w:szCs w:val="22"/>
          <w:lang w:val="hu-HU"/>
        </w:rPr>
        <w:t>A fokozott pigmentáció mechanizmusa valószínűleg az írisz melanocytáiban a melanintermelés stimulációja, proliferatív elváltozásokat nem figyeltek meg. Az írisz színváltozása maradandó lehet.</w:t>
      </w:r>
    </w:p>
    <w:p w14:paraId="6F0A4F37" w14:textId="77777777" w:rsidR="00C67376" w:rsidRDefault="00C67376">
      <w:pPr>
        <w:pStyle w:val="Szvegtrzsbehzssal"/>
        <w:tabs>
          <w:tab w:val="left" w:pos="567"/>
        </w:tabs>
        <w:ind w:left="0"/>
        <w:rPr>
          <w:sz w:val="22"/>
          <w:szCs w:val="22"/>
          <w:lang w:val="hu-HU"/>
        </w:rPr>
      </w:pPr>
    </w:p>
    <w:p w14:paraId="798DE7AA" w14:textId="77777777" w:rsidR="00C67376" w:rsidRDefault="0022703E">
      <w:pPr>
        <w:pStyle w:val="Szvegtrzsbehzssal"/>
        <w:tabs>
          <w:tab w:val="left" w:pos="567"/>
        </w:tabs>
        <w:ind w:left="0"/>
        <w:rPr>
          <w:sz w:val="22"/>
          <w:szCs w:val="22"/>
          <w:lang w:val="hu-HU"/>
        </w:rPr>
      </w:pPr>
      <w:r>
        <w:rPr>
          <w:sz w:val="22"/>
          <w:szCs w:val="22"/>
          <w:lang w:val="hu-HU"/>
        </w:rPr>
        <w:t>Krónikus szem-toxicitási vizsgálatokban 6 mikrogramm/szem/nap dózisban alkalmazott latanoproszt szemréstágasság-fokozódást okozott. Ez a hatás reverzibilis, és a klinikai dózisokat meghaladó dózisoknál jelentkezik. Embernél ezt a hatást nem figyelték meg.</w:t>
      </w:r>
    </w:p>
    <w:p w14:paraId="53FD5A2B" w14:textId="77777777" w:rsidR="00C67376" w:rsidRDefault="00C67376">
      <w:pPr>
        <w:pStyle w:val="Szvegtrzsbehzssal"/>
        <w:tabs>
          <w:tab w:val="left" w:pos="567"/>
        </w:tabs>
        <w:ind w:left="0"/>
        <w:rPr>
          <w:sz w:val="22"/>
          <w:szCs w:val="22"/>
          <w:lang w:val="hu-HU"/>
        </w:rPr>
      </w:pPr>
    </w:p>
    <w:p w14:paraId="397915BD" w14:textId="77777777" w:rsidR="00C67376" w:rsidRDefault="0022703E">
      <w:pPr>
        <w:rPr>
          <w:lang w:val="hu-HU"/>
        </w:rPr>
      </w:pPr>
      <w:r>
        <w:rPr>
          <w:lang w:val="hu-HU"/>
        </w:rPr>
        <w:t xml:space="preserve">Bakteriális reverz mutációs tesztben, egér lymphoma génmutációs vizsgálatban és egér mikronukleusz tesztben a latanoproszt negatív volt. </w:t>
      </w:r>
      <w:r>
        <w:rPr>
          <w:i/>
          <w:lang w:val="hu-HU"/>
        </w:rPr>
        <w:t>In vitro</w:t>
      </w:r>
      <w:r>
        <w:rPr>
          <w:lang w:val="hu-HU"/>
        </w:rPr>
        <w:t xml:space="preserve"> humán lymphocytákban kromoszóma-aberrációt figyeltek meg. A prosztaglandin F</w:t>
      </w:r>
      <w:r>
        <w:rPr>
          <w:vertAlign w:val="subscript"/>
          <w:lang w:val="hu-HU"/>
        </w:rPr>
        <w:t>2α</w:t>
      </w:r>
      <w:r>
        <w:rPr>
          <w:lang w:val="hu-HU"/>
        </w:rPr>
        <w:t>-val, egy természetes prosztaglandinnal hasonló hatást figyeltek meg, mely azt mutatja, hogy ez a hatás jellemző erre a vegyület-típusra.</w:t>
      </w:r>
    </w:p>
    <w:p w14:paraId="7543BFA2" w14:textId="77777777" w:rsidR="00C67376" w:rsidRDefault="0022703E">
      <w:pPr>
        <w:rPr>
          <w:lang w:val="hu-HU"/>
        </w:rPr>
      </w:pPr>
      <w:r>
        <w:rPr>
          <w:lang w:val="hu-HU"/>
        </w:rPr>
        <w:t xml:space="preserve"> </w:t>
      </w:r>
    </w:p>
    <w:p w14:paraId="431BB119" w14:textId="77777777" w:rsidR="00C67376" w:rsidRDefault="0022703E">
      <w:pPr>
        <w:rPr>
          <w:lang w:val="hu-HU"/>
        </w:rPr>
      </w:pPr>
      <w:r>
        <w:rPr>
          <w:lang w:val="hu-HU"/>
        </w:rPr>
        <w:t xml:space="preserve">Patkányokkal végzett további </w:t>
      </w:r>
      <w:r>
        <w:rPr>
          <w:i/>
          <w:lang w:val="hu-HU"/>
        </w:rPr>
        <w:t xml:space="preserve">in vitro/in vivo </w:t>
      </w:r>
      <w:r>
        <w:rPr>
          <w:lang w:val="hu-HU"/>
        </w:rPr>
        <w:t>nem tervezett DNS szintézist vizsgáló mutagenitási vizsgálatok negatívak voltak, és azt mutatták, hogy a latanoprosztnak nincs mutagén potenciálja. Egerekkel és patkányokkal végzett karcinogenitási vizsgálatok negatívak voltak.</w:t>
      </w:r>
    </w:p>
    <w:p w14:paraId="1865E0AE" w14:textId="77777777" w:rsidR="00C67376" w:rsidRDefault="00C67376">
      <w:pPr>
        <w:rPr>
          <w:lang w:val="hu-HU"/>
        </w:rPr>
      </w:pPr>
    </w:p>
    <w:p w14:paraId="17692976" w14:textId="77777777" w:rsidR="00C67376" w:rsidRDefault="0022703E">
      <w:pPr>
        <w:rPr>
          <w:lang w:val="hu-HU"/>
        </w:rPr>
      </w:pPr>
      <w:r>
        <w:rPr>
          <w:lang w:val="hu-HU"/>
        </w:rPr>
        <w:lastRenderedPageBreak/>
        <w:t>Állatkísérletekben kimutatták, hogy a latanoprosztnak nincs hatása a hím és a nőstény termékenységre. Patkányokkal végzett embriotoxicitási vizsgálatokban a latanoproszt intravénás dózisainál (5,50 és 250 mikrogramm/ttkg/nap) nem figyeltek meg embriotoxicitást. Nyulaknál azonban a latanoproszt 5 mikrogramm/ttkg/nap, és ennél magasabb dózisban embriolethalis hatást mutatott.</w:t>
      </w:r>
    </w:p>
    <w:p w14:paraId="38685AD3" w14:textId="77777777" w:rsidR="00C67376" w:rsidRDefault="00C67376">
      <w:pPr>
        <w:rPr>
          <w:lang w:val="hu-HU"/>
        </w:rPr>
      </w:pPr>
    </w:p>
    <w:p w14:paraId="16712B05" w14:textId="77777777" w:rsidR="00C67376" w:rsidRDefault="0022703E">
      <w:pPr>
        <w:rPr>
          <w:lang w:val="hu-HU"/>
        </w:rPr>
      </w:pPr>
      <w:r>
        <w:rPr>
          <w:lang w:val="hu-HU"/>
        </w:rPr>
        <w:t>5 mikrogramm/ttkg/nap dózisban (körülbelül a klinikumban alkalmazott dózis 100-szorosa) szignifikáns embriofoetalis toxicitást okozott, melyet a késői reszorpció és vetélés emelkedett incidenciája és csökkent magzati súly jellemzett.</w:t>
      </w:r>
    </w:p>
    <w:p w14:paraId="0E8C148B" w14:textId="77777777" w:rsidR="00C67376" w:rsidRDefault="00C67376">
      <w:pPr>
        <w:rPr>
          <w:lang w:val="hu-HU"/>
        </w:rPr>
      </w:pPr>
    </w:p>
    <w:p w14:paraId="2EFCD50A" w14:textId="77777777" w:rsidR="00C67376" w:rsidRDefault="0022703E">
      <w:pPr>
        <w:rPr>
          <w:lang w:val="hu-HU"/>
        </w:rPr>
      </w:pPr>
      <w:r>
        <w:rPr>
          <w:lang w:val="hu-HU"/>
        </w:rPr>
        <w:t>Teratogén potenciált nem mutattak ki.</w:t>
      </w:r>
    </w:p>
    <w:p w14:paraId="3485B17B" w14:textId="77777777" w:rsidR="00C67376" w:rsidRDefault="00C67376">
      <w:pPr>
        <w:spacing w:line="240" w:lineRule="auto"/>
        <w:rPr>
          <w:lang w:val="hu-HU"/>
        </w:rPr>
      </w:pPr>
    </w:p>
    <w:p w14:paraId="07F69527" w14:textId="77777777" w:rsidR="00C67376" w:rsidRDefault="00C67376">
      <w:pPr>
        <w:spacing w:line="240" w:lineRule="auto"/>
        <w:rPr>
          <w:lang w:val="hu-HU"/>
        </w:rPr>
      </w:pPr>
    </w:p>
    <w:p w14:paraId="19C4A800" w14:textId="77777777" w:rsidR="00C67376" w:rsidRDefault="0022703E">
      <w:pPr>
        <w:spacing w:line="240" w:lineRule="auto"/>
        <w:ind w:left="567" w:hanging="567"/>
        <w:outlineLvl w:val="0"/>
        <w:rPr>
          <w:b/>
          <w:bCs/>
          <w:lang w:val="hu-HU"/>
        </w:rPr>
      </w:pPr>
      <w:r>
        <w:rPr>
          <w:b/>
          <w:bCs/>
          <w:lang w:val="hu-HU"/>
        </w:rPr>
        <w:t>6.</w:t>
      </w:r>
      <w:r>
        <w:rPr>
          <w:b/>
          <w:bCs/>
          <w:lang w:val="hu-HU"/>
        </w:rPr>
        <w:tab/>
        <w:t>GYÓGYSZERÉSZETI JELLEMZŐK</w:t>
      </w:r>
    </w:p>
    <w:p w14:paraId="286DCFA2" w14:textId="77777777" w:rsidR="00C67376" w:rsidRDefault="00C67376">
      <w:pPr>
        <w:spacing w:line="240" w:lineRule="auto"/>
        <w:ind w:left="567" w:hanging="567"/>
        <w:outlineLvl w:val="0"/>
        <w:rPr>
          <w:b/>
          <w:bCs/>
          <w:lang w:val="hu-HU"/>
        </w:rPr>
      </w:pPr>
    </w:p>
    <w:p w14:paraId="17C34635" w14:textId="77777777" w:rsidR="00C67376" w:rsidRDefault="0022703E">
      <w:pPr>
        <w:spacing w:line="240" w:lineRule="auto"/>
        <w:ind w:left="567" w:hanging="567"/>
        <w:outlineLvl w:val="0"/>
        <w:rPr>
          <w:b/>
          <w:bCs/>
          <w:lang w:val="hu-HU"/>
        </w:rPr>
      </w:pPr>
      <w:r>
        <w:rPr>
          <w:b/>
          <w:bCs/>
          <w:lang w:val="hu-HU"/>
        </w:rPr>
        <w:t>6.1</w:t>
      </w:r>
      <w:r>
        <w:rPr>
          <w:b/>
          <w:bCs/>
          <w:lang w:val="hu-HU"/>
        </w:rPr>
        <w:tab/>
        <w:t>Segédanyagok felsorolása</w:t>
      </w:r>
    </w:p>
    <w:p w14:paraId="39691641" w14:textId="77777777" w:rsidR="00C67376" w:rsidRDefault="00C67376">
      <w:pPr>
        <w:spacing w:line="240" w:lineRule="auto"/>
        <w:rPr>
          <w:lang w:val="hu-HU"/>
        </w:rPr>
      </w:pPr>
    </w:p>
    <w:p w14:paraId="0F877B88" w14:textId="77777777" w:rsidR="00C67376" w:rsidRDefault="0022703E">
      <w:pPr>
        <w:spacing w:line="240" w:lineRule="auto"/>
        <w:rPr>
          <w:lang w:val="hu-HU"/>
        </w:rPr>
      </w:pPr>
      <w:r>
        <w:rPr>
          <w:lang w:val="hu-HU"/>
        </w:rPr>
        <w:t>makrogol-glicerin-hidroxisztearát</w:t>
      </w:r>
    </w:p>
    <w:p w14:paraId="5B9AC18F" w14:textId="77777777" w:rsidR="00C67376" w:rsidRDefault="0022703E">
      <w:pPr>
        <w:spacing w:line="240" w:lineRule="auto"/>
        <w:rPr>
          <w:lang w:val="hu-HU"/>
        </w:rPr>
      </w:pPr>
      <w:r>
        <w:rPr>
          <w:lang w:val="hu-HU"/>
        </w:rPr>
        <w:t>nátrium-klorid</w:t>
      </w:r>
    </w:p>
    <w:p w14:paraId="5B006AC8" w14:textId="77777777" w:rsidR="00C67376" w:rsidRDefault="0022703E">
      <w:pPr>
        <w:spacing w:line="240" w:lineRule="auto"/>
        <w:rPr>
          <w:lang w:val="hu-HU"/>
        </w:rPr>
      </w:pPr>
      <w:r>
        <w:rPr>
          <w:lang w:val="hu-HU"/>
        </w:rPr>
        <w:t>dinátrium-edetát</w:t>
      </w:r>
    </w:p>
    <w:p w14:paraId="3A0D60B6" w14:textId="77777777" w:rsidR="00C67376" w:rsidRDefault="0022703E">
      <w:pPr>
        <w:spacing w:line="240" w:lineRule="auto"/>
        <w:rPr>
          <w:lang w:val="hu-HU"/>
        </w:rPr>
      </w:pPr>
      <w:r>
        <w:rPr>
          <w:lang w:val="hu-HU"/>
        </w:rPr>
        <w:t>nátrium-dihidrogén-foszfát-dihidrát</w:t>
      </w:r>
    </w:p>
    <w:p w14:paraId="2E43E8BB" w14:textId="77777777" w:rsidR="00C67376" w:rsidRDefault="0022703E">
      <w:pPr>
        <w:spacing w:line="240" w:lineRule="auto"/>
        <w:rPr>
          <w:lang w:val="hu-HU"/>
        </w:rPr>
      </w:pPr>
      <w:r>
        <w:rPr>
          <w:lang w:val="hu-HU"/>
        </w:rPr>
        <w:t>vízmentes dinátrium-hidrogén-foszfát</w:t>
      </w:r>
    </w:p>
    <w:p w14:paraId="7E4413C3" w14:textId="77777777" w:rsidR="00C67376" w:rsidRDefault="0022703E">
      <w:pPr>
        <w:spacing w:line="240" w:lineRule="auto"/>
        <w:rPr>
          <w:lang w:val="hu-HU"/>
        </w:rPr>
      </w:pPr>
      <w:r>
        <w:rPr>
          <w:lang w:val="hu-HU"/>
        </w:rPr>
        <w:t>sósav és/vagy nátrium-hidroxid (pH beállításhoz)</w:t>
      </w:r>
    </w:p>
    <w:p w14:paraId="14B72B22" w14:textId="77777777" w:rsidR="00C67376" w:rsidRDefault="0022703E">
      <w:pPr>
        <w:spacing w:line="240" w:lineRule="auto"/>
        <w:rPr>
          <w:lang w:val="hu-HU"/>
        </w:rPr>
      </w:pPr>
      <w:r>
        <w:rPr>
          <w:lang w:val="hu-HU"/>
        </w:rPr>
        <w:t>injekcióhoz való víz</w:t>
      </w:r>
    </w:p>
    <w:p w14:paraId="51FE849A" w14:textId="77777777" w:rsidR="00C67376" w:rsidRDefault="00C67376">
      <w:pPr>
        <w:spacing w:line="240" w:lineRule="auto"/>
        <w:rPr>
          <w:lang w:val="hu-HU"/>
        </w:rPr>
      </w:pPr>
    </w:p>
    <w:p w14:paraId="2C31EC33" w14:textId="77777777" w:rsidR="00C67376" w:rsidRDefault="0022703E">
      <w:pPr>
        <w:spacing w:line="240" w:lineRule="auto"/>
        <w:ind w:left="567" w:hanging="567"/>
        <w:outlineLvl w:val="0"/>
        <w:rPr>
          <w:b/>
          <w:bCs/>
          <w:lang w:val="hu-HU"/>
        </w:rPr>
      </w:pPr>
      <w:r>
        <w:rPr>
          <w:b/>
          <w:bCs/>
          <w:lang w:val="hu-HU"/>
        </w:rPr>
        <w:t>6.2</w:t>
      </w:r>
      <w:r>
        <w:rPr>
          <w:b/>
          <w:bCs/>
          <w:lang w:val="hu-HU"/>
        </w:rPr>
        <w:tab/>
        <w:t>Inkompatibilitások</w:t>
      </w:r>
    </w:p>
    <w:p w14:paraId="123F3BB8" w14:textId="77777777" w:rsidR="00C67376" w:rsidRDefault="00C67376">
      <w:pPr>
        <w:spacing w:line="240" w:lineRule="auto"/>
        <w:rPr>
          <w:lang w:val="hu-HU"/>
        </w:rPr>
      </w:pPr>
    </w:p>
    <w:p w14:paraId="1EE2B77F" w14:textId="77777777" w:rsidR="00C67376" w:rsidRDefault="0022703E">
      <w:pPr>
        <w:suppressAutoHyphens/>
        <w:spacing w:line="240" w:lineRule="auto"/>
        <w:rPr>
          <w:lang w:val="hu-HU" w:eastAsia="en-GB"/>
        </w:rPr>
      </w:pPr>
      <w:r>
        <w:rPr>
          <w:i/>
          <w:lang w:val="hu-HU" w:eastAsia="en-GB"/>
        </w:rPr>
        <w:t>In vitro</w:t>
      </w:r>
      <w:r>
        <w:rPr>
          <w:lang w:val="hu-HU" w:eastAsia="en-GB"/>
        </w:rPr>
        <w:t xml:space="preserve"> vizsgálatok kimutatták, hogy a tiomerzál-tartalmú készítmények és a </w:t>
      </w:r>
      <w:r>
        <w:rPr>
          <w:lang w:val="hu-HU"/>
        </w:rPr>
        <w:t>latanoproszt</w:t>
      </w:r>
      <w:r>
        <w:rPr>
          <w:lang w:val="hu-HU" w:eastAsia="en-GB"/>
        </w:rPr>
        <w:t xml:space="preserve"> elegyedésekor precipitáció következik be. Amennyiben ilyen készítményeket használnak együtt, a két gyógyszer alkalmazása között legalább </w:t>
      </w:r>
      <w:r>
        <w:rPr>
          <w:lang w:val="hu-HU"/>
        </w:rPr>
        <w:t>5 percnek</w:t>
      </w:r>
      <w:r>
        <w:rPr>
          <w:lang w:val="hu-HU" w:eastAsia="en-GB"/>
        </w:rPr>
        <w:t xml:space="preserve"> el kell telnie.</w:t>
      </w:r>
    </w:p>
    <w:p w14:paraId="7AA638B5" w14:textId="77777777" w:rsidR="00C67376" w:rsidRDefault="00C67376">
      <w:pPr>
        <w:suppressAutoHyphens/>
        <w:spacing w:line="240" w:lineRule="auto"/>
        <w:rPr>
          <w:lang w:val="hu-HU" w:eastAsia="en-GB"/>
        </w:rPr>
      </w:pPr>
    </w:p>
    <w:p w14:paraId="55DA7316" w14:textId="77777777" w:rsidR="00C67376" w:rsidRDefault="0022703E">
      <w:pPr>
        <w:spacing w:line="240" w:lineRule="auto"/>
        <w:ind w:left="567" w:hanging="567"/>
        <w:outlineLvl w:val="0"/>
        <w:rPr>
          <w:b/>
          <w:bCs/>
          <w:lang w:val="hu-HU"/>
        </w:rPr>
      </w:pPr>
      <w:r>
        <w:rPr>
          <w:b/>
          <w:bCs/>
          <w:lang w:val="hu-HU"/>
        </w:rPr>
        <w:t>6.3</w:t>
      </w:r>
      <w:r>
        <w:rPr>
          <w:b/>
          <w:bCs/>
          <w:lang w:val="hu-HU"/>
        </w:rPr>
        <w:tab/>
        <w:t>Felhasználhatósági időtartam</w:t>
      </w:r>
    </w:p>
    <w:p w14:paraId="387DEC3C" w14:textId="77777777" w:rsidR="00C67376" w:rsidRDefault="00C67376">
      <w:pPr>
        <w:spacing w:line="240" w:lineRule="auto"/>
        <w:rPr>
          <w:lang w:val="hu-HU"/>
        </w:rPr>
      </w:pPr>
    </w:p>
    <w:p w14:paraId="51DC7A16" w14:textId="77777777" w:rsidR="00C67376" w:rsidRDefault="0022703E">
      <w:pPr>
        <w:spacing w:line="240" w:lineRule="auto"/>
        <w:rPr>
          <w:lang w:val="hu-HU"/>
        </w:rPr>
      </w:pPr>
      <w:r>
        <w:rPr>
          <w:lang w:val="hu-HU"/>
        </w:rPr>
        <w:t>2 év</w:t>
      </w:r>
    </w:p>
    <w:p w14:paraId="124471FD" w14:textId="77777777" w:rsidR="00C67376" w:rsidRDefault="00C67376">
      <w:pPr>
        <w:spacing w:line="240" w:lineRule="auto"/>
        <w:rPr>
          <w:lang w:val="hu-HU"/>
        </w:rPr>
      </w:pPr>
    </w:p>
    <w:p w14:paraId="66D5C223" w14:textId="77777777" w:rsidR="00C67376" w:rsidRDefault="0022703E">
      <w:pPr>
        <w:spacing w:line="240" w:lineRule="auto"/>
        <w:rPr>
          <w:lang w:val="hu-HU"/>
        </w:rPr>
      </w:pPr>
      <w:r>
        <w:rPr>
          <w:lang w:val="hu-HU"/>
        </w:rPr>
        <w:t>Felbontás után: 4 hét. Nem igényel különleges tárolást.</w:t>
      </w:r>
    </w:p>
    <w:p w14:paraId="3185A0A4" w14:textId="77777777" w:rsidR="00C67376" w:rsidRDefault="00C67376">
      <w:pPr>
        <w:spacing w:line="240" w:lineRule="auto"/>
        <w:rPr>
          <w:lang w:val="hu-HU"/>
        </w:rPr>
      </w:pPr>
    </w:p>
    <w:p w14:paraId="6E708AF1" w14:textId="77777777" w:rsidR="00C67376" w:rsidRDefault="0022703E">
      <w:pPr>
        <w:spacing w:line="240" w:lineRule="auto"/>
        <w:ind w:left="567" w:hanging="567"/>
        <w:outlineLvl w:val="0"/>
        <w:rPr>
          <w:b/>
          <w:bCs/>
          <w:lang w:val="hu-HU"/>
        </w:rPr>
      </w:pPr>
      <w:r>
        <w:rPr>
          <w:b/>
          <w:bCs/>
          <w:lang w:val="hu-HU"/>
        </w:rPr>
        <w:t>6.4</w:t>
      </w:r>
      <w:r>
        <w:rPr>
          <w:b/>
          <w:bCs/>
          <w:lang w:val="hu-HU"/>
        </w:rPr>
        <w:tab/>
        <w:t>Különleges tárolási előírások</w:t>
      </w:r>
    </w:p>
    <w:p w14:paraId="6E8F37CF" w14:textId="77777777" w:rsidR="00C67376" w:rsidRDefault="00C67376">
      <w:pPr>
        <w:spacing w:line="240" w:lineRule="auto"/>
        <w:ind w:left="567" w:hanging="567"/>
        <w:outlineLvl w:val="0"/>
        <w:rPr>
          <w:b/>
          <w:bCs/>
          <w:lang w:val="hu-HU"/>
        </w:rPr>
      </w:pPr>
    </w:p>
    <w:p w14:paraId="075CEE93" w14:textId="77777777" w:rsidR="00C67376" w:rsidRDefault="0022703E">
      <w:pPr>
        <w:spacing w:line="240" w:lineRule="auto"/>
        <w:rPr>
          <w:lang w:val="hu-HU"/>
        </w:rPr>
      </w:pPr>
      <w:r>
        <w:t>Bontatlan tartály: 25 °C alatt tárolandó.</w:t>
      </w:r>
    </w:p>
    <w:p w14:paraId="13391FF3" w14:textId="77777777" w:rsidR="00C67376" w:rsidRDefault="00C67376">
      <w:pPr>
        <w:spacing w:line="240" w:lineRule="auto"/>
        <w:rPr>
          <w:lang w:val="hu-HU"/>
        </w:rPr>
      </w:pPr>
    </w:p>
    <w:p w14:paraId="118B56A4" w14:textId="77777777" w:rsidR="00C67376" w:rsidRDefault="0022703E">
      <w:pPr>
        <w:spacing w:line="240" w:lineRule="auto"/>
        <w:rPr>
          <w:lang w:val="hu-HU"/>
        </w:rPr>
      </w:pPr>
      <w:r>
        <w:rPr>
          <w:lang w:val="hu-HU"/>
        </w:rPr>
        <w:t>A készítmény felbontását követő tárolási körülményekre vonatkozóan lásd a 6.3 pontot.</w:t>
      </w:r>
    </w:p>
    <w:p w14:paraId="29878F3F" w14:textId="77777777" w:rsidR="00C67376" w:rsidRDefault="00C67376">
      <w:pPr>
        <w:spacing w:line="240" w:lineRule="auto"/>
        <w:rPr>
          <w:lang w:val="hu-HU"/>
        </w:rPr>
      </w:pPr>
    </w:p>
    <w:p w14:paraId="508F2A2B" w14:textId="77777777" w:rsidR="00C67376" w:rsidRDefault="0022703E">
      <w:pPr>
        <w:spacing w:line="240" w:lineRule="auto"/>
        <w:ind w:left="567" w:hanging="567"/>
        <w:outlineLvl w:val="0"/>
        <w:rPr>
          <w:b/>
          <w:bCs/>
          <w:lang w:val="hu-HU"/>
        </w:rPr>
      </w:pPr>
      <w:r>
        <w:rPr>
          <w:b/>
          <w:bCs/>
          <w:lang w:val="hu-HU"/>
        </w:rPr>
        <w:t>6.5</w:t>
      </w:r>
      <w:r>
        <w:rPr>
          <w:b/>
          <w:bCs/>
          <w:lang w:val="hu-HU"/>
        </w:rPr>
        <w:tab/>
        <w:t xml:space="preserve">Csomagolás típusa és kiszerelése </w:t>
      </w:r>
    </w:p>
    <w:p w14:paraId="1F519C00" w14:textId="77777777" w:rsidR="00C67376" w:rsidRDefault="00C67376">
      <w:pPr>
        <w:spacing w:line="240" w:lineRule="auto"/>
        <w:rPr>
          <w:lang w:val="hu-HU"/>
        </w:rPr>
      </w:pPr>
    </w:p>
    <w:p w14:paraId="18DA6074" w14:textId="77777777" w:rsidR="00C67376" w:rsidRDefault="0022703E">
      <w:pPr>
        <w:spacing w:line="240" w:lineRule="auto"/>
        <w:rPr>
          <w:lang w:val="hu-HU"/>
        </w:rPr>
      </w:pPr>
      <w:r>
        <w:rPr>
          <w:lang w:val="hu-HU"/>
        </w:rPr>
        <w:t>Pumpával (PP, HDPE, LDPE) és narancssárga nyomófejjel ellátott, HDPE kupakkal lezárt fehér, 5 ml-es HDPE tartály dobozban.</w:t>
      </w:r>
    </w:p>
    <w:p w14:paraId="0CB2FB50" w14:textId="77777777" w:rsidR="00C67376" w:rsidRDefault="0022703E">
      <w:pPr>
        <w:rPr>
          <w:lang w:val="hu-HU"/>
        </w:rPr>
      </w:pPr>
      <w:r>
        <w:rPr>
          <w:lang w:val="hu-HU"/>
        </w:rPr>
        <w:t>A tartály 2,5 ml tiszta és színtelen, vizes oldatot tartalmaz, ami megközelítőleg 80 cseppnek felel meg.</w:t>
      </w:r>
    </w:p>
    <w:p w14:paraId="495FF63E" w14:textId="77777777" w:rsidR="00C67376" w:rsidRDefault="0022703E">
      <w:pPr>
        <w:rPr>
          <w:lang w:val="hu-HU"/>
        </w:rPr>
      </w:pPr>
      <w:r>
        <w:rPr>
          <w:lang w:val="hu-HU"/>
        </w:rPr>
        <w:t>Kiszerelés: 2,5 ml oldat tartályban. 1 db, 3 db vagy 4 db tartály dobozban.</w:t>
      </w:r>
    </w:p>
    <w:p w14:paraId="01767BA0" w14:textId="77777777" w:rsidR="00C67376" w:rsidRDefault="00C67376">
      <w:pPr>
        <w:rPr>
          <w:lang w:val="hu-HU"/>
        </w:rPr>
      </w:pPr>
    </w:p>
    <w:p w14:paraId="39714719" w14:textId="77777777" w:rsidR="00C67376" w:rsidRDefault="0022703E">
      <w:pPr>
        <w:spacing w:line="240" w:lineRule="auto"/>
        <w:rPr>
          <w:lang w:val="hu-HU"/>
        </w:rPr>
      </w:pPr>
      <w:r>
        <w:rPr>
          <w:lang w:val="hu-HU"/>
        </w:rPr>
        <w:t>Nem feltétlenül mindegyik kiszerelés kerül kereskedelmi forgalomba.</w:t>
      </w:r>
    </w:p>
    <w:p w14:paraId="49C156BC" w14:textId="77777777" w:rsidR="00C67376" w:rsidRDefault="00C67376">
      <w:pPr>
        <w:spacing w:line="240" w:lineRule="auto"/>
        <w:rPr>
          <w:lang w:val="hu-HU"/>
        </w:rPr>
      </w:pPr>
    </w:p>
    <w:p w14:paraId="192948A2" w14:textId="77777777" w:rsidR="00C67376" w:rsidRDefault="0022703E">
      <w:pPr>
        <w:spacing w:line="240" w:lineRule="auto"/>
        <w:ind w:left="567" w:hanging="567"/>
        <w:outlineLvl w:val="0"/>
        <w:rPr>
          <w:b/>
          <w:bCs/>
          <w:lang w:val="hu-HU"/>
        </w:rPr>
      </w:pPr>
      <w:r>
        <w:rPr>
          <w:b/>
          <w:bCs/>
          <w:lang w:val="hu-HU"/>
        </w:rPr>
        <w:t>6.6</w:t>
      </w:r>
      <w:r>
        <w:rPr>
          <w:b/>
          <w:bCs/>
          <w:lang w:val="hu-HU"/>
        </w:rPr>
        <w:tab/>
        <w:t xml:space="preserve">A megsemmisítésre vonatkozó különleges óvintézkedések </w:t>
      </w:r>
      <w:r>
        <w:rPr>
          <w:rFonts w:eastAsia="Calibri"/>
          <w:b/>
          <w:bCs/>
          <w:lang w:val="hu-HU"/>
        </w:rPr>
        <w:t>és egyéb, a készítmény kezelésével kapcsolatos információk</w:t>
      </w:r>
    </w:p>
    <w:p w14:paraId="5FD43CA0" w14:textId="77777777" w:rsidR="00C67376" w:rsidRDefault="00C67376">
      <w:pPr>
        <w:tabs>
          <w:tab w:val="clear" w:pos="567"/>
        </w:tabs>
        <w:spacing w:line="240" w:lineRule="auto"/>
        <w:rPr>
          <w:rFonts w:eastAsia="PMingLiU"/>
          <w:lang w:val="hu-HU" w:eastAsia="zh-TW"/>
        </w:rPr>
      </w:pPr>
    </w:p>
    <w:p w14:paraId="6C26B4CB" w14:textId="77777777" w:rsidR="00C67376" w:rsidRDefault="0022703E">
      <w:pPr>
        <w:tabs>
          <w:tab w:val="clear" w:pos="567"/>
        </w:tabs>
        <w:spacing w:line="240" w:lineRule="auto"/>
        <w:rPr>
          <w:rFonts w:eastAsia="PMingLiU"/>
          <w:lang w:val="hu-HU" w:eastAsia="zh-TW"/>
        </w:rPr>
      </w:pPr>
      <w:r>
        <w:rPr>
          <w:rFonts w:eastAsia="PMingLiU"/>
          <w:b/>
          <w:bCs/>
          <w:lang w:val="hu-HU" w:eastAsia="zh-TW"/>
        </w:rPr>
        <w:t xml:space="preserve">Megjegyzés </w:t>
      </w:r>
      <w:r>
        <w:rPr>
          <w:rFonts w:eastAsia="PMingLiU"/>
          <w:lang w:val="hu-HU" w:eastAsia="zh-TW"/>
        </w:rPr>
        <w:t>(keresztjelzés nélkül)</w:t>
      </w:r>
    </w:p>
    <w:p w14:paraId="23F2B474" w14:textId="77777777" w:rsidR="00C67376" w:rsidRDefault="0022703E">
      <w:pPr>
        <w:tabs>
          <w:tab w:val="clear" w:pos="567"/>
        </w:tabs>
        <w:spacing w:line="240" w:lineRule="auto"/>
        <w:rPr>
          <w:rFonts w:eastAsia="PMingLiU"/>
          <w:b/>
          <w:bCs/>
          <w:lang w:val="hu-HU" w:eastAsia="zh-TW"/>
        </w:rPr>
      </w:pPr>
      <w:r>
        <w:rPr>
          <w:rFonts w:eastAsia="PMingLiU"/>
          <w:b/>
          <w:bCs/>
          <w:lang w:val="hu-HU" w:eastAsia="zh-TW"/>
        </w:rPr>
        <w:t>Osztályozás</w:t>
      </w:r>
      <w:r>
        <w:rPr>
          <w:rFonts w:eastAsia="PMingLiU"/>
          <w:lang w:val="hu-HU" w:eastAsia="zh-TW"/>
        </w:rPr>
        <w:t xml:space="preserve">: </w:t>
      </w:r>
      <w:r>
        <w:rPr>
          <w:rFonts w:eastAsia="PMingLiU"/>
          <w:b/>
          <w:bCs/>
          <w:lang w:val="hu-HU" w:eastAsia="zh-TW"/>
        </w:rPr>
        <w:t>II./1 csoport</w:t>
      </w:r>
    </w:p>
    <w:p w14:paraId="31017E6A" w14:textId="77777777" w:rsidR="00C67376" w:rsidRDefault="0022703E">
      <w:pPr>
        <w:tabs>
          <w:tab w:val="clear" w:pos="567"/>
        </w:tabs>
        <w:spacing w:line="240" w:lineRule="auto"/>
        <w:rPr>
          <w:rFonts w:eastAsia="PMingLiU"/>
          <w:lang w:val="hu-HU" w:eastAsia="zh-TW"/>
        </w:rPr>
      </w:pPr>
      <w:r>
        <w:rPr>
          <w:rFonts w:eastAsia="PMingLiU"/>
          <w:lang w:val="hu-HU" w:eastAsia="zh-TW"/>
        </w:rPr>
        <w:lastRenderedPageBreak/>
        <w:t xml:space="preserve">Korlátozott érvényű orvosi rendelvényhez kötött, szakorvosi/kórházi diagnózist követő járóbeteg-ellátásban alkalmazható gyógyszer (J). </w:t>
      </w:r>
    </w:p>
    <w:p w14:paraId="215B6BCC" w14:textId="77777777" w:rsidR="00C67376" w:rsidRDefault="00C67376">
      <w:pPr>
        <w:spacing w:line="240" w:lineRule="auto"/>
        <w:ind w:left="567" w:hanging="567"/>
        <w:outlineLvl w:val="0"/>
        <w:rPr>
          <w:b/>
          <w:bCs/>
          <w:lang w:val="hu-HU"/>
        </w:rPr>
      </w:pPr>
    </w:p>
    <w:p w14:paraId="4B4328EE" w14:textId="77777777" w:rsidR="00C67376" w:rsidRDefault="00C67376">
      <w:pPr>
        <w:spacing w:line="240" w:lineRule="auto"/>
        <w:ind w:left="567" w:hanging="567"/>
        <w:outlineLvl w:val="0"/>
        <w:rPr>
          <w:b/>
          <w:bCs/>
          <w:lang w:val="hu-HU"/>
        </w:rPr>
      </w:pPr>
    </w:p>
    <w:p w14:paraId="6A8618A9" w14:textId="77777777" w:rsidR="00C67376" w:rsidRDefault="0022703E">
      <w:pPr>
        <w:spacing w:line="240" w:lineRule="auto"/>
        <w:ind w:left="567" w:hanging="567"/>
        <w:outlineLvl w:val="0"/>
        <w:rPr>
          <w:b/>
          <w:bCs/>
          <w:lang w:val="hu-HU"/>
        </w:rPr>
      </w:pPr>
      <w:r>
        <w:rPr>
          <w:b/>
          <w:bCs/>
          <w:lang w:val="hu-HU"/>
        </w:rPr>
        <w:t>Használati útmutató</w:t>
      </w:r>
    </w:p>
    <w:p w14:paraId="356D024F" w14:textId="77777777" w:rsidR="00C67376" w:rsidRDefault="00C67376">
      <w:pPr>
        <w:spacing w:line="240" w:lineRule="auto"/>
        <w:ind w:left="567" w:hanging="567"/>
        <w:outlineLvl w:val="0"/>
        <w:rPr>
          <w:b/>
          <w:bCs/>
          <w:lang w:val="hu-HU"/>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6209"/>
      </w:tblGrid>
      <w:tr w:rsidR="00C67376" w14:paraId="6EB46BD6" w14:textId="77777777">
        <w:trPr>
          <w:trHeight w:val="5049"/>
        </w:trPr>
        <w:tc>
          <w:tcPr>
            <w:tcW w:w="2263" w:type="dxa"/>
            <w:tcBorders>
              <w:top w:val="single" w:sz="4" w:space="0" w:color="auto"/>
              <w:left w:val="single" w:sz="4" w:space="0" w:color="auto"/>
              <w:bottom w:val="single" w:sz="4" w:space="0" w:color="auto"/>
              <w:right w:val="single" w:sz="4" w:space="0" w:color="auto"/>
            </w:tcBorders>
          </w:tcPr>
          <w:p w14:paraId="31FE4E4B" w14:textId="77777777" w:rsidR="00C67376" w:rsidRDefault="00DA284D">
            <w:pPr>
              <w:tabs>
                <w:tab w:val="left" w:pos="426"/>
              </w:tabs>
              <w:spacing w:line="240" w:lineRule="auto"/>
              <w:ind w:right="-29"/>
              <w:rPr>
                <w:b/>
                <w:bCs/>
                <w:lang w:val="hu-HU"/>
              </w:rPr>
            </w:pPr>
            <w:r>
              <w:rPr>
                <w:lang w:val="hu-HU" w:eastAsia="en-GB"/>
              </w:rPr>
              <w:pict w14:anchorId="056CE0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64500335" o:spid="_x0000_i1025" type="#_x0000_t75" style="width:51.75pt;height:107.25pt;visibility:visible">
                  <v:imagedata r:id="rId9" o:title="" croptop="15864f" cropbottom="9150f" cropright="47127f"/>
                </v:shape>
              </w:pict>
            </w:r>
          </w:p>
          <w:p w14:paraId="040E5291" w14:textId="77777777" w:rsidR="00C67376" w:rsidRDefault="0022703E">
            <w:pPr>
              <w:tabs>
                <w:tab w:val="left" w:pos="426"/>
              </w:tabs>
              <w:spacing w:line="240" w:lineRule="auto"/>
              <w:ind w:right="-29"/>
              <w:rPr>
                <w:b/>
                <w:bCs/>
                <w:lang w:val="hu-HU"/>
              </w:rPr>
            </w:pPr>
            <w:r>
              <w:rPr>
                <w:b/>
                <w:bCs/>
                <w:lang w:val="hu-HU"/>
              </w:rPr>
              <w:t>1a</w:t>
            </w:r>
          </w:p>
          <w:p w14:paraId="34822472" w14:textId="77777777" w:rsidR="00C67376" w:rsidRDefault="00DA284D">
            <w:pPr>
              <w:tabs>
                <w:tab w:val="left" w:pos="426"/>
              </w:tabs>
              <w:spacing w:line="240" w:lineRule="auto"/>
              <w:ind w:right="-29"/>
              <w:rPr>
                <w:b/>
                <w:bCs/>
                <w:lang w:val="hu-HU"/>
              </w:rPr>
            </w:pPr>
            <w:r>
              <w:rPr>
                <w:lang w:val="hu-HU" w:eastAsia="en-GB"/>
              </w:rPr>
              <w:pict w14:anchorId="3CEBD946">
                <v:shape id="52122670" o:spid="_x0000_i1026" type="#_x0000_t75" style="width:115.5pt;height:149.25pt;visibility:visible">
                  <v:imagedata r:id="rId10" o:title="" cropleft="17918f"/>
                </v:shape>
              </w:pict>
            </w:r>
          </w:p>
          <w:p w14:paraId="7FBD03D9" w14:textId="77777777" w:rsidR="00C67376" w:rsidRDefault="0022703E">
            <w:pPr>
              <w:tabs>
                <w:tab w:val="left" w:pos="426"/>
              </w:tabs>
              <w:spacing w:line="240" w:lineRule="auto"/>
              <w:ind w:right="-29"/>
              <w:rPr>
                <w:b/>
                <w:bCs/>
                <w:lang w:val="hu-HU"/>
              </w:rPr>
            </w:pPr>
            <w:r>
              <w:rPr>
                <w:b/>
                <w:bCs/>
                <w:lang w:val="hu-HU"/>
              </w:rPr>
              <w:t>1b</w:t>
            </w:r>
          </w:p>
        </w:tc>
        <w:tc>
          <w:tcPr>
            <w:tcW w:w="6209" w:type="dxa"/>
            <w:tcBorders>
              <w:top w:val="single" w:sz="4" w:space="0" w:color="auto"/>
              <w:left w:val="single" w:sz="4" w:space="0" w:color="auto"/>
              <w:bottom w:val="single" w:sz="4" w:space="0" w:color="auto"/>
              <w:right w:val="single" w:sz="4" w:space="0" w:color="auto"/>
            </w:tcBorders>
          </w:tcPr>
          <w:p w14:paraId="1149A541" w14:textId="77777777" w:rsidR="00C67376" w:rsidRDefault="0022703E">
            <w:pPr>
              <w:pStyle w:val="Listaszerbekezds"/>
              <w:keepNext/>
              <w:numPr>
                <w:ilvl w:val="0"/>
                <w:numId w:val="1"/>
              </w:numPr>
              <w:tabs>
                <w:tab w:val="clear" w:pos="567"/>
              </w:tabs>
              <w:spacing w:line="240" w:lineRule="auto"/>
              <w:contextualSpacing/>
              <w:rPr>
                <w:lang w:val="hu-HU"/>
              </w:rPr>
            </w:pPr>
            <w:r>
              <w:rPr>
                <w:lang w:val="hu-HU"/>
              </w:rPr>
              <w:t xml:space="preserve">Vegye ki a tartályt a dobozból </w:t>
            </w:r>
            <w:r>
              <w:rPr>
                <w:b/>
                <w:bCs/>
                <w:lang w:val="hu-HU"/>
              </w:rPr>
              <w:t>(1a ábra)</w:t>
            </w:r>
            <w:r>
              <w:rPr>
                <w:lang w:val="hu-HU"/>
              </w:rPr>
              <w:t>, és írja rá a felnyitás dátumát a dobozra és a tartályra a rendelkezésre álló helyen.</w:t>
            </w:r>
          </w:p>
          <w:p w14:paraId="5155672F" w14:textId="77777777" w:rsidR="00C67376" w:rsidRDefault="0022703E">
            <w:pPr>
              <w:pStyle w:val="Listaszerbekezds"/>
              <w:keepNext/>
              <w:numPr>
                <w:ilvl w:val="0"/>
                <w:numId w:val="1"/>
              </w:numPr>
              <w:tabs>
                <w:tab w:val="clear" w:pos="567"/>
              </w:tabs>
              <w:spacing w:line="240" w:lineRule="auto"/>
              <w:contextualSpacing/>
              <w:rPr>
                <w:lang w:val="hu-HU"/>
              </w:rPr>
            </w:pPr>
            <w:r>
              <w:rPr>
                <w:lang w:val="hu-HU"/>
              </w:rPr>
              <w:t>Készítse elő a gyógyszeres tartályt és egy tükröt.</w:t>
            </w:r>
          </w:p>
          <w:p w14:paraId="5464553B" w14:textId="77777777" w:rsidR="00C67376" w:rsidRDefault="0022703E">
            <w:pPr>
              <w:pStyle w:val="Listaszerbekezds"/>
              <w:keepNext/>
              <w:numPr>
                <w:ilvl w:val="0"/>
                <w:numId w:val="1"/>
              </w:numPr>
              <w:tabs>
                <w:tab w:val="clear" w:pos="567"/>
              </w:tabs>
              <w:spacing w:line="240" w:lineRule="auto"/>
              <w:contextualSpacing/>
              <w:rPr>
                <w:lang w:val="hu-HU"/>
              </w:rPr>
            </w:pPr>
            <w:r>
              <w:rPr>
                <w:lang w:val="hu-HU"/>
              </w:rPr>
              <w:t>Mosson kezet.</w:t>
            </w:r>
          </w:p>
          <w:p w14:paraId="2826AC80" w14:textId="77777777" w:rsidR="00C67376" w:rsidRDefault="0022703E">
            <w:pPr>
              <w:pStyle w:val="Listaszerbekezds"/>
              <w:keepNext/>
              <w:numPr>
                <w:ilvl w:val="0"/>
                <w:numId w:val="1"/>
              </w:numPr>
              <w:tabs>
                <w:tab w:val="clear" w:pos="567"/>
              </w:tabs>
              <w:spacing w:line="240" w:lineRule="auto"/>
              <w:contextualSpacing/>
              <w:rPr>
                <w:lang w:val="hu-HU"/>
              </w:rPr>
            </w:pPr>
            <w:r>
              <w:rPr>
                <w:lang w:val="hu-HU"/>
              </w:rPr>
              <w:t xml:space="preserve">Távolítsa el a kupakot </w:t>
            </w:r>
            <w:r>
              <w:rPr>
                <w:b/>
                <w:bCs/>
                <w:lang w:val="hu-HU"/>
              </w:rPr>
              <w:t>(1b ábra)</w:t>
            </w:r>
            <w:r>
              <w:rPr>
                <w:lang w:val="hu-HU"/>
              </w:rPr>
              <w:t>.</w:t>
            </w:r>
          </w:p>
        </w:tc>
      </w:tr>
      <w:tr w:rsidR="00C67376" w14:paraId="0B4FE98D" w14:textId="77777777">
        <w:trPr>
          <w:trHeight w:val="2330"/>
        </w:trPr>
        <w:tc>
          <w:tcPr>
            <w:tcW w:w="2263" w:type="dxa"/>
            <w:tcBorders>
              <w:top w:val="single" w:sz="4" w:space="0" w:color="auto"/>
              <w:left w:val="single" w:sz="4" w:space="0" w:color="auto"/>
              <w:bottom w:val="single" w:sz="4" w:space="0" w:color="auto"/>
              <w:right w:val="single" w:sz="4" w:space="0" w:color="auto"/>
            </w:tcBorders>
          </w:tcPr>
          <w:p w14:paraId="1A99D992" w14:textId="77777777" w:rsidR="00C67376" w:rsidRDefault="00DA284D">
            <w:pPr>
              <w:tabs>
                <w:tab w:val="left" w:pos="426"/>
              </w:tabs>
              <w:spacing w:line="240" w:lineRule="auto"/>
              <w:ind w:right="-29"/>
              <w:rPr>
                <w:lang w:val="hu-HU" w:eastAsia="el-GR"/>
              </w:rPr>
            </w:pPr>
            <w:r>
              <w:rPr>
                <w:lang w:val="hu-HU" w:eastAsia="en-GB"/>
              </w:rPr>
              <w:pict w14:anchorId="3EFB1411">
                <v:shape id="58694279" o:spid="_x0000_i1027" type="#_x0000_t75" style="width:99pt;height:84.75pt;visibility:visible">
                  <v:imagedata r:id="rId11" o:title=""/>
                </v:shape>
              </w:pict>
            </w:r>
            <w:r w:rsidR="0022703E">
              <w:rPr>
                <w:b/>
                <w:bCs/>
                <w:lang w:val="hu-HU"/>
              </w:rPr>
              <w:t>2</w:t>
            </w:r>
          </w:p>
        </w:tc>
        <w:tc>
          <w:tcPr>
            <w:tcW w:w="6209" w:type="dxa"/>
            <w:tcBorders>
              <w:top w:val="single" w:sz="4" w:space="0" w:color="auto"/>
              <w:left w:val="single" w:sz="4" w:space="0" w:color="auto"/>
              <w:bottom w:val="single" w:sz="4" w:space="0" w:color="auto"/>
              <w:right w:val="single" w:sz="4" w:space="0" w:color="auto"/>
            </w:tcBorders>
          </w:tcPr>
          <w:p w14:paraId="1B3C6E03" w14:textId="77777777" w:rsidR="00C67376" w:rsidRDefault="0022703E">
            <w:pPr>
              <w:pStyle w:val="Listaszerbekezds"/>
              <w:keepNext/>
              <w:numPr>
                <w:ilvl w:val="0"/>
                <w:numId w:val="1"/>
              </w:numPr>
              <w:tabs>
                <w:tab w:val="clear" w:pos="567"/>
              </w:tabs>
              <w:spacing w:line="240" w:lineRule="auto"/>
              <w:contextualSpacing/>
              <w:rPr>
                <w:lang w:val="hu-HU"/>
              </w:rPr>
            </w:pPr>
            <w:r>
              <w:rPr>
                <w:lang w:val="hu-HU"/>
              </w:rPr>
              <w:t xml:space="preserve">Fogja a tartályt fejjel lefelé a hüvelykujjával a tartály nyakánál, a többi ujjaival pedig a tartály alján. </w:t>
            </w:r>
          </w:p>
          <w:p w14:paraId="785536DD" w14:textId="77777777" w:rsidR="00C67376" w:rsidRDefault="0022703E">
            <w:pPr>
              <w:pStyle w:val="Listaszerbekezds"/>
              <w:keepNext/>
              <w:tabs>
                <w:tab w:val="clear" w:pos="567"/>
              </w:tabs>
              <w:spacing w:line="240" w:lineRule="auto"/>
              <w:ind w:left="360"/>
              <w:contextualSpacing/>
              <w:rPr>
                <w:lang w:val="hu-HU"/>
              </w:rPr>
            </w:pPr>
            <w:r>
              <w:rPr>
                <w:lang w:val="hu-HU"/>
              </w:rPr>
              <w:t xml:space="preserve">Az első használat előtt végezzen 15 pumpálást egymás után </w:t>
            </w:r>
            <w:r>
              <w:rPr>
                <w:b/>
                <w:bCs/>
                <w:lang w:val="hu-HU"/>
              </w:rPr>
              <w:t>(2. ábra)</w:t>
            </w:r>
            <w:r>
              <w:rPr>
                <w:lang w:val="hu-HU"/>
              </w:rPr>
              <w:t xml:space="preserve">. Nem jelent problémát, ha a cseppek fehéres színűek. </w:t>
            </w:r>
          </w:p>
          <w:p w14:paraId="7826AAF3" w14:textId="77777777" w:rsidR="00C67376" w:rsidRDefault="00C67376">
            <w:pPr>
              <w:pStyle w:val="Listaszerbekezds"/>
              <w:keepNext/>
              <w:tabs>
                <w:tab w:val="clear" w:pos="567"/>
              </w:tabs>
              <w:spacing w:line="240" w:lineRule="auto"/>
              <w:ind w:left="360" w:hanging="360"/>
              <w:contextualSpacing/>
              <w:rPr>
                <w:lang w:val="hu-HU"/>
              </w:rPr>
            </w:pPr>
          </w:p>
          <w:p w14:paraId="7E79376A" w14:textId="77777777" w:rsidR="00C67376" w:rsidRDefault="00C67376">
            <w:pPr>
              <w:pStyle w:val="Listaszerbekezds"/>
              <w:keepNext/>
              <w:tabs>
                <w:tab w:val="clear" w:pos="567"/>
              </w:tabs>
              <w:spacing w:line="240" w:lineRule="auto"/>
              <w:ind w:left="360" w:hanging="360"/>
              <w:rPr>
                <w:lang w:val="hu-HU"/>
              </w:rPr>
            </w:pPr>
          </w:p>
        </w:tc>
      </w:tr>
      <w:tr w:rsidR="00C67376" w14:paraId="1A900116" w14:textId="77777777">
        <w:trPr>
          <w:trHeight w:val="2047"/>
        </w:trPr>
        <w:tc>
          <w:tcPr>
            <w:tcW w:w="2263" w:type="dxa"/>
            <w:tcBorders>
              <w:top w:val="single" w:sz="4" w:space="0" w:color="auto"/>
              <w:left w:val="single" w:sz="4" w:space="0" w:color="auto"/>
              <w:bottom w:val="single" w:sz="4" w:space="0" w:color="auto"/>
              <w:right w:val="single" w:sz="4" w:space="0" w:color="auto"/>
            </w:tcBorders>
          </w:tcPr>
          <w:p w14:paraId="13BF8C6F" w14:textId="77777777" w:rsidR="00C67376" w:rsidRDefault="00DA284D">
            <w:pPr>
              <w:tabs>
                <w:tab w:val="left" w:pos="426"/>
              </w:tabs>
              <w:spacing w:line="240" w:lineRule="auto"/>
              <w:ind w:right="-29"/>
              <w:rPr>
                <w:b/>
                <w:bCs/>
                <w:lang w:val="hu-HU"/>
              </w:rPr>
            </w:pPr>
            <w:r>
              <w:rPr>
                <w:lang w:val="hu-HU" w:eastAsia="en-GB"/>
              </w:rPr>
              <w:pict w14:anchorId="413DAE83">
                <v:shape id="3631357" o:spid="_x0000_i1028" type="#_x0000_t75" style="width:74.25pt;height:95.25pt;visibility:visible">
                  <v:imagedata r:id="rId12" o:title=""/>
                </v:shape>
              </w:pict>
            </w:r>
          </w:p>
          <w:p w14:paraId="367B395E" w14:textId="77777777" w:rsidR="00C67376" w:rsidRDefault="0022703E">
            <w:pPr>
              <w:tabs>
                <w:tab w:val="left" w:pos="426"/>
              </w:tabs>
              <w:spacing w:line="240" w:lineRule="auto"/>
              <w:ind w:right="-29"/>
              <w:rPr>
                <w:b/>
                <w:bCs/>
                <w:lang w:val="hu-HU"/>
              </w:rPr>
            </w:pPr>
            <w:r>
              <w:rPr>
                <w:b/>
                <w:bCs/>
                <w:lang w:val="hu-HU"/>
              </w:rPr>
              <w:t>3</w:t>
            </w:r>
          </w:p>
        </w:tc>
        <w:tc>
          <w:tcPr>
            <w:tcW w:w="6209" w:type="dxa"/>
            <w:tcBorders>
              <w:top w:val="single" w:sz="4" w:space="0" w:color="auto"/>
              <w:left w:val="single" w:sz="4" w:space="0" w:color="auto"/>
              <w:bottom w:val="single" w:sz="4" w:space="0" w:color="auto"/>
              <w:right w:val="single" w:sz="4" w:space="0" w:color="auto"/>
            </w:tcBorders>
          </w:tcPr>
          <w:p w14:paraId="3054AA15" w14:textId="77777777" w:rsidR="00C67376" w:rsidRDefault="0022703E">
            <w:pPr>
              <w:pStyle w:val="Listaszerbekezds"/>
              <w:numPr>
                <w:ilvl w:val="0"/>
                <w:numId w:val="2"/>
              </w:numPr>
              <w:tabs>
                <w:tab w:val="clear" w:pos="567"/>
              </w:tabs>
              <w:spacing w:line="240" w:lineRule="auto"/>
              <w:contextualSpacing/>
              <w:rPr>
                <w:lang w:val="hu-HU"/>
              </w:rPr>
            </w:pPr>
            <w:r>
              <w:rPr>
                <w:lang w:val="hu-HU"/>
              </w:rPr>
              <w:t xml:space="preserve">Hajtsa hátra a fejét, vagy gyermeke fejét. Az egyik tiszta ujjával húzza le az alsó szemhéját, amíg „tasak” képződik a szemhéj és a szemgolyó között. A szemcseppet ide kell becseppenteni </w:t>
            </w:r>
            <w:r>
              <w:rPr>
                <w:b/>
                <w:bCs/>
                <w:lang w:val="hu-HU"/>
              </w:rPr>
              <w:t>(3. ábra)</w:t>
            </w:r>
            <w:r>
              <w:rPr>
                <w:lang w:val="hu-HU"/>
              </w:rPr>
              <w:t>.</w:t>
            </w:r>
          </w:p>
          <w:p w14:paraId="3B0DC6CA" w14:textId="77777777" w:rsidR="00C67376" w:rsidRDefault="0022703E">
            <w:pPr>
              <w:pStyle w:val="Listaszerbekezds"/>
              <w:numPr>
                <w:ilvl w:val="0"/>
                <w:numId w:val="2"/>
              </w:numPr>
              <w:tabs>
                <w:tab w:val="clear" w:pos="567"/>
              </w:tabs>
              <w:spacing w:line="240" w:lineRule="auto"/>
              <w:contextualSpacing/>
              <w:rPr>
                <w:lang w:val="hu-HU"/>
              </w:rPr>
            </w:pPr>
            <w:r>
              <w:rPr>
                <w:lang w:val="hu-HU"/>
              </w:rPr>
              <w:t>Vigye közel a tartályt a szeméhez. Használjon tükröt, ha az segít.</w:t>
            </w:r>
          </w:p>
        </w:tc>
      </w:tr>
      <w:tr w:rsidR="00C67376" w14:paraId="1D9C87D5" w14:textId="77777777">
        <w:trPr>
          <w:trHeight w:val="274"/>
        </w:trPr>
        <w:tc>
          <w:tcPr>
            <w:tcW w:w="2263" w:type="dxa"/>
            <w:tcBorders>
              <w:top w:val="single" w:sz="4" w:space="0" w:color="auto"/>
              <w:left w:val="single" w:sz="4" w:space="0" w:color="auto"/>
              <w:bottom w:val="single" w:sz="4" w:space="0" w:color="auto"/>
              <w:right w:val="single" w:sz="4" w:space="0" w:color="auto"/>
            </w:tcBorders>
          </w:tcPr>
          <w:p w14:paraId="21866A55" w14:textId="77777777" w:rsidR="00C67376" w:rsidRDefault="00DA284D">
            <w:pPr>
              <w:tabs>
                <w:tab w:val="left" w:pos="426"/>
              </w:tabs>
              <w:spacing w:line="240" w:lineRule="auto"/>
              <w:ind w:right="-29"/>
              <w:rPr>
                <w:b/>
                <w:bCs/>
                <w:lang w:val="hu-HU"/>
              </w:rPr>
            </w:pPr>
            <w:r>
              <w:rPr>
                <w:lang w:val="hu-HU" w:eastAsia="en-GB"/>
              </w:rPr>
              <w:pict w14:anchorId="765CA55D">
                <v:shape id="57605209" o:spid="_x0000_i1029" type="#_x0000_t75" style="width:86.25pt;height:87.75pt;visibility:visible">
                  <v:imagedata r:id="rId13" o:title=""/>
                </v:shape>
              </w:pict>
            </w:r>
          </w:p>
          <w:p w14:paraId="3CAA0157" w14:textId="77777777" w:rsidR="00C67376" w:rsidRDefault="0022703E">
            <w:pPr>
              <w:tabs>
                <w:tab w:val="left" w:pos="426"/>
              </w:tabs>
              <w:spacing w:line="240" w:lineRule="auto"/>
              <w:ind w:right="-29"/>
              <w:rPr>
                <w:b/>
                <w:bCs/>
                <w:lang w:val="hu-HU"/>
              </w:rPr>
            </w:pPr>
            <w:r>
              <w:rPr>
                <w:b/>
                <w:bCs/>
                <w:lang w:val="hu-HU"/>
              </w:rPr>
              <w:t>4</w:t>
            </w:r>
          </w:p>
          <w:p w14:paraId="610244DD" w14:textId="77777777" w:rsidR="00C67376" w:rsidRDefault="00C67376">
            <w:pPr>
              <w:tabs>
                <w:tab w:val="left" w:pos="426"/>
              </w:tabs>
              <w:spacing w:line="240" w:lineRule="auto"/>
              <w:ind w:right="-29"/>
              <w:rPr>
                <w:lang w:val="hu-HU" w:eastAsia="en-GB"/>
              </w:rPr>
            </w:pPr>
          </w:p>
          <w:p w14:paraId="2F18BF75" w14:textId="77777777" w:rsidR="00C67376" w:rsidRDefault="00C67376">
            <w:pPr>
              <w:tabs>
                <w:tab w:val="left" w:pos="426"/>
              </w:tabs>
              <w:spacing w:line="240" w:lineRule="auto"/>
              <w:ind w:right="-29"/>
              <w:rPr>
                <w:b/>
                <w:bCs/>
                <w:lang w:val="hu-HU"/>
              </w:rPr>
            </w:pPr>
          </w:p>
        </w:tc>
        <w:tc>
          <w:tcPr>
            <w:tcW w:w="6209" w:type="dxa"/>
            <w:tcBorders>
              <w:top w:val="single" w:sz="4" w:space="0" w:color="auto"/>
              <w:left w:val="single" w:sz="4" w:space="0" w:color="auto"/>
              <w:bottom w:val="single" w:sz="4" w:space="0" w:color="auto"/>
              <w:right w:val="single" w:sz="4" w:space="0" w:color="auto"/>
            </w:tcBorders>
          </w:tcPr>
          <w:p w14:paraId="6375B7EE" w14:textId="77777777" w:rsidR="00C67376" w:rsidRDefault="0022703E">
            <w:pPr>
              <w:pStyle w:val="Listaszerbekezds"/>
              <w:numPr>
                <w:ilvl w:val="0"/>
                <w:numId w:val="2"/>
              </w:numPr>
              <w:tabs>
                <w:tab w:val="clear" w:pos="567"/>
              </w:tabs>
              <w:spacing w:line="240" w:lineRule="auto"/>
              <w:contextualSpacing/>
              <w:rPr>
                <w:lang w:val="hu-HU"/>
              </w:rPr>
            </w:pPr>
            <w:r>
              <w:rPr>
                <w:b/>
                <w:bCs/>
                <w:lang w:val="hu-HU"/>
              </w:rPr>
              <w:t xml:space="preserve">Ne érjen hozzá a szemgolyójához vagy a szemhéjához, a környező szövetekhez vagy más felülethez a cseppentővel. </w:t>
            </w:r>
            <w:r>
              <w:rPr>
                <w:lang w:val="hu-HU"/>
              </w:rPr>
              <w:t>Ez a</w:t>
            </w:r>
            <w:r>
              <w:rPr>
                <w:b/>
                <w:bCs/>
                <w:lang w:val="hu-HU"/>
              </w:rPr>
              <w:t xml:space="preserve"> </w:t>
            </w:r>
            <w:r>
              <w:rPr>
                <w:lang w:val="hu-HU"/>
              </w:rPr>
              <w:t>szemcsepp elfertőződését okozhatja.</w:t>
            </w:r>
          </w:p>
          <w:p w14:paraId="361E09CA" w14:textId="77777777" w:rsidR="00C67376" w:rsidRDefault="0022703E">
            <w:pPr>
              <w:pStyle w:val="Listaszerbekezds"/>
              <w:numPr>
                <w:ilvl w:val="0"/>
                <w:numId w:val="2"/>
              </w:numPr>
              <w:tabs>
                <w:tab w:val="clear" w:pos="567"/>
              </w:tabs>
              <w:spacing w:line="240" w:lineRule="auto"/>
              <w:contextualSpacing/>
              <w:rPr>
                <w:b/>
                <w:bCs/>
                <w:lang w:val="hu-HU"/>
              </w:rPr>
            </w:pPr>
            <w:r>
              <w:rPr>
                <w:lang w:val="hu-HU"/>
              </w:rPr>
              <w:t xml:space="preserve">Óvatosan nyomja le a tartály alját, hogy kicseppenjen 1 csepp </w:t>
            </w:r>
            <w:r>
              <w:rPr>
                <w:b/>
                <w:bCs/>
                <w:lang w:val="hu-HU"/>
              </w:rPr>
              <w:t>(4. ábra)</w:t>
            </w:r>
            <w:r>
              <w:rPr>
                <w:lang w:val="hu-HU"/>
              </w:rPr>
              <w:t>.</w:t>
            </w:r>
          </w:p>
          <w:p w14:paraId="396A6C8A" w14:textId="77777777" w:rsidR="00C67376" w:rsidRDefault="0022703E">
            <w:pPr>
              <w:pStyle w:val="Listaszerbekezds"/>
              <w:numPr>
                <w:ilvl w:val="0"/>
                <w:numId w:val="2"/>
              </w:numPr>
              <w:tabs>
                <w:tab w:val="clear" w:pos="567"/>
              </w:tabs>
              <w:spacing w:line="240" w:lineRule="auto"/>
              <w:contextualSpacing/>
              <w:rPr>
                <w:lang w:val="hu-HU"/>
              </w:rPr>
            </w:pPr>
            <w:r>
              <w:rPr>
                <w:lang w:val="hu-HU"/>
              </w:rPr>
              <w:t>Ha a csepp nem a szemébe megy, próbálja újra.</w:t>
            </w:r>
          </w:p>
          <w:p w14:paraId="42D2C206" w14:textId="77777777" w:rsidR="00C67376" w:rsidRDefault="00C67376">
            <w:pPr>
              <w:pStyle w:val="Listaszerbekezds"/>
              <w:tabs>
                <w:tab w:val="clear" w:pos="567"/>
              </w:tabs>
              <w:spacing w:line="240" w:lineRule="auto"/>
              <w:ind w:left="360" w:hanging="360"/>
              <w:rPr>
                <w:lang w:val="hu-HU"/>
              </w:rPr>
            </w:pPr>
          </w:p>
          <w:p w14:paraId="2A6A3C7E" w14:textId="77777777" w:rsidR="00C67376" w:rsidRDefault="00C67376">
            <w:pPr>
              <w:pStyle w:val="Listaszerbekezds"/>
              <w:tabs>
                <w:tab w:val="clear" w:pos="567"/>
              </w:tabs>
              <w:spacing w:line="240" w:lineRule="auto"/>
              <w:ind w:left="360" w:hanging="360"/>
              <w:rPr>
                <w:lang w:val="hu-HU"/>
              </w:rPr>
            </w:pPr>
          </w:p>
          <w:p w14:paraId="489F7F38" w14:textId="77777777" w:rsidR="00C67376" w:rsidRDefault="00C67376">
            <w:pPr>
              <w:pStyle w:val="Listaszerbekezds"/>
              <w:tabs>
                <w:tab w:val="clear" w:pos="567"/>
              </w:tabs>
              <w:spacing w:line="240" w:lineRule="auto"/>
              <w:ind w:left="360" w:hanging="360"/>
              <w:rPr>
                <w:lang w:val="hu-HU"/>
              </w:rPr>
            </w:pPr>
          </w:p>
          <w:p w14:paraId="29E07231" w14:textId="77777777" w:rsidR="00C67376" w:rsidRDefault="00C67376">
            <w:pPr>
              <w:pStyle w:val="Listaszerbekezds"/>
              <w:tabs>
                <w:tab w:val="clear" w:pos="567"/>
              </w:tabs>
              <w:spacing w:line="240" w:lineRule="auto"/>
              <w:ind w:left="360" w:hanging="360"/>
              <w:rPr>
                <w:lang w:val="hu-HU"/>
              </w:rPr>
            </w:pPr>
          </w:p>
          <w:p w14:paraId="22899C64" w14:textId="77777777" w:rsidR="00C67376" w:rsidRDefault="00C67376">
            <w:pPr>
              <w:pStyle w:val="Listaszerbekezds"/>
              <w:tabs>
                <w:tab w:val="clear" w:pos="567"/>
              </w:tabs>
              <w:spacing w:line="240" w:lineRule="auto"/>
              <w:ind w:left="360" w:hanging="360"/>
              <w:rPr>
                <w:lang w:val="hu-HU"/>
              </w:rPr>
            </w:pPr>
          </w:p>
          <w:p w14:paraId="144172F6" w14:textId="77777777" w:rsidR="00C67376" w:rsidRDefault="00C67376">
            <w:pPr>
              <w:pStyle w:val="Listaszerbekezds"/>
              <w:tabs>
                <w:tab w:val="clear" w:pos="567"/>
              </w:tabs>
              <w:spacing w:line="240" w:lineRule="auto"/>
              <w:ind w:left="360" w:hanging="360"/>
              <w:rPr>
                <w:lang w:val="hu-HU"/>
              </w:rPr>
            </w:pPr>
          </w:p>
          <w:p w14:paraId="2DE3F78C" w14:textId="77777777" w:rsidR="00C67376" w:rsidRDefault="00C67376">
            <w:pPr>
              <w:pStyle w:val="Listaszerbekezds"/>
              <w:tabs>
                <w:tab w:val="clear" w:pos="567"/>
              </w:tabs>
              <w:spacing w:line="240" w:lineRule="auto"/>
              <w:ind w:left="360" w:hanging="360"/>
              <w:rPr>
                <w:b/>
                <w:bCs/>
                <w:lang w:val="hu-HU"/>
              </w:rPr>
            </w:pPr>
          </w:p>
        </w:tc>
      </w:tr>
      <w:tr w:rsidR="00C67376" w14:paraId="2ADE4F17" w14:textId="77777777">
        <w:trPr>
          <w:trHeight w:val="274"/>
        </w:trPr>
        <w:tc>
          <w:tcPr>
            <w:tcW w:w="2263" w:type="dxa"/>
            <w:tcBorders>
              <w:top w:val="single" w:sz="4" w:space="0" w:color="auto"/>
              <w:left w:val="single" w:sz="4" w:space="0" w:color="auto"/>
              <w:bottom w:val="single" w:sz="4" w:space="0" w:color="auto"/>
              <w:right w:val="single" w:sz="4" w:space="0" w:color="auto"/>
            </w:tcBorders>
          </w:tcPr>
          <w:p w14:paraId="1913C548" w14:textId="77777777" w:rsidR="00C67376" w:rsidRDefault="00DA284D">
            <w:pPr>
              <w:tabs>
                <w:tab w:val="left" w:pos="426"/>
              </w:tabs>
              <w:spacing w:line="240" w:lineRule="auto"/>
              <w:ind w:right="-29"/>
              <w:rPr>
                <w:b/>
                <w:bCs/>
                <w:lang w:val="hu-HU"/>
              </w:rPr>
            </w:pPr>
            <w:r>
              <w:rPr>
                <w:lang w:val="hu-HU" w:eastAsia="en-GB"/>
              </w:rPr>
              <w:lastRenderedPageBreak/>
              <w:pict w14:anchorId="5B40CF74">
                <v:shape id="40315982" o:spid="_x0000_i1030" type="#_x0000_t75" style="width:84.75pt;height:85.5pt;visibility:visible">
                  <v:imagedata r:id="rId14" o:title=""/>
                </v:shape>
              </w:pict>
            </w:r>
          </w:p>
          <w:p w14:paraId="268418E6" w14:textId="77777777" w:rsidR="00C67376" w:rsidRDefault="0022703E">
            <w:pPr>
              <w:tabs>
                <w:tab w:val="left" w:pos="426"/>
              </w:tabs>
              <w:spacing w:line="240" w:lineRule="auto"/>
              <w:ind w:right="-29"/>
              <w:rPr>
                <w:lang w:val="hu-HU" w:eastAsia="en-GB"/>
              </w:rPr>
            </w:pPr>
            <w:r>
              <w:rPr>
                <w:b/>
                <w:bCs/>
                <w:lang w:val="hu-HU"/>
              </w:rPr>
              <w:t>5</w:t>
            </w:r>
          </w:p>
        </w:tc>
        <w:tc>
          <w:tcPr>
            <w:tcW w:w="6209" w:type="dxa"/>
            <w:tcBorders>
              <w:top w:val="single" w:sz="4" w:space="0" w:color="auto"/>
              <w:left w:val="single" w:sz="4" w:space="0" w:color="auto"/>
              <w:bottom w:val="single" w:sz="4" w:space="0" w:color="auto"/>
              <w:right w:val="single" w:sz="4" w:space="0" w:color="auto"/>
            </w:tcBorders>
          </w:tcPr>
          <w:p w14:paraId="34BBFCCF" w14:textId="77777777" w:rsidR="00C67376" w:rsidRDefault="0022703E">
            <w:pPr>
              <w:pStyle w:val="Listaszerbekezds"/>
              <w:numPr>
                <w:ilvl w:val="0"/>
                <w:numId w:val="2"/>
              </w:numPr>
              <w:tabs>
                <w:tab w:val="clear" w:pos="567"/>
              </w:tabs>
              <w:spacing w:line="240" w:lineRule="auto"/>
              <w:contextualSpacing/>
              <w:rPr>
                <w:b/>
                <w:bCs/>
                <w:lang w:val="hu-HU"/>
              </w:rPr>
            </w:pPr>
            <w:r>
              <w:rPr>
                <w:lang w:val="hu-HU"/>
              </w:rPr>
              <w:t xml:space="preserve">A gyógyszer alkalmazása után nyomja meg az ujjával a belső szemzugot az orránál 1 percig </w:t>
            </w:r>
            <w:r>
              <w:rPr>
                <w:b/>
                <w:bCs/>
                <w:lang w:val="hu-HU"/>
              </w:rPr>
              <w:t>(5. ábra)</w:t>
            </w:r>
            <w:r>
              <w:rPr>
                <w:lang w:val="hu-HU"/>
              </w:rPr>
              <w:t>. Ez segít megakadályozni, hogy a gyógyszer a test többi részébe jusson.</w:t>
            </w:r>
          </w:p>
        </w:tc>
      </w:tr>
      <w:tr w:rsidR="00C67376" w14:paraId="426016E9" w14:textId="77777777">
        <w:trPr>
          <w:trHeight w:val="2121"/>
        </w:trPr>
        <w:tc>
          <w:tcPr>
            <w:tcW w:w="2263" w:type="dxa"/>
            <w:tcBorders>
              <w:top w:val="single" w:sz="4" w:space="0" w:color="auto"/>
              <w:left w:val="single" w:sz="4" w:space="0" w:color="auto"/>
              <w:bottom w:val="single" w:sz="4" w:space="0" w:color="auto"/>
              <w:right w:val="single" w:sz="4" w:space="0" w:color="auto"/>
            </w:tcBorders>
          </w:tcPr>
          <w:p w14:paraId="2D8D008B" w14:textId="77777777" w:rsidR="00C67376" w:rsidRDefault="00C67376">
            <w:pPr>
              <w:tabs>
                <w:tab w:val="left" w:pos="426"/>
              </w:tabs>
              <w:spacing w:line="240" w:lineRule="auto"/>
              <w:ind w:right="-29"/>
              <w:rPr>
                <w:b/>
                <w:bCs/>
                <w:lang w:val="hu-HU"/>
              </w:rPr>
            </w:pPr>
          </w:p>
          <w:p w14:paraId="155AB083" w14:textId="77777777" w:rsidR="00C67376" w:rsidRDefault="00C67376">
            <w:pPr>
              <w:tabs>
                <w:tab w:val="left" w:pos="426"/>
              </w:tabs>
              <w:spacing w:line="240" w:lineRule="auto"/>
              <w:ind w:right="-29"/>
              <w:rPr>
                <w:b/>
                <w:bCs/>
                <w:lang w:val="hu-HU"/>
              </w:rPr>
            </w:pPr>
          </w:p>
        </w:tc>
        <w:tc>
          <w:tcPr>
            <w:tcW w:w="6209" w:type="dxa"/>
            <w:tcBorders>
              <w:top w:val="single" w:sz="4" w:space="0" w:color="auto"/>
              <w:left w:val="single" w:sz="4" w:space="0" w:color="auto"/>
              <w:bottom w:val="single" w:sz="4" w:space="0" w:color="auto"/>
              <w:right w:val="single" w:sz="4" w:space="0" w:color="auto"/>
            </w:tcBorders>
          </w:tcPr>
          <w:p w14:paraId="5332472A" w14:textId="77777777" w:rsidR="00C67376" w:rsidRDefault="0022703E">
            <w:pPr>
              <w:pStyle w:val="Listaszerbekezds"/>
              <w:numPr>
                <w:ilvl w:val="0"/>
                <w:numId w:val="3"/>
              </w:numPr>
              <w:tabs>
                <w:tab w:val="clear" w:pos="567"/>
              </w:tabs>
              <w:spacing w:line="240" w:lineRule="auto"/>
              <w:contextualSpacing/>
              <w:rPr>
                <w:lang w:val="hu-HU"/>
              </w:rPr>
            </w:pPr>
            <w:r>
              <w:rPr>
                <w:lang w:val="hu-HU"/>
              </w:rPr>
              <w:t>Ha mind a két szemében alkalmazza a szemcseppet, ismételje meg ezeket a lépéseket a másik szemnél.</w:t>
            </w:r>
          </w:p>
          <w:p w14:paraId="4AE0EB3A" w14:textId="77777777" w:rsidR="00C67376" w:rsidRDefault="0022703E">
            <w:pPr>
              <w:pStyle w:val="Listaszerbekezds"/>
              <w:numPr>
                <w:ilvl w:val="0"/>
                <w:numId w:val="3"/>
              </w:numPr>
              <w:tabs>
                <w:tab w:val="clear" w:pos="567"/>
              </w:tabs>
              <w:spacing w:line="240" w:lineRule="auto"/>
              <w:contextualSpacing/>
              <w:rPr>
                <w:lang w:val="hu-HU"/>
              </w:rPr>
            </w:pPr>
            <w:r>
              <w:rPr>
                <w:lang w:val="hu-HU"/>
              </w:rPr>
              <w:t>Használat után azonnal zárja szorosan a tartályt.</w:t>
            </w:r>
          </w:p>
          <w:p w14:paraId="31ACE929" w14:textId="77777777" w:rsidR="00C67376" w:rsidRDefault="0022703E">
            <w:pPr>
              <w:pStyle w:val="Listaszerbekezds"/>
              <w:numPr>
                <w:ilvl w:val="0"/>
                <w:numId w:val="3"/>
              </w:numPr>
              <w:tabs>
                <w:tab w:val="clear" w:pos="567"/>
              </w:tabs>
              <w:spacing w:line="240" w:lineRule="auto"/>
              <w:contextualSpacing/>
              <w:rPr>
                <w:lang w:val="hu-HU"/>
              </w:rPr>
            </w:pPr>
            <w:r>
              <w:rPr>
                <w:lang w:val="hu-HU"/>
              </w:rPr>
              <w:t>Egyszerre csak egy tartályt használjon. Ne vegye le a kupakot, amíg nem kell használnia a tartályt.</w:t>
            </w:r>
          </w:p>
          <w:p w14:paraId="5179A29C" w14:textId="77777777" w:rsidR="00C67376" w:rsidRDefault="0022703E">
            <w:pPr>
              <w:pStyle w:val="Listaszerbekezds"/>
              <w:numPr>
                <w:ilvl w:val="0"/>
                <w:numId w:val="3"/>
              </w:numPr>
              <w:tabs>
                <w:tab w:val="clear" w:pos="567"/>
              </w:tabs>
              <w:spacing w:line="240" w:lineRule="auto"/>
              <w:contextualSpacing/>
              <w:rPr>
                <w:lang w:val="hu-HU"/>
              </w:rPr>
            </w:pPr>
            <w:r>
              <w:rPr>
                <w:b/>
                <w:bCs/>
                <w:lang w:val="hu-HU"/>
              </w:rPr>
              <w:t xml:space="preserve">Az első felnyitást követően 4 héttel ki kell dobnia a tartályt, </w:t>
            </w:r>
            <w:r>
              <w:rPr>
                <w:lang w:val="hu-HU"/>
              </w:rPr>
              <w:t>a fertőzés</w:t>
            </w:r>
            <w:r>
              <w:rPr>
                <w:b/>
                <w:bCs/>
                <w:lang w:val="hu-HU"/>
              </w:rPr>
              <w:t xml:space="preserve"> </w:t>
            </w:r>
            <w:r>
              <w:rPr>
                <w:lang w:val="hu-HU"/>
              </w:rPr>
              <w:t>megelőzése érdekében, és új tartályt kell kibontania.</w:t>
            </w:r>
          </w:p>
        </w:tc>
      </w:tr>
    </w:tbl>
    <w:p w14:paraId="7B5BB31F" w14:textId="77777777" w:rsidR="00C67376" w:rsidRDefault="00C67376">
      <w:pPr>
        <w:spacing w:line="240" w:lineRule="auto"/>
        <w:ind w:left="567" w:hanging="567"/>
        <w:outlineLvl w:val="0"/>
        <w:rPr>
          <w:b/>
          <w:bCs/>
          <w:lang w:val="hu-HU"/>
        </w:rPr>
      </w:pPr>
    </w:p>
    <w:p w14:paraId="07F39B3C" w14:textId="77777777" w:rsidR="00C67376" w:rsidRDefault="0022703E">
      <w:pPr>
        <w:spacing w:line="240" w:lineRule="auto"/>
        <w:rPr>
          <w:lang w:val="hu-HU"/>
        </w:rPr>
      </w:pPr>
      <w:r>
        <w:rPr>
          <w:lang w:val="hu-HU"/>
        </w:rPr>
        <w:t>Bármilyen fel nem használt gyógyszer, illetve hulladékanyag megsemmisítését a gyógyszerekre vonatkozó előírások szerint kell végrehajtani.</w:t>
      </w:r>
    </w:p>
    <w:p w14:paraId="279700B9" w14:textId="77777777" w:rsidR="00C67376" w:rsidRDefault="00C67376">
      <w:pPr>
        <w:spacing w:line="240" w:lineRule="auto"/>
        <w:ind w:left="567" w:hanging="567"/>
        <w:outlineLvl w:val="0"/>
        <w:rPr>
          <w:b/>
          <w:bCs/>
          <w:lang w:val="hu-HU"/>
        </w:rPr>
      </w:pPr>
    </w:p>
    <w:p w14:paraId="67038E53" w14:textId="77777777" w:rsidR="00C67376" w:rsidRDefault="00C67376">
      <w:pPr>
        <w:spacing w:line="240" w:lineRule="auto"/>
        <w:ind w:left="567" w:hanging="567"/>
        <w:outlineLvl w:val="0"/>
        <w:rPr>
          <w:b/>
          <w:bCs/>
          <w:lang w:val="hu-HU"/>
        </w:rPr>
      </w:pPr>
    </w:p>
    <w:p w14:paraId="0E77ED2F" w14:textId="77777777" w:rsidR="00C67376" w:rsidRDefault="0022703E">
      <w:pPr>
        <w:spacing w:line="240" w:lineRule="auto"/>
        <w:ind w:left="567" w:hanging="567"/>
        <w:outlineLvl w:val="0"/>
        <w:rPr>
          <w:b/>
          <w:bCs/>
          <w:lang w:val="hu-HU"/>
        </w:rPr>
      </w:pPr>
      <w:r>
        <w:rPr>
          <w:b/>
          <w:bCs/>
          <w:lang w:val="hu-HU"/>
        </w:rPr>
        <w:t>7.</w:t>
      </w:r>
      <w:r>
        <w:rPr>
          <w:b/>
          <w:bCs/>
          <w:lang w:val="hu-HU"/>
        </w:rPr>
        <w:tab/>
        <w:t>A FORGALOMBA HOZATALI ENGEDÉLY JOGOSULTJA</w:t>
      </w:r>
    </w:p>
    <w:p w14:paraId="29D2CE30" w14:textId="77777777" w:rsidR="00C67376" w:rsidRDefault="00C67376">
      <w:pPr>
        <w:spacing w:line="240" w:lineRule="auto"/>
        <w:ind w:left="567" w:hanging="567"/>
        <w:outlineLvl w:val="0"/>
        <w:rPr>
          <w:b/>
          <w:bCs/>
          <w:lang w:val="hu-HU"/>
        </w:rPr>
      </w:pPr>
    </w:p>
    <w:p w14:paraId="173CBE10" w14:textId="77777777" w:rsidR="00C67376" w:rsidRDefault="0022703E">
      <w:pPr>
        <w:tabs>
          <w:tab w:val="clear" w:pos="567"/>
        </w:tabs>
        <w:suppressAutoHyphens/>
        <w:spacing w:line="240" w:lineRule="auto"/>
        <w:ind w:left="567" w:hanging="567"/>
        <w:outlineLvl w:val="0"/>
        <w:rPr>
          <w:lang w:val="hu-HU"/>
        </w:rPr>
      </w:pPr>
      <w:r>
        <w:rPr>
          <w:lang w:val="hu-HU"/>
        </w:rPr>
        <w:t>BAUSCH + LOMB IRELAND LIMITED</w:t>
      </w:r>
    </w:p>
    <w:p w14:paraId="10542F40" w14:textId="77777777" w:rsidR="00C67376" w:rsidRDefault="0022703E">
      <w:pPr>
        <w:tabs>
          <w:tab w:val="clear" w:pos="567"/>
        </w:tabs>
        <w:suppressAutoHyphens/>
        <w:spacing w:line="240" w:lineRule="auto"/>
        <w:ind w:left="567" w:hanging="567"/>
        <w:outlineLvl w:val="0"/>
        <w:rPr>
          <w:lang w:val="hu-HU"/>
        </w:rPr>
      </w:pPr>
      <w:r>
        <w:rPr>
          <w:lang w:val="hu-HU"/>
        </w:rPr>
        <w:t>3013 Lake Drive</w:t>
      </w:r>
    </w:p>
    <w:p w14:paraId="08A57003" w14:textId="77777777" w:rsidR="00C67376" w:rsidRDefault="0022703E">
      <w:pPr>
        <w:tabs>
          <w:tab w:val="clear" w:pos="567"/>
        </w:tabs>
        <w:suppressAutoHyphens/>
        <w:spacing w:line="240" w:lineRule="auto"/>
        <w:ind w:left="567" w:hanging="567"/>
        <w:outlineLvl w:val="0"/>
        <w:rPr>
          <w:lang w:val="hu-HU"/>
        </w:rPr>
      </w:pPr>
      <w:r>
        <w:rPr>
          <w:lang w:val="hu-HU"/>
        </w:rPr>
        <w:t>Citywest Business Campus</w:t>
      </w:r>
    </w:p>
    <w:p w14:paraId="4DC6DAB0" w14:textId="77777777" w:rsidR="00C67376" w:rsidRDefault="0022703E">
      <w:pPr>
        <w:tabs>
          <w:tab w:val="clear" w:pos="567"/>
        </w:tabs>
        <w:suppressAutoHyphens/>
        <w:spacing w:line="240" w:lineRule="auto"/>
        <w:ind w:left="567" w:hanging="567"/>
        <w:outlineLvl w:val="0"/>
        <w:rPr>
          <w:lang w:val="hu-HU"/>
        </w:rPr>
      </w:pPr>
      <w:r>
        <w:rPr>
          <w:lang w:val="hu-HU"/>
        </w:rPr>
        <w:t>Dublin 24, D24PPT3</w:t>
      </w:r>
    </w:p>
    <w:p w14:paraId="60C0633C" w14:textId="77777777" w:rsidR="00C67376" w:rsidRDefault="0022703E">
      <w:pPr>
        <w:tabs>
          <w:tab w:val="clear" w:pos="567"/>
        </w:tabs>
        <w:suppressAutoHyphens/>
        <w:spacing w:line="240" w:lineRule="auto"/>
        <w:rPr>
          <w:lang w:val="hu-HU" w:eastAsia="hu-HU"/>
        </w:rPr>
      </w:pPr>
      <w:r>
        <w:rPr>
          <w:lang w:val="hu-HU"/>
        </w:rPr>
        <w:t>Írország</w:t>
      </w:r>
      <w:r>
        <w:rPr>
          <w:lang w:val="hu-HU" w:eastAsia="hu-HU"/>
        </w:rPr>
        <w:t xml:space="preserve"> </w:t>
      </w:r>
    </w:p>
    <w:p w14:paraId="4FABD1B5" w14:textId="77777777" w:rsidR="00C67376" w:rsidRDefault="00C67376">
      <w:pPr>
        <w:spacing w:line="240" w:lineRule="auto"/>
        <w:ind w:left="567" w:hanging="567"/>
        <w:outlineLvl w:val="0"/>
        <w:rPr>
          <w:b/>
          <w:bCs/>
          <w:lang w:val="hu-HU"/>
        </w:rPr>
      </w:pPr>
    </w:p>
    <w:p w14:paraId="0D98EF96" w14:textId="77777777" w:rsidR="00C67376" w:rsidRDefault="00C67376">
      <w:pPr>
        <w:spacing w:line="240" w:lineRule="auto"/>
        <w:ind w:left="567" w:hanging="567"/>
        <w:outlineLvl w:val="0"/>
        <w:rPr>
          <w:b/>
          <w:bCs/>
          <w:lang w:val="hu-HU"/>
        </w:rPr>
      </w:pPr>
    </w:p>
    <w:p w14:paraId="3F2C175F" w14:textId="77777777" w:rsidR="00C67376" w:rsidRDefault="0022703E">
      <w:pPr>
        <w:spacing w:line="240" w:lineRule="auto"/>
        <w:ind w:left="567" w:hanging="567"/>
        <w:outlineLvl w:val="0"/>
        <w:rPr>
          <w:b/>
          <w:bCs/>
          <w:lang w:val="hu-HU"/>
        </w:rPr>
      </w:pPr>
      <w:r>
        <w:rPr>
          <w:b/>
          <w:bCs/>
          <w:lang w:val="hu-HU"/>
        </w:rPr>
        <w:t>8.</w:t>
      </w:r>
      <w:r>
        <w:rPr>
          <w:b/>
          <w:bCs/>
          <w:lang w:val="hu-HU"/>
        </w:rPr>
        <w:tab/>
        <w:t>A FORGALOMBA HOZATALI ENGEDÉLY SZÁMA(I)</w:t>
      </w:r>
    </w:p>
    <w:p w14:paraId="1989751A" w14:textId="77777777" w:rsidR="00C67376" w:rsidRDefault="00C67376">
      <w:pPr>
        <w:spacing w:line="240" w:lineRule="auto"/>
        <w:ind w:left="567" w:hanging="567"/>
        <w:outlineLvl w:val="0"/>
        <w:rPr>
          <w:b/>
          <w:bCs/>
          <w:lang w:val="hu-HU"/>
        </w:rPr>
      </w:pPr>
    </w:p>
    <w:p w14:paraId="495E14E7" w14:textId="77777777" w:rsidR="00C67376" w:rsidRDefault="0022703E">
      <w:pPr>
        <w:rPr>
          <w:lang w:val="hu-HU"/>
        </w:rPr>
      </w:pPr>
      <w:r>
        <w:rPr>
          <w:lang w:val="hu-HU"/>
        </w:rPr>
        <w:t>OGYI-T-23400/01</w:t>
      </w:r>
      <w:r>
        <w:rPr>
          <w:lang w:val="hu-HU"/>
        </w:rPr>
        <w:tab/>
        <w:t>1×2,5 ml</w:t>
      </w:r>
      <w:r>
        <w:rPr>
          <w:lang w:val="hu-HU"/>
        </w:rPr>
        <w:tab/>
        <w:t>HDPE tartályban</w:t>
      </w:r>
    </w:p>
    <w:p w14:paraId="3954AD12" w14:textId="77777777" w:rsidR="00C67376" w:rsidRDefault="0022703E">
      <w:pPr>
        <w:rPr>
          <w:lang w:val="hu-HU"/>
        </w:rPr>
      </w:pPr>
      <w:r>
        <w:rPr>
          <w:lang w:val="hu-HU"/>
        </w:rPr>
        <w:t>OGYI-T-23400/02</w:t>
      </w:r>
      <w:r>
        <w:rPr>
          <w:lang w:val="hu-HU"/>
        </w:rPr>
        <w:tab/>
        <w:t>3×2,5 ml</w:t>
      </w:r>
      <w:r>
        <w:rPr>
          <w:lang w:val="hu-HU"/>
        </w:rPr>
        <w:tab/>
        <w:t>HDPE tartályban</w:t>
      </w:r>
    </w:p>
    <w:p w14:paraId="00806C80" w14:textId="77777777" w:rsidR="00C67376" w:rsidRDefault="00C67376">
      <w:pPr>
        <w:spacing w:line="240" w:lineRule="auto"/>
        <w:ind w:left="567" w:hanging="567"/>
        <w:outlineLvl w:val="0"/>
        <w:rPr>
          <w:b/>
          <w:bCs/>
          <w:lang w:val="hu-HU"/>
        </w:rPr>
      </w:pPr>
    </w:p>
    <w:p w14:paraId="59CF1F9F" w14:textId="77777777" w:rsidR="00C67376" w:rsidRDefault="00C67376">
      <w:pPr>
        <w:spacing w:line="240" w:lineRule="auto"/>
        <w:ind w:left="567" w:hanging="567"/>
        <w:outlineLvl w:val="0"/>
        <w:rPr>
          <w:b/>
          <w:bCs/>
          <w:lang w:val="hu-HU"/>
        </w:rPr>
      </w:pPr>
    </w:p>
    <w:p w14:paraId="79FD0EA5" w14:textId="77777777" w:rsidR="00C67376" w:rsidRDefault="0022703E">
      <w:pPr>
        <w:spacing w:line="240" w:lineRule="auto"/>
        <w:ind w:left="567" w:hanging="567"/>
        <w:outlineLvl w:val="0"/>
        <w:rPr>
          <w:b/>
          <w:bCs/>
          <w:lang w:val="hu-HU"/>
        </w:rPr>
      </w:pPr>
      <w:r>
        <w:rPr>
          <w:b/>
          <w:bCs/>
          <w:lang w:val="hu-HU"/>
        </w:rPr>
        <w:t>9.</w:t>
      </w:r>
      <w:r>
        <w:rPr>
          <w:b/>
          <w:bCs/>
          <w:lang w:val="hu-HU"/>
        </w:rPr>
        <w:tab/>
        <w:t>A FORGALOMBA HOZATALI ENGEDÉLY ELSŐ KIADÁSÁNAK/ MEGÚJÍTÁSÁNAK DÁTUMA</w:t>
      </w:r>
    </w:p>
    <w:p w14:paraId="7C27CD38" w14:textId="77777777" w:rsidR="00C67376" w:rsidRDefault="00C67376">
      <w:pPr>
        <w:spacing w:line="240" w:lineRule="auto"/>
        <w:rPr>
          <w:lang w:val="hu-HU"/>
        </w:rPr>
      </w:pPr>
    </w:p>
    <w:p w14:paraId="1DF8D229" w14:textId="77777777" w:rsidR="00C67376" w:rsidRDefault="0022703E">
      <w:pPr>
        <w:spacing w:line="240" w:lineRule="auto"/>
        <w:rPr>
          <w:lang w:val="hu-HU"/>
        </w:rPr>
      </w:pPr>
      <w:r>
        <w:rPr>
          <w:lang w:val="hu-HU"/>
        </w:rPr>
        <w:t>A forgalomba hozatali engedély első kiadásának dátuma: 2018. június 29.</w:t>
      </w:r>
    </w:p>
    <w:p w14:paraId="6DA32943" w14:textId="77777777" w:rsidR="00C67376" w:rsidRDefault="00C67376">
      <w:pPr>
        <w:spacing w:line="240" w:lineRule="auto"/>
        <w:rPr>
          <w:lang w:val="hu-HU"/>
        </w:rPr>
      </w:pPr>
    </w:p>
    <w:p w14:paraId="2772DC4A" w14:textId="0552ADD9" w:rsidR="00C67376" w:rsidRDefault="0022703E">
      <w:pPr>
        <w:spacing w:line="240" w:lineRule="auto"/>
        <w:rPr>
          <w:lang w:val="hu-HU"/>
        </w:rPr>
      </w:pPr>
      <w:r>
        <w:rPr>
          <w:lang w:val="hu-HU"/>
        </w:rPr>
        <w:t xml:space="preserve">A forgalomba hozatali engedély legutóbbi megújításának dátuma: 2023. december </w:t>
      </w:r>
      <w:r w:rsidR="003B3CB7">
        <w:rPr>
          <w:lang w:val="hu-HU"/>
        </w:rPr>
        <w:t>20</w:t>
      </w:r>
      <w:r>
        <w:rPr>
          <w:lang w:val="hu-HU"/>
        </w:rPr>
        <w:t>.</w:t>
      </w:r>
    </w:p>
    <w:p w14:paraId="7C79BA8D" w14:textId="77777777" w:rsidR="00C67376" w:rsidRDefault="00C67376">
      <w:pPr>
        <w:spacing w:line="240" w:lineRule="auto"/>
        <w:rPr>
          <w:lang w:val="hu-HU"/>
        </w:rPr>
      </w:pPr>
    </w:p>
    <w:p w14:paraId="64F6B1D9" w14:textId="77777777" w:rsidR="00C67376" w:rsidRDefault="00C67376">
      <w:pPr>
        <w:spacing w:line="240" w:lineRule="auto"/>
        <w:rPr>
          <w:lang w:val="hu-HU"/>
        </w:rPr>
      </w:pPr>
    </w:p>
    <w:p w14:paraId="6711D122" w14:textId="77777777" w:rsidR="00C67376" w:rsidRDefault="0022703E">
      <w:pPr>
        <w:spacing w:line="240" w:lineRule="auto"/>
        <w:ind w:left="567" w:hanging="567"/>
        <w:outlineLvl w:val="0"/>
        <w:rPr>
          <w:b/>
          <w:bCs/>
          <w:lang w:val="hu-HU"/>
        </w:rPr>
      </w:pPr>
      <w:r>
        <w:rPr>
          <w:b/>
          <w:bCs/>
          <w:lang w:val="hu-HU"/>
        </w:rPr>
        <w:t>10.</w:t>
      </w:r>
      <w:r>
        <w:rPr>
          <w:b/>
          <w:bCs/>
          <w:lang w:val="hu-HU"/>
        </w:rPr>
        <w:tab/>
        <w:t>A SZÖVEG ELLENŐRZÉSÉNEK DÁTUMA</w:t>
      </w:r>
    </w:p>
    <w:p w14:paraId="3190F67F" w14:textId="77777777" w:rsidR="00C67376" w:rsidRDefault="00C67376">
      <w:pPr>
        <w:spacing w:line="240" w:lineRule="auto"/>
        <w:ind w:left="567" w:hanging="567"/>
        <w:outlineLvl w:val="0"/>
        <w:rPr>
          <w:b/>
          <w:bCs/>
          <w:lang w:val="hu-HU"/>
        </w:rPr>
      </w:pPr>
    </w:p>
    <w:p w14:paraId="00866617" w14:textId="485C9207" w:rsidR="008D3A1C" w:rsidRDefault="008D3A1C">
      <w:pPr>
        <w:spacing w:line="240" w:lineRule="auto"/>
        <w:rPr>
          <w:lang w:val="hu-HU"/>
        </w:rPr>
      </w:pPr>
      <w:r>
        <w:rPr>
          <w:lang w:val="hu-HU"/>
        </w:rPr>
        <w:t xml:space="preserve">2026. </w:t>
      </w:r>
      <w:r w:rsidR="00DA284D">
        <w:rPr>
          <w:lang w:val="hu-HU"/>
        </w:rPr>
        <w:t>május</w:t>
      </w:r>
      <w:r>
        <w:rPr>
          <w:lang w:val="hu-HU"/>
        </w:rPr>
        <w:t xml:space="preserve"> 21.</w:t>
      </w:r>
    </w:p>
    <w:p w14:paraId="27749B58" w14:textId="77777777" w:rsidR="00C67376" w:rsidRDefault="00C67376">
      <w:pPr>
        <w:spacing w:line="240" w:lineRule="auto"/>
        <w:rPr>
          <w:lang w:val="hu-HU"/>
        </w:rPr>
      </w:pPr>
    </w:p>
    <w:p w14:paraId="3F784E9E" w14:textId="77777777" w:rsidR="00C67376" w:rsidRDefault="00C67376">
      <w:pPr>
        <w:spacing w:line="240" w:lineRule="auto"/>
        <w:rPr>
          <w:lang w:val="hu-HU"/>
        </w:rPr>
      </w:pPr>
    </w:p>
    <w:sectPr w:rsidR="00C67376">
      <w:headerReference w:type="default" r:id="rId15"/>
      <w:footerReference w:type="default" r:id="rId16"/>
      <w:footerReference w:type="first" r:id="rId17"/>
      <w:pgSz w:w="11907" w:h="16840"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882DF" w14:textId="77777777" w:rsidR="00024A2B" w:rsidRDefault="00024A2B">
      <w:pPr>
        <w:spacing w:line="240" w:lineRule="auto"/>
      </w:pPr>
      <w:r>
        <w:separator/>
      </w:r>
    </w:p>
  </w:endnote>
  <w:endnote w:type="continuationSeparator" w:id="0">
    <w:p w14:paraId="695CCDE6" w14:textId="77777777" w:rsidR="00024A2B" w:rsidRDefault="00024A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Yu Gothic"/>
    <w:panose1 w:val="00000000000000000000"/>
    <w:charset w:val="80"/>
    <w:family w:val="auto"/>
    <w:notTrueType/>
    <w:pitch w:val="default"/>
    <w:sig w:usb0="00000081" w:usb1="08070000" w:usb2="00000010" w:usb3="00000000" w:csb0="00020009" w:csb1="00000000"/>
  </w:font>
  <w:font w:name="Calibri">
    <w:panose1 w:val="020F0502020204030204"/>
    <w:charset w:val="EE"/>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5CA40" w14:textId="77777777" w:rsidR="00C67376" w:rsidRDefault="00C67376">
    <w:pPr>
      <w:pStyle w:val="FooterFooterChar1FooterChar2CharFooterChar1CharCharllbCharCharCharCharFooterChar1CharCharCharChar1FooterChar2CharChar1CharCharCharFooterChar1CharCharCharChar1CharCha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49BD3" w14:textId="3C19472C" w:rsidR="00C67376" w:rsidRDefault="008D3A1C">
    <w:pPr>
      <w:pStyle w:val="FooterFooterChar1FooterChar2CharFooterChar1CharCharllbCharCharCharCharFooterChar1CharCharCharChar1FooterChar2CharChar1CharCharCharFooterChar1CharCharCharChar1CharChar"/>
      <w:spacing w:line="240" w:lineRule="auto"/>
      <w:rPr>
        <w:sz w:val="18"/>
        <w:szCs w:val="18"/>
      </w:rPr>
    </w:pPr>
    <w:r w:rsidRPr="008D3A1C">
      <w:rPr>
        <w:sz w:val="18"/>
        <w:szCs w:val="18"/>
      </w:rPr>
      <w:t>NNGYK/ETGY/25932/2025</w:t>
    </w:r>
  </w:p>
  <w:p w14:paraId="0DDB1B38" w14:textId="24683FDD" w:rsidR="008D3A1C" w:rsidRDefault="008D3A1C">
    <w:pPr>
      <w:pStyle w:val="FooterFooterChar1FooterChar2CharFooterChar1CharCharllbCharCharCharCharFooterChar1CharCharCharChar1FooterChar2CharChar1CharCharCharFooterChar1CharCharCharChar1CharChar"/>
      <w:spacing w:line="240" w:lineRule="auto"/>
      <w:rPr>
        <w:sz w:val="18"/>
        <w:szCs w:val="18"/>
      </w:rPr>
    </w:pPr>
    <w:r w:rsidRPr="008D3A1C">
      <w:rPr>
        <w:sz w:val="18"/>
        <w:szCs w:val="18"/>
      </w:rPr>
      <w:t>NNGYK/ETGY/3155/2026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E5CF2" w14:textId="77777777" w:rsidR="00024A2B" w:rsidRDefault="00024A2B">
      <w:pPr>
        <w:spacing w:line="240" w:lineRule="auto"/>
      </w:pPr>
      <w:r>
        <w:separator/>
      </w:r>
    </w:p>
  </w:footnote>
  <w:footnote w:type="continuationSeparator" w:id="0">
    <w:p w14:paraId="32410C8F" w14:textId="77777777" w:rsidR="00024A2B" w:rsidRDefault="00024A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42AB9" w14:textId="77777777" w:rsidR="00C67376" w:rsidRDefault="0022703E">
    <w:pPr>
      <w:pStyle w:val="lfej"/>
      <w:jc w:val="center"/>
      <w:rPr>
        <w:sz w:val="20"/>
        <w:szCs w:val="20"/>
      </w:rPr>
    </w:pPr>
    <w:r>
      <w:rPr>
        <w:sz w:val="20"/>
        <w:szCs w:val="20"/>
      </w:rPr>
      <w:fldChar w:fldCharType="begin"/>
    </w:r>
    <w:r>
      <w:rPr>
        <w:sz w:val="20"/>
        <w:szCs w:val="20"/>
      </w:rPr>
      <w:instrText>PAGE \* MERGEFORMAT</w:instrText>
    </w:r>
    <w:r>
      <w:rPr>
        <w:sz w:val="20"/>
        <w:szCs w:val="20"/>
      </w:rPr>
      <w:fldChar w:fldCharType="separate"/>
    </w:r>
    <w:r>
      <w:rPr>
        <w:noProof/>
        <w:sz w:val="20"/>
        <w:szCs w:val="20"/>
        <w:lang w:val="hu-HU"/>
      </w:rPr>
      <w:t>2</w:t>
    </w:r>
    <w:r>
      <w:rPr>
        <w:sz w:val="20"/>
        <w:szCs w:val="20"/>
      </w:rPr>
      <w:fldChar w:fldCharType="end"/>
    </w:r>
  </w:p>
  <w:p w14:paraId="7517B38D" w14:textId="77777777" w:rsidR="00C67376" w:rsidRDefault="00C67376">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CF598A"/>
    <w:multiLevelType w:val="hybridMultilevel"/>
    <w:tmpl w:val="7C6258A0"/>
    <w:lvl w:ilvl="0" w:tplc="7F124366">
      <w:start w:val="1"/>
      <w:numFmt w:val="bullet"/>
      <w:lvlText w:val=""/>
      <w:lvlJc w:val="left"/>
      <w:pPr>
        <w:ind w:left="360" w:hanging="360"/>
      </w:pPr>
      <w:rPr>
        <w:rFonts w:ascii="Symbol" w:hAnsi="Symbol" w:hint="default"/>
        <w:color w:val="000000"/>
      </w:rPr>
    </w:lvl>
    <w:lvl w:ilvl="1" w:tplc="3078FA1C">
      <w:start w:val="1"/>
      <w:numFmt w:val="bullet"/>
      <w:lvlText w:val="o"/>
      <w:lvlJc w:val="left"/>
      <w:pPr>
        <w:ind w:left="1080" w:hanging="360"/>
      </w:pPr>
      <w:rPr>
        <w:rFonts w:ascii="Courier New" w:hAnsi="Courier New" w:cs="Courier New" w:hint="default"/>
      </w:rPr>
    </w:lvl>
    <w:lvl w:ilvl="2" w:tplc="BFFCBDC2">
      <w:start w:val="1"/>
      <w:numFmt w:val="bullet"/>
      <w:lvlText w:val=""/>
      <w:lvlJc w:val="left"/>
      <w:pPr>
        <w:ind w:left="1800" w:hanging="360"/>
      </w:pPr>
      <w:rPr>
        <w:rFonts w:ascii="Wingdings" w:hAnsi="Wingdings" w:hint="default"/>
      </w:rPr>
    </w:lvl>
    <w:lvl w:ilvl="3" w:tplc="5C7A1766">
      <w:start w:val="1"/>
      <w:numFmt w:val="bullet"/>
      <w:lvlText w:val=""/>
      <w:lvlJc w:val="left"/>
      <w:pPr>
        <w:ind w:left="2520" w:hanging="360"/>
      </w:pPr>
      <w:rPr>
        <w:rFonts w:ascii="Symbol" w:hAnsi="Symbol" w:hint="default"/>
      </w:rPr>
    </w:lvl>
    <w:lvl w:ilvl="4" w:tplc="21AAE27E">
      <w:start w:val="1"/>
      <w:numFmt w:val="bullet"/>
      <w:lvlText w:val="o"/>
      <w:lvlJc w:val="left"/>
      <w:pPr>
        <w:ind w:left="3240" w:hanging="360"/>
      </w:pPr>
      <w:rPr>
        <w:rFonts w:ascii="Courier New" w:hAnsi="Courier New" w:cs="Courier New" w:hint="default"/>
      </w:rPr>
    </w:lvl>
    <w:lvl w:ilvl="5" w:tplc="9178521E">
      <w:start w:val="1"/>
      <w:numFmt w:val="bullet"/>
      <w:lvlText w:val=""/>
      <w:lvlJc w:val="left"/>
      <w:pPr>
        <w:ind w:left="3960" w:hanging="360"/>
      </w:pPr>
      <w:rPr>
        <w:rFonts w:ascii="Wingdings" w:hAnsi="Wingdings" w:hint="default"/>
      </w:rPr>
    </w:lvl>
    <w:lvl w:ilvl="6" w:tplc="9ADE9D2A">
      <w:start w:val="1"/>
      <w:numFmt w:val="bullet"/>
      <w:lvlText w:val=""/>
      <w:lvlJc w:val="left"/>
      <w:pPr>
        <w:ind w:left="4680" w:hanging="360"/>
      </w:pPr>
      <w:rPr>
        <w:rFonts w:ascii="Symbol" w:hAnsi="Symbol" w:hint="default"/>
      </w:rPr>
    </w:lvl>
    <w:lvl w:ilvl="7" w:tplc="D8DE476C">
      <w:start w:val="1"/>
      <w:numFmt w:val="bullet"/>
      <w:lvlText w:val="o"/>
      <w:lvlJc w:val="left"/>
      <w:pPr>
        <w:ind w:left="5400" w:hanging="360"/>
      </w:pPr>
      <w:rPr>
        <w:rFonts w:ascii="Courier New" w:hAnsi="Courier New" w:cs="Courier New" w:hint="default"/>
      </w:rPr>
    </w:lvl>
    <w:lvl w:ilvl="8" w:tplc="815AFF4A">
      <w:start w:val="1"/>
      <w:numFmt w:val="bullet"/>
      <w:lvlText w:val=""/>
      <w:lvlJc w:val="left"/>
      <w:pPr>
        <w:ind w:left="6120" w:hanging="360"/>
      </w:pPr>
      <w:rPr>
        <w:rFonts w:ascii="Wingdings" w:hAnsi="Wingdings" w:hint="default"/>
      </w:rPr>
    </w:lvl>
  </w:abstractNum>
  <w:abstractNum w:abstractNumId="1" w15:restartNumberingAfterBreak="0">
    <w:nsid w:val="4840158E"/>
    <w:multiLevelType w:val="hybridMultilevel"/>
    <w:tmpl w:val="4FACD230"/>
    <w:lvl w:ilvl="0" w:tplc="498A9EFA">
      <w:start w:val="1"/>
      <w:numFmt w:val="bullet"/>
      <w:lvlText w:val=""/>
      <w:lvlJc w:val="left"/>
      <w:pPr>
        <w:ind w:left="360" w:hanging="360"/>
      </w:pPr>
      <w:rPr>
        <w:rFonts w:ascii="Symbol" w:hAnsi="Symbol" w:hint="default"/>
        <w:color w:val="000000"/>
      </w:rPr>
    </w:lvl>
    <w:lvl w:ilvl="1" w:tplc="7590ACFE">
      <w:start w:val="1"/>
      <w:numFmt w:val="bullet"/>
      <w:lvlText w:val="o"/>
      <w:lvlJc w:val="left"/>
      <w:pPr>
        <w:ind w:left="1080" w:hanging="360"/>
      </w:pPr>
      <w:rPr>
        <w:rFonts w:ascii="Courier New" w:hAnsi="Courier New" w:cs="Courier New" w:hint="default"/>
      </w:rPr>
    </w:lvl>
    <w:lvl w:ilvl="2" w:tplc="3F1A41B6">
      <w:start w:val="1"/>
      <w:numFmt w:val="bullet"/>
      <w:lvlText w:val=""/>
      <w:lvlJc w:val="left"/>
      <w:pPr>
        <w:ind w:left="1800" w:hanging="360"/>
      </w:pPr>
      <w:rPr>
        <w:rFonts w:ascii="Wingdings" w:hAnsi="Wingdings" w:hint="default"/>
      </w:rPr>
    </w:lvl>
    <w:lvl w:ilvl="3" w:tplc="62FE3294">
      <w:start w:val="1"/>
      <w:numFmt w:val="bullet"/>
      <w:lvlText w:val=""/>
      <w:lvlJc w:val="left"/>
      <w:pPr>
        <w:ind w:left="2520" w:hanging="360"/>
      </w:pPr>
      <w:rPr>
        <w:rFonts w:ascii="Symbol" w:hAnsi="Symbol" w:hint="default"/>
      </w:rPr>
    </w:lvl>
    <w:lvl w:ilvl="4" w:tplc="A60488B6">
      <w:start w:val="1"/>
      <w:numFmt w:val="bullet"/>
      <w:lvlText w:val="o"/>
      <w:lvlJc w:val="left"/>
      <w:pPr>
        <w:ind w:left="3240" w:hanging="360"/>
      </w:pPr>
      <w:rPr>
        <w:rFonts w:ascii="Courier New" w:hAnsi="Courier New" w:cs="Courier New" w:hint="default"/>
      </w:rPr>
    </w:lvl>
    <w:lvl w:ilvl="5" w:tplc="32E87812">
      <w:start w:val="1"/>
      <w:numFmt w:val="bullet"/>
      <w:lvlText w:val=""/>
      <w:lvlJc w:val="left"/>
      <w:pPr>
        <w:ind w:left="3960" w:hanging="360"/>
      </w:pPr>
      <w:rPr>
        <w:rFonts w:ascii="Wingdings" w:hAnsi="Wingdings" w:hint="default"/>
      </w:rPr>
    </w:lvl>
    <w:lvl w:ilvl="6" w:tplc="D75A44BC">
      <w:start w:val="1"/>
      <w:numFmt w:val="bullet"/>
      <w:lvlText w:val=""/>
      <w:lvlJc w:val="left"/>
      <w:pPr>
        <w:ind w:left="4680" w:hanging="360"/>
      </w:pPr>
      <w:rPr>
        <w:rFonts w:ascii="Symbol" w:hAnsi="Symbol" w:hint="default"/>
      </w:rPr>
    </w:lvl>
    <w:lvl w:ilvl="7" w:tplc="3C0285A0">
      <w:start w:val="1"/>
      <w:numFmt w:val="bullet"/>
      <w:lvlText w:val="o"/>
      <w:lvlJc w:val="left"/>
      <w:pPr>
        <w:ind w:left="5400" w:hanging="360"/>
      </w:pPr>
      <w:rPr>
        <w:rFonts w:ascii="Courier New" w:hAnsi="Courier New" w:cs="Courier New" w:hint="default"/>
      </w:rPr>
    </w:lvl>
    <w:lvl w:ilvl="8" w:tplc="EF960030">
      <w:start w:val="1"/>
      <w:numFmt w:val="bullet"/>
      <w:lvlText w:val=""/>
      <w:lvlJc w:val="left"/>
      <w:pPr>
        <w:ind w:left="6120" w:hanging="360"/>
      </w:pPr>
      <w:rPr>
        <w:rFonts w:ascii="Wingdings" w:hAnsi="Wingdings" w:hint="default"/>
      </w:rPr>
    </w:lvl>
  </w:abstractNum>
  <w:abstractNum w:abstractNumId="2" w15:restartNumberingAfterBreak="0">
    <w:nsid w:val="51AD100F"/>
    <w:multiLevelType w:val="hybridMultilevel"/>
    <w:tmpl w:val="62082764"/>
    <w:lvl w:ilvl="0" w:tplc="57468842">
      <w:start w:val="1"/>
      <w:numFmt w:val="bullet"/>
      <w:lvlText w:val=""/>
      <w:lvlJc w:val="left"/>
      <w:pPr>
        <w:ind w:left="360" w:hanging="360"/>
      </w:pPr>
      <w:rPr>
        <w:rFonts w:ascii="Symbol" w:hAnsi="Symbol" w:hint="default"/>
        <w:color w:val="000000"/>
      </w:rPr>
    </w:lvl>
    <w:lvl w:ilvl="1" w:tplc="ADECB954">
      <w:start w:val="1"/>
      <w:numFmt w:val="bullet"/>
      <w:lvlText w:val="o"/>
      <w:lvlJc w:val="left"/>
      <w:pPr>
        <w:ind w:left="1080" w:hanging="360"/>
      </w:pPr>
      <w:rPr>
        <w:rFonts w:ascii="Courier New" w:hAnsi="Courier New" w:cs="Courier New" w:hint="default"/>
      </w:rPr>
    </w:lvl>
    <w:lvl w:ilvl="2" w:tplc="4CE6A5A6">
      <w:start w:val="1"/>
      <w:numFmt w:val="bullet"/>
      <w:lvlText w:val=""/>
      <w:lvlJc w:val="left"/>
      <w:pPr>
        <w:ind w:left="1800" w:hanging="360"/>
      </w:pPr>
      <w:rPr>
        <w:rFonts w:ascii="Wingdings" w:hAnsi="Wingdings" w:hint="default"/>
      </w:rPr>
    </w:lvl>
    <w:lvl w:ilvl="3" w:tplc="526675BA">
      <w:start w:val="1"/>
      <w:numFmt w:val="bullet"/>
      <w:lvlText w:val=""/>
      <w:lvlJc w:val="left"/>
      <w:pPr>
        <w:ind w:left="2520" w:hanging="360"/>
      </w:pPr>
      <w:rPr>
        <w:rFonts w:ascii="Symbol" w:hAnsi="Symbol" w:hint="default"/>
      </w:rPr>
    </w:lvl>
    <w:lvl w:ilvl="4" w:tplc="C900BBC6">
      <w:start w:val="1"/>
      <w:numFmt w:val="bullet"/>
      <w:lvlText w:val="o"/>
      <w:lvlJc w:val="left"/>
      <w:pPr>
        <w:ind w:left="3240" w:hanging="360"/>
      </w:pPr>
      <w:rPr>
        <w:rFonts w:ascii="Courier New" w:hAnsi="Courier New" w:cs="Courier New" w:hint="default"/>
      </w:rPr>
    </w:lvl>
    <w:lvl w:ilvl="5" w:tplc="42AE7634">
      <w:start w:val="1"/>
      <w:numFmt w:val="bullet"/>
      <w:lvlText w:val=""/>
      <w:lvlJc w:val="left"/>
      <w:pPr>
        <w:ind w:left="3960" w:hanging="360"/>
      </w:pPr>
      <w:rPr>
        <w:rFonts w:ascii="Wingdings" w:hAnsi="Wingdings" w:hint="default"/>
      </w:rPr>
    </w:lvl>
    <w:lvl w:ilvl="6" w:tplc="1B8895E0">
      <w:start w:val="1"/>
      <w:numFmt w:val="bullet"/>
      <w:lvlText w:val=""/>
      <w:lvlJc w:val="left"/>
      <w:pPr>
        <w:ind w:left="4680" w:hanging="360"/>
      </w:pPr>
      <w:rPr>
        <w:rFonts w:ascii="Symbol" w:hAnsi="Symbol" w:hint="default"/>
      </w:rPr>
    </w:lvl>
    <w:lvl w:ilvl="7" w:tplc="302C678A">
      <w:start w:val="1"/>
      <w:numFmt w:val="bullet"/>
      <w:lvlText w:val="o"/>
      <w:lvlJc w:val="left"/>
      <w:pPr>
        <w:ind w:left="5400" w:hanging="360"/>
      </w:pPr>
      <w:rPr>
        <w:rFonts w:ascii="Courier New" w:hAnsi="Courier New" w:cs="Courier New" w:hint="default"/>
      </w:rPr>
    </w:lvl>
    <w:lvl w:ilvl="8" w:tplc="A3547D96">
      <w:start w:val="1"/>
      <w:numFmt w:val="bullet"/>
      <w:lvlText w:val=""/>
      <w:lvlJc w:val="left"/>
      <w:pPr>
        <w:ind w:left="6120" w:hanging="360"/>
      </w:pPr>
      <w:rPr>
        <w:rFonts w:ascii="Wingdings" w:hAnsi="Wingdings" w:hint="default"/>
      </w:rPr>
    </w:lvl>
  </w:abstractNum>
  <w:num w:numId="1" w16cid:durableId="1625037537">
    <w:abstractNumId w:val="1"/>
  </w:num>
  <w:num w:numId="2" w16cid:durableId="1721786957">
    <w:abstractNumId w:val="2"/>
  </w:num>
  <w:num w:numId="3" w16cid:durableId="989138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spaceForUL/>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useWord2013TrackBottomHyphenation" w:uri="http://schemas.microsoft.com/office/word" w:val="1"/>
  </w:compat>
  <w:rsids>
    <w:rsidRoot w:val="00C67376"/>
    <w:rsid w:val="00024A2B"/>
    <w:rsid w:val="001608F2"/>
    <w:rsid w:val="0022703E"/>
    <w:rsid w:val="00234DC9"/>
    <w:rsid w:val="0039498B"/>
    <w:rsid w:val="003B3CB7"/>
    <w:rsid w:val="008D3A1C"/>
    <w:rsid w:val="00C67376"/>
    <w:rsid w:val="00C7315B"/>
    <w:rsid w:val="00DA284D"/>
    <w:rsid w:val="00E25CE1"/>
    <w:rsid w:val="00E37E6D"/>
    <w:rsid w:val="00EE5225"/>
    <w:rsid w:val="00F566E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32AE8"/>
  <w15:docId w15:val="{3F8AE973-8B4E-4418-81F6-6AD8DF026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tabs>
        <w:tab w:val="left" w:pos="567"/>
      </w:tabs>
      <w:spacing w:line="260" w:lineRule="exact"/>
    </w:pPr>
    <w:rPr>
      <w:sz w:val="22"/>
      <w:szCs w:val="22"/>
      <w:lang w:val="en-GB"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uiPriority w:val="99"/>
    <w:semiHidden/>
    <w:unhideWhenUsed/>
    <w:qFormat/>
    <w:tblPr>
      <w:tblStyleRowBandSize w:val="1"/>
      <w:tblStyleColBandSize w:val="1"/>
      <w:tblInd w:w="0" w:type="dxa"/>
      <w:tblCellMar>
        <w:top w:w="0" w:type="dxa"/>
        <w:left w:w="108" w:type="dxa"/>
        <w:bottom w:w="0" w:type="dxa"/>
        <w:right w:w="108" w:type="dxa"/>
      </w:tblCellMar>
    </w:tblPr>
  </w:style>
  <w:style w:type="paragraph" w:customStyle="1" w:styleId="FooterFooterChar1FooterChar2CharFooterChar1CharCharllbCharCharCharCharFooterChar1CharCharCharChar1FooterChar2CharChar1CharCharCharFooterChar1CharCharCharChar1CharChar">
    <w:name w:val="Footer;Footer Char1;Footer Char2 Char;Footer Char1 Char Char;Élőláb Char Char Char Char;Footer Char1 Char Char Char Char1;Footer Char2 Char Char1 Char Char Char;Footer Char1 Char Char Char Char1 Char Char"/>
    <w:basedOn w:val="Norml"/>
    <w:link w:val="HyperlinkFooterChar2FooterChar1CharFooterChar2CharChar1FooterChar1CharCharCharllbCharCharCharCharCharFooterChar1CharCharCharChar1CharFooterChar2CharChar1CharCharCharChar"/>
    <w:uiPriority w:val="99"/>
    <w:pPr>
      <w:tabs>
        <w:tab w:val="center" w:pos="4536"/>
        <w:tab w:val="right" w:pos="8306"/>
      </w:tabs>
    </w:pPr>
    <w:rPr>
      <w:lang w:eastAsia="hu-HU"/>
    </w:rPr>
  </w:style>
  <w:style w:type="character" w:customStyle="1" w:styleId="FooterCharFooterChar2CharCharFooterChar1CharCharCharCharFooterChar1CharCharCharCharCharChar">
    <w:name w:val="Footer Char;Footer Char2 Char Char;Footer Char1 Char Char Char Char;Footer Char1 Char Char Char Char Char Char"/>
    <w:uiPriority w:val="99"/>
    <w:rPr>
      <w:rFonts w:ascii="Times New Roman" w:hAnsi="Times New Roman" w:cs="Times New Roman"/>
      <w:sz w:val="22"/>
      <w:szCs w:val="22"/>
      <w:lang w:val="en-GB" w:eastAsia="en-US"/>
    </w:rPr>
  </w:style>
  <w:style w:type="paragraph" w:styleId="lfej">
    <w:name w:val="header"/>
    <w:basedOn w:val="Norml"/>
    <w:link w:val="lfejChar"/>
    <w:uiPriority w:val="99"/>
    <w:pPr>
      <w:tabs>
        <w:tab w:val="center" w:pos="4153"/>
        <w:tab w:val="right" w:pos="8306"/>
      </w:tabs>
    </w:pPr>
    <w:rPr>
      <w:lang w:eastAsia="hu-HU"/>
    </w:rPr>
  </w:style>
  <w:style w:type="character" w:customStyle="1" w:styleId="lfejChar">
    <w:name w:val="Élőfej Char"/>
    <w:link w:val="lfej"/>
    <w:uiPriority w:val="99"/>
    <w:rPr>
      <w:rFonts w:ascii="Times New Roman" w:hAnsi="Times New Roman" w:cs="Times New Roman"/>
      <w:sz w:val="22"/>
      <w:szCs w:val="22"/>
      <w:lang w:val="en-GB" w:eastAsia="en-US"/>
    </w:rPr>
  </w:style>
  <w:style w:type="character" w:styleId="Oldalszm">
    <w:name w:val="page number"/>
    <w:basedOn w:val="Bekezdsalapbettpusa"/>
    <w:uiPriority w:val="99"/>
  </w:style>
  <w:style w:type="character" w:customStyle="1" w:styleId="HyperlinkFooterChar2FooterChar1CharFooterChar2CharChar1FooterChar1CharCharCharllbCharCharCharCharCharFooterChar1CharCharCharChar1CharFooterChar2CharChar1CharCharCharChar">
    <w:name w:val="Hyperlink;Footer Char2;Footer Char1 Char;Footer Char2 Char Char1;Footer Char1 Char Char Char;Élőláb Char Char Char Char Char;Footer Char1 Char Char Char Char1 Char;Footer Char2 Char Char1 Char Char Char Char"/>
    <w:link w:val="FooterFooterChar1FooterChar2CharFooterChar1CharCharllbCharCharCharCharFooterChar1CharCharCharChar1FooterChar2CharChar1CharCharCharFooterChar1CharCharCharChar1CharChar"/>
    <w:uiPriority w:val="99"/>
    <w:rPr>
      <w:color w:val="0000FF"/>
      <w:u w:val="single"/>
    </w:rPr>
  </w:style>
  <w:style w:type="paragraph" w:customStyle="1" w:styleId="EMEAEnBodyText">
    <w:name w:val="EMEA En Body Text"/>
    <w:basedOn w:val="Norml"/>
    <w:uiPriority w:val="99"/>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pPr>
      <w:tabs>
        <w:tab w:val="clear" w:pos="567"/>
      </w:tabs>
      <w:spacing w:line="280" w:lineRule="exact"/>
    </w:pPr>
    <w:rPr>
      <w:rFonts w:ascii="Verdana" w:hAnsi="Verdana" w:cs="Verdana"/>
      <w:sz w:val="18"/>
      <w:szCs w:val="18"/>
    </w:rPr>
  </w:style>
  <w:style w:type="character" w:customStyle="1" w:styleId="tw4winMark">
    <w:name w:val="tw4winMark"/>
    <w:uiPriority w:val="99"/>
    <w:rPr>
      <w:rFonts w:ascii="Courier New" w:hAnsi="Courier New" w:cs="Courier New"/>
      <w:vanish/>
      <w:color w:val="800080"/>
      <w:sz w:val="24"/>
      <w:szCs w:val="24"/>
      <w:vertAlign w:val="subscript"/>
    </w:rPr>
  </w:style>
  <w:style w:type="character" w:customStyle="1" w:styleId="tw4winError">
    <w:name w:val="tw4winError"/>
    <w:uiPriority w:val="99"/>
    <w:rPr>
      <w:rFonts w:ascii="Courier New" w:hAnsi="Courier New" w:cs="Courier New"/>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cs="Courier New"/>
      <w:noProof/>
      <w:color w:val="008000"/>
    </w:rPr>
  </w:style>
  <w:style w:type="character" w:customStyle="1" w:styleId="tw4winJump">
    <w:name w:val="tw4winJump"/>
    <w:uiPriority w:val="99"/>
    <w:rPr>
      <w:rFonts w:ascii="Courier New" w:hAnsi="Courier New" w:cs="Courier New"/>
      <w:noProof/>
      <w:color w:val="008080"/>
    </w:rPr>
  </w:style>
  <w:style w:type="character" w:customStyle="1" w:styleId="tw4winExternal">
    <w:name w:val="tw4winExternal"/>
    <w:uiPriority w:val="99"/>
    <w:rPr>
      <w:rFonts w:ascii="Courier New" w:hAnsi="Courier New" w:cs="Courier New"/>
      <w:noProof/>
      <w:color w:val="808080"/>
    </w:rPr>
  </w:style>
  <w:style w:type="character" w:customStyle="1" w:styleId="tw4winInternal">
    <w:name w:val="tw4winInternal"/>
    <w:uiPriority w:val="99"/>
    <w:rPr>
      <w:rFonts w:ascii="Courier New" w:hAnsi="Courier New" w:cs="Courier New"/>
      <w:noProof/>
      <w:color w:val="FF0000"/>
    </w:rPr>
  </w:style>
  <w:style w:type="character" w:customStyle="1" w:styleId="DONOTTRANSLATE">
    <w:name w:val="DO_NOT_TRANSLATE"/>
    <w:uiPriority w:val="99"/>
    <w:rPr>
      <w:rFonts w:ascii="Courier New" w:hAnsi="Courier New" w:cs="Courier New"/>
      <w:noProof/>
      <w:color w:val="800000"/>
    </w:rPr>
  </w:style>
  <w:style w:type="paragraph" w:styleId="Listaszerbekezds">
    <w:name w:val="List Paragraph"/>
    <w:basedOn w:val="Norml"/>
    <w:uiPriority w:val="34"/>
    <w:qFormat/>
    <w:pPr>
      <w:ind w:left="720"/>
    </w:pPr>
  </w:style>
  <w:style w:type="paragraph" w:styleId="Buborkszveg">
    <w:name w:val="Balloon Text"/>
    <w:basedOn w:val="Norml"/>
    <w:link w:val="BuborkszvegChar"/>
    <w:uiPriority w:val="99"/>
    <w:semiHidden/>
    <w:pPr>
      <w:spacing w:line="240" w:lineRule="auto"/>
    </w:pPr>
    <w:rPr>
      <w:rFonts w:ascii="Tahoma" w:hAnsi="Tahoma" w:cs="Tahoma"/>
      <w:sz w:val="16"/>
      <w:szCs w:val="16"/>
    </w:rPr>
  </w:style>
  <w:style w:type="character" w:customStyle="1" w:styleId="BuborkszvegChar">
    <w:name w:val="Buborékszöveg Char"/>
    <w:link w:val="Buborkszveg"/>
    <w:uiPriority w:val="99"/>
    <w:rPr>
      <w:rFonts w:ascii="Tahoma" w:hAnsi="Tahoma" w:cs="Tahoma"/>
      <w:sz w:val="16"/>
      <w:szCs w:val="16"/>
      <w:lang w:val="en-GB" w:eastAsia="en-US"/>
    </w:rPr>
  </w:style>
  <w:style w:type="character" w:customStyle="1" w:styleId="CommentReference">
    <w:name w:val="Comment Reference"/>
    <w:uiPriority w:val="99"/>
    <w:semiHidden/>
    <w:rPr>
      <w:sz w:val="16"/>
      <w:szCs w:val="16"/>
    </w:rPr>
  </w:style>
  <w:style w:type="paragraph" w:customStyle="1" w:styleId="CommentText">
    <w:name w:val="Comment Text"/>
    <w:basedOn w:val="Norml"/>
    <w:link w:val="CommentTextChar"/>
    <w:uiPriority w:val="99"/>
    <w:semiHidden/>
    <w:rPr>
      <w:sz w:val="20"/>
      <w:szCs w:val="20"/>
    </w:rPr>
  </w:style>
  <w:style w:type="character" w:customStyle="1" w:styleId="CommentTextChar">
    <w:name w:val="Comment Text Char"/>
    <w:link w:val="CommentText"/>
    <w:uiPriority w:val="99"/>
    <w:semiHidden/>
    <w:rPr>
      <w:sz w:val="20"/>
      <w:szCs w:val="20"/>
      <w:lang w:val="en-GB"/>
    </w:rPr>
  </w:style>
  <w:style w:type="paragraph" w:customStyle="1" w:styleId="CommentSubject">
    <w:name w:val="Comment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rPr>
      <w:b/>
      <w:bCs/>
      <w:sz w:val="20"/>
      <w:szCs w:val="20"/>
      <w:lang w:val="en-GB"/>
    </w:rPr>
  </w:style>
  <w:style w:type="paragraph" w:styleId="Vltozat">
    <w:name w:val="Revision"/>
    <w:uiPriority w:val="99"/>
    <w:semiHidden/>
    <w:rPr>
      <w:sz w:val="22"/>
      <w:szCs w:val="22"/>
      <w:lang w:val="en-GB" w:eastAsia="en-US"/>
    </w:rPr>
  </w:style>
  <w:style w:type="paragraph" w:styleId="Szvegtrzsbehzssal">
    <w:name w:val="Body Text Indent"/>
    <w:basedOn w:val="Norml"/>
    <w:link w:val="SzvegtrzsbehzssalChar"/>
    <w:pPr>
      <w:tabs>
        <w:tab w:val="clear" w:pos="567"/>
      </w:tabs>
      <w:spacing w:line="240" w:lineRule="auto"/>
      <w:ind w:left="360"/>
    </w:pPr>
    <w:rPr>
      <w:sz w:val="24"/>
      <w:szCs w:val="24"/>
      <w:lang w:val="en-US"/>
    </w:rPr>
  </w:style>
  <w:style w:type="character" w:customStyle="1" w:styleId="SzvegtrzsbehzssalChar">
    <w:name w:val="Szövegtörzs behúzással Char"/>
    <w:link w:val="Szvegtrzsbehzssal"/>
    <w:rPr>
      <w:sz w:val="24"/>
      <w:szCs w:val="24"/>
      <w:lang w:val="en-US" w:eastAsia="en-US"/>
    </w:rPr>
  </w:style>
  <w:style w:type="paragraph" w:styleId="Vgjegyzetszvege">
    <w:name w:val="endnote text"/>
    <w:basedOn w:val="Norml"/>
    <w:next w:val="Norml"/>
    <w:link w:val="VgjegyzetszvegeChar"/>
    <w:semiHidden/>
    <w:pPr>
      <w:tabs>
        <w:tab w:val="clear" w:pos="567"/>
      </w:tabs>
      <w:spacing w:line="260" w:lineRule="atLeast"/>
    </w:pPr>
  </w:style>
  <w:style w:type="character" w:customStyle="1" w:styleId="VgjegyzetszvegeChar">
    <w:name w:val="Végjegyzet szövege Char"/>
    <w:link w:val="Vgjegyzetszvege"/>
    <w:semiHidden/>
    <w:rPr>
      <w:sz w:val="22"/>
      <w:szCs w:val="22"/>
      <w:lang w:val="en-GB" w:eastAsia="en-US"/>
    </w:rPr>
  </w:style>
  <w:style w:type="paragraph" w:customStyle="1" w:styleId="Norml1">
    <w:name w:val="Normál1"/>
  </w:style>
  <w:style w:type="paragraph" w:styleId="llb">
    <w:name w:val="footer"/>
    <w:basedOn w:val="Norml"/>
    <w:link w:val="llbChar"/>
    <w:uiPriority w:val="99"/>
    <w:unhideWhenUsed/>
    <w:rsid w:val="008D3A1C"/>
    <w:pPr>
      <w:tabs>
        <w:tab w:val="clear" w:pos="567"/>
        <w:tab w:val="center" w:pos="4536"/>
        <w:tab w:val="right" w:pos="9072"/>
      </w:tabs>
      <w:spacing w:line="240" w:lineRule="auto"/>
    </w:pPr>
  </w:style>
  <w:style w:type="character" w:customStyle="1" w:styleId="llbChar">
    <w:name w:val="Élőláb Char"/>
    <w:basedOn w:val="Bekezdsalapbettpusa"/>
    <w:link w:val="llb"/>
    <w:uiPriority w:val="99"/>
    <w:rsid w:val="008D3A1C"/>
    <w:rPr>
      <w:sz w:val="22"/>
      <w:szCs w:val="22"/>
      <w:lang w:val="en-GB" w:eastAsia="en-US"/>
    </w:rPr>
  </w:style>
  <w:style w:type="character" w:styleId="Jegyzethivatkozs">
    <w:name w:val="annotation reference"/>
    <w:basedOn w:val="Bekezdsalapbettpusa"/>
    <w:uiPriority w:val="99"/>
    <w:semiHidden/>
    <w:unhideWhenUsed/>
    <w:rsid w:val="003B3CB7"/>
    <w:rPr>
      <w:sz w:val="16"/>
      <w:szCs w:val="16"/>
    </w:rPr>
  </w:style>
  <w:style w:type="paragraph" w:styleId="Jegyzetszveg">
    <w:name w:val="annotation text"/>
    <w:basedOn w:val="Norml"/>
    <w:link w:val="JegyzetszvegChar"/>
    <w:uiPriority w:val="99"/>
    <w:unhideWhenUsed/>
    <w:rsid w:val="003B3CB7"/>
    <w:pPr>
      <w:spacing w:line="240" w:lineRule="auto"/>
    </w:pPr>
    <w:rPr>
      <w:sz w:val="20"/>
      <w:szCs w:val="20"/>
    </w:rPr>
  </w:style>
  <w:style w:type="character" w:customStyle="1" w:styleId="JegyzetszvegChar">
    <w:name w:val="Jegyzetszöveg Char"/>
    <w:basedOn w:val="Bekezdsalapbettpusa"/>
    <w:link w:val="Jegyzetszveg"/>
    <w:uiPriority w:val="99"/>
    <w:rsid w:val="003B3CB7"/>
    <w:rPr>
      <w:lang w:val="en-GB" w:eastAsia="en-US"/>
    </w:rPr>
  </w:style>
  <w:style w:type="paragraph" w:styleId="Megjegyzstrgya">
    <w:name w:val="annotation subject"/>
    <w:basedOn w:val="Jegyzetszveg"/>
    <w:next w:val="Jegyzetszveg"/>
    <w:link w:val="MegjegyzstrgyaChar"/>
    <w:uiPriority w:val="99"/>
    <w:semiHidden/>
    <w:unhideWhenUsed/>
    <w:rsid w:val="003B3CB7"/>
    <w:rPr>
      <w:b/>
      <w:bCs/>
    </w:rPr>
  </w:style>
  <w:style w:type="character" w:customStyle="1" w:styleId="MegjegyzstrgyaChar">
    <w:name w:val="Megjegyzés tárgya Char"/>
    <w:basedOn w:val="JegyzetszvegChar"/>
    <w:link w:val="Megjegyzstrgya"/>
    <w:uiPriority w:val="99"/>
    <w:semiHidden/>
    <w:rsid w:val="003B3CB7"/>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uper55.com/index.php?s=1&amp;q=Szem+pemphigoid" TargetMode="Externa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12</Pages>
  <Words>4005</Words>
  <Characters>27638</Characters>
  <Application>Microsoft Office Word</Application>
  <DocSecurity>0</DocSecurity>
  <Lines>230</Lines>
  <Paragraphs>63</Paragraphs>
  <ScaleCrop>false</ScaleCrop>
  <HeadingPairs>
    <vt:vector size="2" baseType="variant">
      <vt:variant>
        <vt:lpstr>Cím</vt:lpstr>
      </vt:variant>
      <vt:variant>
        <vt:i4>1</vt:i4>
      </vt:variant>
    </vt:vector>
  </HeadingPairs>
  <TitlesOfParts>
    <vt:vector size="1" baseType="lpstr">
      <vt:lpstr>QRD Human Product Information Template</vt:lpstr>
    </vt:vector>
  </TitlesOfParts>
  <Company>Translation Centre</Company>
  <LinksUpToDate>false</LinksUpToDate>
  <CharactersWithSpaces>31580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QRD Human Product Information Template</dc:title>
  <dc:creator>European Medicines Agency</dc:creator>
  <cp:lastModifiedBy>HU_NNGYK_56.2</cp:lastModifiedBy>
  <cp:revision>50</cp:revision>
  <cp:lastPrinted>2013-03-04T10:58:00Z</cp:lastPrinted>
  <dcterms:created xsi:type="dcterms:W3CDTF">2021-10-19T11:03:00Z</dcterms:created>
  <dcterms:modified xsi:type="dcterms:W3CDTF">2026-05-21T11:57:00Z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ubject">
    <vt:lpwstr>General-EMA/423415/2010</vt:lpwstr>
  </property>
  <property fmtid="{D5CDD505-2E9C-101B-9397-08002B2CF9AE}" pid="3" name="DM_Owner">
    <vt:lpwstr>Espinasse Claire</vt:lpwstr>
  </property>
  <property fmtid="{D5CDD505-2E9C-101B-9397-08002B2CF9AE}" pid="4" name="DM_emea_doc_number">
    <vt:lpwstr>423415</vt:lpwstr>
  </property>
  <property fmtid="{D5CDD505-2E9C-101B-9397-08002B2CF9AE}" pid="5" name="DM_emea_received_date">
    <vt:lpwstr>nulldate</vt:lpwstr>
  </property>
  <property fmtid="{D5CDD505-2E9C-101B-9397-08002B2CF9AE}" pid="6" name="DM_emea_doc_category">
    <vt:lpwstr>General</vt:lpwstr>
  </property>
  <property fmtid="{D5CDD505-2E9C-101B-9397-08002B2CF9AE}" pid="7" name="DM_emea_internal_label">
    <vt:lpwstr>EMA</vt:lpwstr>
  </property>
  <property fmtid="{D5CDD505-2E9C-101B-9397-08002B2CF9AE}" pid="8" name="DM_emea_legal_date">
    <vt:lpwstr>nulldate</vt:lpwstr>
  </property>
  <property fmtid="{D5CDD505-2E9C-101B-9397-08002B2CF9AE}" pid="9" name="DM_emea_year">
    <vt:lpwstr>2010</vt:lpwstr>
  </property>
  <property fmtid="{D5CDD505-2E9C-101B-9397-08002B2CF9AE}" pid="10" name="DM_emea_sent_date">
    <vt:lpwstr>nulldate</vt:lpwstr>
  </property>
  <property fmtid="{D5CDD505-2E9C-101B-9397-08002B2CF9AE}" pid="11" name="DM_Version">
    <vt:lpwstr>CURRENT,3.0</vt:lpwstr>
  </property>
  <property fmtid="{D5CDD505-2E9C-101B-9397-08002B2CF9AE}" pid="12" name="DM_Name">
    <vt:lpwstr>Hqrdtemplatecleanhu</vt:lpwstr>
  </property>
  <property fmtid="{D5CDD505-2E9C-101B-9397-08002B2CF9AE}" pid="13" name="DM_Creation_Date">
    <vt:lpwstr>05/02/2016 10:59:24</vt:lpwstr>
  </property>
  <property fmtid="{D5CDD505-2E9C-101B-9397-08002B2CF9AE}" pid="14" name="DM_Modify_Date">
    <vt:lpwstr>05/02/2016 10:59:24</vt:lpwstr>
  </property>
  <property fmtid="{D5CDD505-2E9C-101B-9397-08002B2CF9AE}" pid="15" name="DM_Creator_Name">
    <vt:lpwstr>Guardado Susana</vt:lpwstr>
  </property>
  <property fmtid="{D5CDD505-2E9C-101B-9397-08002B2CF9AE}" pid="16" name="DM_Modifier_Name">
    <vt:lpwstr>Guardado Susana</vt:lpwstr>
  </property>
  <property fmtid="{D5CDD505-2E9C-101B-9397-08002B2CF9AE}" pid="17" name="DM_Type">
    <vt:lpwstr>emea_document</vt:lpwstr>
  </property>
  <property fmtid="{D5CDD505-2E9C-101B-9397-08002B2CF9AE}" pid="18" name="DM_DocRefId">
    <vt:lpwstr>EMA/88234/2016</vt:lpwstr>
  </property>
  <property fmtid="{D5CDD505-2E9C-101B-9397-08002B2CF9AE}" pid="19" name="DM_Category">
    <vt:lpwstr>Templates and Form</vt:lpwstr>
  </property>
  <property fmtid="{D5CDD505-2E9C-101B-9397-08002B2CF9AE}" pid="20" name="DM_Path">
    <vt:lpwstr>/02b. Administration of Scientific Meeting/WPs SAGs DGs and other WGs/CxMP - QRD/3. Other activities/02. Procedures/01. QRD PI templates/01 QRD Human Templates/07 H-qrd template v10 (falsified legislation)/Revision by MSs - further changes 26.1.16/02 Revi</vt:lpwstr>
  </property>
  <property fmtid="{D5CDD505-2E9C-101B-9397-08002B2CF9AE}" pid="21" name="DM_emea_doc_ref_id">
    <vt:lpwstr>EMA/88234/2016</vt:lpwstr>
  </property>
  <property fmtid="{D5CDD505-2E9C-101B-9397-08002B2CF9AE}" pid="22" name="DM_Modifer_Name">
    <vt:lpwstr>Guardado Susana</vt:lpwstr>
  </property>
  <property fmtid="{D5CDD505-2E9C-101B-9397-08002B2CF9AE}" pid="23" name="DM_Modified_Date">
    <vt:lpwstr>05/02/2016 10:59:24</vt:lpwstr>
  </property>
  <property fmtid="{D5CDD505-2E9C-101B-9397-08002B2CF9AE}" pid="24" name="DMS_Doc_ID">
    <vt:lpwstr>127113379</vt:lpwstr>
  </property>
</Properties>
</file>