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6CC7AC" w14:textId="77777777" w:rsidR="00B03AE9" w:rsidRDefault="00A648F1" w:rsidP="00885ED6">
      <w:pPr>
        <w:keepNext/>
        <w:ind w:left="567" w:hanging="567"/>
        <w:rPr>
          <w:rFonts w:cs="Times New Roman"/>
          <w:b/>
          <w:szCs w:val="22"/>
        </w:rPr>
      </w:pPr>
      <w:r>
        <w:rPr>
          <w:rFonts w:cs="Times New Roman"/>
          <w:b/>
          <w:szCs w:val="22"/>
        </w:rPr>
        <w:t>1.</w:t>
      </w:r>
      <w:r>
        <w:rPr>
          <w:rFonts w:cs="Times New Roman"/>
          <w:b/>
          <w:szCs w:val="22"/>
        </w:rPr>
        <w:tab/>
      </w:r>
      <w:r w:rsidRPr="00885ED6">
        <w:rPr>
          <w:rFonts w:cs="Times New Roman"/>
          <w:b/>
          <w:szCs w:val="22"/>
        </w:rPr>
        <w:t>G</w:t>
      </w:r>
      <w:r>
        <w:rPr>
          <w:rFonts w:cs="Times New Roman"/>
          <w:b/>
          <w:szCs w:val="22"/>
        </w:rPr>
        <w:t>YÓGYSZER NEVE</w:t>
      </w:r>
    </w:p>
    <w:p w14:paraId="5634DD50" w14:textId="77777777" w:rsidR="00B03AE9" w:rsidRDefault="00B03AE9">
      <w:pPr>
        <w:keepNext/>
        <w:widowControl/>
        <w:rPr>
          <w:rFonts w:cs="Times New Roman"/>
          <w:szCs w:val="22"/>
        </w:rPr>
      </w:pPr>
    </w:p>
    <w:p w14:paraId="451B1902" w14:textId="77777777" w:rsidR="00B03AE9" w:rsidRDefault="00A648F1" w:rsidP="00885ED6">
      <w:pPr>
        <w:rPr>
          <w:rFonts w:cs="Times New Roman"/>
        </w:rPr>
      </w:pP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3 mg filmtabletta</w:t>
      </w:r>
    </w:p>
    <w:p w14:paraId="3B9B3E7D" w14:textId="77777777" w:rsidR="00B03AE9" w:rsidRDefault="00B03AE9">
      <w:pPr>
        <w:rPr>
          <w:rFonts w:cs="Times New Roman"/>
          <w:szCs w:val="22"/>
        </w:rPr>
      </w:pPr>
    </w:p>
    <w:p w14:paraId="4DB9164E" w14:textId="77777777" w:rsidR="00B03AE9" w:rsidRDefault="00B03AE9">
      <w:pPr>
        <w:rPr>
          <w:rFonts w:cs="Times New Roman"/>
          <w:szCs w:val="22"/>
        </w:rPr>
      </w:pPr>
    </w:p>
    <w:p w14:paraId="50998075" w14:textId="77777777" w:rsidR="00B03AE9" w:rsidRDefault="00A648F1" w:rsidP="00885ED6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2.</w:t>
      </w:r>
      <w:r>
        <w:rPr>
          <w:rFonts w:cs="Times New Roman"/>
          <w:b/>
          <w:szCs w:val="22"/>
        </w:rPr>
        <w:tab/>
        <w:t>MINŐSÉGI ÉS MENNYISÉGI ÖSSZETÉTEL</w:t>
      </w:r>
    </w:p>
    <w:p w14:paraId="2BE1E557" w14:textId="77777777" w:rsidR="00B03AE9" w:rsidRDefault="00B03AE9">
      <w:pPr>
        <w:keepNext/>
        <w:widowControl/>
        <w:rPr>
          <w:rFonts w:cs="Times New Roman"/>
        </w:rPr>
      </w:pPr>
    </w:p>
    <w:p w14:paraId="14281678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3 mg </w:t>
      </w:r>
      <w:proofErr w:type="spellStart"/>
      <w:r>
        <w:rPr>
          <w:rFonts w:cs="Times New Roman"/>
          <w:szCs w:val="22"/>
        </w:rPr>
        <w:t>melatonint</w:t>
      </w:r>
      <w:proofErr w:type="spellEnd"/>
      <w:r>
        <w:rPr>
          <w:rFonts w:cs="Times New Roman"/>
          <w:szCs w:val="22"/>
        </w:rPr>
        <w:t xml:space="preserve"> tartalmaz </w:t>
      </w:r>
      <w:proofErr w:type="spellStart"/>
      <w:r>
        <w:rPr>
          <w:rFonts w:cs="Times New Roman"/>
          <w:szCs w:val="22"/>
        </w:rPr>
        <w:t>filmtablettánként</w:t>
      </w:r>
      <w:proofErr w:type="spellEnd"/>
      <w:r>
        <w:rPr>
          <w:rFonts w:cs="Times New Roman"/>
          <w:szCs w:val="22"/>
        </w:rPr>
        <w:t>.</w:t>
      </w:r>
    </w:p>
    <w:p w14:paraId="60F2C798" w14:textId="77777777" w:rsidR="00B03AE9" w:rsidRDefault="00B03AE9">
      <w:pPr>
        <w:rPr>
          <w:rFonts w:cs="Times New Roman"/>
        </w:rPr>
      </w:pPr>
    </w:p>
    <w:p w14:paraId="5CDFEF6E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>A segédanyagok teljes listáját lásd a 6.1 pontban.</w:t>
      </w:r>
    </w:p>
    <w:p w14:paraId="15F1274E" w14:textId="77777777" w:rsidR="00B03AE9" w:rsidRDefault="00B03AE9">
      <w:pPr>
        <w:rPr>
          <w:rFonts w:cs="Times New Roman"/>
        </w:rPr>
      </w:pPr>
    </w:p>
    <w:p w14:paraId="5F7D94BB" w14:textId="77777777" w:rsidR="00B03AE9" w:rsidRDefault="00B03AE9">
      <w:pPr>
        <w:rPr>
          <w:rFonts w:cs="Times New Roman"/>
          <w:szCs w:val="22"/>
        </w:rPr>
      </w:pPr>
    </w:p>
    <w:p w14:paraId="6FBFA904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3.</w:t>
      </w:r>
      <w:r>
        <w:rPr>
          <w:rFonts w:cs="Times New Roman"/>
          <w:b/>
          <w:szCs w:val="22"/>
        </w:rPr>
        <w:tab/>
        <w:t>GYÓGYSZERFORMA</w:t>
      </w:r>
    </w:p>
    <w:p w14:paraId="26C3EB8D" w14:textId="77777777" w:rsidR="00B03AE9" w:rsidRDefault="00B03AE9">
      <w:pPr>
        <w:keepNext/>
        <w:rPr>
          <w:rFonts w:cs="Times New Roman"/>
          <w:szCs w:val="22"/>
        </w:rPr>
      </w:pPr>
    </w:p>
    <w:p w14:paraId="453045AE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Filmtabletta (tabletta). Kerek, mindkét oldalán domború, </w:t>
      </w:r>
      <w:r w:rsidR="00B630E0">
        <w:rPr>
          <w:rFonts w:cs="Times New Roman"/>
          <w:szCs w:val="22"/>
        </w:rPr>
        <w:t xml:space="preserve">áttetsző </w:t>
      </w:r>
      <w:r>
        <w:rPr>
          <w:rFonts w:cs="Times New Roman"/>
          <w:szCs w:val="22"/>
        </w:rPr>
        <w:t xml:space="preserve">bevonatú, fehér vagy </w:t>
      </w:r>
      <w:r w:rsidR="00B630E0">
        <w:rPr>
          <w:rFonts w:cs="Times New Roman"/>
          <w:szCs w:val="22"/>
        </w:rPr>
        <w:t xml:space="preserve">csaknem fehér </w:t>
      </w:r>
      <w:r>
        <w:rPr>
          <w:rFonts w:cs="Times New Roman"/>
          <w:szCs w:val="22"/>
        </w:rPr>
        <w:t>7</w:t>
      </w:r>
      <w:r w:rsidR="00B630E0">
        <w:rPr>
          <w:rFonts w:cs="Times New Roman"/>
          <w:szCs w:val="22"/>
        </w:rPr>
        <w:t>,</w:t>
      </w:r>
      <w:r>
        <w:rPr>
          <w:rFonts w:cs="Times New Roman"/>
          <w:szCs w:val="22"/>
        </w:rPr>
        <w:t xml:space="preserve">5 mm-es </w:t>
      </w:r>
      <w:r w:rsidR="00B630E0">
        <w:rPr>
          <w:rFonts w:cs="Times New Roman"/>
          <w:szCs w:val="22"/>
        </w:rPr>
        <w:t>film</w:t>
      </w:r>
      <w:r>
        <w:rPr>
          <w:rFonts w:cs="Times New Roman"/>
          <w:szCs w:val="22"/>
        </w:rPr>
        <w:t>tabletta.</w:t>
      </w:r>
    </w:p>
    <w:p w14:paraId="67EE0CA9" w14:textId="77777777" w:rsidR="00B03AE9" w:rsidRDefault="00B03AE9">
      <w:pPr>
        <w:rPr>
          <w:rFonts w:cs="Times New Roman"/>
          <w:szCs w:val="22"/>
        </w:rPr>
      </w:pPr>
    </w:p>
    <w:p w14:paraId="3268912D" w14:textId="77777777" w:rsidR="00B03AE9" w:rsidRDefault="00B03AE9">
      <w:pPr>
        <w:rPr>
          <w:rFonts w:cs="Times New Roman"/>
          <w:szCs w:val="22"/>
        </w:rPr>
      </w:pPr>
    </w:p>
    <w:p w14:paraId="709646C2" w14:textId="77777777" w:rsidR="00B03AE9" w:rsidRDefault="00A648F1">
      <w:pPr>
        <w:keepNext/>
        <w:ind w:left="567" w:hanging="567"/>
        <w:rPr>
          <w:rFonts w:eastAsia="DejaVu Sans" w:cs="Times New Roman"/>
          <w:b/>
          <w:szCs w:val="22"/>
        </w:rPr>
      </w:pPr>
      <w:r w:rsidRPr="00885ED6">
        <w:rPr>
          <w:rFonts w:cs="Times New Roman"/>
          <w:b/>
          <w:szCs w:val="22"/>
        </w:rPr>
        <w:t>4.</w:t>
      </w:r>
      <w:r w:rsidRPr="00885ED6">
        <w:rPr>
          <w:rFonts w:cs="Times New Roman"/>
          <w:b/>
          <w:szCs w:val="22"/>
        </w:rPr>
        <w:tab/>
        <w:t>KLINIKAI JELLEMZŐK</w:t>
      </w:r>
    </w:p>
    <w:p w14:paraId="50257165" w14:textId="77777777" w:rsidR="00B03AE9" w:rsidRDefault="00B03AE9">
      <w:pPr>
        <w:keepNext/>
        <w:rPr>
          <w:rFonts w:cs="Times New Roman"/>
          <w:szCs w:val="22"/>
        </w:rPr>
      </w:pPr>
    </w:p>
    <w:p w14:paraId="477BFF57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4.1</w:t>
      </w:r>
      <w:r>
        <w:rPr>
          <w:rFonts w:cs="Times New Roman"/>
          <w:b/>
          <w:szCs w:val="22"/>
        </w:rPr>
        <w:tab/>
        <w:t>Terápiás javallatok</w:t>
      </w:r>
    </w:p>
    <w:p w14:paraId="7AFF89AA" w14:textId="77777777" w:rsidR="00B03AE9" w:rsidRDefault="00B03AE9">
      <w:pPr>
        <w:keepNext/>
        <w:rPr>
          <w:rFonts w:cs="Times New Roman"/>
          <w:szCs w:val="22"/>
        </w:rPr>
      </w:pPr>
    </w:p>
    <w:p w14:paraId="38512F87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>Az időzónaváltás-szindróma („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>”) rövid távú kezelése felnőtteknél.</w:t>
      </w:r>
    </w:p>
    <w:p w14:paraId="1D990FC2" w14:textId="77777777" w:rsidR="00B03AE9" w:rsidRDefault="00B03AE9">
      <w:pPr>
        <w:rPr>
          <w:rFonts w:cs="Times New Roman"/>
        </w:rPr>
      </w:pPr>
    </w:p>
    <w:p w14:paraId="13FE446B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b/>
          <w:szCs w:val="22"/>
        </w:rPr>
        <w:t>4.2</w:t>
      </w:r>
      <w:r>
        <w:rPr>
          <w:rFonts w:cs="Times New Roman"/>
          <w:b/>
          <w:szCs w:val="22"/>
        </w:rPr>
        <w:tab/>
        <w:t>Adagolás és alkalmazás</w:t>
      </w:r>
    </w:p>
    <w:p w14:paraId="1C938687" w14:textId="77777777" w:rsidR="00B03AE9" w:rsidRDefault="00B03AE9">
      <w:pPr>
        <w:keepNext/>
        <w:widowControl/>
        <w:rPr>
          <w:rFonts w:cs="Times New Roman"/>
        </w:rPr>
      </w:pPr>
    </w:p>
    <w:p w14:paraId="629CB1B9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Adagolás</w:t>
      </w:r>
    </w:p>
    <w:p w14:paraId="305AE764" w14:textId="77777777" w:rsidR="00B03AE9" w:rsidRDefault="00B03AE9">
      <w:pPr>
        <w:rPr>
          <w:szCs w:val="22"/>
        </w:rPr>
      </w:pPr>
    </w:p>
    <w:p w14:paraId="2A6BB15C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>A szokásos adag naponta 3 mg (1 tabletta) legfeljebb 5 napig. Az adag 6 mg-ra (2, egyszerre beveendő tablettára növelhető, amennyiben a szokásos adag nem enyhíti kellőképpen a tüneteket. A tüneteket kellőképpen enyhítő adagot a legrövidebb ideig kell szedni.</w:t>
      </w:r>
    </w:p>
    <w:p w14:paraId="007FDB96" w14:textId="77777777" w:rsidR="00B03AE9" w:rsidRDefault="00B03AE9">
      <w:pPr>
        <w:rPr>
          <w:szCs w:val="22"/>
        </w:rPr>
      </w:pPr>
    </w:p>
    <w:p w14:paraId="4417AFB5" w14:textId="77777777" w:rsidR="00B03AE9" w:rsidRDefault="00A648F1" w:rsidP="00885ED6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Az első adagot a célhelyre </w:t>
      </w:r>
      <w:r w:rsidRPr="00885ED6">
        <w:rPr>
          <w:rFonts w:cs="Times New Roman"/>
          <w:szCs w:val="22"/>
        </w:rPr>
        <w:t>megérkezéskor</w:t>
      </w:r>
      <w:r>
        <w:rPr>
          <w:rFonts w:cs="Times New Roman"/>
          <w:szCs w:val="22"/>
        </w:rPr>
        <w:t>, a szokásos lefekvési időben kell bevenni.</w:t>
      </w:r>
    </w:p>
    <w:p w14:paraId="5BBC7EA8" w14:textId="77777777" w:rsidR="00B03AE9" w:rsidRDefault="00B03AE9">
      <w:pPr>
        <w:rPr>
          <w:szCs w:val="22"/>
        </w:rPr>
      </w:pPr>
    </w:p>
    <w:p w14:paraId="6953D868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Mivel fennáll annak lehetősége, hogy a rosszul időzített bevétele miatt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hatástalan, illetve mellékhatást fejt ki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utáni átállásra, nem szabad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Nordot</w:t>
      </w:r>
      <w:proofErr w:type="spellEnd"/>
      <w:r>
        <w:rPr>
          <w:rFonts w:cs="Times New Roman"/>
          <w:szCs w:val="22"/>
        </w:rPr>
        <w:t xml:space="preserve"> bevenni 20:00 óra előtt vagy 04:00 óra után a célhelyen.</w:t>
      </w:r>
    </w:p>
    <w:p w14:paraId="50A204C4" w14:textId="77777777" w:rsidR="00B03AE9" w:rsidRDefault="00B03AE9">
      <w:pPr>
        <w:rPr>
          <w:szCs w:val="22"/>
        </w:rPr>
      </w:pPr>
    </w:p>
    <w:p w14:paraId="729DBE1F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A táplálék növelheti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plazmakoncentrációját (lásd 5.2 pont).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bevétele szénhidrátokban gazdag ételekkel együtt ronthatja a vércukor-szabályozást több órán keresztül (lásd 4.4 pont). Javasolt az ételek fogyasztásától való tartózkodás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bevételét megelőző 2 órában, valamint az azt követő 2 órában.</w:t>
      </w:r>
    </w:p>
    <w:p w14:paraId="2893B32F" w14:textId="77777777" w:rsidR="00B03AE9" w:rsidRDefault="00B03AE9">
      <w:pPr>
        <w:rPr>
          <w:szCs w:val="22"/>
        </w:rPr>
      </w:pPr>
    </w:p>
    <w:p w14:paraId="454DD8BB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Mivel az alkohol kedvezőtlenül befolyásolhatja az alvást és potenciálisan súlyosbíthatja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bizonyos tüneteit (pl. fejfájás, reggeli fáradtság, koncentráció), javasolt az alkoholfogyasztás kerülése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szedésekor.</w:t>
      </w:r>
    </w:p>
    <w:p w14:paraId="568062C9" w14:textId="77777777" w:rsidR="00B03AE9" w:rsidRDefault="00B03AE9">
      <w:pPr>
        <w:rPr>
          <w:rFonts w:cs="Times New Roman"/>
          <w:bCs/>
          <w:szCs w:val="22"/>
        </w:rPr>
      </w:pPr>
    </w:p>
    <w:p w14:paraId="165AA598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évente legfeljebb 16 kezelési időszak erejéig szedhető.</w:t>
      </w:r>
    </w:p>
    <w:p w14:paraId="2E8F7343" w14:textId="77777777" w:rsidR="00B03AE9" w:rsidRDefault="00B03AE9">
      <w:pPr>
        <w:rPr>
          <w:szCs w:val="22"/>
        </w:rPr>
      </w:pPr>
    </w:p>
    <w:p w14:paraId="5045B046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i/>
          <w:szCs w:val="22"/>
        </w:rPr>
        <w:t>Idősek</w:t>
      </w:r>
    </w:p>
    <w:p w14:paraId="1C884C97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Mivel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farmakokinetikája</w:t>
      </w:r>
      <w:proofErr w:type="spellEnd"/>
      <w:r>
        <w:rPr>
          <w:rFonts w:cs="Times New Roman"/>
          <w:szCs w:val="22"/>
        </w:rPr>
        <w:t xml:space="preserve"> (azonnali hatóanyag-felszabadulás) fiatal felnőtteknél és időseknél általában hasonló, nincsenek különleges javaslatok az időseknél alkalmazandó adagot illetően (lásd 5.2 pont).</w:t>
      </w:r>
    </w:p>
    <w:p w14:paraId="33EF0A8F" w14:textId="77777777" w:rsidR="00B03AE9" w:rsidRDefault="00B03AE9">
      <w:pPr>
        <w:rPr>
          <w:rFonts w:cs="Times New Roman"/>
        </w:rPr>
      </w:pPr>
    </w:p>
    <w:p w14:paraId="7474D149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i/>
          <w:szCs w:val="22"/>
        </w:rPr>
        <w:t>Vesekárosodás</w:t>
      </w:r>
    </w:p>
    <w:p w14:paraId="408DC658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 w:rsidRPr="00885ED6">
        <w:rPr>
          <w:rFonts w:cs="Times New Roman"/>
          <w:szCs w:val="22"/>
          <w:lang w:eastAsia="en-US"/>
        </w:rPr>
        <w:t>Melatonin</w:t>
      </w:r>
      <w:proofErr w:type="spellEnd"/>
      <w:r w:rsidRPr="00885ED6">
        <w:rPr>
          <w:rFonts w:cs="Times New Roman"/>
          <w:szCs w:val="22"/>
          <w:lang w:eastAsia="en-US"/>
        </w:rPr>
        <w:t xml:space="preserve"> Pharma </w:t>
      </w:r>
      <w:proofErr w:type="spellStart"/>
      <w:r w:rsidRPr="00885ED6">
        <w:rPr>
          <w:rFonts w:cs="Times New Roman"/>
          <w:szCs w:val="22"/>
          <w:lang w:eastAsia="en-US"/>
        </w:rPr>
        <w:t>Nord</w:t>
      </w:r>
      <w:proofErr w:type="spellEnd"/>
      <w:r w:rsidRPr="00885ED6">
        <w:rPr>
          <w:rFonts w:cs="Times New Roman"/>
          <w:szCs w:val="22"/>
          <w:lang w:eastAsia="en-US"/>
        </w:rPr>
        <w:t xml:space="preserve"> </w:t>
      </w:r>
      <w:r>
        <w:rPr>
          <w:rFonts w:cs="Times New Roman"/>
          <w:szCs w:val="22"/>
        </w:rPr>
        <w:t xml:space="preserve">vesekárosodásban szenvedő betegeknél való alkalmazásáról csak korlátozott tapasztalat áll rendelkezésre. A </w:t>
      </w:r>
      <w:proofErr w:type="spellStart"/>
      <w:r>
        <w:rPr>
          <w:rFonts w:cs="Times New Roman"/>
          <w:szCs w:val="22"/>
        </w:rPr>
        <w:t>melatonint</w:t>
      </w:r>
      <w:proofErr w:type="spellEnd"/>
      <w:r>
        <w:rPr>
          <w:rFonts w:cs="Times New Roman"/>
          <w:szCs w:val="22"/>
        </w:rPr>
        <w:t xml:space="preserve"> körültekintéssel kell alkalmazni </w:t>
      </w:r>
      <w:r>
        <w:rPr>
          <w:rFonts w:cs="Times New Roman"/>
          <w:szCs w:val="22"/>
        </w:rPr>
        <w:lastRenderedPageBreak/>
        <w:t>vesekárosodásban szenvedő betegeknél. A</w:t>
      </w:r>
      <w:r w:rsidRPr="00885ED6">
        <w:rPr>
          <w:rFonts w:cs="Times New Roman"/>
          <w:szCs w:val="22"/>
          <w:lang w:eastAsia="en-US"/>
        </w:rPr>
        <w:t xml:space="preserve"> </w:t>
      </w:r>
      <w:proofErr w:type="spellStart"/>
      <w:r w:rsidRPr="00885ED6">
        <w:rPr>
          <w:rFonts w:cs="Times New Roman"/>
          <w:szCs w:val="22"/>
          <w:lang w:eastAsia="en-US"/>
        </w:rPr>
        <w:t>Melatonin</w:t>
      </w:r>
      <w:proofErr w:type="spellEnd"/>
      <w:r w:rsidRPr="00885ED6">
        <w:rPr>
          <w:rFonts w:cs="Times New Roman"/>
          <w:szCs w:val="22"/>
          <w:lang w:eastAsia="en-US"/>
        </w:rPr>
        <w:t xml:space="preserve"> Pharma </w:t>
      </w:r>
      <w:proofErr w:type="spellStart"/>
      <w:r w:rsidRPr="00885ED6">
        <w:rPr>
          <w:rFonts w:cs="Times New Roman"/>
          <w:szCs w:val="22"/>
          <w:lang w:eastAsia="en-US"/>
        </w:rPr>
        <w:t>Nord</w:t>
      </w:r>
      <w:proofErr w:type="spellEnd"/>
      <w:r>
        <w:rPr>
          <w:rFonts w:cs="Times New Roman"/>
          <w:szCs w:val="22"/>
        </w:rPr>
        <w:t xml:space="preserve"> alkalmazása nem javasolt súlyos vesekárosodásban szenvedő betegeknél (lásd 5.2 pont).</w:t>
      </w:r>
    </w:p>
    <w:p w14:paraId="19FEFC4E" w14:textId="77777777" w:rsidR="00B03AE9" w:rsidRDefault="00B03AE9">
      <w:pPr>
        <w:rPr>
          <w:rFonts w:cs="Times New Roman"/>
          <w:szCs w:val="22"/>
        </w:rPr>
      </w:pPr>
    </w:p>
    <w:p w14:paraId="66220A1C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i/>
          <w:szCs w:val="22"/>
        </w:rPr>
        <w:t>Májkárosodás</w:t>
      </w:r>
    </w:p>
    <w:p w14:paraId="42EAC2D7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 w:rsidRPr="00885ED6">
        <w:rPr>
          <w:rFonts w:cs="Times New Roman"/>
          <w:szCs w:val="22"/>
          <w:lang w:eastAsia="en-US"/>
        </w:rPr>
        <w:t>Melatonin</w:t>
      </w:r>
      <w:proofErr w:type="spellEnd"/>
      <w:r w:rsidRPr="00885ED6">
        <w:rPr>
          <w:rFonts w:cs="Times New Roman"/>
          <w:szCs w:val="22"/>
          <w:lang w:eastAsia="en-US"/>
        </w:rPr>
        <w:t xml:space="preserve"> Pharma </w:t>
      </w:r>
      <w:proofErr w:type="spellStart"/>
      <w:r w:rsidRPr="00885ED6">
        <w:rPr>
          <w:rFonts w:cs="Times New Roman"/>
          <w:szCs w:val="22"/>
          <w:lang w:eastAsia="en-US"/>
        </w:rPr>
        <w:t>Nord</w:t>
      </w:r>
      <w:proofErr w:type="spellEnd"/>
      <w:r>
        <w:rPr>
          <w:rFonts w:cs="Times New Roman"/>
          <w:szCs w:val="22"/>
        </w:rPr>
        <w:t xml:space="preserve"> májkárosodásban szenvedő betegeknél való alkalmazásáról nincs tapasztalat. Korlátozott adatok arra utalnak,</w:t>
      </w:r>
      <w:r>
        <w:rPr>
          <w:rFonts w:cs="Times New Roman"/>
          <w:i/>
          <w:szCs w:val="22"/>
        </w:rPr>
        <w:t xml:space="preserve"> </w:t>
      </w:r>
      <w:r>
        <w:rPr>
          <w:rFonts w:cs="Times New Roman"/>
          <w:szCs w:val="22"/>
        </w:rPr>
        <w:t xml:space="preserve">hogy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kiürülése a plazmából jelentős mértékben csökken májcirrózisban szenvedő betegeknél</w:t>
      </w:r>
      <w:r>
        <w:rPr>
          <w:rFonts w:cs="Times New Roman"/>
          <w:i/>
          <w:szCs w:val="22"/>
        </w:rPr>
        <w:t>.</w:t>
      </w:r>
      <w:r>
        <w:rPr>
          <w:rFonts w:cs="Times New Roman"/>
          <w:szCs w:val="22"/>
        </w:rPr>
        <w:t xml:space="preserve">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alkalmazása nem javasolt</w:t>
      </w:r>
      <w:r>
        <w:rPr>
          <w:rFonts w:cs="Times New Roman"/>
          <w:i/>
          <w:szCs w:val="22"/>
        </w:rPr>
        <w:t xml:space="preserve"> </w:t>
      </w:r>
      <w:r>
        <w:rPr>
          <w:rFonts w:cs="Times New Roman"/>
          <w:szCs w:val="22"/>
        </w:rPr>
        <w:t>májkárosodásban szenvedő betegeknél (lásd 5.2 pont).</w:t>
      </w:r>
    </w:p>
    <w:p w14:paraId="434196CF" w14:textId="77777777" w:rsidR="00B03AE9" w:rsidRDefault="00B03AE9">
      <w:pPr>
        <w:rPr>
          <w:rFonts w:cs="Times New Roman"/>
        </w:rPr>
      </w:pPr>
    </w:p>
    <w:p w14:paraId="464361D5" w14:textId="77777777" w:rsidR="00B03AE9" w:rsidRDefault="00A648F1">
      <w:pPr>
        <w:keepNext/>
        <w:widowControl/>
        <w:rPr>
          <w:rFonts w:eastAsia="DejaVu Sans" w:cs="Times New Roman"/>
          <w:szCs w:val="22"/>
        </w:rPr>
      </w:pPr>
      <w:r>
        <w:rPr>
          <w:rFonts w:cs="Times New Roman"/>
          <w:szCs w:val="22"/>
          <w:u w:val="single"/>
          <w:lang w:eastAsia="en-US"/>
        </w:rPr>
        <w:t>Csökkent glükóztolerancia</w:t>
      </w:r>
    </w:p>
    <w:p w14:paraId="220D1208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  <w:lang w:eastAsia="en-US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bevétele szénhidrátokban gazdag ételekkel együtt ronthatja a vércukor-szabályozást több órán keresztül (lásd 4.4 pont)</w:t>
      </w:r>
      <w:r>
        <w:rPr>
          <w:rFonts w:cs="Times New Roman"/>
          <w:szCs w:val="22"/>
          <w:lang w:eastAsia="en-US"/>
        </w:rPr>
        <w:t xml:space="preserve">, ezért jelentősen csökkent glükóztoleranciájú vagy diabeteses betegek számára javasolt, hogy a </w:t>
      </w:r>
      <w:proofErr w:type="spellStart"/>
      <w:r>
        <w:rPr>
          <w:rFonts w:cs="Times New Roman"/>
          <w:szCs w:val="22"/>
          <w:lang w:eastAsia="en-US"/>
        </w:rPr>
        <w:t>Melatonin</w:t>
      </w:r>
      <w:proofErr w:type="spellEnd"/>
      <w:r>
        <w:rPr>
          <w:rFonts w:cs="Times New Roman"/>
          <w:szCs w:val="22"/>
          <w:lang w:eastAsia="en-US"/>
        </w:rPr>
        <w:t xml:space="preserve"> Pharma </w:t>
      </w:r>
      <w:proofErr w:type="spellStart"/>
      <w:r>
        <w:rPr>
          <w:rFonts w:cs="Times New Roman"/>
          <w:szCs w:val="22"/>
          <w:lang w:eastAsia="en-US"/>
        </w:rPr>
        <w:t>Nordot</w:t>
      </w:r>
      <w:proofErr w:type="spellEnd"/>
      <w:r>
        <w:rPr>
          <w:rFonts w:cs="Times New Roman"/>
          <w:szCs w:val="22"/>
          <w:lang w:eastAsia="en-US"/>
        </w:rPr>
        <w:t xml:space="preserve"> legalább 3 órával az étkezés után vegyék be.</w:t>
      </w:r>
    </w:p>
    <w:p w14:paraId="6A7974BA" w14:textId="77777777" w:rsidR="00B03AE9" w:rsidRDefault="00B03AE9">
      <w:pPr>
        <w:rPr>
          <w:rFonts w:cs="Times New Roman"/>
        </w:rPr>
      </w:pPr>
    </w:p>
    <w:p w14:paraId="507FE9C6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i/>
          <w:szCs w:val="22"/>
        </w:rPr>
        <w:t>Gyermekek és serdülők</w:t>
      </w:r>
    </w:p>
    <w:p w14:paraId="5638217A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 w:rsidRPr="00885ED6">
        <w:rPr>
          <w:rFonts w:cs="Times New Roman"/>
          <w:szCs w:val="22"/>
          <w:lang w:eastAsia="en-US"/>
        </w:rPr>
        <w:t>Melatonin</w:t>
      </w:r>
      <w:proofErr w:type="spellEnd"/>
      <w:r w:rsidRPr="00885ED6">
        <w:rPr>
          <w:rFonts w:cs="Times New Roman"/>
          <w:szCs w:val="22"/>
          <w:lang w:eastAsia="en-US"/>
        </w:rPr>
        <w:t xml:space="preserve"> Pharma </w:t>
      </w:r>
      <w:proofErr w:type="spellStart"/>
      <w:r w:rsidRPr="00885ED6">
        <w:rPr>
          <w:rFonts w:cs="Times New Roman"/>
          <w:szCs w:val="22"/>
          <w:lang w:eastAsia="en-US"/>
        </w:rPr>
        <w:t>Nord</w:t>
      </w:r>
      <w:proofErr w:type="spellEnd"/>
      <w:r>
        <w:rPr>
          <w:rFonts w:cs="Times New Roman"/>
          <w:szCs w:val="22"/>
        </w:rPr>
        <w:t xml:space="preserve"> biztonságosságát és hatásosságát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rövid távú kezelésében 0 és 18 év közötti gyermekek és serdülők esetében nem igazolták. Biztonságossági és hatásossági okok miatt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nem alkalmazható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>” kezelésére 0 és 18 év közötti gyermekeknél és serdülőknél (lásd 4.4 és 5.1 pont).</w:t>
      </w:r>
    </w:p>
    <w:p w14:paraId="42692946" w14:textId="77777777" w:rsidR="00B03AE9" w:rsidRDefault="00B03AE9">
      <w:pPr>
        <w:rPr>
          <w:rFonts w:cs="Times New Roman"/>
        </w:rPr>
      </w:pPr>
    </w:p>
    <w:p w14:paraId="5761481B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Az alkalmazás módja</w:t>
      </w:r>
    </w:p>
    <w:p w14:paraId="4A18204E" w14:textId="77777777" w:rsidR="00B03AE9" w:rsidRDefault="00B03AE9">
      <w:pPr>
        <w:keepNext/>
        <w:widowControl/>
        <w:rPr>
          <w:rFonts w:cs="Times New Roman"/>
        </w:rPr>
      </w:pPr>
    </w:p>
    <w:p w14:paraId="1A9C2AC7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</w:rPr>
        <w:t>Szájon át történő alkalmazásra. A tablettát folyadékkal, egészben kell lenyelni.</w:t>
      </w:r>
    </w:p>
    <w:p w14:paraId="7421D0FB" w14:textId="77777777" w:rsidR="00B03AE9" w:rsidRDefault="00B03AE9">
      <w:pPr>
        <w:rPr>
          <w:rFonts w:cs="Times New Roman"/>
        </w:rPr>
      </w:pPr>
    </w:p>
    <w:p w14:paraId="505B3255" w14:textId="77777777" w:rsidR="00B03AE9" w:rsidRDefault="00A648F1" w:rsidP="00885ED6">
      <w:pPr>
        <w:keepNext/>
        <w:widowControl/>
        <w:rPr>
          <w:rFonts w:cs="Times New Roman"/>
          <w:b/>
        </w:rPr>
      </w:pPr>
      <w:r>
        <w:rPr>
          <w:rFonts w:cs="Times New Roman"/>
          <w:b/>
          <w:szCs w:val="22"/>
        </w:rPr>
        <w:t>4.3</w:t>
      </w:r>
      <w:r>
        <w:rPr>
          <w:rFonts w:cs="Times New Roman"/>
          <w:b/>
          <w:szCs w:val="22"/>
        </w:rPr>
        <w:tab/>
        <w:t>Ellenjavallatok</w:t>
      </w:r>
    </w:p>
    <w:p w14:paraId="55A6B82D" w14:textId="77777777" w:rsidR="00B03AE9" w:rsidRDefault="00B03AE9">
      <w:pPr>
        <w:keepNext/>
        <w:widowControl/>
        <w:rPr>
          <w:rFonts w:cs="Times New Roman"/>
        </w:rPr>
      </w:pPr>
    </w:p>
    <w:p w14:paraId="77F47341" w14:textId="77777777" w:rsidR="00B03AE9" w:rsidRDefault="00A648F1" w:rsidP="00885ED6">
      <w:pPr>
        <w:keepNext/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>A készítmény hatóanyagával vagy a 6.1 pontban felsorolt bármely segédanyagával szembeni túlérzékenység.</w:t>
      </w:r>
    </w:p>
    <w:p w14:paraId="77F68DCE" w14:textId="77777777" w:rsidR="00B03AE9" w:rsidRDefault="00B03AE9">
      <w:pPr>
        <w:rPr>
          <w:rFonts w:cs="Times New Roman"/>
          <w:szCs w:val="22"/>
        </w:rPr>
      </w:pPr>
    </w:p>
    <w:p w14:paraId="48AB0827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4.4</w:t>
      </w:r>
      <w:r>
        <w:rPr>
          <w:rFonts w:cs="Times New Roman"/>
          <w:b/>
          <w:szCs w:val="22"/>
        </w:rPr>
        <w:tab/>
        <w:t>Különleges figyelmeztetések és az alkalmazással kapcsolatos óvintézkedések</w:t>
      </w:r>
    </w:p>
    <w:p w14:paraId="6464A4CB" w14:textId="77777777" w:rsidR="00B03AE9" w:rsidRDefault="00B03AE9">
      <w:pPr>
        <w:keepNext/>
        <w:widowControl/>
        <w:rPr>
          <w:rFonts w:cs="Times New Roman"/>
        </w:rPr>
      </w:pPr>
    </w:p>
    <w:p w14:paraId="0412FDC8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álmosságot okozhat, ezért a </w:t>
      </w:r>
      <w:proofErr w:type="spellStart"/>
      <w:r>
        <w:rPr>
          <w:rFonts w:cs="Times New Roman"/>
          <w:szCs w:val="22"/>
        </w:rPr>
        <w:t>m</w:t>
      </w:r>
      <w:r w:rsidRPr="00885ED6">
        <w:rPr>
          <w:rFonts w:cs="Times New Roman"/>
          <w:szCs w:val="22"/>
          <w:lang w:eastAsia="en-US"/>
        </w:rPr>
        <w:t>elatonin</w:t>
      </w:r>
      <w:r>
        <w:rPr>
          <w:rFonts w:cs="Times New Roman"/>
          <w:szCs w:val="22"/>
          <w:lang w:eastAsia="en-US"/>
        </w:rPr>
        <w:t>t</w:t>
      </w:r>
      <w:proofErr w:type="spellEnd"/>
      <w:r w:rsidRPr="00885ED6">
        <w:rPr>
          <w:rFonts w:cs="Times New Roman"/>
          <w:szCs w:val="22"/>
          <w:lang w:eastAsia="en-US"/>
        </w:rPr>
        <w:t xml:space="preserve"> </w:t>
      </w:r>
      <w:r>
        <w:rPr>
          <w:rFonts w:cs="Times New Roman"/>
          <w:szCs w:val="22"/>
        </w:rPr>
        <w:t xml:space="preserve">körültekintően kell alkalmazni, amennyiben az álmosság veszélyeztetheti a beteg biztonságát. </w:t>
      </w:r>
    </w:p>
    <w:p w14:paraId="679E82B3" w14:textId="77777777" w:rsidR="00B03AE9" w:rsidRDefault="00B03AE9">
      <w:pPr>
        <w:keepNext/>
        <w:rPr>
          <w:rFonts w:cs="Times New Roman"/>
          <w:szCs w:val="22"/>
        </w:rPr>
      </w:pPr>
    </w:p>
    <w:p w14:paraId="4708EAD6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növelheti a görcsrohamok gyakoriságát azoknál a betegeknél, akiknél görcsrohamok lépnek fel (pl. epilepsziás betegeknél). A görcsrohamokban szenvedő betegeket tájékoztatni kell ennek lehetőségéről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alkalmazása előtt.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görcsrohamokat idézhet elő vagy növelheti azok előfordulási gyakoriságát többszörös neurológiai zavarban szenvedő gyermekeknél és serdülőknél.</w:t>
      </w:r>
    </w:p>
    <w:p w14:paraId="3C25FD77" w14:textId="77777777" w:rsidR="00B03AE9" w:rsidRDefault="00B03AE9">
      <w:pPr>
        <w:rPr>
          <w:rFonts w:cs="Times New Roman"/>
        </w:rPr>
      </w:pPr>
    </w:p>
    <w:p w14:paraId="1879A363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Egyes esetekben autoimmun betegség súlyosbodását írták le </w:t>
      </w:r>
      <w:proofErr w:type="spellStart"/>
      <w:r>
        <w:rPr>
          <w:rFonts w:cs="Times New Roman"/>
          <w:szCs w:val="22"/>
        </w:rPr>
        <w:t>melatonint</w:t>
      </w:r>
      <w:proofErr w:type="spellEnd"/>
      <w:r>
        <w:rPr>
          <w:rFonts w:cs="Times New Roman"/>
          <w:szCs w:val="22"/>
        </w:rPr>
        <w:t xml:space="preserve"> szedő betegeknél.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alkalmazása nem javasolt autoimmun betegségekben szenvedő egyéneknél.</w:t>
      </w:r>
    </w:p>
    <w:p w14:paraId="0D7DC8B0" w14:textId="77777777" w:rsidR="00B03AE9" w:rsidRDefault="00B03AE9">
      <w:pPr>
        <w:rPr>
          <w:rFonts w:cs="Times New Roman"/>
        </w:rPr>
      </w:pPr>
    </w:p>
    <w:p w14:paraId="2D88B280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Korlátozott adatok arra utalnak, hogy a szénhidrátokban gazdag ételek fogyasztásához közeli időpontban bevett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ronthatja a vércukor szabályozását több órán keresztül.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Nordot</w:t>
      </w:r>
      <w:proofErr w:type="spellEnd"/>
      <w:r>
        <w:rPr>
          <w:rFonts w:cs="Times New Roman"/>
          <w:szCs w:val="22"/>
        </w:rPr>
        <w:t xml:space="preserve"> étkezés előtt legalább 2 órával és legalább 2 órával étkezést követően kell bevenni; ideális esetben legalább 3 órával az étkezést követően olyan betegeknél, akiknek jelentősen csökkent a glükóztoleranciája, vagy diabeteses betegek esetében.</w:t>
      </w:r>
    </w:p>
    <w:p w14:paraId="70349291" w14:textId="77777777" w:rsidR="00B03AE9" w:rsidRDefault="00B03AE9">
      <w:pPr>
        <w:rPr>
          <w:rFonts w:cs="Times New Roman"/>
        </w:rPr>
      </w:pPr>
    </w:p>
    <w:p w14:paraId="2BE7BC1D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biztonságosságára és hatékonyságára vonatkozóan csupán korlátozottan állnak rendelkezésre adatok vese- vagy májkárosodásban szenvedő betegeknél.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alkalmazása nem javasolt súlyos vesekárosodásban, illetve közepesen súlyos vagy súlyos májkárosodásban szenvedő betegeknél.</w:t>
      </w:r>
    </w:p>
    <w:p w14:paraId="74286CB0" w14:textId="77777777" w:rsidR="00B03AE9" w:rsidRDefault="00B03AE9">
      <w:pPr>
        <w:rPr>
          <w:rFonts w:cs="Times New Roman"/>
        </w:rPr>
      </w:pPr>
    </w:p>
    <w:p w14:paraId="4DDE9911" w14:textId="77777777" w:rsidR="00B03AE9" w:rsidRDefault="00A648F1">
      <w:pPr>
        <w:widowControl/>
      </w:pPr>
      <w:r>
        <w:rPr>
          <w:rFonts w:cs="Times New Roman"/>
          <w:szCs w:val="22"/>
          <w:u w:val="single"/>
        </w:rPr>
        <w:t>Kardiovaszkuláris betegségek</w:t>
      </w:r>
    </w:p>
    <w:p w14:paraId="6FA30833" w14:textId="77777777" w:rsidR="00B03AE9" w:rsidRDefault="00A648F1" w:rsidP="00885ED6">
      <w:pPr>
        <w:keepNext/>
        <w:widowControl/>
        <w:rPr>
          <w:rFonts w:cs="Times New Roman"/>
          <w:szCs w:val="22"/>
        </w:rPr>
      </w:pPr>
      <w:r>
        <w:rPr>
          <w:rFonts w:eastAsia="Times New Roman" w:cs="Times New Roman"/>
          <w:szCs w:val="22"/>
        </w:rPr>
        <w:t xml:space="preserve">Kevés adat van arról, hogy a </w:t>
      </w:r>
      <w:proofErr w:type="spellStart"/>
      <w:r>
        <w:rPr>
          <w:rFonts w:eastAsia="Times New Roman" w:cs="Times New Roman"/>
          <w:szCs w:val="22"/>
        </w:rPr>
        <w:t>melatonin</w:t>
      </w:r>
      <w:proofErr w:type="spellEnd"/>
      <w:r>
        <w:rPr>
          <w:rFonts w:eastAsia="Times New Roman" w:cs="Times New Roman"/>
          <w:szCs w:val="22"/>
        </w:rPr>
        <w:t xml:space="preserve"> nemkívánatos hatásokat fejthet ki a vérnyomásra és a szívfrekvenciára kardiovaszkuláris betegségben szenvedő, egyidejűleg </w:t>
      </w:r>
      <w:proofErr w:type="spellStart"/>
      <w:r>
        <w:rPr>
          <w:rFonts w:eastAsia="Times New Roman" w:cs="Times New Roman"/>
          <w:szCs w:val="22"/>
        </w:rPr>
        <w:t>antihipertenzív</w:t>
      </w:r>
      <w:proofErr w:type="spellEnd"/>
      <w:r>
        <w:rPr>
          <w:rFonts w:eastAsia="Times New Roman" w:cs="Times New Roman"/>
          <w:szCs w:val="22"/>
        </w:rPr>
        <w:t xml:space="preserve"> gyógyszereket </w:t>
      </w:r>
      <w:r>
        <w:rPr>
          <w:rFonts w:eastAsia="Times New Roman" w:cs="Times New Roman"/>
          <w:szCs w:val="22"/>
        </w:rPr>
        <w:lastRenderedPageBreak/>
        <w:t xml:space="preserve">szedő egyéneknél. Nem tisztázott, hogy ezek a nemkívánatos hatások magának a </w:t>
      </w:r>
      <w:proofErr w:type="spellStart"/>
      <w:r>
        <w:rPr>
          <w:rFonts w:eastAsia="Times New Roman" w:cs="Times New Roman"/>
          <w:szCs w:val="22"/>
        </w:rPr>
        <w:t>melatoninnak</w:t>
      </w:r>
      <w:proofErr w:type="spellEnd"/>
      <w:r>
        <w:rPr>
          <w:rFonts w:eastAsia="Times New Roman" w:cs="Times New Roman"/>
          <w:szCs w:val="22"/>
        </w:rPr>
        <w:t xml:space="preserve"> vagy a </w:t>
      </w:r>
      <w:proofErr w:type="spellStart"/>
      <w:r>
        <w:rPr>
          <w:rFonts w:eastAsia="Times New Roman" w:cs="Times New Roman"/>
          <w:szCs w:val="22"/>
        </w:rPr>
        <w:t>melatonin</w:t>
      </w:r>
      <w:proofErr w:type="spellEnd"/>
      <w:r>
        <w:rPr>
          <w:rFonts w:eastAsia="Times New Roman" w:cs="Times New Roman"/>
          <w:szCs w:val="22"/>
        </w:rPr>
        <w:t xml:space="preserve"> és egyéb gyógyszerek közötti kölcsönhatásoknak tulajdoníthatók-e. A </w:t>
      </w:r>
      <w:proofErr w:type="spellStart"/>
      <w:r>
        <w:rPr>
          <w:rFonts w:eastAsia="Times New Roman" w:cs="Times New Roman"/>
          <w:szCs w:val="22"/>
        </w:rPr>
        <w:t>melatonin</w:t>
      </w:r>
      <w:proofErr w:type="spellEnd"/>
      <w:r>
        <w:rPr>
          <w:rFonts w:eastAsia="Times New Roman" w:cs="Times New Roman"/>
          <w:szCs w:val="22"/>
        </w:rPr>
        <w:t xml:space="preserve"> alkalmazása nem javasolt kardiovaszkuláris betegségben szenvedő, egyidejűleg </w:t>
      </w:r>
      <w:proofErr w:type="spellStart"/>
      <w:r>
        <w:rPr>
          <w:rFonts w:eastAsia="Times New Roman" w:cs="Times New Roman"/>
          <w:szCs w:val="22"/>
        </w:rPr>
        <w:t>antihipertenzív</w:t>
      </w:r>
      <w:proofErr w:type="spellEnd"/>
      <w:r>
        <w:rPr>
          <w:rFonts w:eastAsia="Times New Roman" w:cs="Times New Roman"/>
          <w:szCs w:val="22"/>
        </w:rPr>
        <w:t xml:space="preserve"> gyógyszert szedő betegeknél </w:t>
      </w:r>
      <w:r>
        <w:rPr>
          <w:rFonts w:eastAsia="Times New Roman" w:cs="Times New Roman"/>
          <w:szCs w:val="22"/>
          <w:u w:val="single"/>
        </w:rPr>
        <w:t>(lásd 4.5 pont).</w:t>
      </w:r>
    </w:p>
    <w:p w14:paraId="5C7E835D" w14:textId="77777777" w:rsidR="00B03AE9" w:rsidRDefault="00B03AE9">
      <w:pPr>
        <w:rPr>
          <w:rFonts w:cs="Times New Roman"/>
        </w:rPr>
      </w:pPr>
    </w:p>
    <w:p w14:paraId="7C8263EB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r>
        <w:rPr>
          <w:rFonts w:cs="Times New Roman"/>
          <w:szCs w:val="22"/>
          <w:u w:val="single"/>
        </w:rPr>
        <w:t>Gyermekek és serdülők</w:t>
      </w:r>
    </w:p>
    <w:p w14:paraId="3140261C" w14:textId="77777777" w:rsidR="00B03AE9" w:rsidRDefault="00A648F1">
      <w:pPr>
        <w:widowControl/>
        <w:rPr>
          <w:rFonts w:cs="Times New Roman"/>
          <w:szCs w:val="22"/>
        </w:rPr>
      </w:pPr>
      <w:r>
        <w:rPr>
          <w:rFonts w:cs="Times New Roman"/>
          <w:szCs w:val="22"/>
          <w:highlight w:val="white"/>
        </w:rPr>
        <w:t xml:space="preserve">A </w:t>
      </w:r>
      <w:proofErr w:type="spellStart"/>
      <w:r>
        <w:rPr>
          <w:rFonts w:cs="Times New Roman"/>
          <w:szCs w:val="22"/>
          <w:highlight w:val="white"/>
        </w:rPr>
        <w:t>melatonin</w:t>
      </w:r>
      <w:proofErr w:type="spellEnd"/>
      <w:r>
        <w:rPr>
          <w:rFonts w:cs="Times New Roman"/>
          <w:szCs w:val="22"/>
          <w:highlight w:val="white"/>
        </w:rPr>
        <w:t xml:space="preserve"> biztonságosságát és hatásosságát </w:t>
      </w:r>
      <w:r>
        <w:rPr>
          <w:rFonts w:cs="Times New Roman"/>
          <w:szCs w:val="22"/>
        </w:rPr>
        <w:t>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rövid távú kezelésében 0 és 18 év közötti </w:t>
      </w:r>
      <w:r>
        <w:rPr>
          <w:rFonts w:cs="Times New Roman"/>
          <w:szCs w:val="22"/>
          <w:highlight w:val="white"/>
        </w:rPr>
        <w:t xml:space="preserve">gyermekek és serdülők esetében nem igazolták. A </w:t>
      </w:r>
      <w:proofErr w:type="spellStart"/>
      <w:r>
        <w:rPr>
          <w:rFonts w:cs="Times New Roman"/>
          <w:szCs w:val="22"/>
          <w:highlight w:val="white"/>
        </w:rPr>
        <w:t>melatonin</w:t>
      </w:r>
      <w:proofErr w:type="spellEnd"/>
      <w:r>
        <w:rPr>
          <w:rFonts w:cs="Times New Roman"/>
          <w:szCs w:val="22"/>
          <w:highlight w:val="white"/>
        </w:rPr>
        <w:t xml:space="preserve"> alkalmazása ezért nem javasolt </w:t>
      </w:r>
      <w:r>
        <w:rPr>
          <w:rFonts w:cs="Times New Roman"/>
          <w:szCs w:val="22"/>
        </w:rPr>
        <w:t>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kezelésére </w:t>
      </w:r>
      <w:r>
        <w:rPr>
          <w:rFonts w:cs="Times New Roman"/>
          <w:szCs w:val="22"/>
          <w:highlight w:val="white"/>
        </w:rPr>
        <w:t>gyermekeknél és serdülőknél (lásd 5.1 pont).</w:t>
      </w:r>
    </w:p>
    <w:p w14:paraId="0502BDD7" w14:textId="77777777" w:rsidR="00B03AE9" w:rsidRDefault="00B03AE9">
      <w:pPr>
        <w:widowControl/>
        <w:rPr>
          <w:rFonts w:cs="Times New Roman"/>
          <w:szCs w:val="22"/>
        </w:rPr>
      </w:pPr>
    </w:p>
    <w:p w14:paraId="5539A763" w14:textId="77777777" w:rsidR="00B03AE9" w:rsidRDefault="00A648F1">
      <w:pPr>
        <w:widowControl/>
        <w:rPr>
          <w:rFonts w:cs="Times New Roman"/>
          <w:szCs w:val="22"/>
          <w:u w:val="single"/>
        </w:rPr>
      </w:pPr>
      <w:r>
        <w:rPr>
          <w:rFonts w:cs="Times New Roman"/>
          <w:szCs w:val="22"/>
          <w:u w:val="single"/>
        </w:rPr>
        <w:t>Nátrium</w:t>
      </w:r>
    </w:p>
    <w:p w14:paraId="1FD76958" w14:textId="77777777" w:rsidR="00B03AE9" w:rsidRDefault="00A648F1">
      <w:pPr>
        <w:widowControl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készítmény kevesebb mint 1 mmol (23 mg) nátriumot tartalmaz </w:t>
      </w:r>
      <w:proofErr w:type="spellStart"/>
      <w:r>
        <w:rPr>
          <w:rFonts w:cs="Times New Roman"/>
          <w:szCs w:val="22"/>
        </w:rPr>
        <w:t>filmtablettánként</w:t>
      </w:r>
      <w:proofErr w:type="spellEnd"/>
      <w:r>
        <w:rPr>
          <w:rFonts w:cs="Times New Roman"/>
          <w:szCs w:val="22"/>
        </w:rPr>
        <w:t>, azaz gyakorlatilag „nátriummentes”.</w:t>
      </w:r>
    </w:p>
    <w:p w14:paraId="25F1096C" w14:textId="77777777" w:rsidR="00B03AE9" w:rsidRDefault="00B03AE9">
      <w:pPr>
        <w:rPr>
          <w:rFonts w:cs="Times New Roman"/>
        </w:rPr>
      </w:pPr>
    </w:p>
    <w:p w14:paraId="2B032D68" w14:textId="77777777" w:rsidR="00B03AE9" w:rsidRDefault="00A648F1" w:rsidP="00885ED6">
      <w:pPr>
        <w:keepNext/>
        <w:widowControl/>
        <w:rPr>
          <w:rFonts w:cs="Times New Roman"/>
          <w:b/>
        </w:rPr>
      </w:pPr>
      <w:r>
        <w:rPr>
          <w:rFonts w:cs="Times New Roman"/>
          <w:b/>
          <w:szCs w:val="22"/>
        </w:rPr>
        <w:t>4.5</w:t>
      </w:r>
      <w:r>
        <w:rPr>
          <w:rFonts w:cs="Times New Roman"/>
          <w:b/>
          <w:szCs w:val="22"/>
        </w:rPr>
        <w:tab/>
        <w:t>Gyógyszerkölcsönhatások és egyéb interakciók</w:t>
      </w:r>
    </w:p>
    <w:p w14:paraId="33F1B8F6" w14:textId="77777777" w:rsidR="00B03AE9" w:rsidRDefault="00B03AE9">
      <w:pPr>
        <w:keepNext/>
        <w:widowControl/>
        <w:rPr>
          <w:rFonts w:cs="Times New Roman"/>
        </w:rPr>
      </w:pPr>
    </w:p>
    <w:p w14:paraId="5B518876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proofErr w:type="spellStart"/>
      <w:r>
        <w:rPr>
          <w:rFonts w:cs="Times New Roman"/>
          <w:szCs w:val="22"/>
          <w:u w:val="single"/>
        </w:rPr>
        <w:t>Farmakokinetikai</w:t>
      </w:r>
      <w:proofErr w:type="spellEnd"/>
      <w:r>
        <w:rPr>
          <w:rFonts w:cs="Times New Roman"/>
          <w:szCs w:val="22"/>
          <w:u w:val="single"/>
        </w:rPr>
        <w:t xml:space="preserve"> kölcsönhatások</w:t>
      </w:r>
    </w:p>
    <w:p w14:paraId="61ED0190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</w:t>
      </w:r>
      <w:proofErr w:type="spellStart"/>
      <w:r>
        <w:rPr>
          <w:rFonts w:cs="Times New Roman"/>
          <w:szCs w:val="22"/>
        </w:rPr>
        <w:t>melatonint</w:t>
      </w:r>
      <w:proofErr w:type="spellEnd"/>
      <w:r>
        <w:rPr>
          <w:rFonts w:cs="Times New Roman"/>
          <w:szCs w:val="22"/>
        </w:rPr>
        <w:t xml:space="preserve"> főként a máj </w:t>
      </w:r>
      <w:proofErr w:type="spellStart"/>
      <w:r>
        <w:rPr>
          <w:rFonts w:cs="Times New Roman"/>
          <w:szCs w:val="22"/>
        </w:rPr>
        <w:t>citokróm</w:t>
      </w:r>
      <w:proofErr w:type="spellEnd"/>
      <w:r>
        <w:rPr>
          <w:rFonts w:cs="Times New Roman"/>
          <w:szCs w:val="22"/>
        </w:rPr>
        <w:t xml:space="preserve"> P450 CYP1A enzimek, elsősorban a CYP1A2- </w:t>
      </w:r>
      <w:proofErr w:type="spellStart"/>
      <w:r>
        <w:rPr>
          <w:rFonts w:cs="Times New Roman"/>
          <w:szCs w:val="22"/>
        </w:rPr>
        <w:t>metabolizálja</w:t>
      </w:r>
      <w:proofErr w:type="spellEnd"/>
      <w:r>
        <w:rPr>
          <w:rFonts w:cs="Times New Roman"/>
          <w:szCs w:val="22"/>
        </w:rPr>
        <w:t xml:space="preserve"> (lásd 5.2 pont). Emiatt más hatóanyagok CYP1A enzimekre gyakorolt hatása következtében kölcsönhatások léphetnek fel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és ezen hatóanyagok között.</w:t>
      </w:r>
    </w:p>
    <w:p w14:paraId="5C61E453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Körültekintés indokolt a </w:t>
      </w:r>
      <w:proofErr w:type="spellStart"/>
      <w:r>
        <w:rPr>
          <w:rFonts w:cs="Times New Roman"/>
          <w:szCs w:val="22"/>
        </w:rPr>
        <w:t>fluvoxaminnal</w:t>
      </w:r>
      <w:proofErr w:type="spellEnd"/>
      <w:r>
        <w:rPr>
          <w:rFonts w:cs="Times New Roman"/>
          <w:szCs w:val="22"/>
        </w:rPr>
        <w:t xml:space="preserve"> kezelt betegeknél, ez a gyógyszer ugyanis gátolja a </w:t>
      </w:r>
      <w:proofErr w:type="spellStart"/>
      <w:r>
        <w:rPr>
          <w:rFonts w:cs="Times New Roman"/>
          <w:szCs w:val="22"/>
        </w:rPr>
        <w:t>melatoninnak</w:t>
      </w:r>
      <w:proofErr w:type="spellEnd"/>
      <w:r>
        <w:rPr>
          <w:rFonts w:cs="Times New Roman"/>
          <w:szCs w:val="22"/>
        </w:rPr>
        <w:t xml:space="preserve"> a CYP1A2 és CYP2C19 általi metabolizmusát, és emiatt megemelkedik a </w:t>
      </w:r>
      <w:proofErr w:type="spellStart"/>
      <w:r>
        <w:rPr>
          <w:rFonts w:cs="Times New Roman"/>
          <w:szCs w:val="22"/>
        </w:rPr>
        <w:t>melatoninszint</w:t>
      </w:r>
      <w:proofErr w:type="spellEnd"/>
      <w:r>
        <w:rPr>
          <w:rFonts w:cs="Times New Roman"/>
          <w:szCs w:val="22"/>
        </w:rPr>
        <w:t xml:space="preserve"> (az AUC a 17-szeresére, a szérum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 a 12-szeresére). Ez a kombináció kerülendő.</w:t>
      </w:r>
    </w:p>
    <w:p w14:paraId="32813D63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Körültekintés indokolt az 5- vagy 8-metoxipszoralént (5- vagy 8-MOP) szedő betegeknél, mert ez a szer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-metabolizmus gátlásával emeli a </w:t>
      </w:r>
      <w:proofErr w:type="spellStart"/>
      <w:r>
        <w:rPr>
          <w:rFonts w:cs="Times New Roman"/>
          <w:szCs w:val="22"/>
        </w:rPr>
        <w:t>melatoninszintet</w:t>
      </w:r>
      <w:proofErr w:type="spellEnd"/>
      <w:r>
        <w:rPr>
          <w:rFonts w:cs="Times New Roman"/>
          <w:szCs w:val="22"/>
        </w:rPr>
        <w:t>.</w:t>
      </w:r>
    </w:p>
    <w:p w14:paraId="231CD4C3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Körültekintés indokolt a </w:t>
      </w:r>
      <w:proofErr w:type="spellStart"/>
      <w:r>
        <w:rPr>
          <w:rFonts w:cs="Times New Roman"/>
          <w:szCs w:val="22"/>
        </w:rPr>
        <w:t>cimetidint</w:t>
      </w:r>
      <w:proofErr w:type="spellEnd"/>
      <w:r>
        <w:rPr>
          <w:rFonts w:cs="Times New Roman"/>
          <w:szCs w:val="22"/>
        </w:rPr>
        <w:t xml:space="preserve"> szedő betegeknél, mert ez a szer gátolja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CPY2D általi metabolizmusát, ami megemeli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plazmaszintjét.</w:t>
      </w:r>
    </w:p>
    <w:p w14:paraId="241AEF7E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Ösztrogén (pl. fogamzásgátló vagy hormonpótló) kezelésben részesülő betegeknél körültekintően kell eljárni, mert az </w:t>
      </w:r>
      <w:proofErr w:type="spellStart"/>
      <w:r>
        <w:rPr>
          <w:rFonts w:cs="Times New Roman"/>
          <w:szCs w:val="22"/>
        </w:rPr>
        <w:t>ösztrogének</w:t>
      </w:r>
      <w:proofErr w:type="spellEnd"/>
      <w:r>
        <w:rPr>
          <w:rFonts w:cs="Times New Roman"/>
          <w:szCs w:val="22"/>
        </w:rPr>
        <w:t xml:space="preserve">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– elsősorban a CPY1A2 általi – metabolizmusát gátolva emelik annak szintjét.</w:t>
      </w:r>
    </w:p>
    <w:p w14:paraId="38628685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CYP1A2-gátlók (pl. </w:t>
      </w:r>
      <w:proofErr w:type="spellStart"/>
      <w:r>
        <w:rPr>
          <w:rFonts w:cs="Times New Roman"/>
          <w:szCs w:val="22"/>
        </w:rPr>
        <w:t>kinolonok</w:t>
      </w:r>
      <w:proofErr w:type="spellEnd"/>
      <w:r>
        <w:rPr>
          <w:rFonts w:cs="Times New Roman"/>
          <w:szCs w:val="22"/>
        </w:rPr>
        <w:t xml:space="preserve">) növelhetik a szisztémás </w:t>
      </w:r>
      <w:proofErr w:type="spellStart"/>
      <w:r>
        <w:rPr>
          <w:rFonts w:cs="Times New Roman"/>
          <w:szCs w:val="22"/>
        </w:rPr>
        <w:t>melatoninszintet</w:t>
      </w:r>
      <w:proofErr w:type="spellEnd"/>
      <w:r>
        <w:rPr>
          <w:rFonts w:cs="Times New Roman"/>
          <w:szCs w:val="22"/>
        </w:rPr>
        <w:t>.</w:t>
      </w:r>
    </w:p>
    <w:p w14:paraId="36CF7CAD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CYP1A2-induktorok (pl. </w:t>
      </w:r>
      <w:proofErr w:type="spellStart"/>
      <w:r>
        <w:rPr>
          <w:rFonts w:cs="Times New Roman"/>
          <w:szCs w:val="22"/>
        </w:rPr>
        <w:t>karbamazepin</w:t>
      </w:r>
      <w:proofErr w:type="spellEnd"/>
      <w:r>
        <w:rPr>
          <w:rFonts w:cs="Times New Roman"/>
          <w:szCs w:val="22"/>
        </w:rPr>
        <w:t xml:space="preserve"> és </w:t>
      </w:r>
      <w:proofErr w:type="spellStart"/>
      <w:r>
        <w:rPr>
          <w:rFonts w:cs="Times New Roman"/>
          <w:szCs w:val="22"/>
        </w:rPr>
        <w:t>rifampicin</w:t>
      </w:r>
      <w:proofErr w:type="spellEnd"/>
      <w:r>
        <w:rPr>
          <w:rFonts w:cs="Times New Roman"/>
          <w:szCs w:val="22"/>
        </w:rPr>
        <w:t xml:space="preserve">) csökkenthetik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plazmakoncentrációját.</w:t>
      </w:r>
    </w:p>
    <w:p w14:paraId="50EEC2F3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cigarettázás a CYP1A2-indukáló hatásával csökkentheti a </w:t>
      </w:r>
      <w:proofErr w:type="spellStart"/>
      <w:r>
        <w:rPr>
          <w:rFonts w:cs="Times New Roman"/>
          <w:szCs w:val="22"/>
        </w:rPr>
        <w:t>melatoninszintet</w:t>
      </w:r>
      <w:proofErr w:type="spellEnd"/>
      <w:r>
        <w:rPr>
          <w:rFonts w:cs="Times New Roman"/>
          <w:szCs w:val="22"/>
        </w:rPr>
        <w:t>.</w:t>
      </w:r>
    </w:p>
    <w:p w14:paraId="72B9D6C4" w14:textId="77777777" w:rsidR="00B03AE9" w:rsidRDefault="00B03AE9">
      <w:pPr>
        <w:rPr>
          <w:rFonts w:cs="Times New Roman"/>
        </w:rPr>
      </w:pPr>
    </w:p>
    <w:p w14:paraId="5E710C05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proofErr w:type="spellStart"/>
      <w:r>
        <w:rPr>
          <w:rFonts w:cs="Times New Roman"/>
          <w:szCs w:val="22"/>
          <w:u w:val="single"/>
        </w:rPr>
        <w:t>Farmakodinámiás</w:t>
      </w:r>
      <w:proofErr w:type="spellEnd"/>
      <w:r>
        <w:rPr>
          <w:rFonts w:cs="Times New Roman"/>
          <w:szCs w:val="22"/>
          <w:u w:val="single"/>
        </w:rPr>
        <w:t xml:space="preserve"> kölcsönhatások</w:t>
      </w:r>
    </w:p>
    <w:p w14:paraId="31E70E88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fokozhatja a </w:t>
      </w:r>
      <w:proofErr w:type="spellStart"/>
      <w:r>
        <w:rPr>
          <w:rFonts w:cs="Times New Roman"/>
          <w:szCs w:val="22"/>
        </w:rPr>
        <w:t>benzodiazepinek</w:t>
      </w:r>
      <w:proofErr w:type="spellEnd"/>
      <w:r>
        <w:rPr>
          <w:rFonts w:cs="Times New Roman"/>
          <w:szCs w:val="22"/>
        </w:rPr>
        <w:t xml:space="preserve"> (pl. </w:t>
      </w:r>
      <w:proofErr w:type="spellStart"/>
      <w:r>
        <w:rPr>
          <w:rFonts w:cs="Times New Roman"/>
          <w:szCs w:val="22"/>
        </w:rPr>
        <w:t>midazolám</w:t>
      </w:r>
      <w:proofErr w:type="spellEnd"/>
      <w:r>
        <w:rPr>
          <w:rFonts w:cs="Times New Roman"/>
          <w:szCs w:val="22"/>
        </w:rPr>
        <w:t xml:space="preserve">, </w:t>
      </w:r>
      <w:proofErr w:type="spellStart"/>
      <w:r>
        <w:rPr>
          <w:rFonts w:cs="Times New Roman"/>
          <w:szCs w:val="22"/>
        </w:rPr>
        <w:t>temazepám</w:t>
      </w:r>
      <w:proofErr w:type="spellEnd"/>
      <w:r>
        <w:rPr>
          <w:rFonts w:cs="Times New Roman"/>
          <w:szCs w:val="22"/>
        </w:rPr>
        <w:t xml:space="preserve">) és a nem </w:t>
      </w:r>
      <w:proofErr w:type="spellStart"/>
      <w:r>
        <w:rPr>
          <w:rFonts w:cs="Times New Roman"/>
          <w:szCs w:val="22"/>
        </w:rPr>
        <w:t>benzodiazepin</w:t>
      </w:r>
      <w:proofErr w:type="spellEnd"/>
      <w:r>
        <w:rPr>
          <w:rFonts w:cs="Times New Roman"/>
          <w:szCs w:val="22"/>
        </w:rPr>
        <w:t xml:space="preserve"> típusú altatók (pl. </w:t>
      </w:r>
      <w:proofErr w:type="spellStart"/>
      <w:r>
        <w:rPr>
          <w:rFonts w:cs="Times New Roman"/>
          <w:szCs w:val="22"/>
        </w:rPr>
        <w:t>zaleplon</w:t>
      </w:r>
      <w:proofErr w:type="spellEnd"/>
      <w:r>
        <w:rPr>
          <w:rFonts w:cs="Times New Roman"/>
          <w:szCs w:val="22"/>
        </w:rPr>
        <w:t xml:space="preserve">, </w:t>
      </w:r>
      <w:proofErr w:type="spellStart"/>
      <w:r>
        <w:rPr>
          <w:rFonts w:cs="Times New Roman"/>
          <w:szCs w:val="22"/>
        </w:rPr>
        <w:t>zolpidem</w:t>
      </w:r>
      <w:proofErr w:type="spellEnd"/>
      <w:r>
        <w:rPr>
          <w:rFonts w:cs="Times New Roman"/>
          <w:szCs w:val="22"/>
        </w:rPr>
        <w:t xml:space="preserve"> és </w:t>
      </w:r>
      <w:proofErr w:type="spellStart"/>
      <w:r>
        <w:rPr>
          <w:rFonts w:cs="Times New Roman"/>
          <w:szCs w:val="22"/>
        </w:rPr>
        <w:t>zopiklon</w:t>
      </w:r>
      <w:proofErr w:type="spellEnd"/>
      <w:r>
        <w:rPr>
          <w:rFonts w:cs="Times New Roman"/>
          <w:szCs w:val="22"/>
        </w:rPr>
        <w:t xml:space="preserve">) </w:t>
      </w:r>
      <w:proofErr w:type="spellStart"/>
      <w:r>
        <w:rPr>
          <w:rFonts w:cs="Times New Roman"/>
          <w:szCs w:val="22"/>
        </w:rPr>
        <w:t>szedatív</w:t>
      </w:r>
      <w:proofErr w:type="spellEnd"/>
      <w:r>
        <w:rPr>
          <w:rFonts w:cs="Times New Roman"/>
          <w:szCs w:val="22"/>
        </w:rPr>
        <w:t xml:space="preserve"> hatását. Egy „</w:t>
      </w:r>
      <w:proofErr w:type="spellStart"/>
      <w:r>
        <w:rPr>
          <w:rFonts w:cs="Times New Roman"/>
          <w:szCs w:val="22"/>
        </w:rPr>
        <w:t>jet</w:t>
      </w:r>
      <w:proofErr w:type="spellEnd"/>
      <w:r>
        <w:rPr>
          <w:rFonts w:cs="Times New Roman"/>
          <w:szCs w:val="22"/>
        </w:rPr>
        <w:t>-</w:t>
      </w:r>
      <w:proofErr w:type="spellStart"/>
      <w:proofErr w:type="gramStart"/>
      <w:r>
        <w:rPr>
          <w:rFonts w:cs="Times New Roman"/>
          <w:szCs w:val="22"/>
        </w:rPr>
        <w:t>lag</w:t>
      </w:r>
      <w:proofErr w:type="spellEnd"/>
      <w:r>
        <w:rPr>
          <w:rFonts w:cs="Times New Roman"/>
          <w:szCs w:val="22"/>
        </w:rPr>
        <w:t>”-</w:t>
      </w:r>
      <w:proofErr w:type="gramEnd"/>
      <w:r>
        <w:rPr>
          <w:rFonts w:cs="Times New Roman"/>
          <w:szCs w:val="22"/>
        </w:rPr>
        <w:t xml:space="preserve">terápia klinikai vizsgálatában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és </w:t>
      </w:r>
      <w:proofErr w:type="spellStart"/>
      <w:r>
        <w:rPr>
          <w:rFonts w:cs="Times New Roman"/>
          <w:szCs w:val="22"/>
        </w:rPr>
        <w:t>zolpidem</w:t>
      </w:r>
      <w:proofErr w:type="spellEnd"/>
      <w:r>
        <w:rPr>
          <w:rFonts w:cs="Times New Roman"/>
          <w:szCs w:val="22"/>
        </w:rPr>
        <w:t xml:space="preserve"> kombinált alkalmazása reggeli álmosságot, hányingert és zavartságot, valamint a felkelés utáni első órában csökkent aktivitásszintet eredményezett, összehasonlítva a </w:t>
      </w:r>
      <w:proofErr w:type="spellStart"/>
      <w:r>
        <w:rPr>
          <w:rFonts w:cs="Times New Roman"/>
          <w:szCs w:val="22"/>
        </w:rPr>
        <w:t>zolpidem-monoterápiával</w:t>
      </w:r>
      <w:proofErr w:type="spellEnd"/>
      <w:r>
        <w:rPr>
          <w:rFonts w:cs="Times New Roman"/>
          <w:szCs w:val="22"/>
        </w:rPr>
        <w:t>.</w:t>
      </w:r>
    </w:p>
    <w:p w14:paraId="082554C5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megfordíthatja az </w:t>
      </w:r>
      <w:proofErr w:type="spellStart"/>
      <w:r>
        <w:rPr>
          <w:rFonts w:cs="Times New Roman"/>
          <w:szCs w:val="22"/>
        </w:rPr>
        <w:t>antihipertenzív</w:t>
      </w:r>
      <w:proofErr w:type="spellEnd"/>
      <w:r>
        <w:rPr>
          <w:rFonts w:cs="Times New Roman"/>
          <w:szCs w:val="22"/>
        </w:rPr>
        <w:t xml:space="preserve"> gyógyszerek jótékony hatásait, és növelheti a vérnyomást és a szívfrekvenciát ilyen gyógyszerekkel kezelt betegeknél, különösen a kalciumcsatorna-blokkolókkal (például </w:t>
      </w:r>
      <w:proofErr w:type="spellStart"/>
      <w:r>
        <w:rPr>
          <w:rFonts w:cs="Times New Roman"/>
          <w:szCs w:val="22"/>
        </w:rPr>
        <w:t>nifedipinnel</w:t>
      </w:r>
      <w:proofErr w:type="spellEnd"/>
      <w:r>
        <w:rPr>
          <w:rFonts w:cs="Times New Roman"/>
          <w:szCs w:val="22"/>
        </w:rPr>
        <w:t>) kezelteknél.</w:t>
      </w:r>
    </w:p>
    <w:p w14:paraId="1B31C97C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befolyásolhatja a </w:t>
      </w:r>
      <w:proofErr w:type="spellStart"/>
      <w:r>
        <w:rPr>
          <w:rFonts w:cs="Times New Roman"/>
          <w:szCs w:val="22"/>
        </w:rPr>
        <w:t>warfarin</w:t>
      </w:r>
      <w:proofErr w:type="spellEnd"/>
      <w:r>
        <w:rPr>
          <w:rFonts w:cs="Times New Roman"/>
          <w:szCs w:val="22"/>
        </w:rPr>
        <w:t xml:space="preserve"> véralvadásgátló hatását.</w:t>
      </w:r>
    </w:p>
    <w:p w14:paraId="600B4B33" w14:textId="77777777" w:rsidR="00B03AE9" w:rsidRDefault="00A648F1" w:rsidP="00885ED6">
      <w:pPr>
        <w:ind w:left="567" w:hanging="567"/>
        <w:rPr>
          <w:rFonts w:cs="Times New Roman"/>
        </w:rPr>
      </w:pPr>
      <w:r>
        <w:rPr>
          <w:rFonts w:cs="Times New Roman"/>
          <w:szCs w:val="22"/>
        </w:rPr>
        <w:t>•</w:t>
      </w:r>
      <w:r>
        <w:rPr>
          <w:rFonts w:cs="Times New Roman"/>
          <w:szCs w:val="22"/>
        </w:rPr>
        <w:tab/>
        <w:t xml:space="preserve">Az alkohol a fizikai és mentális funkciók megváltoztatására képes, </w:t>
      </w:r>
      <w:proofErr w:type="spellStart"/>
      <w:r>
        <w:rPr>
          <w:rFonts w:cs="Times New Roman"/>
          <w:szCs w:val="22"/>
        </w:rPr>
        <w:t>szedatív</w:t>
      </w:r>
      <w:proofErr w:type="spellEnd"/>
      <w:r>
        <w:rPr>
          <w:rFonts w:cs="Times New Roman"/>
          <w:szCs w:val="22"/>
        </w:rPr>
        <w:t xml:space="preserve"> hatású szer. Alkohol és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egyidejű alkalmazása esetén a beteg fokozott álmosságot tapasztalhat (lásd 4.2 pont).</w:t>
      </w:r>
    </w:p>
    <w:p w14:paraId="2C50C35D" w14:textId="77777777" w:rsidR="00B03AE9" w:rsidRDefault="00B03AE9">
      <w:pPr>
        <w:widowControl/>
        <w:suppressAutoHyphens w:val="0"/>
        <w:rPr>
          <w:rFonts w:cs="Times New Roman"/>
          <w:szCs w:val="22"/>
        </w:rPr>
      </w:pPr>
    </w:p>
    <w:p w14:paraId="3163867A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Gyermekek és serdülők</w:t>
      </w:r>
    </w:p>
    <w:p w14:paraId="522AB8EE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>Kölcsönhatás-vizsgálatokat csak felnőttek esetében végeztek.</w:t>
      </w:r>
    </w:p>
    <w:p w14:paraId="4C056EA8" w14:textId="77777777" w:rsidR="00B03AE9" w:rsidRDefault="00B03AE9">
      <w:pPr>
        <w:rPr>
          <w:rFonts w:cs="Times New Roman"/>
          <w:szCs w:val="22"/>
        </w:rPr>
      </w:pPr>
    </w:p>
    <w:p w14:paraId="077307F7" w14:textId="77777777" w:rsidR="00B03AE9" w:rsidRDefault="00A648F1" w:rsidP="00885ED6">
      <w:pPr>
        <w:ind w:left="567" w:hanging="567"/>
        <w:rPr>
          <w:rFonts w:cs="Times New Roman"/>
          <w:b/>
        </w:rPr>
      </w:pPr>
      <w:r>
        <w:rPr>
          <w:rFonts w:cs="Times New Roman"/>
          <w:b/>
          <w:szCs w:val="22"/>
        </w:rPr>
        <w:t>4.6</w:t>
      </w:r>
      <w:r>
        <w:rPr>
          <w:rFonts w:cs="Times New Roman"/>
          <w:b/>
          <w:szCs w:val="22"/>
        </w:rPr>
        <w:tab/>
        <w:t>Termékenység, terhesség és szoptatás</w:t>
      </w:r>
    </w:p>
    <w:p w14:paraId="6305358B" w14:textId="77777777" w:rsidR="00B03AE9" w:rsidRDefault="00B03AE9">
      <w:pPr>
        <w:keepNext/>
        <w:widowControl/>
        <w:rPr>
          <w:rFonts w:cs="Times New Roman"/>
        </w:rPr>
      </w:pPr>
    </w:p>
    <w:p w14:paraId="59E3F2C8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Terhesség</w:t>
      </w:r>
    </w:p>
    <w:p w14:paraId="18E5C1F8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terhes nőknél történő alkalmazása tekintetében nem áll rendelkezésre információ vagy </w:t>
      </w:r>
      <w:r>
        <w:rPr>
          <w:rFonts w:cs="Times New Roman"/>
          <w:szCs w:val="22"/>
        </w:rPr>
        <w:lastRenderedPageBreak/>
        <w:t xml:space="preserve">korlátozott mennyiségű információ áll rendelkezésre. </w:t>
      </w:r>
    </w:p>
    <w:p w14:paraId="414EFC5E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Az </w:t>
      </w:r>
      <w:proofErr w:type="spellStart"/>
      <w:r>
        <w:rPr>
          <w:rFonts w:cs="Times New Roman"/>
          <w:szCs w:val="22"/>
        </w:rPr>
        <w:t>exogén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azonnal átjut a humán placentán.</w:t>
      </w:r>
    </w:p>
    <w:p w14:paraId="0E34819C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>Az állatkísérletek során nyert eredmények elégtelenek a reproduktív toxicitás megítélésének tekintetében (lásd 5.3 pont).</w:t>
      </w:r>
    </w:p>
    <w:p w14:paraId="0F5D00E3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alkalmazása nem </w:t>
      </w:r>
      <w:r w:rsidR="0059247E">
        <w:rPr>
          <w:rFonts w:cs="Times New Roman"/>
          <w:szCs w:val="22"/>
        </w:rPr>
        <w:t>javasolt</w:t>
      </w:r>
      <w:r>
        <w:rPr>
          <w:rFonts w:cs="Times New Roman"/>
          <w:szCs w:val="22"/>
        </w:rPr>
        <w:t xml:space="preserve"> terhesség alatt és olyan fogamzóképes korú nők esetében, akik nem alkalmaznak fogamzásgátlást.</w:t>
      </w:r>
    </w:p>
    <w:p w14:paraId="7DF7B551" w14:textId="77777777" w:rsidR="00B03AE9" w:rsidRDefault="00B03AE9">
      <w:pPr>
        <w:rPr>
          <w:rFonts w:cs="Times New Roman"/>
        </w:rPr>
      </w:pPr>
    </w:p>
    <w:p w14:paraId="22F3CEC0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Szoptatás</w:t>
      </w:r>
    </w:p>
    <w:p w14:paraId="7E4F6BFF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r w:rsidR="0059247E">
        <w:rPr>
          <w:rFonts w:cs="Times New Roman"/>
          <w:szCs w:val="22"/>
        </w:rPr>
        <w:t>vagy</w:t>
      </w:r>
      <w:r>
        <w:rPr>
          <w:rFonts w:cs="Times New Roman"/>
          <w:szCs w:val="22"/>
        </w:rPr>
        <w:t xml:space="preserve">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metabolitjainak</w:t>
      </w:r>
      <w:proofErr w:type="spellEnd"/>
      <w:r>
        <w:rPr>
          <w:rFonts w:cs="Times New Roman"/>
          <w:szCs w:val="22"/>
        </w:rPr>
        <w:t xml:space="preserve"> humán anyatejbe történő kiválasztódásával kapcsolatban nem áll rendelkezésre elegendő mennyiségű információ. Az endogén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kiválasztódik</w:t>
      </w:r>
      <w:proofErr w:type="spellEnd"/>
      <w:r>
        <w:rPr>
          <w:rFonts w:cs="Times New Roman"/>
          <w:szCs w:val="22"/>
        </w:rPr>
        <w:t xml:space="preserve"> az anyatejbe.</w:t>
      </w:r>
    </w:p>
    <w:p w14:paraId="47EF0415" w14:textId="77777777" w:rsidR="00B03AE9" w:rsidRDefault="00B03AE9">
      <w:pPr>
        <w:rPr>
          <w:rFonts w:cs="Times New Roman"/>
        </w:rPr>
      </w:pPr>
    </w:p>
    <w:p w14:paraId="377C6994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rendelkezésre álló, állatkísérletek során nyert </w:t>
      </w:r>
      <w:proofErr w:type="spellStart"/>
      <w:r>
        <w:rPr>
          <w:rFonts w:cs="Times New Roman"/>
          <w:szCs w:val="22"/>
        </w:rPr>
        <w:t>farmakodinámiás</w:t>
      </w:r>
      <w:proofErr w:type="spellEnd"/>
      <w:r w:rsidR="0059247E">
        <w:rPr>
          <w:rFonts w:cs="Times New Roman"/>
          <w:szCs w:val="22"/>
        </w:rPr>
        <w:t>, illetve</w:t>
      </w:r>
      <w:r>
        <w:rPr>
          <w:rFonts w:cs="Times New Roman"/>
          <w:szCs w:val="22"/>
        </w:rPr>
        <w:t xml:space="preserve"> toxikológiai adatok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r w:rsidR="0059247E">
        <w:rPr>
          <w:rFonts w:cs="Times New Roman"/>
          <w:szCs w:val="22"/>
        </w:rPr>
        <w:t>vagy</w:t>
      </w:r>
      <w:r>
        <w:rPr>
          <w:rFonts w:cs="Times New Roman"/>
          <w:szCs w:val="22"/>
        </w:rPr>
        <w:t xml:space="preserve">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metabolitjainak</w:t>
      </w:r>
      <w:proofErr w:type="spellEnd"/>
      <w:r>
        <w:rPr>
          <w:rFonts w:cs="Times New Roman"/>
          <w:szCs w:val="22"/>
        </w:rPr>
        <w:t xml:space="preserve"> kiválasztódását igazolták az anyatejbe (részletesen lásd 5.3 pont).</w:t>
      </w:r>
    </w:p>
    <w:p w14:paraId="3AEB2556" w14:textId="77777777" w:rsidR="00B03AE9" w:rsidRDefault="00B03AE9">
      <w:pPr>
        <w:rPr>
          <w:rFonts w:cs="Times New Roman"/>
        </w:rPr>
      </w:pPr>
    </w:p>
    <w:p w14:paraId="6A043486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Az újszülöttet és csecsemőt érintő kockázat nem zárható ki.</w:t>
      </w:r>
    </w:p>
    <w:p w14:paraId="3E5FE22E" w14:textId="77777777" w:rsidR="00B03AE9" w:rsidRDefault="00B03AE9">
      <w:pPr>
        <w:rPr>
          <w:szCs w:val="22"/>
        </w:rPr>
      </w:pPr>
    </w:p>
    <w:p w14:paraId="7F74CEF5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alkalmazása nem </w:t>
      </w:r>
      <w:r w:rsidR="0059247E">
        <w:rPr>
          <w:rFonts w:cs="Times New Roman"/>
          <w:szCs w:val="22"/>
        </w:rPr>
        <w:t>javasolt</w:t>
      </w:r>
      <w:r>
        <w:rPr>
          <w:rFonts w:cs="Times New Roman"/>
          <w:szCs w:val="22"/>
        </w:rPr>
        <w:t xml:space="preserve"> a szoptatás alatt.</w:t>
      </w:r>
    </w:p>
    <w:p w14:paraId="3F347B73" w14:textId="77777777" w:rsidR="00B03AE9" w:rsidRDefault="00B03AE9">
      <w:pPr>
        <w:rPr>
          <w:szCs w:val="22"/>
        </w:rPr>
      </w:pPr>
    </w:p>
    <w:p w14:paraId="5B70BAB9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r>
        <w:rPr>
          <w:rFonts w:cs="Times New Roman"/>
          <w:szCs w:val="22"/>
          <w:u w:val="single"/>
        </w:rPr>
        <w:t>Termékenység</w:t>
      </w:r>
    </w:p>
    <w:p w14:paraId="0EB84425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nagy dózisai és </w:t>
      </w:r>
      <w:r w:rsidR="0059247E">
        <w:rPr>
          <w:rFonts w:cs="Times New Roman"/>
          <w:szCs w:val="22"/>
        </w:rPr>
        <w:t xml:space="preserve">a </w:t>
      </w:r>
      <w:proofErr w:type="spellStart"/>
      <w:r w:rsidR="0059247E">
        <w:rPr>
          <w:rFonts w:cs="Times New Roman"/>
          <w:szCs w:val="22"/>
        </w:rPr>
        <w:t>javasoltnál</w:t>
      </w:r>
      <w:proofErr w:type="spellEnd"/>
      <w:r>
        <w:rPr>
          <w:rFonts w:cs="Times New Roman"/>
          <w:szCs w:val="22"/>
        </w:rPr>
        <w:t xml:space="preserve"> hosszabb ideig történő alkalmazása káros hatással lehet a humán termékenységre.</w:t>
      </w:r>
    </w:p>
    <w:p w14:paraId="4E1AF95C" w14:textId="77777777" w:rsidR="00B03AE9" w:rsidRDefault="00B03AE9">
      <w:pPr>
        <w:rPr>
          <w:szCs w:val="22"/>
        </w:rPr>
      </w:pPr>
    </w:p>
    <w:p w14:paraId="7BDD27EB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>A termékenységre kifejtett hatások tekintetében nem végeztek megfelelő állatkísérleteket (lásd 5.3 pont).</w:t>
      </w:r>
    </w:p>
    <w:p w14:paraId="6E5158FB" w14:textId="77777777" w:rsidR="00B03AE9" w:rsidRDefault="00B03AE9">
      <w:pPr>
        <w:rPr>
          <w:szCs w:val="22"/>
        </w:rPr>
      </w:pPr>
    </w:p>
    <w:p w14:paraId="41CF83B4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alkalmazása nem javasolt gyermekvállalást tervező nőknek és férfiaknak.</w:t>
      </w:r>
    </w:p>
    <w:p w14:paraId="50FC673B" w14:textId="77777777" w:rsidR="00B03AE9" w:rsidRDefault="00B03AE9">
      <w:pPr>
        <w:rPr>
          <w:szCs w:val="22"/>
        </w:rPr>
      </w:pPr>
    </w:p>
    <w:p w14:paraId="7E113046" w14:textId="77777777" w:rsidR="00B03AE9" w:rsidRDefault="00A648F1" w:rsidP="00885ED6">
      <w:pPr>
        <w:keepNext/>
        <w:widowControl/>
        <w:ind w:left="567" w:hanging="567"/>
        <w:rPr>
          <w:rFonts w:cs="Times New Roman"/>
          <w:b/>
        </w:rPr>
      </w:pPr>
      <w:r>
        <w:rPr>
          <w:rFonts w:cs="Times New Roman"/>
          <w:b/>
          <w:szCs w:val="22"/>
        </w:rPr>
        <w:t>4.7</w:t>
      </w:r>
      <w:r>
        <w:rPr>
          <w:rFonts w:cs="Times New Roman"/>
          <w:b/>
          <w:szCs w:val="22"/>
        </w:rPr>
        <w:tab/>
        <w:t>A készítmény hatásai a gépjárművezetéshez és a gépek kezeléséhez szükséges képességekre</w:t>
      </w:r>
    </w:p>
    <w:p w14:paraId="7475F892" w14:textId="77777777" w:rsidR="00B03AE9" w:rsidRDefault="00B03AE9">
      <w:pPr>
        <w:keepNext/>
        <w:widowControl/>
        <w:rPr>
          <w:rFonts w:cs="Times New Roman"/>
        </w:rPr>
      </w:pPr>
    </w:p>
    <w:p w14:paraId="6CCDDEB7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közepes mértékben befolyásolja a gépjárművezetéshez és gépek kezeléséhez szükséges képességeket.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álmosságot okozhat és csökkentheti az éberséget több órán keresztül, ezért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alkalmazása nem javasolt gépjárművezetés vagy gépek kezelése előtt.</w:t>
      </w:r>
    </w:p>
    <w:p w14:paraId="30E5FF0E" w14:textId="77777777" w:rsidR="00B03AE9" w:rsidRDefault="00B03AE9">
      <w:pPr>
        <w:rPr>
          <w:rFonts w:cs="Times New Roman"/>
        </w:rPr>
      </w:pPr>
    </w:p>
    <w:p w14:paraId="02767735" w14:textId="77777777" w:rsidR="00B03AE9" w:rsidRDefault="00A648F1" w:rsidP="00885ED6">
      <w:pPr>
        <w:keepNext/>
        <w:widowControl/>
        <w:ind w:left="567" w:hanging="567"/>
        <w:rPr>
          <w:rFonts w:cs="Times New Roman"/>
          <w:b/>
        </w:rPr>
      </w:pPr>
      <w:r>
        <w:rPr>
          <w:rFonts w:cs="Times New Roman"/>
          <w:b/>
          <w:szCs w:val="22"/>
        </w:rPr>
        <w:t>4.8</w:t>
      </w:r>
      <w:r>
        <w:rPr>
          <w:rFonts w:cs="Times New Roman"/>
          <w:b/>
          <w:szCs w:val="22"/>
        </w:rPr>
        <w:tab/>
        <w:t>Nemkívánatos hatások, mellékhatások</w:t>
      </w:r>
    </w:p>
    <w:p w14:paraId="15C7EBCC" w14:textId="77777777" w:rsidR="00B03AE9" w:rsidRDefault="00B03AE9">
      <w:pPr>
        <w:rPr>
          <w:rFonts w:cs="Times New Roman"/>
        </w:rPr>
      </w:pPr>
    </w:p>
    <w:p w14:paraId="31ADA5CA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r>
        <w:rPr>
          <w:rFonts w:cs="Times New Roman"/>
          <w:szCs w:val="22"/>
          <w:u w:val="single"/>
        </w:rPr>
        <w:t>A biztonságossági profil összefoglalása</w:t>
      </w:r>
    </w:p>
    <w:p w14:paraId="6DBDF518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kezelése céljából rövid ideig szedett </w:t>
      </w:r>
      <w:proofErr w:type="spellStart"/>
      <w:r>
        <w:rPr>
          <w:rFonts w:cs="Times New Roman"/>
          <w:szCs w:val="22"/>
        </w:rPr>
        <w:t>melatoninnal</w:t>
      </w:r>
      <w:proofErr w:type="spellEnd"/>
      <w:r>
        <w:rPr>
          <w:rFonts w:cs="Times New Roman"/>
          <w:szCs w:val="22"/>
        </w:rPr>
        <w:t xml:space="preserve"> összefüggésben a leggyakrabban jelentett mellékhatások az álmosság/aluszékonyság, a fejfájás és a szédülés/tájékozódási zavar. Az álmosság, </w:t>
      </w:r>
      <w:r w:rsidRPr="00885ED6">
        <w:rPr>
          <w:rFonts w:cs="Times New Roman"/>
          <w:szCs w:val="22"/>
        </w:rPr>
        <w:t xml:space="preserve">a fejfájás, a szédülés és a hányinger szintén a leggyakrabban jelentett mellékhatások abban az esetben, amikor egészséges egyének és betegek a szokásos klinikai dózisokban szedték a </w:t>
      </w:r>
      <w:proofErr w:type="spellStart"/>
      <w:r w:rsidRPr="00885ED6">
        <w:rPr>
          <w:rFonts w:cs="Times New Roman"/>
          <w:szCs w:val="22"/>
        </w:rPr>
        <w:t>melatonint</w:t>
      </w:r>
      <w:proofErr w:type="spellEnd"/>
      <w:r w:rsidRPr="00885ED6">
        <w:rPr>
          <w:rFonts w:cs="Times New Roman"/>
          <w:szCs w:val="22"/>
        </w:rPr>
        <w:t xml:space="preserve"> néhány naptól több hétig terjedő időtartamokig.</w:t>
      </w:r>
    </w:p>
    <w:p w14:paraId="2B709B32" w14:textId="77777777" w:rsidR="00B03AE9" w:rsidRDefault="00B03AE9">
      <w:pPr>
        <w:rPr>
          <w:rFonts w:cs="Times New Roman"/>
        </w:rPr>
      </w:pPr>
    </w:p>
    <w:p w14:paraId="19FEA236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r>
        <w:rPr>
          <w:rFonts w:cs="Times New Roman"/>
          <w:szCs w:val="22"/>
          <w:u w:val="single"/>
        </w:rPr>
        <w:t>A mellékhatások táblázatos összefoglalása</w:t>
      </w:r>
    </w:p>
    <w:p w14:paraId="58A1AB50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</w:rPr>
        <w:t xml:space="preserve">Általában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alábbi mellékhatásairól számoltak be klinikai vizsgálatokban vagy spontán esettanulmányokban. Az egyes gyakorisági kategóriákon belül a nemkívánatos hatások csökkenő súlyosság szerint vannak megadva.</w:t>
      </w:r>
    </w:p>
    <w:p w14:paraId="4D35F0A8" w14:textId="77777777" w:rsidR="00B03AE9" w:rsidRDefault="00B03AE9">
      <w:pPr>
        <w:keepNext/>
        <w:widowControl/>
        <w:rPr>
          <w:rFonts w:cs="Times New Roman"/>
        </w:rPr>
      </w:pPr>
    </w:p>
    <w:tbl>
      <w:tblPr>
        <w:tblW w:w="10144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800"/>
        <w:gridCol w:w="1105"/>
        <w:gridCol w:w="1522"/>
        <w:gridCol w:w="1478"/>
        <w:gridCol w:w="2269"/>
        <w:gridCol w:w="1970"/>
      </w:tblGrid>
      <w:tr w:rsidR="00B03AE9" w14:paraId="70D22DE5" w14:textId="77777777">
        <w:trPr>
          <w:tblHeader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E39A5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b/>
                <w:szCs w:val="22"/>
              </w:rPr>
              <w:t>Szervrendszer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635E7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b/>
                <w:szCs w:val="22"/>
              </w:rPr>
              <w:t>Nagyon gyakori</w:t>
            </w:r>
          </w:p>
          <w:p w14:paraId="1ADE92EC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(</w:t>
            </w:r>
            <w:r>
              <w:rPr>
                <w:rFonts w:cs="Times New Roman"/>
                <w:i/>
                <w:szCs w:val="22"/>
              </w:rPr>
              <w:t>≥ </w:t>
            </w:r>
            <w:r>
              <w:rPr>
                <w:rFonts w:cs="Times New Roman"/>
                <w:szCs w:val="22"/>
              </w:rPr>
              <w:t>1/10)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B71D75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b/>
                <w:szCs w:val="22"/>
              </w:rPr>
              <w:t>Gyakori</w:t>
            </w:r>
          </w:p>
          <w:p w14:paraId="76F1F468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(≥ 1/100 – </w:t>
            </w:r>
            <w:proofErr w:type="gramStart"/>
            <w:r>
              <w:rPr>
                <w:rFonts w:cs="Times New Roman"/>
                <w:szCs w:val="22"/>
              </w:rPr>
              <w:t>&lt; 1</w:t>
            </w:r>
            <w:proofErr w:type="gramEnd"/>
            <w:r>
              <w:rPr>
                <w:rFonts w:cs="Times New Roman"/>
                <w:szCs w:val="22"/>
              </w:rPr>
              <w:t>/10)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3A30FE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b/>
                <w:szCs w:val="22"/>
              </w:rPr>
              <w:t>Nem gyakori</w:t>
            </w:r>
          </w:p>
          <w:p w14:paraId="427659D0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(≥ 1/1 000 – </w:t>
            </w:r>
            <w:proofErr w:type="gramStart"/>
            <w:r>
              <w:rPr>
                <w:rFonts w:cs="Times New Roman"/>
                <w:szCs w:val="22"/>
              </w:rPr>
              <w:t>&lt; 1</w:t>
            </w:r>
            <w:proofErr w:type="gramEnd"/>
            <w:r>
              <w:rPr>
                <w:rFonts w:cs="Times New Roman"/>
                <w:szCs w:val="22"/>
              </w:rPr>
              <w:t>/100)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05CB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b/>
                <w:szCs w:val="22"/>
              </w:rPr>
              <w:t>Ritka</w:t>
            </w:r>
          </w:p>
          <w:p w14:paraId="78D20F14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(≥ 1/10 000 – </w:t>
            </w:r>
            <w:proofErr w:type="gramStart"/>
            <w:r>
              <w:rPr>
                <w:rFonts w:cs="Times New Roman"/>
                <w:szCs w:val="22"/>
              </w:rPr>
              <w:t>&lt; 1</w:t>
            </w:r>
            <w:proofErr w:type="gramEnd"/>
            <w:r>
              <w:rPr>
                <w:rFonts w:cs="Times New Roman"/>
                <w:szCs w:val="22"/>
              </w:rPr>
              <w:t>/1 000)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9655B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b/>
                <w:szCs w:val="22"/>
              </w:rPr>
              <w:t>Nem ismert</w:t>
            </w:r>
            <w:r>
              <w:rPr>
                <w:rFonts w:cs="Times New Roman"/>
                <w:szCs w:val="22"/>
              </w:rPr>
              <w:t xml:space="preserve"> (a gyakoriság a rendelkezésre álló adatokból nem állapítható meg)</w:t>
            </w:r>
          </w:p>
        </w:tc>
      </w:tr>
      <w:tr w:rsidR="00B03AE9" w14:paraId="7E133261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7A23A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Vérképzőszervi és nyirokrendszeri </w:t>
            </w:r>
            <w:r>
              <w:rPr>
                <w:rFonts w:cs="Times New Roman"/>
                <w:szCs w:val="22"/>
              </w:rPr>
              <w:lastRenderedPageBreak/>
              <w:t>betegségek és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7649C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BB90D5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02540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1FB57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leucopenia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23641272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thrombocytopenia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7116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69EDA6BE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0A7D4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Immunrendszeri betegségek és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33BC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8C08C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F7587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C9E80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961E7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hypersensitiv</w:t>
            </w:r>
            <w:proofErr w:type="spellEnd"/>
            <w:r>
              <w:rPr>
                <w:rFonts w:cs="Times New Roman"/>
                <w:szCs w:val="22"/>
              </w:rPr>
              <w:t xml:space="preserve"> reakció</w:t>
            </w:r>
          </w:p>
        </w:tc>
      </w:tr>
      <w:tr w:rsidR="00B03AE9" w14:paraId="03C48EB4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2C055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Anyagcsere- és táplálkozási betegségek és tünetek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959A5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0BD79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19D15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3E51A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hypertriglyceridaemia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8F24F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hyperglycaemia</w:t>
            </w:r>
            <w:proofErr w:type="spellEnd"/>
          </w:p>
        </w:tc>
      </w:tr>
      <w:tr w:rsidR="00B03AE9" w14:paraId="4E828EDC" w14:textId="77777777">
        <w:trPr>
          <w:trHeight w:val="1619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3463D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Pszichiátriai kórképek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A6A80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49042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F1310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irritabilitas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208B138C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idegesség,</w:t>
            </w:r>
          </w:p>
          <w:p w14:paraId="1279A752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nyugtalanság,</w:t>
            </w:r>
          </w:p>
          <w:p w14:paraId="6014B6E0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kóros álmok,</w:t>
            </w:r>
          </w:p>
          <w:p w14:paraId="15B8912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szorongás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586F1" w14:textId="77777777" w:rsidR="00B03AE9" w:rsidRDefault="0059247E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kedélyváltozás</w:t>
            </w:r>
            <w:proofErr w:type="spellEnd"/>
            <w:r w:rsidR="00A648F1">
              <w:rPr>
                <w:rFonts w:cs="Times New Roman"/>
                <w:szCs w:val="22"/>
              </w:rPr>
              <w:t>,</w:t>
            </w:r>
          </w:p>
          <w:p w14:paraId="3D36BC78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aggressziv</w:t>
            </w:r>
            <w:proofErr w:type="spellEnd"/>
            <w:r>
              <w:rPr>
                <w:rFonts w:cs="Times New Roman"/>
                <w:szCs w:val="22"/>
              </w:rPr>
              <w:t xml:space="preserve"> viselkedés,</w:t>
            </w:r>
          </w:p>
          <w:p w14:paraId="77E9172A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desorientatio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442AA2B7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fokozott </w:t>
            </w:r>
            <w:proofErr w:type="spellStart"/>
            <w:r>
              <w:rPr>
                <w:rFonts w:cs="Times New Roman"/>
                <w:szCs w:val="22"/>
              </w:rPr>
              <w:t>libido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11515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081B2659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F6BA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Idegrendszeri betegségek és 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1EEC9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27E4C" w14:textId="77777777" w:rsidR="00B03AE9" w:rsidRDefault="00A648F1">
            <w:pPr>
              <w:snapToGrid w:val="0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fejfájás,</w:t>
            </w:r>
          </w:p>
          <w:p w14:paraId="3CE3FBF5" w14:textId="77777777" w:rsidR="00B03AE9" w:rsidRDefault="00A648F1">
            <w:pPr>
              <w:rPr>
                <w:rFonts w:eastAsia="DejaVu Sans" w:cs="Times New Roman"/>
                <w:szCs w:val="22"/>
              </w:rPr>
            </w:pPr>
            <w:proofErr w:type="spellStart"/>
            <w:r w:rsidRPr="00885ED6">
              <w:rPr>
                <w:rFonts w:cs="Times New Roman"/>
                <w:szCs w:val="22"/>
              </w:rPr>
              <w:t>somnolentia</w:t>
            </w:r>
            <w:proofErr w:type="spellEnd"/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5B163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szédülés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B2CC1A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syncope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1B4CD092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memóriakárosodás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6CEA43AF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nyugtalan láb </w:t>
            </w:r>
            <w:proofErr w:type="spellStart"/>
            <w:r>
              <w:rPr>
                <w:rFonts w:cs="Times New Roman"/>
                <w:szCs w:val="22"/>
                <w:lang w:val="de-DE"/>
              </w:rPr>
              <w:t>syndroma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723377D3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paraesthesia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8BF2E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7AADAA00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9AE79F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Szembetegségek és szemészeti 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47696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361855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50456E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844A8C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csökkent látásélesség,</w:t>
            </w:r>
          </w:p>
          <w:p w14:paraId="112CE8E8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homályos látás,</w:t>
            </w:r>
          </w:p>
          <w:p w14:paraId="02EFB7AB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fokozott könnytermelés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5D51E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5C9F2067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FCB7E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Szívbetegségek és a szívvel kapcsolatos 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E869A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E9616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0C985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FD326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szívdobogásérzés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3EEE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01BA0D0B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AAF77E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Érbetegségek és 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5821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C02EB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8E06B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hypertensio</w:t>
            </w:r>
            <w:proofErr w:type="spellEnd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623B0" w14:textId="77777777" w:rsidR="00B03AE9" w:rsidRDefault="0059247E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hőhullámok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075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5A2756E8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3054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Emésztőrendszeri betegségek és 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E946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FAD21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317493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  <w:lang w:val="de-DE"/>
              </w:rPr>
              <w:t xml:space="preserve">abdominalis </w:t>
            </w:r>
            <w:r>
              <w:rPr>
                <w:rFonts w:cs="Times New Roman"/>
                <w:szCs w:val="22"/>
              </w:rPr>
              <w:t>fájdalom,</w:t>
            </w:r>
          </w:p>
          <w:p w14:paraId="0151FDFA" w14:textId="77777777" w:rsidR="00B03AE9" w:rsidRDefault="0059247E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gyomortáji</w:t>
            </w:r>
            <w:proofErr w:type="spellEnd"/>
            <w:r>
              <w:rPr>
                <w:rFonts w:cs="Times New Roman"/>
                <w:szCs w:val="22"/>
                <w:lang w:val="de-DE"/>
              </w:rPr>
              <w:t xml:space="preserve"> </w:t>
            </w:r>
            <w:proofErr w:type="spellStart"/>
            <w:r>
              <w:rPr>
                <w:rFonts w:cs="Times New Roman"/>
                <w:szCs w:val="22"/>
                <w:lang w:val="de-DE"/>
              </w:rPr>
              <w:t>fájdalom</w:t>
            </w:r>
            <w:proofErr w:type="spellEnd"/>
            <w:r w:rsidR="00A648F1">
              <w:rPr>
                <w:rFonts w:cs="Times New Roman"/>
                <w:szCs w:val="22"/>
              </w:rPr>
              <w:t>,</w:t>
            </w:r>
          </w:p>
          <w:p w14:paraId="418919BD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dyspepsia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43AD5129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oralis</w:t>
            </w:r>
            <w:proofErr w:type="spellEnd"/>
            <w:r>
              <w:rPr>
                <w:rFonts w:cs="Times New Roman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szCs w:val="22"/>
              </w:rPr>
              <w:t>ulceratio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6B0F6D9B" w14:textId="77777777" w:rsidR="00B03AE9" w:rsidRDefault="0059247E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szájszárazság</w:t>
            </w:r>
            <w:proofErr w:type="spellEnd"/>
            <w:r w:rsidR="00A648F1">
              <w:rPr>
                <w:rFonts w:cs="Times New Roman"/>
                <w:szCs w:val="22"/>
              </w:rPr>
              <w:t>,</w:t>
            </w:r>
          </w:p>
          <w:p w14:paraId="49ECB9BC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nausea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E46D4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vomitus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680FEB36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flatulentia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45BF594C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nyál </w:t>
            </w:r>
            <w:proofErr w:type="spellStart"/>
            <w:r>
              <w:rPr>
                <w:rFonts w:cs="Times New Roman"/>
                <w:szCs w:val="22"/>
              </w:rPr>
              <w:t>hypersecretio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58D19AEA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halitosis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7C30E8D5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gastritis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2DCF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3759CFF2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DF41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A bőr és a bőr alatti szövet betegségei és tünetei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A398D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EA13A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C0118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viszketés,</w:t>
            </w:r>
          </w:p>
          <w:p w14:paraId="4CD2B316" w14:textId="77777777" w:rsidR="00B03AE9" w:rsidRDefault="0059247E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bőr</w:t>
            </w:r>
            <w:r w:rsidR="00A648F1">
              <w:rPr>
                <w:rFonts w:cs="Times New Roman"/>
                <w:szCs w:val="22"/>
                <w:lang w:val="de-DE"/>
              </w:rPr>
              <w:t>kiütés</w:t>
            </w:r>
            <w:proofErr w:type="spellEnd"/>
            <w:r w:rsidR="00A648F1">
              <w:rPr>
                <w:rFonts w:cs="Times New Roman"/>
                <w:szCs w:val="22"/>
              </w:rPr>
              <w:t>,</w:t>
            </w:r>
          </w:p>
          <w:p w14:paraId="4A2D23C4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száraz bőr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1E8B3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körömbetegség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F457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nyelv </w:t>
            </w:r>
            <w:proofErr w:type="spellStart"/>
            <w:r>
              <w:rPr>
                <w:rFonts w:cs="Times New Roman"/>
                <w:szCs w:val="22"/>
              </w:rPr>
              <w:t>oedema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74929B39" w14:textId="77777777" w:rsidR="00B03AE9" w:rsidRDefault="00A648F1">
            <w:pPr>
              <w:rPr>
                <w:rFonts w:eastAsia="DejaVu Sans" w:cs="Times New Roman"/>
                <w:szCs w:val="22"/>
              </w:rPr>
            </w:pPr>
            <w:r>
              <w:rPr>
                <w:rFonts w:cs="Times New Roman"/>
                <w:szCs w:val="22"/>
              </w:rPr>
              <w:t>szájnyálkahártya</w:t>
            </w:r>
            <w:r w:rsidR="0059247E">
              <w:rPr>
                <w:rFonts w:cs="Times New Roman"/>
                <w:szCs w:val="22"/>
              </w:rPr>
              <w:t>-</w:t>
            </w:r>
            <w:r>
              <w:rPr>
                <w:rFonts w:cs="Times New Roman"/>
                <w:szCs w:val="22"/>
              </w:rPr>
              <w:t>duzzanat</w:t>
            </w:r>
          </w:p>
        </w:tc>
      </w:tr>
      <w:tr w:rsidR="00B03AE9" w14:paraId="7AE7360F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B42AC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A csont- és izomrendszer, valamint a kötőszövet betegségei és tünetei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96618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EADF7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4B15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1399C3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arthritis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03FEBB2A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izomgörcsök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EE42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4B43B010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1E6B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Vese- és </w:t>
            </w:r>
            <w:proofErr w:type="spellStart"/>
            <w:r>
              <w:rPr>
                <w:rFonts w:cs="Times New Roman"/>
                <w:szCs w:val="22"/>
              </w:rPr>
              <w:t>húgyúti</w:t>
            </w:r>
            <w:proofErr w:type="spellEnd"/>
            <w:r>
              <w:rPr>
                <w:rFonts w:cs="Times New Roman"/>
                <w:szCs w:val="22"/>
              </w:rPr>
              <w:t xml:space="preserve"> betegségek és </w:t>
            </w:r>
            <w:r>
              <w:rPr>
                <w:rFonts w:cs="Times New Roman"/>
                <w:szCs w:val="22"/>
              </w:rPr>
              <w:lastRenderedPageBreak/>
              <w:t xml:space="preserve">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CF1B1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0ECC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7F066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glycosuria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347E40B0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proteinuria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46C4A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polyuria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753B303E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haematuria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6A0CC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74ED3205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63CAF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A nemi szervekkel és az emlőkkel kapcsolatos betegségek és tünetek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314D7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33AF8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A2524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FC964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priapismus</w:t>
            </w:r>
            <w:proofErr w:type="spellEnd"/>
            <w:r>
              <w:rPr>
                <w:rFonts w:cs="Times New Roman"/>
                <w:szCs w:val="22"/>
              </w:rPr>
              <w:t>,</w:t>
            </w:r>
          </w:p>
          <w:p w14:paraId="45DDF026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prostatitis</w:t>
            </w:r>
            <w:proofErr w:type="spellEnd"/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AE14" w14:textId="77777777" w:rsidR="00B03AE9" w:rsidRDefault="00A648F1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</w:rPr>
              <w:t>galactorrhoea</w:t>
            </w:r>
            <w:proofErr w:type="spellEnd"/>
          </w:p>
        </w:tc>
      </w:tr>
      <w:tr w:rsidR="00B03AE9" w14:paraId="12148184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4D44A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Általános tünetek, az alkalmazás helyén fellépő reakciók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0F912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FE760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C44C9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mellkasi fájdalom,</w:t>
            </w:r>
          </w:p>
          <w:p w14:paraId="2757B70D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rossz közérzet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63414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szomjúság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D29C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  <w:tr w:rsidR="00B03AE9" w14:paraId="2C90743B" w14:textId="77777777"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96C70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Laboratóriumi és egyéb vizsgálatok eredményei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1C31A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6A20D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238BE3" w14:textId="77777777" w:rsidR="00B03AE9" w:rsidRDefault="0059247E">
            <w:pPr>
              <w:rPr>
                <w:rFonts w:cs="Times New Roman"/>
                <w:szCs w:val="22"/>
              </w:rPr>
            </w:pPr>
            <w:proofErr w:type="spellStart"/>
            <w:r>
              <w:rPr>
                <w:rFonts w:cs="Times New Roman"/>
                <w:szCs w:val="22"/>
                <w:lang w:val="de-DE"/>
              </w:rPr>
              <w:t>testtömeg-növekedés</w:t>
            </w:r>
            <w:proofErr w:type="spellEnd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BA6207" w14:textId="77777777" w:rsidR="00B03AE9" w:rsidRDefault="00A648F1">
            <w:pPr>
              <w:rPr>
                <w:rFonts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elektrolitok </w:t>
            </w:r>
            <w:r w:rsidR="0059247E">
              <w:rPr>
                <w:rFonts w:eastAsia="Times New Roman" w:cs="Times New Roman"/>
                <w:szCs w:val="22"/>
              </w:rPr>
              <w:t xml:space="preserve">kóros </w:t>
            </w:r>
            <w:r>
              <w:rPr>
                <w:rFonts w:eastAsia="Times New Roman" w:cs="Times New Roman"/>
                <w:szCs w:val="22"/>
              </w:rPr>
              <w:t xml:space="preserve">vérszintje 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F62DD" w14:textId="77777777" w:rsidR="00B03AE9" w:rsidRDefault="00B03AE9">
            <w:pPr>
              <w:snapToGrid w:val="0"/>
              <w:rPr>
                <w:rFonts w:cs="Times New Roman"/>
                <w:szCs w:val="22"/>
              </w:rPr>
            </w:pPr>
          </w:p>
        </w:tc>
      </w:tr>
    </w:tbl>
    <w:p w14:paraId="3CC7BAE6" w14:textId="77777777" w:rsidR="00B03AE9" w:rsidRDefault="00B03AE9">
      <w:pPr>
        <w:rPr>
          <w:rFonts w:cs="Times New Roman"/>
        </w:rPr>
      </w:pPr>
    </w:p>
    <w:p w14:paraId="5559DDA0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  <w:u w:val="single"/>
        </w:rPr>
        <w:t>Feltételezett mellékhatások bejelentése</w:t>
      </w:r>
    </w:p>
    <w:p w14:paraId="73981552" w14:textId="77777777" w:rsidR="0059247E" w:rsidRPr="00885ED6" w:rsidRDefault="00A648F1" w:rsidP="0059247E">
      <w:pPr>
        <w:rPr>
          <w:rFonts w:cs="Times New Roman"/>
          <w:color w:val="auto"/>
          <w:szCs w:val="22"/>
        </w:rPr>
      </w:pPr>
      <w:r>
        <w:rPr>
          <w:rFonts w:cs="Times New Roman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59247E">
        <w:rPr>
          <w:rFonts w:cs="Times New Roman"/>
          <w:szCs w:val="22"/>
        </w:rPr>
        <w:t xml:space="preserve">részére </w:t>
      </w:r>
      <w:r w:rsidRPr="00885ED6">
        <w:rPr>
          <w:rFonts w:cs="Times New Roman"/>
          <w:color w:val="auto"/>
          <w:szCs w:val="22"/>
        </w:rPr>
        <w:t>az</w:t>
      </w:r>
      <w:r w:rsidR="0059247E" w:rsidRPr="00885ED6">
        <w:rPr>
          <w:rFonts w:cs="Times New Roman"/>
          <w:color w:val="auto"/>
          <w:szCs w:val="22"/>
        </w:rPr>
        <w:t xml:space="preserve"> </w:t>
      </w:r>
      <w:hyperlink r:id="rId7" w:history="1">
        <w:r w:rsidR="0059247E" w:rsidRPr="0089510C">
          <w:rPr>
            <w:rStyle w:val="Hiperhivatkozs"/>
            <w:highlight w:val="lightGray"/>
          </w:rPr>
          <w:t xml:space="preserve">V. </w:t>
        </w:r>
        <w:proofErr w:type="spellStart"/>
        <w:r w:rsidR="0059247E" w:rsidRPr="0089510C">
          <w:rPr>
            <w:rStyle w:val="Hiperhivatkozs"/>
            <w:highlight w:val="lightGray"/>
          </w:rPr>
          <w:t>függelékben</w:t>
        </w:r>
        <w:proofErr w:type="spellEnd"/>
      </w:hyperlink>
      <w:r w:rsidR="0059247E" w:rsidRPr="0089510C">
        <w:rPr>
          <w:highlight w:val="lightGray"/>
        </w:rPr>
        <w:t xml:space="preserve"> </w:t>
      </w:r>
      <w:r w:rsidR="0059247E" w:rsidRPr="00885ED6">
        <w:rPr>
          <w:rStyle w:val="InternetLink"/>
          <w:rFonts w:cs="Times New Roman"/>
          <w:color w:val="auto"/>
          <w:szCs w:val="22"/>
          <w:highlight w:val="lightGray"/>
          <w:u w:val="none"/>
        </w:rPr>
        <w:t xml:space="preserve">található elérhetőségek valamelyikén </w:t>
      </w:r>
      <w:proofErr w:type="spellStart"/>
      <w:r w:rsidR="0059247E" w:rsidRPr="00885ED6">
        <w:rPr>
          <w:rStyle w:val="InternetLink"/>
          <w:rFonts w:cs="Times New Roman"/>
          <w:color w:val="auto"/>
          <w:szCs w:val="22"/>
          <w:highlight w:val="lightGray"/>
          <w:u w:val="none"/>
        </w:rPr>
        <w:t>kersztül</w:t>
      </w:r>
      <w:proofErr w:type="spellEnd"/>
      <w:r w:rsidR="0059247E" w:rsidRPr="00885ED6">
        <w:rPr>
          <w:rStyle w:val="InternetLink"/>
          <w:rFonts w:cs="Times New Roman"/>
          <w:color w:val="auto"/>
          <w:szCs w:val="22"/>
          <w:u w:val="none"/>
        </w:rPr>
        <w:t>.</w:t>
      </w:r>
    </w:p>
    <w:p w14:paraId="2C76CE98" w14:textId="77777777" w:rsidR="00B03AE9" w:rsidRDefault="00B03AE9">
      <w:pPr>
        <w:rPr>
          <w:rFonts w:cs="Times New Roman"/>
          <w:szCs w:val="22"/>
        </w:rPr>
      </w:pPr>
    </w:p>
    <w:p w14:paraId="64E074F5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4.9</w:t>
      </w:r>
      <w:r>
        <w:rPr>
          <w:rFonts w:cs="Times New Roman"/>
          <w:b/>
          <w:szCs w:val="22"/>
        </w:rPr>
        <w:tab/>
        <w:t>Túladagolás</w:t>
      </w:r>
    </w:p>
    <w:p w14:paraId="11F3CFBF" w14:textId="77777777" w:rsidR="00B03AE9" w:rsidRDefault="00B03AE9">
      <w:pPr>
        <w:keepNext/>
        <w:widowControl/>
        <w:rPr>
          <w:rFonts w:cs="Times New Roman"/>
        </w:rPr>
      </w:pPr>
    </w:p>
    <w:p w14:paraId="517585B6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szájon keresztül szedett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túladagolásának leggyakrabban jelentett jelei és tünetei az álmosság, a fejfájás, a szédülés és a hányinger.</w:t>
      </w:r>
    </w:p>
    <w:p w14:paraId="24978138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Legfeljebb 300 mg napi dózisban bevett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nem okozott klinikailag jelentős mellékhatásokat.</w:t>
      </w:r>
    </w:p>
    <w:p w14:paraId="6344FC9C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rendkívül nagy adagokban (3000 és 6600 mg között), több héten át történő szedése után hőhullámokról, hasi görcsökről, hasmenésről, fejfájásról és </w:t>
      </w:r>
      <w:proofErr w:type="spellStart"/>
      <w:r>
        <w:rPr>
          <w:rFonts w:cs="Times New Roman"/>
          <w:szCs w:val="22"/>
        </w:rPr>
        <w:t>scotoma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lucidumról</w:t>
      </w:r>
      <w:proofErr w:type="spellEnd"/>
      <w:r>
        <w:rPr>
          <w:rFonts w:cs="Times New Roman"/>
          <w:szCs w:val="22"/>
        </w:rPr>
        <w:t xml:space="preserve"> számoltak be.</w:t>
      </w:r>
    </w:p>
    <w:p w14:paraId="689BE082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Általános szupportív intézkedéseket kell végezni.</w:t>
      </w:r>
    </w:p>
    <w:p w14:paraId="3F00D463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>A hatóanyag kiürülése a lenyelést követő 12 órán belül várható.</w:t>
      </w:r>
    </w:p>
    <w:p w14:paraId="1DE0A8CB" w14:textId="77777777" w:rsidR="00B03AE9" w:rsidRDefault="00B03AE9">
      <w:pPr>
        <w:rPr>
          <w:rFonts w:cs="Times New Roman"/>
        </w:rPr>
      </w:pPr>
    </w:p>
    <w:p w14:paraId="4EB82A85" w14:textId="77777777" w:rsidR="00B03AE9" w:rsidRDefault="00B03AE9">
      <w:pPr>
        <w:rPr>
          <w:rFonts w:cs="Times New Roman"/>
        </w:rPr>
      </w:pPr>
    </w:p>
    <w:p w14:paraId="0A4401B1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5.</w:t>
      </w:r>
      <w:r>
        <w:rPr>
          <w:rFonts w:cs="Times New Roman"/>
          <w:b/>
          <w:szCs w:val="22"/>
        </w:rPr>
        <w:tab/>
        <w:t>FARMAKOLÓGIAI TULAJDONSÁGOK</w:t>
      </w:r>
    </w:p>
    <w:p w14:paraId="6E01A0D0" w14:textId="77777777" w:rsidR="00B03AE9" w:rsidRDefault="00B03AE9">
      <w:pPr>
        <w:keepNext/>
        <w:rPr>
          <w:rFonts w:cs="Times New Roman"/>
          <w:szCs w:val="22"/>
        </w:rPr>
      </w:pPr>
    </w:p>
    <w:p w14:paraId="4F8350A2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5.1</w:t>
      </w:r>
      <w:r>
        <w:rPr>
          <w:rFonts w:cs="Times New Roman"/>
          <w:b/>
          <w:szCs w:val="22"/>
        </w:rPr>
        <w:tab/>
      </w:r>
      <w:proofErr w:type="spellStart"/>
      <w:r>
        <w:rPr>
          <w:rFonts w:cs="Times New Roman"/>
          <w:b/>
          <w:szCs w:val="22"/>
        </w:rPr>
        <w:t>Farmakodinámiás</w:t>
      </w:r>
      <w:proofErr w:type="spellEnd"/>
      <w:r>
        <w:rPr>
          <w:rFonts w:cs="Times New Roman"/>
          <w:b/>
          <w:szCs w:val="22"/>
        </w:rPr>
        <w:t xml:space="preserve"> tulajdonságok</w:t>
      </w:r>
    </w:p>
    <w:p w14:paraId="7BB94777" w14:textId="77777777" w:rsidR="00B03AE9" w:rsidRDefault="00B03AE9">
      <w:pPr>
        <w:keepNext/>
        <w:rPr>
          <w:rFonts w:cs="Times New Roman"/>
          <w:szCs w:val="22"/>
        </w:rPr>
      </w:pPr>
    </w:p>
    <w:p w14:paraId="0DF7A0A9" w14:textId="77777777" w:rsidR="00B03AE9" w:rsidRDefault="00A648F1">
      <w:pPr>
        <w:keepNext/>
        <w:rPr>
          <w:rFonts w:cs="Times New Roman"/>
          <w:szCs w:val="22"/>
        </w:rPr>
      </w:pPr>
      <w:proofErr w:type="spellStart"/>
      <w:r>
        <w:rPr>
          <w:rFonts w:cs="Times New Roman"/>
          <w:i/>
          <w:szCs w:val="22"/>
        </w:rPr>
        <w:t>Farmakoterápiás</w:t>
      </w:r>
      <w:proofErr w:type="spellEnd"/>
      <w:r>
        <w:rPr>
          <w:rFonts w:cs="Times New Roman"/>
          <w:i/>
          <w:szCs w:val="22"/>
        </w:rPr>
        <w:t xml:space="preserve"> csoport: </w:t>
      </w:r>
      <w:proofErr w:type="spellStart"/>
      <w:r>
        <w:rPr>
          <w:rFonts w:cs="Times New Roman"/>
          <w:i/>
          <w:szCs w:val="22"/>
        </w:rPr>
        <w:t>Pszicholeptikumok</w:t>
      </w:r>
      <w:proofErr w:type="spellEnd"/>
      <w:r>
        <w:rPr>
          <w:rFonts w:cs="Times New Roman"/>
          <w:i/>
          <w:szCs w:val="22"/>
        </w:rPr>
        <w:t xml:space="preserve">, </w:t>
      </w:r>
      <w:proofErr w:type="spellStart"/>
      <w:r>
        <w:rPr>
          <w:rFonts w:cs="Times New Roman"/>
          <w:i/>
          <w:szCs w:val="22"/>
        </w:rPr>
        <w:t>melatonin</w:t>
      </w:r>
      <w:proofErr w:type="spellEnd"/>
      <w:r>
        <w:rPr>
          <w:rFonts w:cs="Times New Roman"/>
          <w:i/>
          <w:szCs w:val="22"/>
        </w:rPr>
        <w:t>-receptor agonisták</w:t>
      </w:r>
      <w:r>
        <w:rPr>
          <w:rFonts w:cs="Times New Roman"/>
          <w:szCs w:val="22"/>
        </w:rPr>
        <w:t>, ATC kód: N05CH01</w:t>
      </w:r>
    </w:p>
    <w:p w14:paraId="6FDB33C1" w14:textId="77777777" w:rsidR="00B03AE9" w:rsidRDefault="00B03AE9">
      <w:pPr>
        <w:keepNext/>
        <w:widowControl/>
        <w:rPr>
          <w:rFonts w:cs="Times New Roman"/>
        </w:rPr>
      </w:pPr>
    </w:p>
    <w:p w14:paraId="475D7470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hormon és antioxidáns. A tobozmirigy által kiválasztott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ritmusnak a napi világosság-sötétség ciklushoz való alkalmazkodásában játszik szerepet.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kiválasztása/plazmaszintje röviddel a sötétség beállta után emelkedik, 02:00 – 04:00 óra körül tetőzik, majd hajnalra eléri a nappali legalacsonyabb szintet.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kiválasztásának csúcsértéke majdnem </w:t>
      </w:r>
      <w:proofErr w:type="spellStart"/>
      <w:r>
        <w:rPr>
          <w:rFonts w:cs="Times New Roman"/>
          <w:szCs w:val="22"/>
        </w:rPr>
        <w:t>átmérősen</w:t>
      </w:r>
      <w:proofErr w:type="spellEnd"/>
      <w:r>
        <w:rPr>
          <w:rFonts w:cs="Times New Roman"/>
          <w:szCs w:val="22"/>
        </w:rPr>
        <w:t xml:space="preserve"> ellentétes a nappali fény csúcsintenzitásával. A nappali fény elsődleges szerepet játszik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kiválasztása során a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ritmikusság fenntartásának stimulálásában.</w:t>
      </w:r>
    </w:p>
    <w:p w14:paraId="6748DA4E" w14:textId="77777777" w:rsidR="00B03AE9" w:rsidRDefault="00B03AE9">
      <w:pPr>
        <w:rPr>
          <w:rFonts w:cs="Times New Roman"/>
        </w:rPr>
      </w:pPr>
    </w:p>
    <w:p w14:paraId="70EBD892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r>
        <w:rPr>
          <w:rFonts w:cs="Times New Roman"/>
          <w:szCs w:val="22"/>
          <w:u w:val="single"/>
        </w:rPr>
        <w:t>Hatásmechanizmus</w:t>
      </w:r>
    </w:p>
    <w:p w14:paraId="22E04B02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feltételezések szerint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farmakológiai hatásmechanizmusa a közte és az MT1-, MT2- és MT3-receptorok közötti kölcsönhatásokon alapul, ugyanis ezek a receptorok (főleg az MT1 és az MT2) vesznek részt az alvás és általában a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ritmus szabályozásában.</w:t>
      </w:r>
    </w:p>
    <w:p w14:paraId="11AA49D8" w14:textId="77777777" w:rsidR="00B03AE9" w:rsidRDefault="00B03AE9">
      <w:pPr>
        <w:rPr>
          <w:rFonts w:cs="Times New Roman"/>
        </w:rPr>
      </w:pPr>
    </w:p>
    <w:p w14:paraId="4CDFAD33" w14:textId="77777777" w:rsidR="00B03AE9" w:rsidRDefault="00A648F1" w:rsidP="00885ED6">
      <w:pPr>
        <w:keepNext/>
        <w:widowControl/>
        <w:rPr>
          <w:rFonts w:cs="Times New Roman"/>
          <w:u w:val="single"/>
        </w:rPr>
      </w:pPr>
      <w:proofErr w:type="spellStart"/>
      <w:r>
        <w:rPr>
          <w:rFonts w:cs="Times New Roman"/>
          <w:szCs w:val="22"/>
          <w:u w:val="single"/>
        </w:rPr>
        <w:lastRenderedPageBreak/>
        <w:t>Farmakodinámiás</w:t>
      </w:r>
      <w:proofErr w:type="spellEnd"/>
      <w:r>
        <w:rPr>
          <w:rFonts w:cs="Times New Roman"/>
          <w:szCs w:val="22"/>
          <w:u w:val="single"/>
        </w:rPr>
        <w:t xml:space="preserve"> hatások</w:t>
      </w:r>
    </w:p>
    <w:p w14:paraId="3C044D2D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melatoninnak</w:t>
      </w:r>
      <w:proofErr w:type="spellEnd"/>
      <w:r>
        <w:rPr>
          <w:rFonts w:cs="Times New Roman"/>
          <w:szCs w:val="22"/>
        </w:rPr>
        <w:t xml:space="preserve"> hipnotikus/</w:t>
      </w:r>
      <w:proofErr w:type="spellStart"/>
      <w:r>
        <w:rPr>
          <w:rFonts w:cs="Times New Roman"/>
          <w:szCs w:val="22"/>
        </w:rPr>
        <w:t>szedatív</w:t>
      </w:r>
      <w:proofErr w:type="spellEnd"/>
      <w:r>
        <w:rPr>
          <w:rFonts w:cs="Times New Roman"/>
          <w:szCs w:val="22"/>
        </w:rPr>
        <w:t xml:space="preserve"> és az alvási hajlandóságot fokozó hatása van.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kiválasztásának éjszakai csúcsszintje előtt vagy után alkalmazott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felgyorsíthatja, illetve késleltetheti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kiválasztásának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ritmusát. Az időzónákat átívelő utazást (repülőgépes utazást) követően a célhelyen lefekvéskor (22:00 és 24:00 óra között) alkalmazott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felgyorsítja a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ritmus átállását az „indulási időről” az „érkezési időre”, ezáltal csökkenti az időeltolódás következtében kialakuló,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>” néven ismert tünetek megjelenését.</w:t>
      </w:r>
    </w:p>
    <w:p w14:paraId="0C119469" w14:textId="77777777" w:rsidR="00B03AE9" w:rsidRDefault="00B03AE9">
      <w:pPr>
        <w:rPr>
          <w:rFonts w:cs="Times New Roman"/>
        </w:rPr>
      </w:pPr>
    </w:p>
    <w:p w14:paraId="19774A8D" w14:textId="77777777" w:rsidR="00B03AE9" w:rsidRDefault="00A648F1" w:rsidP="00885ED6">
      <w:pPr>
        <w:keepNext/>
        <w:widowControl/>
        <w:rPr>
          <w:rFonts w:cs="Times New Roman"/>
          <w:szCs w:val="22"/>
          <w:u w:val="single"/>
        </w:rPr>
      </w:pPr>
      <w:r>
        <w:rPr>
          <w:rFonts w:cs="Times New Roman"/>
          <w:szCs w:val="22"/>
          <w:u w:val="single"/>
        </w:rPr>
        <w:t>Klinikai hatásosság és biztonságosság</w:t>
      </w:r>
    </w:p>
    <w:p w14:paraId="1073C4DD" w14:textId="77777777" w:rsidR="00B03AE9" w:rsidRDefault="00A648F1" w:rsidP="00885ED6">
      <w:pPr>
        <w:rPr>
          <w:rFonts w:cs="Times New Roman"/>
          <w:szCs w:val="22"/>
        </w:rPr>
      </w:pPr>
      <w:r>
        <w:rPr>
          <w:rFonts w:cs="Times New Roman"/>
          <w:szCs w:val="22"/>
        </w:rPr>
        <w:t>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tipikus tünetei az alvászavarok, valamint a nappali fáradtság és fáradékonyság, továbbá enyhe kognitív funkciócsökkentés, ingerlékenység és </w:t>
      </w:r>
      <w:proofErr w:type="spellStart"/>
      <w:r>
        <w:rPr>
          <w:rFonts w:cs="Times New Roman"/>
          <w:szCs w:val="22"/>
        </w:rPr>
        <w:t>gasztrointesztinális</w:t>
      </w:r>
      <w:proofErr w:type="spellEnd"/>
      <w:r>
        <w:rPr>
          <w:rFonts w:cs="Times New Roman"/>
          <w:szCs w:val="22"/>
        </w:rPr>
        <w:t xml:space="preserve"> zavarok is felléphetnek. Minél több időzónát lépünk át,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annál rosszabb, és jellemzően súlyosabb keleti irányú utazás esetén, mivel a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ritmust (a biológiai órát) nehezebb felgyorsítani, mint késleltetni, ami nyugati irányú utazáskor szükséges. Klinikai vizsgálatokban bebizonyosodott, hogy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~44%-kal csökkenti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>” betegek értékelése szerinti általános tüneteit, valamint lerövidíti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időtartamát. 12 időzónát átívelő repülés két vizsgálatában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hatékonyan, ~33%-kal csökkentette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időtartamát </w:t>
      </w:r>
      <w:r>
        <w:rPr>
          <w:rFonts w:cs="Times New Roman"/>
          <w:szCs w:val="22"/>
          <w:lang w:eastAsia="en-US"/>
        </w:rPr>
        <w:t>(</w:t>
      </w:r>
      <w:proofErr w:type="spellStart"/>
      <w:r>
        <w:rPr>
          <w:rFonts w:cs="Times New Roman"/>
          <w:szCs w:val="22"/>
          <w:lang w:eastAsia="en-US"/>
        </w:rPr>
        <w:t>Petrie</w:t>
      </w:r>
      <w:proofErr w:type="spellEnd"/>
      <w:r>
        <w:rPr>
          <w:rFonts w:cs="Times New Roman"/>
          <w:szCs w:val="22"/>
          <w:lang w:eastAsia="en-US"/>
        </w:rPr>
        <w:t xml:space="preserve"> </w:t>
      </w:r>
      <w:proofErr w:type="spellStart"/>
      <w:r>
        <w:rPr>
          <w:rFonts w:cs="Times New Roman"/>
          <w:szCs w:val="22"/>
          <w:lang w:eastAsia="en-US"/>
        </w:rPr>
        <w:t>et</w:t>
      </w:r>
      <w:proofErr w:type="spellEnd"/>
      <w:r>
        <w:rPr>
          <w:rFonts w:cs="Times New Roman"/>
          <w:szCs w:val="22"/>
          <w:lang w:eastAsia="en-US"/>
        </w:rPr>
        <w:t xml:space="preserve"> </w:t>
      </w:r>
      <w:proofErr w:type="spellStart"/>
      <w:r>
        <w:rPr>
          <w:rFonts w:cs="Times New Roman"/>
          <w:szCs w:val="22"/>
          <w:lang w:eastAsia="en-US"/>
        </w:rPr>
        <w:t>al</w:t>
      </w:r>
      <w:proofErr w:type="spellEnd"/>
      <w:r>
        <w:rPr>
          <w:rFonts w:cs="Times New Roman"/>
          <w:szCs w:val="22"/>
          <w:lang w:eastAsia="en-US"/>
        </w:rPr>
        <w:t xml:space="preserve">. 1989, BMJ. 298: 705-707.; és </w:t>
      </w:r>
      <w:proofErr w:type="spellStart"/>
      <w:r>
        <w:rPr>
          <w:rFonts w:cs="Times New Roman"/>
          <w:szCs w:val="22"/>
          <w:lang w:eastAsia="en-US"/>
        </w:rPr>
        <w:t>Petrie</w:t>
      </w:r>
      <w:proofErr w:type="spellEnd"/>
      <w:r>
        <w:rPr>
          <w:rFonts w:cs="Times New Roman"/>
          <w:szCs w:val="22"/>
          <w:lang w:eastAsia="en-US"/>
        </w:rPr>
        <w:t xml:space="preserve"> </w:t>
      </w:r>
      <w:proofErr w:type="spellStart"/>
      <w:r>
        <w:rPr>
          <w:rFonts w:cs="Times New Roman"/>
          <w:szCs w:val="22"/>
          <w:lang w:eastAsia="en-US"/>
        </w:rPr>
        <w:t>et</w:t>
      </w:r>
      <w:proofErr w:type="spellEnd"/>
      <w:r>
        <w:rPr>
          <w:rFonts w:cs="Times New Roman"/>
          <w:szCs w:val="22"/>
          <w:lang w:eastAsia="en-US"/>
        </w:rPr>
        <w:t xml:space="preserve"> </w:t>
      </w:r>
      <w:proofErr w:type="spellStart"/>
      <w:r>
        <w:rPr>
          <w:rFonts w:cs="Times New Roman"/>
          <w:szCs w:val="22"/>
          <w:lang w:eastAsia="en-US"/>
        </w:rPr>
        <w:t>al</w:t>
      </w:r>
      <w:proofErr w:type="spellEnd"/>
      <w:r>
        <w:rPr>
          <w:rFonts w:cs="Times New Roman"/>
          <w:szCs w:val="22"/>
          <w:lang w:eastAsia="en-US"/>
        </w:rPr>
        <w:t xml:space="preserve">. 1993, </w:t>
      </w:r>
      <w:proofErr w:type="spellStart"/>
      <w:r>
        <w:rPr>
          <w:rFonts w:cs="Times New Roman"/>
          <w:szCs w:val="22"/>
          <w:lang w:eastAsia="en-US"/>
        </w:rPr>
        <w:t>Biol</w:t>
      </w:r>
      <w:proofErr w:type="spellEnd"/>
      <w:r>
        <w:rPr>
          <w:rFonts w:cs="Times New Roman"/>
          <w:szCs w:val="22"/>
          <w:lang w:eastAsia="en-US"/>
        </w:rPr>
        <w:t xml:space="preserve">. </w:t>
      </w:r>
      <w:proofErr w:type="spellStart"/>
      <w:r>
        <w:rPr>
          <w:rFonts w:cs="Times New Roman"/>
          <w:szCs w:val="22"/>
          <w:lang w:eastAsia="en-US"/>
        </w:rPr>
        <w:t>Psychiatry</w:t>
      </w:r>
      <w:proofErr w:type="spellEnd"/>
      <w:r>
        <w:rPr>
          <w:rFonts w:cs="Times New Roman"/>
          <w:szCs w:val="22"/>
          <w:lang w:eastAsia="en-US"/>
        </w:rPr>
        <w:t xml:space="preserve"> 33: 526-530.)</w:t>
      </w:r>
      <w:r>
        <w:rPr>
          <w:rFonts w:cs="Times New Roman"/>
          <w:szCs w:val="22"/>
        </w:rPr>
        <w:t xml:space="preserve">. Előfordulhat, hogy a rosszul időzített bevétel miatt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nem fejt ki hatást vagy mellékhatást gyakorol a </w:t>
      </w:r>
      <w:proofErr w:type="spellStart"/>
      <w:r>
        <w:rPr>
          <w:rFonts w:cs="Times New Roman"/>
          <w:szCs w:val="22"/>
        </w:rPr>
        <w:t>cirkadián</w:t>
      </w:r>
      <w:proofErr w:type="spellEnd"/>
      <w:r>
        <w:rPr>
          <w:rFonts w:cs="Times New Roman"/>
          <w:szCs w:val="22"/>
        </w:rPr>
        <w:t xml:space="preserve"> ritmus átállítására / a „</w:t>
      </w:r>
      <w:proofErr w:type="spellStart"/>
      <w:r>
        <w:rPr>
          <w:rFonts w:cs="Times New Roman"/>
          <w:szCs w:val="22"/>
        </w:rPr>
        <w:t>jet</w:t>
      </w:r>
      <w:proofErr w:type="spellEnd"/>
      <w:r>
        <w:rPr>
          <w:rFonts w:cs="Times New Roman"/>
          <w:szCs w:val="22"/>
        </w:rPr>
        <w:t>-</w:t>
      </w:r>
      <w:proofErr w:type="spellStart"/>
      <w:proofErr w:type="gramStart"/>
      <w:r>
        <w:rPr>
          <w:rFonts w:cs="Times New Roman"/>
          <w:szCs w:val="22"/>
        </w:rPr>
        <w:t>lag</w:t>
      </w:r>
      <w:proofErr w:type="spellEnd"/>
      <w:r>
        <w:rPr>
          <w:rFonts w:cs="Times New Roman"/>
          <w:szCs w:val="22"/>
        </w:rPr>
        <w:t>”-</w:t>
      </w:r>
      <w:proofErr w:type="gramEnd"/>
      <w:r>
        <w:rPr>
          <w:rFonts w:cs="Times New Roman"/>
          <w:szCs w:val="22"/>
        </w:rPr>
        <w:t xml:space="preserve">re, ezért </w:t>
      </w:r>
      <w:proofErr w:type="spellStart"/>
      <w:r>
        <w:rPr>
          <w:rFonts w:cs="Times New Roman"/>
          <w:szCs w:val="22"/>
        </w:rPr>
        <w:t>melatonint</w:t>
      </w:r>
      <w:proofErr w:type="spellEnd"/>
      <w:r>
        <w:rPr>
          <w:rFonts w:cs="Times New Roman"/>
          <w:szCs w:val="22"/>
        </w:rPr>
        <w:t xml:space="preserve"> nem szabad bevenni a célhelyen 20:00 óra előtt vagy 04:00 óra után.</w:t>
      </w:r>
    </w:p>
    <w:p w14:paraId="44540A42" w14:textId="77777777" w:rsidR="00B03AE9" w:rsidRDefault="00A648F1" w:rsidP="00885ED6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0,5–8 mg </w:t>
      </w:r>
      <w:proofErr w:type="spellStart"/>
      <w:r>
        <w:rPr>
          <w:rFonts w:cs="Times New Roman"/>
          <w:szCs w:val="22"/>
        </w:rPr>
        <w:t>melatoninnal</w:t>
      </w:r>
      <w:proofErr w:type="spellEnd"/>
      <w:r>
        <w:rPr>
          <w:rFonts w:cs="Times New Roman"/>
          <w:szCs w:val="22"/>
        </w:rPr>
        <w:t xml:space="preserve"> végzett „</w:t>
      </w:r>
      <w:proofErr w:type="spellStart"/>
      <w:r>
        <w:rPr>
          <w:rFonts w:cs="Times New Roman"/>
          <w:szCs w:val="22"/>
        </w:rPr>
        <w:t>jet</w:t>
      </w:r>
      <w:proofErr w:type="spellEnd"/>
      <w:r>
        <w:rPr>
          <w:rFonts w:cs="Times New Roman"/>
          <w:szCs w:val="22"/>
        </w:rPr>
        <w:t>-</w:t>
      </w:r>
      <w:proofErr w:type="spellStart"/>
      <w:proofErr w:type="gramStart"/>
      <w:r>
        <w:rPr>
          <w:rFonts w:cs="Times New Roman"/>
          <w:szCs w:val="22"/>
        </w:rPr>
        <w:t>lag</w:t>
      </w:r>
      <w:proofErr w:type="spellEnd"/>
      <w:r>
        <w:rPr>
          <w:rFonts w:cs="Times New Roman"/>
          <w:szCs w:val="22"/>
        </w:rPr>
        <w:t>”-</w:t>
      </w:r>
      <w:proofErr w:type="gramEnd"/>
      <w:r>
        <w:rPr>
          <w:rFonts w:cs="Times New Roman"/>
          <w:szCs w:val="22"/>
        </w:rPr>
        <w:t>vizsgálatokban jelentett mellékhatások jellemzően enyhék voltak, és gyakran nehezen lehetett azokat megkülönböztetni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>” tüneteitől. Átmeneti álmosságról/</w:t>
      </w:r>
      <w:proofErr w:type="spellStart"/>
      <w:r>
        <w:rPr>
          <w:rFonts w:cs="Times New Roman"/>
          <w:szCs w:val="22"/>
        </w:rPr>
        <w:t>szedációról</w:t>
      </w:r>
      <w:proofErr w:type="spellEnd"/>
      <w:r>
        <w:rPr>
          <w:rFonts w:cs="Times New Roman"/>
          <w:szCs w:val="22"/>
        </w:rPr>
        <w:t xml:space="preserve">, fejfájásról és szédülésről/tájékozódási zavarról számoltak be; ugyanezek a mellékhatások – a hányingerrel együtt – jellemzően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rövid ideig tartó szedésekor jelentkeztek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humán alkalmazásának biztonságosságát ellenőrző vizsgálatokban.</w:t>
      </w:r>
    </w:p>
    <w:p w14:paraId="671A53C0" w14:textId="77777777" w:rsidR="00B03AE9" w:rsidRDefault="00B03AE9">
      <w:pPr>
        <w:rPr>
          <w:rFonts w:cs="Times New Roman"/>
          <w:szCs w:val="22"/>
        </w:rPr>
      </w:pPr>
    </w:p>
    <w:p w14:paraId="780BDB6A" w14:textId="77777777" w:rsidR="00B03AE9" w:rsidRDefault="00A648F1">
      <w:pPr>
        <w:keepNext/>
        <w:tabs>
          <w:tab w:val="left" w:pos="2280"/>
        </w:tabs>
        <w:rPr>
          <w:rFonts w:cs="Times New Roman"/>
          <w:szCs w:val="22"/>
        </w:rPr>
      </w:pPr>
      <w:r>
        <w:rPr>
          <w:rFonts w:cs="Times New Roman"/>
          <w:szCs w:val="22"/>
          <w:u w:val="single"/>
        </w:rPr>
        <w:t>Gyermekek és serdülők</w:t>
      </w:r>
    </w:p>
    <w:p w14:paraId="79ED7C92" w14:textId="77777777" w:rsidR="00B03AE9" w:rsidRDefault="00A648F1" w:rsidP="00885ED6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biztonságosságát és hatásosságát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kezelésében 0 és 18 év közötti gyermekek és serdülők esetében nem igazolták. Ezért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alkalmazása nem javasolt a „</w:t>
      </w:r>
      <w:proofErr w:type="spellStart"/>
      <w:r>
        <w:rPr>
          <w:rFonts w:cs="Times New Roman"/>
          <w:szCs w:val="22"/>
        </w:rPr>
        <w:t>jet-lag</w:t>
      </w:r>
      <w:proofErr w:type="spellEnd"/>
      <w:r>
        <w:rPr>
          <w:rFonts w:cs="Times New Roman"/>
          <w:szCs w:val="22"/>
        </w:rPr>
        <w:t xml:space="preserve">” kezelésére 0 és 18 év közötti gyermekeknél és serdülőknél. Ennek az a konkrét oka, hogy nem zárható ki, hogy a szájon át szedett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kedvezőtlenül befolyásolja az endogén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által a hipotalamusz-hipofízis-ivarmirigyek tengely fejlődésére kifejtett hatást.</w:t>
      </w:r>
    </w:p>
    <w:p w14:paraId="26D0F20A" w14:textId="77777777" w:rsidR="00B03AE9" w:rsidRDefault="00B03AE9">
      <w:pPr>
        <w:rPr>
          <w:rFonts w:cs="Times New Roman"/>
          <w:szCs w:val="22"/>
        </w:rPr>
      </w:pPr>
    </w:p>
    <w:p w14:paraId="38E22CFE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5.2</w:t>
      </w:r>
      <w:r>
        <w:rPr>
          <w:rFonts w:cs="Times New Roman"/>
          <w:b/>
          <w:szCs w:val="22"/>
        </w:rPr>
        <w:tab/>
      </w:r>
      <w:proofErr w:type="spellStart"/>
      <w:r>
        <w:rPr>
          <w:rFonts w:cs="Times New Roman"/>
          <w:b/>
          <w:szCs w:val="22"/>
        </w:rPr>
        <w:t>Farmakokinetikai</w:t>
      </w:r>
      <w:proofErr w:type="spellEnd"/>
      <w:r>
        <w:rPr>
          <w:rFonts w:cs="Times New Roman"/>
          <w:b/>
          <w:szCs w:val="22"/>
        </w:rPr>
        <w:t xml:space="preserve"> tulajdonságok</w:t>
      </w:r>
    </w:p>
    <w:p w14:paraId="57E4F16D" w14:textId="77777777" w:rsidR="00B03AE9" w:rsidRDefault="00B03AE9">
      <w:pPr>
        <w:rPr>
          <w:rFonts w:cs="Times New Roman"/>
        </w:rPr>
      </w:pPr>
    </w:p>
    <w:p w14:paraId="050EC4AF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egy kisméretű </w:t>
      </w:r>
      <w:proofErr w:type="spellStart"/>
      <w:r>
        <w:rPr>
          <w:rFonts w:cs="Times New Roman"/>
          <w:szCs w:val="22"/>
        </w:rPr>
        <w:t>amfifil</w:t>
      </w:r>
      <w:proofErr w:type="spellEnd"/>
      <w:r>
        <w:rPr>
          <w:rFonts w:cs="Times New Roman"/>
          <w:szCs w:val="22"/>
        </w:rPr>
        <w:t xml:space="preserve"> molekula (molekulasúlya: 232 g/mol), amely az anyavegyülete formájában aktív. Az emberi szervezetben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 </w:t>
      </w:r>
      <w:proofErr w:type="spellStart"/>
      <w:r>
        <w:rPr>
          <w:rFonts w:cs="Times New Roman"/>
          <w:szCs w:val="22"/>
        </w:rPr>
        <w:t>triptofánból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szintetizálódik</w:t>
      </w:r>
      <w:proofErr w:type="spellEnd"/>
      <w:r>
        <w:rPr>
          <w:rFonts w:cs="Times New Roman"/>
          <w:szCs w:val="22"/>
        </w:rPr>
        <w:t xml:space="preserve"> a szerotoninon keresztül. Kisebb mennyiségek a táplálékon keresztül is bekerülnek a szervezetbe. Az alábbiakban összefoglalt adatok olyan vizsgálatokból származnak, amelyeket általában egészséges férfiak és nők, főként fiatal és középkorú felnőttek részvételével végeztek.</w:t>
      </w:r>
    </w:p>
    <w:p w14:paraId="229C1823" w14:textId="77777777" w:rsidR="00B03AE9" w:rsidRDefault="00B03AE9">
      <w:pPr>
        <w:rPr>
          <w:rFonts w:cs="Times New Roman"/>
        </w:rPr>
      </w:pPr>
    </w:p>
    <w:p w14:paraId="5956B0C8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Felszívódás</w:t>
      </w:r>
    </w:p>
    <w:p w14:paraId="6DC8E017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szájon át alkalmazott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csaknem teljesen felszívódik. A ~85%-os </w:t>
      </w:r>
      <w:proofErr w:type="spellStart"/>
      <w:r>
        <w:rPr>
          <w:rFonts w:cs="Times New Roman"/>
          <w:szCs w:val="22"/>
        </w:rPr>
        <w:t>first-pass</w:t>
      </w:r>
      <w:proofErr w:type="spellEnd"/>
      <w:r>
        <w:rPr>
          <w:rFonts w:cs="Times New Roman"/>
          <w:szCs w:val="22"/>
        </w:rPr>
        <w:t xml:space="preserve"> metabolizmusnak köszönhetően az orális </w:t>
      </w:r>
      <w:proofErr w:type="spellStart"/>
      <w:r>
        <w:rPr>
          <w:rFonts w:cs="Times New Roman"/>
          <w:szCs w:val="22"/>
        </w:rPr>
        <w:t>biohasznosulás</w:t>
      </w:r>
      <w:proofErr w:type="spellEnd"/>
      <w:r>
        <w:rPr>
          <w:rFonts w:cs="Times New Roman"/>
          <w:szCs w:val="22"/>
        </w:rPr>
        <w:t xml:space="preserve"> ~15%. A plazma </w:t>
      </w:r>
      <w:proofErr w:type="spellStart"/>
      <w:r>
        <w:rPr>
          <w:rFonts w:cs="Times New Roman"/>
          <w:szCs w:val="22"/>
        </w:rPr>
        <w:t>t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 ~50 perc. A 3 mg dózisú, azonnali hatóanyag-felszabadulású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 plazma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 w:rsidR="005A5CBE">
        <w:rPr>
          <w:rFonts w:cs="Times New Roman"/>
          <w:szCs w:val="22"/>
        </w:rPr>
        <w:t>-</w:t>
      </w:r>
      <w:r>
        <w:rPr>
          <w:rFonts w:cs="Times New Roman"/>
          <w:szCs w:val="22"/>
        </w:rPr>
        <w:t>értékét ~3400 </w:t>
      </w:r>
      <w:proofErr w:type="spellStart"/>
      <w:r>
        <w:rPr>
          <w:rFonts w:cs="Times New Roman"/>
          <w:szCs w:val="22"/>
        </w:rPr>
        <w:t>pg</w:t>
      </w:r>
      <w:proofErr w:type="spellEnd"/>
      <w:r>
        <w:rPr>
          <w:rFonts w:cs="Times New Roman"/>
          <w:szCs w:val="22"/>
        </w:rPr>
        <w:t xml:space="preserve">/ml-re emeli, ami az éjjeli (endogén) plazma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 w:rsidR="005A5CBE">
        <w:rPr>
          <w:rFonts w:cs="Times New Roman"/>
          <w:szCs w:val="22"/>
        </w:rPr>
        <w:t>-</w:t>
      </w:r>
      <w:r>
        <w:rPr>
          <w:rFonts w:cs="Times New Roman"/>
          <w:szCs w:val="22"/>
        </w:rPr>
        <w:t xml:space="preserve">értékének ~60-szorosa, noha az endogén és az </w:t>
      </w:r>
      <w:proofErr w:type="spellStart"/>
      <w:r>
        <w:rPr>
          <w:rFonts w:cs="Times New Roman"/>
          <w:szCs w:val="22"/>
        </w:rPr>
        <w:t>exogén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 w:rsidR="005A5CBE">
        <w:rPr>
          <w:rFonts w:cs="Times New Roman"/>
          <w:szCs w:val="22"/>
        </w:rPr>
        <w:t>-</w:t>
      </w:r>
      <w:r>
        <w:rPr>
          <w:rFonts w:cs="Times New Roman"/>
          <w:szCs w:val="22"/>
        </w:rPr>
        <w:t>érték egyaránt jelentősen eltérhet az egyének között.</w:t>
      </w:r>
    </w:p>
    <w:p w14:paraId="4E49C0B9" w14:textId="77777777" w:rsidR="00B03AE9" w:rsidRDefault="00A648F1">
      <w:pPr>
        <w:rPr>
          <w:szCs w:val="22"/>
        </w:rPr>
      </w:pPr>
      <w:r>
        <w:rPr>
          <w:rFonts w:cs="Times New Roman"/>
          <w:szCs w:val="22"/>
        </w:rPr>
        <w:t xml:space="preserve">Korlátozott adatok állnak rendelkezésére arra vonatkozóan, hogy az étel fogyasztásakor vagy annak időpontja körül bevett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milyen hatást fejt ki annak </w:t>
      </w:r>
      <w:proofErr w:type="spellStart"/>
      <w:r>
        <w:rPr>
          <w:rFonts w:cs="Times New Roman"/>
          <w:szCs w:val="22"/>
        </w:rPr>
        <w:t>farmakokinetikájára</w:t>
      </w:r>
      <w:proofErr w:type="spellEnd"/>
      <w:r>
        <w:rPr>
          <w:rFonts w:cs="Times New Roman"/>
          <w:szCs w:val="22"/>
        </w:rPr>
        <w:t xml:space="preserve">, bár az adatok arra utalnak, hogy az egyidejű étkezés közel 2-szeresére növelheti a felszívódást. A jelek szerint a táplálék kismértékű hatást fejt ki az azonnali hatóanyag-felszabadulású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t</w:t>
      </w:r>
      <w:r>
        <w:rPr>
          <w:rFonts w:cs="Times New Roman"/>
          <w:szCs w:val="22"/>
          <w:vertAlign w:val="subscript"/>
        </w:rPr>
        <w:t>max</w:t>
      </w:r>
      <w:proofErr w:type="spellEnd"/>
      <w:r w:rsidR="005A5CBE">
        <w:rPr>
          <w:rFonts w:cs="Times New Roman"/>
          <w:szCs w:val="22"/>
        </w:rPr>
        <w:t>-</w:t>
      </w:r>
      <w:r>
        <w:rPr>
          <w:rFonts w:cs="Times New Roman"/>
          <w:szCs w:val="22"/>
        </w:rPr>
        <w:t xml:space="preserve">értékére. Ez várhatóan nem befolyásolja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Pharma </w:t>
      </w:r>
      <w:proofErr w:type="spellStart"/>
      <w:r>
        <w:rPr>
          <w:rFonts w:cs="Times New Roman"/>
          <w:szCs w:val="22"/>
        </w:rPr>
        <w:t>Nord</w:t>
      </w:r>
      <w:proofErr w:type="spellEnd"/>
      <w:r>
        <w:rPr>
          <w:rFonts w:cs="Times New Roman"/>
          <w:szCs w:val="22"/>
        </w:rPr>
        <w:t xml:space="preserve"> hatásosságát és biztonságosságát, azonban javasolt az ételfogyasztás kerülése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bevételét megelőző körülbelül 2 órában, valamint az azt követő 2 órában.</w:t>
      </w:r>
    </w:p>
    <w:p w14:paraId="7E736879" w14:textId="77777777" w:rsidR="00B03AE9" w:rsidRDefault="00B03AE9">
      <w:pPr>
        <w:rPr>
          <w:szCs w:val="22"/>
        </w:rPr>
      </w:pPr>
    </w:p>
    <w:p w14:paraId="2C7BE00C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Eloszlás</w:t>
      </w:r>
    </w:p>
    <w:p w14:paraId="274EEA07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körülbelül 50–60%-ban kötődik fehérjékhez. Elsősorban az albuminhoz kötődik, de az </w:t>
      </w:r>
      <w:r>
        <w:rPr>
          <w:rFonts w:cs="Times New Roman"/>
          <w:szCs w:val="22"/>
        </w:rPr>
        <w:lastRenderedPageBreak/>
        <w:t xml:space="preserve">alfa-1-savas </w:t>
      </w:r>
      <w:proofErr w:type="spellStart"/>
      <w:r>
        <w:rPr>
          <w:rFonts w:cs="Times New Roman"/>
          <w:szCs w:val="22"/>
        </w:rPr>
        <w:t>glikoproteinhez</w:t>
      </w:r>
      <w:proofErr w:type="spellEnd"/>
      <w:r>
        <w:rPr>
          <w:rFonts w:cs="Times New Roman"/>
          <w:szCs w:val="22"/>
        </w:rPr>
        <w:t xml:space="preserve"> is; más plazmaproteinekhez a kötődése korlátozott.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rövid idő alatt eloszlik a plazmából a szövetek és szervek többségébe és onnan tovább, valamint azonnal átjut a vér–agy gáton.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azonnal átjut a placentába.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időre született csecsemők köldökzsinórvérében mért szintje szorosan korrelál az anyánál mért szinttel, és annál csak kicsivel alacsonyabb (~15% és 35% közötti) 3 mg dózis bevétele után.</w:t>
      </w:r>
    </w:p>
    <w:p w14:paraId="1974D4D4" w14:textId="77777777" w:rsidR="00B03AE9" w:rsidRDefault="00B03AE9">
      <w:pPr>
        <w:rPr>
          <w:rFonts w:cs="Times New Roman"/>
        </w:rPr>
      </w:pPr>
    </w:p>
    <w:p w14:paraId="32158B07" w14:textId="77777777" w:rsidR="00B03AE9" w:rsidRDefault="00A648F1" w:rsidP="00885ED6">
      <w:pPr>
        <w:keepNext/>
        <w:widowControl/>
        <w:rPr>
          <w:rFonts w:cs="Times New Roman"/>
        </w:rPr>
      </w:pPr>
      <w:proofErr w:type="spellStart"/>
      <w:r>
        <w:rPr>
          <w:rFonts w:cs="Times New Roman"/>
          <w:szCs w:val="22"/>
          <w:u w:val="single"/>
        </w:rPr>
        <w:t>Biotranszformáció</w:t>
      </w:r>
      <w:proofErr w:type="spellEnd"/>
    </w:p>
    <w:p w14:paraId="7F83665A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A </w:t>
      </w:r>
      <w:proofErr w:type="spellStart"/>
      <w:r>
        <w:rPr>
          <w:rFonts w:cs="Times New Roman"/>
          <w:szCs w:val="22"/>
        </w:rPr>
        <w:t>melatonint</w:t>
      </w:r>
      <w:proofErr w:type="spellEnd"/>
      <w:r>
        <w:rPr>
          <w:rFonts w:cs="Times New Roman"/>
          <w:szCs w:val="22"/>
        </w:rPr>
        <w:t xml:space="preserve"> elsősorban a máj </w:t>
      </w:r>
      <w:proofErr w:type="spellStart"/>
      <w:r>
        <w:rPr>
          <w:rFonts w:cs="Times New Roman"/>
          <w:szCs w:val="22"/>
        </w:rPr>
        <w:t>metabolizálja</w:t>
      </w:r>
      <w:proofErr w:type="spellEnd"/>
      <w:r>
        <w:rPr>
          <w:rFonts w:cs="Times New Roman"/>
          <w:szCs w:val="22"/>
        </w:rPr>
        <w:t xml:space="preserve">. Vizsgálati adatok arra utalnak, hogy főleg a </w:t>
      </w:r>
      <w:proofErr w:type="spellStart"/>
      <w:r>
        <w:rPr>
          <w:rFonts w:cs="Times New Roman"/>
          <w:szCs w:val="22"/>
        </w:rPr>
        <w:t>citokróm</w:t>
      </w:r>
      <w:proofErr w:type="spellEnd"/>
      <w:r>
        <w:rPr>
          <w:rFonts w:cs="Times New Roman"/>
          <w:szCs w:val="22"/>
        </w:rPr>
        <w:t xml:space="preserve"> P450 CYP1A1 és CYP1A2 enzimek felelősek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metabolizmusáért, míg a CYP2C19 jelentősége ebben a tekintetben minimális.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elsősorban 6-hidroximelatoninná </w:t>
      </w:r>
      <w:proofErr w:type="spellStart"/>
      <w:r>
        <w:rPr>
          <w:rFonts w:cs="Times New Roman"/>
          <w:szCs w:val="22"/>
        </w:rPr>
        <w:t>metabolizálódik</w:t>
      </w:r>
      <w:proofErr w:type="spellEnd"/>
      <w:r>
        <w:rPr>
          <w:rFonts w:cs="Times New Roman"/>
          <w:szCs w:val="22"/>
        </w:rPr>
        <w:t xml:space="preserve"> (a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vizeletben megjelenő </w:t>
      </w:r>
      <w:proofErr w:type="spellStart"/>
      <w:r>
        <w:rPr>
          <w:rFonts w:cs="Times New Roman"/>
          <w:szCs w:val="22"/>
        </w:rPr>
        <w:t>metabolitjainak</w:t>
      </w:r>
      <w:proofErr w:type="spellEnd"/>
      <w:r>
        <w:rPr>
          <w:rFonts w:cs="Times New Roman"/>
          <w:szCs w:val="22"/>
        </w:rPr>
        <w:t xml:space="preserve"> ~80% és 90% közötti részét-át képezi). A jelek szerint a kisebb részarányú </w:t>
      </w:r>
      <w:proofErr w:type="spellStart"/>
      <w:r>
        <w:rPr>
          <w:rFonts w:cs="Times New Roman"/>
          <w:szCs w:val="22"/>
        </w:rPr>
        <w:t>metabolitok</w:t>
      </w:r>
      <w:proofErr w:type="spellEnd"/>
      <w:r>
        <w:rPr>
          <w:rFonts w:cs="Times New Roman"/>
          <w:szCs w:val="22"/>
        </w:rPr>
        <w:t xml:space="preserve"> közül a legfontosabb az N-</w:t>
      </w:r>
      <w:proofErr w:type="spellStart"/>
      <w:r>
        <w:rPr>
          <w:rFonts w:cs="Times New Roman"/>
          <w:szCs w:val="22"/>
        </w:rPr>
        <w:t>acetil</w:t>
      </w:r>
      <w:proofErr w:type="spellEnd"/>
      <w:r>
        <w:rPr>
          <w:rFonts w:cs="Times New Roman"/>
          <w:szCs w:val="22"/>
        </w:rPr>
        <w:t xml:space="preserve">-szerotonin (a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vizeletben megjelenő </w:t>
      </w:r>
      <w:proofErr w:type="spellStart"/>
      <w:r>
        <w:rPr>
          <w:rFonts w:cs="Times New Roman"/>
          <w:szCs w:val="22"/>
        </w:rPr>
        <w:t>metabolitjainak</w:t>
      </w:r>
      <w:proofErr w:type="spellEnd"/>
      <w:r>
        <w:rPr>
          <w:rFonts w:cs="Times New Roman"/>
          <w:szCs w:val="22"/>
        </w:rPr>
        <w:t xml:space="preserve"> ~10%-át képezi).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rendkívül gyorsan </w:t>
      </w:r>
      <w:proofErr w:type="spellStart"/>
      <w:r>
        <w:rPr>
          <w:rFonts w:cs="Times New Roman"/>
          <w:szCs w:val="22"/>
        </w:rPr>
        <w:t>metabolizálódik</w:t>
      </w:r>
      <w:proofErr w:type="spellEnd"/>
      <w:r>
        <w:rPr>
          <w:rFonts w:cs="Times New Roman"/>
          <w:szCs w:val="22"/>
        </w:rPr>
        <w:t xml:space="preserve">: a plazmában a 6-hidroximelatonin szintje néhány percen belül megemelkedik azt követően, hogy az </w:t>
      </w:r>
      <w:proofErr w:type="spellStart"/>
      <w:r>
        <w:rPr>
          <w:rFonts w:cs="Times New Roman"/>
          <w:szCs w:val="22"/>
        </w:rPr>
        <w:t>exogén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bekerül a szisztémás keringésbe. Mielőtt </w:t>
      </w:r>
      <w:proofErr w:type="spellStart"/>
      <w:r>
        <w:rPr>
          <w:rFonts w:cs="Times New Roman"/>
          <w:szCs w:val="22"/>
        </w:rPr>
        <w:t>kiválasztódik</w:t>
      </w:r>
      <w:proofErr w:type="spellEnd"/>
      <w:r>
        <w:rPr>
          <w:rFonts w:cs="Times New Roman"/>
          <w:szCs w:val="22"/>
        </w:rPr>
        <w:t xml:space="preserve">, a 6-hidroximelatonin szulfát-konjugáción (~70%) és </w:t>
      </w:r>
      <w:proofErr w:type="spellStart"/>
      <w:r>
        <w:rPr>
          <w:rFonts w:cs="Times New Roman"/>
          <w:szCs w:val="22"/>
        </w:rPr>
        <w:t>glükuronid</w:t>
      </w:r>
      <w:proofErr w:type="spellEnd"/>
      <w:r>
        <w:rPr>
          <w:rFonts w:cs="Times New Roman"/>
          <w:szCs w:val="22"/>
        </w:rPr>
        <w:t>-konjugáción (~30%) megy keresztül.</w:t>
      </w:r>
    </w:p>
    <w:p w14:paraId="6EFA9097" w14:textId="77777777" w:rsidR="00B03AE9" w:rsidRDefault="00B03AE9">
      <w:pPr>
        <w:rPr>
          <w:rFonts w:cs="Times New Roman"/>
        </w:rPr>
      </w:pPr>
    </w:p>
    <w:p w14:paraId="1D89E17A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Elimináció</w:t>
      </w:r>
    </w:p>
    <w:p w14:paraId="4D9BB918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>Plazmában az eliminációs felezési idő (t</w:t>
      </w:r>
      <w:r>
        <w:rPr>
          <w:rFonts w:cs="Times New Roman"/>
          <w:szCs w:val="22"/>
          <w:vertAlign w:val="subscript"/>
        </w:rPr>
        <w:t>½</w:t>
      </w:r>
      <w:r>
        <w:rPr>
          <w:rFonts w:cs="Times New Roman"/>
          <w:szCs w:val="22"/>
        </w:rPr>
        <w:t xml:space="preserve">) ~45 perc (normál tartomány: ~30–60 perc) egészséges felnőtteknél.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metabolitjai</w:t>
      </w:r>
      <w:proofErr w:type="spellEnd"/>
      <w:r>
        <w:rPr>
          <w:rFonts w:cs="Times New Roman"/>
          <w:szCs w:val="22"/>
        </w:rPr>
        <w:t xml:space="preserve"> főként a vizelettel ürülnek, ~90%-ban a 6-hidroximelatonin szulfát- és </w:t>
      </w:r>
      <w:proofErr w:type="spellStart"/>
      <w:r>
        <w:rPr>
          <w:rFonts w:cs="Times New Roman"/>
          <w:szCs w:val="22"/>
        </w:rPr>
        <w:t>glükuronid-konjugátjaiként</w:t>
      </w:r>
      <w:proofErr w:type="spellEnd"/>
      <w:r>
        <w:rPr>
          <w:rFonts w:cs="Times New Roman"/>
          <w:szCs w:val="22"/>
        </w:rPr>
        <w:t xml:space="preserve">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dózisának kevesebb mint ~1%-a </w:t>
      </w:r>
      <w:proofErr w:type="spellStart"/>
      <w:r>
        <w:rPr>
          <w:rFonts w:cs="Times New Roman"/>
          <w:szCs w:val="22"/>
        </w:rPr>
        <w:t>választódik</w:t>
      </w:r>
      <w:proofErr w:type="spellEnd"/>
      <w:r>
        <w:rPr>
          <w:rFonts w:cs="Times New Roman"/>
          <w:szCs w:val="22"/>
        </w:rPr>
        <w:t xml:space="preserve"> ki változatlan formában a vizelettel.</w:t>
      </w:r>
    </w:p>
    <w:p w14:paraId="6A18BB43" w14:textId="77777777" w:rsidR="00B03AE9" w:rsidRDefault="00B03AE9">
      <w:pPr>
        <w:rPr>
          <w:rFonts w:cs="Times New Roman"/>
        </w:rPr>
      </w:pPr>
    </w:p>
    <w:p w14:paraId="51D4E89C" w14:textId="77777777" w:rsidR="00B03AE9" w:rsidRDefault="00A648F1" w:rsidP="00885ED6">
      <w:pPr>
        <w:keepNext/>
        <w:widowControl/>
        <w:rPr>
          <w:rFonts w:cs="Times New Roman"/>
        </w:rPr>
      </w:pPr>
      <w:r>
        <w:rPr>
          <w:rFonts w:cs="Times New Roman"/>
          <w:szCs w:val="22"/>
          <w:u w:val="single"/>
        </w:rPr>
        <w:t>Linearitás/nem-linearitás</w:t>
      </w:r>
    </w:p>
    <w:p w14:paraId="6FEC7865" w14:textId="77777777" w:rsidR="00B03AE9" w:rsidRDefault="00A648F1" w:rsidP="00885ED6">
      <w:pPr>
        <w:rPr>
          <w:szCs w:val="22"/>
        </w:rPr>
      </w:pPr>
      <w:r>
        <w:rPr>
          <w:rFonts w:cs="Times New Roman"/>
          <w:szCs w:val="22"/>
        </w:rPr>
        <w:t xml:space="preserve">Plazmában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- és AUC-értéke egyenesen arányosan, lineárisan emelkedik azonnali hatóanyag-felszabadulású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3 mg és 6 mg közötti dózisainak </w:t>
      </w:r>
      <w:r>
        <w:rPr>
          <w:rFonts w:cs="Times New Roman"/>
          <w:i/>
          <w:szCs w:val="22"/>
        </w:rPr>
        <w:t xml:space="preserve">per </w:t>
      </w:r>
      <w:proofErr w:type="spellStart"/>
      <w:r>
        <w:rPr>
          <w:rFonts w:cs="Times New Roman"/>
          <w:i/>
          <w:szCs w:val="22"/>
        </w:rPr>
        <w:t>os</w:t>
      </w:r>
      <w:proofErr w:type="spellEnd"/>
      <w:r>
        <w:rPr>
          <w:rFonts w:cs="Times New Roman"/>
          <w:szCs w:val="22"/>
        </w:rPr>
        <w:t xml:space="preserve"> alkalmazása esetén, míg a </w:t>
      </w:r>
      <w:proofErr w:type="spellStart"/>
      <w:r>
        <w:rPr>
          <w:rFonts w:cs="Times New Roman"/>
          <w:szCs w:val="22"/>
        </w:rPr>
        <w:t>t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 és a plazma t</w:t>
      </w:r>
      <w:r>
        <w:rPr>
          <w:rFonts w:cs="Times New Roman"/>
          <w:szCs w:val="22"/>
          <w:vertAlign w:val="subscript"/>
        </w:rPr>
        <w:t>½</w:t>
      </w:r>
      <w:r>
        <w:rPr>
          <w:rFonts w:cs="Times New Roman"/>
          <w:szCs w:val="22"/>
        </w:rPr>
        <w:t xml:space="preserve"> értéke állandó marad.</w:t>
      </w:r>
    </w:p>
    <w:p w14:paraId="5DD39EB8" w14:textId="77777777" w:rsidR="00B03AE9" w:rsidRDefault="00B03AE9">
      <w:pPr>
        <w:rPr>
          <w:szCs w:val="22"/>
        </w:rPr>
      </w:pPr>
    </w:p>
    <w:p w14:paraId="1A7CE591" w14:textId="77777777" w:rsidR="00B03AE9" w:rsidRDefault="00A648F1" w:rsidP="00885ED6">
      <w:pPr>
        <w:keepNext/>
        <w:widowControl/>
        <w:rPr>
          <w:szCs w:val="22"/>
        </w:rPr>
      </w:pPr>
      <w:r>
        <w:rPr>
          <w:rFonts w:cs="Times New Roman"/>
          <w:szCs w:val="22"/>
          <w:u w:val="single"/>
        </w:rPr>
        <w:t>Nemek közötti különbség</w:t>
      </w:r>
    </w:p>
    <w:p w14:paraId="447FB4A8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Korlátozott adatok arra utalnak, hogy az azonnali hatóanyag-felszabadulású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bevétele után a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- és az AUC-érték magasabb lehet nőknél, mint férfiaknál (akár durván a kétszerese is), ugyanakkor a </w:t>
      </w:r>
      <w:proofErr w:type="spellStart"/>
      <w:r>
        <w:rPr>
          <w:rFonts w:cs="Times New Roman"/>
          <w:szCs w:val="22"/>
        </w:rPr>
        <w:t>farmakokinetikai</w:t>
      </w:r>
      <w:proofErr w:type="spellEnd"/>
      <w:r>
        <w:rPr>
          <w:rFonts w:cs="Times New Roman"/>
          <w:szCs w:val="22"/>
        </w:rPr>
        <w:t xml:space="preserve"> jellemzőkben nagy eltéréseket figyeltek meg.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plazma felezési idejét illetően a jelek szerint nincs jelentős eltérés férfiak és nők között.</w:t>
      </w:r>
    </w:p>
    <w:p w14:paraId="724267B8" w14:textId="77777777" w:rsidR="00B03AE9" w:rsidRDefault="00B03AE9">
      <w:pPr>
        <w:rPr>
          <w:szCs w:val="22"/>
        </w:rPr>
      </w:pPr>
    </w:p>
    <w:p w14:paraId="7892041D" w14:textId="77777777" w:rsidR="00B03AE9" w:rsidRDefault="00A648F1" w:rsidP="00885ED6">
      <w:pPr>
        <w:keepNext/>
        <w:widowControl/>
        <w:rPr>
          <w:szCs w:val="22"/>
          <w:u w:val="single"/>
        </w:rPr>
      </w:pPr>
      <w:r>
        <w:rPr>
          <w:rFonts w:cs="Times New Roman"/>
          <w:szCs w:val="22"/>
          <w:u w:val="single"/>
        </w:rPr>
        <w:t>Különleges betegcsoportok</w:t>
      </w:r>
    </w:p>
    <w:p w14:paraId="14B4B98F" w14:textId="77777777" w:rsidR="00B03AE9" w:rsidRDefault="00B03AE9">
      <w:pPr>
        <w:keepNext/>
        <w:widowControl/>
        <w:rPr>
          <w:szCs w:val="22"/>
        </w:rPr>
      </w:pPr>
    </w:p>
    <w:p w14:paraId="743F6183" w14:textId="77777777" w:rsidR="00B03AE9" w:rsidRDefault="00A648F1" w:rsidP="00885ED6">
      <w:pPr>
        <w:keepNext/>
        <w:widowControl/>
        <w:rPr>
          <w:i/>
          <w:szCs w:val="22"/>
        </w:rPr>
      </w:pPr>
      <w:r>
        <w:rPr>
          <w:rFonts w:cs="Times New Roman"/>
          <w:i/>
          <w:szCs w:val="22"/>
        </w:rPr>
        <w:t>Idősek</w:t>
      </w:r>
    </w:p>
    <w:p w14:paraId="3E8CD221" w14:textId="77777777" w:rsidR="00B03AE9" w:rsidRDefault="00A648F1" w:rsidP="00885ED6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Az endogén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éjszakai plazmakoncentrációja alacsonyabb időseknél, mint fiatal felnőtteknél. Az azonnali hatóanyag-felszabadulású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bevétele után a plazma </w:t>
      </w:r>
      <w:proofErr w:type="spellStart"/>
      <w:r>
        <w:rPr>
          <w:rFonts w:cs="Times New Roman"/>
          <w:szCs w:val="22"/>
        </w:rPr>
        <w:t>t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-értékével, </w:t>
      </w:r>
      <w:proofErr w:type="spellStart"/>
      <w:r>
        <w:rPr>
          <w:rFonts w:cs="Times New Roman"/>
          <w:szCs w:val="22"/>
        </w:rPr>
        <w:t>C</w:t>
      </w:r>
      <w:r>
        <w:rPr>
          <w:rFonts w:cs="Times New Roman"/>
          <w:szCs w:val="22"/>
          <w:vertAlign w:val="subscript"/>
        </w:rPr>
        <w:t>max</w:t>
      </w:r>
      <w:proofErr w:type="spellEnd"/>
      <w:r>
        <w:rPr>
          <w:rFonts w:cs="Times New Roman"/>
          <w:szCs w:val="22"/>
        </w:rPr>
        <w:t xml:space="preserve">-értékével, eliminációs felezési </w:t>
      </w:r>
      <w:proofErr w:type="spellStart"/>
      <w:r>
        <w:rPr>
          <w:rFonts w:cs="Times New Roman"/>
          <w:szCs w:val="22"/>
        </w:rPr>
        <w:t>idejével</w:t>
      </w:r>
      <w:proofErr w:type="spellEnd"/>
      <w:r>
        <w:rPr>
          <w:rFonts w:cs="Times New Roman"/>
          <w:szCs w:val="22"/>
        </w:rPr>
        <w:t xml:space="preserve"> (t</w:t>
      </w:r>
      <w:r>
        <w:rPr>
          <w:rFonts w:cs="Times New Roman"/>
          <w:szCs w:val="22"/>
          <w:vertAlign w:val="subscript"/>
        </w:rPr>
        <w:t>½</w:t>
      </w:r>
      <w:r>
        <w:rPr>
          <w:rFonts w:cs="Times New Roman"/>
          <w:szCs w:val="22"/>
        </w:rPr>
        <w:t>) és AUC-értékével kapcsolatos, korlátozott adatok alapján általában nincsenek jelentős különbségek fiatalabb felnőttek és idősek között, noha mindegyik paraméter esetében az értéktartomány (az egyének közötti eltérések) jellemzően magasabb időseknél.</w:t>
      </w:r>
    </w:p>
    <w:p w14:paraId="3B66196D" w14:textId="77777777" w:rsidR="00B03AE9" w:rsidRDefault="00B03AE9">
      <w:pPr>
        <w:rPr>
          <w:szCs w:val="22"/>
        </w:rPr>
      </w:pPr>
    </w:p>
    <w:p w14:paraId="56EA317B" w14:textId="77777777" w:rsidR="00B03AE9" w:rsidRDefault="00A648F1" w:rsidP="00885ED6">
      <w:pPr>
        <w:keepNext/>
        <w:widowControl/>
        <w:rPr>
          <w:i/>
          <w:szCs w:val="22"/>
        </w:rPr>
      </w:pPr>
      <w:r>
        <w:rPr>
          <w:rFonts w:cs="Times New Roman"/>
          <w:i/>
          <w:szCs w:val="22"/>
        </w:rPr>
        <w:t>Májkárosodás</w:t>
      </w:r>
    </w:p>
    <w:p w14:paraId="71790F13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Korlátozott adatok alapján az endogén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nappali koncentrációja a vérben kifejezetten magasabb májcirrózisos betegeknél, feltehetően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csökkent </w:t>
      </w:r>
      <w:proofErr w:type="spellStart"/>
      <w:r>
        <w:rPr>
          <w:rFonts w:cs="Times New Roman"/>
          <w:szCs w:val="22"/>
        </w:rPr>
        <w:t>clearance</w:t>
      </w:r>
      <w:proofErr w:type="spellEnd"/>
      <w:r>
        <w:rPr>
          <w:rFonts w:cs="Times New Roman"/>
          <w:szCs w:val="22"/>
        </w:rPr>
        <w:t xml:space="preserve">-e (metabolizmusa) miatt. Egy kisméretű vizsgálatban az </w:t>
      </w:r>
      <w:proofErr w:type="spellStart"/>
      <w:r>
        <w:rPr>
          <w:rFonts w:cs="Times New Roman"/>
          <w:szCs w:val="22"/>
        </w:rPr>
        <w:t>exogén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szérum t</w:t>
      </w:r>
      <w:r>
        <w:rPr>
          <w:rFonts w:cs="Times New Roman"/>
          <w:szCs w:val="22"/>
          <w:vertAlign w:val="subscript"/>
        </w:rPr>
        <w:t>½</w:t>
      </w:r>
      <w:r>
        <w:rPr>
          <w:rFonts w:cs="Times New Roman"/>
          <w:szCs w:val="22"/>
        </w:rPr>
        <w:t xml:space="preserve">-értéke </w:t>
      </w:r>
      <w:proofErr w:type="spellStart"/>
      <w:r>
        <w:rPr>
          <w:rFonts w:cs="Times New Roman"/>
          <w:szCs w:val="22"/>
        </w:rPr>
        <w:t>cirrózisos</w:t>
      </w:r>
      <w:proofErr w:type="spellEnd"/>
      <w:r>
        <w:rPr>
          <w:rFonts w:cs="Times New Roman"/>
          <w:szCs w:val="22"/>
        </w:rPr>
        <w:t xml:space="preserve"> betegeknél kétszerese volt annak, mint amit a kontrollalanyoknál mértek. Mivel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elsősorban a májban </w:t>
      </w:r>
      <w:proofErr w:type="spellStart"/>
      <w:r>
        <w:rPr>
          <w:rFonts w:cs="Times New Roman"/>
          <w:szCs w:val="22"/>
        </w:rPr>
        <w:t>metabolizálódik</w:t>
      </w:r>
      <w:proofErr w:type="spellEnd"/>
      <w:r>
        <w:rPr>
          <w:rFonts w:cs="Times New Roman"/>
          <w:szCs w:val="22"/>
        </w:rPr>
        <w:t xml:space="preserve">, arra lehet számítani, hogy a májkárosodás következtében az </w:t>
      </w:r>
      <w:proofErr w:type="spellStart"/>
      <w:r>
        <w:rPr>
          <w:rFonts w:cs="Times New Roman"/>
          <w:szCs w:val="22"/>
        </w:rPr>
        <w:t>exogén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expozíció emelkedik.</w:t>
      </w:r>
    </w:p>
    <w:p w14:paraId="4C445279" w14:textId="77777777" w:rsidR="00B03AE9" w:rsidRDefault="00B03AE9">
      <w:pPr>
        <w:rPr>
          <w:szCs w:val="22"/>
        </w:rPr>
      </w:pPr>
    </w:p>
    <w:p w14:paraId="741CCE7C" w14:textId="77777777" w:rsidR="00B03AE9" w:rsidRDefault="00A648F1" w:rsidP="00885ED6">
      <w:pPr>
        <w:keepNext/>
        <w:widowControl/>
        <w:rPr>
          <w:i/>
          <w:szCs w:val="22"/>
        </w:rPr>
      </w:pPr>
      <w:r>
        <w:rPr>
          <w:rFonts w:cs="Times New Roman"/>
          <w:i/>
          <w:szCs w:val="22"/>
        </w:rPr>
        <w:t>Vesekárosodás</w:t>
      </w:r>
    </w:p>
    <w:p w14:paraId="102A65C8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Szakirodalmi adatok alapján a stabil </w:t>
      </w:r>
      <w:proofErr w:type="spellStart"/>
      <w:r>
        <w:rPr>
          <w:rFonts w:cs="Times New Roman"/>
          <w:szCs w:val="22"/>
        </w:rPr>
        <w:t>hemodialízisben</w:t>
      </w:r>
      <w:proofErr w:type="spellEnd"/>
      <w:r>
        <w:rPr>
          <w:rFonts w:cs="Times New Roman"/>
          <w:szCs w:val="22"/>
        </w:rPr>
        <w:t xml:space="preserve"> részesülő betegeknél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nem halmozódik fel ismételt adagolást követően (3 mg 5 és 11 hét közötti </w:t>
      </w:r>
      <w:proofErr w:type="spellStart"/>
      <w:r>
        <w:rPr>
          <w:rFonts w:cs="Times New Roman"/>
          <w:szCs w:val="22"/>
        </w:rPr>
        <w:t>időszakbanen</w:t>
      </w:r>
      <w:proofErr w:type="spellEnd"/>
      <w:r>
        <w:rPr>
          <w:rFonts w:cs="Times New Roman"/>
          <w:szCs w:val="22"/>
        </w:rPr>
        <w:t xml:space="preserve"> keresztül). Mivel azonban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elsősorban </w:t>
      </w:r>
      <w:proofErr w:type="spellStart"/>
      <w:r>
        <w:rPr>
          <w:rFonts w:cs="Times New Roman"/>
          <w:szCs w:val="22"/>
        </w:rPr>
        <w:t>metabolitok</w:t>
      </w:r>
      <w:proofErr w:type="spellEnd"/>
      <w:r>
        <w:rPr>
          <w:rFonts w:cs="Times New Roman"/>
          <w:szCs w:val="22"/>
        </w:rPr>
        <w:t xml:space="preserve"> formájában a vizelettel ürül, a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metabolitjainak</w:t>
      </w:r>
      <w:proofErr w:type="spellEnd"/>
      <w:r>
        <w:rPr>
          <w:rFonts w:cs="Times New Roman"/>
          <w:szCs w:val="22"/>
        </w:rPr>
        <w:t xml:space="preserve"> plazmaszintjei várhatóan emelkednek azoknál a betegeknél, akiknek a vesekárosodása előrehaladottabb stádiumban van.</w:t>
      </w:r>
    </w:p>
    <w:p w14:paraId="458F7183" w14:textId="77777777" w:rsidR="00B03AE9" w:rsidRDefault="00B03AE9">
      <w:pPr>
        <w:rPr>
          <w:rFonts w:cs="Times New Roman"/>
          <w:iCs/>
          <w:szCs w:val="22"/>
        </w:rPr>
      </w:pPr>
    </w:p>
    <w:p w14:paraId="2B028FD9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5.3</w:t>
      </w:r>
      <w:r>
        <w:rPr>
          <w:rFonts w:cs="Times New Roman"/>
          <w:b/>
          <w:szCs w:val="22"/>
        </w:rPr>
        <w:tab/>
        <w:t xml:space="preserve">A </w:t>
      </w:r>
      <w:proofErr w:type="spellStart"/>
      <w:r>
        <w:rPr>
          <w:rFonts w:cs="Times New Roman"/>
          <w:b/>
          <w:szCs w:val="22"/>
        </w:rPr>
        <w:t>preklinikai</w:t>
      </w:r>
      <w:proofErr w:type="spellEnd"/>
      <w:r>
        <w:rPr>
          <w:rFonts w:cs="Times New Roman"/>
          <w:b/>
          <w:szCs w:val="22"/>
        </w:rPr>
        <w:t xml:space="preserve"> biztonságossági vizsgálatok eredményei</w:t>
      </w:r>
    </w:p>
    <w:p w14:paraId="1C5548D5" w14:textId="77777777" w:rsidR="00B03AE9" w:rsidRDefault="00B03AE9">
      <w:pPr>
        <w:keepNext/>
        <w:rPr>
          <w:rFonts w:cs="Times New Roman"/>
          <w:szCs w:val="22"/>
        </w:rPr>
      </w:pPr>
    </w:p>
    <w:p w14:paraId="0ED7D46C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A hagyományos – farmakológiai biztonságossági, ismételt adagolású dózistoxicitási, </w:t>
      </w:r>
      <w:proofErr w:type="spellStart"/>
      <w:r>
        <w:rPr>
          <w:rFonts w:cs="Times New Roman"/>
          <w:szCs w:val="22"/>
        </w:rPr>
        <w:t>genotoxicitási</w:t>
      </w:r>
      <w:proofErr w:type="spellEnd"/>
      <w:r>
        <w:rPr>
          <w:rFonts w:cs="Times New Roman"/>
          <w:szCs w:val="22"/>
        </w:rPr>
        <w:t xml:space="preserve"> és </w:t>
      </w:r>
      <w:proofErr w:type="spellStart"/>
      <w:r>
        <w:rPr>
          <w:rFonts w:cs="Times New Roman"/>
          <w:szCs w:val="22"/>
        </w:rPr>
        <w:t>karcinogenitási</w:t>
      </w:r>
      <w:proofErr w:type="spellEnd"/>
      <w:r>
        <w:rPr>
          <w:rFonts w:cs="Times New Roman"/>
          <w:szCs w:val="22"/>
        </w:rPr>
        <w:t xml:space="preserve"> – vizsgálatokból származó nem-klinikai jellegű adatok azt igazolták, hogy a készítmény alkalmazásakor humán vonatkozásban különleges kockázat nem várható. Nem</w:t>
      </w:r>
      <w:r w:rsidR="005A5CBE">
        <w:rPr>
          <w:rFonts w:cs="Times New Roman"/>
          <w:szCs w:val="22"/>
        </w:rPr>
        <w:t xml:space="preserve"> </w:t>
      </w:r>
      <w:r>
        <w:rPr>
          <w:rFonts w:cs="Times New Roman"/>
          <w:szCs w:val="22"/>
        </w:rPr>
        <w:t>klinikai vizsgálatokban csak a maximális humán expozíciót jóval meghaladó expozíciónak voltak következményei, melyeknek a klinikai alkalmazás szempontjából csekély a jelentősége.</w:t>
      </w:r>
    </w:p>
    <w:p w14:paraId="08FCD9D3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Vemhes egereknél egyetlen, nagy adag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intraperitoneális</w:t>
      </w:r>
      <w:proofErr w:type="spellEnd"/>
      <w:r>
        <w:rPr>
          <w:rFonts w:cs="Times New Roman"/>
          <w:szCs w:val="22"/>
        </w:rPr>
        <w:t xml:space="preserve"> beadása után a magzat testsúlya és hossza jellemzően kisebb volt, feltehetően </w:t>
      </w:r>
      <w:proofErr w:type="spellStart"/>
      <w:r>
        <w:rPr>
          <w:rFonts w:cs="Times New Roman"/>
          <w:szCs w:val="22"/>
        </w:rPr>
        <w:t>maternális</w:t>
      </w:r>
      <w:proofErr w:type="spellEnd"/>
      <w:r>
        <w:rPr>
          <w:rFonts w:cs="Times New Roman"/>
          <w:szCs w:val="22"/>
        </w:rPr>
        <w:t xml:space="preserve"> toxicitás miatt.</w:t>
      </w:r>
    </w:p>
    <w:p w14:paraId="673D3C08" w14:textId="77777777" w:rsidR="00B03AE9" w:rsidRDefault="00B03AE9">
      <w:pPr>
        <w:rPr>
          <w:rFonts w:cs="Times New Roman"/>
        </w:rPr>
      </w:pPr>
    </w:p>
    <w:p w14:paraId="3334EA94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 xml:space="preserve">Patkányoknál és pálmamókusoknál a hím és nőstény utódok nemi érésének késését figyelték meg a vemhesség alatti és az ellés utáni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-expozíciót követően. Ezek az adatok arra utalnak, hogy az </w:t>
      </w:r>
      <w:proofErr w:type="spellStart"/>
      <w:r>
        <w:rPr>
          <w:rFonts w:cs="Times New Roman"/>
          <w:szCs w:val="22"/>
        </w:rPr>
        <w:t>exogén</w:t>
      </w:r>
      <w:proofErr w:type="spellEnd"/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melatonin</w:t>
      </w:r>
      <w:proofErr w:type="spellEnd"/>
      <w:r>
        <w:rPr>
          <w:rFonts w:cs="Times New Roman"/>
          <w:szCs w:val="22"/>
        </w:rPr>
        <w:t xml:space="preserve"> átjut a placentán és </w:t>
      </w:r>
      <w:proofErr w:type="spellStart"/>
      <w:r>
        <w:rPr>
          <w:rFonts w:cs="Times New Roman"/>
          <w:szCs w:val="22"/>
        </w:rPr>
        <w:t>kiválasztódik</w:t>
      </w:r>
      <w:proofErr w:type="spellEnd"/>
      <w:r>
        <w:rPr>
          <w:rFonts w:cs="Times New Roman"/>
          <w:szCs w:val="22"/>
        </w:rPr>
        <w:t xml:space="preserve"> az anyatejbe, és ez befolyásolhatja az ontogenezist és a hipotalamusz-hipofízis-ivarmirigyek tengely aktiválódását. Mivel a patkány és a pálmamókus szezonális szaporodó állatok, nem lehet biztosan tudni, hogy ezek az eredmények mit jelentenek humán vonatkozásában.</w:t>
      </w:r>
    </w:p>
    <w:p w14:paraId="10180A48" w14:textId="77777777" w:rsidR="00B03AE9" w:rsidRDefault="00B03AE9">
      <w:pPr>
        <w:rPr>
          <w:rFonts w:cs="Times New Roman"/>
        </w:rPr>
      </w:pPr>
    </w:p>
    <w:p w14:paraId="054F2FD2" w14:textId="77777777" w:rsidR="00B03AE9" w:rsidRDefault="00B03AE9">
      <w:pPr>
        <w:keepNext/>
        <w:ind w:left="567" w:hanging="567"/>
        <w:rPr>
          <w:rFonts w:cs="Times New Roman"/>
          <w:szCs w:val="22"/>
        </w:rPr>
      </w:pPr>
    </w:p>
    <w:p w14:paraId="49EA3F97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</w:t>
      </w:r>
      <w:r>
        <w:rPr>
          <w:rFonts w:cs="Times New Roman"/>
          <w:b/>
          <w:szCs w:val="22"/>
        </w:rPr>
        <w:tab/>
        <w:t>GYÓGYSZERÉSZETI JELLEMZŐK</w:t>
      </w:r>
    </w:p>
    <w:p w14:paraId="3A965574" w14:textId="77777777" w:rsidR="00B03AE9" w:rsidRDefault="00B03AE9">
      <w:pPr>
        <w:keepNext/>
        <w:rPr>
          <w:rFonts w:cs="Times New Roman"/>
          <w:szCs w:val="22"/>
        </w:rPr>
      </w:pPr>
    </w:p>
    <w:p w14:paraId="34591590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6.1</w:t>
      </w:r>
      <w:r>
        <w:rPr>
          <w:rFonts w:cs="Times New Roman"/>
          <w:b/>
          <w:szCs w:val="22"/>
        </w:rPr>
        <w:tab/>
        <w:t>Segédanyagok felsorolása</w:t>
      </w:r>
    </w:p>
    <w:p w14:paraId="589D07A8" w14:textId="77777777" w:rsidR="00B03AE9" w:rsidRDefault="00B03AE9">
      <w:pPr>
        <w:keepNext/>
        <w:ind w:left="567" w:hanging="567"/>
        <w:rPr>
          <w:rFonts w:cs="Times New Roman"/>
          <w:szCs w:val="22"/>
        </w:rPr>
      </w:pPr>
    </w:p>
    <w:p w14:paraId="1B3BA9C6" w14:textId="77777777" w:rsidR="00B03AE9" w:rsidRDefault="00A648F1" w:rsidP="00885ED6">
      <w:pPr>
        <w:keepNext/>
        <w:widowControl/>
        <w:rPr>
          <w:rFonts w:cs="Times New Roman"/>
          <w:i/>
        </w:rPr>
      </w:pPr>
      <w:r>
        <w:rPr>
          <w:rFonts w:cs="Times New Roman"/>
          <w:i/>
          <w:szCs w:val="22"/>
        </w:rPr>
        <w:t>Tablettamag</w:t>
      </w:r>
    </w:p>
    <w:p w14:paraId="5AECE06D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>magnézium-</w:t>
      </w:r>
      <w:proofErr w:type="spellStart"/>
      <w:r>
        <w:rPr>
          <w:rFonts w:cs="Times New Roman"/>
          <w:szCs w:val="22"/>
        </w:rPr>
        <w:t>sztearát</w:t>
      </w:r>
      <w:proofErr w:type="spellEnd"/>
    </w:p>
    <w:p w14:paraId="4C6AAB16" w14:textId="77777777" w:rsidR="00B03AE9" w:rsidRDefault="00A648F1" w:rsidP="00885ED6">
      <w:pPr>
        <w:rPr>
          <w:rFonts w:cs="Times New Roman"/>
        </w:rPr>
      </w:pPr>
      <w:r>
        <w:rPr>
          <w:rFonts w:cs="Times New Roman"/>
          <w:szCs w:val="22"/>
        </w:rPr>
        <w:t>vízmentes kolloid szilícium-dioxid</w:t>
      </w:r>
    </w:p>
    <w:p w14:paraId="33323DA4" w14:textId="77777777" w:rsidR="00B03AE9" w:rsidRDefault="00A648F1">
      <w:pPr>
        <w:rPr>
          <w:rFonts w:cs="Times New Roman"/>
        </w:rPr>
      </w:pPr>
      <w:proofErr w:type="spellStart"/>
      <w:r>
        <w:rPr>
          <w:rFonts w:cs="Times New Roman"/>
          <w:szCs w:val="22"/>
        </w:rPr>
        <w:t>maltodextrin</w:t>
      </w:r>
      <w:proofErr w:type="spellEnd"/>
    </w:p>
    <w:p w14:paraId="29737D78" w14:textId="77777777" w:rsidR="00B03AE9" w:rsidRDefault="00A648F1">
      <w:pPr>
        <w:rPr>
          <w:rFonts w:cs="Times New Roman"/>
        </w:rPr>
      </w:pPr>
      <w:r>
        <w:rPr>
          <w:rFonts w:cs="Times New Roman"/>
          <w:szCs w:val="22"/>
        </w:rPr>
        <w:t>mikrokristályos cellulóz</w:t>
      </w:r>
    </w:p>
    <w:p w14:paraId="4EA1239C" w14:textId="77777777" w:rsidR="00B03AE9" w:rsidRDefault="00A648F1">
      <w:pPr>
        <w:rPr>
          <w:rFonts w:cs="Times New Roman"/>
        </w:rPr>
      </w:pPr>
      <w:proofErr w:type="spellStart"/>
      <w:r>
        <w:rPr>
          <w:rFonts w:cs="Times New Roman"/>
          <w:szCs w:val="22"/>
        </w:rPr>
        <w:t>kroszkarmellóz</w:t>
      </w:r>
      <w:proofErr w:type="spellEnd"/>
      <w:r>
        <w:rPr>
          <w:rFonts w:cs="Times New Roman"/>
          <w:szCs w:val="22"/>
        </w:rPr>
        <w:t>-nátrium</w:t>
      </w:r>
    </w:p>
    <w:p w14:paraId="16DFE84C" w14:textId="77777777" w:rsidR="00B03AE9" w:rsidRDefault="00B03AE9">
      <w:pPr>
        <w:rPr>
          <w:rFonts w:cs="Times New Roman"/>
        </w:rPr>
      </w:pPr>
    </w:p>
    <w:p w14:paraId="26DF702C" w14:textId="77777777" w:rsidR="00B03AE9" w:rsidRDefault="00A648F1" w:rsidP="00885ED6">
      <w:pPr>
        <w:keepNext/>
        <w:widowControl/>
        <w:rPr>
          <w:rFonts w:cs="Times New Roman"/>
          <w:i/>
        </w:rPr>
      </w:pPr>
      <w:r>
        <w:rPr>
          <w:rFonts w:cs="Times New Roman"/>
          <w:i/>
          <w:szCs w:val="22"/>
        </w:rPr>
        <w:t xml:space="preserve">Filmbevonat </w:t>
      </w:r>
    </w:p>
    <w:p w14:paraId="64DF032D" w14:textId="77777777" w:rsidR="00B03AE9" w:rsidRDefault="00A648F1">
      <w:pPr>
        <w:rPr>
          <w:rFonts w:cs="Times New Roman"/>
        </w:rPr>
      </w:pPr>
      <w:proofErr w:type="spellStart"/>
      <w:r>
        <w:rPr>
          <w:rFonts w:cs="Times New Roman"/>
          <w:szCs w:val="22"/>
        </w:rPr>
        <w:t>hipromellóz</w:t>
      </w:r>
      <w:proofErr w:type="spellEnd"/>
    </w:p>
    <w:p w14:paraId="5A89C238" w14:textId="77777777" w:rsidR="00B03AE9" w:rsidRDefault="00B03AE9">
      <w:pPr>
        <w:rPr>
          <w:rFonts w:cs="Times New Roman"/>
          <w:szCs w:val="22"/>
        </w:rPr>
      </w:pPr>
    </w:p>
    <w:p w14:paraId="71ECB542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6.2</w:t>
      </w:r>
      <w:r>
        <w:rPr>
          <w:rFonts w:cs="Times New Roman"/>
          <w:b/>
          <w:szCs w:val="22"/>
        </w:rPr>
        <w:tab/>
        <w:t>Inkompatibilitások</w:t>
      </w:r>
    </w:p>
    <w:p w14:paraId="20F299CB" w14:textId="77777777" w:rsidR="00B03AE9" w:rsidRDefault="00B03AE9">
      <w:pPr>
        <w:keepNext/>
        <w:rPr>
          <w:rFonts w:cs="Times New Roman"/>
          <w:szCs w:val="22"/>
        </w:rPr>
      </w:pPr>
    </w:p>
    <w:p w14:paraId="1602BB1E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Nem értelmezhető.</w:t>
      </w:r>
    </w:p>
    <w:p w14:paraId="01D1347C" w14:textId="77777777" w:rsidR="00B03AE9" w:rsidRDefault="00B03AE9">
      <w:pPr>
        <w:rPr>
          <w:rFonts w:cs="Times New Roman"/>
          <w:szCs w:val="22"/>
        </w:rPr>
      </w:pPr>
    </w:p>
    <w:p w14:paraId="51D73091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6.3</w:t>
      </w:r>
      <w:r>
        <w:rPr>
          <w:rFonts w:cs="Times New Roman"/>
          <w:b/>
          <w:szCs w:val="22"/>
        </w:rPr>
        <w:tab/>
        <w:t>Felhasználhatósági időtartam</w:t>
      </w:r>
    </w:p>
    <w:p w14:paraId="476F1B5F" w14:textId="77777777" w:rsidR="00B03AE9" w:rsidRDefault="00B03AE9">
      <w:pPr>
        <w:keepNext/>
        <w:rPr>
          <w:rFonts w:cs="Times New Roman"/>
          <w:szCs w:val="22"/>
        </w:rPr>
      </w:pPr>
    </w:p>
    <w:p w14:paraId="0C79DD30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3 év</w:t>
      </w:r>
    </w:p>
    <w:p w14:paraId="3A272D77" w14:textId="77777777" w:rsidR="00B03AE9" w:rsidRDefault="00B03AE9">
      <w:pPr>
        <w:rPr>
          <w:rFonts w:cs="Times New Roman"/>
          <w:szCs w:val="22"/>
        </w:rPr>
      </w:pPr>
    </w:p>
    <w:p w14:paraId="0C07FC76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6.4</w:t>
      </w:r>
      <w:r>
        <w:rPr>
          <w:rFonts w:cs="Times New Roman"/>
          <w:b/>
          <w:szCs w:val="22"/>
        </w:rPr>
        <w:tab/>
        <w:t>Különleges tárolási előírások</w:t>
      </w:r>
    </w:p>
    <w:p w14:paraId="296CE042" w14:textId="77777777" w:rsidR="00B03AE9" w:rsidRDefault="00B03AE9">
      <w:pPr>
        <w:keepNext/>
        <w:ind w:left="567" w:hanging="567"/>
        <w:rPr>
          <w:rFonts w:cs="Times New Roman"/>
          <w:szCs w:val="22"/>
        </w:rPr>
      </w:pPr>
    </w:p>
    <w:p w14:paraId="50E40FF4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Ez a gyógyszer különleges tárolási hőmérsékletet nem igényel.</w:t>
      </w:r>
    </w:p>
    <w:p w14:paraId="5844E486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A fénytől való védelem érdekében az eredeti csomagolásban tárolandó.</w:t>
      </w:r>
    </w:p>
    <w:p w14:paraId="65FFBD32" w14:textId="77777777" w:rsidR="00B03AE9" w:rsidRDefault="00B03AE9">
      <w:pPr>
        <w:rPr>
          <w:rFonts w:cs="Times New Roman"/>
          <w:szCs w:val="22"/>
        </w:rPr>
      </w:pPr>
    </w:p>
    <w:p w14:paraId="1F0A232C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6.5</w:t>
      </w:r>
      <w:r>
        <w:rPr>
          <w:rFonts w:cs="Times New Roman"/>
          <w:b/>
          <w:szCs w:val="22"/>
        </w:rPr>
        <w:tab/>
        <w:t>Csomagolás típusa és kiszerelése</w:t>
      </w:r>
    </w:p>
    <w:p w14:paraId="62F41A10" w14:textId="77777777" w:rsidR="00B03AE9" w:rsidRDefault="00B03AE9">
      <w:pPr>
        <w:keepNext/>
        <w:rPr>
          <w:rFonts w:cs="Times New Roman"/>
          <w:szCs w:val="22"/>
        </w:rPr>
      </w:pPr>
    </w:p>
    <w:p w14:paraId="4998B1CD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10 db filmtabletta átlátszó PVC/PVDC/alumínium buborékcsomagolásban és dobozban.</w:t>
      </w:r>
    </w:p>
    <w:p w14:paraId="01E9E516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30 db filmtabletta átlátszó PVC/PVDC/alumínium buborékcsomagolásban és dobozban.</w:t>
      </w:r>
    </w:p>
    <w:p w14:paraId="050627C8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60 db filmtabletta átlátszó PVC/PVDC/alumínium buborékcsomagolásban és dobozban.</w:t>
      </w:r>
    </w:p>
    <w:p w14:paraId="5830CC45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120 db filmtabletta átlátszó PVC/PVDC/alumínium buborékcsomagolásban és dobozban.</w:t>
      </w:r>
    </w:p>
    <w:p w14:paraId="63194EC4" w14:textId="77777777" w:rsidR="00B03AE9" w:rsidRDefault="00A648F1">
      <w:r>
        <w:rPr>
          <w:rFonts w:cs="Times New Roman"/>
          <w:szCs w:val="22"/>
        </w:rPr>
        <w:t>Nem feltétlenül mindegyik kiszerelés kerül kereskedelmi forgalomba.</w:t>
      </w:r>
    </w:p>
    <w:p w14:paraId="5CEFB2B5" w14:textId="77777777" w:rsidR="00B03AE9" w:rsidRDefault="00B03AE9">
      <w:pPr>
        <w:keepNext/>
        <w:rPr>
          <w:rFonts w:cs="Times New Roman"/>
          <w:szCs w:val="22"/>
        </w:rPr>
      </w:pPr>
    </w:p>
    <w:p w14:paraId="72A7AD1B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6.6</w:t>
      </w:r>
      <w:r>
        <w:rPr>
          <w:rFonts w:cs="Times New Roman"/>
          <w:b/>
          <w:szCs w:val="22"/>
        </w:rPr>
        <w:tab/>
        <w:t xml:space="preserve">A megsemmisítésre vonatkozó különleges óvintézkedések és egyéb, a készítmény </w:t>
      </w:r>
      <w:r>
        <w:rPr>
          <w:rFonts w:cs="Times New Roman"/>
          <w:b/>
          <w:szCs w:val="22"/>
        </w:rPr>
        <w:lastRenderedPageBreak/>
        <w:t>kezelésével kapcsolatos információk</w:t>
      </w:r>
    </w:p>
    <w:p w14:paraId="25A8DF78" w14:textId="77777777" w:rsidR="00B03AE9" w:rsidRDefault="00B03AE9">
      <w:pPr>
        <w:keepNext/>
        <w:rPr>
          <w:rFonts w:cs="Times New Roman"/>
          <w:szCs w:val="22"/>
        </w:rPr>
      </w:pPr>
    </w:p>
    <w:p w14:paraId="5A91BF68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Bármilyen fel nem használt gyógyszer, illetve hulladékanyag megsemmisítését a gyógyszerekre vonatkozó előírások szerint kell végrehajtani.</w:t>
      </w:r>
    </w:p>
    <w:p w14:paraId="2468D731" w14:textId="77777777" w:rsidR="00B03AE9" w:rsidRDefault="00B03AE9">
      <w:pPr>
        <w:rPr>
          <w:rFonts w:cs="Times New Roman"/>
          <w:szCs w:val="22"/>
        </w:rPr>
      </w:pPr>
    </w:p>
    <w:p w14:paraId="6514478B" w14:textId="77777777" w:rsidR="00B03AE9" w:rsidRDefault="00A648F1">
      <w:pPr>
        <w:suppressAutoHyphens w:val="0"/>
        <w:rPr>
          <w:rFonts w:cs="Times New Roman"/>
          <w:szCs w:val="22"/>
        </w:rPr>
      </w:pPr>
      <w:r>
        <w:rPr>
          <w:rFonts w:cs="Times New Roman"/>
          <w:b/>
          <w:color w:val="auto"/>
          <w:szCs w:val="22"/>
        </w:rPr>
        <w:t xml:space="preserve">Megjegyzés: </w:t>
      </w:r>
      <w:r>
        <w:rPr>
          <w:rFonts w:cs="Times New Roman"/>
          <w:color w:val="auto"/>
          <w:szCs w:val="22"/>
        </w:rPr>
        <w:t>(keresztjelzés nélküli)</w:t>
      </w:r>
    </w:p>
    <w:p w14:paraId="56098A0B" w14:textId="77777777" w:rsidR="00B03AE9" w:rsidRDefault="00A648F1">
      <w:pPr>
        <w:suppressAutoHyphens w:val="0"/>
        <w:rPr>
          <w:rFonts w:cs="Times New Roman"/>
          <w:szCs w:val="22"/>
        </w:rPr>
      </w:pPr>
      <w:r>
        <w:rPr>
          <w:rFonts w:cs="Times New Roman"/>
          <w:b/>
          <w:color w:val="auto"/>
          <w:szCs w:val="22"/>
        </w:rPr>
        <w:t>Osztályozás: I. csoport</w:t>
      </w:r>
    </w:p>
    <w:p w14:paraId="4701AD13" w14:textId="77777777" w:rsidR="00B03AE9" w:rsidRDefault="00A648F1">
      <w:pPr>
        <w:suppressAutoHyphens w:val="0"/>
        <w:rPr>
          <w:rFonts w:cs="Times New Roman"/>
          <w:szCs w:val="22"/>
        </w:rPr>
      </w:pPr>
      <w:r>
        <w:rPr>
          <w:rFonts w:cs="Times New Roman"/>
          <w:color w:val="auto"/>
          <w:szCs w:val="22"/>
        </w:rPr>
        <w:t>Orvosi rendelvény nélkül is kiadható gyógyszer (VN).</w:t>
      </w:r>
    </w:p>
    <w:p w14:paraId="26598D04" w14:textId="77777777" w:rsidR="00B03AE9" w:rsidRDefault="00B03AE9">
      <w:pPr>
        <w:rPr>
          <w:rFonts w:cs="Times New Roman"/>
          <w:color w:val="auto"/>
          <w:szCs w:val="22"/>
        </w:rPr>
      </w:pPr>
    </w:p>
    <w:p w14:paraId="5483A77F" w14:textId="77777777" w:rsidR="00B03AE9" w:rsidRDefault="00B03AE9">
      <w:pPr>
        <w:rPr>
          <w:rFonts w:cs="Times New Roman"/>
          <w:color w:val="auto"/>
          <w:szCs w:val="22"/>
        </w:rPr>
      </w:pPr>
    </w:p>
    <w:p w14:paraId="59BD9332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7.</w:t>
      </w:r>
      <w:r>
        <w:rPr>
          <w:rFonts w:cs="Times New Roman"/>
          <w:b/>
          <w:szCs w:val="22"/>
        </w:rPr>
        <w:tab/>
        <w:t>A FORGALOMBA HOZATALI ENGEDÉLY JOGOSULTJA</w:t>
      </w:r>
    </w:p>
    <w:p w14:paraId="58C4B9C2" w14:textId="77777777" w:rsidR="00B03AE9" w:rsidRDefault="00B03AE9">
      <w:pPr>
        <w:keepNext/>
        <w:rPr>
          <w:rFonts w:cs="Times New Roman"/>
          <w:szCs w:val="22"/>
        </w:rPr>
      </w:pPr>
    </w:p>
    <w:p w14:paraId="6A63BA1E" w14:textId="77777777" w:rsidR="006E338C" w:rsidRPr="002E45AB" w:rsidRDefault="006E338C" w:rsidP="006E338C">
      <w:pPr>
        <w:suppressAutoHyphens w:val="0"/>
        <w:jc w:val="both"/>
        <w:rPr>
          <w:bCs/>
          <w:szCs w:val="22"/>
        </w:rPr>
      </w:pPr>
      <w:bookmarkStart w:id="0" w:name="_Hlk216100716"/>
      <w:r w:rsidRPr="002E45AB">
        <w:rPr>
          <w:bCs/>
          <w:szCs w:val="22"/>
        </w:rPr>
        <w:t xml:space="preserve">Pharma </w:t>
      </w:r>
      <w:proofErr w:type="spellStart"/>
      <w:r w:rsidRPr="002E45AB">
        <w:rPr>
          <w:bCs/>
          <w:szCs w:val="22"/>
        </w:rPr>
        <w:t>Nord</w:t>
      </w:r>
      <w:proofErr w:type="spellEnd"/>
      <w:r w:rsidRPr="002E45AB">
        <w:rPr>
          <w:bCs/>
          <w:szCs w:val="22"/>
        </w:rPr>
        <w:t xml:space="preserve"> </w:t>
      </w:r>
      <w:proofErr w:type="spellStart"/>
      <w:r w:rsidRPr="002E45AB">
        <w:rPr>
          <w:bCs/>
          <w:szCs w:val="22"/>
        </w:rPr>
        <w:t>Medical</w:t>
      </w:r>
      <w:proofErr w:type="spellEnd"/>
      <w:r w:rsidRPr="002E45AB">
        <w:rPr>
          <w:bCs/>
          <w:szCs w:val="22"/>
        </w:rPr>
        <w:t xml:space="preserve"> Kft.</w:t>
      </w:r>
    </w:p>
    <w:bookmarkEnd w:id="0"/>
    <w:p w14:paraId="0EE7FC0D" w14:textId="77777777" w:rsidR="006E338C" w:rsidRPr="002E45AB" w:rsidRDefault="006E338C" w:rsidP="006E338C">
      <w:pPr>
        <w:suppressAutoHyphens w:val="0"/>
        <w:jc w:val="both"/>
        <w:rPr>
          <w:bCs/>
          <w:szCs w:val="22"/>
        </w:rPr>
      </w:pPr>
      <w:r w:rsidRPr="002E45AB">
        <w:rPr>
          <w:bCs/>
          <w:szCs w:val="22"/>
        </w:rPr>
        <w:t>1139 Budapest,</w:t>
      </w:r>
    </w:p>
    <w:p w14:paraId="74BD2874" w14:textId="77777777" w:rsidR="006E338C" w:rsidRPr="002E45AB" w:rsidRDefault="006E338C" w:rsidP="006E338C">
      <w:pPr>
        <w:suppressAutoHyphens w:val="0"/>
        <w:jc w:val="both"/>
        <w:rPr>
          <w:bCs/>
          <w:szCs w:val="22"/>
        </w:rPr>
      </w:pPr>
      <w:r w:rsidRPr="002E45AB">
        <w:rPr>
          <w:bCs/>
          <w:szCs w:val="22"/>
        </w:rPr>
        <w:t>Váci út 95.</w:t>
      </w:r>
    </w:p>
    <w:p w14:paraId="6A72C1AF" w14:textId="77777777" w:rsidR="00B03AE9" w:rsidRDefault="00B03AE9">
      <w:pPr>
        <w:rPr>
          <w:rFonts w:cs="Times New Roman"/>
          <w:szCs w:val="22"/>
        </w:rPr>
      </w:pPr>
    </w:p>
    <w:p w14:paraId="4F7D397B" w14:textId="77777777" w:rsidR="00B03AE9" w:rsidRDefault="00B03AE9">
      <w:pPr>
        <w:rPr>
          <w:rFonts w:cs="Times New Roman"/>
          <w:szCs w:val="22"/>
        </w:rPr>
      </w:pPr>
    </w:p>
    <w:p w14:paraId="1212F489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8.</w:t>
      </w:r>
      <w:r>
        <w:rPr>
          <w:rFonts w:cs="Times New Roman"/>
          <w:b/>
          <w:szCs w:val="22"/>
        </w:rPr>
        <w:tab/>
        <w:t>A FORGALOMBA HOZATALI ENGEDÉLY SZÁMA(I)</w:t>
      </w:r>
    </w:p>
    <w:p w14:paraId="7C3BDEDE" w14:textId="77777777" w:rsidR="00B03AE9" w:rsidRDefault="00B03AE9">
      <w:pPr>
        <w:keepNext/>
        <w:widowControl/>
        <w:rPr>
          <w:rFonts w:cs="Times New Roman"/>
        </w:rPr>
      </w:pPr>
    </w:p>
    <w:p w14:paraId="1FE1E635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OGYI-T-23564/01</w:t>
      </w:r>
      <w:r>
        <w:rPr>
          <w:rFonts w:cs="Times New Roman"/>
          <w:szCs w:val="22"/>
        </w:rPr>
        <w:tab/>
        <w:t>30×</w:t>
      </w:r>
    </w:p>
    <w:p w14:paraId="384946F6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OGYI-T-23564/02</w:t>
      </w:r>
      <w:r>
        <w:rPr>
          <w:rFonts w:cs="Times New Roman"/>
          <w:szCs w:val="22"/>
        </w:rPr>
        <w:tab/>
        <w:t>60×</w:t>
      </w:r>
    </w:p>
    <w:p w14:paraId="6E341EAF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OGYI-T-23564/03</w:t>
      </w:r>
      <w:r>
        <w:rPr>
          <w:rFonts w:cs="Times New Roman"/>
          <w:szCs w:val="22"/>
        </w:rPr>
        <w:tab/>
        <w:t>120×</w:t>
      </w:r>
    </w:p>
    <w:p w14:paraId="608A1F2D" w14:textId="77777777" w:rsidR="00B03AE9" w:rsidRDefault="00A648F1">
      <w:pPr>
        <w:rPr>
          <w:rFonts w:cs="Times New Roman"/>
          <w:szCs w:val="22"/>
        </w:rPr>
      </w:pPr>
      <w:r>
        <w:rPr>
          <w:rFonts w:cs="Times New Roman"/>
          <w:szCs w:val="22"/>
        </w:rPr>
        <w:t>OGYI-T-23564/04</w:t>
      </w:r>
      <w:r>
        <w:rPr>
          <w:rFonts w:cs="Times New Roman"/>
          <w:szCs w:val="22"/>
        </w:rPr>
        <w:tab/>
        <w:t>10×</w:t>
      </w:r>
    </w:p>
    <w:p w14:paraId="2DDAE813" w14:textId="77777777" w:rsidR="00B03AE9" w:rsidRDefault="00B03AE9">
      <w:pPr>
        <w:rPr>
          <w:rFonts w:cs="Times New Roman"/>
          <w:szCs w:val="22"/>
        </w:rPr>
      </w:pPr>
    </w:p>
    <w:p w14:paraId="4205FBDE" w14:textId="77777777" w:rsidR="00B03AE9" w:rsidRDefault="00B03AE9">
      <w:pPr>
        <w:rPr>
          <w:rFonts w:cs="Times New Roman"/>
        </w:rPr>
      </w:pPr>
    </w:p>
    <w:p w14:paraId="7A9C3AC1" w14:textId="77777777" w:rsidR="00B03AE9" w:rsidRDefault="00A648F1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9.</w:t>
      </w:r>
      <w:r>
        <w:rPr>
          <w:rFonts w:cs="Times New Roman"/>
          <w:b/>
          <w:szCs w:val="22"/>
        </w:rPr>
        <w:tab/>
        <w:t>A FORGALOMBA HOZATALI ENGEDÉLY ELSŐ KIADÁSÁNAK/ MEGÚJÍTÁSÁNAK DÁTUMA</w:t>
      </w:r>
    </w:p>
    <w:p w14:paraId="5686E66A" w14:textId="77777777" w:rsidR="00B03AE9" w:rsidRDefault="00B03AE9">
      <w:pPr>
        <w:keepNext/>
        <w:rPr>
          <w:rFonts w:cs="Times New Roman"/>
          <w:i/>
          <w:szCs w:val="22"/>
        </w:rPr>
      </w:pPr>
    </w:p>
    <w:p w14:paraId="1042445B" w14:textId="77777777" w:rsidR="00B03AE9" w:rsidRDefault="00A648F1">
      <w:pPr>
        <w:keepNext/>
        <w:rPr>
          <w:rFonts w:cs="Times New Roman"/>
          <w:szCs w:val="22"/>
        </w:rPr>
      </w:pPr>
      <w:r>
        <w:rPr>
          <w:rFonts w:cs="Times New Roman"/>
          <w:szCs w:val="22"/>
        </w:rPr>
        <w:t>A forgalomba hozatali engedély első kiadásának dátuma: 2019. június 25.</w:t>
      </w:r>
    </w:p>
    <w:p w14:paraId="59451459" w14:textId="77777777" w:rsidR="00B03AE9" w:rsidRDefault="00B03AE9">
      <w:pPr>
        <w:rPr>
          <w:rFonts w:cs="Times New Roman"/>
          <w:szCs w:val="22"/>
        </w:rPr>
      </w:pPr>
    </w:p>
    <w:p w14:paraId="4A2A8A80" w14:textId="77777777" w:rsidR="00B03AE9" w:rsidRDefault="00B03AE9">
      <w:pPr>
        <w:rPr>
          <w:rFonts w:cs="Times New Roman"/>
          <w:szCs w:val="22"/>
        </w:rPr>
      </w:pPr>
    </w:p>
    <w:p w14:paraId="5D10271E" w14:textId="77777777" w:rsidR="00B03AE9" w:rsidRDefault="00A648F1" w:rsidP="00885ED6">
      <w:pPr>
        <w:keepNext/>
        <w:ind w:left="567" w:hanging="567"/>
        <w:rPr>
          <w:rFonts w:cs="Times New Roman"/>
          <w:szCs w:val="22"/>
        </w:rPr>
      </w:pPr>
      <w:r>
        <w:rPr>
          <w:rFonts w:cs="Times New Roman"/>
          <w:b/>
          <w:szCs w:val="22"/>
        </w:rPr>
        <w:t>10.</w:t>
      </w:r>
      <w:r>
        <w:rPr>
          <w:rFonts w:cs="Times New Roman"/>
          <w:b/>
          <w:szCs w:val="22"/>
        </w:rPr>
        <w:tab/>
        <w:t>A SZÖVEG ELLENŐRZÉSÉNEK DÁTUMA:</w:t>
      </w:r>
    </w:p>
    <w:p w14:paraId="4FB982D6" w14:textId="77777777" w:rsidR="00B03AE9" w:rsidRDefault="00B03AE9">
      <w:pPr>
        <w:rPr>
          <w:rFonts w:cs="Times New Roman"/>
          <w:szCs w:val="22"/>
        </w:rPr>
      </w:pPr>
    </w:p>
    <w:p w14:paraId="1ADD3CE3" w14:textId="62D745CA" w:rsidR="00B03AE9" w:rsidRDefault="006E338C">
      <w:pPr>
        <w:ind w:left="567" w:hanging="567"/>
      </w:pPr>
      <w:r>
        <w:rPr>
          <w:rFonts w:cs="Times New Roman"/>
          <w:szCs w:val="22"/>
        </w:rPr>
        <w:t>2025. december 04.</w:t>
      </w:r>
    </w:p>
    <w:sectPr w:rsidR="00B03AE9" w:rsidSect="00885ED6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98B0F" w14:textId="77777777" w:rsidR="00941C2F" w:rsidRDefault="00941C2F">
      <w:r>
        <w:separator/>
      </w:r>
    </w:p>
  </w:endnote>
  <w:endnote w:type="continuationSeparator" w:id="0">
    <w:p w14:paraId="32E775D3" w14:textId="77777777" w:rsidR="00941C2F" w:rsidRDefault="0094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ohit Devanagari">
    <w:altName w:val="Calibri"/>
    <w:charset w:val="01"/>
    <w:family w:val="auto"/>
    <w:pitch w:val="default"/>
  </w:font>
  <w:font w:name="Times">
    <w:panose1 w:val="02020603050405020304"/>
    <w:charset w:val="01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03D62" w14:textId="779D414D" w:rsidR="00AC6D51" w:rsidRDefault="006E338C">
    <w:pPr>
      <w:pStyle w:val="llb"/>
    </w:pPr>
    <w:r>
      <w:rPr>
        <w:sz w:val="18"/>
        <w:szCs w:val="18"/>
      </w:rPr>
      <w:t>NNGYK/ETGY/31856/2025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27BE0" w14:textId="77777777" w:rsidR="00941C2F" w:rsidRDefault="00941C2F">
      <w:r>
        <w:separator/>
      </w:r>
    </w:p>
  </w:footnote>
  <w:footnote w:type="continuationSeparator" w:id="0">
    <w:p w14:paraId="786B2048" w14:textId="77777777" w:rsidR="00941C2F" w:rsidRDefault="0094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D44DC" w14:textId="77777777" w:rsidR="00AC6D51" w:rsidRPr="00885ED6" w:rsidRDefault="00AC6D51" w:rsidP="00885ED6">
    <w:pPr>
      <w:pStyle w:val="lfej"/>
      <w:jc w:val="center"/>
      <w:rPr>
        <w:sz w:val="18"/>
        <w:szCs w:val="18"/>
      </w:rPr>
    </w:pPr>
    <w:r w:rsidRPr="00885ED6">
      <w:rPr>
        <w:sz w:val="18"/>
        <w:szCs w:val="18"/>
      </w:rPr>
      <w:fldChar w:fldCharType="begin"/>
    </w:r>
    <w:r w:rsidRPr="00885ED6">
      <w:rPr>
        <w:sz w:val="18"/>
        <w:szCs w:val="18"/>
      </w:rPr>
      <w:instrText>PAGE   \* MERGEFORMAT</w:instrText>
    </w:r>
    <w:r w:rsidRPr="00885ED6">
      <w:rPr>
        <w:sz w:val="18"/>
        <w:szCs w:val="18"/>
      </w:rPr>
      <w:fldChar w:fldCharType="separate"/>
    </w:r>
    <w:r w:rsidR="00885ED6">
      <w:rPr>
        <w:noProof/>
        <w:sz w:val="18"/>
        <w:szCs w:val="18"/>
      </w:rPr>
      <w:t>10</w:t>
    </w:r>
    <w:r w:rsidRPr="00885ED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F0886"/>
    <w:multiLevelType w:val="multilevel"/>
    <w:tmpl w:val="7480E212"/>
    <w:lvl w:ilvl="0">
      <w:start w:val="1"/>
      <w:numFmt w:val="none"/>
      <w:pStyle w:val="Cmsor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Cmsor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191921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activeWritingStyle w:appName="MSWord" w:lang="de-DE" w:vendorID="64" w:dllVersion="6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AE9"/>
    <w:rsid w:val="00076C13"/>
    <w:rsid w:val="001A07B2"/>
    <w:rsid w:val="002E45AB"/>
    <w:rsid w:val="00387072"/>
    <w:rsid w:val="003B63F1"/>
    <w:rsid w:val="0059247E"/>
    <w:rsid w:val="005A5CBE"/>
    <w:rsid w:val="00623512"/>
    <w:rsid w:val="006E09A7"/>
    <w:rsid w:val="006E338C"/>
    <w:rsid w:val="00715CC1"/>
    <w:rsid w:val="00807C58"/>
    <w:rsid w:val="00885ED6"/>
    <w:rsid w:val="00933D5D"/>
    <w:rsid w:val="00941C2F"/>
    <w:rsid w:val="00A648F1"/>
    <w:rsid w:val="00AC6D51"/>
    <w:rsid w:val="00B03AE9"/>
    <w:rsid w:val="00B630E0"/>
    <w:rsid w:val="00B83A88"/>
    <w:rsid w:val="00C21BC1"/>
    <w:rsid w:val="00F5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08E7A"/>
  <w15:docId w15:val="{3DFC3B03-7A7B-456C-9157-8DF5A0FE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Yu Mincho" w:cs="FreeSans"/>
      <w:color w:val="000000"/>
      <w:kern w:val="2"/>
      <w:sz w:val="22"/>
      <w:szCs w:val="24"/>
      <w:lang w:eastAsia="zh-CN" w:bidi="hi-IN"/>
    </w:rPr>
  </w:style>
  <w:style w:type="paragraph" w:styleId="Cmsor1">
    <w:name w:val="heading 1"/>
    <w:basedOn w:val="Heading"/>
    <w:qFormat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Cmsor2">
    <w:name w:val="heading 2"/>
    <w:basedOn w:val="Heading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Cmsor3">
    <w:name w:val="heading 3"/>
    <w:basedOn w:val="Heading"/>
    <w:qFormat/>
    <w:pPr>
      <w:numPr>
        <w:ilvl w:val="2"/>
        <w:numId w:val="1"/>
      </w:numPr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  <w:color w:val="000000"/>
      <w:sz w:val="24"/>
      <w:szCs w:val="24"/>
      <w:lang w:val="en-US"/>
    </w:rPr>
  </w:style>
  <w:style w:type="character" w:customStyle="1" w:styleId="WW8Num3z0">
    <w:name w:val="WW8Num3z0"/>
    <w:qFormat/>
    <w:rPr>
      <w:rFonts w:ascii="Symbol" w:hAnsi="Symbol" w:cs="Symbol"/>
      <w:color w:val="000000"/>
      <w:sz w:val="24"/>
      <w:szCs w:val="24"/>
      <w:lang w:val="en-US"/>
    </w:rPr>
  </w:style>
  <w:style w:type="character" w:customStyle="1" w:styleId="Bekezdsalapbettpusa3">
    <w:name w:val="Bekezdés alapbetűtípusa3"/>
    <w:qFormat/>
  </w:style>
  <w:style w:type="character" w:customStyle="1" w:styleId="Bekezdsalapbettpusa2">
    <w:name w:val="Bekezdés alapbetűtípusa2"/>
    <w:qFormat/>
  </w:style>
  <w:style w:type="character" w:customStyle="1" w:styleId="Absatz-Standardschriftart4">
    <w:name w:val="Absatz-Standardschriftart4"/>
    <w:qFormat/>
  </w:style>
  <w:style w:type="character" w:customStyle="1" w:styleId="Absatz-Standardschriftart3">
    <w:name w:val="Absatz-Standardschriftart3"/>
    <w:qFormat/>
  </w:style>
  <w:style w:type="character" w:customStyle="1" w:styleId="Absatz-Standardschriftart2">
    <w:name w:val="Absatz-Standardschriftart2"/>
    <w:qFormat/>
  </w:style>
  <w:style w:type="character" w:customStyle="1" w:styleId="WW8Num2z1">
    <w:name w:val="WW8Num2z1"/>
    <w:qFormat/>
    <w:rPr>
      <w:sz w:val="24"/>
      <w:szCs w:val="24"/>
      <w:lang w:val="hu-HU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4z0">
    <w:name w:val="WW8Num4z0"/>
    <w:qFormat/>
    <w:rPr>
      <w:rFonts w:ascii="Symbol" w:hAnsi="Symbol" w:cs="Symbol"/>
      <w:color w:val="000000"/>
      <w:sz w:val="24"/>
      <w:szCs w:val="24"/>
      <w:lang w:val="hu-HU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Absatz-Standardschriftart1">
    <w:name w:val="Absatz-Standardschriftart1"/>
    <w:qFormat/>
  </w:style>
  <w:style w:type="character" w:customStyle="1" w:styleId="Standaardalinea-lettertype">
    <w:name w:val="Standaardalinea-lettertype"/>
    <w:qFormat/>
  </w:style>
  <w:style w:type="character" w:customStyle="1" w:styleId="Bekezdsalapbettpusa1">
    <w:name w:val="Bekezdés alapbetűtípusa1"/>
    <w:qFormat/>
  </w:style>
  <w:style w:type="character" w:customStyle="1" w:styleId="Standaardalinea-lettertype1">
    <w:name w:val="Standaardalinea-lettertype1"/>
    <w:qFormat/>
  </w:style>
  <w:style w:type="character" w:customStyle="1" w:styleId="Verwijzingopmerking1">
    <w:name w:val="Verwijzing opmerking1"/>
    <w:qFormat/>
    <w:rPr>
      <w:sz w:val="16"/>
      <w:szCs w:val="16"/>
      <w:lang w:val="hu-HU"/>
    </w:rPr>
  </w:style>
  <w:style w:type="character" w:customStyle="1" w:styleId="InternetLink">
    <w:name w:val="Internet Link"/>
    <w:rPr>
      <w:color w:val="0000FF"/>
      <w:u w:val="single"/>
      <w:lang w:val="hu-HU"/>
    </w:rPr>
  </w:style>
  <w:style w:type="character" w:customStyle="1" w:styleId="Bullets">
    <w:name w:val="Bullets"/>
    <w:qFormat/>
    <w:rPr>
      <w:rFonts w:ascii="OpenSymbol" w:eastAsia="OpenSymbol" w:hAnsi="OpenSymbol" w:cs="OpenSymbol"/>
      <w:lang w:val="hu-HU"/>
    </w:rPr>
  </w:style>
  <w:style w:type="character" w:customStyle="1" w:styleId="BallontekstChar">
    <w:name w:val="Ballontekst Char"/>
    <w:qFormat/>
    <w:rPr>
      <w:rFonts w:ascii="Tahoma" w:eastAsia="DejaVu Sans" w:hAnsi="Tahoma" w:cs="Mangal"/>
      <w:kern w:val="2"/>
      <w:sz w:val="16"/>
      <w:szCs w:val="14"/>
      <w:lang w:val="hu-HU" w:bidi="hi-IN"/>
    </w:rPr>
  </w:style>
  <w:style w:type="character" w:customStyle="1" w:styleId="Jegyzethivatkozs1">
    <w:name w:val="Jegyzethivatkozás1"/>
    <w:qFormat/>
    <w:rPr>
      <w:sz w:val="16"/>
      <w:szCs w:val="16"/>
      <w:lang w:val="hu-HU"/>
    </w:rPr>
  </w:style>
  <w:style w:type="character" w:customStyle="1" w:styleId="JegyzetszvegChar">
    <w:name w:val="Jegyzetszöveg Char"/>
    <w:qFormat/>
    <w:rPr>
      <w:rFonts w:eastAsia="DejaVu Sans" w:cs="Mangal"/>
      <w:kern w:val="2"/>
      <w:szCs w:val="18"/>
      <w:lang w:val="hu-HU" w:bidi="hi-IN"/>
    </w:rPr>
  </w:style>
  <w:style w:type="character" w:customStyle="1" w:styleId="MegjegyzstrgyaChar">
    <w:name w:val="Megjegyzés tárgya Char"/>
    <w:qFormat/>
    <w:rPr>
      <w:rFonts w:eastAsia="DejaVu Sans" w:cs="Mangal"/>
      <w:b/>
      <w:bCs/>
      <w:kern w:val="2"/>
      <w:szCs w:val="18"/>
      <w:lang w:val="hu-HU" w:bidi="hi-IN"/>
    </w:rPr>
  </w:style>
  <w:style w:type="character" w:customStyle="1" w:styleId="BallontekstChar1">
    <w:name w:val="Ballontekst Char1"/>
    <w:qFormat/>
    <w:rPr>
      <w:rFonts w:ascii="Tahoma" w:eastAsia="DejaVu Sans" w:hAnsi="Tahoma" w:cs="Mangal"/>
      <w:kern w:val="2"/>
      <w:sz w:val="16"/>
      <w:szCs w:val="14"/>
      <w:lang w:val="hu-HU" w:bidi="hi-IN"/>
    </w:rPr>
  </w:style>
  <w:style w:type="character" w:customStyle="1" w:styleId="SprechblasentextZchn">
    <w:name w:val="Sprechblasentext Zchn"/>
    <w:qFormat/>
    <w:rPr>
      <w:rFonts w:ascii="Tahoma" w:eastAsia="DejaVu Sans" w:hAnsi="Tahoma" w:cs="Mangal"/>
      <w:kern w:val="2"/>
      <w:sz w:val="16"/>
      <w:szCs w:val="14"/>
      <w:lang w:val="hu-HU" w:bidi="hi-IN"/>
    </w:rPr>
  </w:style>
  <w:style w:type="character" w:customStyle="1" w:styleId="Kommentarzeichen1">
    <w:name w:val="Kommentarzeichen1"/>
    <w:qFormat/>
    <w:rPr>
      <w:sz w:val="16"/>
      <w:szCs w:val="16"/>
      <w:lang w:val="hu-HU"/>
    </w:rPr>
  </w:style>
  <w:style w:type="character" w:customStyle="1" w:styleId="KommentartextZchn">
    <w:name w:val="Kommentartext Zchn"/>
    <w:qFormat/>
    <w:rPr>
      <w:rFonts w:eastAsia="DejaVu Sans" w:cs="Mangal"/>
      <w:kern w:val="2"/>
      <w:szCs w:val="18"/>
      <w:lang w:val="hu-HU" w:bidi="hi-IN"/>
    </w:rPr>
  </w:style>
  <w:style w:type="character" w:customStyle="1" w:styleId="KommentarthemaZchn">
    <w:name w:val="Kommentarthema Zchn"/>
    <w:qFormat/>
    <w:rPr>
      <w:rFonts w:eastAsia="DejaVu Sans" w:cs="Mangal"/>
      <w:b/>
      <w:bCs/>
      <w:kern w:val="2"/>
      <w:szCs w:val="18"/>
      <w:lang w:val="hu-HU" w:bidi="hi-IN"/>
    </w:rPr>
  </w:style>
  <w:style w:type="character" w:customStyle="1" w:styleId="Kommentarzeichen2">
    <w:name w:val="Kommentarzeichen2"/>
    <w:qFormat/>
    <w:rPr>
      <w:sz w:val="16"/>
      <w:szCs w:val="16"/>
      <w:lang w:val="hu-HU"/>
    </w:rPr>
  </w:style>
  <w:style w:type="character" w:customStyle="1" w:styleId="KommentartextZchn1">
    <w:name w:val="Kommentartext Zchn1"/>
    <w:qFormat/>
    <w:rPr>
      <w:rFonts w:eastAsia="DejaVu Sans" w:cs="Mangal"/>
      <w:kern w:val="2"/>
      <w:szCs w:val="18"/>
      <w:lang w:val="hu-HU" w:bidi="hi-IN"/>
    </w:rPr>
  </w:style>
  <w:style w:type="character" w:customStyle="1" w:styleId="Kommentarzeichen3">
    <w:name w:val="Kommentarzeichen3"/>
    <w:qFormat/>
    <w:rPr>
      <w:sz w:val="16"/>
      <w:szCs w:val="16"/>
    </w:rPr>
  </w:style>
  <w:style w:type="character" w:customStyle="1" w:styleId="KommentartextZchn2">
    <w:name w:val="Kommentartext Zchn2"/>
    <w:qFormat/>
    <w:rPr>
      <w:rFonts w:eastAsia="DejaVu Sans" w:cs="Mangal"/>
      <w:color w:val="000000"/>
      <w:kern w:val="2"/>
      <w:szCs w:val="18"/>
      <w:lang w:val="hu-HU" w:bidi="hi-IN"/>
    </w:rPr>
  </w:style>
  <w:style w:type="character" w:customStyle="1" w:styleId="SprechblasentextZchn1">
    <w:name w:val="Sprechblasentext Zchn1"/>
    <w:qFormat/>
    <w:rPr>
      <w:rFonts w:ascii="Tahoma" w:eastAsia="DejaVu Sans" w:hAnsi="Tahoma" w:cs="Mangal"/>
      <w:color w:val="000000"/>
      <w:kern w:val="2"/>
      <w:sz w:val="16"/>
      <w:szCs w:val="14"/>
      <w:lang w:eastAsia="zh-CN" w:bidi="hi-IN"/>
    </w:rPr>
  </w:style>
  <w:style w:type="character" w:customStyle="1" w:styleId="BuborkszvegChar">
    <w:name w:val="Buborékszöveg Char"/>
    <w:qFormat/>
    <w:rPr>
      <w:rFonts w:ascii="Segoe UI" w:eastAsia="DejaVu Sans" w:hAnsi="Segoe UI" w:cs="Mangal"/>
      <w:color w:val="000000"/>
      <w:kern w:val="2"/>
      <w:sz w:val="18"/>
      <w:szCs w:val="16"/>
      <w:lang w:eastAsia="zh-CN" w:bidi="hi-IN"/>
    </w:rPr>
  </w:style>
  <w:style w:type="character" w:customStyle="1" w:styleId="HTML-kntformzottChar">
    <w:name w:val="HTML-ként formázott Char"/>
    <w:qFormat/>
    <w:rPr>
      <w:rFonts w:ascii="Courier New" w:hAnsi="Courier New" w:cs="Courier New"/>
    </w:rPr>
  </w:style>
  <w:style w:type="character" w:customStyle="1" w:styleId="lfejChar">
    <w:name w:val="Élőfej Char"/>
    <w:uiPriority w:val="99"/>
    <w:qFormat/>
    <w:rPr>
      <w:rFonts w:eastAsia="DejaVu Sans" w:cs="FreeSans"/>
      <w:color w:val="000000"/>
      <w:kern w:val="2"/>
      <w:sz w:val="24"/>
      <w:szCs w:val="24"/>
      <w:lang w:eastAsia="zh-CN" w:bidi="hi-IN"/>
    </w:rPr>
  </w:style>
  <w:style w:type="character" w:styleId="Jegyzethivatkozs">
    <w:name w:val="annotation reference"/>
    <w:uiPriority w:val="99"/>
    <w:semiHidden/>
    <w:unhideWhenUsed/>
    <w:qFormat/>
    <w:rsid w:val="00965E91"/>
    <w:rPr>
      <w:sz w:val="16"/>
      <w:szCs w:val="16"/>
    </w:rPr>
  </w:style>
  <w:style w:type="character" w:customStyle="1" w:styleId="JegyzetszvegChar1">
    <w:name w:val="Jegyzetszöveg Char1"/>
    <w:link w:val="Jegyzetszveg"/>
    <w:uiPriority w:val="99"/>
    <w:qFormat/>
    <w:rsid w:val="00965E91"/>
    <w:rPr>
      <w:rFonts w:eastAsia="Yu Mincho" w:cs="Mangal"/>
      <w:color w:val="000000"/>
      <w:kern w:val="2"/>
      <w:szCs w:val="18"/>
      <w:lang w:val="hu-HU" w:eastAsia="zh-CN" w:bidi="hi-IN"/>
    </w:rPr>
  </w:style>
  <w:style w:type="character" w:customStyle="1" w:styleId="MegjegyzstrgyaChar1">
    <w:name w:val="Megjegyzés tárgya Char1"/>
    <w:link w:val="Megjegyzstrgya"/>
    <w:uiPriority w:val="99"/>
    <w:semiHidden/>
    <w:qFormat/>
    <w:rsid w:val="00965E91"/>
    <w:rPr>
      <w:rFonts w:eastAsia="Yu Mincho" w:cs="Mangal"/>
      <w:b/>
      <w:bCs/>
      <w:color w:val="000000"/>
      <w:kern w:val="2"/>
      <w:szCs w:val="18"/>
      <w:lang w:val="hu-HU" w:eastAsia="zh-CN" w:bidi="hi-IN"/>
    </w:rPr>
  </w:style>
  <w:style w:type="character" w:customStyle="1" w:styleId="ListLabel1">
    <w:name w:val="ListLabel 1"/>
    <w:qFormat/>
    <w:rPr>
      <w:rFonts w:cs="Symbol"/>
      <w:color w:val="000000"/>
      <w:sz w:val="24"/>
      <w:szCs w:val="24"/>
      <w:lang w:val="en-US"/>
    </w:rPr>
  </w:style>
  <w:style w:type="character" w:customStyle="1" w:styleId="ListLabel2">
    <w:name w:val="ListLabel 2"/>
    <w:qFormat/>
    <w:rPr>
      <w:rFonts w:cs="Symbol"/>
      <w:color w:val="000000"/>
      <w:sz w:val="24"/>
      <w:szCs w:val="24"/>
      <w:lang w:val="en-US"/>
    </w:rPr>
  </w:style>
  <w:style w:type="character" w:customStyle="1" w:styleId="ListLabel3">
    <w:name w:val="ListLabel 3"/>
    <w:qFormat/>
    <w:rPr>
      <w:rFonts w:cs="Times New Roman"/>
      <w:szCs w:val="22"/>
      <w:highlight w:val="lightGray"/>
    </w:rPr>
  </w:style>
  <w:style w:type="character" w:customStyle="1" w:styleId="ListLabel48">
    <w:name w:val="ListLabel 48"/>
    <w:qFormat/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imes New Roman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ohit Devanagari"/>
      <w:i/>
      <w:iCs/>
      <w:sz w:val="24"/>
    </w:rPr>
  </w:style>
  <w:style w:type="paragraph" w:customStyle="1" w:styleId="Index">
    <w:name w:val="Index"/>
    <w:basedOn w:val="Norml"/>
    <w:qFormat/>
    <w:pPr>
      <w:suppressLineNumbers/>
    </w:pPr>
    <w:rPr>
      <w:rFonts w:cs="Times New Roman"/>
    </w:rPr>
  </w:style>
  <w:style w:type="paragraph" w:customStyle="1" w:styleId="Kpalrs3">
    <w:name w:val="Képaláírás3"/>
    <w:basedOn w:val="Norml"/>
    <w:qFormat/>
    <w:pPr>
      <w:suppressLineNumbers/>
      <w:spacing w:before="120" w:after="120"/>
    </w:pPr>
    <w:rPr>
      <w:rFonts w:cs="Lohit Devanagari"/>
      <w:i/>
      <w:iCs/>
      <w:sz w:val="24"/>
    </w:rPr>
  </w:style>
  <w:style w:type="paragraph" w:customStyle="1" w:styleId="Kpalrs2">
    <w:name w:val="Képaláírás2"/>
    <w:basedOn w:val="Norml"/>
    <w:qFormat/>
    <w:pPr>
      <w:suppressLineNumbers/>
      <w:spacing w:before="120" w:after="120"/>
    </w:pPr>
    <w:rPr>
      <w:i/>
      <w:iCs/>
      <w:sz w:val="24"/>
    </w:rPr>
  </w:style>
  <w:style w:type="paragraph" w:customStyle="1" w:styleId="Beschriftung4">
    <w:name w:val="Beschriftung4"/>
    <w:basedOn w:val="Norml"/>
    <w:qFormat/>
    <w:pPr>
      <w:suppressLineNumbers/>
      <w:spacing w:before="120" w:after="120"/>
    </w:pPr>
    <w:rPr>
      <w:i/>
      <w:iCs/>
      <w:sz w:val="24"/>
    </w:rPr>
  </w:style>
  <w:style w:type="paragraph" w:customStyle="1" w:styleId="Beschriftung3">
    <w:name w:val="Beschriftung3"/>
    <w:basedOn w:val="Norml"/>
    <w:qFormat/>
    <w:pPr>
      <w:suppressLineNumbers/>
      <w:spacing w:before="120" w:after="120"/>
    </w:pPr>
    <w:rPr>
      <w:rFonts w:cs="Times New Roman"/>
      <w:i/>
      <w:iCs/>
    </w:rPr>
  </w:style>
  <w:style w:type="paragraph" w:customStyle="1" w:styleId="Beschriftung2">
    <w:name w:val="Beschriftung2"/>
    <w:basedOn w:val="Norml"/>
    <w:qFormat/>
    <w:pPr>
      <w:suppressLineNumbers/>
      <w:spacing w:before="120" w:after="120"/>
    </w:pPr>
    <w:rPr>
      <w:rFonts w:cs="Times New Roman"/>
      <w:i/>
      <w:iCs/>
    </w:rPr>
  </w:style>
  <w:style w:type="paragraph" w:customStyle="1" w:styleId="Beschriftung1">
    <w:name w:val="Beschriftung1"/>
    <w:basedOn w:val="Norml"/>
    <w:qFormat/>
    <w:pPr>
      <w:suppressLineNumbers/>
      <w:spacing w:before="120" w:after="120"/>
    </w:pPr>
    <w:rPr>
      <w:rFonts w:cs="Times New Roman"/>
      <w:i/>
      <w:iCs/>
    </w:rPr>
  </w:style>
  <w:style w:type="paragraph" w:customStyle="1" w:styleId="Bijschrift">
    <w:name w:val="Bijschrift"/>
    <w:basedOn w:val="Norml"/>
    <w:qFormat/>
    <w:pPr>
      <w:suppressLineNumbers/>
      <w:spacing w:before="120" w:after="120"/>
    </w:pPr>
    <w:rPr>
      <w:rFonts w:ascii="Times" w:hAnsi="Times" w:cs="Times"/>
      <w:i/>
      <w:iCs/>
    </w:rPr>
  </w:style>
  <w:style w:type="paragraph" w:customStyle="1" w:styleId="Kpalrs1">
    <w:name w:val="Képaláírás1"/>
    <w:basedOn w:val="Norml"/>
    <w:qFormat/>
    <w:pPr>
      <w:suppressLineNumbers/>
      <w:spacing w:before="120" w:after="120"/>
    </w:pPr>
    <w:rPr>
      <w:rFonts w:ascii="Times" w:hAnsi="Times" w:cs="Times"/>
      <w:i/>
      <w:iCs/>
    </w:rPr>
  </w:style>
  <w:style w:type="paragraph" w:customStyle="1" w:styleId="Bijschrift1">
    <w:name w:val="Bijschrift1"/>
    <w:basedOn w:val="Norml"/>
    <w:qFormat/>
    <w:pPr>
      <w:suppressLineNumbers/>
      <w:spacing w:before="120" w:after="120"/>
    </w:pPr>
    <w:rPr>
      <w:rFonts w:cs="Times New Roman"/>
      <w:i/>
      <w:iCs/>
    </w:rPr>
  </w:style>
  <w:style w:type="paragraph" w:customStyle="1" w:styleId="Nincstrkz1">
    <w:name w:val="Nincs térköz1"/>
    <w:qFormat/>
    <w:pPr>
      <w:suppressAutoHyphens/>
    </w:pPr>
    <w:rPr>
      <w:rFonts w:eastAsia="Arial" w:cs="Calibri"/>
      <w:color w:val="000000"/>
      <w:kern w:val="2"/>
      <w:sz w:val="22"/>
      <w:szCs w:val="22"/>
      <w:lang w:eastAsia="zh-CN"/>
    </w:rPr>
  </w:style>
  <w:style w:type="paragraph" w:customStyle="1" w:styleId="Listaszerbekezds1">
    <w:name w:val="Listaszerű bekezdés1"/>
    <w:basedOn w:val="Norml"/>
    <w:qFormat/>
    <w:pPr>
      <w:spacing w:after="200" w:line="100" w:lineRule="atLeast"/>
      <w:ind w:left="567" w:hanging="567"/>
    </w:pPr>
  </w:style>
  <w:style w:type="paragraph" w:customStyle="1" w:styleId="Titel1">
    <w:name w:val="Titel1"/>
    <w:basedOn w:val="Norml"/>
    <w:qFormat/>
    <w:pPr>
      <w:spacing w:line="100" w:lineRule="atLeast"/>
      <w:jc w:val="center"/>
    </w:pPr>
    <w:rPr>
      <w:rFonts w:cs="Times New Roman"/>
      <w:b/>
    </w:rPr>
  </w:style>
  <w:style w:type="paragraph" w:styleId="Alcm">
    <w:name w:val="Subtitle"/>
    <w:basedOn w:val="Heading"/>
    <w:qFormat/>
    <w:pPr>
      <w:jc w:val="center"/>
    </w:pPr>
    <w:rPr>
      <w:i/>
      <w:iCs/>
    </w:r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rFonts w:cs="Times New Roman"/>
      <w:b/>
      <w:bCs/>
    </w:rPr>
  </w:style>
  <w:style w:type="paragraph" w:customStyle="1" w:styleId="WW-DefaultStyle">
    <w:name w:val="WW-Default Style"/>
    <w:qFormat/>
    <w:pPr>
      <w:suppressAutoHyphens/>
      <w:spacing w:after="200" w:line="276" w:lineRule="auto"/>
    </w:pPr>
    <w:rPr>
      <w:color w:val="000000"/>
      <w:sz w:val="24"/>
      <w:szCs w:val="24"/>
      <w:lang w:eastAsia="zh-CN"/>
    </w:r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Sprechblasentext2">
    <w:name w:val="Sprechblasentext2"/>
    <w:basedOn w:val="Norml"/>
    <w:qFormat/>
    <w:rPr>
      <w:rFonts w:ascii="Tahoma" w:hAnsi="Tahoma" w:cs="Mangal"/>
      <w:sz w:val="16"/>
      <w:szCs w:val="14"/>
    </w:rPr>
  </w:style>
  <w:style w:type="paragraph" w:styleId="lfej">
    <w:name w:val="header"/>
    <w:basedOn w:val="Norml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Jegyzetszveg1">
    <w:name w:val="Jegyzetszöveg1"/>
    <w:basedOn w:val="Norml"/>
    <w:qFormat/>
    <w:rPr>
      <w:rFonts w:cs="Mangal"/>
      <w:sz w:val="20"/>
      <w:szCs w:val="18"/>
    </w:rPr>
  </w:style>
  <w:style w:type="paragraph" w:customStyle="1" w:styleId="Kommentarthema2">
    <w:name w:val="Kommentarthema2"/>
    <w:basedOn w:val="Jegyzetszveg1"/>
    <w:qFormat/>
    <w:rPr>
      <w:rFonts w:cs="Times New Roman"/>
      <w:b/>
      <w:bCs/>
    </w:rPr>
  </w:style>
  <w:style w:type="paragraph" w:customStyle="1" w:styleId="Ballontekst">
    <w:name w:val="Ballontekst"/>
    <w:basedOn w:val="Norml"/>
    <w:qFormat/>
    <w:rPr>
      <w:rFonts w:ascii="Tahoma" w:hAnsi="Tahoma" w:cs="Mangal"/>
      <w:sz w:val="16"/>
      <w:szCs w:val="14"/>
    </w:rPr>
  </w:style>
  <w:style w:type="paragraph" w:customStyle="1" w:styleId="Sprechblasentext1">
    <w:name w:val="Sprechblasentext1"/>
    <w:basedOn w:val="Norml"/>
    <w:qFormat/>
    <w:rPr>
      <w:rFonts w:ascii="Tahoma" w:hAnsi="Tahoma" w:cs="Mangal"/>
      <w:sz w:val="16"/>
      <w:szCs w:val="14"/>
    </w:rPr>
  </w:style>
  <w:style w:type="paragraph" w:customStyle="1" w:styleId="Kommentartext1">
    <w:name w:val="Kommentartext1"/>
    <w:basedOn w:val="Norml"/>
    <w:qFormat/>
    <w:rPr>
      <w:rFonts w:cs="Mangal"/>
      <w:sz w:val="20"/>
      <w:szCs w:val="18"/>
    </w:rPr>
  </w:style>
  <w:style w:type="paragraph" w:customStyle="1" w:styleId="Kommentarthema1">
    <w:name w:val="Kommentarthema1"/>
    <w:basedOn w:val="Kommentartext1"/>
    <w:next w:val="Kommentartext1"/>
    <w:qFormat/>
    <w:rPr>
      <w:rFonts w:cs="Times New Roman"/>
      <w:b/>
      <w:bCs/>
    </w:rPr>
  </w:style>
  <w:style w:type="paragraph" w:customStyle="1" w:styleId="berarbeitung1">
    <w:name w:val="Überarbeitung1"/>
    <w:qFormat/>
    <w:pPr>
      <w:suppressAutoHyphens/>
    </w:pPr>
    <w:rPr>
      <w:rFonts w:eastAsia="DejaVu Sans" w:cs="Mangal"/>
      <w:color w:val="000000"/>
      <w:kern w:val="2"/>
      <w:sz w:val="24"/>
      <w:szCs w:val="21"/>
      <w:lang w:eastAsia="zh-CN" w:bidi="hi-IN"/>
    </w:rPr>
  </w:style>
  <w:style w:type="paragraph" w:customStyle="1" w:styleId="Kommentartext2">
    <w:name w:val="Kommentartext2"/>
    <w:basedOn w:val="Norml"/>
    <w:qFormat/>
    <w:rPr>
      <w:rFonts w:cs="Mangal"/>
      <w:sz w:val="20"/>
      <w:szCs w:val="18"/>
    </w:rPr>
  </w:style>
  <w:style w:type="paragraph" w:customStyle="1" w:styleId="Default">
    <w:name w:val="Default"/>
    <w:qFormat/>
    <w:pPr>
      <w:suppressAutoHyphens/>
    </w:pPr>
    <w:rPr>
      <w:rFonts w:ascii="Verdana" w:hAnsi="Verdana" w:cs="Verdana"/>
      <w:color w:val="000000"/>
      <w:sz w:val="24"/>
      <w:szCs w:val="24"/>
      <w:lang w:eastAsia="zh-CN" w:bidi="ml-IN"/>
    </w:rPr>
  </w:style>
  <w:style w:type="paragraph" w:customStyle="1" w:styleId="Kommentartext3">
    <w:name w:val="Kommentartext3"/>
    <w:basedOn w:val="Norml"/>
    <w:qFormat/>
    <w:rPr>
      <w:rFonts w:cs="Mangal"/>
      <w:sz w:val="20"/>
      <w:szCs w:val="18"/>
    </w:rPr>
  </w:style>
  <w:style w:type="paragraph" w:customStyle="1" w:styleId="Sprechblasentext3">
    <w:name w:val="Sprechblasentext3"/>
    <w:basedOn w:val="Norml"/>
    <w:qFormat/>
    <w:rPr>
      <w:rFonts w:ascii="Tahoma" w:hAnsi="Tahoma" w:cs="Mangal"/>
      <w:sz w:val="16"/>
      <w:szCs w:val="14"/>
    </w:rPr>
  </w:style>
  <w:style w:type="paragraph" w:styleId="Buborkszveg">
    <w:name w:val="Balloon Text"/>
    <w:basedOn w:val="Norml"/>
    <w:qFormat/>
    <w:rPr>
      <w:rFonts w:ascii="Segoe UI" w:hAnsi="Segoe UI" w:cs="Mangal"/>
      <w:sz w:val="18"/>
      <w:szCs w:val="16"/>
    </w:rPr>
  </w:style>
  <w:style w:type="paragraph" w:styleId="HTML-kntformzott">
    <w:name w:val="HTML Preformatted"/>
    <w:basedOn w:val="Norml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color w:val="auto"/>
      <w:kern w:val="0"/>
      <w:sz w:val="20"/>
      <w:szCs w:val="20"/>
      <w:lang w:bidi="ar-SA"/>
    </w:rPr>
  </w:style>
  <w:style w:type="paragraph" w:styleId="Vltozat">
    <w:name w:val="Revision"/>
    <w:qFormat/>
    <w:pPr>
      <w:suppressAutoHyphens/>
    </w:pPr>
    <w:rPr>
      <w:rFonts w:eastAsia="DejaVu Sans" w:cs="Mangal"/>
      <w:color w:val="000000"/>
      <w:kern w:val="2"/>
      <w:sz w:val="24"/>
      <w:szCs w:val="21"/>
      <w:lang w:eastAsia="zh-CN" w:bidi="hi-IN"/>
    </w:rPr>
  </w:style>
  <w:style w:type="paragraph" w:customStyle="1" w:styleId="KeinLeerraum1">
    <w:name w:val="Kein Leerraum1"/>
    <w:qFormat/>
    <w:pPr>
      <w:suppressAutoHyphens/>
      <w:spacing w:line="100" w:lineRule="atLeast"/>
    </w:pPr>
    <w:rPr>
      <w:rFonts w:eastAsia="Arial" w:cs="Calibri"/>
      <w:color w:val="000000"/>
      <w:sz w:val="24"/>
      <w:szCs w:val="24"/>
      <w:lang w:eastAsia="zh-CN" w:bidi="hi-IN"/>
    </w:rPr>
  </w:style>
  <w:style w:type="paragraph" w:customStyle="1" w:styleId="HeaderLeft">
    <w:name w:val="Header Left"/>
    <w:basedOn w:val="Norml"/>
    <w:qFormat/>
    <w:pPr>
      <w:suppressLineNumbers/>
      <w:tabs>
        <w:tab w:val="center" w:pos="4535"/>
        <w:tab w:val="right" w:pos="9070"/>
      </w:tabs>
    </w:pPr>
  </w:style>
  <w:style w:type="paragraph" w:styleId="Jegyzetszveg">
    <w:name w:val="annotation text"/>
    <w:basedOn w:val="Norml"/>
    <w:link w:val="JegyzetszvegChar1"/>
    <w:uiPriority w:val="99"/>
    <w:unhideWhenUsed/>
    <w:qFormat/>
    <w:rsid w:val="00965E91"/>
    <w:rPr>
      <w:rFonts w:cs="Mangal"/>
      <w:sz w:val="20"/>
      <w:szCs w:val="18"/>
    </w:rPr>
  </w:style>
  <w:style w:type="paragraph" w:styleId="Megjegyzstrgya">
    <w:name w:val="annotation subject"/>
    <w:basedOn w:val="Jegyzetszveg"/>
    <w:link w:val="MegjegyzstrgyaChar1"/>
    <w:uiPriority w:val="99"/>
    <w:semiHidden/>
    <w:unhideWhenUsed/>
    <w:qFormat/>
    <w:rsid w:val="00965E91"/>
    <w:rPr>
      <w:b/>
      <w:bCs/>
    </w:rPr>
  </w:style>
  <w:style w:type="paragraph" w:customStyle="1" w:styleId="Megjegyzstrgya1">
    <w:name w:val="Megjegyzés tárgya1"/>
    <w:basedOn w:val="Jegyzetszveg1"/>
    <w:qFormat/>
    <w:rsid w:val="00154493"/>
    <w:rPr>
      <w:b/>
      <w:bCs/>
      <w:color w:val="auto"/>
      <w:lang w:val="en-GB"/>
    </w:rPr>
  </w:style>
  <w:style w:type="character" w:styleId="Hiperhivatkozs">
    <w:name w:val="Hyperlink"/>
    <w:aliases w:val="Footer Char1 Char,Footer Char2 Char Char1,Footer Char1 Char Char Char,Footer Char2 Char Char1 Char Char,Footer Char1 Char Char Char Char1 Char,Footer Char1 Char Char Char Char1 Char Char Char"/>
    <w:uiPriority w:val="99"/>
    <w:rsid w:val="0059247E"/>
    <w:rPr>
      <w:snapToGrid w:val="0"/>
      <w:sz w:val="22"/>
      <w:szCs w:val="22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4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3294</Words>
  <Characters>22734</Characters>
  <Application>Microsoft Office Word</Application>
  <DocSecurity>0</DocSecurity>
  <Lines>189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Henrik Uth</dc:creator>
  <cp:lastModifiedBy>Tóth Erika</cp:lastModifiedBy>
  <cp:revision>4</cp:revision>
  <cp:lastPrinted>2016-06-01T15:06:00Z</cp:lastPrinted>
  <dcterms:created xsi:type="dcterms:W3CDTF">2023-01-09T07:45:00Z</dcterms:created>
  <dcterms:modified xsi:type="dcterms:W3CDTF">2025-12-08T14:50:00Z</dcterms:modified>
  <dc:language>da-DK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