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BD080E" w14:textId="77777777" w:rsidR="00982F34" w:rsidRPr="00656C0A" w:rsidRDefault="00982F34" w:rsidP="00545340">
      <w:pPr>
        <w:pStyle w:val="Listaszerbekezds"/>
        <w:tabs>
          <w:tab w:val="left" w:pos="567"/>
        </w:tabs>
        <w:ind w:left="567" w:hanging="567"/>
        <w:rPr>
          <w:b/>
        </w:rPr>
      </w:pPr>
    </w:p>
    <w:p w14:paraId="78BD080F" w14:textId="77777777" w:rsidR="00DF73BF" w:rsidRPr="00656C0A" w:rsidRDefault="00FB299E" w:rsidP="00545340">
      <w:pPr>
        <w:pStyle w:val="Listaszerbekezds"/>
        <w:numPr>
          <w:ilvl w:val="0"/>
          <w:numId w:val="23"/>
        </w:numPr>
        <w:tabs>
          <w:tab w:val="left" w:pos="567"/>
        </w:tabs>
        <w:ind w:left="567" w:hanging="567"/>
        <w:rPr>
          <w:b/>
        </w:rPr>
      </w:pPr>
      <w:r w:rsidRPr="00656C0A">
        <w:rPr>
          <w:b/>
        </w:rPr>
        <w:t>A GYÓGYSZER NEVE</w:t>
      </w:r>
    </w:p>
    <w:p w14:paraId="78BD0810" w14:textId="77777777" w:rsidR="00DF73BF" w:rsidRPr="00656C0A" w:rsidRDefault="00DF73BF" w:rsidP="00545340">
      <w:pPr>
        <w:pStyle w:val="Szvegtrzs"/>
        <w:tabs>
          <w:tab w:val="left" w:pos="567"/>
        </w:tabs>
        <w:ind w:left="567" w:hanging="567"/>
        <w:rPr>
          <w:b/>
        </w:rPr>
      </w:pPr>
    </w:p>
    <w:p w14:paraId="78BD0811" w14:textId="77777777" w:rsidR="00885DB8" w:rsidRPr="00E41443" w:rsidRDefault="00426193" w:rsidP="00545340">
      <w:pPr>
        <w:tabs>
          <w:tab w:val="left" w:pos="567"/>
        </w:tabs>
        <w:ind w:left="567" w:hanging="567"/>
      </w:pPr>
      <w:r w:rsidRPr="00656C0A">
        <w:rPr>
          <w:lang w:val="hu"/>
        </w:rPr>
        <w:t>Losmina</w:t>
      </w:r>
      <w:r w:rsidR="00885DB8" w:rsidRPr="00656C0A">
        <w:rPr>
          <w:lang w:val="hu"/>
        </w:rPr>
        <w:t xml:space="preserve"> 2000 NE (20 mg)/0,2 ml oldatos injekció előretöltött fecskendőben</w:t>
      </w:r>
    </w:p>
    <w:p w14:paraId="78BD0812" w14:textId="77777777" w:rsidR="00885DB8" w:rsidRPr="00E41443" w:rsidRDefault="00426193" w:rsidP="00545340">
      <w:pPr>
        <w:tabs>
          <w:tab w:val="left" w:pos="567"/>
        </w:tabs>
        <w:ind w:left="567" w:hanging="567"/>
      </w:pPr>
      <w:r w:rsidRPr="00656C0A">
        <w:rPr>
          <w:lang w:val="hu"/>
        </w:rPr>
        <w:t>Losmina</w:t>
      </w:r>
      <w:r w:rsidR="00885DB8" w:rsidRPr="00656C0A">
        <w:rPr>
          <w:lang w:val="hu"/>
        </w:rPr>
        <w:t xml:space="preserve"> 4000 NE (40 mg)/0,4 ml oldatos injekció előretöltött fecskendőben</w:t>
      </w:r>
    </w:p>
    <w:p w14:paraId="78BD0813" w14:textId="77777777" w:rsidR="00885DB8" w:rsidRPr="00E41443" w:rsidRDefault="00426193" w:rsidP="00545340">
      <w:pPr>
        <w:tabs>
          <w:tab w:val="left" w:pos="567"/>
        </w:tabs>
        <w:ind w:left="567" w:hanging="567"/>
      </w:pPr>
      <w:r w:rsidRPr="00656C0A">
        <w:rPr>
          <w:lang w:val="hu"/>
        </w:rPr>
        <w:t>Losmina</w:t>
      </w:r>
      <w:r w:rsidR="00885DB8" w:rsidRPr="00656C0A">
        <w:rPr>
          <w:lang w:val="hu"/>
        </w:rPr>
        <w:t xml:space="preserve"> 6000 NE (60 mg)/0,6 ml oldatos injekció előretöltött fecskendőben</w:t>
      </w:r>
    </w:p>
    <w:p w14:paraId="78BD0814" w14:textId="77777777" w:rsidR="00885DB8" w:rsidRPr="00E41443" w:rsidRDefault="00426193" w:rsidP="00545340">
      <w:pPr>
        <w:tabs>
          <w:tab w:val="left" w:pos="567"/>
        </w:tabs>
        <w:ind w:left="567" w:hanging="567"/>
      </w:pPr>
      <w:r w:rsidRPr="00656C0A">
        <w:rPr>
          <w:lang w:val="hu"/>
        </w:rPr>
        <w:t>Losmina</w:t>
      </w:r>
      <w:r w:rsidR="00885DB8" w:rsidRPr="00656C0A">
        <w:rPr>
          <w:lang w:val="hu"/>
        </w:rPr>
        <w:t xml:space="preserve"> 8000 NE (80 mg)/0,8 ml oldatos injekció előretöltött fecskendőben</w:t>
      </w:r>
    </w:p>
    <w:p w14:paraId="78BD0815" w14:textId="77777777" w:rsidR="00DF73BF" w:rsidRPr="00E41443" w:rsidRDefault="00426193" w:rsidP="00545340">
      <w:pPr>
        <w:pStyle w:val="Listaszerbekezds"/>
        <w:tabs>
          <w:tab w:val="left" w:pos="567"/>
        </w:tabs>
        <w:ind w:left="567" w:hanging="567"/>
      </w:pPr>
      <w:r w:rsidRPr="00656C0A">
        <w:rPr>
          <w:lang w:val="hu"/>
        </w:rPr>
        <w:t>Losmina</w:t>
      </w:r>
      <w:r w:rsidR="00885DB8" w:rsidRPr="00656C0A">
        <w:rPr>
          <w:lang w:val="hu"/>
        </w:rPr>
        <w:t xml:space="preserve"> 10 000 NE (100 mg)/1 ml oldatos injekció előretöltött fecskendőben</w:t>
      </w:r>
    </w:p>
    <w:p w14:paraId="78BD0816" w14:textId="77777777" w:rsidR="00DF73BF" w:rsidRPr="00E41443" w:rsidRDefault="00DF73BF" w:rsidP="00545340">
      <w:pPr>
        <w:pStyle w:val="Szvegtrzs"/>
        <w:tabs>
          <w:tab w:val="left" w:pos="567"/>
        </w:tabs>
        <w:ind w:left="567" w:hanging="567"/>
      </w:pPr>
    </w:p>
    <w:p w14:paraId="78BD0817" w14:textId="77777777" w:rsidR="00504EAD" w:rsidRPr="00E41443" w:rsidRDefault="00504EAD" w:rsidP="00545340">
      <w:pPr>
        <w:pStyle w:val="Szvegtrzs"/>
        <w:tabs>
          <w:tab w:val="left" w:pos="567"/>
        </w:tabs>
        <w:ind w:left="567" w:hanging="567"/>
      </w:pPr>
    </w:p>
    <w:p w14:paraId="78BD0818" w14:textId="77777777" w:rsidR="00DF73BF" w:rsidRPr="00656C0A" w:rsidRDefault="00FB299E" w:rsidP="00545340">
      <w:pPr>
        <w:pStyle w:val="Cmsor1"/>
        <w:numPr>
          <w:ilvl w:val="0"/>
          <w:numId w:val="23"/>
        </w:numPr>
        <w:tabs>
          <w:tab w:val="left" w:pos="567"/>
        </w:tabs>
        <w:ind w:left="567" w:hanging="567"/>
      </w:pPr>
      <w:r w:rsidRPr="00656C0A">
        <w:t>MINŐSÉGI ÉS MENNYISÉGI ÖSSZETÉTEL</w:t>
      </w:r>
    </w:p>
    <w:p w14:paraId="78BD0819" w14:textId="77777777" w:rsidR="00DF73BF" w:rsidRPr="00656C0A" w:rsidRDefault="00DF73BF" w:rsidP="00545340">
      <w:pPr>
        <w:pStyle w:val="Szvegtrzs"/>
        <w:tabs>
          <w:tab w:val="left" w:pos="567"/>
        </w:tabs>
        <w:ind w:left="567" w:hanging="567"/>
        <w:rPr>
          <w:b/>
        </w:rPr>
      </w:pPr>
    </w:p>
    <w:p w14:paraId="78BD081A" w14:textId="77777777" w:rsidR="00DF73BF" w:rsidRPr="00656C0A" w:rsidRDefault="00FB299E" w:rsidP="00545340">
      <w:pPr>
        <w:tabs>
          <w:tab w:val="left" w:pos="567"/>
        </w:tabs>
        <w:ind w:left="567" w:hanging="567"/>
        <w:rPr>
          <w:i/>
        </w:rPr>
      </w:pPr>
      <w:r w:rsidRPr="00656C0A">
        <w:rPr>
          <w:i/>
        </w:rPr>
        <w:t xml:space="preserve">2000 </w:t>
      </w:r>
      <w:r w:rsidRPr="00656C0A">
        <w:t xml:space="preserve">NE </w:t>
      </w:r>
      <w:r w:rsidR="00656C0A">
        <w:rPr>
          <w:i/>
        </w:rPr>
        <w:t>(20 mg)</w:t>
      </w:r>
      <w:r w:rsidRPr="00656C0A">
        <w:rPr>
          <w:i/>
        </w:rPr>
        <w:t>/0,2 ml</w:t>
      </w:r>
    </w:p>
    <w:p w14:paraId="78BD081B" w14:textId="77777777" w:rsidR="00DF73BF" w:rsidRPr="00656C0A" w:rsidRDefault="00FB299E" w:rsidP="00545340">
      <w:pPr>
        <w:pStyle w:val="Szvegtrzs"/>
        <w:tabs>
          <w:tab w:val="left" w:pos="567"/>
        </w:tabs>
      </w:pPr>
      <w:r w:rsidRPr="00656C0A">
        <w:t>Minden egyes előretöltött fecskendő 2 000 NE anti-Xa aktivitású (amely</w:t>
      </w:r>
      <w:r w:rsidR="00656C0A">
        <w:t xml:space="preserve"> megfelel 20 mg-nak) enoxaparin</w:t>
      </w:r>
      <w:r w:rsidR="00656C0A">
        <w:noBreakHyphen/>
      </w:r>
      <w:r w:rsidRPr="00656C0A">
        <w:t>nátriumot tartalmaz 0,2 ml vizes oldatban.</w:t>
      </w:r>
    </w:p>
    <w:p w14:paraId="78BD081C" w14:textId="77777777" w:rsidR="00DF73BF" w:rsidRPr="00656C0A" w:rsidRDefault="00FB299E" w:rsidP="00545340">
      <w:pPr>
        <w:tabs>
          <w:tab w:val="left" w:pos="567"/>
        </w:tabs>
        <w:rPr>
          <w:i/>
        </w:rPr>
      </w:pPr>
      <w:r w:rsidRPr="00656C0A">
        <w:rPr>
          <w:i/>
        </w:rPr>
        <w:t xml:space="preserve">4000 </w:t>
      </w:r>
      <w:r w:rsidRPr="00656C0A">
        <w:t xml:space="preserve">NE </w:t>
      </w:r>
      <w:r w:rsidRPr="00656C0A">
        <w:rPr>
          <w:i/>
        </w:rPr>
        <w:t>(40 mg)/0,4 ml</w:t>
      </w:r>
    </w:p>
    <w:p w14:paraId="78BD081D" w14:textId="77777777" w:rsidR="00DF73BF" w:rsidRPr="00656C0A" w:rsidRDefault="00FB299E" w:rsidP="00545340">
      <w:pPr>
        <w:pStyle w:val="Szvegtrzs"/>
        <w:tabs>
          <w:tab w:val="left" w:pos="567"/>
        </w:tabs>
      </w:pPr>
      <w:r w:rsidRPr="00656C0A">
        <w:t>Minden egyes előretöltött fecskendő 4000 NE anti-Xa aktivitású (amely</w:t>
      </w:r>
      <w:r w:rsidR="00656C0A">
        <w:t xml:space="preserve"> megfelel 40 mg-nak) enoxaparin</w:t>
      </w:r>
      <w:r w:rsidR="00656C0A">
        <w:noBreakHyphen/>
      </w:r>
      <w:r w:rsidRPr="00656C0A">
        <w:t>nátriumot tartalmaz 0,4 ml vizes oldatban.</w:t>
      </w:r>
    </w:p>
    <w:p w14:paraId="78BD081E" w14:textId="77777777" w:rsidR="00DF73BF" w:rsidRPr="00656C0A" w:rsidRDefault="00FB299E" w:rsidP="00545340">
      <w:pPr>
        <w:tabs>
          <w:tab w:val="left" w:pos="567"/>
        </w:tabs>
        <w:rPr>
          <w:i/>
        </w:rPr>
      </w:pPr>
      <w:r w:rsidRPr="00656C0A">
        <w:rPr>
          <w:i/>
        </w:rPr>
        <w:t>6000 NE (60 mg)/0,6 ml</w:t>
      </w:r>
    </w:p>
    <w:p w14:paraId="78BD081F" w14:textId="77777777" w:rsidR="00DF73BF" w:rsidRPr="00656C0A" w:rsidRDefault="00FB299E" w:rsidP="00545340">
      <w:pPr>
        <w:pStyle w:val="Szvegtrzs"/>
        <w:tabs>
          <w:tab w:val="left" w:pos="567"/>
        </w:tabs>
      </w:pPr>
      <w:r w:rsidRPr="00656C0A">
        <w:t>Minden egyes előretöltött fecskendő 6000 NE anti-Xa aktivitású (amely</w:t>
      </w:r>
      <w:r w:rsidR="00656C0A">
        <w:t xml:space="preserve"> megfelel 60 mg-nak) enoxaparin</w:t>
      </w:r>
      <w:r w:rsidR="00656C0A">
        <w:noBreakHyphen/>
      </w:r>
      <w:r w:rsidRPr="00656C0A">
        <w:t>nátriumot tartalmaz 0,6 ml vizes oldatban.</w:t>
      </w:r>
    </w:p>
    <w:p w14:paraId="78BD0820" w14:textId="77777777" w:rsidR="00DF73BF" w:rsidRPr="00656C0A" w:rsidRDefault="00FB299E" w:rsidP="00545340">
      <w:pPr>
        <w:tabs>
          <w:tab w:val="left" w:pos="567"/>
        </w:tabs>
        <w:rPr>
          <w:i/>
        </w:rPr>
      </w:pPr>
      <w:r w:rsidRPr="00656C0A">
        <w:rPr>
          <w:i/>
        </w:rPr>
        <w:t>8000 NE (80 mg)/0,8 ml</w:t>
      </w:r>
    </w:p>
    <w:p w14:paraId="78BD0821" w14:textId="77777777" w:rsidR="00DF73BF" w:rsidRPr="00656C0A" w:rsidRDefault="00FB299E" w:rsidP="00545340">
      <w:pPr>
        <w:pStyle w:val="Szvegtrzs"/>
        <w:tabs>
          <w:tab w:val="left" w:pos="567"/>
        </w:tabs>
      </w:pPr>
      <w:r w:rsidRPr="00656C0A">
        <w:t>Minden egyes előretöltött fecskendő 8000 NE anti-Xa aktivitású (amely</w:t>
      </w:r>
      <w:r w:rsidR="00656C0A">
        <w:t xml:space="preserve"> megfelel 80 mg-nak) enoxaparin</w:t>
      </w:r>
      <w:r w:rsidR="00656C0A">
        <w:noBreakHyphen/>
      </w:r>
      <w:r w:rsidRPr="00656C0A">
        <w:t>nátriumot tartalmaz 0,8 ml vizes oldatban.</w:t>
      </w:r>
    </w:p>
    <w:p w14:paraId="78BD0822" w14:textId="77777777" w:rsidR="00DF73BF" w:rsidRPr="00656C0A" w:rsidRDefault="00656C0A" w:rsidP="00545340">
      <w:pPr>
        <w:tabs>
          <w:tab w:val="left" w:pos="567"/>
        </w:tabs>
        <w:rPr>
          <w:i/>
        </w:rPr>
      </w:pPr>
      <w:r>
        <w:rPr>
          <w:i/>
        </w:rPr>
        <w:t>10 000 NE (100 mg)</w:t>
      </w:r>
      <w:r w:rsidR="00FB299E" w:rsidRPr="00656C0A">
        <w:rPr>
          <w:i/>
        </w:rPr>
        <w:t>/1,0 ml</w:t>
      </w:r>
    </w:p>
    <w:p w14:paraId="78BD0823" w14:textId="77777777" w:rsidR="00DF73BF" w:rsidRPr="00656C0A" w:rsidRDefault="00FB299E" w:rsidP="00545340">
      <w:pPr>
        <w:pStyle w:val="Szvegtrzs"/>
        <w:tabs>
          <w:tab w:val="left" w:pos="567"/>
        </w:tabs>
      </w:pPr>
      <w:r w:rsidRPr="00656C0A">
        <w:t>Minden egyes előretöltött fecskendő 10 000 NE anti-Xa aktivitású (amely megfelel 100 mg-nak) enoxaparin</w:t>
      </w:r>
      <w:r w:rsidR="00656C0A">
        <w:noBreakHyphen/>
      </w:r>
      <w:r w:rsidRPr="00656C0A">
        <w:t>nátriumot tartalmaz 1,0 ml vizes oldatban.</w:t>
      </w:r>
    </w:p>
    <w:p w14:paraId="78BD0824" w14:textId="77777777" w:rsidR="00DF73BF" w:rsidRPr="00656C0A" w:rsidRDefault="00DF73BF" w:rsidP="00545340">
      <w:pPr>
        <w:pStyle w:val="Szvegtrzs"/>
        <w:tabs>
          <w:tab w:val="left" w:pos="567"/>
        </w:tabs>
      </w:pPr>
    </w:p>
    <w:p w14:paraId="78BD0825" w14:textId="77777777" w:rsidR="00DF73BF" w:rsidRPr="00656C0A" w:rsidRDefault="00FB299E" w:rsidP="00545340">
      <w:pPr>
        <w:pStyle w:val="Szvegtrzs"/>
        <w:tabs>
          <w:tab w:val="left" w:pos="567"/>
        </w:tabs>
        <w:rPr>
          <w:lang w:val="es-ES"/>
        </w:rPr>
      </w:pPr>
      <w:r w:rsidRPr="00656C0A">
        <w:rPr>
          <w:lang w:val="es-ES"/>
        </w:rPr>
        <w:t>A segédanyagok teljes listáját lásd a 6.1 pontban.</w:t>
      </w:r>
    </w:p>
    <w:p w14:paraId="78BD0826" w14:textId="77777777" w:rsidR="00504EAD" w:rsidRPr="00656C0A" w:rsidRDefault="00504EAD" w:rsidP="00545340">
      <w:pPr>
        <w:pStyle w:val="Szvegtrzs"/>
        <w:tabs>
          <w:tab w:val="left" w:pos="567"/>
        </w:tabs>
        <w:rPr>
          <w:lang w:val="es-ES"/>
        </w:rPr>
      </w:pPr>
    </w:p>
    <w:p w14:paraId="78BD0827" w14:textId="77777777" w:rsidR="00DF73BF" w:rsidRPr="00656C0A" w:rsidRDefault="00FB299E" w:rsidP="00545340">
      <w:pPr>
        <w:pStyle w:val="Szvegtrzs"/>
        <w:tabs>
          <w:tab w:val="left" w:pos="567"/>
        </w:tabs>
        <w:rPr>
          <w:lang w:val="es-ES"/>
        </w:rPr>
      </w:pPr>
      <w:r w:rsidRPr="00656C0A">
        <w:rPr>
          <w:lang w:val="es-ES"/>
        </w:rPr>
        <w:t>Az enoxaparin-nátrium biológiai eredetű anyag, sertés bélnyálkahártyából származó heparin-benzil-észter lúgos depolimerizációjával állítják elő.</w:t>
      </w:r>
    </w:p>
    <w:p w14:paraId="78BD0828" w14:textId="77777777" w:rsidR="00DF73BF" w:rsidRPr="00656C0A" w:rsidRDefault="00DF73BF" w:rsidP="00545340">
      <w:pPr>
        <w:pStyle w:val="Szvegtrzs"/>
        <w:tabs>
          <w:tab w:val="left" w:pos="567"/>
        </w:tabs>
        <w:rPr>
          <w:lang w:val="es-ES"/>
        </w:rPr>
      </w:pPr>
    </w:p>
    <w:p w14:paraId="78BD0829" w14:textId="77777777" w:rsidR="00DF73BF" w:rsidRPr="00656C0A" w:rsidRDefault="00DF73BF" w:rsidP="00545340">
      <w:pPr>
        <w:pStyle w:val="Szvegtrzs"/>
        <w:tabs>
          <w:tab w:val="left" w:pos="567"/>
        </w:tabs>
        <w:rPr>
          <w:lang w:val="es-ES"/>
        </w:rPr>
      </w:pPr>
    </w:p>
    <w:p w14:paraId="78BD082A" w14:textId="77777777" w:rsidR="00DF73BF" w:rsidRPr="00656C0A" w:rsidRDefault="00FB299E" w:rsidP="00545340">
      <w:pPr>
        <w:pStyle w:val="Cmsor1"/>
        <w:numPr>
          <w:ilvl w:val="0"/>
          <w:numId w:val="23"/>
        </w:numPr>
        <w:tabs>
          <w:tab w:val="left" w:pos="567"/>
        </w:tabs>
        <w:ind w:left="567" w:hanging="567"/>
      </w:pPr>
      <w:r w:rsidRPr="00656C0A">
        <w:t>GYÓGYSZERFORMA</w:t>
      </w:r>
    </w:p>
    <w:p w14:paraId="78BD082B" w14:textId="77777777" w:rsidR="00DF73BF" w:rsidRPr="00656C0A" w:rsidRDefault="00DF73BF" w:rsidP="00545340">
      <w:pPr>
        <w:pStyle w:val="Szvegtrzs"/>
        <w:tabs>
          <w:tab w:val="left" w:pos="567"/>
        </w:tabs>
        <w:ind w:left="567" w:hanging="567"/>
        <w:rPr>
          <w:b/>
        </w:rPr>
      </w:pPr>
    </w:p>
    <w:p w14:paraId="78BD082C" w14:textId="77777777" w:rsidR="00504EAD" w:rsidRPr="00656C0A" w:rsidRDefault="00504EAD" w:rsidP="00545340">
      <w:pPr>
        <w:tabs>
          <w:tab w:val="left" w:pos="567"/>
        </w:tabs>
        <w:ind w:left="567" w:hanging="567"/>
      </w:pPr>
      <w:r w:rsidRPr="00656C0A">
        <w:rPr>
          <w:lang w:val="hu"/>
        </w:rPr>
        <w:t>Oldatos injekció előretöltött fecskendőben (injekció).</w:t>
      </w:r>
    </w:p>
    <w:p w14:paraId="78BD082D" w14:textId="77777777" w:rsidR="00504EAD" w:rsidRPr="00656C0A" w:rsidRDefault="00504EAD" w:rsidP="00545340">
      <w:pPr>
        <w:tabs>
          <w:tab w:val="left" w:pos="567"/>
        </w:tabs>
        <w:ind w:left="567" w:hanging="567"/>
      </w:pPr>
      <w:r w:rsidRPr="00656C0A">
        <w:rPr>
          <w:lang w:val="hu"/>
        </w:rPr>
        <w:t>Tiszta, színtelen-halványsárga oldat.</w:t>
      </w:r>
    </w:p>
    <w:p w14:paraId="78BD082E" w14:textId="77777777" w:rsidR="00DF73BF" w:rsidRPr="00656C0A" w:rsidRDefault="00DF73BF" w:rsidP="00545340">
      <w:pPr>
        <w:pStyle w:val="Szvegtrzs"/>
        <w:tabs>
          <w:tab w:val="left" w:pos="567"/>
        </w:tabs>
        <w:ind w:left="567" w:hanging="567"/>
      </w:pPr>
    </w:p>
    <w:p w14:paraId="78BD082F" w14:textId="77777777" w:rsidR="00DF73BF" w:rsidRPr="00656C0A" w:rsidRDefault="00DF73BF" w:rsidP="00545340">
      <w:pPr>
        <w:pStyle w:val="Szvegtrzs"/>
        <w:tabs>
          <w:tab w:val="left" w:pos="567"/>
        </w:tabs>
        <w:ind w:left="567" w:hanging="567"/>
      </w:pPr>
    </w:p>
    <w:p w14:paraId="78BD0830" w14:textId="77777777" w:rsidR="00DF73BF" w:rsidRPr="00656C0A" w:rsidRDefault="00FB299E" w:rsidP="00545340">
      <w:pPr>
        <w:pStyle w:val="Cmsor1"/>
        <w:numPr>
          <w:ilvl w:val="0"/>
          <w:numId w:val="23"/>
        </w:numPr>
        <w:tabs>
          <w:tab w:val="left" w:pos="567"/>
        </w:tabs>
        <w:ind w:left="567" w:hanging="567"/>
      </w:pPr>
      <w:r w:rsidRPr="00656C0A">
        <w:t>KLINIKAI JELLEMZŐK</w:t>
      </w:r>
    </w:p>
    <w:p w14:paraId="78BD0831" w14:textId="77777777" w:rsidR="00DF73BF" w:rsidRPr="00656C0A" w:rsidRDefault="00DF73BF" w:rsidP="00545340">
      <w:pPr>
        <w:pStyle w:val="Szvegtrzs"/>
        <w:tabs>
          <w:tab w:val="left" w:pos="567"/>
        </w:tabs>
        <w:ind w:left="567" w:hanging="567"/>
        <w:rPr>
          <w:b/>
        </w:rPr>
      </w:pPr>
    </w:p>
    <w:p w14:paraId="78BD0832" w14:textId="77777777" w:rsidR="00DF73BF" w:rsidRPr="00656C0A" w:rsidRDefault="00FB299E" w:rsidP="00545340">
      <w:pPr>
        <w:pStyle w:val="Listaszerbekezds"/>
        <w:numPr>
          <w:ilvl w:val="1"/>
          <w:numId w:val="23"/>
        </w:numPr>
        <w:tabs>
          <w:tab w:val="left" w:pos="567"/>
        </w:tabs>
        <w:ind w:left="567" w:hanging="567"/>
        <w:rPr>
          <w:b/>
        </w:rPr>
      </w:pPr>
      <w:r w:rsidRPr="00656C0A">
        <w:rPr>
          <w:b/>
        </w:rPr>
        <w:t>Terápiás javallatok</w:t>
      </w:r>
    </w:p>
    <w:p w14:paraId="78BD0833" w14:textId="77777777" w:rsidR="00DF73BF" w:rsidRPr="00656C0A" w:rsidRDefault="00DF73BF" w:rsidP="00545340">
      <w:pPr>
        <w:pStyle w:val="Szvegtrzs"/>
        <w:tabs>
          <w:tab w:val="left" w:pos="567"/>
        </w:tabs>
        <w:ind w:left="567" w:hanging="567"/>
        <w:rPr>
          <w:b/>
        </w:rPr>
      </w:pPr>
    </w:p>
    <w:p w14:paraId="78BD0834" w14:textId="77777777" w:rsidR="00DF73BF" w:rsidRPr="00656C0A" w:rsidRDefault="005C44BD" w:rsidP="00545340">
      <w:pPr>
        <w:pStyle w:val="Szvegtrzs"/>
        <w:tabs>
          <w:tab w:val="left" w:pos="567"/>
        </w:tabs>
        <w:ind w:left="567" w:hanging="567"/>
      </w:pPr>
      <w:r w:rsidRPr="00656C0A">
        <w:t xml:space="preserve">A </w:t>
      </w:r>
      <w:r w:rsidR="00426193" w:rsidRPr="00656C0A">
        <w:t>Losmina</w:t>
      </w:r>
      <w:r w:rsidR="00FB299E" w:rsidRPr="00656C0A">
        <w:t xml:space="preserve"> felnőttek</w:t>
      </w:r>
      <w:r w:rsidR="00FF3B43" w:rsidRPr="00656C0A">
        <w:t xml:space="preserve">nek </w:t>
      </w:r>
      <w:r w:rsidR="00FB299E" w:rsidRPr="00656C0A">
        <w:t>javallt:</w:t>
      </w:r>
    </w:p>
    <w:p w14:paraId="78BD0835" w14:textId="77777777" w:rsidR="00DF73BF" w:rsidRPr="00656C0A" w:rsidRDefault="00FB299E" w:rsidP="00545340">
      <w:pPr>
        <w:pStyle w:val="Listaszerbekezds"/>
        <w:numPr>
          <w:ilvl w:val="0"/>
          <w:numId w:val="24"/>
        </w:numPr>
        <w:tabs>
          <w:tab w:val="left" w:pos="567"/>
        </w:tabs>
        <w:ind w:left="567" w:hanging="567"/>
      </w:pPr>
      <w:r w:rsidRPr="00656C0A">
        <w:t>Vénás tromboembóliás szövődmény megelőzésére közepes és magas kockázatú műtéti beavatkozás esetén, különös tekintettel az ortopédiai és általános sebészetre, beleértve a daganatok műtéti eltávolítását is.</w:t>
      </w:r>
    </w:p>
    <w:p w14:paraId="78BD0836" w14:textId="77777777" w:rsidR="00DF73BF" w:rsidRPr="00656C0A" w:rsidRDefault="00FB299E" w:rsidP="00545340">
      <w:pPr>
        <w:pStyle w:val="Listaszerbekezds"/>
        <w:numPr>
          <w:ilvl w:val="0"/>
          <w:numId w:val="24"/>
        </w:numPr>
        <w:tabs>
          <w:tab w:val="left" w:pos="567"/>
        </w:tabs>
        <w:ind w:left="567" w:hanging="567"/>
      </w:pPr>
      <w:r w:rsidRPr="00656C0A">
        <w:t>Vénás tromboembóliás szövődmény megelőzésére akut betegségben (mint pl. akut szívelégtelenség,</w:t>
      </w:r>
      <w:r w:rsidR="00C115BA">
        <w:t xml:space="preserve"> </w:t>
      </w:r>
      <w:r w:rsidRPr="00656C0A">
        <w:t>légzési elégtelenség, súlyos fertőzések vagy reumás megbetegedések) szenvedő belgyógyászati betegeknél, valamint a mobilitás korlátozása esetén, ami a vénás tromboembóliás szövődmény fokozott kockázatával jár.</w:t>
      </w:r>
    </w:p>
    <w:p w14:paraId="78BD0837" w14:textId="3E38D633" w:rsidR="00DF73BF" w:rsidRDefault="00FB299E" w:rsidP="00311AB5">
      <w:pPr>
        <w:pStyle w:val="Listaszerbekezds"/>
        <w:numPr>
          <w:ilvl w:val="0"/>
          <w:numId w:val="24"/>
        </w:numPr>
        <w:tabs>
          <w:tab w:val="left" w:pos="567"/>
        </w:tabs>
        <w:ind w:left="567" w:hanging="567"/>
      </w:pPr>
      <w:r w:rsidRPr="00656C0A">
        <w:t>Mélyvénás trombózis (DVT) valamint tüdőembólia (PE) kezelésére, kivéve a valószínűleg</w:t>
      </w:r>
      <w:r w:rsidR="00D22CE3">
        <w:t xml:space="preserve"> </w:t>
      </w:r>
      <w:r w:rsidRPr="00656C0A">
        <w:t>trombolitikus kezelést vagy sebészeti beavatkozást igénylő tüdőembóliát.</w:t>
      </w:r>
    </w:p>
    <w:p w14:paraId="257E2FB5" w14:textId="4A494273" w:rsidR="00261E37" w:rsidRPr="00466AA6" w:rsidRDefault="00261E37" w:rsidP="00311AB5">
      <w:pPr>
        <w:pStyle w:val="Felsorols"/>
        <w:tabs>
          <w:tab w:val="left" w:pos="567"/>
        </w:tabs>
        <w:ind w:left="567" w:hanging="567"/>
        <w:contextualSpacing w:val="0"/>
        <w:rPr>
          <w:lang w:val="hu-HU"/>
        </w:rPr>
      </w:pPr>
      <w:bookmarkStart w:id="0" w:name="_Hlk57289222"/>
      <w:bookmarkStart w:id="1" w:name="_Hlk108431570"/>
      <w:r w:rsidRPr="00466AA6">
        <w:rPr>
          <w:lang w:val="hu-HU"/>
        </w:rPr>
        <w:lastRenderedPageBreak/>
        <w:t xml:space="preserve">Mélyvénás trombózis (DVT), valamint tüdőembólia (PE) tartós kezelésére és kiújulásának megelőzésére aktív </w:t>
      </w:r>
      <w:r w:rsidR="004D097D">
        <w:rPr>
          <w:lang w:val="hu-HU"/>
        </w:rPr>
        <w:t>daganat</w:t>
      </w:r>
      <w:r w:rsidR="00311AB5">
        <w:rPr>
          <w:lang w:val="hu-HU"/>
        </w:rPr>
        <w:t xml:space="preserve">os </w:t>
      </w:r>
      <w:r w:rsidRPr="00CE6397">
        <w:rPr>
          <w:lang w:val="hu-HU"/>
        </w:rPr>
        <w:t>betegségben szenvedő betegeknél</w:t>
      </w:r>
      <w:bookmarkEnd w:id="0"/>
      <w:r w:rsidRPr="00CE6397">
        <w:rPr>
          <w:lang w:val="hu-HU"/>
        </w:rPr>
        <w:t>.</w:t>
      </w:r>
      <w:bookmarkEnd w:id="1"/>
    </w:p>
    <w:p w14:paraId="78BD0838" w14:textId="77777777" w:rsidR="00DF73BF" w:rsidRPr="00466AA6" w:rsidRDefault="00FB299E" w:rsidP="00545340">
      <w:pPr>
        <w:pStyle w:val="Listaszerbekezds"/>
        <w:numPr>
          <w:ilvl w:val="0"/>
          <w:numId w:val="24"/>
        </w:numPr>
        <w:tabs>
          <w:tab w:val="left" w:pos="567"/>
        </w:tabs>
        <w:ind w:left="567" w:hanging="567"/>
        <w:rPr>
          <w:lang w:val="hu-HU"/>
        </w:rPr>
      </w:pPr>
      <w:r w:rsidRPr="00466AA6">
        <w:rPr>
          <w:lang w:val="hu-HU"/>
        </w:rPr>
        <w:t>Hemodialízis során a trombusképződés megelőzése az extrakorporális keringésben.</w:t>
      </w:r>
    </w:p>
    <w:p w14:paraId="78BD0839" w14:textId="77777777" w:rsidR="00DF73BF" w:rsidRPr="00656C0A" w:rsidRDefault="00FB299E" w:rsidP="00545340">
      <w:pPr>
        <w:pStyle w:val="Listaszerbekezds"/>
        <w:numPr>
          <w:ilvl w:val="0"/>
          <w:numId w:val="24"/>
        </w:numPr>
        <w:tabs>
          <w:tab w:val="left" w:pos="567"/>
        </w:tabs>
        <w:ind w:left="567" w:hanging="567"/>
      </w:pPr>
      <w:r w:rsidRPr="00656C0A">
        <w:t>Akut koronária</w:t>
      </w:r>
      <w:r w:rsidR="00D22CE3">
        <w:t>-</w:t>
      </w:r>
      <w:r w:rsidRPr="00656C0A">
        <w:t>szindróma:</w:t>
      </w:r>
    </w:p>
    <w:p w14:paraId="78BD083A" w14:textId="77777777" w:rsidR="00DF73BF" w:rsidRPr="00656C0A" w:rsidRDefault="00FB299E" w:rsidP="00545340">
      <w:pPr>
        <w:pStyle w:val="Listaszerbekezds"/>
        <w:numPr>
          <w:ilvl w:val="1"/>
          <w:numId w:val="24"/>
        </w:numPr>
        <w:tabs>
          <w:tab w:val="left" w:pos="567"/>
        </w:tabs>
        <w:ind w:left="1134" w:hanging="567"/>
      </w:pPr>
      <w:r w:rsidRPr="00656C0A">
        <w:t>Instabil angina és ST-elevációval nem járó akut miokardiális infarktus kezelése (NSTEMI), orális acetilszalicilsavval kombinálva.</w:t>
      </w:r>
    </w:p>
    <w:p w14:paraId="78BD083B" w14:textId="77777777" w:rsidR="0000206F" w:rsidRPr="00656C0A" w:rsidRDefault="00FB299E" w:rsidP="00545340">
      <w:pPr>
        <w:pStyle w:val="Listaszerbekezds"/>
        <w:numPr>
          <w:ilvl w:val="1"/>
          <w:numId w:val="24"/>
        </w:numPr>
        <w:tabs>
          <w:tab w:val="left" w:pos="567"/>
        </w:tabs>
        <w:ind w:left="1134" w:hanging="567"/>
      </w:pPr>
      <w:r w:rsidRPr="00656C0A">
        <w:t>ST-elevációval járó akut miokardiális infarktus (STEMI) kezelésére, beleértve a gyógyszeres kezelésre szoruló vagy későbbi perkután koronária</w:t>
      </w:r>
      <w:r w:rsidR="00D22CE3">
        <w:t>-</w:t>
      </w:r>
      <w:r w:rsidRPr="00656C0A">
        <w:t>intervenciót (PCI) igénylő betegeket is.</w:t>
      </w:r>
    </w:p>
    <w:p w14:paraId="78BD083C" w14:textId="77777777" w:rsidR="0000206F" w:rsidRPr="00656C0A" w:rsidRDefault="0000206F" w:rsidP="00545340">
      <w:pPr>
        <w:tabs>
          <w:tab w:val="left" w:pos="567"/>
        </w:tabs>
        <w:ind w:left="567" w:hanging="567"/>
      </w:pPr>
    </w:p>
    <w:p w14:paraId="78BD083D" w14:textId="77777777" w:rsidR="00DF73BF" w:rsidRPr="00656C0A" w:rsidRDefault="00FB299E" w:rsidP="00545340">
      <w:pPr>
        <w:pStyle w:val="Cmsor1"/>
        <w:numPr>
          <w:ilvl w:val="1"/>
          <w:numId w:val="23"/>
        </w:numPr>
        <w:tabs>
          <w:tab w:val="left" w:pos="567"/>
        </w:tabs>
        <w:ind w:left="567" w:hanging="567"/>
      </w:pPr>
      <w:r w:rsidRPr="00656C0A">
        <w:t>Adagolás és alkalmazás</w:t>
      </w:r>
    </w:p>
    <w:p w14:paraId="78BD083E" w14:textId="77777777" w:rsidR="00DF73BF" w:rsidRPr="00656C0A" w:rsidRDefault="00DF73BF" w:rsidP="00545340">
      <w:pPr>
        <w:pStyle w:val="Szvegtrzs"/>
        <w:tabs>
          <w:tab w:val="left" w:pos="567"/>
        </w:tabs>
        <w:ind w:left="567" w:hanging="567"/>
        <w:rPr>
          <w:b/>
        </w:rPr>
      </w:pPr>
    </w:p>
    <w:p w14:paraId="78BD083F" w14:textId="77777777" w:rsidR="00DF73BF" w:rsidRPr="00656C0A" w:rsidRDefault="00FB299E" w:rsidP="00545340">
      <w:pPr>
        <w:pStyle w:val="Szvegtrzs"/>
        <w:tabs>
          <w:tab w:val="left" w:pos="567"/>
        </w:tabs>
        <w:ind w:left="567" w:hanging="567"/>
      </w:pPr>
      <w:r w:rsidRPr="00656C0A">
        <w:rPr>
          <w:u w:val="single"/>
        </w:rPr>
        <w:t>Adagolás</w:t>
      </w:r>
    </w:p>
    <w:p w14:paraId="78BD0840" w14:textId="77777777" w:rsidR="00DF73BF" w:rsidRPr="00656C0A" w:rsidRDefault="00DF73BF" w:rsidP="00545340">
      <w:pPr>
        <w:pStyle w:val="Szvegtrzs"/>
        <w:tabs>
          <w:tab w:val="left" w:pos="567"/>
        </w:tabs>
        <w:ind w:left="567" w:hanging="567"/>
      </w:pPr>
    </w:p>
    <w:p w14:paraId="78BD0841" w14:textId="77777777" w:rsidR="00DF73BF" w:rsidRPr="00656C0A" w:rsidRDefault="00FB299E" w:rsidP="00545340">
      <w:pPr>
        <w:tabs>
          <w:tab w:val="left" w:pos="567"/>
        </w:tabs>
        <w:rPr>
          <w:i/>
        </w:rPr>
      </w:pPr>
      <w:r w:rsidRPr="00656C0A">
        <w:rPr>
          <w:i/>
        </w:rPr>
        <w:t>Vénás tromboembóliás szövődmény megelőzésére közepes és magas kockázatú műtéti beavatkozás esetén</w:t>
      </w:r>
    </w:p>
    <w:p w14:paraId="78BD0842" w14:textId="77777777" w:rsidR="00DF73BF" w:rsidRPr="00656C0A" w:rsidRDefault="00FB299E" w:rsidP="00545340">
      <w:pPr>
        <w:pStyle w:val="Szvegtrzs"/>
        <w:tabs>
          <w:tab w:val="left" w:pos="567"/>
        </w:tabs>
      </w:pPr>
      <w:r w:rsidRPr="00656C0A">
        <w:t>A tromboembóliás szövődmény kialakulásának kockázata egyénileg felbecsülhető validált, kockázatbesorolási modell alapján.</w:t>
      </w:r>
    </w:p>
    <w:p w14:paraId="78BD0843" w14:textId="079B7ECA" w:rsidR="00DF73BF" w:rsidRPr="00656C0A" w:rsidRDefault="00FB299E" w:rsidP="00545340">
      <w:pPr>
        <w:pStyle w:val="Listaszerbekezds"/>
        <w:numPr>
          <w:ilvl w:val="0"/>
          <w:numId w:val="24"/>
        </w:numPr>
        <w:tabs>
          <w:tab w:val="left" w:pos="567"/>
        </w:tabs>
        <w:ind w:left="567" w:hanging="567"/>
      </w:pPr>
      <w:r w:rsidRPr="00656C0A">
        <w:t>A tromboembólia szempontjából közepes rizikójú betegeknek az enoxaparin-nátrium ajánlott adagja 2000 NE (20</w:t>
      </w:r>
      <w:r w:rsidR="00311AB5">
        <w:t> </w:t>
      </w:r>
      <w:r w:rsidRPr="00656C0A">
        <w:t>mg) naponta egy alkalommal szubkután (sc.) injekció formájában. A sebészeti beavatkozás előtt (2 órával a műtétet megelőzően) beadott 2000 NE (20</w:t>
      </w:r>
      <w:r w:rsidR="00311AB5">
        <w:t> </w:t>
      </w:r>
      <w:r w:rsidRPr="00656C0A">
        <w:t>mg) enoxaparin-nátrium hatásosnak és biztonságosnak bizonyult közepes kockázatú műtéti beavatkozás esetén.</w:t>
      </w:r>
    </w:p>
    <w:p w14:paraId="78BD0844" w14:textId="77777777" w:rsidR="00DF73BF" w:rsidRPr="00656C0A" w:rsidRDefault="007947CC" w:rsidP="00545340">
      <w:pPr>
        <w:pStyle w:val="Szvegtrzs"/>
        <w:tabs>
          <w:tab w:val="left" w:pos="567"/>
        </w:tabs>
        <w:ind w:left="567"/>
      </w:pPr>
      <w:r>
        <w:t>K</w:t>
      </w:r>
      <w:r w:rsidR="00FB299E" w:rsidRPr="00656C0A">
        <w:t>özepes kockázatú betegeknél az enoxaparin-nátrium</w:t>
      </w:r>
      <w:r>
        <w:t>-</w:t>
      </w:r>
      <w:r w:rsidR="00FB299E" w:rsidRPr="00656C0A">
        <w:t>kezelés időtartama minimum 7-10 nap, függetlenült a klinikai állapot (pl. mobilitás) alakulásától. A profilaktikus kezelést mindaddig folytatni kell, amíg a beteg mobilitása jelentősen korlátozott.</w:t>
      </w:r>
    </w:p>
    <w:p w14:paraId="78BD0845" w14:textId="735BBAE2" w:rsidR="00DF73BF" w:rsidRPr="00656C0A" w:rsidRDefault="00FB299E" w:rsidP="00545340">
      <w:pPr>
        <w:pStyle w:val="Listaszerbekezds"/>
        <w:numPr>
          <w:ilvl w:val="0"/>
          <w:numId w:val="24"/>
        </w:numPr>
        <w:tabs>
          <w:tab w:val="left" w:pos="567"/>
        </w:tabs>
        <w:ind w:left="567" w:hanging="567"/>
      </w:pPr>
      <w:r w:rsidRPr="00656C0A">
        <w:t>A tromboembólia szempontjából nagy rizikójú betegeknek az enoxaparin-nátrium ajánlott adagja 4000 NE (40</w:t>
      </w:r>
      <w:r w:rsidR="00311AB5">
        <w:t> </w:t>
      </w:r>
      <w:r w:rsidRPr="00656C0A">
        <w:t>mg) naponta egy alkalommal szubkután (sc.) injekció formájában, amit lehetőleg a műtét előtt 12 órával kell elkezdeni. Amennyiben a műtét előtti 12 óránál korábban van szükség az enoxaparin-nátrium profilaktikus alkalmazására (pl. ortopéd sebészeti beavatkozásra váró magas rizikójú beteg esetében), az utolsó injekciót a műtét előtt legalább 12</w:t>
      </w:r>
      <w:r w:rsidR="007947CC">
        <w:t> </w:t>
      </w:r>
      <w:r w:rsidRPr="00656C0A">
        <w:t>órával kell beadni, és a kezelést a műtétet után 12 órával kell folytatni.</w:t>
      </w:r>
    </w:p>
    <w:p w14:paraId="78BD0846" w14:textId="77777777" w:rsidR="00DF73BF" w:rsidRPr="00656C0A" w:rsidRDefault="00FB299E" w:rsidP="00545340">
      <w:pPr>
        <w:pStyle w:val="Listaszerbekezds"/>
        <w:numPr>
          <w:ilvl w:val="0"/>
          <w:numId w:val="22"/>
        </w:numPr>
        <w:tabs>
          <w:tab w:val="left" w:pos="567"/>
        </w:tabs>
        <w:ind w:left="1134" w:hanging="567"/>
      </w:pPr>
      <w:r w:rsidRPr="00656C0A">
        <w:t>Nagyobb ortopéd sebészeti beavatkozáson áteső betegeknél kiterjesztett, legalább 5 hétig tartó tromboprofilaxis javasolt.</w:t>
      </w:r>
    </w:p>
    <w:p w14:paraId="78BD0847" w14:textId="77777777" w:rsidR="00DF73BF" w:rsidRPr="00656C0A" w:rsidRDefault="00FB299E" w:rsidP="00545340">
      <w:pPr>
        <w:pStyle w:val="Listaszerbekezds"/>
        <w:numPr>
          <w:ilvl w:val="0"/>
          <w:numId w:val="22"/>
        </w:numPr>
        <w:tabs>
          <w:tab w:val="left" w:pos="567"/>
        </w:tabs>
        <w:ind w:left="1134" w:hanging="567"/>
      </w:pPr>
      <w:r w:rsidRPr="00656C0A">
        <w:t>Hasi vagy kismedencei daganat műtéti eltávolításán áteső, vénás tromboembólia (VTE) szempontjából nagy rizikójú betegeknek meghosszabbított, legalább 4 hétig tartó tromboprofilaxis javasolt.</w:t>
      </w:r>
    </w:p>
    <w:p w14:paraId="78BD0848" w14:textId="77777777" w:rsidR="00DF73BF" w:rsidRPr="00656C0A" w:rsidRDefault="00DF73BF" w:rsidP="00545340">
      <w:pPr>
        <w:pStyle w:val="Szvegtrzs"/>
        <w:tabs>
          <w:tab w:val="left" w:pos="567"/>
        </w:tabs>
        <w:ind w:left="567" w:hanging="567"/>
      </w:pPr>
    </w:p>
    <w:p w14:paraId="78BD0849" w14:textId="77777777" w:rsidR="00DF73BF" w:rsidRPr="00656C0A" w:rsidRDefault="00FB299E" w:rsidP="00545340">
      <w:pPr>
        <w:tabs>
          <w:tab w:val="left" w:pos="567"/>
        </w:tabs>
        <w:ind w:left="567" w:hanging="567"/>
        <w:rPr>
          <w:i/>
        </w:rPr>
      </w:pPr>
      <w:r w:rsidRPr="00656C0A">
        <w:rPr>
          <w:i/>
        </w:rPr>
        <w:t>Vénás tromboembóliás szövődmény megelőzése belgyógyászati betegeknél</w:t>
      </w:r>
    </w:p>
    <w:p w14:paraId="78BD084A" w14:textId="77777777" w:rsidR="00DF73BF" w:rsidRPr="00656C0A" w:rsidRDefault="00FB299E" w:rsidP="00545340">
      <w:pPr>
        <w:pStyle w:val="Szvegtrzs"/>
        <w:tabs>
          <w:tab w:val="left" w:pos="567"/>
        </w:tabs>
      </w:pPr>
      <w:r w:rsidRPr="00656C0A">
        <w:t>Az enoxaparin-nátrium ajánlott adagja 4000 NE (40 mg) naponta egy alkalommal szubkután injekció formájában.</w:t>
      </w:r>
    </w:p>
    <w:p w14:paraId="78BD084B" w14:textId="77777777" w:rsidR="00DF73BF" w:rsidRPr="00656C0A" w:rsidRDefault="00FB299E" w:rsidP="00545340">
      <w:pPr>
        <w:pStyle w:val="Szvegtrzs"/>
        <w:tabs>
          <w:tab w:val="left" w:pos="567"/>
        </w:tabs>
      </w:pPr>
      <w:r w:rsidRPr="00656C0A">
        <w:t>Az enoxaparin-nátrium</w:t>
      </w:r>
      <w:r w:rsidR="003424D6">
        <w:t>-</w:t>
      </w:r>
      <w:r w:rsidRPr="00656C0A">
        <w:t>kezelést legalább 6-14 napig kell folytatni a klinikai állapot javulásától (pl. mobilitás) függetlenül. A 14 napnál tovább tartó kezelés előnyét nem igazolták.</w:t>
      </w:r>
    </w:p>
    <w:p w14:paraId="78BD084C" w14:textId="77777777" w:rsidR="00DF73BF" w:rsidRPr="00656C0A" w:rsidRDefault="00DF73BF" w:rsidP="00545340">
      <w:pPr>
        <w:pStyle w:val="Szvegtrzs"/>
        <w:tabs>
          <w:tab w:val="left" w:pos="567"/>
        </w:tabs>
      </w:pPr>
    </w:p>
    <w:p w14:paraId="78BD084D" w14:textId="77777777" w:rsidR="00DF73BF" w:rsidRPr="00656C0A" w:rsidRDefault="00FB299E" w:rsidP="00545340">
      <w:pPr>
        <w:tabs>
          <w:tab w:val="left" w:pos="567"/>
        </w:tabs>
        <w:rPr>
          <w:i/>
        </w:rPr>
      </w:pPr>
      <w:r w:rsidRPr="00656C0A">
        <w:rPr>
          <w:i/>
        </w:rPr>
        <w:t>Mélyvénás trombózis (DVT) és tüdőembólia (PE) kezelése</w:t>
      </w:r>
    </w:p>
    <w:p w14:paraId="78BD084E" w14:textId="77777777" w:rsidR="00DF73BF" w:rsidRPr="00656C0A" w:rsidRDefault="00FB299E" w:rsidP="00545340">
      <w:pPr>
        <w:pStyle w:val="Szvegtrzs"/>
        <w:tabs>
          <w:tab w:val="left" w:pos="567"/>
        </w:tabs>
      </w:pPr>
      <w:r w:rsidRPr="00656C0A">
        <w:t>Az enoxaparin-nátrium sc. injekcióban adható naponta egyszer 150 NE/kg (1,5 mg/kg) adagban, vagy naponta kétszer 100 NE/kg (1 mg/kg) adagban.</w:t>
      </w:r>
    </w:p>
    <w:p w14:paraId="78BD084F" w14:textId="211D7673" w:rsidR="00DF73BF" w:rsidRPr="00656C0A" w:rsidRDefault="00FB299E" w:rsidP="00545340">
      <w:pPr>
        <w:pStyle w:val="Szvegtrzs"/>
        <w:tabs>
          <w:tab w:val="left" w:pos="567"/>
        </w:tabs>
      </w:pPr>
      <w:r w:rsidRPr="00656C0A">
        <w:t>Az adagolást az orvosnak minden egyes beteg esetében egyénileg kell megállapítania, beleértve a tromboembólia és a vérzés kockázatának értékelését is. A naponta egyszer adandó 150 NE/kg (1,5</w:t>
      </w:r>
      <w:r w:rsidR="003424D6">
        <w:t> </w:t>
      </w:r>
      <w:r w:rsidRPr="00656C0A">
        <w:t>mg/kg) adagolási sémát szövődménymentes esetekben, a VTE kiújulásának szempontjából alacsony rizikójú betegnél kell alkalmazni. A naponta kétszer adandó 100 NE/kg (1</w:t>
      </w:r>
      <w:r w:rsidR="00311AB5">
        <w:t> </w:t>
      </w:r>
      <w:r w:rsidRPr="00656C0A">
        <w:t>mg/kg) adagolási sémát kell alkalmazni minden más beteg esetében, például túlsúlyosaknál, a tünetekkel járó tüdőembóliában szenvedőknél, tumoros betegeknél, a visszatérő VTE-ben vagy proximális (vena iliaca) trombózisban szenvedő betegeknél.</w:t>
      </w:r>
    </w:p>
    <w:p w14:paraId="78BD0850" w14:textId="77777777" w:rsidR="00DF73BF" w:rsidRPr="00656C0A" w:rsidRDefault="00DF73BF" w:rsidP="00545340">
      <w:pPr>
        <w:pStyle w:val="Szvegtrzs"/>
        <w:tabs>
          <w:tab w:val="left" w:pos="567"/>
        </w:tabs>
        <w:ind w:left="567" w:hanging="567"/>
      </w:pPr>
    </w:p>
    <w:p w14:paraId="78BD0851" w14:textId="77777777" w:rsidR="00DF73BF" w:rsidRPr="00656C0A" w:rsidRDefault="00FB299E" w:rsidP="00750E21">
      <w:pPr>
        <w:pStyle w:val="Szvegtrzs"/>
        <w:widowControl/>
        <w:tabs>
          <w:tab w:val="left" w:pos="567"/>
        </w:tabs>
      </w:pPr>
      <w:r w:rsidRPr="00656C0A">
        <w:lastRenderedPageBreak/>
        <w:t>Az enoxaparin-nátrium</w:t>
      </w:r>
      <w:r w:rsidR="003424D6">
        <w:t>-</w:t>
      </w:r>
      <w:r w:rsidRPr="00656C0A">
        <w:t>kezelés időtartama átlagosan 10 nap. Orális antikoaguláns kezelést a megfelelő időpontban kell elkezdeni (lásd a “Váltás enoxaparin-kezelésről orális antikoagulánsra” alcímet a 4.2</w:t>
      </w:r>
      <w:r w:rsidR="003424D6">
        <w:t> </w:t>
      </w:r>
      <w:r w:rsidRPr="00656C0A">
        <w:t>pont végén).</w:t>
      </w:r>
    </w:p>
    <w:p w14:paraId="78BD0852" w14:textId="0FBA676E" w:rsidR="00DF73BF" w:rsidRDefault="00DF73BF" w:rsidP="00545340">
      <w:pPr>
        <w:pStyle w:val="Szvegtrzs"/>
        <w:tabs>
          <w:tab w:val="left" w:pos="567"/>
        </w:tabs>
      </w:pPr>
    </w:p>
    <w:p w14:paraId="17F7D658" w14:textId="2121DB1C" w:rsidR="00261E37" w:rsidRPr="00466AA6" w:rsidRDefault="001B0CEF" w:rsidP="00261E37">
      <w:pPr>
        <w:pStyle w:val="Felsorols"/>
        <w:numPr>
          <w:ilvl w:val="0"/>
          <w:numId w:val="0"/>
        </w:numPr>
      </w:pPr>
      <w:bookmarkStart w:id="2" w:name="_Hlk108431944"/>
      <w:r>
        <w:t>M</w:t>
      </w:r>
      <w:r w:rsidR="00261E37" w:rsidRPr="00CE6397">
        <w:t>élyvénás trombózis (DVT) és tüdőembólia (PE) tartós kezelésében</w:t>
      </w:r>
      <w:r>
        <w:t>,</w:t>
      </w:r>
      <w:r w:rsidR="00261E37" w:rsidRPr="00466AA6">
        <w:t xml:space="preserve"> </w:t>
      </w:r>
      <w:r w:rsidRPr="009D0908">
        <w:rPr>
          <w:lang w:val="hu-HU"/>
        </w:rPr>
        <w:t>valamint ezek</w:t>
      </w:r>
      <w:r w:rsidR="00261E37" w:rsidRPr="00CE6397">
        <w:t xml:space="preserve"> kiújulásának megelőzésében aktív </w:t>
      </w:r>
      <w:r w:rsidR="00CF2DE8">
        <w:t>daganat</w:t>
      </w:r>
      <w:r w:rsidR="00311AB5">
        <w:t xml:space="preserve">os </w:t>
      </w:r>
      <w:r w:rsidR="00261E37" w:rsidRPr="00CE6397">
        <w:t>betegségben szenvedő betegeknél</w:t>
      </w:r>
      <w:r w:rsidR="00261E37" w:rsidRPr="00466AA6">
        <w:t xml:space="preserve"> az orvosnak gondosan mérlegelnie kell a tromboembóli</w:t>
      </w:r>
      <w:r w:rsidR="00116458">
        <w:t>a</w:t>
      </w:r>
      <w:r w:rsidR="00261E37" w:rsidRPr="00CE6397">
        <w:t xml:space="preserve"> és a vérzés egyéni kockázatát.</w:t>
      </w:r>
    </w:p>
    <w:p w14:paraId="19E69C47" w14:textId="77777777" w:rsidR="00261E37" w:rsidRPr="00466AA6" w:rsidRDefault="00261E37" w:rsidP="00261E37">
      <w:pPr>
        <w:pStyle w:val="Felsorols"/>
        <w:numPr>
          <w:ilvl w:val="0"/>
          <w:numId w:val="0"/>
        </w:numPr>
      </w:pPr>
    </w:p>
    <w:p w14:paraId="3F060D03" w14:textId="2ADF941E" w:rsidR="00261E37" w:rsidRPr="00466AA6" w:rsidRDefault="00261E37" w:rsidP="00261E37">
      <w:pPr>
        <w:pStyle w:val="Felsorols"/>
        <w:numPr>
          <w:ilvl w:val="0"/>
          <w:numId w:val="0"/>
        </w:numPr>
      </w:pPr>
      <w:r w:rsidRPr="00466AA6">
        <w:t>Az ajánlott adag 100 NE/kg (1 mg/kg) naponta kétszer szubkután injekció formájában 5</w:t>
      </w:r>
      <w:r w:rsidRPr="00466AA6">
        <w:noBreakHyphen/>
        <w:t xml:space="preserve">10 napig, amelyet </w:t>
      </w:r>
      <w:r w:rsidR="00311AB5">
        <w:t xml:space="preserve">naponta egyszer </w:t>
      </w:r>
      <w:r w:rsidRPr="00466AA6">
        <w:t xml:space="preserve">150 NE/kg (1,5 mg/kg) adag követ szubkután injekció formájában legfeljebb 6 hónapig. </w:t>
      </w:r>
      <w:bookmarkStart w:id="3" w:name="_Hlk82163993"/>
      <w:r w:rsidRPr="00466AA6">
        <w:t>A folyamatos antikoaguláns terápia előnyeit 6 hónapos kezelés után újra kell értékelni</w:t>
      </w:r>
      <w:bookmarkEnd w:id="3"/>
      <w:r w:rsidRPr="00466AA6">
        <w:t>.</w:t>
      </w:r>
    </w:p>
    <w:bookmarkEnd w:id="2"/>
    <w:p w14:paraId="7D1E9F14" w14:textId="77777777" w:rsidR="00261E37" w:rsidRPr="00B35A1A" w:rsidRDefault="00261E37" w:rsidP="00545340">
      <w:pPr>
        <w:pStyle w:val="Szvegtrzs"/>
        <w:tabs>
          <w:tab w:val="left" w:pos="567"/>
        </w:tabs>
      </w:pPr>
    </w:p>
    <w:p w14:paraId="78BD0853" w14:textId="77777777" w:rsidR="00DF73BF" w:rsidRPr="00656C0A" w:rsidRDefault="00FB299E" w:rsidP="00545340">
      <w:pPr>
        <w:tabs>
          <w:tab w:val="left" w:pos="567"/>
        </w:tabs>
        <w:rPr>
          <w:i/>
        </w:rPr>
      </w:pPr>
      <w:r w:rsidRPr="00656C0A">
        <w:rPr>
          <w:i/>
        </w:rPr>
        <w:t>Hemodialízis során trombusképződés megelőzésére</w:t>
      </w:r>
    </w:p>
    <w:p w14:paraId="78BD0854" w14:textId="77777777" w:rsidR="00DF73BF" w:rsidRPr="00656C0A" w:rsidRDefault="00FB299E" w:rsidP="00545340">
      <w:pPr>
        <w:pStyle w:val="Szvegtrzs"/>
        <w:tabs>
          <w:tab w:val="left" w:pos="567"/>
        </w:tabs>
      </w:pPr>
      <w:r w:rsidRPr="00656C0A">
        <w:t>Az enoxaparin-nátrium javasolt adagja 100 NE/kg (1 mg/kg).</w:t>
      </w:r>
    </w:p>
    <w:p w14:paraId="78BD0855" w14:textId="6052AB33" w:rsidR="00DF73BF" w:rsidRPr="00656C0A" w:rsidRDefault="00FB299E" w:rsidP="00545340">
      <w:pPr>
        <w:pStyle w:val="Szvegtrzs"/>
        <w:tabs>
          <w:tab w:val="left" w:pos="567"/>
        </w:tabs>
      </w:pPr>
      <w:r w:rsidRPr="00656C0A">
        <w:t>Vérzés szempontjából nagy rizikójú betegeknél az adagot 50 NE/kg (0,5 mg/kg)-ra kell csökkenteni kettős vaszkuláris bemenet esetén, vagy 75 NE/kg (0,75 mg/kg)-ra egyszeres vaszkuláris bemenet esetén.Hemodialízis során az enoxaparin-nátriumot a dializáló kör artériás szárába kell adagolni a dialízis kezdetén. A fenti dózis általában 4 órás kezeléshez elegendő; amennyiben fibringyűrűk képződnének – például az átlagosnál hosszabb kezelés után, további 50–100 NE/kg (0,5–1</w:t>
      </w:r>
      <w:r w:rsidR="00311AB5">
        <w:t> </w:t>
      </w:r>
      <w:r w:rsidRPr="00656C0A">
        <w:t>mg/kg) adagot lehet beadni.</w:t>
      </w:r>
    </w:p>
    <w:p w14:paraId="78BD0856" w14:textId="77777777" w:rsidR="00DF73BF" w:rsidRPr="00656C0A" w:rsidRDefault="00DF73BF" w:rsidP="00545340">
      <w:pPr>
        <w:pStyle w:val="Szvegtrzs"/>
        <w:tabs>
          <w:tab w:val="left" w:pos="567"/>
        </w:tabs>
      </w:pPr>
    </w:p>
    <w:p w14:paraId="78BD0857" w14:textId="77777777" w:rsidR="00DF73BF" w:rsidRPr="00656C0A" w:rsidRDefault="00FB299E" w:rsidP="00545340">
      <w:pPr>
        <w:pStyle w:val="Szvegtrzs"/>
        <w:tabs>
          <w:tab w:val="left" w:pos="567"/>
        </w:tabs>
      </w:pPr>
      <w:r w:rsidRPr="00656C0A">
        <w:t>Nem állnak rendelkezésre adatok olyan betegekről, akiknél az enoxaparin-nátriumot megelőzésre vagy kezelésre alkalmazták, vagy azt hemodialízis közben adták be.</w:t>
      </w:r>
    </w:p>
    <w:p w14:paraId="78BD0858" w14:textId="77777777" w:rsidR="00DF73BF" w:rsidRPr="00656C0A" w:rsidRDefault="00DF73BF" w:rsidP="00545340">
      <w:pPr>
        <w:pStyle w:val="Szvegtrzs"/>
        <w:tabs>
          <w:tab w:val="left" w:pos="567"/>
        </w:tabs>
        <w:ind w:left="567" w:hanging="567"/>
      </w:pPr>
    </w:p>
    <w:p w14:paraId="78BD0859" w14:textId="77777777" w:rsidR="00DF73BF" w:rsidRPr="00656C0A" w:rsidRDefault="00FB299E" w:rsidP="00545340">
      <w:pPr>
        <w:tabs>
          <w:tab w:val="left" w:pos="567"/>
        </w:tabs>
        <w:ind w:left="567" w:hanging="567"/>
        <w:rPr>
          <w:i/>
        </w:rPr>
      </w:pPr>
      <w:r w:rsidRPr="00656C0A">
        <w:rPr>
          <w:i/>
        </w:rPr>
        <w:t>Akut koronária</w:t>
      </w:r>
      <w:r w:rsidR="003424D6">
        <w:rPr>
          <w:i/>
        </w:rPr>
        <w:t>-</w:t>
      </w:r>
      <w:r w:rsidRPr="00656C0A">
        <w:rPr>
          <w:i/>
        </w:rPr>
        <w:t>szindróma: instabil angina és NSTEMI kezelése és akut STEMI kezelése</w:t>
      </w:r>
    </w:p>
    <w:p w14:paraId="78BD085A" w14:textId="5E7E9F63" w:rsidR="00DF73BF" w:rsidRPr="00656C0A" w:rsidRDefault="00FB299E" w:rsidP="00545340">
      <w:pPr>
        <w:pStyle w:val="Listaszerbekezds"/>
        <w:numPr>
          <w:ilvl w:val="0"/>
          <w:numId w:val="24"/>
        </w:numPr>
        <w:tabs>
          <w:tab w:val="left" w:pos="567"/>
        </w:tabs>
        <w:ind w:left="567" w:hanging="567"/>
      </w:pPr>
      <w:r w:rsidRPr="00656C0A">
        <w:t>Instabil angina és NSTEMI kezelésére az enoxaparin-nátrium javasolt adagja 100</w:t>
      </w:r>
      <w:r w:rsidR="005F0E88">
        <w:t> </w:t>
      </w:r>
      <w:r w:rsidRPr="00656C0A">
        <w:t>NE/kg (1</w:t>
      </w:r>
      <w:r w:rsidR="003424D6">
        <w:t> </w:t>
      </w:r>
      <w:r w:rsidRPr="00656C0A">
        <w:t>mg/kg) 12 óránként sc. injekció formájában, egyidejű tromboc</w:t>
      </w:r>
      <w:r w:rsidR="003424D6">
        <w:t>i</w:t>
      </w:r>
      <w:r w:rsidRPr="00656C0A">
        <w:t>taaggregáció-gátló kezeléssel. A kezelést a klinikai állapot stabilizálódásáig, de minimum 2 napig kell folytatni. A kezelés átlagos időtartama 2–8 nap.</w:t>
      </w:r>
    </w:p>
    <w:p w14:paraId="78BD085B" w14:textId="77777777" w:rsidR="00DF73BF" w:rsidRPr="00656C0A" w:rsidRDefault="00FB299E" w:rsidP="00545340">
      <w:pPr>
        <w:pStyle w:val="Szvegtrzs"/>
        <w:tabs>
          <w:tab w:val="left" w:pos="567"/>
        </w:tabs>
        <w:ind w:left="567"/>
      </w:pPr>
      <w:r w:rsidRPr="00656C0A">
        <w:t xml:space="preserve">Amennyiben nem ellenjavallt, acetilszalicilsav alkalmazása javasolt valamennyi betegnél, </w:t>
      </w:r>
      <w:r w:rsidRPr="00656C0A">
        <w:rPr>
          <w:i/>
        </w:rPr>
        <w:t>per</w:t>
      </w:r>
      <w:r w:rsidR="003424D6">
        <w:rPr>
          <w:i/>
        </w:rPr>
        <w:t> </w:t>
      </w:r>
      <w:r w:rsidRPr="00656C0A">
        <w:rPr>
          <w:i/>
        </w:rPr>
        <w:t xml:space="preserve">os </w:t>
      </w:r>
      <w:r w:rsidRPr="00656C0A">
        <w:t>adott 150–300 mg telítő adaggal (acetilszalicilsavval még nem kezelt betegeknél), majd a kezelési stratégiától függetlenül hosszú távon 75–325 mg/nap fenntartó adaggal.</w:t>
      </w:r>
    </w:p>
    <w:p w14:paraId="78BD085C" w14:textId="77777777" w:rsidR="00DF73BF" w:rsidRPr="00656C0A" w:rsidRDefault="00DF73BF" w:rsidP="00545340">
      <w:pPr>
        <w:pStyle w:val="Szvegtrzs"/>
        <w:tabs>
          <w:tab w:val="left" w:pos="567"/>
        </w:tabs>
        <w:ind w:left="567" w:hanging="567"/>
      </w:pPr>
    </w:p>
    <w:p w14:paraId="78BD085D" w14:textId="3AB58D54" w:rsidR="00DF73BF" w:rsidRPr="00656C0A" w:rsidRDefault="00FB299E" w:rsidP="00545340">
      <w:pPr>
        <w:pStyle w:val="Listaszerbekezds"/>
        <w:numPr>
          <w:ilvl w:val="0"/>
          <w:numId w:val="24"/>
        </w:numPr>
        <w:tabs>
          <w:tab w:val="left" w:pos="567"/>
        </w:tabs>
        <w:ind w:left="567" w:hanging="567"/>
      </w:pPr>
      <w:r w:rsidRPr="00656C0A">
        <w:t xml:space="preserve">Akut STEMI kezelésére az enoxaparin-nátrium javasolt adagja egyszeri </w:t>
      </w:r>
      <w:r w:rsidR="005A3ED9">
        <w:t>3000 NE (30 </w:t>
      </w:r>
      <w:r w:rsidR="005A3ED9" w:rsidRPr="00656C0A">
        <w:t>mg)</w:t>
      </w:r>
      <w:r w:rsidR="005A3ED9">
        <w:t xml:space="preserve"> </w:t>
      </w:r>
      <w:r w:rsidRPr="00656C0A">
        <w:t>intravénás (iv.) b</w:t>
      </w:r>
      <w:r w:rsidR="003424D6">
        <w:t>ó</w:t>
      </w:r>
      <w:r w:rsidRPr="00656C0A">
        <w:t xml:space="preserve">lus </w:t>
      </w:r>
      <w:r w:rsidR="005A3ED9">
        <w:t>injekció</w:t>
      </w:r>
      <w:r w:rsidRPr="00656C0A">
        <w:t>ban plusz egyetlen 100 NE/kg-os adag</w:t>
      </w:r>
      <w:r w:rsidR="005A3ED9">
        <w:t xml:space="preserve"> </w:t>
      </w:r>
      <w:r w:rsidR="005A3ED9" w:rsidRPr="00656C0A">
        <w:t>sc.</w:t>
      </w:r>
      <w:r w:rsidRPr="00656C0A">
        <w:t>, amelyet további 100</w:t>
      </w:r>
      <w:r w:rsidR="005A3ED9">
        <w:t> </w:t>
      </w:r>
      <w:r w:rsidRPr="00656C0A">
        <w:t>NE/kg</w:t>
      </w:r>
      <w:r w:rsidR="005A3ED9">
        <w:t xml:space="preserve"> </w:t>
      </w:r>
      <w:r w:rsidRPr="00656C0A">
        <w:t>(1 mg/kg) sc. adagok követnek 12 óránként (az első két sc. adag egyenként nem haladhatja meg a</w:t>
      </w:r>
      <w:r w:rsidR="005A3ED9">
        <w:t xml:space="preserve"> </w:t>
      </w:r>
      <w:r w:rsidRPr="00656C0A">
        <w:t>10</w:t>
      </w:r>
      <w:r w:rsidR="005A3ED9">
        <w:t> </w:t>
      </w:r>
      <w:r w:rsidRPr="00656C0A">
        <w:t>000 NE [100 mg-ot]). Ezzel párhuzamosan megfelelő tromboc</w:t>
      </w:r>
      <w:r w:rsidR="005A3ED9">
        <w:t>i</w:t>
      </w:r>
      <w:r w:rsidRPr="00656C0A">
        <w:t>taaggregáció</w:t>
      </w:r>
      <w:r w:rsidR="005A3ED9">
        <w:t xml:space="preserve">-gátló </w:t>
      </w:r>
      <w:r w:rsidRPr="00656C0A">
        <w:t xml:space="preserve">kezelést, pl. </w:t>
      </w:r>
      <w:r w:rsidRPr="005A3ED9">
        <w:rPr>
          <w:i/>
        </w:rPr>
        <w:t xml:space="preserve">per os </w:t>
      </w:r>
      <w:r w:rsidRPr="00656C0A">
        <w:t>acetilszalicilsav adását kell elkezdeni (75</w:t>
      </w:r>
      <w:r w:rsidR="005F0E88">
        <w:noBreakHyphen/>
      </w:r>
      <w:r w:rsidRPr="00656C0A">
        <w:t>325</w:t>
      </w:r>
      <w:r w:rsidR="00B16A8C">
        <w:t> </w:t>
      </w:r>
      <w:r w:rsidRPr="00656C0A">
        <w:t>mg napi egyszeri adaggal), hacsak nem ellenjavallt. Az enoxaparin-kezelést 8 napig, vagy (ha az ennél korábban bekövetkezik) a kórházi elbocsátás időpontjáig kell fenntartani. Amikor trombolitikummal együtt alkalmazzák (fibrinspecifikus vagy nem</w:t>
      </w:r>
      <w:r w:rsidR="00B16A8C">
        <w:t>-</w:t>
      </w:r>
      <w:r w:rsidRPr="00656C0A">
        <w:t>fibrinspecifikus), az enoxaparint a fibrinolitikus terápia megkezdése előtti 15. perc és a megkezdése utáni 30. perc közötti intervallumban kell beadni.</w:t>
      </w:r>
    </w:p>
    <w:p w14:paraId="78BD085E" w14:textId="77777777" w:rsidR="00DF73BF" w:rsidRPr="00656C0A" w:rsidRDefault="00FB299E" w:rsidP="00545340">
      <w:pPr>
        <w:pStyle w:val="Listaszerbekezds"/>
        <w:numPr>
          <w:ilvl w:val="0"/>
          <w:numId w:val="1"/>
        </w:numPr>
        <w:tabs>
          <w:tab w:val="left" w:pos="567"/>
        </w:tabs>
        <w:ind w:left="1134" w:hanging="567"/>
      </w:pPr>
      <w:r w:rsidRPr="00656C0A">
        <w:t>75 éves és idősebb betegekre vonatkozó adagolást lásd az „ Idősek” bekezdésben.</w:t>
      </w:r>
    </w:p>
    <w:p w14:paraId="78BD085F" w14:textId="77777777" w:rsidR="00DF73BF" w:rsidRPr="00656C0A" w:rsidRDefault="00FB299E" w:rsidP="00545340">
      <w:pPr>
        <w:pStyle w:val="Listaszerbekezds"/>
        <w:numPr>
          <w:ilvl w:val="0"/>
          <w:numId w:val="1"/>
        </w:numPr>
        <w:tabs>
          <w:tab w:val="left" w:pos="567"/>
        </w:tabs>
        <w:ind w:left="1134" w:hanging="567"/>
      </w:pPr>
      <w:r w:rsidRPr="00656C0A">
        <w:t>Perkután koronária</w:t>
      </w:r>
      <w:r w:rsidR="00B16A8C">
        <w:t>-</w:t>
      </w:r>
      <w:r w:rsidRPr="00656C0A">
        <w:t>intervencióban (PCI) részesülő betegek esetén, amennyiben az utolsó enoxaparin-nátrium sc. injekció beadása a ballon felfújását megelőző 8 órán belül történt, nem szükséges újabb adag alkalmazása. Amennyiben az utolsó szubkután injekciót a ballon felfújását megelőző 8 órán túl adták be, egyszeri iv. bólusban 30 NE/kg (0,3</w:t>
      </w:r>
      <w:r w:rsidR="00B16A8C">
        <w:t> </w:t>
      </w:r>
      <w:r w:rsidRPr="00656C0A">
        <w:t>mg/kg) enoxaparin-nátrium alkalmazandó.</w:t>
      </w:r>
    </w:p>
    <w:p w14:paraId="78BD0860" w14:textId="77777777" w:rsidR="00DF73BF" w:rsidRPr="00656C0A" w:rsidRDefault="00DF73BF" w:rsidP="00545340">
      <w:pPr>
        <w:pStyle w:val="Szvegtrzs"/>
        <w:tabs>
          <w:tab w:val="left" w:pos="567"/>
        </w:tabs>
        <w:ind w:left="1134" w:hanging="567"/>
      </w:pPr>
    </w:p>
    <w:p w14:paraId="78BD0861" w14:textId="77777777" w:rsidR="00DF73BF" w:rsidRPr="00656C0A" w:rsidRDefault="00FB299E" w:rsidP="00545340">
      <w:pPr>
        <w:tabs>
          <w:tab w:val="left" w:pos="567"/>
        </w:tabs>
        <w:ind w:left="567" w:hanging="567"/>
        <w:rPr>
          <w:i/>
        </w:rPr>
      </w:pPr>
      <w:r w:rsidRPr="00656C0A">
        <w:rPr>
          <w:i/>
        </w:rPr>
        <w:t>Gyermekek és serdülők</w:t>
      </w:r>
    </w:p>
    <w:p w14:paraId="78BD0862" w14:textId="77777777" w:rsidR="00DF73BF" w:rsidRPr="00656C0A" w:rsidRDefault="00FB299E" w:rsidP="00545340">
      <w:pPr>
        <w:pStyle w:val="Szvegtrzs"/>
        <w:tabs>
          <w:tab w:val="left" w:pos="567"/>
        </w:tabs>
      </w:pPr>
      <w:r w:rsidRPr="00656C0A">
        <w:t>Az enoxaparin-nátrium biztonságosságát és hatásosságát gyermekek és serdülők esetében nem igazolták.</w:t>
      </w:r>
    </w:p>
    <w:p w14:paraId="78BD0863" w14:textId="77777777" w:rsidR="00DF73BF" w:rsidRPr="00656C0A" w:rsidRDefault="00DF73BF" w:rsidP="00545340">
      <w:pPr>
        <w:pStyle w:val="Szvegtrzs"/>
        <w:tabs>
          <w:tab w:val="left" w:pos="567"/>
        </w:tabs>
      </w:pPr>
    </w:p>
    <w:p w14:paraId="78BD0864" w14:textId="77777777" w:rsidR="00DF73BF" w:rsidRPr="00656C0A" w:rsidRDefault="00FB299E" w:rsidP="00750E21">
      <w:pPr>
        <w:keepNext/>
        <w:tabs>
          <w:tab w:val="left" w:pos="567"/>
        </w:tabs>
        <w:rPr>
          <w:i/>
        </w:rPr>
      </w:pPr>
      <w:r w:rsidRPr="00656C0A">
        <w:rPr>
          <w:i/>
        </w:rPr>
        <w:lastRenderedPageBreak/>
        <w:t>Idősek</w:t>
      </w:r>
    </w:p>
    <w:p w14:paraId="78BD0865" w14:textId="77777777" w:rsidR="00DF73BF" w:rsidRPr="00656C0A" w:rsidRDefault="00FB299E" w:rsidP="00750E21">
      <w:pPr>
        <w:pStyle w:val="Szvegtrzs"/>
        <w:widowControl/>
        <w:tabs>
          <w:tab w:val="left" w:pos="567"/>
        </w:tabs>
      </w:pPr>
      <w:r w:rsidRPr="00656C0A">
        <w:t>A STEMI kivételével egyetlen javallat esetében sem szükséges az adag módosítása az időseknél, kivéve a vesekárosodásban szenvedő betegeket (lásd később, a „Vesekárosodás” alcím alatt és a 4.4</w:t>
      </w:r>
      <w:r w:rsidR="00B16A8C">
        <w:t> </w:t>
      </w:r>
      <w:r w:rsidRPr="00656C0A">
        <w:t>pontban).</w:t>
      </w:r>
    </w:p>
    <w:p w14:paraId="78BD0866" w14:textId="77777777" w:rsidR="00DF73BF" w:rsidRPr="00656C0A" w:rsidRDefault="00FB299E" w:rsidP="00545340">
      <w:pPr>
        <w:pStyle w:val="Szvegtrzs"/>
        <w:tabs>
          <w:tab w:val="left" w:pos="567"/>
        </w:tabs>
      </w:pPr>
      <w:r w:rsidRPr="00656C0A">
        <w:t xml:space="preserve">Akut STEMI esetén a 75 éves és idősebb betegek kezelése esetén tilos </w:t>
      </w:r>
      <w:r w:rsidR="00B16A8C">
        <w:t xml:space="preserve">a </w:t>
      </w:r>
      <w:r w:rsidRPr="00656C0A">
        <w:t>kezdeti intravénás bólus injekciót alkalmazni. A kezelést 12 óránként alkalmazott 75 NE/kg (0,75 mg/kg) sc. adaggal kell kezdeni (az első két sc. adag egyenként nem haladhatja meg a 7500 NE-t (75 mg-ot). A további sc. injekciók adagja</w:t>
      </w:r>
      <w:r w:rsidR="00B16A8C">
        <w:t xml:space="preserve"> </w:t>
      </w:r>
      <w:r w:rsidRPr="00656C0A">
        <w:t>75 NE/kg (0,75 mg/kg).</w:t>
      </w:r>
    </w:p>
    <w:p w14:paraId="78BD0867" w14:textId="77777777" w:rsidR="00DF73BF" w:rsidRPr="00656C0A" w:rsidRDefault="00FB299E" w:rsidP="00545340">
      <w:pPr>
        <w:pStyle w:val="Szvegtrzs"/>
        <w:tabs>
          <w:tab w:val="left" w:pos="567"/>
        </w:tabs>
      </w:pPr>
      <w:r w:rsidRPr="00656C0A">
        <w:t>A vesekárosodásban szenvedő idős betegekre vonatkozó adagolást lásd később a „Vesekárosodás” cím alatt és a 4.4 pontban.</w:t>
      </w:r>
    </w:p>
    <w:p w14:paraId="78BD0868" w14:textId="77777777" w:rsidR="00DF73BF" w:rsidRPr="00656C0A" w:rsidRDefault="00DF73BF" w:rsidP="00545340">
      <w:pPr>
        <w:pStyle w:val="Szvegtrzs"/>
        <w:tabs>
          <w:tab w:val="left" w:pos="567"/>
        </w:tabs>
        <w:ind w:left="567" w:hanging="567"/>
      </w:pPr>
    </w:p>
    <w:p w14:paraId="78BD0869" w14:textId="77777777" w:rsidR="00DF73BF" w:rsidRPr="00656C0A" w:rsidRDefault="00FB299E" w:rsidP="00545340">
      <w:pPr>
        <w:tabs>
          <w:tab w:val="left" w:pos="567"/>
        </w:tabs>
        <w:ind w:left="567" w:hanging="567"/>
        <w:rPr>
          <w:i/>
        </w:rPr>
      </w:pPr>
      <w:r w:rsidRPr="00656C0A">
        <w:rPr>
          <w:i/>
        </w:rPr>
        <w:t>Májkárosodás</w:t>
      </w:r>
    </w:p>
    <w:p w14:paraId="78BD086A" w14:textId="77777777" w:rsidR="00DF73BF" w:rsidRPr="00656C0A" w:rsidRDefault="00FB299E" w:rsidP="00545340">
      <w:pPr>
        <w:pStyle w:val="Szvegtrzs"/>
        <w:tabs>
          <w:tab w:val="left" w:pos="567"/>
        </w:tabs>
      </w:pPr>
      <w:r w:rsidRPr="00656C0A">
        <w:t>Májkárosodásban szenvedő betegek esetében korlátozott számban állnak rendelkezésre adatok (lásd 5.1 és</w:t>
      </w:r>
      <w:r w:rsidR="00122DDD">
        <w:t xml:space="preserve"> </w:t>
      </w:r>
      <w:r w:rsidRPr="00656C0A">
        <w:t>5.2 pontok), ezért ilyen betegek esetében óvatosság ajánlott (lásd 4.4 pont).</w:t>
      </w:r>
    </w:p>
    <w:p w14:paraId="78BD086B" w14:textId="77777777" w:rsidR="00DF73BF" w:rsidRPr="00656C0A" w:rsidRDefault="00DF73BF" w:rsidP="00545340">
      <w:pPr>
        <w:pStyle w:val="Szvegtrzs"/>
        <w:tabs>
          <w:tab w:val="left" w:pos="567"/>
        </w:tabs>
      </w:pPr>
    </w:p>
    <w:p w14:paraId="78BD086C" w14:textId="77777777" w:rsidR="00DF73BF" w:rsidRPr="00656C0A" w:rsidRDefault="00FB299E" w:rsidP="00545340">
      <w:pPr>
        <w:tabs>
          <w:tab w:val="left" w:pos="567"/>
        </w:tabs>
        <w:rPr>
          <w:i/>
        </w:rPr>
      </w:pPr>
      <w:r w:rsidRPr="00656C0A">
        <w:rPr>
          <w:i/>
        </w:rPr>
        <w:t>Vesekárosodás (lásd 4.4 és 5.2 pontok)</w:t>
      </w:r>
    </w:p>
    <w:p w14:paraId="78BD086D" w14:textId="77777777" w:rsidR="00DF73BF" w:rsidRPr="00656C0A" w:rsidRDefault="00FB299E" w:rsidP="00545340">
      <w:pPr>
        <w:pStyle w:val="Listaszerbekezds"/>
        <w:numPr>
          <w:ilvl w:val="0"/>
          <w:numId w:val="24"/>
        </w:numPr>
        <w:tabs>
          <w:tab w:val="left" w:pos="567"/>
        </w:tabs>
        <w:ind w:left="0" w:firstLine="0"/>
      </w:pPr>
      <w:r w:rsidRPr="00656C0A">
        <w:t>Súlyos vesekárosodás</w:t>
      </w:r>
    </w:p>
    <w:p w14:paraId="78BD086E" w14:textId="77777777" w:rsidR="00DF73BF" w:rsidRPr="00656C0A" w:rsidRDefault="00FB299E" w:rsidP="00545340">
      <w:pPr>
        <w:pStyle w:val="Szvegtrzs"/>
        <w:tabs>
          <w:tab w:val="left" w:pos="567"/>
        </w:tabs>
      </w:pPr>
      <w:r w:rsidRPr="00656C0A">
        <w:t>Az enoxaparin-nátrium alkalmazása nem javasolt végstádiumú vesebetegségben (kreatinin-clearance</w:t>
      </w:r>
      <w:r w:rsidR="00122DDD">
        <w:t xml:space="preserve"> </w:t>
      </w:r>
      <w:r w:rsidRPr="00656C0A">
        <w:t>&lt;</w:t>
      </w:r>
      <w:r w:rsidR="00122DDD">
        <w:t> </w:t>
      </w:r>
      <w:r w:rsidRPr="00656C0A">
        <w:t>15 ml/perc), mivel erre a betegcsoportra vonatkozóan csak olyan betegektől állnak rendelkezésre adatok, akiknél az enoxaparin-nátriumot hemodialízis során</w:t>
      </w:r>
      <w:r w:rsidR="00122DDD">
        <w:t>,</w:t>
      </w:r>
      <w:r w:rsidRPr="00656C0A">
        <w:t xml:space="preserve"> az extrakorporális keringésben trombusképződés megelőzésére alkalmazzák.</w:t>
      </w:r>
    </w:p>
    <w:p w14:paraId="78BD086F" w14:textId="77777777" w:rsidR="00DF73BF" w:rsidRPr="00656C0A" w:rsidRDefault="00DF73BF" w:rsidP="00545340">
      <w:pPr>
        <w:pStyle w:val="Szvegtrzs"/>
        <w:tabs>
          <w:tab w:val="left" w:pos="567"/>
        </w:tabs>
        <w:ind w:left="567" w:hanging="567"/>
      </w:pPr>
    </w:p>
    <w:p w14:paraId="78BD0870" w14:textId="77777777" w:rsidR="00DF73BF" w:rsidRPr="00656C0A" w:rsidRDefault="00FB299E" w:rsidP="00545340">
      <w:pPr>
        <w:pStyle w:val="Szvegtrzs"/>
        <w:tabs>
          <w:tab w:val="left" w:pos="567"/>
        </w:tabs>
        <w:ind w:left="567" w:hanging="567"/>
      </w:pPr>
      <w:r w:rsidRPr="00656C0A">
        <w:t>Adagolási táblázat súlyos vesekárosodás (kreatinin-clearance</w:t>
      </w:r>
      <w:r w:rsidR="00122DDD">
        <w:t>:</w:t>
      </w:r>
      <w:r w:rsidRPr="00656C0A">
        <w:t xml:space="preserve"> 15-30 ml/perc) esetén:</w:t>
      </w:r>
    </w:p>
    <w:p w14:paraId="78BD0871" w14:textId="77777777" w:rsidR="00DF73BF" w:rsidRPr="00656C0A" w:rsidRDefault="00DF73BF" w:rsidP="00545340">
      <w:pPr>
        <w:pStyle w:val="Szvegtrzs"/>
        <w:tabs>
          <w:tab w:val="left" w:pos="567"/>
        </w:tabs>
        <w:ind w:left="567" w:hanging="567"/>
      </w:pPr>
    </w:p>
    <w:tbl>
      <w:tblPr>
        <w:tblW w:w="9116"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55"/>
        <w:gridCol w:w="4961"/>
      </w:tblGrid>
      <w:tr w:rsidR="00DF73BF" w:rsidRPr="00656C0A" w14:paraId="78BD0874" w14:textId="77777777" w:rsidTr="00CC2838">
        <w:trPr>
          <w:trHeight w:hRule="exact" w:val="300"/>
        </w:trPr>
        <w:tc>
          <w:tcPr>
            <w:tcW w:w="4155" w:type="dxa"/>
          </w:tcPr>
          <w:p w14:paraId="78BD0872" w14:textId="77777777" w:rsidR="00DF73BF" w:rsidRPr="00656C0A" w:rsidRDefault="00FB299E" w:rsidP="00545340">
            <w:pPr>
              <w:pStyle w:val="TableParagraph"/>
              <w:tabs>
                <w:tab w:val="left" w:pos="567"/>
              </w:tabs>
              <w:ind w:left="567" w:hanging="567"/>
              <w:rPr>
                <w:u w:val="single"/>
              </w:rPr>
            </w:pPr>
            <w:r w:rsidRPr="00656C0A">
              <w:rPr>
                <w:u w:val="single"/>
              </w:rPr>
              <w:t>Indikáció</w:t>
            </w:r>
          </w:p>
        </w:tc>
        <w:tc>
          <w:tcPr>
            <w:tcW w:w="4961" w:type="dxa"/>
          </w:tcPr>
          <w:p w14:paraId="78BD0873" w14:textId="77777777" w:rsidR="00DF73BF" w:rsidRPr="00656C0A" w:rsidRDefault="00FB299E" w:rsidP="00545340">
            <w:pPr>
              <w:pStyle w:val="TableParagraph"/>
              <w:tabs>
                <w:tab w:val="left" w:pos="567"/>
              </w:tabs>
              <w:ind w:left="567" w:hanging="567"/>
              <w:rPr>
                <w:u w:val="single"/>
              </w:rPr>
            </w:pPr>
            <w:r w:rsidRPr="00656C0A">
              <w:rPr>
                <w:u w:val="single"/>
              </w:rPr>
              <w:t>Adagolás</w:t>
            </w:r>
          </w:p>
        </w:tc>
      </w:tr>
      <w:tr w:rsidR="00DF73BF" w:rsidRPr="00A027F6" w14:paraId="78BD0877" w14:textId="77777777" w:rsidTr="00CC2838">
        <w:trPr>
          <w:trHeight w:hRule="exact" w:val="540"/>
        </w:trPr>
        <w:tc>
          <w:tcPr>
            <w:tcW w:w="4155" w:type="dxa"/>
          </w:tcPr>
          <w:p w14:paraId="78BD0875" w14:textId="77777777" w:rsidR="00DF73BF" w:rsidRPr="00656C0A" w:rsidRDefault="00FB299E" w:rsidP="00545340">
            <w:pPr>
              <w:pStyle w:val="TableParagraph"/>
              <w:tabs>
                <w:tab w:val="left" w:pos="567"/>
              </w:tabs>
              <w:ind w:left="0"/>
            </w:pPr>
            <w:r w:rsidRPr="00656C0A">
              <w:t>Vénás tromboembóliás szövődmény megelőzése</w:t>
            </w:r>
          </w:p>
        </w:tc>
        <w:tc>
          <w:tcPr>
            <w:tcW w:w="4961" w:type="dxa"/>
          </w:tcPr>
          <w:p w14:paraId="78BD0876" w14:textId="77777777" w:rsidR="00DF73BF" w:rsidRPr="00CC2838" w:rsidRDefault="00FB299E" w:rsidP="00545340">
            <w:pPr>
              <w:pStyle w:val="TableParagraph"/>
              <w:tabs>
                <w:tab w:val="left" w:pos="567"/>
              </w:tabs>
              <w:ind w:left="567" w:hanging="567"/>
              <w:rPr>
                <w:lang w:val="it-IT"/>
              </w:rPr>
            </w:pPr>
            <w:r w:rsidRPr="00CC2838">
              <w:rPr>
                <w:lang w:val="it-IT"/>
              </w:rPr>
              <w:t>2000 NE (20 mg) sc. naponta egyszer</w:t>
            </w:r>
          </w:p>
        </w:tc>
      </w:tr>
      <w:tr w:rsidR="00DF73BF" w:rsidRPr="00A027F6" w14:paraId="78BD087A" w14:textId="77777777" w:rsidTr="00CC2838">
        <w:trPr>
          <w:trHeight w:hRule="exact" w:val="540"/>
        </w:trPr>
        <w:tc>
          <w:tcPr>
            <w:tcW w:w="4155" w:type="dxa"/>
          </w:tcPr>
          <w:p w14:paraId="78BD0878" w14:textId="77777777" w:rsidR="00DF73BF" w:rsidRPr="00CC2838" w:rsidRDefault="00FB299E" w:rsidP="00545340">
            <w:pPr>
              <w:pStyle w:val="TableParagraph"/>
              <w:tabs>
                <w:tab w:val="left" w:pos="567"/>
              </w:tabs>
              <w:ind w:left="0"/>
              <w:rPr>
                <w:lang w:val="it-IT"/>
              </w:rPr>
            </w:pPr>
            <w:r w:rsidRPr="00CC2838">
              <w:rPr>
                <w:lang w:val="it-IT"/>
              </w:rPr>
              <w:t>Mélyvénás trombózis (DVT) és tüdőembólia (PE) kezelése</w:t>
            </w:r>
          </w:p>
        </w:tc>
        <w:tc>
          <w:tcPr>
            <w:tcW w:w="4961" w:type="dxa"/>
          </w:tcPr>
          <w:p w14:paraId="78BD0879" w14:textId="77777777" w:rsidR="00DF73BF" w:rsidRPr="00CC2838" w:rsidRDefault="00FB299E" w:rsidP="00545340">
            <w:pPr>
              <w:pStyle w:val="TableParagraph"/>
              <w:tabs>
                <w:tab w:val="left" w:pos="567"/>
              </w:tabs>
              <w:ind w:left="567" w:hanging="567"/>
              <w:rPr>
                <w:lang w:val="it-IT"/>
              </w:rPr>
            </w:pPr>
            <w:r w:rsidRPr="00CC2838">
              <w:rPr>
                <w:lang w:val="it-IT"/>
              </w:rPr>
              <w:t>100 NE/ttkg (1 mg/kg) sc. naponta egyszer</w:t>
            </w:r>
          </w:p>
        </w:tc>
      </w:tr>
      <w:tr w:rsidR="00B35A1A" w:rsidRPr="00A027F6" w14:paraId="5AF34C1D" w14:textId="77777777" w:rsidTr="00CC2838">
        <w:tc>
          <w:tcPr>
            <w:tcW w:w="4155" w:type="dxa"/>
          </w:tcPr>
          <w:p w14:paraId="4CA2C040" w14:textId="0F1E33EA" w:rsidR="00B35A1A" w:rsidRPr="00411B0C" w:rsidRDefault="00B35A1A" w:rsidP="00545340">
            <w:pPr>
              <w:pStyle w:val="TableParagraph"/>
              <w:tabs>
                <w:tab w:val="left" w:pos="567"/>
              </w:tabs>
              <w:ind w:left="0"/>
              <w:rPr>
                <w:lang w:val="it-IT"/>
              </w:rPr>
            </w:pPr>
            <w:r w:rsidRPr="00466AA6">
              <w:rPr>
                <w:lang w:val="it-IT"/>
              </w:rPr>
              <w:t xml:space="preserve">Mélyvénás trombózis (DVT) és tüdőembólia (PE) tartós kezelésére aktív </w:t>
            </w:r>
            <w:r w:rsidR="0004494D">
              <w:rPr>
                <w:lang w:val="it-IT"/>
              </w:rPr>
              <w:t>daganat</w:t>
            </w:r>
            <w:r w:rsidR="005F0E88">
              <w:rPr>
                <w:lang w:val="it-IT"/>
              </w:rPr>
              <w:t>os</w:t>
            </w:r>
            <w:r w:rsidR="00411B0C">
              <w:rPr>
                <w:lang w:val="it-IT"/>
              </w:rPr>
              <w:t xml:space="preserve"> </w:t>
            </w:r>
            <w:r w:rsidRPr="00466AA6">
              <w:rPr>
                <w:lang w:val="it-IT"/>
              </w:rPr>
              <w:t>betegségben szenvedő betegeknél</w:t>
            </w:r>
          </w:p>
        </w:tc>
        <w:tc>
          <w:tcPr>
            <w:tcW w:w="4961" w:type="dxa"/>
          </w:tcPr>
          <w:p w14:paraId="1AB633F0" w14:textId="1D50DC78" w:rsidR="00B35A1A" w:rsidRPr="00466AA6" w:rsidRDefault="00B35A1A" w:rsidP="00545340">
            <w:pPr>
              <w:pStyle w:val="TableParagraph"/>
              <w:tabs>
                <w:tab w:val="left" w:pos="567"/>
              </w:tabs>
              <w:ind w:left="567" w:hanging="567"/>
              <w:rPr>
                <w:lang w:val="it-IT"/>
              </w:rPr>
            </w:pPr>
            <w:r w:rsidRPr="00466AA6">
              <w:rPr>
                <w:lang w:val="it-IT"/>
              </w:rPr>
              <w:t>100 NE/ttkg (1 mg/kg) sc. naponta egyszer</w:t>
            </w:r>
          </w:p>
        </w:tc>
      </w:tr>
      <w:tr w:rsidR="00DF73BF" w:rsidRPr="00656C0A" w14:paraId="78BD087D" w14:textId="77777777" w:rsidTr="00CC2838">
        <w:tc>
          <w:tcPr>
            <w:tcW w:w="4155" w:type="dxa"/>
          </w:tcPr>
          <w:p w14:paraId="78BD087B" w14:textId="77777777" w:rsidR="00DF73BF" w:rsidRPr="00656C0A" w:rsidRDefault="00FB299E" w:rsidP="00545340">
            <w:pPr>
              <w:pStyle w:val="TableParagraph"/>
              <w:tabs>
                <w:tab w:val="left" w:pos="567"/>
              </w:tabs>
              <w:ind w:left="0"/>
            </w:pPr>
            <w:r w:rsidRPr="00656C0A">
              <w:t>Instabil angina és NSTEMI kezelése</w:t>
            </w:r>
          </w:p>
        </w:tc>
        <w:tc>
          <w:tcPr>
            <w:tcW w:w="4961" w:type="dxa"/>
          </w:tcPr>
          <w:p w14:paraId="78BD087C" w14:textId="77777777" w:rsidR="00DF73BF" w:rsidRPr="00656C0A" w:rsidRDefault="00FB299E" w:rsidP="00545340">
            <w:pPr>
              <w:pStyle w:val="TableParagraph"/>
              <w:tabs>
                <w:tab w:val="left" w:pos="567"/>
              </w:tabs>
              <w:ind w:left="567" w:hanging="567"/>
            </w:pPr>
            <w:r w:rsidRPr="00656C0A">
              <w:t>100 NE/ttkg (1 mg/kg) sc. naponta egyszer</w:t>
            </w:r>
          </w:p>
        </w:tc>
      </w:tr>
      <w:tr w:rsidR="00DF73BF" w:rsidRPr="00A027F6" w14:paraId="78BD0886" w14:textId="77777777" w:rsidTr="00CC2838">
        <w:trPr>
          <w:trHeight w:hRule="exact" w:val="1548"/>
        </w:trPr>
        <w:tc>
          <w:tcPr>
            <w:tcW w:w="4155" w:type="dxa"/>
          </w:tcPr>
          <w:p w14:paraId="78BD087E" w14:textId="77777777" w:rsidR="00DF73BF" w:rsidRPr="00411B0C" w:rsidRDefault="00FB299E" w:rsidP="00545340">
            <w:pPr>
              <w:pStyle w:val="TableParagraph"/>
              <w:tabs>
                <w:tab w:val="left" w:pos="567"/>
              </w:tabs>
              <w:ind w:left="0"/>
              <w:rPr>
                <w:lang w:val="de-DE"/>
              </w:rPr>
            </w:pPr>
            <w:r w:rsidRPr="00411B0C">
              <w:rPr>
                <w:lang w:val="de-DE"/>
              </w:rPr>
              <w:t>Akut STEMI kezelése (75 év alatti betegek)</w:t>
            </w:r>
          </w:p>
          <w:p w14:paraId="78BD087F" w14:textId="77777777" w:rsidR="00DF73BF" w:rsidRPr="00411B0C" w:rsidRDefault="00DF73BF" w:rsidP="00545340">
            <w:pPr>
              <w:pStyle w:val="TableParagraph"/>
              <w:tabs>
                <w:tab w:val="left" w:pos="567"/>
              </w:tabs>
              <w:ind w:left="0"/>
              <w:rPr>
                <w:lang w:val="de-DE"/>
              </w:rPr>
            </w:pPr>
          </w:p>
          <w:p w14:paraId="78BD0880" w14:textId="77777777" w:rsidR="00DF73BF" w:rsidRPr="00411B0C" w:rsidRDefault="00DF73BF" w:rsidP="00545340">
            <w:pPr>
              <w:pStyle w:val="TableParagraph"/>
              <w:tabs>
                <w:tab w:val="left" w:pos="567"/>
              </w:tabs>
              <w:ind w:left="0"/>
              <w:rPr>
                <w:lang w:val="de-DE"/>
              </w:rPr>
            </w:pPr>
          </w:p>
          <w:p w14:paraId="78BD0881" w14:textId="77777777" w:rsidR="00BD5B0D" w:rsidRPr="00411B0C" w:rsidRDefault="00BD5B0D" w:rsidP="00545340">
            <w:pPr>
              <w:pStyle w:val="TableParagraph"/>
              <w:tabs>
                <w:tab w:val="left" w:pos="567"/>
              </w:tabs>
              <w:ind w:left="0"/>
              <w:rPr>
                <w:lang w:val="de-DE"/>
              </w:rPr>
            </w:pPr>
          </w:p>
          <w:p w14:paraId="78BD0882" w14:textId="77777777" w:rsidR="00DF73BF" w:rsidRPr="00656C0A" w:rsidRDefault="00FB299E" w:rsidP="00545340">
            <w:pPr>
              <w:pStyle w:val="TableParagraph"/>
              <w:tabs>
                <w:tab w:val="left" w:pos="567"/>
              </w:tabs>
              <w:ind w:left="0"/>
              <w:rPr>
                <w:lang w:val="de-DE"/>
              </w:rPr>
            </w:pPr>
            <w:r w:rsidRPr="00656C0A">
              <w:rPr>
                <w:lang w:val="de-DE"/>
              </w:rPr>
              <w:t>Akut STEMI kezelése (75 év feletti betegek)</w:t>
            </w:r>
          </w:p>
        </w:tc>
        <w:tc>
          <w:tcPr>
            <w:tcW w:w="4961" w:type="dxa"/>
          </w:tcPr>
          <w:p w14:paraId="78BD0883" w14:textId="77777777" w:rsidR="00DF73BF" w:rsidRPr="00CC2838" w:rsidRDefault="00FB299E" w:rsidP="00545340">
            <w:pPr>
              <w:pStyle w:val="TableParagraph"/>
              <w:tabs>
                <w:tab w:val="left" w:pos="567"/>
              </w:tabs>
              <w:ind w:left="567" w:hanging="567"/>
              <w:rPr>
                <w:lang w:val="de-DE"/>
              </w:rPr>
            </w:pPr>
            <w:r w:rsidRPr="00CC2838">
              <w:rPr>
                <w:lang w:val="de-DE"/>
              </w:rPr>
              <w:t xml:space="preserve">1 </w:t>
            </w:r>
            <w:r w:rsidR="00122DDD" w:rsidRPr="00CC2838">
              <w:rPr>
                <w:lang w:val="de-DE"/>
              </w:rPr>
              <w:t>×</w:t>
            </w:r>
            <w:r w:rsidRPr="00CC2838">
              <w:rPr>
                <w:lang w:val="de-DE"/>
              </w:rPr>
              <w:t>3000 NE (30 mg) iv. bólus, plusz 100 NE/ttkg</w:t>
            </w:r>
            <w:r w:rsidR="00122DDD" w:rsidRPr="00CC2838">
              <w:rPr>
                <w:lang w:val="de-DE"/>
              </w:rPr>
              <w:t xml:space="preserve"> </w:t>
            </w:r>
            <w:r w:rsidRPr="00CC2838">
              <w:rPr>
                <w:lang w:val="de-DE"/>
              </w:rPr>
              <w:t>(1</w:t>
            </w:r>
            <w:r w:rsidR="00122DDD" w:rsidRPr="00CC2838">
              <w:rPr>
                <w:lang w:val="de-DE"/>
              </w:rPr>
              <w:t> </w:t>
            </w:r>
            <w:r w:rsidRPr="00CC2838">
              <w:rPr>
                <w:lang w:val="de-DE"/>
              </w:rPr>
              <w:t>mg/kg) sc., majd 100 NE/ttkg (1 mg/kg) sc.</w:t>
            </w:r>
            <w:r w:rsidR="00122DDD" w:rsidRPr="00CC2838">
              <w:rPr>
                <w:lang w:val="de-DE"/>
              </w:rPr>
              <w:t xml:space="preserve"> </w:t>
            </w:r>
            <w:r w:rsidRPr="00CC2838">
              <w:rPr>
                <w:lang w:val="de-DE"/>
              </w:rPr>
              <w:t>24</w:t>
            </w:r>
            <w:r w:rsidR="00122DDD" w:rsidRPr="00CC2838">
              <w:rPr>
                <w:lang w:val="de-DE"/>
              </w:rPr>
              <w:t> </w:t>
            </w:r>
            <w:r w:rsidRPr="00CC2838">
              <w:rPr>
                <w:lang w:val="de-DE"/>
              </w:rPr>
              <w:t>óránként</w:t>
            </w:r>
            <w:r w:rsidR="00BD5B0D" w:rsidRPr="00CC2838">
              <w:rPr>
                <w:lang w:val="de-DE"/>
              </w:rPr>
              <w:t>.</w:t>
            </w:r>
          </w:p>
          <w:p w14:paraId="78BD0884" w14:textId="77777777" w:rsidR="00DF73BF" w:rsidRPr="00CC2838" w:rsidRDefault="00DF73BF" w:rsidP="00545340">
            <w:pPr>
              <w:pStyle w:val="TableParagraph"/>
              <w:tabs>
                <w:tab w:val="left" w:pos="567"/>
              </w:tabs>
              <w:ind w:left="567" w:hanging="567"/>
              <w:rPr>
                <w:lang w:val="de-DE"/>
              </w:rPr>
            </w:pPr>
          </w:p>
          <w:p w14:paraId="78BD0885" w14:textId="77777777" w:rsidR="00DF73BF" w:rsidRPr="00CC2838" w:rsidRDefault="00FB299E" w:rsidP="00545340">
            <w:pPr>
              <w:pStyle w:val="TableParagraph"/>
              <w:tabs>
                <w:tab w:val="left" w:pos="567"/>
              </w:tabs>
              <w:ind w:left="0"/>
              <w:rPr>
                <w:lang w:val="de-DE"/>
              </w:rPr>
            </w:pPr>
            <w:r w:rsidRPr="00CC2838">
              <w:rPr>
                <w:lang w:val="de-DE"/>
              </w:rPr>
              <w:t>Nincs kezdeti iv. bólus, 100 NE/ttkg (1 mg/kg) sc., majd 100 NE/ttkg (1 mg/kg) sc. 24 óránként</w:t>
            </w:r>
          </w:p>
        </w:tc>
      </w:tr>
    </w:tbl>
    <w:p w14:paraId="78BD0887" w14:textId="77777777" w:rsidR="00BD5B0D" w:rsidRPr="00CC2838" w:rsidRDefault="00BD5B0D" w:rsidP="00545340">
      <w:pPr>
        <w:pStyle w:val="Szvegtrzs"/>
        <w:tabs>
          <w:tab w:val="left" w:pos="567"/>
        </w:tabs>
        <w:ind w:left="567" w:hanging="567"/>
        <w:rPr>
          <w:lang w:val="de-DE"/>
        </w:rPr>
      </w:pPr>
    </w:p>
    <w:p w14:paraId="78BD0888" w14:textId="77777777" w:rsidR="00DF73BF" w:rsidRPr="00CC2838" w:rsidRDefault="00FB299E" w:rsidP="00545340">
      <w:pPr>
        <w:pStyle w:val="Szvegtrzs"/>
        <w:tabs>
          <w:tab w:val="left" w:pos="567"/>
        </w:tabs>
        <w:ind w:left="567" w:hanging="567"/>
        <w:rPr>
          <w:lang w:val="de-DE"/>
        </w:rPr>
      </w:pPr>
      <w:r w:rsidRPr="00CC2838">
        <w:rPr>
          <w:lang w:val="de-DE"/>
        </w:rPr>
        <w:t>A javasolt adagmódosítások nem vonatkoznak a hemodialízis során történő alkalmazásra.</w:t>
      </w:r>
    </w:p>
    <w:p w14:paraId="78BD0889" w14:textId="77777777" w:rsidR="00DF73BF" w:rsidRPr="00CC2838" w:rsidRDefault="00DF73BF" w:rsidP="00545340">
      <w:pPr>
        <w:pStyle w:val="Szvegtrzs"/>
        <w:tabs>
          <w:tab w:val="left" w:pos="567"/>
        </w:tabs>
        <w:ind w:left="567" w:hanging="567"/>
        <w:rPr>
          <w:lang w:val="de-DE"/>
        </w:rPr>
      </w:pPr>
    </w:p>
    <w:p w14:paraId="78BD088A" w14:textId="77777777" w:rsidR="00DF73BF" w:rsidRPr="00656C0A" w:rsidRDefault="00FB299E" w:rsidP="00545340">
      <w:pPr>
        <w:pStyle w:val="Listaszerbekezds"/>
        <w:numPr>
          <w:ilvl w:val="0"/>
          <w:numId w:val="24"/>
        </w:numPr>
        <w:tabs>
          <w:tab w:val="left" w:pos="567"/>
        </w:tabs>
        <w:ind w:left="567" w:hanging="567"/>
      </w:pPr>
      <w:r w:rsidRPr="00656C0A">
        <w:t>Közepes és enyhe vesekárosodás</w:t>
      </w:r>
    </w:p>
    <w:p w14:paraId="78BD088B" w14:textId="77777777" w:rsidR="00DF73BF" w:rsidRPr="00656C0A" w:rsidRDefault="00FB299E" w:rsidP="00545340">
      <w:pPr>
        <w:pStyle w:val="Szvegtrzs"/>
        <w:tabs>
          <w:tab w:val="left" w:pos="567"/>
        </w:tabs>
      </w:pPr>
      <w:r w:rsidRPr="00656C0A">
        <w:t>Közepes (kreatinin-clearance</w:t>
      </w:r>
      <w:r w:rsidR="00BD5B0D">
        <w:t>:</w:t>
      </w:r>
      <w:r w:rsidRPr="00656C0A">
        <w:t xml:space="preserve"> 30-50 ml/perc), illetve enyhe (kreatinin-clearance</w:t>
      </w:r>
      <w:r w:rsidR="00BD5B0D">
        <w:t>:</w:t>
      </w:r>
      <w:r w:rsidRPr="00656C0A">
        <w:t xml:space="preserve"> 50-80 ml/perc) vesekárosodásban szenvedő betegeknél alkalmazva nem szükséges az adag módosítása, azonban gondos klinikai ellenőrzés ajánlott.</w:t>
      </w:r>
    </w:p>
    <w:p w14:paraId="78BD088C" w14:textId="77777777" w:rsidR="00DF73BF" w:rsidRPr="00656C0A" w:rsidRDefault="00DF73BF" w:rsidP="00545340">
      <w:pPr>
        <w:pStyle w:val="Szvegtrzs"/>
        <w:tabs>
          <w:tab w:val="left" w:pos="567"/>
        </w:tabs>
        <w:ind w:left="567" w:hanging="567"/>
      </w:pPr>
    </w:p>
    <w:p w14:paraId="78BD088D" w14:textId="77777777" w:rsidR="00DF73BF" w:rsidRPr="00656C0A" w:rsidRDefault="00FB299E" w:rsidP="00545340">
      <w:pPr>
        <w:pStyle w:val="Szvegtrzs"/>
        <w:tabs>
          <w:tab w:val="left" w:pos="567"/>
        </w:tabs>
        <w:ind w:left="567" w:hanging="567"/>
        <w:rPr>
          <w:lang w:val="es-ES"/>
        </w:rPr>
      </w:pPr>
      <w:r w:rsidRPr="00656C0A">
        <w:rPr>
          <w:u w:val="single"/>
          <w:lang w:val="es-ES"/>
        </w:rPr>
        <w:t>Az alkalmazás módja</w:t>
      </w:r>
    </w:p>
    <w:p w14:paraId="78BD088E" w14:textId="77777777" w:rsidR="00DF73BF" w:rsidRPr="00656C0A" w:rsidRDefault="00FB299E" w:rsidP="00545340">
      <w:pPr>
        <w:pStyle w:val="Szvegtrzs"/>
        <w:tabs>
          <w:tab w:val="left" w:pos="567"/>
        </w:tabs>
        <w:ind w:left="567" w:hanging="567"/>
        <w:rPr>
          <w:lang w:val="es-ES"/>
        </w:rPr>
      </w:pPr>
      <w:r w:rsidRPr="00656C0A">
        <w:rPr>
          <w:lang w:val="es-ES"/>
        </w:rPr>
        <w:t xml:space="preserve">A </w:t>
      </w:r>
      <w:r w:rsidR="00426193" w:rsidRPr="00656C0A">
        <w:rPr>
          <w:lang w:val="es-ES"/>
        </w:rPr>
        <w:t>Losmina</w:t>
      </w:r>
      <w:r w:rsidRPr="00656C0A">
        <w:rPr>
          <w:lang w:val="es-ES"/>
        </w:rPr>
        <w:t xml:space="preserve"> intramuszkulárisan nem adható.</w:t>
      </w:r>
    </w:p>
    <w:p w14:paraId="78BD088F" w14:textId="77777777" w:rsidR="00DF73BF" w:rsidRPr="00656C0A" w:rsidRDefault="00DF73BF" w:rsidP="00545340">
      <w:pPr>
        <w:pStyle w:val="Szvegtrzs"/>
        <w:tabs>
          <w:tab w:val="left" w:pos="567"/>
        </w:tabs>
        <w:ind w:left="567" w:hanging="567"/>
        <w:rPr>
          <w:lang w:val="es-ES"/>
        </w:rPr>
      </w:pPr>
    </w:p>
    <w:p w14:paraId="78BD0890" w14:textId="357C79D0" w:rsidR="00DF73BF" w:rsidRPr="00656C0A" w:rsidRDefault="00FB299E" w:rsidP="00545340">
      <w:pPr>
        <w:pStyle w:val="Szvegtrzs"/>
        <w:tabs>
          <w:tab w:val="left" w:pos="567"/>
        </w:tabs>
        <w:rPr>
          <w:lang w:val="es-ES"/>
        </w:rPr>
      </w:pPr>
      <w:r w:rsidRPr="00656C0A">
        <w:rPr>
          <w:lang w:val="es-ES"/>
        </w:rPr>
        <w:t xml:space="preserve">Műtéti beavatkozást követő vénás tromboembóliás szövődmény profilaxisa, DVT és PE kezelése, </w:t>
      </w:r>
      <w:r w:rsidR="00A75E88" w:rsidRPr="00A75E88">
        <w:rPr>
          <w:lang w:val="es-ES"/>
        </w:rPr>
        <w:t>DVT és PE tartós kezelésére aktív tumoros betegségben szenvedő betegeknél,</w:t>
      </w:r>
      <w:r w:rsidR="00A75E88" w:rsidRPr="00656C0A">
        <w:rPr>
          <w:lang w:val="es-ES"/>
        </w:rPr>
        <w:t xml:space="preserve"> </w:t>
      </w:r>
      <w:r w:rsidRPr="00656C0A">
        <w:rPr>
          <w:lang w:val="es-ES"/>
        </w:rPr>
        <w:t>instabil angina és NSTEMI kezelése esetén az enoxaparin-nátrium kizárólag sc. injekció formájában adható.</w:t>
      </w:r>
    </w:p>
    <w:p w14:paraId="78BD0891" w14:textId="77777777" w:rsidR="00DF73BF" w:rsidRPr="00656C0A" w:rsidRDefault="00FB299E" w:rsidP="00545340">
      <w:pPr>
        <w:pStyle w:val="Listaszerbekezds"/>
        <w:numPr>
          <w:ilvl w:val="0"/>
          <w:numId w:val="24"/>
        </w:numPr>
        <w:tabs>
          <w:tab w:val="left" w:pos="567"/>
        </w:tabs>
        <w:ind w:left="567" w:hanging="567"/>
        <w:rPr>
          <w:lang w:val="es-ES"/>
        </w:rPr>
      </w:pPr>
      <w:r w:rsidRPr="00656C0A">
        <w:rPr>
          <w:lang w:val="es-ES"/>
        </w:rPr>
        <w:t>Akut STEMI indikációban a kezelést egyszeri intravénás bólus injekcióval kell kezdeni, amelyet azonnal szubkután injekció követ.</w:t>
      </w:r>
    </w:p>
    <w:p w14:paraId="78BD0892" w14:textId="77777777" w:rsidR="00DF73BF" w:rsidRPr="00CC2838" w:rsidRDefault="00FB299E" w:rsidP="00CE6397">
      <w:pPr>
        <w:pStyle w:val="Listaszerbekezds"/>
        <w:widowControl/>
        <w:numPr>
          <w:ilvl w:val="0"/>
          <w:numId w:val="24"/>
        </w:numPr>
        <w:tabs>
          <w:tab w:val="left" w:pos="567"/>
        </w:tabs>
        <w:ind w:left="567" w:hanging="567"/>
        <w:rPr>
          <w:lang w:val="es-ES"/>
        </w:rPr>
      </w:pPr>
      <w:r w:rsidRPr="00FC71E1">
        <w:rPr>
          <w:lang w:val="es-ES"/>
        </w:rPr>
        <w:lastRenderedPageBreak/>
        <w:t>Hemodialízis során az extrakorporális keringésben trombusképződés megelőzésére a dializáló kör</w:t>
      </w:r>
      <w:r w:rsidR="00FC71E1" w:rsidRPr="00FC71E1">
        <w:rPr>
          <w:lang w:val="es-ES"/>
        </w:rPr>
        <w:t xml:space="preserve"> </w:t>
      </w:r>
      <w:r w:rsidRPr="00CC2838">
        <w:rPr>
          <w:lang w:val="es-ES"/>
        </w:rPr>
        <w:t>artériás szárába adandó.</w:t>
      </w:r>
    </w:p>
    <w:p w14:paraId="78BD0893" w14:textId="77777777" w:rsidR="00DF73BF" w:rsidRPr="00CC2838" w:rsidRDefault="00DF73BF" w:rsidP="00545340">
      <w:pPr>
        <w:pStyle w:val="Szvegtrzs"/>
        <w:tabs>
          <w:tab w:val="left" w:pos="567"/>
        </w:tabs>
        <w:ind w:left="567" w:hanging="567"/>
        <w:rPr>
          <w:lang w:val="es-ES"/>
        </w:rPr>
      </w:pPr>
    </w:p>
    <w:p w14:paraId="78BD0894" w14:textId="77777777" w:rsidR="00DF73BF" w:rsidRPr="00CC2838" w:rsidRDefault="00FB299E" w:rsidP="00545340">
      <w:pPr>
        <w:pStyle w:val="Szvegtrzs"/>
        <w:tabs>
          <w:tab w:val="left" w:pos="567"/>
        </w:tabs>
        <w:ind w:left="567" w:hanging="567"/>
        <w:rPr>
          <w:lang w:val="es-ES"/>
        </w:rPr>
      </w:pPr>
      <w:r w:rsidRPr="00CC2838">
        <w:rPr>
          <w:lang w:val="es-ES"/>
        </w:rPr>
        <w:t>Az előretöltött, egyszer használatos fecskendő azonnali felhasználásra kész.</w:t>
      </w:r>
    </w:p>
    <w:p w14:paraId="78BD0895" w14:textId="77777777" w:rsidR="0039112B" w:rsidRPr="00CC2838" w:rsidRDefault="0039112B" w:rsidP="00545340">
      <w:pPr>
        <w:pStyle w:val="Szvegtrzs"/>
        <w:tabs>
          <w:tab w:val="left" w:pos="567"/>
        </w:tabs>
        <w:ind w:left="567" w:hanging="567"/>
        <w:rPr>
          <w:lang w:val="es-ES"/>
        </w:rPr>
      </w:pPr>
    </w:p>
    <w:p w14:paraId="78BD0896" w14:textId="77777777" w:rsidR="00DF73BF" w:rsidRPr="00CC2838" w:rsidRDefault="00FB299E" w:rsidP="00545340">
      <w:pPr>
        <w:pStyle w:val="Listaszerbekezds"/>
        <w:numPr>
          <w:ilvl w:val="0"/>
          <w:numId w:val="24"/>
        </w:numPr>
        <w:tabs>
          <w:tab w:val="left" w:pos="567"/>
        </w:tabs>
        <w:ind w:left="567" w:hanging="567"/>
        <w:rPr>
          <w:lang w:val="es-ES"/>
        </w:rPr>
      </w:pPr>
      <w:r w:rsidRPr="00CC2838">
        <w:rPr>
          <w:lang w:val="es-ES"/>
        </w:rPr>
        <w:t>A sc. injekció beadásának módja:</w:t>
      </w:r>
    </w:p>
    <w:p w14:paraId="78BD0897" w14:textId="77777777" w:rsidR="00DF73BF" w:rsidRPr="00CC2838" w:rsidRDefault="00FB299E" w:rsidP="00545340">
      <w:pPr>
        <w:pStyle w:val="Szvegtrzs"/>
        <w:tabs>
          <w:tab w:val="left" w:pos="567"/>
        </w:tabs>
        <w:ind w:left="567"/>
        <w:rPr>
          <w:lang w:val="es-ES"/>
        </w:rPr>
      </w:pPr>
      <w:r w:rsidRPr="00CC2838">
        <w:rPr>
          <w:lang w:val="es-ES"/>
        </w:rPr>
        <w:t>Az injekciót lehetőleg fekvő betegnek kell beadni.</w:t>
      </w:r>
    </w:p>
    <w:p w14:paraId="78BD0898" w14:textId="77777777" w:rsidR="00DF73BF" w:rsidRPr="00CC2838" w:rsidRDefault="00FB299E" w:rsidP="00545340">
      <w:pPr>
        <w:pStyle w:val="Szvegtrzs"/>
        <w:tabs>
          <w:tab w:val="left" w:pos="567"/>
        </w:tabs>
        <w:ind w:left="567"/>
        <w:rPr>
          <w:lang w:val="es-ES"/>
        </w:rPr>
      </w:pPr>
      <w:r w:rsidRPr="00CC2838">
        <w:rPr>
          <w:lang w:val="es-ES"/>
        </w:rPr>
        <w:t>Az enoxaparin-nátriumot mély szubkután injekcióként kell alkalmazni.</w:t>
      </w:r>
    </w:p>
    <w:p w14:paraId="78BD0899" w14:textId="77777777" w:rsidR="00DF73BF" w:rsidRPr="00CC2838" w:rsidRDefault="00DF73BF" w:rsidP="00545340">
      <w:pPr>
        <w:pStyle w:val="Szvegtrzs"/>
        <w:tabs>
          <w:tab w:val="left" w:pos="567"/>
        </w:tabs>
        <w:ind w:left="567"/>
        <w:rPr>
          <w:lang w:val="es-ES"/>
        </w:rPr>
      </w:pPr>
    </w:p>
    <w:p w14:paraId="78BD089A" w14:textId="77777777" w:rsidR="00DF73BF" w:rsidRPr="00CC2838" w:rsidRDefault="00FB299E" w:rsidP="00545340">
      <w:pPr>
        <w:pStyle w:val="Szvegtrzs"/>
        <w:tabs>
          <w:tab w:val="left" w:pos="567"/>
        </w:tabs>
        <w:ind w:left="567"/>
        <w:rPr>
          <w:lang w:val="es-ES"/>
        </w:rPr>
      </w:pPr>
      <w:r w:rsidRPr="00CC2838">
        <w:rPr>
          <w:lang w:val="es-ES"/>
        </w:rPr>
        <w:t>A hatóanyagvesztés elkerülése érdekében az előretöltött fecskendőből nem kell a levegőbuborékot eltávolítani a beadás előtt. Ha a beadandó dózist a beteg testtömege alapján kell meghatározni, a kívánt mennyiség eléréséhez a beosztással ellátott, előretöltött fecskendőket kell használni. A fölösleges mennyiséget az injekció beadása előtt el kell távolítani. Kérjük vegye figyelembe, hogy bizonyos esetekben az adagot az előretöltött fecskendő beosztásával nem lehet pontosan beállítani, ilyenkor a beadandó térfogatot a hozzá közelebb eső beosztáshoz kell igazítani.</w:t>
      </w:r>
    </w:p>
    <w:p w14:paraId="78BD089B" w14:textId="77777777" w:rsidR="00DF73BF" w:rsidRPr="00CC2838" w:rsidRDefault="00FB299E" w:rsidP="00545340">
      <w:pPr>
        <w:pStyle w:val="Szvegtrzs"/>
        <w:tabs>
          <w:tab w:val="left" w:pos="567"/>
        </w:tabs>
        <w:ind w:left="567"/>
        <w:rPr>
          <w:lang w:val="es-ES"/>
        </w:rPr>
      </w:pPr>
      <w:r w:rsidRPr="00CC2838">
        <w:rPr>
          <w:lang w:val="es-ES"/>
        </w:rPr>
        <w:t>Az adagokat felváltva a hasfal bal, illetve a jobb anterolaterális vagy poszterolaterális régiójába adjuk.</w:t>
      </w:r>
    </w:p>
    <w:p w14:paraId="78BD089C" w14:textId="77777777" w:rsidR="00DF73BF" w:rsidRPr="00CC2838" w:rsidRDefault="00DF73BF" w:rsidP="00545340">
      <w:pPr>
        <w:pStyle w:val="Szvegtrzs"/>
        <w:tabs>
          <w:tab w:val="left" w:pos="567"/>
        </w:tabs>
        <w:ind w:left="567"/>
        <w:rPr>
          <w:lang w:val="es-ES"/>
        </w:rPr>
      </w:pPr>
    </w:p>
    <w:p w14:paraId="78BD089D" w14:textId="77777777" w:rsidR="00DF73BF" w:rsidRPr="00CC2838" w:rsidRDefault="00FB299E" w:rsidP="00545340">
      <w:pPr>
        <w:pStyle w:val="Szvegtrzs"/>
        <w:tabs>
          <w:tab w:val="left" w:pos="567"/>
        </w:tabs>
        <w:ind w:left="567"/>
        <w:rPr>
          <w:lang w:val="es-ES"/>
        </w:rPr>
      </w:pPr>
      <w:r w:rsidRPr="00CC2838">
        <w:rPr>
          <w:lang w:val="es-ES"/>
        </w:rPr>
        <w:t>Az injekciós tűt annak teljes hosszában kell beszúrni a hüvelyk- és mutatóujj között képzett bőrredőre merőlegesen; a bőrredőt a beadás során végig tartani kell. A beadás után az injekció helyét nem szabad dörzsölni.</w:t>
      </w:r>
    </w:p>
    <w:p w14:paraId="78BD089E" w14:textId="77777777" w:rsidR="00DF73BF" w:rsidRPr="00CC2838" w:rsidRDefault="00DF73BF" w:rsidP="00545340">
      <w:pPr>
        <w:pStyle w:val="Szvegtrzs"/>
        <w:tabs>
          <w:tab w:val="left" w:pos="567"/>
        </w:tabs>
        <w:ind w:left="567"/>
        <w:rPr>
          <w:lang w:val="es-ES"/>
        </w:rPr>
      </w:pPr>
    </w:p>
    <w:p w14:paraId="78BD089F" w14:textId="77777777" w:rsidR="00DF73BF" w:rsidRPr="00CC2838" w:rsidRDefault="00FB299E" w:rsidP="00545340">
      <w:pPr>
        <w:pStyle w:val="Szvegtrzs"/>
        <w:tabs>
          <w:tab w:val="left" w:pos="567"/>
        </w:tabs>
        <w:ind w:left="567"/>
        <w:rPr>
          <w:lang w:val="es-ES"/>
        </w:rPr>
      </w:pPr>
      <w:r w:rsidRPr="00CC2838">
        <w:rPr>
          <w:lang w:val="es-ES"/>
        </w:rPr>
        <w:t>Megjegyzés az automata biztonsági rendszerrel ellátott, előretöltött fecskendőkhöz: A biztonsági rendszer az injekció beadása végén aktiválódik (lásd a kezelési útmutatót a 6.6 pontban).</w:t>
      </w:r>
    </w:p>
    <w:p w14:paraId="78BD08A0" w14:textId="77777777" w:rsidR="00DF73BF" w:rsidRPr="00CC2838" w:rsidRDefault="00DF73BF" w:rsidP="00545340">
      <w:pPr>
        <w:pStyle w:val="Szvegtrzs"/>
        <w:tabs>
          <w:tab w:val="left" w:pos="567"/>
        </w:tabs>
        <w:ind w:left="567"/>
        <w:rPr>
          <w:lang w:val="es-ES"/>
        </w:rPr>
      </w:pPr>
    </w:p>
    <w:p w14:paraId="78BD08A1" w14:textId="77777777" w:rsidR="00DF73BF" w:rsidRPr="00CC2838" w:rsidRDefault="00FB299E" w:rsidP="00545340">
      <w:pPr>
        <w:pStyle w:val="Szvegtrzs"/>
        <w:tabs>
          <w:tab w:val="left" w:pos="567"/>
        </w:tabs>
        <w:ind w:left="567"/>
        <w:rPr>
          <w:lang w:val="es-ES"/>
        </w:rPr>
      </w:pPr>
      <w:r w:rsidRPr="00CC2838">
        <w:rPr>
          <w:lang w:val="es-ES"/>
        </w:rPr>
        <w:t>Ha az injekciót a beteg magának adja be, a betegek figyelmét fel kell hívni, hogy a gyógyszer mellé adott betegtájékoztatóban leírt utasításokat kövesse.</w:t>
      </w:r>
    </w:p>
    <w:p w14:paraId="78BD08A2" w14:textId="77777777" w:rsidR="00DF73BF" w:rsidRPr="00CC2838" w:rsidRDefault="00DF73BF" w:rsidP="00545340">
      <w:pPr>
        <w:pStyle w:val="Szvegtrzs"/>
        <w:tabs>
          <w:tab w:val="left" w:pos="567"/>
        </w:tabs>
        <w:ind w:left="567" w:hanging="567"/>
        <w:rPr>
          <w:lang w:val="es-ES"/>
        </w:rPr>
      </w:pPr>
    </w:p>
    <w:p w14:paraId="78BD08A3" w14:textId="77777777" w:rsidR="00DF73BF" w:rsidRPr="00CC2838" w:rsidRDefault="00FB299E" w:rsidP="00545340">
      <w:pPr>
        <w:pStyle w:val="Listaszerbekezds"/>
        <w:numPr>
          <w:ilvl w:val="0"/>
          <w:numId w:val="24"/>
        </w:numPr>
        <w:tabs>
          <w:tab w:val="left" w:pos="567"/>
        </w:tabs>
        <w:ind w:left="567" w:hanging="567"/>
        <w:rPr>
          <w:lang w:val="es-ES"/>
        </w:rPr>
      </w:pPr>
      <w:r w:rsidRPr="00CC2838">
        <w:rPr>
          <w:lang w:val="es-ES"/>
        </w:rPr>
        <w:t>Intravénás (bólus) injekció (kizárólag akut STEMI indikáció esetén):</w:t>
      </w:r>
    </w:p>
    <w:p w14:paraId="78BD08A4" w14:textId="77777777" w:rsidR="00DF73BF" w:rsidRPr="00CC2838" w:rsidRDefault="00FB299E" w:rsidP="00545340">
      <w:pPr>
        <w:pStyle w:val="Szvegtrzs"/>
        <w:tabs>
          <w:tab w:val="left" w:pos="567"/>
        </w:tabs>
        <w:ind w:left="567"/>
        <w:rPr>
          <w:lang w:val="es-ES"/>
        </w:rPr>
      </w:pPr>
      <w:r w:rsidRPr="00CC2838">
        <w:rPr>
          <w:lang w:val="es-ES"/>
        </w:rPr>
        <w:t>Akut STEMI esetén a kezelést egyszeri intravénás bólus injekcióval kell kezdeni, melyet azonnal szubkután injekció követ.</w:t>
      </w:r>
    </w:p>
    <w:p w14:paraId="78BD08A5" w14:textId="77777777" w:rsidR="00DF73BF" w:rsidRPr="00CC2838" w:rsidRDefault="00FB299E" w:rsidP="00545340">
      <w:pPr>
        <w:pStyle w:val="Szvegtrzs"/>
        <w:tabs>
          <w:tab w:val="left" w:pos="567"/>
        </w:tabs>
        <w:ind w:left="567"/>
        <w:rPr>
          <w:lang w:val="es-ES"/>
        </w:rPr>
      </w:pPr>
      <w:r w:rsidRPr="00CC2838">
        <w:rPr>
          <w:lang w:val="es-ES"/>
        </w:rPr>
        <w:t>Az enoxaparin-nátrium injekciót intravénásan kell alkalmazni. Nem szabad egyéb készítményekkel keverni vagy együttadni. Annak érdekében, hogy az enoxaparin-nátrium egyéb készítményekkel a beadás során ne keveredjen, a biztosított vénát az enoxaparin-nátrium intravénás bólusának beadása előtt és után megfelelő mennyiségű só- vagy dextrózoldattal át kell mosni. Az enoxaparin-nátrium biztonságosan beadható fiziológiás (0,9%) sóoldattal vagy 5%-os dextrózoldattal.</w:t>
      </w:r>
    </w:p>
    <w:p w14:paraId="78BD08A6" w14:textId="77777777" w:rsidR="00DF73BF" w:rsidRPr="00CC2838" w:rsidRDefault="00DF73BF" w:rsidP="00545340">
      <w:pPr>
        <w:pStyle w:val="Szvegtrzs"/>
        <w:tabs>
          <w:tab w:val="left" w:pos="567"/>
        </w:tabs>
        <w:ind w:left="567"/>
        <w:rPr>
          <w:lang w:val="es-ES"/>
        </w:rPr>
      </w:pPr>
    </w:p>
    <w:p w14:paraId="78BD08A7" w14:textId="77777777" w:rsidR="00DF73BF" w:rsidRPr="00CC2838" w:rsidRDefault="00FB299E" w:rsidP="00545340">
      <w:pPr>
        <w:pStyle w:val="Szvegtrzs"/>
        <w:tabs>
          <w:tab w:val="left" w:pos="567"/>
        </w:tabs>
        <w:ind w:left="1134" w:hanging="567"/>
        <w:rPr>
          <w:lang w:val="es-ES"/>
        </w:rPr>
      </w:pPr>
      <w:r w:rsidRPr="00CC2838">
        <w:rPr>
          <w:lang w:val="es-ES"/>
        </w:rPr>
        <w:t>o</w:t>
      </w:r>
      <w:r w:rsidR="00797D11" w:rsidRPr="00CC2838">
        <w:rPr>
          <w:lang w:val="es-ES"/>
        </w:rPr>
        <w:tab/>
      </w:r>
      <w:r w:rsidRPr="00CC2838">
        <w:rPr>
          <w:lang w:val="es-ES"/>
        </w:rPr>
        <w:t>Kezdő 3000 NE (30 mg) bólus</w:t>
      </w:r>
    </w:p>
    <w:p w14:paraId="78BD08A8" w14:textId="77777777" w:rsidR="00DF73BF" w:rsidRPr="00CC2838" w:rsidRDefault="00FB299E" w:rsidP="00545340">
      <w:pPr>
        <w:pStyle w:val="Szvegtrzs"/>
        <w:tabs>
          <w:tab w:val="left" w:pos="567"/>
        </w:tabs>
        <w:ind w:left="1134"/>
        <w:rPr>
          <w:lang w:val="es-ES"/>
        </w:rPr>
      </w:pPr>
      <w:r w:rsidRPr="00CC2838">
        <w:rPr>
          <w:lang w:val="es-ES"/>
        </w:rPr>
        <w:t>A kezdő 3000 NE (30 mg) bólus beadásához az enoxaparin-nátrium mennyiségének méréséhez beosztással ellátott előretöltött fecskendőt kell alkalmazni oly módon, hogy a felesleges mennyiség eltávolítása után a fecskendőben kizárólag a 3000 NE (30 mg) beadandó adag maradjon. Ezt követően a 3000 NE (30 mg) adag közvetlenül injektálható a vénába.</w:t>
      </w:r>
    </w:p>
    <w:p w14:paraId="78BD08A9" w14:textId="77777777" w:rsidR="00DF73BF" w:rsidRPr="00CC2838" w:rsidRDefault="00DF73BF" w:rsidP="00545340">
      <w:pPr>
        <w:pStyle w:val="Szvegtrzs"/>
        <w:tabs>
          <w:tab w:val="left" w:pos="567"/>
        </w:tabs>
        <w:ind w:left="567" w:hanging="567"/>
        <w:rPr>
          <w:lang w:val="es-ES"/>
        </w:rPr>
      </w:pPr>
    </w:p>
    <w:p w14:paraId="78BD08AA" w14:textId="77777777" w:rsidR="00DF73BF" w:rsidRPr="00CC2838" w:rsidRDefault="00FB299E" w:rsidP="00545340">
      <w:pPr>
        <w:pStyle w:val="Szvegtrzs"/>
        <w:tabs>
          <w:tab w:val="left" w:pos="567"/>
        </w:tabs>
        <w:ind w:left="1134" w:hanging="567"/>
        <w:rPr>
          <w:lang w:val="es-ES"/>
        </w:rPr>
      </w:pPr>
      <w:r w:rsidRPr="00CC2838">
        <w:rPr>
          <w:lang w:val="es-ES"/>
        </w:rPr>
        <w:t>o</w:t>
      </w:r>
      <w:r w:rsidR="00797D11" w:rsidRPr="00CC2838">
        <w:rPr>
          <w:lang w:val="es-ES"/>
        </w:rPr>
        <w:tab/>
      </w:r>
      <w:r w:rsidRPr="00CC2838">
        <w:rPr>
          <w:lang w:val="es-ES"/>
        </w:rPr>
        <w:t>Kiegészítő bólus PCI esetén, amennyiben az utolsó sc. alkalmazás több mint 8 órával a ballon felfújása előtt történt.</w:t>
      </w:r>
    </w:p>
    <w:p w14:paraId="78BD08AB" w14:textId="77777777" w:rsidR="00DF73BF" w:rsidRPr="00CC2838" w:rsidRDefault="00FB299E" w:rsidP="00545340">
      <w:pPr>
        <w:pStyle w:val="Szvegtrzs"/>
        <w:tabs>
          <w:tab w:val="left" w:pos="567"/>
        </w:tabs>
        <w:ind w:left="1134"/>
        <w:rPr>
          <w:lang w:val="es-ES"/>
        </w:rPr>
      </w:pPr>
      <w:r w:rsidRPr="00CC2838">
        <w:rPr>
          <w:lang w:val="es-ES"/>
        </w:rPr>
        <w:t>Perkután koronária</w:t>
      </w:r>
      <w:r w:rsidR="00797D11" w:rsidRPr="00CC2838">
        <w:rPr>
          <w:lang w:val="es-ES"/>
        </w:rPr>
        <w:t>-</w:t>
      </w:r>
      <w:r w:rsidRPr="00CC2838">
        <w:rPr>
          <w:lang w:val="es-ES"/>
        </w:rPr>
        <w:t>intervencióval (PCI) kezelt betegeknél további egyszeri 30 NE/kg-os (0,3 mg/kg) adagot kell alkalmazni, ha az utolsó sc. alkalmazás a ballon felfújását megelőző 8 órán túl történt.</w:t>
      </w:r>
    </w:p>
    <w:p w14:paraId="78BD08AC" w14:textId="77777777" w:rsidR="00DF73BF" w:rsidRPr="00CC2838" w:rsidRDefault="00DF73BF" w:rsidP="00545340">
      <w:pPr>
        <w:pStyle w:val="Szvegtrzs"/>
        <w:tabs>
          <w:tab w:val="left" w:pos="567"/>
        </w:tabs>
        <w:ind w:left="567" w:hanging="567"/>
        <w:rPr>
          <w:lang w:val="es-ES"/>
        </w:rPr>
      </w:pPr>
    </w:p>
    <w:p w14:paraId="78BD08AD" w14:textId="77777777" w:rsidR="00DF73BF" w:rsidRPr="00CC2838" w:rsidRDefault="00FB299E" w:rsidP="00545340">
      <w:pPr>
        <w:pStyle w:val="Szvegtrzs"/>
        <w:tabs>
          <w:tab w:val="left" w:pos="567"/>
        </w:tabs>
        <w:ind w:left="1134"/>
        <w:rPr>
          <w:lang w:val="es-ES"/>
        </w:rPr>
      </w:pPr>
      <w:r w:rsidRPr="00CC2838">
        <w:rPr>
          <w:lang w:val="es-ES"/>
        </w:rPr>
        <w:t>A beadandó kis mennyiségű adag pontos kiméréséhez a készítményt javasolt 300 NE/ml (3 mg/ml)-re hígítani.</w:t>
      </w:r>
    </w:p>
    <w:p w14:paraId="78BD08AE" w14:textId="77777777" w:rsidR="00DF73BF" w:rsidRPr="00CC2838" w:rsidRDefault="00FB299E" w:rsidP="00545340">
      <w:pPr>
        <w:pStyle w:val="Szvegtrzs"/>
        <w:tabs>
          <w:tab w:val="left" w:pos="567"/>
        </w:tabs>
        <w:ind w:left="1134"/>
        <w:rPr>
          <w:lang w:val="es-ES"/>
        </w:rPr>
      </w:pPr>
      <w:r w:rsidRPr="00CC2838">
        <w:rPr>
          <w:lang w:val="es-ES"/>
        </w:rPr>
        <w:t xml:space="preserve">A 300 NE/ml (3 mg/ml) oldat eléréséhez egy 6000 NE (60 mg) enoxaparin-nátriuomot tartalmazó előretöltött fecskendőt, és egy 50 ml-es infúziós tasakot (azaz vagy fiziológiás </w:t>
      </w:r>
      <w:r w:rsidRPr="00CC2838">
        <w:rPr>
          <w:lang w:val="es-ES"/>
        </w:rPr>
        <w:lastRenderedPageBreak/>
        <w:t>sóoldatot (0,9% NaCl-oldat), vagy 5%-os dextrózoldatot) kell felhasználni a következők szerint:</w:t>
      </w:r>
    </w:p>
    <w:p w14:paraId="78BD08AF" w14:textId="77777777" w:rsidR="00DF73BF" w:rsidRPr="00CC2838" w:rsidRDefault="00FB299E" w:rsidP="00545340">
      <w:pPr>
        <w:pStyle w:val="Szvegtrzs"/>
        <w:tabs>
          <w:tab w:val="left" w:pos="567"/>
        </w:tabs>
        <w:ind w:left="1134"/>
        <w:rPr>
          <w:lang w:val="es-ES"/>
        </w:rPr>
      </w:pPr>
      <w:r w:rsidRPr="00CC2838">
        <w:rPr>
          <w:lang w:val="es-ES"/>
        </w:rPr>
        <w:t>Az infúziós tasakból egy fecskendő segítségével távolítsunk el 30 ml folyadékot, és ezt semmisítsük meg. A 6000 NE (60 mg) enoxaparin-nátriumot tartalmazó előretöltött fecskendő teljes hatóanyagmennyiségét fecskendezzük be az infúziós tasakban maradt 20</w:t>
      </w:r>
      <w:r w:rsidR="004871C7" w:rsidRPr="00CC2838">
        <w:rPr>
          <w:lang w:val="es-ES"/>
        </w:rPr>
        <w:t> </w:t>
      </w:r>
      <w:r w:rsidRPr="00CC2838">
        <w:rPr>
          <w:lang w:val="es-ES"/>
        </w:rPr>
        <w:t>ml folyadékba. Óvatosan rázzuk össze a tasak tartalmát. A hígított oldatból egy fecskendő segítségével szívjuk fel a vénásan alkalmazni kívánt adagot.</w:t>
      </w:r>
    </w:p>
    <w:p w14:paraId="78BD08B0" w14:textId="77777777" w:rsidR="00DF73BF" w:rsidRPr="00CC2838" w:rsidRDefault="00DF73BF" w:rsidP="00545340">
      <w:pPr>
        <w:pStyle w:val="Szvegtrzs"/>
        <w:tabs>
          <w:tab w:val="left" w:pos="567"/>
        </w:tabs>
        <w:ind w:left="1134"/>
        <w:rPr>
          <w:lang w:val="es-ES"/>
        </w:rPr>
      </w:pPr>
    </w:p>
    <w:p w14:paraId="78BD08B1" w14:textId="77777777" w:rsidR="00DF73BF" w:rsidRPr="00CC2838" w:rsidRDefault="00FB299E" w:rsidP="00545340">
      <w:pPr>
        <w:pStyle w:val="Szvegtrzs"/>
        <w:tabs>
          <w:tab w:val="left" w:pos="567"/>
        </w:tabs>
        <w:ind w:left="1134"/>
        <w:rPr>
          <w:lang w:val="es-ES"/>
        </w:rPr>
      </w:pPr>
      <w:r w:rsidRPr="00CC2838">
        <w:rPr>
          <w:lang w:val="es-ES"/>
        </w:rPr>
        <w:t xml:space="preserve">A hígított oldatból beadandó mennyiség kiszámításához a következő képletet kell alkalmazni: [hígitott oldat mennyisége (ml) = beteg testtömege (kg) </w:t>
      </w:r>
      <w:r w:rsidR="004871C7" w:rsidRPr="00CC2838">
        <w:rPr>
          <w:lang w:val="es-ES"/>
        </w:rPr>
        <w:t>×</w:t>
      </w:r>
      <w:r w:rsidRPr="00CC2838">
        <w:rPr>
          <w:lang w:val="es-ES"/>
        </w:rPr>
        <w:t xml:space="preserve"> 0,1], vagy az alábbi táblázat szerint kell eljárni. A hígított oldat elkészítése közvetlenül a felhasználás előtt javasolt.</w:t>
      </w:r>
    </w:p>
    <w:p w14:paraId="78BD08B2" w14:textId="77777777" w:rsidR="00390E75" w:rsidRPr="00CC2838" w:rsidRDefault="00390E75" w:rsidP="00545340">
      <w:pPr>
        <w:pStyle w:val="Szvegtrzs"/>
        <w:tabs>
          <w:tab w:val="left" w:pos="567"/>
        </w:tabs>
        <w:ind w:left="1134"/>
        <w:rPr>
          <w:lang w:val="es-ES"/>
        </w:rPr>
      </w:pPr>
    </w:p>
    <w:p w14:paraId="78BD08B3" w14:textId="77777777" w:rsidR="0062235E" w:rsidRPr="00CC2838" w:rsidRDefault="0094649D" w:rsidP="00545340">
      <w:pPr>
        <w:pStyle w:val="Szvegtrzs"/>
        <w:widowControl/>
        <w:tabs>
          <w:tab w:val="left" w:pos="567"/>
        </w:tabs>
        <w:rPr>
          <w:lang w:val="es-ES"/>
        </w:rPr>
      </w:pPr>
      <w:r>
        <w:rPr>
          <w:noProof/>
          <w:lang w:val="hu-HU" w:eastAsia="hu-HU"/>
        </w:rPr>
        <mc:AlternateContent>
          <mc:Choice Requires="wps">
            <w:drawing>
              <wp:anchor distT="0" distB="0" distL="114300" distR="114300" simplePos="0" relativeHeight="251657728" behindDoc="0" locked="0" layoutInCell="1" allowOverlap="1" wp14:anchorId="78BD0B1F" wp14:editId="78BD0B20">
                <wp:simplePos x="0" y="0"/>
                <wp:positionH relativeFrom="column">
                  <wp:posOffset>4445</wp:posOffset>
                </wp:positionH>
                <wp:positionV relativeFrom="paragraph">
                  <wp:posOffset>387985</wp:posOffset>
                </wp:positionV>
                <wp:extent cx="5819775" cy="4038600"/>
                <wp:effectExtent l="0" t="0" r="0" b="0"/>
                <wp:wrapTopAndBottom/>
                <wp:docPr id="188"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403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9214"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97"/>
                              <w:gridCol w:w="1439"/>
                              <w:gridCol w:w="1642"/>
                              <w:gridCol w:w="4536"/>
                            </w:tblGrid>
                            <w:tr w:rsidR="005342E2" w:rsidRPr="0089356E" w14:paraId="78BD0B33" w14:textId="77777777" w:rsidTr="00CC2838">
                              <w:tc>
                                <w:tcPr>
                                  <w:tcW w:w="1597" w:type="dxa"/>
                                </w:tcPr>
                                <w:p w14:paraId="78BD0B30" w14:textId="77777777" w:rsidR="005342E2" w:rsidRPr="00167B86" w:rsidRDefault="005342E2" w:rsidP="00CC2838">
                                  <w:pPr>
                                    <w:pStyle w:val="TableParagraph"/>
                                    <w:ind w:left="0" w:right="37"/>
                                    <w:jc w:val="center"/>
                                    <w:rPr>
                                      <w:b/>
                                    </w:rPr>
                                  </w:pPr>
                                  <w:r w:rsidRPr="00167B86">
                                    <w:rPr>
                                      <w:b/>
                                    </w:rPr>
                                    <w:t>Testtömeg</w:t>
                                  </w:r>
                                </w:p>
                              </w:tc>
                              <w:tc>
                                <w:tcPr>
                                  <w:tcW w:w="3081" w:type="dxa"/>
                                  <w:gridSpan w:val="2"/>
                                </w:tcPr>
                                <w:p w14:paraId="78BD0B31" w14:textId="77777777" w:rsidR="005342E2" w:rsidRPr="00167B86" w:rsidRDefault="005342E2" w:rsidP="00CC2838">
                                  <w:pPr>
                                    <w:pStyle w:val="TableParagraph"/>
                                    <w:ind w:left="0"/>
                                    <w:jc w:val="center"/>
                                    <w:rPr>
                                      <w:b/>
                                    </w:rPr>
                                  </w:pPr>
                                  <w:r w:rsidRPr="00167B86">
                                    <w:rPr>
                                      <w:b/>
                                    </w:rPr>
                                    <w:t>Szükséges adag 30 NE/kg (0,3</w:t>
                                  </w:r>
                                  <w:r>
                                    <w:rPr>
                                      <w:b/>
                                    </w:rPr>
                                    <w:t> </w:t>
                                  </w:r>
                                  <w:r w:rsidRPr="00167B86">
                                    <w:rPr>
                                      <w:b/>
                                    </w:rPr>
                                    <w:t>mg/kg)</w:t>
                                  </w:r>
                                </w:p>
                              </w:tc>
                              <w:tc>
                                <w:tcPr>
                                  <w:tcW w:w="4536" w:type="dxa"/>
                                </w:tcPr>
                                <w:p w14:paraId="78BD0B32" w14:textId="77777777" w:rsidR="005342E2" w:rsidRPr="00E41443" w:rsidRDefault="005342E2" w:rsidP="00CC2838">
                                  <w:pPr>
                                    <w:pStyle w:val="TableParagraph"/>
                                    <w:ind w:left="0"/>
                                    <w:jc w:val="center"/>
                                    <w:rPr>
                                      <w:b/>
                                    </w:rPr>
                                  </w:pPr>
                                  <w:r w:rsidRPr="00E41443">
                                    <w:rPr>
                                      <w:b/>
                                    </w:rPr>
                                    <w:t>A végső 300 NE (3 mg/ml) koncentrációjú hígításból beadandó mennyiség</w:t>
                                  </w:r>
                                </w:p>
                              </w:tc>
                            </w:tr>
                            <w:tr w:rsidR="005342E2" w:rsidRPr="00360D35" w14:paraId="78BD0B38" w14:textId="77777777" w:rsidTr="00CC2838">
                              <w:tc>
                                <w:tcPr>
                                  <w:tcW w:w="1597" w:type="dxa"/>
                                </w:tcPr>
                                <w:p w14:paraId="78BD0B34" w14:textId="77777777" w:rsidR="005342E2" w:rsidRPr="00CC2838" w:rsidRDefault="005342E2" w:rsidP="00CC2838">
                                  <w:pPr>
                                    <w:pStyle w:val="TableParagraph"/>
                                    <w:ind w:left="182" w:right="396" w:hanging="182"/>
                                    <w:jc w:val="center"/>
                                    <w:rPr>
                                      <w:b/>
                                    </w:rPr>
                                  </w:pPr>
                                  <w:r w:rsidRPr="00CC2838">
                                    <w:rPr>
                                      <w:b/>
                                    </w:rPr>
                                    <w:t>[</w:t>
                                  </w:r>
                                  <w:r>
                                    <w:rPr>
                                      <w:b/>
                                    </w:rPr>
                                    <w:t>k</w:t>
                                  </w:r>
                                  <w:r w:rsidRPr="00CC2838">
                                    <w:rPr>
                                      <w:b/>
                                    </w:rPr>
                                    <w:t>g]</w:t>
                                  </w:r>
                                </w:p>
                              </w:tc>
                              <w:tc>
                                <w:tcPr>
                                  <w:tcW w:w="1439" w:type="dxa"/>
                                </w:tcPr>
                                <w:p w14:paraId="78BD0B35" w14:textId="77777777" w:rsidR="005342E2" w:rsidRPr="00CC2838" w:rsidRDefault="005342E2" w:rsidP="00CC2838">
                                  <w:pPr>
                                    <w:pStyle w:val="TableParagraph"/>
                                    <w:ind w:left="616" w:hanging="182"/>
                                    <w:rPr>
                                      <w:b/>
                                    </w:rPr>
                                  </w:pPr>
                                  <w:r w:rsidRPr="00CC2838">
                                    <w:rPr>
                                      <w:b/>
                                    </w:rPr>
                                    <w:t>NE</w:t>
                                  </w:r>
                                </w:p>
                              </w:tc>
                              <w:tc>
                                <w:tcPr>
                                  <w:tcW w:w="1642" w:type="dxa"/>
                                </w:tcPr>
                                <w:p w14:paraId="78BD0B36" w14:textId="77777777" w:rsidR="005342E2" w:rsidRPr="00CC2838" w:rsidRDefault="005342E2" w:rsidP="00CC2838">
                                  <w:pPr>
                                    <w:pStyle w:val="TableParagraph"/>
                                    <w:ind w:left="792" w:hanging="284"/>
                                    <w:rPr>
                                      <w:b/>
                                    </w:rPr>
                                  </w:pPr>
                                  <w:r w:rsidRPr="00CC2838">
                                    <w:rPr>
                                      <w:b/>
                                    </w:rPr>
                                    <w:t>[mg]</w:t>
                                  </w:r>
                                </w:p>
                              </w:tc>
                              <w:tc>
                                <w:tcPr>
                                  <w:tcW w:w="4536" w:type="dxa"/>
                                </w:tcPr>
                                <w:p w14:paraId="78BD0B37" w14:textId="77777777" w:rsidR="005342E2" w:rsidRPr="00CC2838" w:rsidRDefault="005342E2" w:rsidP="00CC2838">
                                  <w:pPr>
                                    <w:pStyle w:val="TableParagraph"/>
                                    <w:ind w:left="1354" w:hanging="645"/>
                                    <w:rPr>
                                      <w:b/>
                                    </w:rPr>
                                  </w:pPr>
                                  <w:r w:rsidRPr="00CC2838">
                                    <w:rPr>
                                      <w:b/>
                                    </w:rPr>
                                    <w:t>[m</w:t>
                                  </w:r>
                                  <w:r>
                                    <w:rPr>
                                      <w:b/>
                                    </w:rPr>
                                    <w:t>l</w:t>
                                  </w:r>
                                  <w:r w:rsidRPr="00CC2838">
                                    <w:rPr>
                                      <w:b/>
                                    </w:rPr>
                                    <w:t>]</w:t>
                                  </w:r>
                                </w:p>
                              </w:tc>
                            </w:tr>
                            <w:tr w:rsidR="005342E2" w:rsidRPr="00360D35" w14:paraId="78BD0B3D" w14:textId="77777777" w:rsidTr="00CC2838">
                              <w:tc>
                                <w:tcPr>
                                  <w:tcW w:w="1597" w:type="dxa"/>
                                </w:tcPr>
                                <w:p w14:paraId="78BD0B39" w14:textId="77777777" w:rsidR="005342E2" w:rsidRPr="00CC2838" w:rsidRDefault="005342E2" w:rsidP="00CC2838">
                                  <w:pPr>
                                    <w:pStyle w:val="TableParagraph"/>
                                    <w:ind w:left="182" w:right="397" w:hanging="182"/>
                                    <w:jc w:val="center"/>
                                  </w:pPr>
                                  <w:r w:rsidRPr="00CC2838">
                                    <w:t>45</w:t>
                                  </w:r>
                                </w:p>
                              </w:tc>
                              <w:tc>
                                <w:tcPr>
                                  <w:tcW w:w="1439" w:type="dxa"/>
                                </w:tcPr>
                                <w:p w14:paraId="78BD0B3A" w14:textId="77777777" w:rsidR="005342E2" w:rsidRPr="00CC2838" w:rsidRDefault="005342E2" w:rsidP="00CC2838">
                                  <w:pPr>
                                    <w:pStyle w:val="TableParagraph"/>
                                    <w:ind w:left="556" w:hanging="182"/>
                                  </w:pPr>
                                  <w:r w:rsidRPr="00CC2838">
                                    <w:t>1350</w:t>
                                  </w:r>
                                </w:p>
                              </w:tc>
                              <w:tc>
                                <w:tcPr>
                                  <w:tcW w:w="1642" w:type="dxa"/>
                                </w:tcPr>
                                <w:p w14:paraId="78BD0B3B" w14:textId="77777777" w:rsidR="005342E2" w:rsidRPr="00CC2838" w:rsidRDefault="005342E2" w:rsidP="00CC2838">
                                  <w:pPr>
                                    <w:pStyle w:val="TableParagraph"/>
                                    <w:ind w:left="792" w:hanging="284"/>
                                  </w:pPr>
                                  <w:r w:rsidRPr="00CC2838">
                                    <w:t>13</w:t>
                                  </w:r>
                                  <w:r>
                                    <w:t>,</w:t>
                                  </w:r>
                                  <w:r w:rsidRPr="00CC2838">
                                    <w:t>5</w:t>
                                  </w:r>
                                </w:p>
                              </w:tc>
                              <w:tc>
                                <w:tcPr>
                                  <w:tcW w:w="4536" w:type="dxa"/>
                                </w:tcPr>
                                <w:p w14:paraId="78BD0B3C" w14:textId="77777777" w:rsidR="005342E2" w:rsidRPr="00CC2838" w:rsidRDefault="005342E2" w:rsidP="00CC2838">
                                  <w:pPr>
                                    <w:pStyle w:val="TableParagraph"/>
                                    <w:ind w:left="1354" w:hanging="645"/>
                                  </w:pPr>
                                  <w:r w:rsidRPr="00CC2838">
                                    <w:t>4</w:t>
                                  </w:r>
                                  <w:r>
                                    <w:t>,</w:t>
                                  </w:r>
                                  <w:r w:rsidRPr="00CC2838">
                                    <w:t>5</w:t>
                                  </w:r>
                                </w:p>
                              </w:tc>
                            </w:tr>
                            <w:tr w:rsidR="005342E2" w:rsidRPr="00360D35" w14:paraId="78BD0B42" w14:textId="77777777" w:rsidTr="00CC2838">
                              <w:tc>
                                <w:tcPr>
                                  <w:tcW w:w="1597" w:type="dxa"/>
                                </w:tcPr>
                                <w:p w14:paraId="78BD0B3E" w14:textId="77777777" w:rsidR="005342E2" w:rsidRPr="00CC2838" w:rsidRDefault="005342E2" w:rsidP="00CC2838">
                                  <w:pPr>
                                    <w:pStyle w:val="TableParagraph"/>
                                    <w:ind w:left="182" w:right="397" w:hanging="182"/>
                                    <w:jc w:val="center"/>
                                  </w:pPr>
                                  <w:r w:rsidRPr="00CC2838">
                                    <w:t>50</w:t>
                                  </w:r>
                                </w:p>
                              </w:tc>
                              <w:tc>
                                <w:tcPr>
                                  <w:tcW w:w="1439" w:type="dxa"/>
                                </w:tcPr>
                                <w:p w14:paraId="78BD0B3F" w14:textId="77777777" w:rsidR="005342E2" w:rsidRPr="00CC2838" w:rsidRDefault="005342E2" w:rsidP="00CC2838">
                                  <w:pPr>
                                    <w:pStyle w:val="TableParagraph"/>
                                    <w:ind w:left="556" w:hanging="182"/>
                                  </w:pPr>
                                  <w:r w:rsidRPr="00CC2838">
                                    <w:t>1500</w:t>
                                  </w:r>
                                </w:p>
                              </w:tc>
                              <w:tc>
                                <w:tcPr>
                                  <w:tcW w:w="1642" w:type="dxa"/>
                                </w:tcPr>
                                <w:p w14:paraId="78BD0B40" w14:textId="77777777" w:rsidR="005342E2" w:rsidRPr="00CC2838" w:rsidRDefault="005342E2" w:rsidP="00CC2838">
                                  <w:pPr>
                                    <w:pStyle w:val="TableParagraph"/>
                                    <w:ind w:left="792" w:hanging="284"/>
                                  </w:pPr>
                                  <w:r w:rsidRPr="00CC2838">
                                    <w:t>15</w:t>
                                  </w:r>
                                </w:p>
                              </w:tc>
                              <w:tc>
                                <w:tcPr>
                                  <w:tcW w:w="4536" w:type="dxa"/>
                                </w:tcPr>
                                <w:p w14:paraId="78BD0B41" w14:textId="77777777" w:rsidR="005342E2" w:rsidRPr="00CC2838" w:rsidRDefault="005342E2" w:rsidP="00CC2838">
                                  <w:pPr>
                                    <w:pStyle w:val="TableParagraph"/>
                                    <w:ind w:left="1354" w:hanging="645"/>
                                  </w:pPr>
                                  <w:r w:rsidRPr="00CC2838">
                                    <w:rPr>
                                      <w:w w:val="99"/>
                                    </w:rPr>
                                    <w:t>5</w:t>
                                  </w:r>
                                </w:p>
                              </w:tc>
                            </w:tr>
                            <w:tr w:rsidR="005342E2" w:rsidRPr="00360D35" w14:paraId="78BD0B47" w14:textId="77777777" w:rsidTr="00CC2838">
                              <w:tc>
                                <w:tcPr>
                                  <w:tcW w:w="1597" w:type="dxa"/>
                                </w:tcPr>
                                <w:p w14:paraId="78BD0B43" w14:textId="77777777" w:rsidR="005342E2" w:rsidRPr="00CC2838" w:rsidRDefault="005342E2" w:rsidP="00CC2838">
                                  <w:pPr>
                                    <w:pStyle w:val="TableParagraph"/>
                                    <w:ind w:left="182" w:right="397" w:hanging="182"/>
                                    <w:jc w:val="center"/>
                                  </w:pPr>
                                  <w:r w:rsidRPr="00CC2838">
                                    <w:t>55</w:t>
                                  </w:r>
                                </w:p>
                              </w:tc>
                              <w:tc>
                                <w:tcPr>
                                  <w:tcW w:w="1439" w:type="dxa"/>
                                </w:tcPr>
                                <w:p w14:paraId="78BD0B44" w14:textId="77777777" w:rsidR="005342E2" w:rsidRPr="00CC2838" w:rsidRDefault="005342E2" w:rsidP="00CC2838">
                                  <w:pPr>
                                    <w:pStyle w:val="TableParagraph"/>
                                    <w:ind w:left="556" w:hanging="182"/>
                                  </w:pPr>
                                  <w:r w:rsidRPr="00CC2838">
                                    <w:t>1650</w:t>
                                  </w:r>
                                </w:p>
                              </w:tc>
                              <w:tc>
                                <w:tcPr>
                                  <w:tcW w:w="1642" w:type="dxa"/>
                                </w:tcPr>
                                <w:p w14:paraId="78BD0B45" w14:textId="77777777" w:rsidR="005342E2" w:rsidRPr="00CC2838" w:rsidRDefault="005342E2" w:rsidP="00CC2838">
                                  <w:pPr>
                                    <w:pStyle w:val="TableParagraph"/>
                                    <w:ind w:left="792" w:hanging="284"/>
                                  </w:pPr>
                                  <w:r w:rsidRPr="00CC2838">
                                    <w:t>16</w:t>
                                  </w:r>
                                  <w:r>
                                    <w:t>,</w:t>
                                  </w:r>
                                  <w:r w:rsidRPr="00CC2838">
                                    <w:t>5</w:t>
                                  </w:r>
                                </w:p>
                              </w:tc>
                              <w:tc>
                                <w:tcPr>
                                  <w:tcW w:w="4536" w:type="dxa"/>
                                </w:tcPr>
                                <w:p w14:paraId="78BD0B46" w14:textId="77777777" w:rsidR="005342E2" w:rsidRPr="00CC2838" w:rsidRDefault="005342E2" w:rsidP="00CC2838">
                                  <w:pPr>
                                    <w:pStyle w:val="TableParagraph"/>
                                    <w:ind w:left="1354" w:hanging="645"/>
                                  </w:pPr>
                                  <w:r w:rsidRPr="00CC2838">
                                    <w:t>5</w:t>
                                  </w:r>
                                  <w:r>
                                    <w:t>,</w:t>
                                  </w:r>
                                  <w:r w:rsidRPr="00CC2838">
                                    <w:t>5</w:t>
                                  </w:r>
                                </w:p>
                              </w:tc>
                            </w:tr>
                            <w:tr w:rsidR="005342E2" w:rsidRPr="00360D35" w14:paraId="78BD0B4C" w14:textId="77777777" w:rsidTr="00CC2838">
                              <w:tc>
                                <w:tcPr>
                                  <w:tcW w:w="1597" w:type="dxa"/>
                                </w:tcPr>
                                <w:p w14:paraId="78BD0B48" w14:textId="77777777" w:rsidR="005342E2" w:rsidRPr="00CC2838" w:rsidRDefault="005342E2" w:rsidP="00CC2838">
                                  <w:pPr>
                                    <w:pStyle w:val="TableParagraph"/>
                                    <w:ind w:left="182" w:right="397" w:hanging="182"/>
                                    <w:jc w:val="center"/>
                                  </w:pPr>
                                  <w:r w:rsidRPr="00CC2838">
                                    <w:t>60</w:t>
                                  </w:r>
                                </w:p>
                              </w:tc>
                              <w:tc>
                                <w:tcPr>
                                  <w:tcW w:w="1439" w:type="dxa"/>
                                </w:tcPr>
                                <w:p w14:paraId="78BD0B49" w14:textId="77777777" w:rsidR="005342E2" w:rsidRPr="00CC2838" w:rsidRDefault="005342E2" w:rsidP="00CC2838">
                                  <w:pPr>
                                    <w:pStyle w:val="TableParagraph"/>
                                    <w:ind w:left="556" w:hanging="182"/>
                                  </w:pPr>
                                  <w:r w:rsidRPr="00CC2838">
                                    <w:t>1800</w:t>
                                  </w:r>
                                </w:p>
                              </w:tc>
                              <w:tc>
                                <w:tcPr>
                                  <w:tcW w:w="1642" w:type="dxa"/>
                                </w:tcPr>
                                <w:p w14:paraId="78BD0B4A" w14:textId="77777777" w:rsidR="005342E2" w:rsidRPr="00CC2838" w:rsidRDefault="005342E2" w:rsidP="00CC2838">
                                  <w:pPr>
                                    <w:pStyle w:val="TableParagraph"/>
                                    <w:ind w:left="792" w:hanging="284"/>
                                  </w:pPr>
                                  <w:r w:rsidRPr="00CC2838">
                                    <w:t>18</w:t>
                                  </w:r>
                                </w:p>
                              </w:tc>
                              <w:tc>
                                <w:tcPr>
                                  <w:tcW w:w="4536" w:type="dxa"/>
                                </w:tcPr>
                                <w:p w14:paraId="78BD0B4B" w14:textId="77777777" w:rsidR="005342E2" w:rsidRPr="00CC2838" w:rsidRDefault="005342E2" w:rsidP="00CC2838">
                                  <w:pPr>
                                    <w:pStyle w:val="TableParagraph"/>
                                    <w:ind w:left="1354" w:hanging="645"/>
                                  </w:pPr>
                                  <w:r w:rsidRPr="00CC2838">
                                    <w:rPr>
                                      <w:w w:val="99"/>
                                    </w:rPr>
                                    <w:t>6</w:t>
                                  </w:r>
                                </w:p>
                              </w:tc>
                            </w:tr>
                            <w:tr w:rsidR="005342E2" w:rsidRPr="00360D35" w14:paraId="78BD0B51" w14:textId="77777777" w:rsidTr="00CC2838">
                              <w:tc>
                                <w:tcPr>
                                  <w:tcW w:w="1597" w:type="dxa"/>
                                </w:tcPr>
                                <w:p w14:paraId="78BD0B4D" w14:textId="77777777" w:rsidR="005342E2" w:rsidRPr="00CC2838" w:rsidRDefault="005342E2" w:rsidP="00CC2838">
                                  <w:pPr>
                                    <w:pStyle w:val="TableParagraph"/>
                                    <w:ind w:left="182" w:right="397" w:hanging="182"/>
                                    <w:jc w:val="center"/>
                                  </w:pPr>
                                  <w:r w:rsidRPr="00CC2838">
                                    <w:t>65</w:t>
                                  </w:r>
                                </w:p>
                              </w:tc>
                              <w:tc>
                                <w:tcPr>
                                  <w:tcW w:w="1439" w:type="dxa"/>
                                </w:tcPr>
                                <w:p w14:paraId="78BD0B4E" w14:textId="77777777" w:rsidR="005342E2" w:rsidRPr="00CC2838" w:rsidRDefault="005342E2" w:rsidP="00CC2838">
                                  <w:pPr>
                                    <w:pStyle w:val="TableParagraph"/>
                                    <w:ind w:left="556" w:hanging="182"/>
                                  </w:pPr>
                                  <w:r w:rsidRPr="00CC2838">
                                    <w:t>1950</w:t>
                                  </w:r>
                                </w:p>
                              </w:tc>
                              <w:tc>
                                <w:tcPr>
                                  <w:tcW w:w="1642" w:type="dxa"/>
                                </w:tcPr>
                                <w:p w14:paraId="78BD0B4F" w14:textId="77777777" w:rsidR="005342E2" w:rsidRPr="00CC2838" w:rsidRDefault="005342E2" w:rsidP="00CC2838">
                                  <w:pPr>
                                    <w:pStyle w:val="TableParagraph"/>
                                    <w:ind w:left="792" w:hanging="284"/>
                                  </w:pPr>
                                  <w:r w:rsidRPr="00CC2838">
                                    <w:t>19</w:t>
                                  </w:r>
                                  <w:r>
                                    <w:t>,</w:t>
                                  </w:r>
                                  <w:r w:rsidRPr="00CC2838">
                                    <w:t>5</w:t>
                                  </w:r>
                                </w:p>
                              </w:tc>
                              <w:tc>
                                <w:tcPr>
                                  <w:tcW w:w="4536" w:type="dxa"/>
                                </w:tcPr>
                                <w:p w14:paraId="78BD0B50" w14:textId="77777777" w:rsidR="005342E2" w:rsidRPr="00CC2838" w:rsidRDefault="005342E2" w:rsidP="00CC2838">
                                  <w:pPr>
                                    <w:pStyle w:val="TableParagraph"/>
                                    <w:ind w:left="1354" w:hanging="645"/>
                                  </w:pPr>
                                  <w:r w:rsidRPr="00CC2838">
                                    <w:t>6</w:t>
                                  </w:r>
                                  <w:r>
                                    <w:t>,</w:t>
                                  </w:r>
                                  <w:r w:rsidRPr="00CC2838">
                                    <w:t>5</w:t>
                                  </w:r>
                                </w:p>
                              </w:tc>
                            </w:tr>
                            <w:tr w:rsidR="005342E2" w:rsidRPr="00360D35" w14:paraId="78BD0B56" w14:textId="77777777" w:rsidTr="00CC2838">
                              <w:tc>
                                <w:tcPr>
                                  <w:tcW w:w="1597" w:type="dxa"/>
                                </w:tcPr>
                                <w:p w14:paraId="78BD0B52" w14:textId="77777777" w:rsidR="005342E2" w:rsidRPr="00CC2838" w:rsidRDefault="005342E2" w:rsidP="00CC2838">
                                  <w:pPr>
                                    <w:pStyle w:val="TableParagraph"/>
                                    <w:ind w:left="182" w:right="397" w:hanging="182"/>
                                    <w:jc w:val="center"/>
                                  </w:pPr>
                                  <w:r w:rsidRPr="00CC2838">
                                    <w:t>70</w:t>
                                  </w:r>
                                </w:p>
                              </w:tc>
                              <w:tc>
                                <w:tcPr>
                                  <w:tcW w:w="1439" w:type="dxa"/>
                                </w:tcPr>
                                <w:p w14:paraId="78BD0B53" w14:textId="77777777" w:rsidR="005342E2" w:rsidRPr="00CC2838" w:rsidRDefault="005342E2" w:rsidP="00CC2838">
                                  <w:pPr>
                                    <w:pStyle w:val="TableParagraph"/>
                                    <w:ind w:left="556" w:hanging="182"/>
                                  </w:pPr>
                                  <w:r w:rsidRPr="00CC2838">
                                    <w:t>2100</w:t>
                                  </w:r>
                                </w:p>
                              </w:tc>
                              <w:tc>
                                <w:tcPr>
                                  <w:tcW w:w="1642" w:type="dxa"/>
                                </w:tcPr>
                                <w:p w14:paraId="78BD0B54" w14:textId="77777777" w:rsidR="005342E2" w:rsidRPr="00CC2838" w:rsidRDefault="005342E2" w:rsidP="00CC2838">
                                  <w:pPr>
                                    <w:pStyle w:val="TableParagraph"/>
                                    <w:ind w:left="792" w:hanging="284"/>
                                  </w:pPr>
                                  <w:r w:rsidRPr="00CC2838">
                                    <w:t>21</w:t>
                                  </w:r>
                                </w:p>
                              </w:tc>
                              <w:tc>
                                <w:tcPr>
                                  <w:tcW w:w="4536" w:type="dxa"/>
                                </w:tcPr>
                                <w:p w14:paraId="78BD0B55" w14:textId="77777777" w:rsidR="005342E2" w:rsidRPr="00CC2838" w:rsidRDefault="005342E2" w:rsidP="00CC2838">
                                  <w:pPr>
                                    <w:pStyle w:val="TableParagraph"/>
                                    <w:ind w:left="1354" w:hanging="645"/>
                                  </w:pPr>
                                  <w:r w:rsidRPr="00CC2838">
                                    <w:rPr>
                                      <w:w w:val="99"/>
                                    </w:rPr>
                                    <w:t>7</w:t>
                                  </w:r>
                                </w:p>
                              </w:tc>
                            </w:tr>
                            <w:tr w:rsidR="005342E2" w:rsidRPr="00360D35" w14:paraId="78BD0B5B" w14:textId="77777777" w:rsidTr="00CC2838">
                              <w:tc>
                                <w:tcPr>
                                  <w:tcW w:w="1597" w:type="dxa"/>
                                </w:tcPr>
                                <w:p w14:paraId="78BD0B57" w14:textId="77777777" w:rsidR="005342E2" w:rsidRPr="00CC2838" w:rsidRDefault="005342E2" w:rsidP="00CC2838">
                                  <w:pPr>
                                    <w:pStyle w:val="TableParagraph"/>
                                    <w:ind w:left="182" w:right="397" w:hanging="182"/>
                                    <w:jc w:val="center"/>
                                  </w:pPr>
                                  <w:r w:rsidRPr="00CC2838">
                                    <w:t>75</w:t>
                                  </w:r>
                                </w:p>
                              </w:tc>
                              <w:tc>
                                <w:tcPr>
                                  <w:tcW w:w="1439" w:type="dxa"/>
                                </w:tcPr>
                                <w:p w14:paraId="78BD0B58" w14:textId="77777777" w:rsidR="005342E2" w:rsidRPr="00CC2838" w:rsidRDefault="005342E2" w:rsidP="00CC2838">
                                  <w:pPr>
                                    <w:pStyle w:val="TableParagraph"/>
                                    <w:ind w:left="556" w:hanging="182"/>
                                  </w:pPr>
                                  <w:r w:rsidRPr="00CC2838">
                                    <w:t>2250</w:t>
                                  </w:r>
                                </w:p>
                              </w:tc>
                              <w:tc>
                                <w:tcPr>
                                  <w:tcW w:w="1642" w:type="dxa"/>
                                </w:tcPr>
                                <w:p w14:paraId="78BD0B59" w14:textId="77777777" w:rsidR="005342E2" w:rsidRPr="00CC2838" w:rsidRDefault="005342E2" w:rsidP="00CC2838">
                                  <w:pPr>
                                    <w:pStyle w:val="TableParagraph"/>
                                    <w:ind w:left="792" w:hanging="284"/>
                                  </w:pPr>
                                  <w:r w:rsidRPr="00CC2838">
                                    <w:t>22</w:t>
                                  </w:r>
                                  <w:r>
                                    <w:t>,</w:t>
                                  </w:r>
                                  <w:r w:rsidRPr="00CC2838">
                                    <w:t>5</w:t>
                                  </w:r>
                                </w:p>
                              </w:tc>
                              <w:tc>
                                <w:tcPr>
                                  <w:tcW w:w="4536" w:type="dxa"/>
                                </w:tcPr>
                                <w:p w14:paraId="78BD0B5A" w14:textId="77777777" w:rsidR="005342E2" w:rsidRPr="00CC2838" w:rsidRDefault="005342E2" w:rsidP="00CC2838">
                                  <w:pPr>
                                    <w:pStyle w:val="TableParagraph"/>
                                    <w:ind w:left="1354" w:hanging="645"/>
                                  </w:pPr>
                                  <w:r w:rsidRPr="00CC2838">
                                    <w:t>7</w:t>
                                  </w:r>
                                  <w:r>
                                    <w:t>,</w:t>
                                  </w:r>
                                  <w:r w:rsidRPr="00CC2838">
                                    <w:t>5</w:t>
                                  </w:r>
                                </w:p>
                              </w:tc>
                            </w:tr>
                            <w:tr w:rsidR="005342E2" w:rsidRPr="00360D35" w14:paraId="78BD0B60" w14:textId="77777777" w:rsidTr="00CC2838">
                              <w:tc>
                                <w:tcPr>
                                  <w:tcW w:w="1597" w:type="dxa"/>
                                </w:tcPr>
                                <w:p w14:paraId="78BD0B5C" w14:textId="77777777" w:rsidR="005342E2" w:rsidRPr="00CC2838" w:rsidRDefault="005342E2" w:rsidP="00CC2838">
                                  <w:pPr>
                                    <w:pStyle w:val="TableParagraph"/>
                                    <w:ind w:left="182" w:right="397" w:hanging="182"/>
                                    <w:jc w:val="center"/>
                                  </w:pPr>
                                  <w:r w:rsidRPr="00CC2838">
                                    <w:t>80</w:t>
                                  </w:r>
                                </w:p>
                              </w:tc>
                              <w:tc>
                                <w:tcPr>
                                  <w:tcW w:w="1439" w:type="dxa"/>
                                </w:tcPr>
                                <w:p w14:paraId="78BD0B5D" w14:textId="77777777" w:rsidR="005342E2" w:rsidRPr="00CC2838" w:rsidRDefault="005342E2" w:rsidP="00CC2838">
                                  <w:pPr>
                                    <w:pStyle w:val="TableParagraph"/>
                                    <w:ind w:left="556" w:hanging="182"/>
                                  </w:pPr>
                                  <w:r w:rsidRPr="00CC2838">
                                    <w:t>2400</w:t>
                                  </w:r>
                                </w:p>
                              </w:tc>
                              <w:tc>
                                <w:tcPr>
                                  <w:tcW w:w="1642" w:type="dxa"/>
                                </w:tcPr>
                                <w:p w14:paraId="78BD0B5E" w14:textId="77777777" w:rsidR="005342E2" w:rsidRPr="00CC2838" w:rsidRDefault="005342E2" w:rsidP="00CC2838">
                                  <w:pPr>
                                    <w:pStyle w:val="TableParagraph"/>
                                    <w:ind w:left="792" w:hanging="284"/>
                                  </w:pPr>
                                  <w:r w:rsidRPr="00CC2838">
                                    <w:t>24</w:t>
                                  </w:r>
                                </w:p>
                              </w:tc>
                              <w:tc>
                                <w:tcPr>
                                  <w:tcW w:w="4536" w:type="dxa"/>
                                </w:tcPr>
                                <w:p w14:paraId="78BD0B5F" w14:textId="77777777" w:rsidR="005342E2" w:rsidRPr="00CC2838" w:rsidRDefault="005342E2" w:rsidP="00CC2838">
                                  <w:pPr>
                                    <w:pStyle w:val="TableParagraph"/>
                                    <w:ind w:left="1354" w:hanging="645"/>
                                  </w:pPr>
                                  <w:r w:rsidRPr="00CC2838">
                                    <w:rPr>
                                      <w:w w:val="99"/>
                                    </w:rPr>
                                    <w:t>8</w:t>
                                  </w:r>
                                </w:p>
                              </w:tc>
                            </w:tr>
                            <w:tr w:rsidR="005342E2" w:rsidRPr="00360D35" w14:paraId="78BD0B65" w14:textId="77777777" w:rsidTr="00CC2838">
                              <w:tc>
                                <w:tcPr>
                                  <w:tcW w:w="1597" w:type="dxa"/>
                                </w:tcPr>
                                <w:p w14:paraId="78BD0B61" w14:textId="77777777" w:rsidR="005342E2" w:rsidRPr="00CC2838" w:rsidRDefault="005342E2" w:rsidP="00CC2838">
                                  <w:pPr>
                                    <w:pStyle w:val="TableParagraph"/>
                                    <w:ind w:left="182" w:right="397" w:hanging="182"/>
                                    <w:jc w:val="center"/>
                                  </w:pPr>
                                  <w:r w:rsidRPr="00CC2838">
                                    <w:t>85</w:t>
                                  </w:r>
                                </w:p>
                              </w:tc>
                              <w:tc>
                                <w:tcPr>
                                  <w:tcW w:w="1439" w:type="dxa"/>
                                </w:tcPr>
                                <w:p w14:paraId="78BD0B62" w14:textId="77777777" w:rsidR="005342E2" w:rsidRPr="00CC2838" w:rsidRDefault="005342E2" w:rsidP="00CC2838">
                                  <w:pPr>
                                    <w:pStyle w:val="TableParagraph"/>
                                    <w:ind w:left="556" w:hanging="182"/>
                                  </w:pPr>
                                  <w:r w:rsidRPr="00CC2838">
                                    <w:t>2550</w:t>
                                  </w:r>
                                </w:p>
                              </w:tc>
                              <w:tc>
                                <w:tcPr>
                                  <w:tcW w:w="1642" w:type="dxa"/>
                                </w:tcPr>
                                <w:p w14:paraId="78BD0B63" w14:textId="77777777" w:rsidR="005342E2" w:rsidRPr="00CC2838" w:rsidRDefault="005342E2" w:rsidP="00CC2838">
                                  <w:pPr>
                                    <w:pStyle w:val="TableParagraph"/>
                                    <w:ind w:left="792" w:hanging="284"/>
                                  </w:pPr>
                                  <w:r w:rsidRPr="00CC2838">
                                    <w:t>25</w:t>
                                  </w:r>
                                  <w:r>
                                    <w:t>,</w:t>
                                  </w:r>
                                  <w:r w:rsidRPr="00CC2838">
                                    <w:t>5</w:t>
                                  </w:r>
                                </w:p>
                              </w:tc>
                              <w:tc>
                                <w:tcPr>
                                  <w:tcW w:w="4536" w:type="dxa"/>
                                </w:tcPr>
                                <w:p w14:paraId="78BD0B64" w14:textId="77777777" w:rsidR="005342E2" w:rsidRPr="00CC2838" w:rsidRDefault="005342E2" w:rsidP="00CC2838">
                                  <w:pPr>
                                    <w:pStyle w:val="TableParagraph"/>
                                    <w:ind w:left="1354" w:hanging="645"/>
                                  </w:pPr>
                                  <w:r w:rsidRPr="00CC2838">
                                    <w:t>8</w:t>
                                  </w:r>
                                  <w:r>
                                    <w:t>,</w:t>
                                  </w:r>
                                  <w:r w:rsidRPr="00CC2838">
                                    <w:t>5</w:t>
                                  </w:r>
                                </w:p>
                              </w:tc>
                            </w:tr>
                            <w:tr w:rsidR="005342E2" w:rsidRPr="00360D35" w14:paraId="78BD0B6A" w14:textId="77777777" w:rsidTr="00CC2838">
                              <w:tc>
                                <w:tcPr>
                                  <w:tcW w:w="1597" w:type="dxa"/>
                                </w:tcPr>
                                <w:p w14:paraId="78BD0B66" w14:textId="77777777" w:rsidR="005342E2" w:rsidRPr="00CC2838" w:rsidRDefault="005342E2" w:rsidP="00CC2838">
                                  <w:pPr>
                                    <w:pStyle w:val="TableParagraph"/>
                                    <w:ind w:left="182" w:right="397" w:hanging="182"/>
                                    <w:jc w:val="center"/>
                                  </w:pPr>
                                  <w:r w:rsidRPr="00CC2838">
                                    <w:t>90</w:t>
                                  </w:r>
                                </w:p>
                              </w:tc>
                              <w:tc>
                                <w:tcPr>
                                  <w:tcW w:w="1439" w:type="dxa"/>
                                </w:tcPr>
                                <w:p w14:paraId="78BD0B67" w14:textId="77777777" w:rsidR="005342E2" w:rsidRPr="00CC2838" w:rsidRDefault="005342E2" w:rsidP="00CC2838">
                                  <w:pPr>
                                    <w:pStyle w:val="TableParagraph"/>
                                    <w:ind w:left="556" w:hanging="182"/>
                                  </w:pPr>
                                  <w:r w:rsidRPr="00CC2838">
                                    <w:t>2700</w:t>
                                  </w:r>
                                </w:p>
                              </w:tc>
                              <w:tc>
                                <w:tcPr>
                                  <w:tcW w:w="1642" w:type="dxa"/>
                                </w:tcPr>
                                <w:p w14:paraId="78BD0B68" w14:textId="77777777" w:rsidR="005342E2" w:rsidRPr="00CC2838" w:rsidRDefault="005342E2" w:rsidP="00CC2838">
                                  <w:pPr>
                                    <w:pStyle w:val="TableParagraph"/>
                                    <w:ind w:left="792" w:hanging="284"/>
                                  </w:pPr>
                                  <w:r w:rsidRPr="00CC2838">
                                    <w:t>27</w:t>
                                  </w:r>
                                </w:p>
                              </w:tc>
                              <w:tc>
                                <w:tcPr>
                                  <w:tcW w:w="4536" w:type="dxa"/>
                                </w:tcPr>
                                <w:p w14:paraId="78BD0B69" w14:textId="77777777" w:rsidR="005342E2" w:rsidRPr="00CC2838" w:rsidRDefault="005342E2" w:rsidP="00CC2838">
                                  <w:pPr>
                                    <w:pStyle w:val="TableParagraph"/>
                                    <w:ind w:left="1354" w:hanging="645"/>
                                  </w:pPr>
                                  <w:r w:rsidRPr="00CC2838">
                                    <w:rPr>
                                      <w:w w:val="99"/>
                                    </w:rPr>
                                    <w:t>9</w:t>
                                  </w:r>
                                </w:p>
                              </w:tc>
                            </w:tr>
                            <w:tr w:rsidR="005342E2" w:rsidRPr="00360D35" w14:paraId="78BD0B6F" w14:textId="77777777" w:rsidTr="00CC2838">
                              <w:tc>
                                <w:tcPr>
                                  <w:tcW w:w="1597" w:type="dxa"/>
                                </w:tcPr>
                                <w:p w14:paraId="78BD0B6B" w14:textId="77777777" w:rsidR="005342E2" w:rsidRPr="00CC2838" w:rsidRDefault="005342E2" w:rsidP="00CC2838">
                                  <w:pPr>
                                    <w:pStyle w:val="TableParagraph"/>
                                    <w:ind w:left="182" w:right="397" w:hanging="182"/>
                                    <w:jc w:val="center"/>
                                  </w:pPr>
                                  <w:r w:rsidRPr="00CC2838">
                                    <w:t>95</w:t>
                                  </w:r>
                                </w:p>
                              </w:tc>
                              <w:tc>
                                <w:tcPr>
                                  <w:tcW w:w="1439" w:type="dxa"/>
                                </w:tcPr>
                                <w:p w14:paraId="78BD0B6C" w14:textId="77777777" w:rsidR="005342E2" w:rsidRPr="00CC2838" w:rsidRDefault="005342E2" w:rsidP="00CC2838">
                                  <w:pPr>
                                    <w:pStyle w:val="TableParagraph"/>
                                    <w:ind w:left="556" w:hanging="182"/>
                                  </w:pPr>
                                  <w:r w:rsidRPr="00CC2838">
                                    <w:t>2850</w:t>
                                  </w:r>
                                </w:p>
                              </w:tc>
                              <w:tc>
                                <w:tcPr>
                                  <w:tcW w:w="1642" w:type="dxa"/>
                                </w:tcPr>
                                <w:p w14:paraId="78BD0B6D" w14:textId="77777777" w:rsidR="005342E2" w:rsidRPr="00CC2838" w:rsidRDefault="005342E2" w:rsidP="00CC2838">
                                  <w:pPr>
                                    <w:pStyle w:val="TableParagraph"/>
                                    <w:ind w:left="792" w:hanging="284"/>
                                  </w:pPr>
                                  <w:r w:rsidRPr="00CC2838">
                                    <w:t>28</w:t>
                                  </w:r>
                                  <w:r>
                                    <w:t>,</w:t>
                                  </w:r>
                                  <w:r w:rsidRPr="00CC2838">
                                    <w:t>5</w:t>
                                  </w:r>
                                </w:p>
                              </w:tc>
                              <w:tc>
                                <w:tcPr>
                                  <w:tcW w:w="4536" w:type="dxa"/>
                                </w:tcPr>
                                <w:p w14:paraId="78BD0B6E" w14:textId="77777777" w:rsidR="005342E2" w:rsidRPr="00CC2838" w:rsidRDefault="005342E2" w:rsidP="00CC2838">
                                  <w:pPr>
                                    <w:pStyle w:val="TableParagraph"/>
                                    <w:ind w:left="1354" w:hanging="645"/>
                                  </w:pPr>
                                  <w:r w:rsidRPr="00CC2838">
                                    <w:t>9</w:t>
                                  </w:r>
                                  <w:r>
                                    <w:t>,</w:t>
                                  </w:r>
                                  <w:r w:rsidRPr="00CC2838">
                                    <w:t>5</w:t>
                                  </w:r>
                                </w:p>
                              </w:tc>
                            </w:tr>
                            <w:tr w:rsidR="005342E2" w:rsidRPr="00360D35" w14:paraId="78BD0B74" w14:textId="77777777" w:rsidTr="00CC2838">
                              <w:tc>
                                <w:tcPr>
                                  <w:tcW w:w="1597" w:type="dxa"/>
                                </w:tcPr>
                                <w:p w14:paraId="78BD0B70" w14:textId="77777777" w:rsidR="005342E2" w:rsidRPr="00CC2838" w:rsidRDefault="005342E2" w:rsidP="00CC2838">
                                  <w:pPr>
                                    <w:pStyle w:val="TableParagraph"/>
                                    <w:ind w:left="182" w:right="397" w:hanging="182"/>
                                    <w:jc w:val="center"/>
                                  </w:pPr>
                                  <w:r w:rsidRPr="00CC2838">
                                    <w:t>100</w:t>
                                  </w:r>
                                </w:p>
                              </w:tc>
                              <w:tc>
                                <w:tcPr>
                                  <w:tcW w:w="1439" w:type="dxa"/>
                                </w:tcPr>
                                <w:p w14:paraId="78BD0B71" w14:textId="77777777" w:rsidR="005342E2" w:rsidRPr="00CC2838" w:rsidRDefault="005342E2" w:rsidP="00CC2838">
                                  <w:pPr>
                                    <w:pStyle w:val="TableParagraph"/>
                                    <w:ind w:left="556" w:hanging="182"/>
                                  </w:pPr>
                                  <w:r w:rsidRPr="00CC2838">
                                    <w:t>3000</w:t>
                                  </w:r>
                                </w:p>
                              </w:tc>
                              <w:tc>
                                <w:tcPr>
                                  <w:tcW w:w="1642" w:type="dxa"/>
                                </w:tcPr>
                                <w:p w14:paraId="78BD0B72" w14:textId="77777777" w:rsidR="005342E2" w:rsidRPr="00CC2838" w:rsidRDefault="005342E2" w:rsidP="00CC2838">
                                  <w:pPr>
                                    <w:pStyle w:val="TableParagraph"/>
                                    <w:ind w:left="792" w:hanging="284"/>
                                  </w:pPr>
                                  <w:r w:rsidRPr="00CC2838">
                                    <w:t>30</w:t>
                                  </w:r>
                                </w:p>
                              </w:tc>
                              <w:tc>
                                <w:tcPr>
                                  <w:tcW w:w="4536" w:type="dxa"/>
                                </w:tcPr>
                                <w:p w14:paraId="78BD0B73" w14:textId="77777777" w:rsidR="005342E2" w:rsidRPr="00CC2838" w:rsidRDefault="005342E2" w:rsidP="00CC2838">
                                  <w:pPr>
                                    <w:pStyle w:val="TableParagraph"/>
                                    <w:ind w:left="1354" w:hanging="645"/>
                                  </w:pPr>
                                  <w:r w:rsidRPr="00CC2838">
                                    <w:t>10</w:t>
                                  </w:r>
                                </w:p>
                              </w:tc>
                            </w:tr>
                            <w:tr w:rsidR="005342E2" w:rsidRPr="00360D35" w14:paraId="78BD0B79" w14:textId="77777777" w:rsidTr="00CC2838">
                              <w:tc>
                                <w:tcPr>
                                  <w:tcW w:w="1597" w:type="dxa"/>
                                </w:tcPr>
                                <w:p w14:paraId="78BD0B75" w14:textId="77777777" w:rsidR="005342E2" w:rsidRPr="00CC2838" w:rsidRDefault="005342E2" w:rsidP="00CC2838">
                                  <w:pPr>
                                    <w:pStyle w:val="TableParagraph"/>
                                    <w:ind w:left="182" w:right="397" w:hanging="182"/>
                                    <w:jc w:val="center"/>
                                  </w:pPr>
                                  <w:r w:rsidRPr="00CC2838">
                                    <w:t>105</w:t>
                                  </w:r>
                                </w:p>
                              </w:tc>
                              <w:tc>
                                <w:tcPr>
                                  <w:tcW w:w="1439" w:type="dxa"/>
                                </w:tcPr>
                                <w:p w14:paraId="78BD0B76" w14:textId="77777777" w:rsidR="005342E2" w:rsidRPr="00CC2838" w:rsidRDefault="005342E2" w:rsidP="00CC2838">
                                  <w:pPr>
                                    <w:pStyle w:val="TableParagraph"/>
                                    <w:ind w:left="556" w:hanging="182"/>
                                  </w:pPr>
                                  <w:r w:rsidRPr="00CC2838">
                                    <w:t>3150</w:t>
                                  </w:r>
                                </w:p>
                              </w:tc>
                              <w:tc>
                                <w:tcPr>
                                  <w:tcW w:w="1642" w:type="dxa"/>
                                </w:tcPr>
                                <w:p w14:paraId="78BD0B77" w14:textId="77777777" w:rsidR="005342E2" w:rsidRPr="00CC2838" w:rsidRDefault="005342E2" w:rsidP="00CC2838">
                                  <w:pPr>
                                    <w:pStyle w:val="TableParagraph"/>
                                    <w:ind w:left="792" w:hanging="284"/>
                                  </w:pPr>
                                  <w:r w:rsidRPr="00CC2838">
                                    <w:t>31</w:t>
                                  </w:r>
                                  <w:r>
                                    <w:t>,</w:t>
                                  </w:r>
                                  <w:r w:rsidRPr="00CC2838">
                                    <w:t>5</w:t>
                                  </w:r>
                                </w:p>
                              </w:tc>
                              <w:tc>
                                <w:tcPr>
                                  <w:tcW w:w="4536" w:type="dxa"/>
                                </w:tcPr>
                                <w:p w14:paraId="78BD0B78" w14:textId="77777777" w:rsidR="005342E2" w:rsidRPr="00CC2838" w:rsidRDefault="005342E2" w:rsidP="00CC2838">
                                  <w:pPr>
                                    <w:pStyle w:val="TableParagraph"/>
                                    <w:ind w:left="1354" w:hanging="645"/>
                                  </w:pPr>
                                  <w:r w:rsidRPr="00CC2838">
                                    <w:t>10</w:t>
                                  </w:r>
                                  <w:r>
                                    <w:t>,</w:t>
                                  </w:r>
                                  <w:r w:rsidRPr="00CC2838">
                                    <w:t>5</w:t>
                                  </w:r>
                                </w:p>
                              </w:tc>
                            </w:tr>
                            <w:tr w:rsidR="005342E2" w:rsidRPr="00360D35" w14:paraId="78BD0B7E" w14:textId="77777777" w:rsidTr="00CC2838">
                              <w:tc>
                                <w:tcPr>
                                  <w:tcW w:w="1597" w:type="dxa"/>
                                </w:tcPr>
                                <w:p w14:paraId="78BD0B7A" w14:textId="77777777" w:rsidR="005342E2" w:rsidRPr="00CC2838" w:rsidRDefault="005342E2" w:rsidP="00CC2838">
                                  <w:pPr>
                                    <w:pStyle w:val="TableParagraph"/>
                                    <w:ind w:left="182" w:right="397" w:hanging="182"/>
                                    <w:jc w:val="center"/>
                                  </w:pPr>
                                  <w:r w:rsidRPr="00CC2838">
                                    <w:t>110</w:t>
                                  </w:r>
                                </w:p>
                              </w:tc>
                              <w:tc>
                                <w:tcPr>
                                  <w:tcW w:w="1439" w:type="dxa"/>
                                </w:tcPr>
                                <w:p w14:paraId="78BD0B7B" w14:textId="77777777" w:rsidR="005342E2" w:rsidRPr="00CC2838" w:rsidRDefault="005342E2" w:rsidP="00CC2838">
                                  <w:pPr>
                                    <w:pStyle w:val="TableParagraph"/>
                                    <w:ind w:left="556" w:hanging="182"/>
                                  </w:pPr>
                                  <w:r w:rsidRPr="00CC2838">
                                    <w:t>3300</w:t>
                                  </w:r>
                                </w:p>
                              </w:tc>
                              <w:tc>
                                <w:tcPr>
                                  <w:tcW w:w="1642" w:type="dxa"/>
                                </w:tcPr>
                                <w:p w14:paraId="78BD0B7C" w14:textId="77777777" w:rsidR="005342E2" w:rsidRPr="00CC2838" w:rsidRDefault="005342E2" w:rsidP="00CC2838">
                                  <w:pPr>
                                    <w:pStyle w:val="TableParagraph"/>
                                    <w:ind w:left="792" w:hanging="284"/>
                                  </w:pPr>
                                  <w:r w:rsidRPr="00CC2838">
                                    <w:t>33</w:t>
                                  </w:r>
                                </w:p>
                              </w:tc>
                              <w:tc>
                                <w:tcPr>
                                  <w:tcW w:w="4536" w:type="dxa"/>
                                </w:tcPr>
                                <w:p w14:paraId="78BD0B7D" w14:textId="77777777" w:rsidR="005342E2" w:rsidRPr="00CC2838" w:rsidRDefault="005342E2" w:rsidP="00CC2838">
                                  <w:pPr>
                                    <w:pStyle w:val="TableParagraph"/>
                                    <w:ind w:left="1354" w:hanging="645"/>
                                  </w:pPr>
                                  <w:r w:rsidRPr="00CC2838">
                                    <w:t>11</w:t>
                                  </w:r>
                                </w:p>
                              </w:tc>
                            </w:tr>
                            <w:tr w:rsidR="005342E2" w:rsidRPr="00360D35" w14:paraId="78BD0B83" w14:textId="77777777" w:rsidTr="00CC2838">
                              <w:tc>
                                <w:tcPr>
                                  <w:tcW w:w="1597" w:type="dxa"/>
                                </w:tcPr>
                                <w:p w14:paraId="78BD0B7F" w14:textId="77777777" w:rsidR="005342E2" w:rsidRPr="00CC2838" w:rsidRDefault="005342E2" w:rsidP="00CC2838">
                                  <w:pPr>
                                    <w:pStyle w:val="TableParagraph"/>
                                    <w:ind w:left="182" w:right="397" w:hanging="182"/>
                                    <w:jc w:val="center"/>
                                  </w:pPr>
                                  <w:r w:rsidRPr="00CC2838">
                                    <w:t>115</w:t>
                                  </w:r>
                                </w:p>
                              </w:tc>
                              <w:tc>
                                <w:tcPr>
                                  <w:tcW w:w="1439" w:type="dxa"/>
                                </w:tcPr>
                                <w:p w14:paraId="78BD0B80" w14:textId="77777777" w:rsidR="005342E2" w:rsidRPr="00CC2838" w:rsidRDefault="005342E2" w:rsidP="00CC2838">
                                  <w:pPr>
                                    <w:pStyle w:val="TableParagraph"/>
                                    <w:ind w:left="556" w:hanging="182"/>
                                  </w:pPr>
                                  <w:r w:rsidRPr="00CC2838">
                                    <w:t>3450</w:t>
                                  </w:r>
                                </w:p>
                              </w:tc>
                              <w:tc>
                                <w:tcPr>
                                  <w:tcW w:w="1642" w:type="dxa"/>
                                </w:tcPr>
                                <w:p w14:paraId="78BD0B81" w14:textId="77777777" w:rsidR="005342E2" w:rsidRPr="00CC2838" w:rsidRDefault="005342E2" w:rsidP="00CC2838">
                                  <w:pPr>
                                    <w:pStyle w:val="TableParagraph"/>
                                    <w:ind w:left="792" w:hanging="284"/>
                                  </w:pPr>
                                  <w:r w:rsidRPr="00CC2838">
                                    <w:t>34</w:t>
                                  </w:r>
                                  <w:r>
                                    <w:t>,</w:t>
                                  </w:r>
                                  <w:r w:rsidRPr="00CC2838">
                                    <w:t>5</w:t>
                                  </w:r>
                                </w:p>
                              </w:tc>
                              <w:tc>
                                <w:tcPr>
                                  <w:tcW w:w="4536" w:type="dxa"/>
                                </w:tcPr>
                                <w:p w14:paraId="78BD0B82" w14:textId="77777777" w:rsidR="005342E2" w:rsidRPr="00CC2838" w:rsidRDefault="005342E2" w:rsidP="00CC2838">
                                  <w:pPr>
                                    <w:pStyle w:val="TableParagraph"/>
                                    <w:ind w:left="1354" w:hanging="645"/>
                                  </w:pPr>
                                  <w:r w:rsidRPr="00CC2838">
                                    <w:t>11</w:t>
                                  </w:r>
                                  <w:r>
                                    <w:t>,</w:t>
                                  </w:r>
                                  <w:r w:rsidRPr="00CC2838">
                                    <w:t>5</w:t>
                                  </w:r>
                                </w:p>
                              </w:tc>
                            </w:tr>
                            <w:tr w:rsidR="005342E2" w:rsidRPr="00360D35" w14:paraId="78BD0B88" w14:textId="77777777" w:rsidTr="00CC2838">
                              <w:tc>
                                <w:tcPr>
                                  <w:tcW w:w="1597" w:type="dxa"/>
                                </w:tcPr>
                                <w:p w14:paraId="78BD0B84" w14:textId="77777777" w:rsidR="005342E2" w:rsidRPr="00CC2838" w:rsidRDefault="005342E2" w:rsidP="00CC2838">
                                  <w:pPr>
                                    <w:pStyle w:val="TableParagraph"/>
                                    <w:ind w:left="182" w:right="397" w:hanging="182"/>
                                    <w:jc w:val="center"/>
                                  </w:pPr>
                                  <w:r w:rsidRPr="00CC2838">
                                    <w:t>120</w:t>
                                  </w:r>
                                </w:p>
                              </w:tc>
                              <w:tc>
                                <w:tcPr>
                                  <w:tcW w:w="1439" w:type="dxa"/>
                                </w:tcPr>
                                <w:p w14:paraId="78BD0B85" w14:textId="77777777" w:rsidR="005342E2" w:rsidRPr="00CC2838" w:rsidRDefault="005342E2" w:rsidP="00CC2838">
                                  <w:pPr>
                                    <w:pStyle w:val="TableParagraph"/>
                                    <w:ind w:left="556" w:hanging="182"/>
                                  </w:pPr>
                                  <w:r w:rsidRPr="00CC2838">
                                    <w:t>3600</w:t>
                                  </w:r>
                                </w:p>
                              </w:tc>
                              <w:tc>
                                <w:tcPr>
                                  <w:tcW w:w="1642" w:type="dxa"/>
                                </w:tcPr>
                                <w:p w14:paraId="78BD0B86" w14:textId="77777777" w:rsidR="005342E2" w:rsidRPr="00CC2838" w:rsidRDefault="005342E2" w:rsidP="00CC2838">
                                  <w:pPr>
                                    <w:pStyle w:val="TableParagraph"/>
                                    <w:ind w:left="792" w:hanging="284"/>
                                  </w:pPr>
                                  <w:r w:rsidRPr="00CC2838">
                                    <w:t>36</w:t>
                                  </w:r>
                                </w:p>
                              </w:tc>
                              <w:tc>
                                <w:tcPr>
                                  <w:tcW w:w="4536" w:type="dxa"/>
                                </w:tcPr>
                                <w:p w14:paraId="78BD0B87" w14:textId="77777777" w:rsidR="005342E2" w:rsidRPr="00CC2838" w:rsidRDefault="005342E2" w:rsidP="00CC2838">
                                  <w:pPr>
                                    <w:pStyle w:val="TableParagraph"/>
                                    <w:ind w:left="1354" w:hanging="645"/>
                                  </w:pPr>
                                  <w:r w:rsidRPr="00CC2838">
                                    <w:t>12</w:t>
                                  </w:r>
                                </w:p>
                              </w:tc>
                            </w:tr>
                            <w:tr w:rsidR="005342E2" w:rsidRPr="00360D35" w14:paraId="78BD0B8D" w14:textId="77777777" w:rsidTr="00CC2838">
                              <w:tc>
                                <w:tcPr>
                                  <w:tcW w:w="1597" w:type="dxa"/>
                                </w:tcPr>
                                <w:p w14:paraId="78BD0B89" w14:textId="77777777" w:rsidR="005342E2" w:rsidRPr="00CC2838" w:rsidRDefault="005342E2" w:rsidP="00CC2838">
                                  <w:pPr>
                                    <w:pStyle w:val="TableParagraph"/>
                                    <w:ind w:left="182" w:right="397" w:hanging="182"/>
                                    <w:jc w:val="center"/>
                                  </w:pPr>
                                  <w:r w:rsidRPr="00CC2838">
                                    <w:t>125</w:t>
                                  </w:r>
                                </w:p>
                              </w:tc>
                              <w:tc>
                                <w:tcPr>
                                  <w:tcW w:w="1439" w:type="dxa"/>
                                </w:tcPr>
                                <w:p w14:paraId="78BD0B8A" w14:textId="77777777" w:rsidR="005342E2" w:rsidRPr="00CC2838" w:rsidRDefault="005342E2" w:rsidP="00CC2838">
                                  <w:pPr>
                                    <w:pStyle w:val="TableParagraph"/>
                                    <w:ind w:left="556" w:hanging="182"/>
                                  </w:pPr>
                                  <w:r w:rsidRPr="00CC2838">
                                    <w:t>3750</w:t>
                                  </w:r>
                                </w:p>
                              </w:tc>
                              <w:tc>
                                <w:tcPr>
                                  <w:tcW w:w="1642" w:type="dxa"/>
                                </w:tcPr>
                                <w:p w14:paraId="78BD0B8B" w14:textId="77777777" w:rsidR="005342E2" w:rsidRPr="00CC2838" w:rsidRDefault="005342E2" w:rsidP="00CC2838">
                                  <w:pPr>
                                    <w:pStyle w:val="TableParagraph"/>
                                    <w:ind w:left="792" w:hanging="284"/>
                                  </w:pPr>
                                  <w:r w:rsidRPr="00CC2838">
                                    <w:t>37</w:t>
                                  </w:r>
                                  <w:r>
                                    <w:t>,</w:t>
                                  </w:r>
                                  <w:r w:rsidRPr="00CC2838">
                                    <w:t>5</w:t>
                                  </w:r>
                                </w:p>
                              </w:tc>
                              <w:tc>
                                <w:tcPr>
                                  <w:tcW w:w="4536" w:type="dxa"/>
                                </w:tcPr>
                                <w:p w14:paraId="78BD0B8C" w14:textId="77777777" w:rsidR="005342E2" w:rsidRPr="00CC2838" w:rsidRDefault="005342E2" w:rsidP="00CC2838">
                                  <w:pPr>
                                    <w:pStyle w:val="TableParagraph"/>
                                    <w:ind w:left="1354" w:hanging="645"/>
                                  </w:pPr>
                                  <w:r w:rsidRPr="00CC2838">
                                    <w:t>12</w:t>
                                  </w:r>
                                  <w:r>
                                    <w:t>,</w:t>
                                  </w:r>
                                  <w:r w:rsidRPr="00CC2838">
                                    <w:t>5</w:t>
                                  </w:r>
                                </w:p>
                              </w:tc>
                            </w:tr>
                            <w:tr w:rsidR="005342E2" w:rsidRPr="00360D35" w14:paraId="78BD0B92" w14:textId="77777777" w:rsidTr="00CC2838">
                              <w:tc>
                                <w:tcPr>
                                  <w:tcW w:w="1597" w:type="dxa"/>
                                </w:tcPr>
                                <w:p w14:paraId="78BD0B8E" w14:textId="77777777" w:rsidR="005342E2" w:rsidRPr="00CC2838" w:rsidRDefault="005342E2" w:rsidP="00CC2838">
                                  <w:pPr>
                                    <w:pStyle w:val="TableParagraph"/>
                                    <w:ind w:left="182" w:right="397" w:hanging="182"/>
                                    <w:jc w:val="center"/>
                                  </w:pPr>
                                  <w:r w:rsidRPr="00CC2838">
                                    <w:t>130</w:t>
                                  </w:r>
                                </w:p>
                              </w:tc>
                              <w:tc>
                                <w:tcPr>
                                  <w:tcW w:w="1439" w:type="dxa"/>
                                </w:tcPr>
                                <w:p w14:paraId="78BD0B8F" w14:textId="77777777" w:rsidR="005342E2" w:rsidRPr="00CC2838" w:rsidRDefault="005342E2" w:rsidP="00CC2838">
                                  <w:pPr>
                                    <w:pStyle w:val="TableParagraph"/>
                                    <w:ind w:left="556" w:hanging="182"/>
                                  </w:pPr>
                                  <w:r w:rsidRPr="00CC2838">
                                    <w:t>3900</w:t>
                                  </w:r>
                                </w:p>
                              </w:tc>
                              <w:tc>
                                <w:tcPr>
                                  <w:tcW w:w="1642" w:type="dxa"/>
                                </w:tcPr>
                                <w:p w14:paraId="78BD0B90" w14:textId="77777777" w:rsidR="005342E2" w:rsidRPr="00CC2838" w:rsidRDefault="005342E2" w:rsidP="00CC2838">
                                  <w:pPr>
                                    <w:pStyle w:val="TableParagraph"/>
                                    <w:ind w:left="792" w:hanging="284"/>
                                  </w:pPr>
                                  <w:r w:rsidRPr="00CC2838">
                                    <w:t>39</w:t>
                                  </w:r>
                                </w:p>
                              </w:tc>
                              <w:tc>
                                <w:tcPr>
                                  <w:tcW w:w="4536" w:type="dxa"/>
                                </w:tcPr>
                                <w:p w14:paraId="78BD0B91" w14:textId="77777777" w:rsidR="005342E2" w:rsidRPr="00CC2838" w:rsidRDefault="005342E2" w:rsidP="00CC2838">
                                  <w:pPr>
                                    <w:pStyle w:val="TableParagraph"/>
                                    <w:ind w:left="1354" w:hanging="645"/>
                                  </w:pPr>
                                  <w:r w:rsidRPr="00CC2838">
                                    <w:t>13</w:t>
                                  </w:r>
                                </w:p>
                              </w:tc>
                            </w:tr>
                            <w:tr w:rsidR="005342E2" w:rsidRPr="00360D35" w14:paraId="78BD0B97" w14:textId="77777777" w:rsidTr="00CC2838">
                              <w:tc>
                                <w:tcPr>
                                  <w:tcW w:w="1597" w:type="dxa"/>
                                </w:tcPr>
                                <w:p w14:paraId="78BD0B93" w14:textId="77777777" w:rsidR="005342E2" w:rsidRPr="00CC2838" w:rsidRDefault="005342E2" w:rsidP="00CC2838">
                                  <w:pPr>
                                    <w:pStyle w:val="TableParagraph"/>
                                    <w:ind w:left="182" w:right="397" w:hanging="182"/>
                                    <w:jc w:val="center"/>
                                  </w:pPr>
                                  <w:r w:rsidRPr="00CC2838">
                                    <w:t>135</w:t>
                                  </w:r>
                                </w:p>
                              </w:tc>
                              <w:tc>
                                <w:tcPr>
                                  <w:tcW w:w="1439" w:type="dxa"/>
                                </w:tcPr>
                                <w:p w14:paraId="78BD0B94" w14:textId="77777777" w:rsidR="005342E2" w:rsidRPr="00CC2838" w:rsidRDefault="005342E2" w:rsidP="00CC2838">
                                  <w:pPr>
                                    <w:pStyle w:val="TableParagraph"/>
                                    <w:ind w:left="556" w:hanging="182"/>
                                  </w:pPr>
                                  <w:r w:rsidRPr="00CC2838">
                                    <w:t>4050</w:t>
                                  </w:r>
                                </w:p>
                              </w:tc>
                              <w:tc>
                                <w:tcPr>
                                  <w:tcW w:w="1642" w:type="dxa"/>
                                </w:tcPr>
                                <w:p w14:paraId="78BD0B95" w14:textId="77777777" w:rsidR="005342E2" w:rsidRPr="00CC2838" w:rsidRDefault="005342E2" w:rsidP="00CC2838">
                                  <w:pPr>
                                    <w:pStyle w:val="TableParagraph"/>
                                    <w:ind w:left="792" w:hanging="284"/>
                                  </w:pPr>
                                  <w:r w:rsidRPr="00CC2838">
                                    <w:t>40</w:t>
                                  </w:r>
                                  <w:r>
                                    <w:t>,</w:t>
                                  </w:r>
                                  <w:r w:rsidRPr="00CC2838">
                                    <w:t>5</w:t>
                                  </w:r>
                                </w:p>
                              </w:tc>
                              <w:tc>
                                <w:tcPr>
                                  <w:tcW w:w="4536" w:type="dxa"/>
                                </w:tcPr>
                                <w:p w14:paraId="78BD0B96" w14:textId="77777777" w:rsidR="005342E2" w:rsidRPr="00CC2838" w:rsidRDefault="005342E2" w:rsidP="00CC2838">
                                  <w:pPr>
                                    <w:pStyle w:val="TableParagraph"/>
                                    <w:ind w:left="1354" w:hanging="645"/>
                                  </w:pPr>
                                  <w:r w:rsidRPr="00CC2838">
                                    <w:t>13</w:t>
                                  </w:r>
                                  <w:r>
                                    <w:t>,</w:t>
                                  </w:r>
                                  <w:r w:rsidRPr="00CC2838">
                                    <w:t>5</w:t>
                                  </w:r>
                                </w:p>
                              </w:tc>
                            </w:tr>
                            <w:tr w:rsidR="005342E2" w:rsidRPr="00360D35" w14:paraId="78BD0B9C" w14:textId="77777777" w:rsidTr="00CC2838">
                              <w:tc>
                                <w:tcPr>
                                  <w:tcW w:w="1597" w:type="dxa"/>
                                </w:tcPr>
                                <w:p w14:paraId="78BD0B98" w14:textId="77777777" w:rsidR="005342E2" w:rsidRPr="00CC2838" w:rsidRDefault="005342E2" w:rsidP="00CC2838">
                                  <w:pPr>
                                    <w:pStyle w:val="TableParagraph"/>
                                    <w:ind w:left="182" w:right="397" w:hanging="182"/>
                                    <w:jc w:val="center"/>
                                  </w:pPr>
                                  <w:r w:rsidRPr="00CC2838">
                                    <w:t>140</w:t>
                                  </w:r>
                                </w:p>
                              </w:tc>
                              <w:tc>
                                <w:tcPr>
                                  <w:tcW w:w="1439" w:type="dxa"/>
                                </w:tcPr>
                                <w:p w14:paraId="78BD0B99" w14:textId="77777777" w:rsidR="005342E2" w:rsidRPr="00CC2838" w:rsidRDefault="005342E2" w:rsidP="00CC2838">
                                  <w:pPr>
                                    <w:pStyle w:val="TableParagraph"/>
                                    <w:ind w:left="556" w:hanging="182"/>
                                  </w:pPr>
                                  <w:r w:rsidRPr="00CC2838">
                                    <w:t>4200</w:t>
                                  </w:r>
                                </w:p>
                              </w:tc>
                              <w:tc>
                                <w:tcPr>
                                  <w:tcW w:w="1642" w:type="dxa"/>
                                </w:tcPr>
                                <w:p w14:paraId="78BD0B9A" w14:textId="77777777" w:rsidR="005342E2" w:rsidRPr="00CC2838" w:rsidRDefault="005342E2" w:rsidP="00CC2838">
                                  <w:pPr>
                                    <w:pStyle w:val="TableParagraph"/>
                                    <w:ind w:left="792" w:hanging="284"/>
                                  </w:pPr>
                                  <w:r w:rsidRPr="00CC2838">
                                    <w:t>42</w:t>
                                  </w:r>
                                </w:p>
                              </w:tc>
                              <w:tc>
                                <w:tcPr>
                                  <w:tcW w:w="4536" w:type="dxa"/>
                                </w:tcPr>
                                <w:p w14:paraId="78BD0B9B" w14:textId="77777777" w:rsidR="005342E2" w:rsidRPr="00CC2838" w:rsidRDefault="005342E2" w:rsidP="00CC2838">
                                  <w:pPr>
                                    <w:pStyle w:val="TableParagraph"/>
                                    <w:ind w:left="1354" w:hanging="645"/>
                                  </w:pPr>
                                  <w:r w:rsidRPr="00CC2838">
                                    <w:t>14</w:t>
                                  </w:r>
                                </w:p>
                              </w:tc>
                            </w:tr>
                            <w:tr w:rsidR="005342E2" w:rsidRPr="00360D35" w14:paraId="78BD0BA1" w14:textId="77777777" w:rsidTr="00CC2838">
                              <w:tc>
                                <w:tcPr>
                                  <w:tcW w:w="1597" w:type="dxa"/>
                                </w:tcPr>
                                <w:p w14:paraId="78BD0B9D" w14:textId="77777777" w:rsidR="005342E2" w:rsidRPr="00CC2838" w:rsidRDefault="005342E2" w:rsidP="00CC2838">
                                  <w:pPr>
                                    <w:pStyle w:val="TableParagraph"/>
                                    <w:ind w:left="182" w:right="397" w:hanging="182"/>
                                    <w:jc w:val="center"/>
                                  </w:pPr>
                                  <w:r w:rsidRPr="00CC2838">
                                    <w:t>145</w:t>
                                  </w:r>
                                </w:p>
                              </w:tc>
                              <w:tc>
                                <w:tcPr>
                                  <w:tcW w:w="1439" w:type="dxa"/>
                                </w:tcPr>
                                <w:p w14:paraId="78BD0B9E" w14:textId="77777777" w:rsidR="005342E2" w:rsidRPr="00CC2838" w:rsidRDefault="005342E2" w:rsidP="00CC2838">
                                  <w:pPr>
                                    <w:pStyle w:val="TableParagraph"/>
                                    <w:ind w:left="556" w:hanging="182"/>
                                  </w:pPr>
                                  <w:r w:rsidRPr="00CC2838">
                                    <w:t>4350</w:t>
                                  </w:r>
                                </w:p>
                              </w:tc>
                              <w:tc>
                                <w:tcPr>
                                  <w:tcW w:w="1642" w:type="dxa"/>
                                </w:tcPr>
                                <w:p w14:paraId="78BD0B9F" w14:textId="77777777" w:rsidR="005342E2" w:rsidRPr="00CC2838" w:rsidRDefault="005342E2" w:rsidP="00CC2838">
                                  <w:pPr>
                                    <w:pStyle w:val="TableParagraph"/>
                                    <w:ind w:left="792" w:hanging="284"/>
                                  </w:pPr>
                                  <w:r w:rsidRPr="00CC2838">
                                    <w:t>43</w:t>
                                  </w:r>
                                  <w:r>
                                    <w:t>,</w:t>
                                  </w:r>
                                  <w:r w:rsidRPr="00CC2838">
                                    <w:t>5</w:t>
                                  </w:r>
                                </w:p>
                              </w:tc>
                              <w:tc>
                                <w:tcPr>
                                  <w:tcW w:w="4536" w:type="dxa"/>
                                </w:tcPr>
                                <w:p w14:paraId="78BD0BA0" w14:textId="77777777" w:rsidR="005342E2" w:rsidRPr="00CC2838" w:rsidRDefault="005342E2" w:rsidP="00CC2838">
                                  <w:pPr>
                                    <w:pStyle w:val="TableParagraph"/>
                                    <w:ind w:left="1354" w:hanging="645"/>
                                  </w:pPr>
                                  <w:r w:rsidRPr="00CC2838">
                                    <w:t>14</w:t>
                                  </w:r>
                                  <w:r>
                                    <w:t>,</w:t>
                                  </w:r>
                                  <w:r w:rsidRPr="00CC2838">
                                    <w:t>5</w:t>
                                  </w:r>
                                </w:p>
                              </w:tc>
                            </w:tr>
                            <w:tr w:rsidR="005342E2" w:rsidRPr="00360D35" w14:paraId="78BD0BA6" w14:textId="77777777" w:rsidTr="00CC2838">
                              <w:tc>
                                <w:tcPr>
                                  <w:tcW w:w="1597" w:type="dxa"/>
                                </w:tcPr>
                                <w:p w14:paraId="78BD0BA2" w14:textId="77777777" w:rsidR="005342E2" w:rsidRPr="00CC2838" w:rsidRDefault="005342E2" w:rsidP="00CC2838">
                                  <w:pPr>
                                    <w:pStyle w:val="TableParagraph"/>
                                    <w:ind w:left="182" w:right="397" w:hanging="182"/>
                                    <w:jc w:val="center"/>
                                  </w:pPr>
                                  <w:r w:rsidRPr="00CC2838">
                                    <w:t>150</w:t>
                                  </w:r>
                                </w:p>
                              </w:tc>
                              <w:tc>
                                <w:tcPr>
                                  <w:tcW w:w="1439" w:type="dxa"/>
                                </w:tcPr>
                                <w:p w14:paraId="78BD0BA3" w14:textId="77777777" w:rsidR="005342E2" w:rsidRPr="00CC2838" w:rsidRDefault="005342E2" w:rsidP="00CC2838">
                                  <w:pPr>
                                    <w:pStyle w:val="TableParagraph"/>
                                    <w:ind w:left="556" w:hanging="182"/>
                                  </w:pPr>
                                  <w:r w:rsidRPr="00CC2838">
                                    <w:t>4500</w:t>
                                  </w:r>
                                </w:p>
                              </w:tc>
                              <w:tc>
                                <w:tcPr>
                                  <w:tcW w:w="1642" w:type="dxa"/>
                                </w:tcPr>
                                <w:p w14:paraId="78BD0BA4" w14:textId="77777777" w:rsidR="005342E2" w:rsidRPr="00CC2838" w:rsidRDefault="005342E2" w:rsidP="00CC2838">
                                  <w:pPr>
                                    <w:pStyle w:val="TableParagraph"/>
                                    <w:ind w:left="792" w:hanging="284"/>
                                  </w:pPr>
                                  <w:r w:rsidRPr="00CC2838">
                                    <w:t>45</w:t>
                                  </w:r>
                                </w:p>
                              </w:tc>
                              <w:tc>
                                <w:tcPr>
                                  <w:tcW w:w="4536" w:type="dxa"/>
                                </w:tcPr>
                                <w:p w14:paraId="78BD0BA5" w14:textId="77777777" w:rsidR="005342E2" w:rsidRPr="00CC2838" w:rsidRDefault="005342E2" w:rsidP="00CC2838">
                                  <w:pPr>
                                    <w:pStyle w:val="TableParagraph"/>
                                    <w:ind w:left="1354" w:hanging="645"/>
                                  </w:pPr>
                                  <w:r w:rsidRPr="00CC2838">
                                    <w:t>15</w:t>
                                  </w:r>
                                </w:p>
                              </w:tc>
                            </w:tr>
                          </w:tbl>
                          <w:p w14:paraId="78BD0BA7" w14:textId="77777777" w:rsidR="005342E2" w:rsidRDefault="005342E2" w:rsidP="0039112B">
                            <w:pPr>
                              <w:pStyle w:val="Szvegtrzs"/>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BD0B1F" id="_x0000_t202" coordsize="21600,21600" o:spt="202" path="m,l,21600r21600,l21600,xe">
                <v:stroke joinstyle="miter"/>
                <v:path gradientshapeok="t" o:connecttype="rect"/>
              </v:shapetype>
              <v:shape id="Text Box 185" o:spid="_x0000_s1026" type="#_x0000_t202" style="position:absolute;margin-left:.35pt;margin-top:30.55pt;width:458.25pt;height:3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QsgIAAK4FAAAOAAAAZHJzL2Uyb0RvYy54bWysVNuOmzAQfa/Uf7D8zgJZSAAtWSUhVJW2&#10;F2m3H+CACVbBprYT2K767x2bkOzlpWrLgzXY4zNnZo7n5nZoG3SkUjHBU+xfeRhRXoiS8X2Kvz3k&#10;ToSR0oSXpBGcpviRKny7fP/upu8SOhO1aEoqEYBwlfRdimutu8R1VVHTlqgr0VEOh5WQLdHwK/du&#10;KUkP6G3jzjxv7vZClp0UBVUKdrPxEC8tflXRQn+pKkU1alIM3LRdpV13ZnWXNyTZS9LVrDjRIH/B&#10;oiWMQ9AzVEY0QQfJ3kC1rJBCiUpfFaJ1RVWxgtocIBvfe5XNfU06anOB4qjuXCb1/2CLz8evErES&#10;ehdBqzhpoUkPdNBoLQbkR6GpUN+pBBzvO3DVAxyAt81WdXei+K4QF5ua8D1dSSn6mpISGPrmpvvs&#10;6oijDMiu/yRKCEQOWligoZKtKR8UBAE6dOrx3B1DpoDNMPLjxSLEqICzwLuO5p7tn0uS6Xonlf5A&#10;RYuMkWIJ7bfw5HintKFDksnFROMiZ01jJdDwFxvgOO5AcLhqzgwN29Gn2Iu30TYKnGA23zqBl2XO&#10;Kt8Ezjz3F2F2nW02mf/LxPWDpGZlSbkJM6nLD/6seyedj7o460uJhpUGzlBScr/bNBIdCag7t58t&#10;Opxc3NyXNGwRIJdXKfmzwFvPYiefRwsnyIPQiRde5Hh+vI7nXhAHWf4ypTvG6b+nhPoUx+EsHNV0&#10;If0qN89+b3MjScs0zI+GtSmOzk4kMRrc8tK2VhPWjPazUhj6l1JAu6dGW8UakY5y1cNuABQj450o&#10;H0G7UoCyQKAw9MCohfyJUQ8DJMXqx4FIilHzkYP+zbSZDDkZu8kgvICrKdYYjeZGj1Pp0Em2rwF5&#10;fGFcrOCNVMyq98Li9LJgKNgkTgPMTJ3n/9brMmaXvwEAAP//AwBQSwMEFAAGAAgAAAAhAN499Knb&#10;AAAABwEAAA8AAABkcnMvZG93bnJldi54bWxMjr1OwzAUhXekvoN1K7FRxx0SEuJUFYIJCZGmA6MT&#10;u4nV+DrEbhvenssE4/nROV+5W9zIrmYO1qMEsUmAGey8tthLODavD4/AQlSo1ejRSPg2AXbV6q5U&#10;hfY3rM31EHtGIxgKJWGIcSo4D91gnAobPxmk7ORnpyLJued6VjcadyPfJknKnbJID4OazPNguvPh&#10;4iTsP7F+sV/v7Ud9qm3T5Am+pWcp79fL/glYNEv8K8MvPqFDRUytv6AObJSQUU9CKgQwSnORbYG1&#10;ZOSZAF6V/D9/9QMAAP//AwBQSwECLQAUAAYACAAAACEAtoM4kv4AAADhAQAAEwAAAAAAAAAAAAAA&#10;AAAAAAAAW0NvbnRlbnRfVHlwZXNdLnhtbFBLAQItABQABgAIAAAAIQA4/SH/1gAAAJQBAAALAAAA&#10;AAAAAAAAAAAAAC8BAABfcmVscy8ucmVsc1BLAQItABQABgAIAAAAIQAq/VIQsgIAAK4FAAAOAAAA&#10;AAAAAAAAAAAAAC4CAABkcnMvZTJvRG9jLnhtbFBLAQItABQABgAIAAAAIQDePfSp2wAAAAcBAAAP&#10;AAAAAAAAAAAAAAAAAAwFAABkcnMvZG93bnJldi54bWxQSwUGAAAAAAQABADzAAAAFAYAAAAA&#10;" filled="f" stroked="f">
                <v:textbox inset="0,0,0,0">
                  <w:txbxContent>
                    <w:tbl>
                      <w:tblPr>
                        <w:tblW w:w="9214"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97"/>
                        <w:gridCol w:w="1439"/>
                        <w:gridCol w:w="1642"/>
                        <w:gridCol w:w="4536"/>
                      </w:tblGrid>
                      <w:tr w:rsidR="005342E2" w:rsidRPr="0089356E" w14:paraId="78BD0B33" w14:textId="77777777" w:rsidTr="00CC2838">
                        <w:tc>
                          <w:tcPr>
                            <w:tcW w:w="1597" w:type="dxa"/>
                          </w:tcPr>
                          <w:p w14:paraId="78BD0B30" w14:textId="77777777" w:rsidR="005342E2" w:rsidRPr="00167B86" w:rsidRDefault="005342E2" w:rsidP="00CC2838">
                            <w:pPr>
                              <w:pStyle w:val="TableParagraph"/>
                              <w:ind w:left="0" w:right="37"/>
                              <w:jc w:val="center"/>
                              <w:rPr>
                                <w:b/>
                              </w:rPr>
                            </w:pPr>
                            <w:r w:rsidRPr="00167B86">
                              <w:rPr>
                                <w:b/>
                              </w:rPr>
                              <w:t>Testtömeg</w:t>
                            </w:r>
                          </w:p>
                        </w:tc>
                        <w:tc>
                          <w:tcPr>
                            <w:tcW w:w="3081" w:type="dxa"/>
                            <w:gridSpan w:val="2"/>
                          </w:tcPr>
                          <w:p w14:paraId="78BD0B31" w14:textId="77777777" w:rsidR="005342E2" w:rsidRPr="00167B86" w:rsidRDefault="005342E2" w:rsidP="00CC2838">
                            <w:pPr>
                              <w:pStyle w:val="TableParagraph"/>
                              <w:ind w:left="0"/>
                              <w:jc w:val="center"/>
                              <w:rPr>
                                <w:b/>
                              </w:rPr>
                            </w:pPr>
                            <w:r w:rsidRPr="00167B86">
                              <w:rPr>
                                <w:b/>
                              </w:rPr>
                              <w:t>Szükséges adag 30 NE/kg (0,3</w:t>
                            </w:r>
                            <w:r>
                              <w:rPr>
                                <w:b/>
                              </w:rPr>
                              <w:t> </w:t>
                            </w:r>
                            <w:r w:rsidRPr="00167B86">
                              <w:rPr>
                                <w:b/>
                              </w:rPr>
                              <w:t>mg/kg)</w:t>
                            </w:r>
                          </w:p>
                        </w:tc>
                        <w:tc>
                          <w:tcPr>
                            <w:tcW w:w="4536" w:type="dxa"/>
                          </w:tcPr>
                          <w:p w14:paraId="78BD0B32" w14:textId="77777777" w:rsidR="005342E2" w:rsidRPr="00E41443" w:rsidRDefault="005342E2" w:rsidP="00CC2838">
                            <w:pPr>
                              <w:pStyle w:val="TableParagraph"/>
                              <w:ind w:left="0"/>
                              <w:jc w:val="center"/>
                              <w:rPr>
                                <w:b/>
                              </w:rPr>
                            </w:pPr>
                            <w:r w:rsidRPr="00E41443">
                              <w:rPr>
                                <w:b/>
                              </w:rPr>
                              <w:t>A végső 300 NE (3 mg/ml) koncentrációjú hígításból beadandó mennyiség</w:t>
                            </w:r>
                          </w:p>
                        </w:tc>
                      </w:tr>
                      <w:tr w:rsidR="005342E2" w:rsidRPr="00360D35" w14:paraId="78BD0B38" w14:textId="77777777" w:rsidTr="00CC2838">
                        <w:tc>
                          <w:tcPr>
                            <w:tcW w:w="1597" w:type="dxa"/>
                          </w:tcPr>
                          <w:p w14:paraId="78BD0B34" w14:textId="77777777" w:rsidR="005342E2" w:rsidRPr="00CC2838" w:rsidRDefault="005342E2" w:rsidP="00CC2838">
                            <w:pPr>
                              <w:pStyle w:val="TableParagraph"/>
                              <w:ind w:left="182" w:right="396" w:hanging="182"/>
                              <w:jc w:val="center"/>
                              <w:rPr>
                                <w:b/>
                              </w:rPr>
                            </w:pPr>
                            <w:r w:rsidRPr="00CC2838">
                              <w:rPr>
                                <w:b/>
                              </w:rPr>
                              <w:t>[</w:t>
                            </w:r>
                            <w:r>
                              <w:rPr>
                                <w:b/>
                              </w:rPr>
                              <w:t>k</w:t>
                            </w:r>
                            <w:r w:rsidRPr="00CC2838">
                              <w:rPr>
                                <w:b/>
                              </w:rPr>
                              <w:t>g]</w:t>
                            </w:r>
                          </w:p>
                        </w:tc>
                        <w:tc>
                          <w:tcPr>
                            <w:tcW w:w="1439" w:type="dxa"/>
                          </w:tcPr>
                          <w:p w14:paraId="78BD0B35" w14:textId="77777777" w:rsidR="005342E2" w:rsidRPr="00CC2838" w:rsidRDefault="005342E2" w:rsidP="00CC2838">
                            <w:pPr>
                              <w:pStyle w:val="TableParagraph"/>
                              <w:ind w:left="616" w:hanging="182"/>
                              <w:rPr>
                                <w:b/>
                              </w:rPr>
                            </w:pPr>
                            <w:r w:rsidRPr="00CC2838">
                              <w:rPr>
                                <w:b/>
                              </w:rPr>
                              <w:t>NE</w:t>
                            </w:r>
                          </w:p>
                        </w:tc>
                        <w:tc>
                          <w:tcPr>
                            <w:tcW w:w="1642" w:type="dxa"/>
                          </w:tcPr>
                          <w:p w14:paraId="78BD0B36" w14:textId="77777777" w:rsidR="005342E2" w:rsidRPr="00CC2838" w:rsidRDefault="005342E2" w:rsidP="00CC2838">
                            <w:pPr>
                              <w:pStyle w:val="TableParagraph"/>
                              <w:ind w:left="792" w:hanging="284"/>
                              <w:rPr>
                                <w:b/>
                              </w:rPr>
                            </w:pPr>
                            <w:r w:rsidRPr="00CC2838">
                              <w:rPr>
                                <w:b/>
                              </w:rPr>
                              <w:t>[mg]</w:t>
                            </w:r>
                          </w:p>
                        </w:tc>
                        <w:tc>
                          <w:tcPr>
                            <w:tcW w:w="4536" w:type="dxa"/>
                          </w:tcPr>
                          <w:p w14:paraId="78BD0B37" w14:textId="77777777" w:rsidR="005342E2" w:rsidRPr="00CC2838" w:rsidRDefault="005342E2" w:rsidP="00CC2838">
                            <w:pPr>
                              <w:pStyle w:val="TableParagraph"/>
                              <w:ind w:left="1354" w:hanging="645"/>
                              <w:rPr>
                                <w:b/>
                              </w:rPr>
                            </w:pPr>
                            <w:r w:rsidRPr="00CC2838">
                              <w:rPr>
                                <w:b/>
                              </w:rPr>
                              <w:t>[m</w:t>
                            </w:r>
                            <w:r>
                              <w:rPr>
                                <w:b/>
                              </w:rPr>
                              <w:t>l</w:t>
                            </w:r>
                            <w:r w:rsidRPr="00CC2838">
                              <w:rPr>
                                <w:b/>
                              </w:rPr>
                              <w:t>]</w:t>
                            </w:r>
                          </w:p>
                        </w:tc>
                      </w:tr>
                      <w:tr w:rsidR="005342E2" w:rsidRPr="00360D35" w14:paraId="78BD0B3D" w14:textId="77777777" w:rsidTr="00CC2838">
                        <w:tc>
                          <w:tcPr>
                            <w:tcW w:w="1597" w:type="dxa"/>
                          </w:tcPr>
                          <w:p w14:paraId="78BD0B39" w14:textId="77777777" w:rsidR="005342E2" w:rsidRPr="00CC2838" w:rsidRDefault="005342E2" w:rsidP="00CC2838">
                            <w:pPr>
                              <w:pStyle w:val="TableParagraph"/>
                              <w:ind w:left="182" w:right="397" w:hanging="182"/>
                              <w:jc w:val="center"/>
                            </w:pPr>
                            <w:r w:rsidRPr="00CC2838">
                              <w:t>45</w:t>
                            </w:r>
                          </w:p>
                        </w:tc>
                        <w:tc>
                          <w:tcPr>
                            <w:tcW w:w="1439" w:type="dxa"/>
                          </w:tcPr>
                          <w:p w14:paraId="78BD0B3A" w14:textId="77777777" w:rsidR="005342E2" w:rsidRPr="00CC2838" w:rsidRDefault="005342E2" w:rsidP="00CC2838">
                            <w:pPr>
                              <w:pStyle w:val="TableParagraph"/>
                              <w:ind w:left="556" w:hanging="182"/>
                            </w:pPr>
                            <w:r w:rsidRPr="00CC2838">
                              <w:t>1350</w:t>
                            </w:r>
                          </w:p>
                        </w:tc>
                        <w:tc>
                          <w:tcPr>
                            <w:tcW w:w="1642" w:type="dxa"/>
                          </w:tcPr>
                          <w:p w14:paraId="78BD0B3B" w14:textId="77777777" w:rsidR="005342E2" w:rsidRPr="00CC2838" w:rsidRDefault="005342E2" w:rsidP="00CC2838">
                            <w:pPr>
                              <w:pStyle w:val="TableParagraph"/>
                              <w:ind w:left="792" w:hanging="284"/>
                            </w:pPr>
                            <w:r w:rsidRPr="00CC2838">
                              <w:t>13</w:t>
                            </w:r>
                            <w:r>
                              <w:t>,</w:t>
                            </w:r>
                            <w:r w:rsidRPr="00CC2838">
                              <w:t>5</w:t>
                            </w:r>
                          </w:p>
                        </w:tc>
                        <w:tc>
                          <w:tcPr>
                            <w:tcW w:w="4536" w:type="dxa"/>
                          </w:tcPr>
                          <w:p w14:paraId="78BD0B3C" w14:textId="77777777" w:rsidR="005342E2" w:rsidRPr="00CC2838" w:rsidRDefault="005342E2" w:rsidP="00CC2838">
                            <w:pPr>
                              <w:pStyle w:val="TableParagraph"/>
                              <w:ind w:left="1354" w:hanging="645"/>
                            </w:pPr>
                            <w:r w:rsidRPr="00CC2838">
                              <w:t>4</w:t>
                            </w:r>
                            <w:r>
                              <w:t>,</w:t>
                            </w:r>
                            <w:r w:rsidRPr="00CC2838">
                              <w:t>5</w:t>
                            </w:r>
                          </w:p>
                        </w:tc>
                      </w:tr>
                      <w:tr w:rsidR="005342E2" w:rsidRPr="00360D35" w14:paraId="78BD0B42" w14:textId="77777777" w:rsidTr="00CC2838">
                        <w:tc>
                          <w:tcPr>
                            <w:tcW w:w="1597" w:type="dxa"/>
                          </w:tcPr>
                          <w:p w14:paraId="78BD0B3E" w14:textId="77777777" w:rsidR="005342E2" w:rsidRPr="00CC2838" w:rsidRDefault="005342E2" w:rsidP="00CC2838">
                            <w:pPr>
                              <w:pStyle w:val="TableParagraph"/>
                              <w:ind w:left="182" w:right="397" w:hanging="182"/>
                              <w:jc w:val="center"/>
                            </w:pPr>
                            <w:r w:rsidRPr="00CC2838">
                              <w:t>50</w:t>
                            </w:r>
                          </w:p>
                        </w:tc>
                        <w:tc>
                          <w:tcPr>
                            <w:tcW w:w="1439" w:type="dxa"/>
                          </w:tcPr>
                          <w:p w14:paraId="78BD0B3F" w14:textId="77777777" w:rsidR="005342E2" w:rsidRPr="00CC2838" w:rsidRDefault="005342E2" w:rsidP="00CC2838">
                            <w:pPr>
                              <w:pStyle w:val="TableParagraph"/>
                              <w:ind w:left="556" w:hanging="182"/>
                            </w:pPr>
                            <w:r w:rsidRPr="00CC2838">
                              <w:t>1500</w:t>
                            </w:r>
                          </w:p>
                        </w:tc>
                        <w:tc>
                          <w:tcPr>
                            <w:tcW w:w="1642" w:type="dxa"/>
                          </w:tcPr>
                          <w:p w14:paraId="78BD0B40" w14:textId="77777777" w:rsidR="005342E2" w:rsidRPr="00CC2838" w:rsidRDefault="005342E2" w:rsidP="00CC2838">
                            <w:pPr>
                              <w:pStyle w:val="TableParagraph"/>
                              <w:ind w:left="792" w:hanging="284"/>
                            </w:pPr>
                            <w:r w:rsidRPr="00CC2838">
                              <w:t>15</w:t>
                            </w:r>
                          </w:p>
                        </w:tc>
                        <w:tc>
                          <w:tcPr>
                            <w:tcW w:w="4536" w:type="dxa"/>
                          </w:tcPr>
                          <w:p w14:paraId="78BD0B41" w14:textId="77777777" w:rsidR="005342E2" w:rsidRPr="00CC2838" w:rsidRDefault="005342E2" w:rsidP="00CC2838">
                            <w:pPr>
                              <w:pStyle w:val="TableParagraph"/>
                              <w:ind w:left="1354" w:hanging="645"/>
                            </w:pPr>
                            <w:r w:rsidRPr="00CC2838">
                              <w:rPr>
                                <w:w w:val="99"/>
                              </w:rPr>
                              <w:t>5</w:t>
                            </w:r>
                          </w:p>
                        </w:tc>
                      </w:tr>
                      <w:tr w:rsidR="005342E2" w:rsidRPr="00360D35" w14:paraId="78BD0B47" w14:textId="77777777" w:rsidTr="00CC2838">
                        <w:tc>
                          <w:tcPr>
                            <w:tcW w:w="1597" w:type="dxa"/>
                          </w:tcPr>
                          <w:p w14:paraId="78BD0B43" w14:textId="77777777" w:rsidR="005342E2" w:rsidRPr="00CC2838" w:rsidRDefault="005342E2" w:rsidP="00CC2838">
                            <w:pPr>
                              <w:pStyle w:val="TableParagraph"/>
                              <w:ind w:left="182" w:right="397" w:hanging="182"/>
                              <w:jc w:val="center"/>
                            </w:pPr>
                            <w:r w:rsidRPr="00CC2838">
                              <w:t>55</w:t>
                            </w:r>
                          </w:p>
                        </w:tc>
                        <w:tc>
                          <w:tcPr>
                            <w:tcW w:w="1439" w:type="dxa"/>
                          </w:tcPr>
                          <w:p w14:paraId="78BD0B44" w14:textId="77777777" w:rsidR="005342E2" w:rsidRPr="00CC2838" w:rsidRDefault="005342E2" w:rsidP="00CC2838">
                            <w:pPr>
                              <w:pStyle w:val="TableParagraph"/>
                              <w:ind w:left="556" w:hanging="182"/>
                            </w:pPr>
                            <w:r w:rsidRPr="00CC2838">
                              <w:t>1650</w:t>
                            </w:r>
                          </w:p>
                        </w:tc>
                        <w:tc>
                          <w:tcPr>
                            <w:tcW w:w="1642" w:type="dxa"/>
                          </w:tcPr>
                          <w:p w14:paraId="78BD0B45" w14:textId="77777777" w:rsidR="005342E2" w:rsidRPr="00CC2838" w:rsidRDefault="005342E2" w:rsidP="00CC2838">
                            <w:pPr>
                              <w:pStyle w:val="TableParagraph"/>
                              <w:ind w:left="792" w:hanging="284"/>
                            </w:pPr>
                            <w:r w:rsidRPr="00CC2838">
                              <w:t>16</w:t>
                            </w:r>
                            <w:r>
                              <w:t>,</w:t>
                            </w:r>
                            <w:r w:rsidRPr="00CC2838">
                              <w:t>5</w:t>
                            </w:r>
                          </w:p>
                        </w:tc>
                        <w:tc>
                          <w:tcPr>
                            <w:tcW w:w="4536" w:type="dxa"/>
                          </w:tcPr>
                          <w:p w14:paraId="78BD0B46" w14:textId="77777777" w:rsidR="005342E2" w:rsidRPr="00CC2838" w:rsidRDefault="005342E2" w:rsidP="00CC2838">
                            <w:pPr>
                              <w:pStyle w:val="TableParagraph"/>
                              <w:ind w:left="1354" w:hanging="645"/>
                            </w:pPr>
                            <w:r w:rsidRPr="00CC2838">
                              <w:t>5</w:t>
                            </w:r>
                            <w:r>
                              <w:t>,</w:t>
                            </w:r>
                            <w:r w:rsidRPr="00CC2838">
                              <w:t>5</w:t>
                            </w:r>
                          </w:p>
                        </w:tc>
                      </w:tr>
                      <w:tr w:rsidR="005342E2" w:rsidRPr="00360D35" w14:paraId="78BD0B4C" w14:textId="77777777" w:rsidTr="00CC2838">
                        <w:tc>
                          <w:tcPr>
                            <w:tcW w:w="1597" w:type="dxa"/>
                          </w:tcPr>
                          <w:p w14:paraId="78BD0B48" w14:textId="77777777" w:rsidR="005342E2" w:rsidRPr="00CC2838" w:rsidRDefault="005342E2" w:rsidP="00CC2838">
                            <w:pPr>
                              <w:pStyle w:val="TableParagraph"/>
                              <w:ind w:left="182" w:right="397" w:hanging="182"/>
                              <w:jc w:val="center"/>
                            </w:pPr>
                            <w:r w:rsidRPr="00CC2838">
                              <w:t>60</w:t>
                            </w:r>
                          </w:p>
                        </w:tc>
                        <w:tc>
                          <w:tcPr>
                            <w:tcW w:w="1439" w:type="dxa"/>
                          </w:tcPr>
                          <w:p w14:paraId="78BD0B49" w14:textId="77777777" w:rsidR="005342E2" w:rsidRPr="00CC2838" w:rsidRDefault="005342E2" w:rsidP="00CC2838">
                            <w:pPr>
                              <w:pStyle w:val="TableParagraph"/>
                              <w:ind w:left="556" w:hanging="182"/>
                            </w:pPr>
                            <w:r w:rsidRPr="00CC2838">
                              <w:t>1800</w:t>
                            </w:r>
                          </w:p>
                        </w:tc>
                        <w:tc>
                          <w:tcPr>
                            <w:tcW w:w="1642" w:type="dxa"/>
                          </w:tcPr>
                          <w:p w14:paraId="78BD0B4A" w14:textId="77777777" w:rsidR="005342E2" w:rsidRPr="00CC2838" w:rsidRDefault="005342E2" w:rsidP="00CC2838">
                            <w:pPr>
                              <w:pStyle w:val="TableParagraph"/>
                              <w:ind w:left="792" w:hanging="284"/>
                            </w:pPr>
                            <w:r w:rsidRPr="00CC2838">
                              <w:t>18</w:t>
                            </w:r>
                          </w:p>
                        </w:tc>
                        <w:tc>
                          <w:tcPr>
                            <w:tcW w:w="4536" w:type="dxa"/>
                          </w:tcPr>
                          <w:p w14:paraId="78BD0B4B" w14:textId="77777777" w:rsidR="005342E2" w:rsidRPr="00CC2838" w:rsidRDefault="005342E2" w:rsidP="00CC2838">
                            <w:pPr>
                              <w:pStyle w:val="TableParagraph"/>
                              <w:ind w:left="1354" w:hanging="645"/>
                            </w:pPr>
                            <w:r w:rsidRPr="00CC2838">
                              <w:rPr>
                                <w:w w:val="99"/>
                              </w:rPr>
                              <w:t>6</w:t>
                            </w:r>
                          </w:p>
                        </w:tc>
                      </w:tr>
                      <w:tr w:rsidR="005342E2" w:rsidRPr="00360D35" w14:paraId="78BD0B51" w14:textId="77777777" w:rsidTr="00CC2838">
                        <w:tc>
                          <w:tcPr>
                            <w:tcW w:w="1597" w:type="dxa"/>
                          </w:tcPr>
                          <w:p w14:paraId="78BD0B4D" w14:textId="77777777" w:rsidR="005342E2" w:rsidRPr="00CC2838" w:rsidRDefault="005342E2" w:rsidP="00CC2838">
                            <w:pPr>
                              <w:pStyle w:val="TableParagraph"/>
                              <w:ind w:left="182" w:right="397" w:hanging="182"/>
                              <w:jc w:val="center"/>
                            </w:pPr>
                            <w:r w:rsidRPr="00CC2838">
                              <w:t>65</w:t>
                            </w:r>
                          </w:p>
                        </w:tc>
                        <w:tc>
                          <w:tcPr>
                            <w:tcW w:w="1439" w:type="dxa"/>
                          </w:tcPr>
                          <w:p w14:paraId="78BD0B4E" w14:textId="77777777" w:rsidR="005342E2" w:rsidRPr="00CC2838" w:rsidRDefault="005342E2" w:rsidP="00CC2838">
                            <w:pPr>
                              <w:pStyle w:val="TableParagraph"/>
                              <w:ind w:left="556" w:hanging="182"/>
                            </w:pPr>
                            <w:r w:rsidRPr="00CC2838">
                              <w:t>1950</w:t>
                            </w:r>
                          </w:p>
                        </w:tc>
                        <w:tc>
                          <w:tcPr>
                            <w:tcW w:w="1642" w:type="dxa"/>
                          </w:tcPr>
                          <w:p w14:paraId="78BD0B4F" w14:textId="77777777" w:rsidR="005342E2" w:rsidRPr="00CC2838" w:rsidRDefault="005342E2" w:rsidP="00CC2838">
                            <w:pPr>
                              <w:pStyle w:val="TableParagraph"/>
                              <w:ind w:left="792" w:hanging="284"/>
                            </w:pPr>
                            <w:r w:rsidRPr="00CC2838">
                              <w:t>19</w:t>
                            </w:r>
                            <w:r>
                              <w:t>,</w:t>
                            </w:r>
                            <w:r w:rsidRPr="00CC2838">
                              <w:t>5</w:t>
                            </w:r>
                          </w:p>
                        </w:tc>
                        <w:tc>
                          <w:tcPr>
                            <w:tcW w:w="4536" w:type="dxa"/>
                          </w:tcPr>
                          <w:p w14:paraId="78BD0B50" w14:textId="77777777" w:rsidR="005342E2" w:rsidRPr="00CC2838" w:rsidRDefault="005342E2" w:rsidP="00CC2838">
                            <w:pPr>
                              <w:pStyle w:val="TableParagraph"/>
                              <w:ind w:left="1354" w:hanging="645"/>
                            </w:pPr>
                            <w:r w:rsidRPr="00CC2838">
                              <w:t>6</w:t>
                            </w:r>
                            <w:r>
                              <w:t>,</w:t>
                            </w:r>
                            <w:r w:rsidRPr="00CC2838">
                              <w:t>5</w:t>
                            </w:r>
                          </w:p>
                        </w:tc>
                      </w:tr>
                      <w:tr w:rsidR="005342E2" w:rsidRPr="00360D35" w14:paraId="78BD0B56" w14:textId="77777777" w:rsidTr="00CC2838">
                        <w:tc>
                          <w:tcPr>
                            <w:tcW w:w="1597" w:type="dxa"/>
                          </w:tcPr>
                          <w:p w14:paraId="78BD0B52" w14:textId="77777777" w:rsidR="005342E2" w:rsidRPr="00CC2838" w:rsidRDefault="005342E2" w:rsidP="00CC2838">
                            <w:pPr>
                              <w:pStyle w:val="TableParagraph"/>
                              <w:ind w:left="182" w:right="397" w:hanging="182"/>
                              <w:jc w:val="center"/>
                            </w:pPr>
                            <w:r w:rsidRPr="00CC2838">
                              <w:t>70</w:t>
                            </w:r>
                          </w:p>
                        </w:tc>
                        <w:tc>
                          <w:tcPr>
                            <w:tcW w:w="1439" w:type="dxa"/>
                          </w:tcPr>
                          <w:p w14:paraId="78BD0B53" w14:textId="77777777" w:rsidR="005342E2" w:rsidRPr="00CC2838" w:rsidRDefault="005342E2" w:rsidP="00CC2838">
                            <w:pPr>
                              <w:pStyle w:val="TableParagraph"/>
                              <w:ind w:left="556" w:hanging="182"/>
                            </w:pPr>
                            <w:r w:rsidRPr="00CC2838">
                              <w:t>2100</w:t>
                            </w:r>
                          </w:p>
                        </w:tc>
                        <w:tc>
                          <w:tcPr>
                            <w:tcW w:w="1642" w:type="dxa"/>
                          </w:tcPr>
                          <w:p w14:paraId="78BD0B54" w14:textId="77777777" w:rsidR="005342E2" w:rsidRPr="00CC2838" w:rsidRDefault="005342E2" w:rsidP="00CC2838">
                            <w:pPr>
                              <w:pStyle w:val="TableParagraph"/>
                              <w:ind w:left="792" w:hanging="284"/>
                            </w:pPr>
                            <w:r w:rsidRPr="00CC2838">
                              <w:t>21</w:t>
                            </w:r>
                          </w:p>
                        </w:tc>
                        <w:tc>
                          <w:tcPr>
                            <w:tcW w:w="4536" w:type="dxa"/>
                          </w:tcPr>
                          <w:p w14:paraId="78BD0B55" w14:textId="77777777" w:rsidR="005342E2" w:rsidRPr="00CC2838" w:rsidRDefault="005342E2" w:rsidP="00CC2838">
                            <w:pPr>
                              <w:pStyle w:val="TableParagraph"/>
                              <w:ind w:left="1354" w:hanging="645"/>
                            </w:pPr>
                            <w:r w:rsidRPr="00CC2838">
                              <w:rPr>
                                <w:w w:val="99"/>
                              </w:rPr>
                              <w:t>7</w:t>
                            </w:r>
                          </w:p>
                        </w:tc>
                      </w:tr>
                      <w:tr w:rsidR="005342E2" w:rsidRPr="00360D35" w14:paraId="78BD0B5B" w14:textId="77777777" w:rsidTr="00CC2838">
                        <w:tc>
                          <w:tcPr>
                            <w:tcW w:w="1597" w:type="dxa"/>
                          </w:tcPr>
                          <w:p w14:paraId="78BD0B57" w14:textId="77777777" w:rsidR="005342E2" w:rsidRPr="00CC2838" w:rsidRDefault="005342E2" w:rsidP="00CC2838">
                            <w:pPr>
                              <w:pStyle w:val="TableParagraph"/>
                              <w:ind w:left="182" w:right="397" w:hanging="182"/>
                              <w:jc w:val="center"/>
                            </w:pPr>
                            <w:r w:rsidRPr="00CC2838">
                              <w:t>75</w:t>
                            </w:r>
                          </w:p>
                        </w:tc>
                        <w:tc>
                          <w:tcPr>
                            <w:tcW w:w="1439" w:type="dxa"/>
                          </w:tcPr>
                          <w:p w14:paraId="78BD0B58" w14:textId="77777777" w:rsidR="005342E2" w:rsidRPr="00CC2838" w:rsidRDefault="005342E2" w:rsidP="00CC2838">
                            <w:pPr>
                              <w:pStyle w:val="TableParagraph"/>
                              <w:ind w:left="556" w:hanging="182"/>
                            </w:pPr>
                            <w:r w:rsidRPr="00CC2838">
                              <w:t>2250</w:t>
                            </w:r>
                          </w:p>
                        </w:tc>
                        <w:tc>
                          <w:tcPr>
                            <w:tcW w:w="1642" w:type="dxa"/>
                          </w:tcPr>
                          <w:p w14:paraId="78BD0B59" w14:textId="77777777" w:rsidR="005342E2" w:rsidRPr="00CC2838" w:rsidRDefault="005342E2" w:rsidP="00CC2838">
                            <w:pPr>
                              <w:pStyle w:val="TableParagraph"/>
                              <w:ind w:left="792" w:hanging="284"/>
                            </w:pPr>
                            <w:r w:rsidRPr="00CC2838">
                              <w:t>22</w:t>
                            </w:r>
                            <w:r>
                              <w:t>,</w:t>
                            </w:r>
                            <w:r w:rsidRPr="00CC2838">
                              <w:t>5</w:t>
                            </w:r>
                          </w:p>
                        </w:tc>
                        <w:tc>
                          <w:tcPr>
                            <w:tcW w:w="4536" w:type="dxa"/>
                          </w:tcPr>
                          <w:p w14:paraId="78BD0B5A" w14:textId="77777777" w:rsidR="005342E2" w:rsidRPr="00CC2838" w:rsidRDefault="005342E2" w:rsidP="00CC2838">
                            <w:pPr>
                              <w:pStyle w:val="TableParagraph"/>
                              <w:ind w:left="1354" w:hanging="645"/>
                            </w:pPr>
                            <w:r w:rsidRPr="00CC2838">
                              <w:t>7</w:t>
                            </w:r>
                            <w:r>
                              <w:t>,</w:t>
                            </w:r>
                            <w:r w:rsidRPr="00CC2838">
                              <w:t>5</w:t>
                            </w:r>
                          </w:p>
                        </w:tc>
                      </w:tr>
                      <w:tr w:rsidR="005342E2" w:rsidRPr="00360D35" w14:paraId="78BD0B60" w14:textId="77777777" w:rsidTr="00CC2838">
                        <w:tc>
                          <w:tcPr>
                            <w:tcW w:w="1597" w:type="dxa"/>
                          </w:tcPr>
                          <w:p w14:paraId="78BD0B5C" w14:textId="77777777" w:rsidR="005342E2" w:rsidRPr="00CC2838" w:rsidRDefault="005342E2" w:rsidP="00CC2838">
                            <w:pPr>
                              <w:pStyle w:val="TableParagraph"/>
                              <w:ind w:left="182" w:right="397" w:hanging="182"/>
                              <w:jc w:val="center"/>
                            </w:pPr>
                            <w:r w:rsidRPr="00CC2838">
                              <w:t>80</w:t>
                            </w:r>
                          </w:p>
                        </w:tc>
                        <w:tc>
                          <w:tcPr>
                            <w:tcW w:w="1439" w:type="dxa"/>
                          </w:tcPr>
                          <w:p w14:paraId="78BD0B5D" w14:textId="77777777" w:rsidR="005342E2" w:rsidRPr="00CC2838" w:rsidRDefault="005342E2" w:rsidP="00CC2838">
                            <w:pPr>
                              <w:pStyle w:val="TableParagraph"/>
                              <w:ind w:left="556" w:hanging="182"/>
                            </w:pPr>
                            <w:r w:rsidRPr="00CC2838">
                              <w:t>2400</w:t>
                            </w:r>
                          </w:p>
                        </w:tc>
                        <w:tc>
                          <w:tcPr>
                            <w:tcW w:w="1642" w:type="dxa"/>
                          </w:tcPr>
                          <w:p w14:paraId="78BD0B5E" w14:textId="77777777" w:rsidR="005342E2" w:rsidRPr="00CC2838" w:rsidRDefault="005342E2" w:rsidP="00CC2838">
                            <w:pPr>
                              <w:pStyle w:val="TableParagraph"/>
                              <w:ind w:left="792" w:hanging="284"/>
                            </w:pPr>
                            <w:r w:rsidRPr="00CC2838">
                              <w:t>24</w:t>
                            </w:r>
                          </w:p>
                        </w:tc>
                        <w:tc>
                          <w:tcPr>
                            <w:tcW w:w="4536" w:type="dxa"/>
                          </w:tcPr>
                          <w:p w14:paraId="78BD0B5F" w14:textId="77777777" w:rsidR="005342E2" w:rsidRPr="00CC2838" w:rsidRDefault="005342E2" w:rsidP="00CC2838">
                            <w:pPr>
                              <w:pStyle w:val="TableParagraph"/>
                              <w:ind w:left="1354" w:hanging="645"/>
                            </w:pPr>
                            <w:r w:rsidRPr="00CC2838">
                              <w:rPr>
                                <w:w w:val="99"/>
                              </w:rPr>
                              <w:t>8</w:t>
                            </w:r>
                          </w:p>
                        </w:tc>
                      </w:tr>
                      <w:tr w:rsidR="005342E2" w:rsidRPr="00360D35" w14:paraId="78BD0B65" w14:textId="77777777" w:rsidTr="00CC2838">
                        <w:tc>
                          <w:tcPr>
                            <w:tcW w:w="1597" w:type="dxa"/>
                          </w:tcPr>
                          <w:p w14:paraId="78BD0B61" w14:textId="77777777" w:rsidR="005342E2" w:rsidRPr="00CC2838" w:rsidRDefault="005342E2" w:rsidP="00CC2838">
                            <w:pPr>
                              <w:pStyle w:val="TableParagraph"/>
                              <w:ind w:left="182" w:right="397" w:hanging="182"/>
                              <w:jc w:val="center"/>
                            </w:pPr>
                            <w:r w:rsidRPr="00CC2838">
                              <w:t>85</w:t>
                            </w:r>
                          </w:p>
                        </w:tc>
                        <w:tc>
                          <w:tcPr>
                            <w:tcW w:w="1439" w:type="dxa"/>
                          </w:tcPr>
                          <w:p w14:paraId="78BD0B62" w14:textId="77777777" w:rsidR="005342E2" w:rsidRPr="00CC2838" w:rsidRDefault="005342E2" w:rsidP="00CC2838">
                            <w:pPr>
                              <w:pStyle w:val="TableParagraph"/>
                              <w:ind w:left="556" w:hanging="182"/>
                            </w:pPr>
                            <w:r w:rsidRPr="00CC2838">
                              <w:t>2550</w:t>
                            </w:r>
                          </w:p>
                        </w:tc>
                        <w:tc>
                          <w:tcPr>
                            <w:tcW w:w="1642" w:type="dxa"/>
                          </w:tcPr>
                          <w:p w14:paraId="78BD0B63" w14:textId="77777777" w:rsidR="005342E2" w:rsidRPr="00CC2838" w:rsidRDefault="005342E2" w:rsidP="00CC2838">
                            <w:pPr>
                              <w:pStyle w:val="TableParagraph"/>
                              <w:ind w:left="792" w:hanging="284"/>
                            </w:pPr>
                            <w:r w:rsidRPr="00CC2838">
                              <w:t>25</w:t>
                            </w:r>
                            <w:r>
                              <w:t>,</w:t>
                            </w:r>
                            <w:r w:rsidRPr="00CC2838">
                              <w:t>5</w:t>
                            </w:r>
                          </w:p>
                        </w:tc>
                        <w:tc>
                          <w:tcPr>
                            <w:tcW w:w="4536" w:type="dxa"/>
                          </w:tcPr>
                          <w:p w14:paraId="78BD0B64" w14:textId="77777777" w:rsidR="005342E2" w:rsidRPr="00CC2838" w:rsidRDefault="005342E2" w:rsidP="00CC2838">
                            <w:pPr>
                              <w:pStyle w:val="TableParagraph"/>
                              <w:ind w:left="1354" w:hanging="645"/>
                            </w:pPr>
                            <w:r w:rsidRPr="00CC2838">
                              <w:t>8</w:t>
                            </w:r>
                            <w:r>
                              <w:t>,</w:t>
                            </w:r>
                            <w:r w:rsidRPr="00CC2838">
                              <w:t>5</w:t>
                            </w:r>
                          </w:p>
                        </w:tc>
                      </w:tr>
                      <w:tr w:rsidR="005342E2" w:rsidRPr="00360D35" w14:paraId="78BD0B6A" w14:textId="77777777" w:rsidTr="00CC2838">
                        <w:tc>
                          <w:tcPr>
                            <w:tcW w:w="1597" w:type="dxa"/>
                          </w:tcPr>
                          <w:p w14:paraId="78BD0B66" w14:textId="77777777" w:rsidR="005342E2" w:rsidRPr="00CC2838" w:rsidRDefault="005342E2" w:rsidP="00CC2838">
                            <w:pPr>
                              <w:pStyle w:val="TableParagraph"/>
                              <w:ind w:left="182" w:right="397" w:hanging="182"/>
                              <w:jc w:val="center"/>
                            </w:pPr>
                            <w:r w:rsidRPr="00CC2838">
                              <w:t>90</w:t>
                            </w:r>
                          </w:p>
                        </w:tc>
                        <w:tc>
                          <w:tcPr>
                            <w:tcW w:w="1439" w:type="dxa"/>
                          </w:tcPr>
                          <w:p w14:paraId="78BD0B67" w14:textId="77777777" w:rsidR="005342E2" w:rsidRPr="00CC2838" w:rsidRDefault="005342E2" w:rsidP="00CC2838">
                            <w:pPr>
                              <w:pStyle w:val="TableParagraph"/>
                              <w:ind w:left="556" w:hanging="182"/>
                            </w:pPr>
                            <w:r w:rsidRPr="00CC2838">
                              <w:t>2700</w:t>
                            </w:r>
                          </w:p>
                        </w:tc>
                        <w:tc>
                          <w:tcPr>
                            <w:tcW w:w="1642" w:type="dxa"/>
                          </w:tcPr>
                          <w:p w14:paraId="78BD0B68" w14:textId="77777777" w:rsidR="005342E2" w:rsidRPr="00CC2838" w:rsidRDefault="005342E2" w:rsidP="00CC2838">
                            <w:pPr>
                              <w:pStyle w:val="TableParagraph"/>
                              <w:ind w:left="792" w:hanging="284"/>
                            </w:pPr>
                            <w:r w:rsidRPr="00CC2838">
                              <w:t>27</w:t>
                            </w:r>
                          </w:p>
                        </w:tc>
                        <w:tc>
                          <w:tcPr>
                            <w:tcW w:w="4536" w:type="dxa"/>
                          </w:tcPr>
                          <w:p w14:paraId="78BD0B69" w14:textId="77777777" w:rsidR="005342E2" w:rsidRPr="00CC2838" w:rsidRDefault="005342E2" w:rsidP="00CC2838">
                            <w:pPr>
                              <w:pStyle w:val="TableParagraph"/>
                              <w:ind w:left="1354" w:hanging="645"/>
                            </w:pPr>
                            <w:r w:rsidRPr="00CC2838">
                              <w:rPr>
                                <w:w w:val="99"/>
                              </w:rPr>
                              <w:t>9</w:t>
                            </w:r>
                          </w:p>
                        </w:tc>
                      </w:tr>
                      <w:tr w:rsidR="005342E2" w:rsidRPr="00360D35" w14:paraId="78BD0B6F" w14:textId="77777777" w:rsidTr="00CC2838">
                        <w:tc>
                          <w:tcPr>
                            <w:tcW w:w="1597" w:type="dxa"/>
                          </w:tcPr>
                          <w:p w14:paraId="78BD0B6B" w14:textId="77777777" w:rsidR="005342E2" w:rsidRPr="00CC2838" w:rsidRDefault="005342E2" w:rsidP="00CC2838">
                            <w:pPr>
                              <w:pStyle w:val="TableParagraph"/>
                              <w:ind w:left="182" w:right="397" w:hanging="182"/>
                              <w:jc w:val="center"/>
                            </w:pPr>
                            <w:r w:rsidRPr="00CC2838">
                              <w:t>95</w:t>
                            </w:r>
                          </w:p>
                        </w:tc>
                        <w:tc>
                          <w:tcPr>
                            <w:tcW w:w="1439" w:type="dxa"/>
                          </w:tcPr>
                          <w:p w14:paraId="78BD0B6C" w14:textId="77777777" w:rsidR="005342E2" w:rsidRPr="00CC2838" w:rsidRDefault="005342E2" w:rsidP="00CC2838">
                            <w:pPr>
                              <w:pStyle w:val="TableParagraph"/>
                              <w:ind w:left="556" w:hanging="182"/>
                            </w:pPr>
                            <w:r w:rsidRPr="00CC2838">
                              <w:t>2850</w:t>
                            </w:r>
                          </w:p>
                        </w:tc>
                        <w:tc>
                          <w:tcPr>
                            <w:tcW w:w="1642" w:type="dxa"/>
                          </w:tcPr>
                          <w:p w14:paraId="78BD0B6D" w14:textId="77777777" w:rsidR="005342E2" w:rsidRPr="00CC2838" w:rsidRDefault="005342E2" w:rsidP="00CC2838">
                            <w:pPr>
                              <w:pStyle w:val="TableParagraph"/>
                              <w:ind w:left="792" w:hanging="284"/>
                            </w:pPr>
                            <w:r w:rsidRPr="00CC2838">
                              <w:t>28</w:t>
                            </w:r>
                            <w:r>
                              <w:t>,</w:t>
                            </w:r>
                            <w:r w:rsidRPr="00CC2838">
                              <w:t>5</w:t>
                            </w:r>
                          </w:p>
                        </w:tc>
                        <w:tc>
                          <w:tcPr>
                            <w:tcW w:w="4536" w:type="dxa"/>
                          </w:tcPr>
                          <w:p w14:paraId="78BD0B6E" w14:textId="77777777" w:rsidR="005342E2" w:rsidRPr="00CC2838" w:rsidRDefault="005342E2" w:rsidP="00CC2838">
                            <w:pPr>
                              <w:pStyle w:val="TableParagraph"/>
                              <w:ind w:left="1354" w:hanging="645"/>
                            </w:pPr>
                            <w:r w:rsidRPr="00CC2838">
                              <w:t>9</w:t>
                            </w:r>
                            <w:r>
                              <w:t>,</w:t>
                            </w:r>
                            <w:r w:rsidRPr="00CC2838">
                              <w:t>5</w:t>
                            </w:r>
                          </w:p>
                        </w:tc>
                      </w:tr>
                      <w:tr w:rsidR="005342E2" w:rsidRPr="00360D35" w14:paraId="78BD0B74" w14:textId="77777777" w:rsidTr="00CC2838">
                        <w:tc>
                          <w:tcPr>
                            <w:tcW w:w="1597" w:type="dxa"/>
                          </w:tcPr>
                          <w:p w14:paraId="78BD0B70" w14:textId="77777777" w:rsidR="005342E2" w:rsidRPr="00CC2838" w:rsidRDefault="005342E2" w:rsidP="00CC2838">
                            <w:pPr>
                              <w:pStyle w:val="TableParagraph"/>
                              <w:ind w:left="182" w:right="397" w:hanging="182"/>
                              <w:jc w:val="center"/>
                            </w:pPr>
                            <w:r w:rsidRPr="00CC2838">
                              <w:t>100</w:t>
                            </w:r>
                          </w:p>
                        </w:tc>
                        <w:tc>
                          <w:tcPr>
                            <w:tcW w:w="1439" w:type="dxa"/>
                          </w:tcPr>
                          <w:p w14:paraId="78BD0B71" w14:textId="77777777" w:rsidR="005342E2" w:rsidRPr="00CC2838" w:rsidRDefault="005342E2" w:rsidP="00CC2838">
                            <w:pPr>
                              <w:pStyle w:val="TableParagraph"/>
                              <w:ind w:left="556" w:hanging="182"/>
                            </w:pPr>
                            <w:r w:rsidRPr="00CC2838">
                              <w:t>3000</w:t>
                            </w:r>
                          </w:p>
                        </w:tc>
                        <w:tc>
                          <w:tcPr>
                            <w:tcW w:w="1642" w:type="dxa"/>
                          </w:tcPr>
                          <w:p w14:paraId="78BD0B72" w14:textId="77777777" w:rsidR="005342E2" w:rsidRPr="00CC2838" w:rsidRDefault="005342E2" w:rsidP="00CC2838">
                            <w:pPr>
                              <w:pStyle w:val="TableParagraph"/>
                              <w:ind w:left="792" w:hanging="284"/>
                            </w:pPr>
                            <w:r w:rsidRPr="00CC2838">
                              <w:t>30</w:t>
                            </w:r>
                          </w:p>
                        </w:tc>
                        <w:tc>
                          <w:tcPr>
                            <w:tcW w:w="4536" w:type="dxa"/>
                          </w:tcPr>
                          <w:p w14:paraId="78BD0B73" w14:textId="77777777" w:rsidR="005342E2" w:rsidRPr="00CC2838" w:rsidRDefault="005342E2" w:rsidP="00CC2838">
                            <w:pPr>
                              <w:pStyle w:val="TableParagraph"/>
                              <w:ind w:left="1354" w:hanging="645"/>
                            </w:pPr>
                            <w:r w:rsidRPr="00CC2838">
                              <w:t>10</w:t>
                            </w:r>
                          </w:p>
                        </w:tc>
                      </w:tr>
                      <w:tr w:rsidR="005342E2" w:rsidRPr="00360D35" w14:paraId="78BD0B79" w14:textId="77777777" w:rsidTr="00CC2838">
                        <w:tc>
                          <w:tcPr>
                            <w:tcW w:w="1597" w:type="dxa"/>
                          </w:tcPr>
                          <w:p w14:paraId="78BD0B75" w14:textId="77777777" w:rsidR="005342E2" w:rsidRPr="00CC2838" w:rsidRDefault="005342E2" w:rsidP="00CC2838">
                            <w:pPr>
                              <w:pStyle w:val="TableParagraph"/>
                              <w:ind w:left="182" w:right="397" w:hanging="182"/>
                              <w:jc w:val="center"/>
                            </w:pPr>
                            <w:r w:rsidRPr="00CC2838">
                              <w:t>105</w:t>
                            </w:r>
                          </w:p>
                        </w:tc>
                        <w:tc>
                          <w:tcPr>
                            <w:tcW w:w="1439" w:type="dxa"/>
                          </w:tcPr>
                          <w:p w14:paraId="78BD0B76" w14:textId="77777777" w:rsidR="005342E2" w:rsidRPr="00CC2838" w:rsidRDefault="005342E2" w:rsidP="00CC2838">
                            <w:pPr>
                              <w:pStyle w:val="TableParagraph"/>
                              <w:ind w:left="556" w:hanging="182"/>
                            </w:pPr>
                            <w:r w:rsidRPr="00CC2838">
                              <w:t>3150</w:t>
                            </w:r>
                          </w:p>
                        </w:tc>
                        <w:tc>
                          <w:tcPr>
                            <w:tcW w:w="1642" w:type="dxa"/>
                          </w:tcPr>
                          <w:p w14:paraId="78BD0B77" w14:textId="77777777" w:rsidR="005342E2" w:rsidRPr="00CC2838" w:rsidRDefault="005342E2" w:rsidP="00CC2838">
                            <w:pPr>
                              <w:pStyle w:val="TableParagraph"/>
                              <w:ind w:left="792" w:hanging="284"/>
                            </w:pPr>
                            <w:r w:rsidRPr="00CC2838">
                              <w:t>31</w:t>
                            </w:r>
                            <w:r>
                              <w:t>,</w:t>
                            </w:r>
                            <w:r w:rsidRPr="00CC2838">
                              <w:t>5</w:t>
                            </w:r>
                          </w:p>
                        </w:tc>
                        <w:tc>
                          <w:tcPr>
                            <w:tcW w:w="4536" w:type="dxa"/>
                          </w:tcPr>
                          <w:p w14:paraId="78BD0B78" w14:textId="77777777" w:rsidR="005342E2" w:rsidRPr="00CC2838" w:rsidRDefault="005342E2" w:rsidP="00CC2838">
                            <w:pPr>
                              <w:pStyle w:val="TableParagraph"/>
                              <w:ind w:left="1354" w:hanging="645"/>
                            </w:pPr>
                            <w:r w:rsidRPr="00CC2838">
                              <w:t>10</w:t>
                            </w:r>
                            <w:r>
                              <w:t>,</w:t>
                            </w:r>
                            <w:r w:rsidRPr="00CC2838">
                              <w:t>5</w:t>
                            </w:r>
                          </w:p>
                        </w:tc>
                      </w:tr>
                      <w:tr w:rsidR="005342E2" w:rsidRPr="00360D35" w14:paraId="78BD0B7E" w14:textId="77777777" w:rsidTr="00CC2838">
                        <w:tc>
                          <w:tcPr>
                            <w:tcW w:w="1597" w:type="dxa"/>
                          </w:tcPr>
                          <w:p w14:paraId="78BD0B7A" w14:textId="77777777" w:rsidR="005342E2" w:rsidRPr="00CC2838" w:rsidRDefault="005342E2" w:rsidP="00CC2838">
                            <w:pPr>
                              <w:pStyle w:val="TableParagraph"/>
                              <w:ind w:left="182" w:right="397" w:hanging="182"/>
                              <w:jc w:val="center"/>
                            </w:pPr>
                            <w:r w:rsidRPr="00CC2838">
                              <w:t>110</w:t>
                            </w:r>
                          </w:p>
                        </w:tc>
                        <w:tc>
                          <w:tcPr>
                            <w:tcW w:w="1439" w:type="dxa"/>
                          </w:tcPr>
                          <w:p w14:paraId="78BD0B7B" w14:textId="77777777" w:rsidR="005342E2" w:rsidRPr="00CC2838" w:rsidRDefault="005342E2" w:rsidP="00CC2838">
                            <w:pPr>
                              <w:pStyle w:val="TableParagraph"/>
                              <w:ind w:left="556" w:hanging="182"/>
                            </w:pPr>
                            <w:r w:rsidRPr="00CC2838">
                              <w:t>3300</w:t>
                            </w:r>
                          </w:p>
                        </w:tc>
                        <w:tc>
                          <w:tcPr>
                            <w:tcW w:w="1642" w:type="dxa"/>
                          </w:tcPr>
                          <w:p w14:paraId="78BD0B7C" w14:textId="77777777" w:rsidR="005342E2" w:rsidRPr="00CC2838" w:rsidRDefault="005342E2" w:rsidP="00CC2838">
                            <w:pPr>
                              <w:pStyle w:val="TableParagraph"/>
                              <w:ind w:left="792" w:hanging="284"/>
                            </w:pPr>
                            <w:r w:rsidRPr="00CC2838">
                              <w:t>33</w:t>
                            </w:r>
                          </w:p>
                        </w:tc>
                        <w:tc>
                          <w:tcPr>
                            <w:tcW w:w="4536" w:type="dxa"/>
                          </w:tcPr>
                          <w:p w14:paraId="78BD0B7D" w14:textId="77777777" w:rsidR="005342E2" w:rsidRPr="00CC2838" w:rsidRDefault="005342E2" w:rsidP="00CC2838">
                            <w:pPr>
                              <w:pStyle w:val="TableParagraph"/>
                              <w:ind w:left="1354" w:hanging="645"/>
                            </w:pPr>
                            <w:r w:rsidRPr="00CC2838">
                              <w:t>11</w:t>
                            </w:r>
                          </w:p>
                        </w:tc>
                      </w:tr>
                      <w:tr w:rsidR="005342E2" w:rsidRPr="00360D35" w14:paraId="78BD0B83" w14:textId="77777777" w:rsidTr="00CC2838">
                        <w:tc>
                          <w:tcPr>
                            <w:tcW w:w="1597" w:type="dxa"/>
                          </w:tcPr>
                          <w:p w14:paraId="78BD0B7F" w14:textId="77777777" w:rsidR="005342E2" w:rsidRPr="00CC2838" w:rsidRDefault="005342E2" w:rsidP="00CC2838">
                            <w:pPr>
                              <w:pStyle w:val="TableParagraph"/>
                              <w:ind w:left="182" w:right="397" w:hanging="182"/>
                              <w:jc w:val="center"/>
                            </w:pPr>
                            <w:r w:rsidRPr="00CC2838">
                              <w:t>115</w:t>
                            </w:r>
                          </w:p>
                        </w:tc>
                        <w:tc>
                          <w:tcPr>
                            <w:tcW w:w="1439" w:type="dxa"/>
                          </w:tcPr>
                          <w:p w14:paraId="78BD0B80" w14:textId="77777777" w:rsidR="005342E2" w:rsidRPr="00CC2838" w:rsidRDefault="005342E2" w:rsidP="00CC2838">
                            <w:pPr>
                              <w:pStyle w:val="TableParagraph"/>
                              <w:ind w:left="556" w:hanging="182"/>
                            </w:pPr>
                            <w:r w:rsidRPr="00CC2838">
                              <w:t>3450</w:t>
                            </w:r>
                          </w:p>
                        </w:tc>
                        <w:tc>
                          <w:tcPr>
                            <w:tcW w:w="1642" w:type="dxa"/>
                          </w:tcPr>
                          <w:p w14:paraId="78BD0B81" w14:textId="77777777" w:rsidR="005342E2" w:rsidRPr="00CC2838" w:rsidRDefault="005342E2" w:rsidP="00CC2838">
                            <w:pPr>
                              <w:pStyle w:val="TableParagraph"/>
                              <w:ind w:left="792" w:hanging="284"/>
                            </w:pPr>
                            <w:r w:rsidRPr="00CC2838">
                              <w:t>34</w:t>
                            </w:r>
                            <w:r>
                              <w:t>,</w:t>
                            </w:r>
                            <w:r w:rsidRPr="00CC2838">
                              <w:t>5</w:t>
                            </w:r>
                          </w:p>
                        </w:tc>
                        <w:tc>
                          <w:tcPr>
                            <w:tcW w:w="4536" w:type="dxa"/>
                          </w:tcPr>
                          <w:p w14:paraId="78BD0B82" w14:textId="77777777" w:rsidR="005342E2" w:rsidRPr="00CC2838" w:rsidRDefault="005342E2" w:rsidP="00CC2838">
                            <w:pPr>
                              <w:pStyle w:val="TableParagraph"/>
                              <w:ind w:left="1354" w:hanging="645"/>
                            </w:pPr>
                            <w:r w:rsidRPr="00CC2838">
                              <w:t>11</w:t>
                            </w:r>
                            <w:r>
                              <w:t>,</w:t>
                            </w:r>
                            <w:r w:rsidRPr="00CC2838">
                              <w:t>5</w:t>
                            </w:r>
                          </w:p>
                        </w:tc>
                      </w:tr>
                      <w:tr w:rsidR="005342E2" w:rsidRPr="00360D35" w14:paraId="78BD0B88" w14:textId="77777777" w:rsidTr="00CC2838">
                        <w:tc>
                          <w:tcPr>
                            <w:tcW w:w="1597" w:type="dxa"/>
                          </w:tcPr>
                          <w:p w14:paraId="78BD0B84" w14:textId="77777777" w:rsidR="005342E2" w:rsidRPr="00CC2838" w:rsidRDefault="005342E2" w:rsidP="00CC2838">
                            <w:pPr>
                              <w:pStyle w:val="TableParagraph"/>
                              <w:ind w:left="182" w:right="397" w:hanging="182"/>
                              <w:jc w:val="center"/>
                            </w:pPr>
                            <w:r w:rsidRPr="00CC2838">
                              <w:t>120</w:t>
                            </w:r>
                          </w:p>
                        </w:tc>
                        <w:tc>
                          <w:tcPr>
                            <w:tcW w:w="1439" w:type="dxa"/>
                          </w:tcPr>
                          <w:p w14:paraId="78BD0B85" w14:textId="77777777" w:rsidR="005342E2" w:rsidRPr="00CC2838" w:rsidRDefault="005342E2" w:rsidP="00CC2838">
                            <w:pPr>
                              <w:pStyle w:val="TableParagraph"/>
                              <w:ind w:left="556" w:hanging="182"/>
                            </w:pPr>
                            <w:r w:rsidRPr="00CC2838">
                              <w:t>3600</w:t>
                            </w:r>
                          </w:p>
                        </w:tc>
                        <w:tc>
                          <w:tcPr>
                            <w:tcW w:w="1642" w:type="dxa"/>
                          </w:tcPr>
                          <w:p w14:paraId="78BD0B86" w14:textId="77777777" w:rsidR="005342E2" w:rsidRPr="00CC2838" w:rsidRDefault="005342E2" w:rsidP="00CC2838">
                            <w:pPr>
                              <w:pStyle w:val="TableParagraph"/>
                              <w:ind w:left="792" w:hanging="284"/>
                            </w:pPr>
                            <w:r w:rsidRPr="00CC2838">
                              <w:t>36</w:t>
                            </w:r>
                          </w:p>
                        </w:tc>
                        <w:tc>
                          <w:tcPr>
                            <w:tcW w:w="4536" w:type="dxa"/>
                          </w:tcPr>
                          <w:p w14:paraId="78BD0B87" w14:textId="77777777" w:rsidR="005342E2" w:rsidRPr="00CC2838" w:rsidRDefault="005342E2" w:rsidP="00CC2838">
                            <w:pPr>
                              <w:pStyle w:val="TableParagraph"/>
                              <w:ind w:left="1354" w:hanging="645"/>
                            </w:pPr>
                            <w:r w:rsidRPr="00CC2838">
                              <w:t>12</w:t>
                            </w:r>
                          </w:p>
                        </w:tc>
                      </w:tr>
                      <w:tr w:rsidR="005342E2" w:rsidRPr="00360D35" w14:paraId="78BD0B8D" w14:textId="77777777" w:rsidTr="00CC2838">
                        <w:tc>
                          <w:tcPr>
                            <w:tcW w:w="1597" w:type="dxa"/>
                          </w:tcPr>
                          <w:p w14:paraId="78BD0B89" w14:textId="77777777" w:rsidR="005342E2" w:rsidRPr="00CC2838" w:rsidRDefault="005342E2" w:rsidP="00CC2838">
                            <w:pPr>
                              <w:pStyle w:val="TableParagraph"/>
                              <w:ind w:left="182" w:right="397" w:hanging="182"/>
                              <w:jc w:val="center"/>
                            </w:pPr>
                            <w:r w:rsidRPr="00CC2838">
                              <w:t>125</w:t>
                            </w:r>
                          </w:p>
                        </w:tc>
                        <w:tc>
                          <w:tcPr>
                            <w:tcW w:w="1439" w:type="dxa"/>
                          </w:tcPr>
                          <w:p w14:paraId="78BD0B8A" w14:textId="77777777" w:rsidR="005342E2" w:rsidRPr="00CC2838" w:rsidRDefault="005342E2" w:rsidP="00CC2838">
                            <w:pPr>
                              <w:pStyle w:val="TableParagraph"/>
                              <w:ind w:left="556" w:hanging="182"/>
                            </w:pPr>
                            <w:r w:rsidRPr="00CC2838">
                              <w:t>3750</w:t>
                            </w:r>
                          </w:p>
                        </w:tc>
                        <w:tc>
                          <w:tcPr>
                            <w:tcW w:w="1642" w:type="dxa"/>
                          </w:tcPr>
                          <w:p w14:paraId="78BD0B8B" w14:textId="77777777" w:rsidR="005342E2" w:rsidRPr="00CC2838" w:rsidRDefault="005342E2" w:rsidP="00CC2838">
                            <w:pPr>
                              <w:pStyle w:val="TableParagraph"/>
                              <w:ind w:left="792" w:hanging="284"/>
                            </w:pPr>
                            <w:r w:rsidRPr="00CC2838">
                              <w:t>37</w:t>
                            </w:r>
                            <w:r>
                              <w:t>,</w:t>
                            </w:r>
                            <w:r w:rsidRPr="00CC2838">
                              <w:t>5</w:t>
                            </w:r>
                          </w:p>
                        </w:tc>
                        <w:tc>
                          <w:tcPr>
                            <w:tcW w:w="4536" w:type="dxa"/>
                          </w:tcPr>
                          <w:p w14:paraId="78BD0B8C" w14:textId="77777777" w:rsidR="005342E2" w:rsidRPr="00CC2838" w:rsidRDefault="005342E2" w:rsidP="00CC2838">
                            <w:pPr>
                              <w:pStyle w:val="TableParagraph"/>
                              <w:ind w:left="1354" w:hanging="645"/>
                            </w:pPr>
                            <w:r w:rsidRPr="00CC2838">
                              <w:t>12</w:t>
                            </w:r>
                            <w:r>
                              <w:t>,</w:t>
                            </w:r>
                            <w:r w:rsidRPr="00CC2838">
                              <w:t>5</w:t>
                            </w:r>
                          </w:p>
                        </w:tc>
                      </w:tr>
                      <w:tr w:rsidR="005342E2" w:rsidRPr="00360D35" w14:paraId="78BD0B92" w14:textId="77777777" w:rsidTr="00CC2838">
                        <w:tc>
                          <w:tcPr>
                            <w:tcW w:w="1597" w:type="dxa"/>
                          </w:tcPr>
                          <w:p w14:paraId="78BD0B8E" w14:textId="77777777" w:rsidR="005342E2" w:rsidRPr="00CC2838" w:rsidRDefault="005342E2" w:rsidP="00CC2838">
                            <w:pPr>
                              <w:pStyle w:val="TableParagraph"/>
                              <w:ind w:left="182" w:right="397" w:hanging="182"/>
                              <w:jc w:val="center"/>
                            </w:pPr>
                            <w:r w:rsidRPr="00CC2838">
                              <w:t>130</w:t>
                            </w:r>
                          </w:p>
                        </w:tc>
                        <w:tc>
                          <w:tcPr>
                            <w:tcW w:w="1439" w:type="dxa"/>
                          </w:tcPr>
                          <w:p w14:paraId="78BD0B8F" w14:textId="77777777" w:rsidR="005342E2" w:rsidRPr="00CC2838" w:rsidRDefault="005342E2" w:rsidP="00CC2838">
                            <w:pPr>
                              <w:pStyle w:val="TableParagraph"/>
                              <w:ind w:left="556" w:hanging="182"/>
                            </w:pPr>
                            <w:r w:rsidRPr="00CC2838">
                              <w:t>3900</w:t>
                            </w:r>
                          </w:p>
                        </w:tc>
                        <w:tc>
                          <w:tcPr>
                            <w:tcW w:w="1642" w:type="dxa"/>
                          </w:tcPr>
                          <w:p w14:paraId="78BD0B90" w14:textId="77777777" w:rsidR="005342E2" w:rsidRPr="00CC2838" w:rsidRDefault="005342E2" w:rsidP="00CC2838">
                            <w:pPr>
                              <w:pStyle w:val="TableParagraph"/>
                              <w:ind w:left="792" w:hanging="284"/>
                            </w:pPr>
                            <w:r w:rsidRPr="00CC2838">
                              <w:t>39</w:t>
                            </w:r>
                          </w:p>
                        </w:tc>
                        <w:tc>
                          <w:tcPr>
                            <w:tcW w:w="4536" w:type="dxa"/>
                          </w:tcPr>
                          <w:p w14:paraId="78BD0B91" w14:textId="77777777" w:rsidR="005342E2" w:rsidRPr="00CC2838" w:rsidRDefault="005342E2" w:rsidP="00CC2838">
                            <w:pPr>
                              <w:pStyle w:val="TableParagraph"/>
                              <w:ind w:left="1354" w:hanging="645"/>
                            </w:pPr>
                            <w:r w:rsidRPr="00CC2838">
                              <w:t>13</w:t>
                            </w:r>
                          </w:p>
                        </w:tc>
                      </w:tr>
                      <w:tr w:rsidR="005342E2" w:rsidRPr="00360D35" w14:paraId="78BD0B97" w14:textId="77777777" w:rsidTr="00CC2838">
                        <w:tc>
                          <w:tcPr>
                            <w:tcW w:w="1597" w:type="dxa"/>
                          </w:tcPr>
                          <w:p w14:paraId="78BD0B93" w14:textId="77777777" w:rsidR="005342E2" w:rsidRPr="00CC2838" w:rsidRDefault="005342E2" w:rsidP="00CC2838">
                            <w:pPr>
                              <w:pStyle w:val="TableParagraph"/>
                              <w:ind w:left="182" w:right="397" w:hanging="182"/>
                              <w:jc w:val="center"/>
                            </w:pPr>
                            <w:r w:rsidRPr="00CC2838">
                              <w:t>135</w:t>
                            </w:r>
                          </w:p>
                        </w:tc>
                        <w:tc>
                          <w:tcPr>
                            <w:tcW w:w="1439" w:type="dxa"/>
                          </w:tcPr>
                          <w:p w14:paraId="78BD0B94" w14:textId="77777777" w:rsidR="005342E2" w:rsidRPr="00CC2838" w:rsidRDefault="005342E2" w:rsidP="00CC2838">
                            <w:pPr>
                              <w:pStyle w:val="TableParagraph"/>
                              <w:ind w:left="556" w:hanging="182"/>
                            </w:pPr>
                            <w:r w:rsidRPr="00CC2838">
                              <w:t>4050</w:t>
                            </w:r>
                          </w:p>
                        </w:tc>
                        <w:tc>
                          <w:tcPr>
                            <w:tcW w:w="1642" w:type="dxa"/>
                          </w:tcPr>
                          <w:p w14:paraId="78BD0B95" w14:textId="77777777" w:rsidR="005342E2" w:rsidRPr="00CC2838" w:rsidRDefault="005342E2" w:rsidP="00CC2838">
                            <w:pPr>
                              <w:pStyle w:val="TableParagraph"/>
                              <w:ind w:left="792" w:hanging="284"/>
                            </w:pPr>
                            <w:r w:rsidRPr="00CC2838">
                              <w:t>40</w:t>
                            </w:r>
                            <w:r>
                              <w:t>,</w:t>
                            </w:r>
                            <w:r w:rsidRPr="00CC2838">
                              <w:t>5</w:t>
                            </w:r>
                          </w:p>
                        </w:tc>
                        <w:tc>
                          <w:tcPr>
                            <w:tcW w:w="4536" w:type="dxa"/>
                          </w:tcPr>
                          <w:p w14:paraId="78BD0B96" w14:textId="77777777" w:rsidR="005342E2" w:rsidRPr="00CC2838" w:rsidRDefault="005342E2" w:rsidP="00CC2838">
                            <w:pPr>
                              <w:pStyle w:val="TableParagraph"/>
                              <w:ind w:left="1354" w:hanging="645"/>
                            </w:pPr>
                            <w:r w:rsidRPr="00CC2838">
                              <w:t>13</w:t>
                            </w:r>
                            <w:r>
                              <w:t>,</w:t>
                            </w:r>
                            <w:r w:rsidRPr="00CC2838">
                              <w:t>5</w:t>
                            </w:r>
                          </w:p>
                        </w:tc>
                      </w:tr>
                      <w:tr w:rsidR="005342E2" w:rsidRPr="00360D35" w14:paraId="78BD0B9C" w14:textId="77777777" w:rsidTr="00CC2838">
                        <w:tc>
                          <w:tcPr>
                            <w:tcW w:w="1597" w:type="dxa"/>
                          </w:tcPr>
                          <w:p w14:paraId="78BD0B98" w14:textId="77777777" w:rsidR="005342E2" w:rsidRPr="00CC2838" w:rsidRDefault="005342E2" w:rsidP="00CC2838">
                            <w:pPr>
                              <w:pStyle w:val="TableParagraph"/>
                              <w:ind w:left="182" w:right="397" w:hanging="182"/>
                              <w:jc w:val="center"/>
                            </w:pPr>
                            <w:r w:rsidRPr="00CC2838">
                              <w:t>140</w:t>
                            </w:r>
                          </w:p>
                        </w:tc>
                        <w:tc>
                          <w:tcPr>
                            <w:tcW w:w="1439" w:type="dxa"/>
                          </w:tcPr>
                          <w:p w14:paraId="78BD0B99" w14:textId="77777777" w:rsidR="005342E2" w:rsidRPr="00CC2838" w:rsidRDefault="005342E2" w:rsidP="00CC2838">
                            <w:pPr>
                              <w:pStyle w:val="TableParagraph"/>
                              <w:ind w:left="556" w:hanging="182"/>
                            </w:pPr>
                            <w:r w:rsidRPr="00CC2838">
                              <w:t>4200</w:t>
                            </w:r>
                          </w:p>
                        </w:tc>
                        <w:tc>
                          <w:tcPr>
                            <w:tcW w:w="1642" w:type="dxa"/>
                          </w:tcPr>
                          <w:p w14:paraId="78BD0B9A" w14:textId="77777777" w:rsidR="005342E2" w:rsidRPr="00CC2838" w:rsidRDefault="005342E2" w:rsidP="00CC2838">
                            <w:pPr>
                              <w:pStyle w:val="TableParagraph"/>
                              <w:ind w:left="792" w:hanging="284"/>
                            </w:pPr>
                            <w:r w:rsidRPr="00CC2838">
                              <w:t>42</w:t>
                            </w:r>
                          </w:p>
                        </w:tc>
                        <w:tc>
                          <w:tcPr>
                            <w:tcW w:w="4536" w:type="dxa"/>
                          </w:tcPr>
                          <w:p w14:paraId="78BD0B9B" w14:textId="77777777" w:rsidR="005342E2" w:rsidRPr="00CC2838" w:rsidRDefault="005342E2" w:rsidP="00CC2838">
                            <w:pPr>
                              <w:pStyle w:val="TableParagraph"/>
                              <w:ind w:left="1354" w:hanging="645"/>
                            </w:pPr>
                            <w:r w:rsidRPr="00CC2838">
                              <w:t>14</w:t>
                            </w:r>
                          </w:p>
                        </w:tc>
                      </w:tr>
                      <w:tr w:rsidR="005342E2" w:rsidRPr="00360D35" w14:paraId="78BD0BA1" w14:textId="77777777" w:rsidTr="00CC2838">
                        <w:tc>
                          <w:tcPr>
                            <w:tcW w:w="1597" w:type="dxa"/>
                          </w:tcPr>
                          <w:p w14:paraId="78BD0B9D" w14:textId="77777777" w:rsidR="005342E2" w:rsidRPr="00CC2838" w:rsidRDefault="005342E2" w:rsidP="00CC2838">
                            <w:pPr>
                              <w:pStyle w:val="TableParagraph"/>
                              <w:ind w:left="182" w:right="397" w:hanging="182"/>
                              <w:jc w:val="center"/>
                            </w:pPr>
                            <w:r w:rsidRPr="00CC2838">
                              <w:t>145</w:t>
                            </w:r>
                          </w:p>
                        </w:tc>
                        <w:tc>
                          <w:tcPr>
                            <w:tcW w:w="1439" w:type="dxa"/>
                          </w:tcPr>
                          <w:p w14:paraId="78BD0B9E" w14:textId="77777777" w:rsidR="005342E2" w:rsidRPr="00CC2838" w:rsidRDefault="005342E2" w:rsidP="00CC2838">
                            <w:pPr>
                              <w:pStyle w:val="TableParagraph"/>
                              <w:ind w:left="556" w:hanging="182"/>
                            </w:pPr>
                            <w:r w:rsidRPr="00CC2838">
                              <w:t>4350</w:t>
                            </w:r>
                          </w:p>
                        </w:tc>
                        <w:tc>
                          <w:tcPr>
                            <w:tcW w:w="1642" w:type="dxa"/>
                          </w:tcPr>
                          <w:p w14:paraId="78BD0B9F" w14:textId="77777777" w:rsidR="005342E2" w:rsidRPr="00CC2838" w:rsidRDefault="005342E2" w:rsidP="00CC2838">
                            <w:pPr>
                              <w:pStyle w:val="TableParagraph"/>
                              <w:ind w:left="792" w:hanging="284"/>
                            </w:pPr>
                            <w:r w:rsidRPr="00CC2838">
                              <w:t>43</w:t>
                            </w:r>
                            <w:r>
                              <w:t>,</w:t>
                            </w:r>
                            <w:r w:rsidRPr="00CC2838">
                              <w:t>5</w:t>
                            </w:r>
                          </w:p>
                        </w:tc>
                        <w:tc>
                          <w:tcPr>
                            <w:tcW w:w="4536" w:type="dxa"/>
                          </w:tcPr>
                          <w:p w14:paraId="78BD0BA0" w14:textId="77777777" w:rsidR="005342E2" w:rsidRPr="00CC2838" w:rsidRDefault="005342E2" w:rsidP="00CC2838">
                            <w:pPr>
                              <w:pStyle w:val="TableParagraph"/>
                              <w:ind w:left="1354" w:hanging="645"/>
                            </w:pPr>
                            <w:r w:rsidRPr="00CC2838">
                              <w:t>14</w:t>
                            </w:r>
                            <w:r>
                              <w:t>,</w:t>
                            </w:r>
                            <w:r w:rsidRPr="00CC2838">
                              <w:t>5</w:t>
                            </w:r>
                          </w:p>
                        </w:tc>
                      </w:tr>
                      <w:tr w:rsidR="005342E2" w:rsidRPr="00360D35" w14:paraId="78BD0BA6" w14:textId="77777777" w:rsidTr="00CC2838">
                        <w:tc>
                          <w:tcPr>
                            <w:tcW w:w="1597" w:type="dxa"/>
                          </w:tcPr>
                          <w:p w14:paraId="78BD0BA2" w14:textId="77777777" w:rsidR="005342E2" w:rsidRPr="00CC2838" w:rsidRDefault="005342E2" w:rsidP="00CC2838">
                            <w:pPr>
                              <w:pStyle w:val="TableParagraph"/>
                              <w:ind w:left="182" w:right="397" w:hanging="182"/>
                              <w:jc w:val="center"/>
                            </w:pPr>
                            <w:r w:rsidRPr="00CC2838">
                              <w:t>150</w:t>
                            </w:r>
                          </w:p>
                        </w:tc>
                        <w:tc>
                          <w:tcPr>
                            <w:tcW w:w="1439" w:type="dxa"/>
                          </w:tcPr>
                          <w:p w14:paraId="78BD0BA3" w14:textId="77777777" w:rsidR="005342E2" w:rsidRPr="00CC2838" w:rsidRDefault="005342E2" w:rsidP="00CC2838">
                            <w:pPr>
                              <w:pStyle w:val="TableParagraph"/>
                              <w:ind w:left="556" w:hanging="182"/>
                            </w:pPr>
                            <w:r w:rsidRPr="00CC2838">
                              <w:t>4500</w:t>
                            </w:r>
                          </w:p>
                        </w:tc>
                        <w:tc>
                          <w:tcPr>
                            <w:tcW w:w="1642" w:type="dxa"/>
                          </w:tcPr>
                          <w:p w14:paraId="78BD0BA4" w14:textId="77777777" w:rsidR="005342E2" w:rsidRPr="00CC2838" w:rsidRDefault="005342E2" w:rsidP="00CC2838">
                            <w:pPr>
                              <w:pStyle w:val="TableParagraph"/>
                              <w:ind w:left="792" w:hanging="284"/>
                            </w:pPr>
                            <w:r w:rsidRPr="00CC2838">
                              <w:t>45</w:t>
                            </w:r>
                          </w:p>
                        </w:tc>
                        <w:tc>
                          <w:tcPr>
                            <w:tcW w:w="4536" w:type="dxa"/>
                          </w:tcPr>
                          <w:p w14:paraId="78BD0BA5" w14:textId="77777777" w:rsidR="005342E2" w:rsidRPr="00CC2838" w:rsidRDefault="005342E2" w:rsidP="00CC2838">
                            <w:pPr>
                              <w:pStyle w:val="TableParagraph"/>
                              <w:ind w:left="1354" w:hanging="645"/>
                            </w:pPr>
                            <w:r w:rsidRPr="00CC2838">
                              <w:t>15</w:t>
                            </w:r>
                          </w:p>
                        </w:tc>
                      </w:tr>
                    </w:tbl>
                    <w:p w14:paraId="78BD0BA7" w14:textId="77777777" w:rsidR="005342E2" w:rsidRDefault="005342E2" w:rsidP="0039112B">
                      <w:pPr>
                        <w:pStyle w:val="Szvegtrzs"/>
                      </w:pPr>
                    </w:p>
                  </w:txbxContent>
                </v:textbox>
                <w10:wrap type="topAndBottom"/>
              </v:shape>
            </w:pict>
          </mc:Fallback>
        </mc:AlternateContent>
      </w:r>
      <w:r w:rsidR="00FE6C90" w:rsidRPr="00CC2838">
        <w:rPr>
          <w:lang w:val="es-ES"/>
        </w:rPr>
        <w:t xml:space="preserve">Az intravénásan befecskendezendő </w:t>
      </w:r>
      <w:r w:rsidR="0047783C" w:rsidRPr="00CC2838">
        <w:rPr>
          <w:lang w:val="es-ES"/>
        </w:rPr>
        <w:t>mennyiség a</w:t>
      </w:r>
      <w:r w:rsidR="0062235E" w:rsidRPr="00CC2838">
        <w:rPr>
          <w:lang w:val="es-ES"/>
        </w:rPr>
        <w:t xml:space="preserve"> hígítás után</w:t>
      </w:r>
      <w:r w:rsidR="00A633D7" w:rsidRPr="00CC2838">
        <w:rPr>
          <w:lang w:val="es-ES"/>
        </w:rPr>
        <w:t>i,</w:t>
      </w:r>
      <w:r w:rsidR="0062235E" w:rsidRPr="00CC2838">
        <w:rPr>
          <w:lang w:val="es-ES"/>
        </w:rPr>
        <w:t xml:space="preserve"> 300</w:t>
      </w:r>
      <w:r w:rsidR="004871C7" w:rsidRPr="00CC2838">
        <w:rPr>
          <w:lang w:val="es-ES"/>
        </w:rPr>
        <w:t> </w:t>
      </w:r>
      <w:r w:rsidR="0062235E" w:rsidRPr="00CC2838">
        <w:rPr>
          <w:lang w:val="es-ES"/>
        </w:rPr>
        <w:t>NE (3</w:t>
      </w:r>
      <w:r w:rsidR="004871C7" w:rsidRPr="00CC2838">
        <w:rPr>
          <w:lang w:val="es-ES"/>
        </w:rPr>
        <w:t> </w:t>
      </w:r>
      <w:r w:rsidR="0062235E" w:rsidRPr="00CC2838">
        <w:rPr>
          <w:lang w:val="es-ES"/>
        </w:rPr>
        <w:t>mg)/ml koncentráció</w:t>
      </w:r>
      <w:r w:rsidR="00A633D7" w:rsidRPr="00CC2838">
        <w:rPr>
          <w:lang w:val="es-ES"/>
        </w:rPr>
        <w:t>jú oldatból:</w:t>
      </w:r>
    </w:p>
    <w:p w14:paraId="78BD08B4" w14:textId="77777777" w:rsidR="0039112B" w:rsidRPr="00CC2838" w:rsidRDefault="0039112B" w:rsidP="00545340">
      <w:pPr>
        <w:pStyle w:val="Szvegtrzs"/>
        <w:tabs>
          <w:tab w:val="left" w:pos="567"/>
        </w:tabs>
        <w:ind w:left="567" w:hanging="567"/>
        <w:rPr>
          <w:lang w:val="es-ES"/>
        </w:rPr>
      </w:pPr>
    </w:p>
    <w:p w14:paraId="78BD08B5" w14:textId="77777777" w:rsidR="00390E75" w:rsidRPr="00656C0A" w:rsidRDefault="00390E75" w:rsidP="00545340">
      <w:pPr>
        <w:pStyle w:val="Listaszerbekezds"/>
        <w:numPr>
          <w:ilvl w:val="0"/>
          <w:numId w:val="24"/>
        </w:numPr>
        <w:tabs>
          <w:tab w:val="left" w:pos="567"/>
        </w:tabs>
        <w:ind w:left="567" w:hanging="567"/>
      </w:pPr>
      <w:r w:rsidRPr="00656C0A">
        <w:t>Artériás szárba adagolt injekció:</w:t>
      </w:r>
    </w:p>
    <w:p w14:paraId="78BD08B6" w14:textId="77777777" w:rsidR="00390E75" w:rsidRPr="00656C0A" w:rsidRDefault="00390E75" w:rsidP="00545340">
      <w:pPr>
        <w:tabs>
          <w:tab w:val="left" w:pos="567"/>
        </w:tabs>
        <w:ind w:left="567" w:hanging="567"/>
      </w:pPr>
    </w:p>
    <w:p w14:paraId="78BD08B7" w14:textId="77777777" w:rsidR="00DF73BF" w:rsidRPr="00CC2838" w:rsidRDefault="00FB299E" w:rsidP="00545340">
      <w:pPr>
        <w:pStyle w:val="Szvegtrzs"/>
        <w:tabs>
          <w:tab w:val="left" w:pos="567"/>
        </w:tabs>
      </w:pPr>
      <w:r w:rsidRPr="00656C0A">
        <w:t xml:space="preserve">Az enoxaparin-nátrium injekciót a dializáló kör artériás szárába kell adagolni a </w:t>
      </w:r>
      <w:r w:rsidRPr="00CC2838">
        <w:t>trombusképződés megelőzésére az extracorporalis rendszerben.</w:t>
      </w:r>
    </w:p>
    <w:p w14:paraId="78BD08B8" w14:textId="77777777" w:rsidR="00DF73BF" w:rsidRPr="00CC2838" w:rsidRDefault="00DF73BF" w:rsidP="00545340">
      <w:pPr>
        <w:pStyle w:val="Szvegtrzs"/>
        <w:tabs>
          <w:tab w:val="left" w:pos="567"/>
        </w:tabs>
        <w:ind w:left="567" w:hanging="567"/>
      </w:pPr>
    </w:p>
    <w:p w14:paraId="78BD08B9" w14:textId="77777777" w:rsidR="00DF73BF" w:rsidRPr="00656C0A" w:rsidRDefault="00FB299E" w:rsidP="00545340">
      <w:pPr>
        <w:pStyle w:val="Szvegtrzs"/>
        <w:tabs>
          <w:tab w:val="left" w:pos="567"/>
        </w:tabs>
        <w:ind w:left="567" w:hanging="567"/>
      </w:pPr>
      <w:r w:rsidRPr="00656C0A">
        <w:rPr>
          <w:u w:val="single"/>
        </w:rPr>
        <w:t>Váltás enoxaparin-nátriumról orális antikoagulánsra</w:t>
      </w:r>
    </w:p>
    <w:p w14:paraId="78BD08BA" w14:textId="77777777" w:rsidR="00DF73BF" w:rsidRPr="00656C0A" w:rsidRDefault="00FB299E" w:rsidP="00545340">
      <w:pPr>
        <w:pStyle w:val="Listaszerbekezds"/>
        <w:numPr>
          <w:ilvl w:val="0"/>
          <w:numId w:val="21"/>
        </w:numPr>
        <w:tabs>
          <w:tab w:val="left" w:pos="567"/>
        </w:tabs>
        <w:ind w:left="567" w:hanging="567"/>
      </w:pPr>
      <w:r w:rsidRPr="00656C0A">
        <w:rPr>
          <w:i/>
        </w:rPr>
        <w:t>Váltás az enoxaparin-nátrium és K-vitamin antagonisták (Vitamin K antagonist</w:t>
      </w:r>
      <w:r w:rsidR="00DD3A8F">
        <w:rPr>
          <w:i/>
        </w:rPr>
        <w:t xml:space="preserve"> </w:t>
      </w:r>
      <w:r w:rsidRPr="00656C0A">
        <w:rPr>
          <w:i/>
        </w:rPr>
        <w:t>-</w:t>
      </w:r>
      <w:r w:rsidR="00DD3A8F">
        <w:rPr>
          <w:i/>
        </w:rPr>
        <w:t xml:space="preserve"> </w:t>
      </w:r>
      <w:r w:rsidRPr="00656C0A">
        <w:rPr>
          <w:i/>
        </w:rPr>
        <w:t xml:space="preserve">VKA) között </w:t>
      </w:r>
      <w:r w:rsidRPr="00656C0A">
        <w:t>Fokozott klinikai monitorozás és laboratóriumi vizsgálatok végzése [protrombinidő meghatározása Nemzetközi Normalizált Ráta (International Normalized Ratio</w:t>
      </w:r>
      <w:r w:rsidR="00B268D3">
        <w:t> </w:t>
      </w:r>
      <w:r w:rsidRPr="00656C0A">
        <w:t>=</w:t>
      </w:r>
      <w:r w:rsidR="00B268D3">
        <w:t> </w:t>
      </w:r>
      <w:r w:rsidRPr="00656C0A">
        <w:t>INR) alapján] szükséges a VKA hatásának követése érdekében.</w:t>
      </w:r>
    </w:p>
    <w:p w14:paraId="78BD08BB" w14:textId="77777777" w:rsidR="00DF73BF" w:rsidRPr="00656C0A" w:rsidRDefault="00FB299E" w:rsidP="00545340">
      <w:pPr>
        <w:pStyle w:val="Szvegtrzs"/>
        <w:tabs>
          <w:tab w:val="left" w:pos="567"/>
        </w:tabs>
        <w:ind w:left="567"/>
      </w:pPr>
      <w:r w:rsidRPr="00656C0A">
        <w:t>Mivel a VKA maximális hatását bizonyos idő eltelte után fejti ki, az enoxaparin</w:t>
      </w:r>
      <w:r w:rsidR="00DD3A8F">
        <w:noBreakHyphen/>
      </w:r>
      <w:r w:rsidRPr="00656C0A">
        <w:t>nátrium</w:t>
      </w:r>
      <w:r w:rsidR="00DD3A8F">
        <w:noBreakHyphen/>
      </w:r>
      <w:r w:rsidRPr="00656C0A">
        <w:t>kezelést változatlan dózisban addig kell folytatni, amíg az INR</w:t>
      </w:r>
      <w:r w:rsidR="00DD3A8F">
        <w:t>-</w:t>
      </w:r>
      <w:r w:rsidRPr="00656C0A">
        <w:t>érték az indikációnak megfelelő terápiás tartományban marad két egymást követő vizsgálatban során.</w:t>
      </w:r>
    </w:p>
    <w:p w14:paraId="78BD08BC" w14:textId="77777777" w:rsidR="00DF73BF" w:rsidRPr="00656C0A" w:rsidRDefault="00FB299E" w:rsidP="00CE6397">
      <w:pPr>
        <w:pStyle w:val="Szvegtrzs"/>
        <w:widowControl/>
        <w:tabs>
          <w:tab w:val="left" w:pos="567"/>
        </w:tabs>
        <w:ind w:left="567"/>
      </w:pPr>
      <w:r w:rsidRPr="00656C0A">
        <w:lastRenderedPageBreak/>
        <w:t>A VKA</w:t>
      </w:r>
      <w:r w:rsidR="00DD3A8F">
        <w:t>-</w:t>
      </w:r>
      <w:r w:rsidRPr="00656C0A">
        <w:t>kezelésben részesülő betegeknél, a VKA szedését abba kell hagyni, és az enoxaparin</w:t>
      </w:r>
      <w:r w:rsidR="00DD3A8F">
        <w:noBreakHyphen/>
      </w:r>
      <w:r w:rsidRPr="00656C0A">
        <w:t>nátrium első adagját akkor kell beadni, amikor az INR</w:t>
      </w:r>
      <w:r w:rsidR="00DD3A8F">
        <w:t>-</w:t>
      </w:r>
      <w:r w:rsidRPr="00656C0A">
        <w:t>érték a terápiás tartomány alá esik.</w:t>
      </w:r>
    </w:p>
    <w:p w14:paraId="78BD08BD" w14:textId="77777777" w:rsidR="00DF73BF" w:rsidRPr="00656C0A" w:rsidRDefault="00DF73BF" w:rsidP="00545340">
      <w:pPr>
        <w:pStyle w:val="Szvegtrzs"/>
        <w:tabs>
          <w:tab w:val="left" w:pos="567"/>
        </w:tabs>
        <w:ind w:left="567" w:hanging="567"/>
      </w:pPr>
    </w:p>
    <w:p w14:paraId="78BD08BE" w14:textId="77777777" w:rsidR="00DF73BF" w:rsidRPr="00656C0A" w:rsidRDefault="00FB299E" w:rsidP="00545340">
      <w:pPr>
        <w:pStyle w:val="Listaszerbekezds"/>
        <w:numPr>
          <w:ilvl w:val="0"/>
          <w:numId w:val="21"/>
        </w:numPr>
        <w:tabs>
          <w:tab w:val="left" w:pos="567"/>
        </w:tabs>
        <w:ind w:left="567" w:hanging="567"/>
        <w:rPr>
          <w:i/>
        </w:rPr>
      </w:pPr>
      <w:r w:rsidRPr="00656C0A">
        <w:rPr>
          <w:i/>
        </w:rPr>
        <w:t>Váltás enoxaparin-nátrium és közvetlenül szájon át alkalmazandó antikoaguláns (direct oral anticoagulant-DOAC) között</w:t>
      </w:r>
    </w:p>
    <w:p w14:paraId="78BD08BF" w14:textId="77777777" w:rsidR="00DF73BF" w:rsidRPr="00656C0A" w:rsidRDefault="00FB299E" w:rsidP="00545340">
      <w:pPr>
        <w:pStyle w:val="Szvegtrzs"/>
        <w:tabs>
          <w:tab w:val="left" w:pos="567"/>
        </w:tabs>
        <w:ind w:left="567"/>
      </w:pPr>
      <w:r w:rsidRPr="00656C0A">
        <w:t>Az enoxaparin-nátriummal kezelt betegeknél az enoxaparin-nátrium leállítása után a DOAC adagolását 0–2 órával előbb kezdjük meg, mint esedékes lenne a következő enoxaparin-nátrium adag. Ez megfelel a DOAC alkalmazási előírásának.</w:t>
      </w:r>
    </w:p>
    <w:p w14:paraId="78BD08C0" w14:textId="77777777" w:rsidR="00DF73BF" w:rsidRPr="00656C0A" w:rsidRDefault="00FB299E" w:rsidP="00545340">
      <w:pPr>
        <w:pStyle w:val="Szvegtrzs"/>
        <w:tabs>
          <w:tab w:val="left" w:pos="567"/>
        </w:tabs>
        <w:ind w:left="567"/>
      </w:pPr>
      <w:r w:rsidRPr="00656C0A">
        <w:t>DOAC-vel kezelt betege</w:t>
      </w:r>
      <w:r w:rsidR="00DD3A8F">
        <w:t>k</w:t>
      </w:r>
      <w:r w:rsidRPr="00656C0A">
        <w:t>nél az enoxaparin-nátrium első adagját akkor kell beadni, amikor a DOAC soron következő adagját venné be a beteg.</w:t>
      </w:r>
    </w:p>
    <w:p w14:paraId="78BD08C1" w14:textId="77777777" w:rsidR="00DF73BF" w:rsidRPr="00656C0A" w:rsidRDefault="00DF73BF" w:rsidP="00545340">
      <w:pPr>
        <w:pStyle w:val="Szvegtrzs"/>
        <w:tabs>
          <w:tab w:val="left" w:pos="567"/>
        </w:tabs>
        <w:ind w:left="567" w:hanging="567"/>
      </w:pPr>
    </w:p>
    <w:p w14:paraId="78BD08C2" w14:textId="77777777" w:rsidR="00DF73BF" w:rsidRPr="00656C0A" w:rsidRDefault="00FB299E" w:rsidP="00545340">
      <w:pPr>
        <w:pStyle w:val="Szvegtrzs"/>
        <w:tabs>
          <w:tab w:val="left" w:pos="567"/>
        </w:tabs>
        <w:ind w:left="567" w:hanging="567"/>
      </w:pPr>
      <w:r w:rsidRPr="00656C0A">
        <w:rPr>
          <w:u w:val="single"/>
        </w:rPr>
        <w:t>Epidurális/spinális anesztézia vagy lumbálpunkció során történő alkalmazás</w:t>
      </w:r>
    </w:p>
    <w:p w14:paraId="78BD08C3" w14:textId="77777777" w:rsidR="00DF73BF" w:rsidRDefault="00FB299E" w:rsidP="00545340">
      <w:pPr>
        <w:pStyle w:val="Szvegtrzs"/>
        <w:tabs>
          <w:tab w:val="left" w:pos="567"/>
        </w:tabs>
      </w:pPr>
      <w:r w:rsidRPr="00656C0A">
        <w:t>Ha az orvos úgy dönt, hogy epidurális/spinális anesztézia vagy lumbálpunkció mellett végzi az antikoaguláns-kezelést, akkor a neurológiai státusz körültekintő ellenőrzése szükséges az esetleges neuraxiális haematomák kialakulásának kockázatát illetően. (lásd 4.4 pont).</w:t>
      </w:r>
    </w:p>
    <w:p w14:paraId="78BD08C4" w14:textId="77777777" w:rsidR="00EE39DE" w:rsidRPr="00656C0A" w:rsidRDefault="00EE39DE" w:rsidP="00545340">
      <w:pPr>
        <w:pStyle w:val="Szvegtrzs"/>
        <w:tabs>
          <w:tab w:val="left" w:pos="567"/>
        </w:tabs>
      </w:pPr>
    </w:p>
    <w:p w14:paraId="78BD08C5" w14:textId="77777777" w:rsidR="00DF73BF" w:rsidRPr="00656C0A" w:rsidRDefault="00FB299E" w:rsidP="00545340">
      <w:pPr>
        <w:tabs>
          <w:tab w:val="left" w:pos="567"/>
        </w:tabs>
        <w:rPr>
          <w:i/>
        </w:rPr>
      </w:pPr>
      <w:r w:rsidRPr="00656C0A">
        <w:t>-</w:t>
      </w:r>
      <w:r w:rsidR="00EE39DE">
        <w:tab/>
      </w:r>
      <w:r w:rsidRPr="00656C0A">
        <w:rPr>
          <w:i/>
        </w:rPr>
        <w:t>Megelőzés esetén alkalmazott dózisok</w:t>
      </w:r>
    </w:p>
    <w:p w14:paraId="78BD08C6" w14:textId="77777777" w:rsidR="00DF73BF" w:rsidRPr="00656C0A" w:rsidRDefault="00FB299E" w:rsidP="00545340">
      <w:pPr>
        <w:pStyle w:val="Szvegtrzs"/>
        <w:tabs>
          <w:tab w:val="left" w:pos="567"/>
        </w:tabs>
        <w:ind w:left="567"/>
      </w:pPr>
      <w:r w:rsidRPr="00656C0A">
        <w:t>A spinális tű vagy katéter behelyezése és az enoxaparin-nátrium megelőzésre alkalmazott dózisának legutóbbi beadása között legalább 12 órának kell eltelnie.</w:t>
      </w:r>
    </w:p>
    <w:p w14:paraId="78BD08C7" w14:textId="77777777" w:rsidR="00DF73BF" w:rsidRPr="00656C0A" w:rsidRDefault="00FB299E" w:rsidP="00545340">
      <w:pPr>
        <w:pStyle w:val="Szvegtrzs"/>
        <w:tabs>
          <w:tab w:val="left" w:pos="567"/>
        </w:tabs>
        <w:ind w:left="567"/>
      </w:pPr>
      <w:r w:rsidRPr="00656C0A">
        <w:t>Folyamatos alkalmazás esetén az enoxaparin-nátrium beadása előtt hasonlóképpen legalább 12</w:t>
      </w:r>
      <w:r w:rsidR="00EE39DE">
        <w:t> </w:t>
      </w:r>
      <w:r w:rsidRPr="00656C0A">
        <w:t>órának kell eltelnie a katéter eltávolításáig.</w:t>
      </w:r>
    </w:p>
    <w:p w14:paraId="78BD08C8" w14:textId="77777777" w:rsidR="00DF73BF" w:rsidRPr="00656C0A" w:rsidRDefault="00FB299E" w:rsidP="00545340">
      <w:pPr>
        <w:pStyle w:val="Szvegtrzs"/>
        <w:tabs>
          <w:tab w:val="left" w:pos="567"/>
        </w:tabs>
        <w:ind w:left="567"/>
      </w:pPr>
      <w:r w:rsidRPr="00656C0A">
        <w:t>Azoknál a betegeknél, akiknél a kreatinin-clearance 15-30</w:t>
      </w:r>
      <w:r w:rsidR="00EE39DE">
        <w:t> </w:t>
      </w:r>
      <w:r w:rsidRPr="00656C0A">
        <w:t>ml/perc, megfontolandó a punkcióig/katéter behelyezéséig vagy eltávolításáig eltelő idő megduplázása, azaz legalább 24</w:t>
      </w:r>
      <w:r w:rsidR="00EE39DE">
        <w:t> </w:t>
      </w:r>
      <w:r w:rsidRPr="00656C0A">
        <w:t>óra kihagyása.</w:t>
      </w:r>
    </w:p>
    <w:p w14:paraId="78BD08C9" w14:textId="77777777" w:rsidR="00DF73BF" w:rsidRPr="00656C0A" w:rsidRDefault="00FB299E" w:rsidP="00545340">
      <w:pPr>
        <w:pStyle w:val="Szvegtrzs"/>
        <w:tabs>
          <w:tab w:val="left" w:pos="567"/>
        </w:tabs>
        <w:ind w:left="567"/>
      </w:pPr>
      <w:r w:rsidRPr="00656C0A">
        <w:t>Neuraxiális anesztéziával a 2 órás preoperatív enoxaparin-nátrium 2000</w:t>
      </w:r>
      <w:r w:rsidR="00EE39DE">
        <w:t> NE</w:t>
      </w:r>
      <w:r w:rsidRPr="00656C0A">
        <w:t xml:space="preserve"> (20 mg) adagolás megkezdése nem komptabilis.</w:t>
      </w:r>
    </w:p>
    <w:p w14:paraId="78BD08CA" w14:textId="77777777" w:rsidR="00DF73BF" w:rsidRPr="00656C0A" w:rsidRDefault="00DF73BF" w:rsidP="00545340">
      <w:pPr>
        <w:pStyle w:val="Szvegtrzs"/>
        <w:tabs>
          <w:tab w:val="left" w:pos="567"/>
        </w:tabs>
        <w:ind w:left="567" w:hanging="567"/>
      </w:pPr>
    </w:p>
    <w:p w14:paraId="78BD08CB" w14:textId="77777777" w:rsidR="00DF73BF" w:rsidRPr="00656C0A" w:rsidRDefault="00FB299E" w:rsidP="00545340">
      <w:pPr>
        <w:tabs>
          <w:tab w:val="left" w:pos="567"/>
        </w:tabs>
        <w:ind w:left="567" w:hanging="567"/>
        <w:rPr>
          <w:i/>
        </w:rPr>
      </w:pPr>
      <w:r w:rsidRPr="00656C0A">
        <w:t>-</w:t>
      </w:r>
      <w:r w:rsidR="00EE39DE">
        <w:tab/>
      </w:r>
      <w:r w:rsidRPr="00656C0A">
        <w:rPr>
          <w:i/>
        </w:rPr>
        <w:t>Kezelésre alkalmazott dózisok</w:t>
      </w:r>
    </w:p>
    <w:p w14:paraId="78BD08CC" w14:textId="77777777" w:rsidR="00DF73BF" w:rsidRPr="00656C0A" w:rsidRDefault="00FB299E" w:rsidP="00545340">
      <w:pPr>
        <w:pStyle w:val="Szvegtrzs"/>
        <w:tabs>
          <w:tab w:val="left" w:pos="567"/>
        </w:tabs>
        <w:ind w:left="567"/>
      </w:pPr>
      <w:r w:rsidRPr="00656C0A">
        <w:t>A spinális tű vagy katéter behelyezése és az enoxaparin-nátrium</w:t>
      </w:r>
      <w:r w:rsidR="00EE39DE">
        <w:t>-</w:t>
      </w:r>
      <w:r w:rsidRPr="00656C0A">
        <w:t>kezelésre alkalmazott dózisának legutóbbi beadása között legalább 24 órának kell eltelnie (lásd továbbá a 4.3 pontot).</w:t>
      </w:r>
    </w:p>
    <w:p w14:paraId="78BD08CD" w14:textId="77777777" w:rsidR="00DF73BF" w:rsidRPr="00656C0A" w:rsidRDefault="00FB299E" w:rsidP="00545340">
      <w:pPr>
        <w:pStyle w:val="Szvegtrzs"/>
        <w:tabs>
          <w:tab w:val="left" w:pos="567"/>
        </w:tabs>
        <w:ind w:left="567"/>
      </w:pPr>
      <w:r w:rsidRPr="00656C0A">
        <w:t>Folyamatos alkalmazás esetén az enoxaparin-nátrium beadása előtt hasonlóképpen legalább 24</w:t>
      </w:r>
      <w:r w:rsidR="00EE39DE">
        <w:t> </w:t>
      </w:r>
      <w:r w:rsidRPr="00656C0A">
        <w:t>órának kell eltelnie a katéter eltávolításáig.</w:t>
      </w:r>
    </w:p>
    <w:p w14:paraId="78BD08CE" w14:textId="77777777" w:rsidR="00DF73BF" w:rsidRPr="00656C0A" w:rsidRDefault="00FB299E" w:rsidP="00545340">
      <w:pPr>
        <w:pStyle w:val="Szvegtrzs"/>
        <w:tabs>
          <w:tab w:val="left" w:pos="567"/>
        </w:tabs>
        <w:ind w:left="567"/>
      </w:pPr>
      <w:r w:rsidRPr="00656C0A">
        <w:t>Azoknál a betegeknél, akiknél a kreatinin-clearance 15-30</w:t>
      </w:r>
      <w:r w:rsidR="00EE39DE">
        <w:t> </w:t>
      </w:r>
      <w:r w:rsidRPr="00656C0A">
        <w:t>ml/perc, megfontolandó a punkcióig/katéter behelyezéséig vagy eltávolításáig eltelő idő megduplázása, azaz legalább 48</w:t>
      </w:r>
      <w:r w:rsidR="00EE39DE">
        <w:t> </w:t>
      </w:r>
      <w:r w:rsidRPr="00656C0A">
        <w:t>óra kihagyása.</w:t>
      </w:r>
    </w:p>
    <w:p w14:paraId="78BD08CF" w14:textId="77777777" w:rsidR="00DF73BF" w:rsidRPr="00656C0A" w:rsidRDefault="00FB299E" w:rsidP="00545340">
      <w:pPr>
        <w:pStyle w:val="Szvegtrzs"/>
        <w:tabs>
          <w:tab w:val="left" w:pos="567"/>
        </w:tabs>
        <w:ind w:left="567"/>
      </w:pPr>
      <w:r w:rsidRPr="00656C0A">
        <w:t>Azoknál a betegeknél, akik az enoxaparin-nátriumot naponta két részletben kapják (tehát</w:t>
      </w:r>
      <w:r w:rsidR="00EE39DE">
        <w:t xml:space="preserve"> </w:t>
      </w:r>
      <w:r w:rsidRPr="00656C0A">
        <w:t>75</w:t>
      </w:r>
      <w:r w:rsidR="00EE39DE">
        <w:t> </w:t>
      </w:r>
      <w:r w:rsidRPr="00656C0A">
        <w:t>NE/kg [0,75 mg/kg] napi 2-szer</w:t>
      </w:r>
      <w:r w:rsidR="00EE39DE">
        <w:t>,</w:t>
      </w:r>
      <w:r w:rsidRPr="00656C0A">
        <w:t xml:space="preserve"> vagy 100 NE/kg [1 mg/kg] napi 2-szer, a második enoxaparin- nátrium adagot ki kell hagyni annak érdekében, hogy a katéter behelyezéséig vagy eltávolításáig elegendő idő teljen el.</w:t>
      </w:r>
    </w:p>
    <w:p w14:paraId="78BD08D0" w14:textId="77777777" w:rsidR="00DF73BF" w:rsidRPr="00656C0A" w:rsidRDefault="00FB299E" w:rsidP="00545340">
      <w:pPr>
        <w:pStyle w:val="Szvegtrzs"/>
        <w:tabs>
          <w:tab w:val="left" w:pos="567"/>
        </w:tabs>
        <w:ind w:left="567"/>
      </w:pPr>
      <w:r w:rsidRPr="00656C0A">
        <w:t>Az anti-Xa-szintek ezekben az időpontokban még mindig mérhetők, és a neuraxiális hematóma elkerülése késleltetett behelyezés/eltávolítás esetén sem garantált.</w:t>
      </w:r>
    </w:p>
    <w:p w14:paraId="78BD08D1" w14:textId="77777777" w:rsidR="00DF73BF" w:rsidRPr="00656C0A" w:rsidRDefault="00FB299E" w:rsidP="00545340">
      <w:pPr>
        <w:pStyle w:val="Szvegtrzs"/>
        <w:tabs>
          <w:tab w:val="left" w:pos="567"/>
        </w:tabs>
        <w:ind w:left="567"/>
      </w:pPr>
      <w:r w:rsidRPr="00656C0A">
        <w:t>Hasonlóképpen, legalább 4 órának kell eltelnie az enoxaparin-nátrium következő dózisának beadása előtt a spinális/epidurális lumbálpunkció vagy a katéter eltávolítását követően az előny</w:t>
      </w:r>
      <w:r w:rsidR="00E5033F">
        <w:noBreakHyphen/>
      </w:r>
      <w:r w:rsidRPr="00656C0A">
        <w:t>kockázat mérlegelése alapján, figyelembe véve mind a trombózis, mind a vérzés kialakulásának kockázatát az adott beavatkozással, és a betegnél fennálló kockázati tényezőkkel összefüggésében.</w:t>
      </w:r>
    </w:p>
    <w:p w14:paraId="78BD08D2" w14:textId="77777777" w:rsidR="00DF73BF" w:rsidRPr="00656C0A" w:rsidRDefault="00DF73BF" w:rsidP="00545340">
      <w:pPr>
        <w:pStyle w:val="Szvegtrzs"/>
        <w:tabs>
          <w:tab w:val="left" w:pos="567"/>
        </w:tabs>
        <w:ind w:left="567" w:hanging="567"/>
      </w:pPr>
    </w:p>
    <w:p w14:paraId="78BD08D3" w14:textId="77777777" w:rsidR="00DF73BF" w:rsidRPr="00656C0A" w:rsidRDefault="00FB299E" w:rsidP="00545340">
      <w:pPr>
        <w:pStyle w:val="Cmsor1"/>
        <w:numPr>
          <w:ilvl w:val="1"/>
          <w:numId w:val="20"/>
        </w:numPr>
        <w:tabs>
          <w:tab w:val="left" w:pos="567"/>
        </w:tabs>
        <w:ind w:left="567"/>
      </w:pPr>
      <w:r w:rsidRPr="00656C0A">
        <w:t>Ellenjavallatok</w:t>
      </w:r>
    </w:p>
    <w:p w14:paraId="78BD08D4" w14:textId="77777777" w:rsidR="00DF73BF" w:rsidRPr="00656C0A" w:rsidRDefault="00DF73BF" w:rsidP="00545340">
      <w:pPr>
        <w:pStyle w:val="Szvegtrzs"/>
        <w:tabs>
          <w:tab w:val="left" w:pos="567"/>
        </w:tabs>
        <w:ind w:left="567" w:hanging="567"/>
        <w:rPr>
          <w:b/>
        </w:rPr>
      </w:pPr>
    </w:p>
    <w:p w14:paraId="78BD08D5" w14:textId="77777777" w:rsidR="00DF73BF" w:rsidRPr="00656C0A" w:rsidRDefault="00FB299E" w:rsidP="00545340">
      <w:pPr>
        <w:pStyle w:val="Szvegtrzs"/>
        <w:tabs>
          <w:tab w:val="left" w:pos="567"/>
        </w:tabs>
        <w:ind w:left="567" w:hanging="567"/>
      </w:pPr>
      <w:r w:rsidRPr="00656C0A">
        <w:t>Az enoxaparin-nátrium ellenjavallt az alábbi kórképekben:</w:t>
      </w:r>
    </w:p>
    <w:p w14:paraId="78BD08D6" w14:textId="77777777" w:rsidR="00DF73BF" w:rsidRPr="00656C0A" w:rsidRDefault="00FB299E" w:rsidP="00545340">
      <w:pPr>
        <w:pStyle w:val="Felsorols"/>
        <w:numPr>
          <w:ilvl w:val="2"/>
          <w:numId w:val="32"/>
        </w:numPr>
        <w:tabs>
          <w:tab w:val="left" w:pos="567"/>
        </w:tabs>
        <w:ind w:left="567" w:hanging="567"/>
      </w:pPr>
      <w:r w:rsidRPr="00656C0A">
        <w:t>Enoxaparin-nátriummal, heparinnal vagy származékaival – ideértve a többi kismolekulatömegű heparint (LMWH) – vagy a készítmény 6.1 pontban felsorolt bármely segédanyagával szemben fennálló túlérzékenység;</w:t>
      </w:r>
    </w:p>
    <w:p w14:paraId="78BD08D7" w14:textId="77777777" w:rsidR="00DF73BF" w:rsidRPr="00656C0A" w:rsidRDefault="00FB299E" w:rsidP="00545340">
      <w:pPr>
        <w:pStyle w:val="Felsorols"/>
        <w:numPr>
          <w:ilvl w:val="2"/>
          <w:numId w:val="32"/>
        </w:numPr>
        <w:tabs>
          <w:tab w:val="left" w:pos="567"/>
        </w:tabs>
        <w:ind w:left="567" w:hanging="567"/>
      </w:pPr>
      <w:r w:rsidRPr="00656C0A">
        <w:t>Immunmediált heparin</w:t>
      </w:r>
      <w:r w:rsidR="00E5033F">
        <w:t>-</w:t>
      </w:r>
      <w:r w:rsidRPr="00656C0A">
        <w:t>indukálta trombocitopénia (HIT) az anamnézisben az elmúlt 100 nap folyamán; vagy keringő antitestek jelenléte (lásd 4.4 pont);</w:t>
      </w:r>
    </w:p>
    <w:p w14:paraId="78BD08D8" w14:textId="77777777" w:rsidR="00DF73BF" w:rsidRPr="00656C0A" w:rsidRDefault="00FB299E" w:rsidP="00545340">
      <w:pPr>
        <w:pStyle w:val="Felsorols"/>
        <w:numPr>
          <w:ilvl w:val="2"/>
          <w:numId w:val="32"/>
        </w:numPr>
        <w:tabs>
          <w:tab w:val="left" w:pos="567"/>
        </w:tabs>
        <w:ind w:left="567" w:hanging="567"/>
      </w:pPr>
      <w:r w:rsidRPr="00656C0A">
        <w:t xml:space="preserve">Aktív, klinikailag jelentős vérzés és haemorrhagia nagyfokú kockázatával járó állapotok, </w:t>
      </w:r>
      <w:r w:rsidRPr="00656C0A">
        <w:lastRenderedPageBreak/>
        <w:t>ideértve a közelmúltban lezajlott haemorrhagiás stroke-ot, gasztrointesztinális fekélyt, vérzés nagyfokú kockázatával járó rosszindulatú daganatok jelenlétét, közelmúltban végzett agy-, gerinc</w:t>
      </w:r>
      <w:r w:rsidR="00E5033F">
        <w:t>-</w:t>
      </w:r>
      <w:r w:rsidRPr="00656C0A">
        <w:t xml:space="preserve"> vagy szemészeti műtétet, ismert vagy feltételezett nyelőcs</w:t>
      </w:r>
      <w:r w:rsidR="00E5033F">
        <w:t>ő</w:t>
      </w:r>
      <w:r w:rsidRPr="00656C0A">
        <w:t>varixokat, arterioven</w:t>
      </w:r>
      <w:r w:rsidR="002B2BEF">
        <w:t>óz</w:t>
      </w:r>
      <w:r w:rsidRPr="00656C0A">
        <w:t>us malformációkat, éraneurizmákat, illetve a nagyobb intraspinális vagy intracerebrális vaszkuláris deformitásokat;</w:t>
      </w:r>
    </w:p>
    <w:p w14:paraId="78BD08D9" w14:textId="77777777" w:rsidR="00DF73BF" w:rsidRPr="00656C0A" w:rsidRDefault="00FB299E" w:rsidP="00545340">
      <w:pPr>
        <w:pStyle w:val="Felsorols"/>
        <w:numPr>
          <w:ilvl w:val="2"/>
          <w:numId w:val="32"/>
        </w:numPr>
        <w:tabs>
          <w:tab w:val="left" w:pos="567"/>
        </w:tabs>
        <w:ind w:left="567" w:hanging="567"/>
      </w:pPr>
      <w:r w:rsidRPr="00656C0A">
        <w:t>Spinális vagy epidurális anesztézia vagy helyi</w:t>
      </w:r>
      <w:r w:rsidR="002B2BEF">
        <w:t>/</w:t>
      </w:r>
      <w:r w:rsidRPr="00656C0A">
        <w:t>regionális érzéstelenítés, amennyiben az enoxaparin- nátriumot az előző 24 óra folyamán alkalmazták (lásd 4.4 pont).</w:t>
      </w:r>
    </w:p>
    <w:p w14:paraId="78BD08DA" w14:textId="77777777" w:rsidR="00DF73BF" w:rsidRPr="00656C0A" w:rsidRDefault="00DF73BF" w:rsidP="00545340">
      <w:pPr>
        <w:pStyle w:val="Szvegtrzs"/>
        <w:tabs>
          <w:tab w:val="left" w:pos="567"/>
        </w:tabs>
        <w:ind w:left="567" w:hanging="567"/>
      </w:pPr>
    </w:p>
    <w:p w14:paraId="78BD08DB" w14:textId="77777777" w:rsidR="00DF73BF" w:rsidRPr="00656C0A" w:rsidRDefault="00FB299E" w:rsidP="00545340">
      <w:pPr>
        <w:pStyle w:val="Cmsor1"/>
        <w:numPr>
          <w:ilvl w:val="1"/>
          <w:numId w:val="20"/>
        </w:numPr>
        <w:tabs>
          <w:tab w:val="left" w:pos="567"/>
        </w:tabs>
        <w:ind w:left="567"/>
      </w:pPr>
      <w:r w:rsidRPr="00656C0A">
        <w:t>Különleges figyelmeztetések és az alkalmazással kapcsolatos óvintézkedések</w:t>
      </w:r>
    </w:p>
    <w:p w14:paraId="78BD08DC" w14:textId="55BD7F9B" w:rsidR="00DF73BF" w:rsidRDefault="00DF73BF" w:rsidP="00545340">
      <w:pPr>
        <w:pStyle w:val="Szvegtrzs"/>
        <w:tabs>
          <w:tab w:val="left" w:pos="567"/>
        </w:tabs>
        <w:ind w:left="567" w:hanging="567"/>
        <w:rPr>
          <w:b/>
        </w:rPr>
      </w:pPr>
    </w:p>
    <w:p w14:paraId="264DB62D" w14:textId="77777777" w:rsidR="00151B3A" w:rsidRPr="00656C0A" w:rsidRDefault="00151B3A" w:rsidP="00151B3A">
      <w:pPr>
        <w:pStyle w:val="Listaszerbekezds"/>
        <w:numPr>
          <w:ilvl w:val="1"/>
          <w:numId w:val="19"/>
        </w:numPr>
        <w:tabs>
          <w:tab w:val="left" w:pos="567"/>
        </w:tabs>
        <w:ind w:left="567" w:hanging="567"/>
        <w:rPr>
          <w:i/>
        </w:rPr>
      </w:pPr>
      <w:r w:rsidRPr="00656C0A">
        <w:rPr>
          <w:i/>
        </w:rPr>
        <w:t>A készítmények követhetősége</w:t>
      </w:r>
    </w:p>
    <w:p w14:paraId="0E52A568" w14:textId="4AD1BB80" w:rsidR="00151B3A" w:rsidRPr="00656C0A" w:rsidRDefault="00AD43D0" w:rsidP="00151B3A">
      <w:pPr>
        <w:pStyle w:val="Szvegtrzs"/>
        <w:tabs>
          <w:tab w:val="left" w:pos="567"/>
        </w:tabs>
        <w:ind w:left="567"/>
      </w:pPr>
      <w:r w:rsidRPr="00AD43D0">
        <w:t xml:space="preserve">A biológiai készítmények nyomonkövethetőségének javítása érdekében, az alkalmazott készítmény nevét és gyártási tételszámát egyértelműen </w:t>
      </w:r>
      <w:r w:rsidR="005F0E88">
        <w:t xml:space="preserve">fel </w:t>
      </w:r>
      <w:r w:rsidRPr="00AD43D0">
        <w:t xml:space="preserve">kell </w:t>
      </w:r>
      <w:r w:rsidR="005F0E88">
        <w:t>jegyezni</w:t>
      </w:r>
      <w:r w:rsidR="00151B3A" w:rsidRPr="00656C0A">
        <w:t>.</w:t>
      </w:r>
    </w:p>
    <w:p w14:paraId="61D54B00" w14:textId="77777777" w:rsidR="00151B3A" w:rsidRPr="00656C0A" w:rsidRDefault="00151B3A" w:rsidP="00545340">
      <w:pPr>
        <w:pStyle w:val="Szvegtrzs"/>
        <w:tabs>
          <w:tab w:val="left" w:pos="567"/>
        </w:tabs>
        <w:ind w:left="567" w:hanging="567"/>
        <w:rPr>
          <w:b/>
        </w:rPr>
      </w:pPr>
    </w:p>
    <w:p w14:paraId="78BD08DD" w14:textId="77777777" w:rsidR="00DF73BF" w:rsidRPr="00656C0A" w:rsidRDefault="00FB299E" w:rsidP="00545340">
      <w:pPr>
        <w:pStyle w:val="Listaszerbekezds"/>
        <w:numPr>
          <w:ilvl w:val="2"/>
          <w:numId w:val="20"/>
        </w:numPr>
        <w:tabs>
          <w:tab w:val="left" w:pos="567"/>
        </w:tabs>
        <w:ind w:left="567" w:hanging="567"/>
        <w:rPr>
          <w:i/>
        </w:rPr>
      </w:pPr>
      <w:r w:rsidRPr="00656C0A">
        <w:rPr>
          <w:i/>
        </w:rPr>
        <w:t>Általános megjegyzések</w:t>
      </w:r>
    </w:p>
    <w:p w14:paraId="78BD08DE" w14:textId="77777777" w:rsidR="00DF73BF" w:rsidRPr="00656C0A" w:rsidRDefault="00FB299E" w:rsidP="00545340">
      <w:pPr>
        <w:pStyle w:val="Szvegtrzs"/>
        <w:tabs>
          <w:tab w:val="left" w:pos="567"/>
        </w:tabs>
        <w:ind w:left="567"/>
      </w:pPr>
      <w:r w:rsidRPr="00656C0A">
        <w:t>Az enoxaparin-nátrium nem váltható fel (egységre azonos mennyiségben) más kismolekulatömegű heparin</w:t>
      </w:r>
      <w:r w:rsidR="002B2BEF">
        <w:t>n</w:t>
      </w:r>
      <w:r w:rsidRPr="00656C0A">
        <w:t>al (LMWH). Ezek a termékek eltérnek a gyártási folyamatuk, molekulasúlyuk, specifikus anti-Xa- és anti-IIa-aktivitásuk, egységeik, adagolásuk, továbbá klinikai hat</w:t>
      </w:r>
      <w:r w:rsidR="002B2BEF">
        <w:t>ásos</w:t>
      </w:r>
      <w:r w:rsidRPr="00656C0A">
        <w:t>ságuk és bizotnságosságuk szempontjából. Ez farmakokinetikai és ezzel összefüggő biológiai aktivitásbeli különbségeket eredményez (pl. antitrombin-hatás és trombocita-interakciók). Ezért alkalmazásukkor különös figyelem szükséges és minden egyes készítmény esetében elengedhetetlen a saját alkalmazási előírásuk utasításainak betartása.</w:t>
      </w:r>
    </w:p>
    <w:p w14:paraId="78BD08DF" w14:textId="77777777" w:rsidR="00DF73BF" w:rsidRPr="00656C0A" w:rsidRDefault="00DF73BF" w:rsidP="00545340">
      <w:pPr>
        <w:pStyle w:val="Szvegtrzs"/>
        <w:tabs>
          <w:tab w:val="left" w:pos="567"/>
        </w:tabs>
        <w:ind w:left="567" w:hanging="567"/>
      </w:pPr>
    </w:p>
    <w:p w14:paraId="78BD08E0" w14:textId="77777777" w:rsidR="00DF73BF" w:rsidRPr="00656C0A" w:rsidRDefault="00FB299E" w:rsidP="00545340">
      <w:pPr>
        <w:pStyle w:val="Listaszerbekezds"/>
        <w:numPr>
          <w:ilvl w:val="2"/>
          <w:numId w:val="20"/>
        </w:numPr>
        <w:tabs>
          <w:tab w:val="left" w:pos="567"/>
        </w:tabs>
        <w:ind w:left="567" w:hanging="567"/>
        <w:rPr>
          <w:i/>
        </w:rPr>
      </w:pPr>
      <w:r w:rsidRPr="00656C0A">
        <w:rPr>
          <w:i/>
        </w:rPr>
        <w:t>HIT az anamnézisben (&gt;</w:t>
      </w:r>
      <w:r w:rsidR="00331DC5">
        <w:rPr>
          <w:i/>
        </w:rPr>
        <w:t> </w:t>
      </w:r>
      <w:r w:rsidRPr="00656C0A">
        <w:rPr>
          <w:i/>
        </w:rPr>
        <w:t>100 nap)</w:t>
      </w:r>
    </w:p>
    <w:p w14:paraId="78BD08E1" w14:textId="77777777" w:rsidR="00DF73BF" w:rsidRPr="00656C0A" w:rsidRDefault="00FB299E" w:rsidP="00545340">
      <w:pPr>
        <w:pStyle w:val="Szvegtrzs"/>
        <w:tabs>
          <w:tab w:val="left" w:pos="567"/>
        </w:tabs>
        <w:ind w:left="567"/>
      </w:pPr>
      <w:r w:rsidRPr="00656C0A">
        <w:t>Az enoxaparin-nátrium alkalmazása ellenjavallt az anamnézisben</w:t>
      </w:r>
      <w:r w:rsidR="00331DC5">
        <w:t>,</w:t>
      </w:r>
      <w:r w:rsidRPr="00656C0A">
        <w:t xml:space="preserve"> az elmúlt 100 nap folyamán</w:t>
      </w:r>
      <w:r w:rsidR="00331DC5">
        <w:t>,</w:t>
      </w:r>
      <w:r w:rsidRPr="00656C0A">
        <w:t xml:space="preserve"> szereplő immunmediált HIT vagy a vérben kimutatható antitestek jelenléte esetén (lásd 4.3</w:t>
      </w:r>
      <w:r w:rsidR="00331DC5">
        <w:t> </w:t>
      </w:r>
      <w:r w:rsidRPr="00656C0A">
        <w:t>pont). Keringő antitestek még néhány év elteltével is jelen lehetnek a szervezetben.</w:t>
      </w:r>
    </w:p>
    <w:p w14:paraId="78BD08E2" w14:textId="77777777" w:rsidR="00DF73BF" w:rsidRPr="00656C0A" w:rsidRDefault="00FB299E" w:rsidP="00545340">
      <w:pPr>
        <w:pStyle w:val="Szvegtrzs"/>
        <w:tabs>
          <w:tab w:val="left" w:pos="567"/>
        </w:tabs>
        <w:ind w:left="567"/>
      </w:pPr>
      <w:r w:rsidRPr="00656C0A">
        <w:t>Különös óvatossággal kell eljárni az enoxaparin-nátrium alkalmazásakor olyan betegek esetén, akiknél a kórtörténetben 100 napon túli HIT szerepel</w:t>
      </w:r>
      <w:r w:rsidR="00331DC5">
        <w:t>,</w:t>
      </w:r>
      <w:r w:rsidRPr="00656C0A">
        <w:t xml:space="preserve"> keringő antitestek jelenléte nélkül. Az enoxaparin-nátrium ilyen esetekben történő alkalmazásáról kizárólag az előny/kockázat gondos mérlegelése, és egyéb alternatív nemheparin</w:t>
      </w:r>
      <w:r w:rsidR="00331DC5">
        <w:t>-</w:t>
      </w:r>
      <w:r w:rsidRPr="00656C0A">
        <w:t>terápiák (pl. danaparoid-nátrium vagy lepirudin) megfontolását követően lehet dönteni.</w:t>
      </w:r>
    </w:p>
    <w:p w14:paraId="78BD08E3" w14:textId="77777777" w:rsidR="00DF73BF" w:rsidRPr="00656C0A" w:rsidRDefault="00DF73BF" w:rsidP="00545340">
      <w:pPr>
        <w:pStyle w:val="Szvegtrzs"/>
        <w:tabs>
          <w:tab w:val="left" w:pos="567"/>
        </w:tabs>
        <w:ind w:left="567" w:hanging="567"/>
      </w:pPr>
    </w:p>
    <w:p w14:paraId="78BD08E4" w14:textId="328B1DD0" w:rsidR="00DF73BF" w:rsidRDefault="00FB299E" w:rsidP="00545340">
      <w:pPr>
        <w:pStyle w:val="Listaszerbekezds"/>
        <w:numPr>
          <w:ilvl w:val="2"/>
          <w:numId w:val="20"/>
        </w:numPr>
        <w:tabs>
          <w:tab w:val="left" w:pos="567"/>
        </w:tabs>
        <w:ind w:left="567" w:hanging="567"/>
        <w:rPr>
          <w:i/>
        </w:rPr>
      </w:pPr>
      <w:r w:rsidRPr="00656C0A">
        <w:rPr>
          <w:i/>
        </w:rPr>
        <w:t>A trombocitaszám monitorozása</w:t>
      </w:r>
    </w:p>
    <w:p w14:paraId="516F268E" w14:textId="77777777" w:rsidR="00A75E88" w:rsidRPr="00A75E88" w:rsidRDefault="00A75E88" w:rsidP="00A75E88">
      <w:pPr>
        <w:pStyle w:val="Szvegtrzs"/>
        <w:tabs>
          <w:tab w:val="left" w:pos="567"/>
        </w:tabs>
        <w:ind w:left="567"/>
      </w:pPr>
      <w:bookmarkStart w:id="4" w:name="_Hlk57289415"/>
      <w:r w:rsidRPr="00A75E88">
        <w:t>Azoknál a tumoros betegségben szenvedő betegeknél, akiknél a trombocitaszám 80 g/l alatt van, az antikoaguláns kezelés csak eseti alapon mérlegelhető, és gondos monitorozás javasolt</w:t>
      </w:r>
      <w:bookmarkEnd w:id="4"/>
      <w:r w:rsidRPr="00A75E88">
        <w:t>.</w:t>
      </w:r>
    </w:p>
    <w:p w14:paraId="78BD08E5" w14:textId="77777777" w:rsidR="00DF73BF" w:rsidRPr="00656C0A" w:rsidRDefault="00FB299E" w:rsidP="00545340">
      <w:pPr>
        <w:pStyle w:val="Szvegtrzs"/>
        <w:tabs>
          <w:tab w:val="left" w:pos="567"/>
        </w:tabs>
        <w:ind w:left="567"/>
      </w:pPr>
      <w:r w:rsidRPr="00656C0A">
        <w:t>Az antitestmediált heparin</w:t>
      </w:r>
      <w:r w:rsidR="00331DC5">
        <w:t>-</w:t>
      </w:r>
      <w:r w:rsidRPr="00656C0A">
        <w:t>indukálta trombocitopénia (HIT) kockázata szintén fenáll a ki molekulatömegű heparinoknál. Ha trombocitopénia lép fel, akkor az általában az enoxaparin</w:t>
      </w:r>
      <w:r w:rsidR="00331DC5">
        <w:noBreakHyphen/>
      </w:r>
      <w:r w:rsidRPr="00656C0A">
        <w:t>nátrium</w:t>
      </w:r>
      <w:r w:rsidR="00331DC5">
        <w:t>-</w:t>
      </w:r>
      <w:r w:rsidRPr="00656C0A">
        <w:t>kezelés megkezdését követő 5. és 21. nap között jelentkezik.</w:t>
      </w:r>
    </w:p>
    <w:p w14:paraId="78BD08E6" w14:textId="77777777" w:rsidR="00DF73BF" w:rsidRPr="00656C0A" w:rsidRDefault="00FB299E" w:rsidP="00545340">
      <w:pPr>
        <w:pStyle w:val="Szvegtrzs"/>
        <w:tabs>
          <w:tab w:val="left" w:pos="567"/>
        </w:tabs>
        <w:ind w:left="567"/>
      </w:pPr>
      <w:r w:rsidRPr="00656C0A">
        <w:t>A HIT kockázata nagyobb a posztoperatív betegek esetében, különösen szívműtétet követően, illetve daganatos betegeknél.</w:t>
      </w:r>
    </w:p>
    <w:p w14:paraId="78BD08E7" w14:textId="77777777" w:rsidR="00DF73BF" w:rsidRPr="00656C0A" w:rsidRDefault="00FB299E" w:rsidP="00545340">
      <w:pPr>
        <w:pStyle w:val="Szvegtrzs"/>
        <w:tabs>
          <w:tab w:val="left" w:pos="567"/>
        </w:tabs>
        <w:ind w:left="567"/>
      </w:pPr>
      <w:r w:rsidRPr="00656C0A">
        <w:t>Ezért szükséges a trombocitaszám ellenőrzése az enoxaparin-kezelés elkezdése előtt, majd rendszeresen a kezelés időtartama alatt.</w:t>
      </w:r>
    </w:p>
    <w:p w14:paraId="78BD08E8" w14:textId="77777777" w:rsidR="00DF73BF" w:rsidRPr="00656C0A" w:rsidRDefault="00FB299E" w:rsidP="00545340">
      <w:pPr>
        <w:pStyle w:val="Szvegtrzs"/>
        <w:tabs>
          <w:tab w:val="left" w:pos="567"/>
        </w:tabs>
        <w:ind w:left="567"/>
      </w:pPr>
      <w:r w:rsidRPr="00656C0A">
        <w:t xml:space="preserve">Amennyiben a klinikai tünetek HIT-re utalnak (arteriás és/vagy vénás tromboembólia bármilyen új epizódja, az injekció beadásának helyén fellépő bármilyen fájdalmas bőrelváltozás, a kezelés során fellépő bármilyen allergiás vagy anafilaktoid reakció), a trombocitaszámot ellenőrizni kell. A betegeket tájékoztatni kell arról, hogy ilyen tünetek előfordulhatnak, és észlelésük esetén értesítsék </w:t>
      </w:r>
      <w:r w:rsidR="00331DC5">
        <w:t xml:space="preserve">a </w:t>
      </w:r>
      <w:r w:rsidRPr="00656C0A">
        <w:t>háziorvosukat.</w:t>
      </w:r>
    </w:p>
    <w:p w14:paraId="78BD08E9" w14:textId="77777777" w:rsidR="00DF73BF" w:rsidRPr="00656C0A" w:rsidRDefault="00FB299E" w:rsidP="00545340">
      <w:pPr>
        <w:pStyle w:val="Szvegtrzs"/>
        <w:tabs>
          <w:tab w:val="left" w:pos="567"/>
        </w:tabs>
        <w:ind w:left="567"/>
      </w:pPr>
      <w:r w:rsidRPr="00656C0A">
        <w:t>A gyakorlatban, amennyiben megerősítést nyer a trombocitaszám jelentős csökkenése (a kezdeti érték 30-50%-a), az enoxaparin-nátrium</w:t>
      </w:r>
      <w:r w:rsidR="00331DC5">
        <w:t>-</w:t>
      </w:r>
      <w:r w:rsidRPr="00656C0A">
        <w:t>kezelést azonnal abba kell hagyni és a beteget egyéb alternatív, nemheparin</w:t>
      </w:r>
      <w:r w:rsidR="00331DC5">
        <w:t>-</w:t>
      </w:r>
      <w:r w:rsidRPr="00656C0A">
        <w:t>típusú antikoaguláns kezelésre kell átállítani.</w:t>
      </w:r>
    </w:p>
    <w:p w14:paraId="78BD08EA" w14:textId="77777777" w:rsidR="00DF73BF" w:rsidRPr="00656C0A" w:rsidRDefault="00DF73BF" w:rsidP="00545340">
      <w:pPr>
        <w:pStyle w:val="Szvegtrzs"/>
        <w:tabs>
          <w:tab w:val="left" w:pos="567"/>
        </w:tabs>
        <w:ind w:left="567" w:hanging="567"/>
      </w:pPr>
    </w:p>
    <w:p w14:paraId="78BD08EB" w14:textId="77777777" w:rsidR="00DF73BF" w:rsidRPr="00656C0A" w:rsidRDefault="00FB299E" w:rsidP="00545340">
      <w:pPr>
        <w:pStyle w:val="Listaszerbekezds"/>
        <w:numPr>
          <w:ilvl w:val="2"/>
          <w:numId w:val="20"/>
        </w:numPr>
        <w:tabs>
          <w:tab w:val="left" w:pos="567"/>
        </w:tabs>
        <w:ind w:left="567" w:hanging="567"/>
        <w:rPr>
          <w:i/>
        </w:rPr>
      </w:pPr>
      <w:r w:rsidRPr="00656C0A">
        <w:rPr>
          <w:i/>
        </w:rPr>
        <w:t>Vérzések</w:t>
      </w:r>
    </w:p>
    <w:p w14:paraId="78BD08EC" w14:textId="77777777" w:rsidR="00DF73BF" w:rsidRPr="00656C0A" w:rsidRDefault="00FB299E" w:rsidP="00545340">
      <w:pPr>
        <w:pStyle w:val="Szvegtrzs"/>
        <w:tabs>
          <w:tab w:val="left" w:pos="567"/>
        </w:tabs>
        <w:ind w:left="567"/>
      </w:pPr>
      <w:r w:rsidRPr="00656C0A">
        <w:t>A többi véralvadásgátlóhoz hasonlóan, az enoxaparin-kezelés során is</w:t>
      </w:r>
      <w:r w:rsidR="00B55DCD">
        <w:t>,</w:t>
      </w:r>
      <w:r w:rsidRPr="00656C0A">
        <w:t xml:space="preserve"> bárhol a szervezetben kialakulhat vérzés. Kialakulásakor fel kell deríteni a vérzés helyét és megfelelő kezelést kell alkalmazni.</w:t>
      </w:r>
    </w:p>
    <w:p w14:paraId="78BD08ED" w14:textId="77777777" w:rsidR="00DF73BF" w:rsidRPr="00656C0A" w:rsidRDefault="00DF73BF" w:rsidP="00545340">
      <w:pPr>
        <w:pStyle w:val="Szvegtrzs"/>
        <w:tabs>
          <w:tab w:val="left" w:pos="567"/>
        </w:tabs>
        <w:ind w:left="567" w:hanging="567"/>
      </w:pPr>
    </w:p>
    <w:p w14:paraId="78BD08EE" w14:textId="77777777" w:rsidR="00DF73BF" w:rsidRPr="00656C0A" w:rsidRDefault="00FB299E" w:rsidP="00545340">
      <w:pPr>
        <w:pStyle w:val="Szvegtrzs"/>
        <w:tabs>
          <w:tab w:val="left" w:pos="567"/>
        </w:tabs>
        <w:ind w:left="567"/>
      </w:pPr>
      <w:r w:rsidRPr="00656C0A">
        <w:lastRenderedPageBreak/>
        <w:t xml:space="preserve">Az enoxaparin-nátriumot – a többi antikoaguláns kezeléssel megegyezően–óvatosan kell alkalmazni a </w:t>
      </w:r>
      <w:r w:rsidRPr="00656C0A">
        <w:rPr>
          <w:u w:val="single"/>
        </w:rPr>
        <w:t>fokozott vérzési veszéllyel járó állapotokban, mint pl.</w:t>
      </w:r>
    </w:p>
    <w:p w14:paraId="78BD08EF" w14:textId="77777777" w:rsidR="00DF73BF" w:rsidRPr="00656C0A" w:rsidRDefault="00FB299E" w:rsidP="00545340">
      <w:pPr>
        <w:pStyle w:val="Listaszerbekezds"/>
        <w:numPr>
          <w:ilvl w:val="0"/>
          <w:numId w:val="33"/>
        </w:numPr>
        <w:tabs>
          <w:tab w:val="left" w:pos="567"/>
        </w:tabs>
        <w:ind w:left="1134" w:hanging="567"/>
      </w:pPr>
      <w:r w:rsidRPr="00656C0A">
        <w:t>a hemos</w:t>
      </w:r>
      <w:r w:rsidR="00B55DCD">
        <w:t>z</w:t>
      </w:r>
      <w:r w:rsidRPr="00656C0A">
        <w:t>t</w:t>
      </w:r>
      <w:r w:rsidR="00B55DCD">
        <w:t>áz</w:t>
      </w:r>
      <w:r w:rsidRPr="00656C0A">
        <w:t>is zavara,</w:t>
      </w:r>
    </w:p>
    <w:p w14:paraId="78BD08F0" w14:textId="77777777" w:rsidR="00DF73BF" w:rsidRPr="00656C0A" w:rsidRDefault="00FB299E" w:rsidP="00545340">
      <w:pPr>
        <w:pStyle w:val="Listaszerbekezds"/>
        <w:numPr>
          <w:ilvl w:val="0"/>
          <w:numId w:val="33"/>
        </w:numPr>
        <w:tabs>
          <w:tab w:val="left" w:pos="567"/>
        </w:tabs>
        <w:ind w:left="1134" w:hanging="567"/>
      </w:pPr>
      <w:r w:rsidRPr="00656C0A">
        <w:t>peptikus fekély az anamnézisben,</w:t>
      </w:r>
    </w:p>
    <w:p w14:paraId="78BD08F1" w14:textId="77777777" w:rsidR="00DF73BF" w:rsidRPr="00656C0A" w:rsidRDefault="00FB299E" w:rsidP="00545340">
      <w:pPr>
        <w:pStyle w:val="Listaszerbekezds"/>
        <w:numPr>
          <w:ilvl w:val="0"/>
          <w:numId w:val="33"/>
        </w:numPr>
        <w:tabs>
          <w:tab w:val="left" w:pos="567"/>
        </w:tabs>
        <w:ind w:left="1134" w:hanging="567"/>
      </w:pPr>
      <w:r w:rsidRPr="00656C0A">
        <w:t>a közelmúltban zajlott is</w:t>
      </w:r>
      <w:r w:rsidR="00B55DCD">
        <w:t>zké</w:t>
      </w:r>
      <w:r w:rsidRPr="00656C0A">
        <w:t>miás stroke,</w:t>
      </w:r>
    </w:p>
    <w:p w14:paraId="78BD08F2" w14:textId="77777777" w:rsidR="00DF73BF" w:rsidRPr="00656C0A" w:rsidRDefault="00FB299E" w:rsidP="00545340">
      <w:pPr>
        <w:pStyle w:val="Listaszerbekezds"/>
        <w:numPr>
          <w:ilvl w:val="0"/>
          <w:numId w:val="33"/>
        </w:numPr>
        <w:tabs>
          <w:tab w:val="left" w:pos="567"/>
        </w:tabs>
        <w:ind w:left="1134" w:hanging="567"/>
      </w:pPr>
      <w:r w:rsidRPr="00656C0A">
        <w:t>súlyos artériás hipertónia,</w:t>
      </w:r>
    </w:p>
    <w:p w14:paraId="78BD08F3" w14:textId="77777777" w:rsidR="00DF73BF" w:rsidRPr="00656C0A" w:rsidRDefault="00FB299E" w:rsidP="00545340">
      <w:pPr>
        <w:pStyle w:val="Listaszerbekezds"/>
        <w:numPr>
          <w:ilvl w:val="0"/>
          <w:numId w:val="33"/>
        </w:numPr>
        <w:tabs>
          <w:tab w:val="left" w:pos="567"/>
        </w:tabs>
        <w:ind w:left="1134" w:hanging="567"/>
      </w:pPr>
      <w:r w:rsidRPr="00656C0A">
        <w:t>a közelmúltban keletkezett diabéteszes retinopátia,</w:t>
      </w:r>
    </w:p>
    <w:p w14:paraId="78BD08F4" w14:textId="77777777" w:rsidR="00DF73BF" w:rsidRPr="00656C0A" w:rsidRDefault="00FB299E" w:rsidP="00545340">
      <w:pPr>
        <w:pStyle w:val="Listaszerbekezds"/>
        <w:numPr>
          <w:ilvl w:val="0"/>
          <w:numId w:val="33"/>
        </w:numPr>
        <w:tabs>
          <w:tab w:val="left" w:pos="567"/>
        </w:tabs>
        <w:ind w:left="1134" w:hanging="567"/>
      </w:pPr>
      <w:r w:rsidRPr="00656C0A">
        <w:t>idegsebészeti beavatkozás vagy szemműtét a közelmúltban,</w:t>
      </w:r>
    </w:p>
    <w:p w14:paraId="78BD08F5" w14:textId="77777777" w:rsidR="00DF73BF" w:rsidRDefault="00FB299E" w:rsidP="00545340">
      <w:pPr>
        <w:pStyle w:val="Listaszerbekezds"/>
        <w:numPr>
          <w:ilvl w:val="0"/>
          <w:numId w:val="33"/>
        </w:numPr>
        <w:tabs>
          <w:tab w:val="left" w:pos="567"/>
        </w:tabs>
        <w:ind w:left="1134" w:hanging="567"/>
      </w:pPr>
      <w:r w:rsidRPr="00656C0A">
        <w:t>a hemosztázisra ható gyógyszerek párhuzamos  alkalmazása (ld. 4.5 pont)</w:t>
      </w:r>
      <w:r w:rsidR="00B55DCD">
        <w:t>.</w:t>
      </w:r>
    </w:p>
    <w:p w14:paraId="78BD08F6" w14:textId="77777777" w:rsidR="00B55DCD" w:rsidRPr="00656C0A" w:rsidRDefault="00B55DCD" w:rsidP="00545340">
      <w:pPr>
        <w:pStyle w:val="Listaszerbekezds"/>
        <w:tabs>
          <w:tab w:val="left" w:pos="567"/>
        </w:tabs>
        <w:ind w:left="567" w:firstLine="0"/>
      </w:pPr>
    </w:p>
    <w:p w14:paraId="78BD08F7" w14:textId="77777777" w:rsidR="00DF73BF" w:rsidRPr="00656C0A" w:rsidRDefault="00FB299E" w:rsidP="00545340">
      <w:pPr>
        <w:pStyle w:val="Listaszerbekezds"/>
        <w:numPr>
          <w:ilvl w:val="1"/>
          <w:numId w:val="19"/>
        </w:numPr>
        <w:tabs>
          <w:tab w:val="left" w:pos="567"/>
        </w:tabs>
        <w:ind w:left="567" w:hanging="567"/>
        <w:rPr>
          <w:i/>
        </w:rPr>
      </w:pPr>
      <w:r w:rsidRPr="00656C0A">
        <w:rPr>
          <w:i/>
        </w:rPr>
        <w:t>Laboratóriumi vizsgálatok</w:t>
      </w:r>
    </w:p>
    <w:p w14:paraId="78BD08F8" w14:textId="77777777" w:rsidR="00DF73BF" w:rsidRPr="00656C0A" w:rsidRDefault="00FB299E" w:rsidP="00545340">
      <w:pPr>
        <w:pStyle w:val="Szvegtrzs"/>
        <w:tabs>
          <w:tab w:val="left" w:pos="567"/>
        </w:tabs>
        <w:ind w:left="567"/>
      </w:pPr>
      <w:r w:rsidRPr="00656C0A">
        <w:t>A vénás tromboembólia megelőzésére alkalmazott enoxaparin dózis nem befolyásolja szignifikánsan a vérzési időt, az alvadási paramétereket, és nem hat a trombocitaaggregációra, illetve a</w:t>
      </w:r>
      <w:r w:rsidR="00D21F52" w:rsidRPr="00656C0A">
        <w:t xml:space="preserve"> </w:t>
      </w:r>
      <w:r w:rsidRPr="00656C0A">
        <w:t>fibrinogén-trombocita kötődésre sem.</w:t>
      </w:r>
    </w:p>
    <w:p w14:paraId="78BD08F9" w14:textId="77777777" w:rsidR="00DF73BF" w:rsidRPr="00656C0A" w:rsidRDefault="00FB299E" w:rsidP="00545340">
      <w:pPr>
        <w:pStyle w:val="Szvegtrzs"/>
        <w:tabs>
          <w:tab w:val="left" w:pos="567"/>
        </w:tabs>
        <w:ind w:left="567"/>
      </w:pPr>
      <w:r w:rsidRPr="00656C0A">
        <w:t>Magasabb dózisok esetén előfordulhat az aktivált parciális tromboplasztinidő (aPTI) és az aktivált alvadási idő (aCT) növekedése. Az aPTI és az aCT növekedése nem mutat lineáris összefüggést az enoxaparin antitrombotikus hatásának fokozódásával és ezért nem alkalmas az enoxaparin hatásának követésére.</w:t>
      </w:r>
    </w:p>
    <w:p w14:paraId="78BD08FA" w14:textId="77777777" w:rsidR="00DF73BF" w:rsidRPr="00656C0A" w:rsidRDefault="00DF73BF" w:rsidP="00545340">
      <w:pPr>
        <w:pStyle w:val="Szvegtrzs"/>
        <w:tabs>
          <w:tab w:val="left" w:pos="567"/>
        </w:tabs>
        <w:ind w:left="567" w:hanging="567"/>
      </w:pPr>
    </w:p>
    <w:p w14:paraId="78BD08FB" w14:textId="77777777" w:rsidR="00DF73BF" w:rsidRPr="00656C0A" w:rsidRDefault="00FB299E" w:rsidP="00545340">
      <w:pPr>
        <w:pStyle w:val="Listaszerbekezds"/>
        <w:keepNext/>
        <w:numPr>
          <w:ilvl w:val="1"/>
          <w:numId w:val="19"/>
        </w:numPr>
        <w:tabs>
          <w:tab w:val="left" w:pos="567"/>
        </w:tabs>
        <w:ind w:left="567" w:hanging="567"/>
        <w:rPr>
          <w:i/>
        </w:rPr>
      </w:pPr>
      <w:r w:rsidRPr="00656C0A">
        <w:rPr>
          <w:i/>
        </w:rPr>
        <w:t>Spinális/epidurális anaesthesia vagy lumbálpunkció</w:t>
      </w:r>
    </w:p>
    <w:p w14:paraId="78BD08FC" w14:textId="77777777" w:rsidR="00DF73BF" w:rsidRPr="00656C0A" w:rsidRDefault="00FB299E" w:rsidP="00545340">
      <w:pPr>
        <w:pStyle w:val="Szvegtrzs"/>
        <w:tabs>
          <w:tab w:val="left" w:pos="567"/>
        </w:tabs>
        <w:ind w:left="567"/>
      </w:pPr>
      <w:r w:rsidRPr="00656C0A">
        <w:t>Spinális/epidurális érzéstelenítés vagy lumbálpunkció nem hajtható végre az enoxaparin</w:t>
      </w:r>
      <w:r w:rsidR="008D15D2">
        <w:noBreakHyphen/>
      </w:r>
      <w:r w:rsidRPr="00656C0A">
        <w:t>nátrium terápiás adagjainak alkalmazását követő 24 órán belül (lásd még 4.3 pont).</w:t>
      </w:r>
    </w:p>
    <w:p w14:paraId="78BD08FD" w14:textId="77777777" w:rsidR="00DF73BF" w:rsidRPr="00656C0A" w:rsidRDefault="00FB299E" w:rsidP="00545340">
      <w:pPr>
        <w:pStyle w:val="Szvegtrzs"/>
        <w:tabs>
          <w:tab w:val="left" w:pos="567"/>
        </w:tabs>
        <w:ind w:left="567"/>
      </w:pPr>
      <w:r w:rsidRPr="00656C0A">
        <w:t>Enoxaparin injekció és spinális/epidurális érzéstelenítés vagy lumbálpunkció együttes alkalmazása esetén neuraxiális hematóma eseteit jelentették, amelyek tartós vagy maradandó bénuláshoz vezethetnek. Ezen esetek ritkák az enoxaparin-nátrium napi egyszeri 4000 NE (40</w:t>
      </w:r>
      <w:r w:rsidR="008D15D2">
        <w:t> </w:t>
      </w:r>
      <w:r w:rsidRPr="00656C0A">
        <w:t>mg) vagy ennél kisebb dózisának alkalmazásakor.</w:t>
      </w:r>
    </w:p>
    <w:p w14:paraId="78BD08FE" w14:textId="77777777" w:rsidR="00DF73BF" w:rsidRPr="00656C0A" w:rsidRDefault="00FB299E" w:rsidP="00545340">
      <w:pPr>
        <w:pStyle w:val="Szvegtrzs"/>
        <w:tabs>
          <w:tab w:val="left" w:pos="567"/>
        </w:tabs>
        <w:ind w:left="567"/>
      </w:pPr>
      <w:r w:rsidRPr="00656C0A">
        <w:t>A hematóma kialakulásának nagyobb a kockázata operációt követően bennmaradó epidurális katéterek vagy a hemosztázist befolyásoló egyéb gyógyszerek (pl. nemszteroid gyulladásgátlók) egyidejű alkalmazásakor, illetve traumás vagy ismételt epidurális vagy spinális punkciók esetén, vagy az anamnézisben szereplő gerincműtét, illetve gerincdeformitás esetén.</w:t>
      </w:r>
    </w:p>
    <w:p w14:paraId="78BD08FF" w14:textId="77777777" w:rsidR="00DF73BF" w:rsidRPr="00656C0A" w:rsidRDefault="00DF73BF" w:rsidP="00545340">
      <w:pPr>
        <w:pStyle w:val="Szvegtrzs"/>
        <w:tabs>
          <w:tab w:val="left" w:pos="567"/>
        </w:tabs>
        <w:ind w:left="567"/>
      </w:pPr>
    </w:p>
    <w:p w14:paraId="78BD0900" w14:textId="77777777" w:rsidR="00DF73BF" w:rsidRPr="00656C0A" w:rsidRDefault="00FB299E" w:rsidP="00545340">
      <w:pPr>
        <w:pStyle w:val="Szvegtrzs"/>
        <w:tabs>
          <w:tab w:val="left" w:pos="567"/>
        </w:tabs>
        <w:ind w:left="567"/>
      </w:pPr>
      <w:r w:rsidRPr="00656C0A">
        <w:t>Az epidurális vagy spinális altatás/érzéstelenítés, illetve lumbálpunkció és az enoxaparin</w:t>
      </w:r>
      <w:r w:rsidR="008D15D2">
        <w:noBreakHyphen/>
      </w:r>
      <w:r w:rsidRPr="00656C0A">
        <w:t>kezelés együttes alkalmazásából fakadó vérzési kockázat csökkentése érdekében az enoxaparin farmakokinetikai profilját minden esetben figyelembe kell venni (lásd 5.2 pont). A katéter behelyezését vagy eltávolítását, illetve a lumbálpunkciót legjobb akkor elvégezni, amikor az enoxaparin-nátrium antikuaguláns hatása még gyenge. Azonban a pontos időzítés – amikor kialakul az adott betegnél a kellően alacsony antikoaguláns hatás – nem ismert. Külön figyelmet igényelnek azok a betegek, akiknél a kreatinin-clearance</w:t>
      </w:r>
      <w:r w:rsidR="008D15D2">
        <w:t>-e</w:t>
      </w:r>
      <w:r w:rsidRPr="00656C0A">
        <w:t xml:space="preserve"> 15–30 ml/perc, mivel az enoxaparin eliminációs ideje ezeknél a betegeknél jóval hosszabb (lásd 4.2 pont).</w:t>
      </w:r>
    </w:p>
    <w:p w14:paraId="78BD0901" w14:textId="77777777" w:rsidR="00DF73BF" w:rsidRPr="00656C0A" w:rsidRDefault="00FB299E" w:rsidP="00545340">
      <w:pPr>
        <w:pStyle w:val="Szvegtrzs"/>
        <w:tabs>
          <w:tab w:val="left" w:pos="567"/>
        </w:tabs>
        <w:ind w:left="567"/>
      </w:pPr>
      <w:r w:rsidRPr="00656C0A">
        <w:t>Ha az orvos úgy dönt, hogy epidurális/spinális anesztézia vagy lumbálpunkció mellett végzi az antikoaguláns-kezelést, akkor a beteg gyakori ellenőrzése szükséges az esetleges neurológiai károsodás bármilyen jelének vagy tünet</w:t>
      </w:r>
      <w:r w:rsidR="008D15D2">
        <w:t>é</w:t>
      </w:r>
      <w:r w:rsidRPr="00656C0A">
        <w:t>nek észlelése érdekében, amilyen például a középvonalbeli hátfájás, a szenzoros és motoros kiesések (zsibbadás és gyengeség az alsó végtagokban), bél- és/vagy hólyagműködési zavarok. A betegeket figyelmeztetni kell, hogy a fenti jelek vagy tünetek bármelyikének észlelését azonnal jelezzék. Spinális hematóma tüneteinek gyanúja esetén sürgős diagnózis</w:t>
      </w:r>
      <w:r w:rsidR="00CF2A28">
        <w:t>ra</w:t>
      </w:r>
      <w:r w:rsidRPr="00656C0A">
        <w:t xml:space="preserve"> és a gerincvelői dekompressziót is magában foglaló kezelésre van szükség, bár előfordulhat, hogy a kezelés nem előzi meg vagy fordítja vissza a neurológiai következményeket.</w:t>
      </w:r>
    </w:p>
    <w:p w14:paraId="78BD0902" w14:textId="77777777" w:rsidR="00DF73BF" w:rsidRPr="00656C0A" w:rsidRDefault="00DF73BF" w:rsidP="00545340">
      <w:pPr>
        <w:pStyle w:val="Szvegtrzs"/>
        <w:tabs>
          <w:tab w:val="left" w:pos="567"/>
        </w:tabs>
        <w:ind w:left="567" w:hanging="567"/>
      </w:pPr>
    </w:p>
    <w:p w14:paraId="78BD0903" w14:textId="77777777" w:rsidR="00DF73BF" w:rsidRPr="00656C0A" w:rsidRDefault="00FB299E" w:rsidP="00545340">
      <w:pPr>
        <w:pStyle w:val="Listaszerbekezds"/>
        <w:numPr>
          <w:ilvl w:val="1"/>
          <w:numId w:val="19"/>
        </w:numPr>
        <w:tabs>
          <w:tab w:val="left" w:pos="567"/>
        </w:tabs>
        <w:ind w:left="567" w:hanging="567"/>
        <w:rPr>
          <w:i/>
        </w:rPr>
      </w:pPr>
      <w:r w:rsidRPr="00656C0A">
        <w:rPr>
          <w:i/>
        </w:rPr>
        <w:t>Bőrnekrózis/cutan vasculitis</w:t>
      </w:r>
    </w:p>
    <w:p w14:paraId="78BD0904" w14:textId="77777777" w:rsidR="00DF73BF" w:rsidRPr="00656C0A" w:rsidRDefault="00FB299E" w:rsidP="00545340">
      <w:pPr>
        <w:pStyle w:val="Szvegtrzs"/>
        <w:tabs>
          <w:tab w:val="left" w:pos="567"/>
        </w:tabs>
        <w:ind w:left="567"/>
      </w:pPr>
      <w:r w:rsidRPr="00656C0A">
        <w:t>Bőrnekrózist és cutan vasculitist jelentettek LMWH-k alkalmazásával kapcsolatban. Ezen tünetek jelentkezése esetén a kezelést azonnal abba kell hagyni.</w:t>
      </w:r>
    </w:p>
    <w:p w14:paraId="78BD0905" w14:textId="77777777" w:rsidR="00DF73BF" w:rsidRPr="00656C0A" w:rsidRDefault="00DF73BF" w:rsidP="00545340">
      <w:pPr>
        <w:pStyle w:val="Szvegtrzs"/>
        <w:tabs>
          <w:tab w:val="left" w:pos="567"/>
        </w:tabs>
        <w:ind w:left="567" w:hanging="567"/>
      </w:pPr>
    </w:p>
    <w:p w14:paraId="78BD0906" w14:textId="77777777" w:rsidR="00DF73BF" w:rsidRPr="00656C0A" w:rsidRDefault="00FB299E" w:rsidP="00545340">
      <w:pPr>
        <w:pStyle w:val="Listaszerbekezds"/>
        <w:numPr>
          <w:ilvl w:val="1"/>
          <w:numId w:val="19"/>
        </w:numPr>
        <w:tabs>
          <w:tab w:val="left" w:pos="567"/>
        </w:tabs>
        <w:ind w:left="567" w:hanging="567"/>
        <w:rPr>
          <w:i/>
        </w:rPr>
      </w:pPr>
      <w:r w:rsidRPr="00656C0A">
        <w:rPr>
          <w:i/>
        </w:rPr>
        <w:t>Perkután koronária</w:t>
      </w:r>
      <w:r w:rsidR="00BD65DC">
        <w:rPr>
          <w:i/>
        </w:rPr>
        <w:t>-</w:t>
      </w:r>
      <w:r w:rsidRPr="00656C0A">
        <w:rPr>
          <w:i/>
        </w:rPr>
        <w:t>revaszkularizáció</w:t>
      </w:r>
    </w:p>
    <w:p w14:paraId="78BD0907" w14:textId="77777777" w:rsidR="00DF73BF" w:rsidRPr="00656C0A" w:rsidRDefault="00FB299E" w:rsidP="00545340">
      <w:pPr>
        <w:pStyle w:val="Szvegtrzs"/>
        <w:tabs>
          <w:tab w:val="left" w:pos="567"/>
        </w:tabs>
        <w:ind w:left="567"/>
      </w:pPr>
      <w:r w:rsidRPr="00656C0A">
        <w:t>Instabil angina, NSTEMI és STEMI kezelése miatt végzett koronária</w:t>
      </w:r>
      <w:r w:rsidR="00BD65DC">
        <w:t>-</w:t>
      </w:r>
      <w:r w:rsidRPr="00656C0A">
        <w:t xml:space="preserve">intervenció után – a vérzés kockázatának minimalizálása érdekében – az enoxaparin adagok beadásánál pontosan be kell tartani az adagolási időközöket. A PCI-t követően fontos a megfelelő vérzéscsillapítás </w:t>
      </w:r>
      <w:r w:rsidRPr="00656C0A">
        <w:lastRenderedPageBreak/>
        <w:t>biztosítása a beadás helyén is. Amennyiben záróeszközt alkalmaznak a vezetőkanül azonnal eltávolítható. Amennyiben manuális kompressziós módszert alkalmaznak, a vezetőkanül 6</w:t>
      </w:r>
      <w:r w:rsidR="00BD65DC">
        <w:t> </w:t>
      </w:r>
      <w:r w:rsidRPr="00656C0A">
        <w:t>órával az utolsó iv./sc. enoxaparin-nátrium adag beadását követően távolítható el. Amennyiben az enoxaparin-nátrium</w:t>
      </w:r>
      <w:r w:rsidR="00BD65DC">
        <w:t>-</w:t>
      </w:r>
      <w:r w:rsidRPr="00656C0A">
        <w:t>kezelés tovább folytatódik, a soron következő adagot a vezetőkanül eltávolítását követően 6-8 órával lehet beadni. Figyelni kell a vérzés vagy hematóma kialakulásának jeleit a beavatkozás helyén.</w:t>
      </w:r>
    </w:p>
    <w:p w14:paraId="78BD0908" w14:textId="77777777" w:rsidR="00DF73BF" w:rsidRPr="00656C0A" w:rsidRDefault="00DF73BF" w:rsidP="00545340">
      <w:pPr>
        <w:pStyle w:val="Szvegtrzs"/>
        <w:tabs>
          <w:tab w:val="left" w:pos="567"/>
        </w:tabs>
        <w:ind w:left="567" w:hanging="567"/>
      </w:pPr>
    </w:p>
    <w:p w14:paraId="78BD0909" w14:textId="77777777" w:rsidR="00DF73BF" w:rsidRPr="00656C0A" w:rsidRDefault="00FB299E" w:rsidP="00545340">
      <w:pPr>
        <w:pStyle w:val="Listaszerbekezds"/>
        <w:numPr>
          <w:ilvl w:val="1"/>
          <w:numId w:val="19"/>
        </w:numPr>
        <w:tabs>
          <w:tab w:val="left" w:pos="567"/>
        </w:tabs>
        <w:ind w:left="567" w:hanging="567"/>
        <w:rPr>
          <w:i/>
        </w:rPr>
      </w:pPr>
      <w:r w:rsidRPr="00656C0A">
        <w:rPr>
          <w:i/>
        </w:rPr>
        <w:t>Akut infektív endo</w:t>
      </w:r>
      <w:r w:rsidR="00BD65DC">
        <w:rPr>
          <w:i/>
        </w:rPr>
        <w:t>k</w:t>
      </w:r>
      <w:r w:rsidRPr="00656C0A">
        <w:rPr>
          <w:i/>
        </w:rPr>
        <w:t>arditis</w:t>
      </w:r>
      <w:r w:rsidR="00BD65DC">
        <w:rPr>
          <w:i/>
        </w:rPr>
        <w:t>z</w:t>
      </w:r>
    </w:p>
    <w:p w14:paraId="78BD090A" w14:textId="77777777" w:rsidR="00CA3119" w:rsidRPr="00656C0A" w:rsidRDefault="00FB299E" w:rsidP="00545340">
      <w:pPr>
        <w:pStyle w:val="Szvegtrzs"/>
        <w:tabs>
          <w:tab w:val="left" w:pos="567"/>
        </w:tabs>
        <w:ind w:left="567"/>
      </w:pPr>
      <w:r w:rsidRPr="00656C0A">
        <w:t>A heparin alkalmazása általában nem ajánlott akut infektív endo</w:t>
      </w:r>
      <w:r w:rsidR="00BD65DC">
        <w:t>k</w:t>
      </w:r>
      <w:r w:rsidRPr="00656C0A">
        <w:t>arditis</w:t>
      </w:r>
      <w:r w:rsidR="00BD65DC">
        <w:t>z</w:t>
      </w:r>
      <w:r w:rsidRPr="00656C0A">
        <w:t>ben szenvedő betegek esetében a cerebrális vérzés kockázata miatt. Amennyiben az enoxaparin használata feltétlenül szükséges, arról kizárólag az egyéni előny–kockázat arány gondos mérlegelését követően lehet dönteni.</w:t>
      </w:r>
    </w:p>
    <w:p w14:paraId="78BD090B" w14:textId="77777777" w:rsidR="00CA3119" w:rsidRPr="00656C0A" w:rsidRDefault="00CA3119" w:rsidP="00545340">
      <w:pPr>
        <w:pStyle w:val="Szvegtrzs"/>
        <w:tabs>
          <w:tab w:val="left" w:pos="567"/>
        </w:tabs>
        <w:ind w:left="567" w:hanging="567"/>
      </w:pPr>
    </w:p>
    <w:p w14:paraId="78BD090C" w14:textId="77777777" w:rsidR="00DF73BF" w:rsidRPr="00656C0A" w:rsidRDefault="00FB299E" w:rsidP="00545340">
      <w:pPr>
        <w:pStyle w:val="Szvegtrzs"/>
        <w:numPr>
          <w:ilvl w:val="0"/>
          <w:numId w:val="25"/>
        </w:numPr>
        <w:tabs>
          <w:tab w:val="left" w:pos="567"/>
        </w:tabs>
        <w:ind w:left="851" w:hanging="851"/>
        <w:rPr>
          <w:i/>
        </w:rPr>
      </w:pPr>
      <w:r w:rsidRPr="00656C0A">
        <w:rPr>
          <w:i/>
        </w:rPr>
        <w:t>Mechanikus műbillentyű</w:t>
      </w:r>
    </w:p>
    <w:p w14:paraId="78BD090D" w14:textId="77777777" w:rsidR="00DF73BF" w:rsidRPr="00656C0A" w:rsidRDefault="00FB299E" w:rsidP="00545340">
      <w:pPr>
        <w:pStyle w:val="Szvegtrzs"/>
        <w:tabs>
          <w:tab w:val="left" w:pos="567"/>
        </w:tabs>
        <w:ind w:left="567"/>
      </w:pPr>
      <w:r w:rsidRPr="00656C0A">
        <w:t>Mechanikus műbillentyűvel rendelkező betegeknél nem vizsgálták megfelelően az enoxaparin</w:t>
      </w:r>
      <w:r w:rsidR="00BD65DC">
        <w:noBreakHyphen/>
      </w:r>
      <w:r w:rsidRPr="00656C0A">
        <w:t>nátriummal végzett tromboprofilaxist. A műbillentyű-trombózis izolált eseteiről beszámoltak mechanikus műbillyentyűvel élő betegeknél, akik tromboprofilaxis céljából enoxaparin-nátriumot kaptak. Az adatok értékelését számos zavaró tényező (többek között az alapbetegség, illetve a klinikai adatok hiányosságai) korlátozza. Az esetek egy részében terhes anyáról volt szó, akiknél a trombózis az anya és a magzat halálát okozta.</w:t>
      </w:r>
    </w:p>
    <w:p w14:paraId="78BD090E" w14:textId="77777777" w:rsidR="00DF73BF" w:rsidRPr="00656C0A" w:rsidRDefault="00DF73BF" w:rsidP="00545340">
      <w:pPr>
        <w:pStyle w:val="Szvegtrzs"/>
        <w:tabs>
          <w:tab w:val="left" w:pos="567"/>
        </w:tabs>
        <w:ind w:left="567" w:hanging="567"/>
      </w:pPr>
    </w:p>
    <w:p w14:paraId="78BD090F" w14:textId="77777777" w:rsidR="00DF73BF" w:rsidRPr="00656C0A" w:rsidRDefault="00FB299E" w:rsidP="00545340">
      <w:pPr>
        <w:pStyle w:val="Listaszerbekezds"/>
        <w:numPr>
          <w:ilvl w:val="1"/>
          <w:numId w:val="19"/>
        </w:numPr>
        <w:tabs>
          <w:tab w:val="left" w:pos="567"/>
        </w:tabs>
        <w:ind w:left="567" w:hanging="567"/>
        <w:rPr>
          <w:i/>
        </w:rPr>
      </w:pPr>
      <w:r w:rsidRPr="00656C0A">
        <w:rPr>
          <w:i/>
        </w:rPr>
        <w:t>Mechanikus műbillenytyűvel rendelkező terhes nők</w:t>
      </w:r>
    </w:p>
    <w:p w14:paraId="78BD0910" w14:textId="77777777" w:rsidR="00DF73BF" w:rsidRPr="00656C0A" w:rsidRDefault="00FB299E" w:rsidP="00545340">
      <w:pPr>
        <w:pStyle w:val="Szvegtrzs"/>
        <w:tabs>
          <w:tab w:val="left" w:pos="567"/>
        </w:tabs>
        <w:ind w:left="567"/>
      </w:pPr>
      <w:r w:rsidRPr="00656C0A">
        <w:t xml:space="preserve">Az enoxaparin-nátrium </w:t>
      </w:r>
      <w:r w:rsidR="00803985" w:rsidRPr="00656C0A">
        <w:t>tromboprofila</w:t>
      </w:r>
      <w:r w:rsidR="00803985">
        <w:t xml:space="preserve">ktikus hatását </w:t>
      </w:r>
      <w:r w:rsidRPr="00656C0A">
        <w:t>mechanikus műbillenytyűvel rendelkező terhes nők</w:t>
      </w:r>
      <w:r w:rsidR="00803985">
        <w:t xml:space="preserve">nél </w:t>
      </w:r>
      <w:r w:rsidRPr="00656C0A">
        <w:t xml:space="preserve">nem vizsgálták még megfelelően. Egy klinikai vizsgálatban, ahol </w:t>
      </w:r>
      <w:r w:rsidR="00803985" w:rsidRPr="00656C0A">
        <w:t xml:space="preserve">mechanikus műbillenytyűvel rendelkező terhes nőknél alkalmaztak </w:t>
      </w:r>
      <w:r w:rsidRPr="00656C0A">
        <w:t>a tromboembólia kockázatának csökkentésére enoxaparin-nátriumot 100</w:t>
      </w:r>
      <w:r w:rsidR="00803985">
        <w:t> </w:t>
      </w:r>
      <w:r w:rsidRPr="00656C0A">
        <w:t>NE/kg</w:t>
      </w:r>
      <w:r w:rsidR="00D21F52" w:rsidRPr="00656C0A">
        <w:t xml:space="preserve"> </w:t>
      </w:r>
      <w:r w:rsidRPr="00656C0A">
        <w:t>(1 mg/kg) dózisban naponta kétszer, 8 nő közül 2-nél alakult ki vérrögösödés, ami a szívbillentyű elzáródásához, továbbá az anya és a magzat halálozáshoz vezetett. Forgalomba hozatal utáni időszakban szívbillenytyű</w:t>
      </w:r>
      <w:r w:rsidR="00803985">
        <w:t>-</w:t>
      </w:r>
      <w:r w:rsidRPr="00656C0A">
        <w:t xml:space="preserve">trombózis izolált eseteiről számoltak be </w:t>
      </w:r>
      <w:r w:rsidR="00803985">
        <w:t xml:space="preserve">az </w:t>
      </w:r>
      <w:r w:rsidRPr="00656C0A">
        <w:t>enoxaparin-nátriumot kapó terhes nők esetében. Mechanikus műbillenytyűvel rendelkező terhes nőknél magasabb lehet a tromboembólia kialakulásának kockázata.</w:t>
      </w:r>
    </w:p>
    <w:p w14:paraId="78BD0911" w14:textId="77777777" w:rsidR="00DF73BF" w:rsidRPr="00656C0A" w:rsidRDefault="00DF73BF" w:rsidP="00545340">
      <w:pPr>
        <w:pStyle w:val="Szvegtrzs"/>
        <w:tabs>
          <w:tab w:val="left" w:pos="567"/>
        </w:tabs>
        <w:ind w:left="567" w:hanging="567"/>
      </w:pPr>
    </w:p>
    <w:p w14:paraId="78BD0912" w14:textId="77777777" w:rsidR="00DF73BF" w:rsidRPr="00656C0A" w:rsidRDefault="00FB299E" w:rsidP="00545340">
      <w:pPr>
        <w:pStyle w:val="Listaszerbekezds"/>
        <w:numPr>
          <w:ilvl w:val="1"/>
          <w:numId w:val="19"/>
        </w:numPr>
        <w:tabs>
          <w:tab w:val="left" w:pos="567"/>
        </w:tabs>
        <w:ind w:left="567" w:hanging="567"/>
        <w:rPr>
          <w:i/>
        </w:rPr>
      </w:pPr>
      <w:r w:rsidRPr="00656C0A">
        <w:rPr>
          <w:i/>
        </w:rPr>
        <w:t>Idősek</w:t>
      </w:r>
    </w:p>
    <w:p w14:paraId="78BD0913" w14:textId="77777777" w:rsidR="00DF73BF" w:rsidRPr="00656C0A" w:rsidRDefault="00FB299E" w:rsidP="00545340">
      <w:pPr>
        <w:pStyle w:val="Szvegtrzs"/>
        <w:tabs>
          <w:tab w:val="left" w:pos="567"/>
        </w:tabs>
        <w:ind w:left="567"/>
      </w:pPr>
      <w:r w:rsidRPr="00656C0A">
        <w:t>Nem kell fokozott vérzésveszéllyel számolni profilaktikus dózisok alkalmazása esetén. Időseknél, különösen a ≥</w:t>
      </w:r>
      <w:r w:rsidR="00803985">
        <w:t> </w:t>
      </w:r>
      <w:r w:rsidRPr="00656C0A">
        <w:t>80 éveseknél, a terápiás dózistartományban adott heparin növeli a vérzéses komplikációk kockázatát. A 75 évnél idősebb, STEMI-vel kezelt betegeknél szoros klinikai megfigyelés javasolt és megfontolandó a dózis csökkentése (lásd 4.2 és 5.2 pont).</w:t>
      </w:r>
    </w:p>
    <w:p w14:paraId="78BD0914" w14:textId="77777777" w:rsidR="00DF73BF" w:rsidRPr="00656C0A" w:rsidRDefault="00DF73BF" w:rsidP="00545340">
      <w:pPr>
        <w:pStyle w:val="Szvegtrzs"/>
        <w:tabs>
          <w:tab w:val="left" w:pos="567"/>
        </w:tabs>
        <w:ind w:left="567" w:hanging="567"/>
      </w:pPr>
    </w:p>
    <w:p w14:paraId="78BD0915" w14:textId="77777777" w:rsidR="00DF73BF" w:rsidRPr="00656C0A" w:rsidRDefault="00FB299E" w:rsidP="00545340">
      <w:pPr>
        <w:pStyle w:val="Listaszerbekezds"/>
        <w:numPr>
          <w:ilvl w:val="1"/>
          <w:numId w:val="19"/>
        </w:numPr>
        <w:tabs>
          <w:tab w:val="left" w:pos="567"/>
        </w:tabs>
        <w:ind w:left="567" w:hanging="567"/>
        <w:rPr>
          <w:i/>
        </w:rPr>
      </w:pPr>
      <w:r w:rsidRPr="00656C0A">
        <w:rPr>
          <w:i/>
        </w:rPr>
        <w:t>Vesekárosodás</w:t>
      </w:r>
    </w:p>
    <w:p w14:paraId="78BD0916" w14:textId="77777777" w:rsidR="00DF73BF" w:rsidRPr="00656C0A" w:rsidRDefault="00FB299E" w:rsidP="00545340">
      <w:pPr>
        <w:pStyle w:val="Szvegtrzs"/>
        <w:tabs>
          <w:tab w:val="left" w:pos="567"/>
        </w:tabs>
        <w:ind w:left="567"/>
      </w:pPr>
      <w:r w:rsidRPr="00656C0A">
        <w:t>Vesekárosodásban szenvedő betegeknél növekszik az enoxaparin-nátrium expozíciója, ami fokozza a vérzés kockázatát. Ezeknél a betegeknél fokozott klinikai ellenőrzés ajánlott, és az anti-Xa</w:t>
      </w:r>
      <w:r w:rsidR="00626B90">
        <w:t>-</w:t>
      </w:r>
      <w:r w:rsidRPr="00656C0A">
        <w:t>aktivitás biológiai monitorozása megfontolandó (lásd 4.2 és 5.2 pont).</w:t>
      </w:r>
    </w:p>
    <w:p w14:paraId="78BD0917" w14:textId="77777777" w:rsidR="00DF73BF" w:rsidRPr="00656C0A" w:rsidRDefault="00FB299E" w:rsidP="00545340">
      <w:pPr>
        <w:pStyle w:val="Szvegtrzs"/>
        <w:tabs>
          <w:tab w:val="left" w:pos="567"/>
        </w:tabs>
        <w:ind w:left="567"/>
      </w:pPr>
      <w:r w:rsidRPr="00656C0A">
        <w:t>Az enoxaparin-nátrium alkalmazása nem javasolt végstádiumú vesebetegségben (kreatinin</w:t>
      </w:r>
      <w:r w:rsidR="00626B90">
        <w:noBreakHyphen/>
      </w:r>
      <w:r w:rsidRPr="00656C0A">
        <w:t>clearance</w:t>
      </w:r>
      <w:r w:rsidR="00626B90">
        <w:t xml:space="preserve"> </w:t>
      </w:r>
      <w:r w:rsidRPr="00656C0A">
        <w:t>&lt;</w:t>
      </w:r>
      <w:r w:rsidR="00626B90">
        <w:t> </w:t>
      </w:r>
      <w:r w:rsidRPr="00656C0A">
        <w:t>15</w:t>
      </w:r>
      <w:r w:rsidR="00626B90">
        <w:t> </w:t>
      </w:r>
      <w:r w:rsidRPr="00656C0A">
        <w:t>ml/perc), mivel erre a betegcsoportra vonatkozóan csak olyan betegektől állnak rendelkezésre adatok, akiknél az enoxaparin-nátriumot hemodialízis során az extrakorporális keringésben trombusképződés megelőzésére alkalmaz</w:t>
      </w:r>
      <w:r w:rsidR="00626B90">
        <w:t>t</w:t>
      </w:r>
      <w:r w:rsidRPr="00656C0A">
        <w:t>ák.</w:t>
      </w:r>
    </w:p>
    <w:p w14:paraId="78BD0918" w14:textId="77777777" w:rsidR="00DF73BF" w:rsidRPr="00656C0A" w:rsidRDefault="00FB299E" w:rsidP="00545340">
      <w:pPr>
        <w:pStyle w:val="Szvegtrzs"/>
        <w:tabs>
          <w:tab w:val="left" w:pos="567"/>
        </w:tabs>
        <w:ind w:left="567"/>
      </w:pPr>
      <w:r w:rsidRPr="00656C0A">
        <w:t>Súlyos vesekárosodásban szenvedő betegeknél (kreatinin-clearance 15-30 ml/perc), az enoxaparin-nátrium jelentősen megnövekvő expozíciója miatt, terápiás és profilaktikus dózis</w:t>
      </w:r>
      <w:r w:rsidR="00D243EB">
        <w:t>tartomány</w:t>
      </w:r>
      <w:r w:rsidRPr="00656C0A">
        <w:t>ban egyaránt az adag módosítása javasolt (lásd 4.2 pont).</w:t>
      </w:r>
    </w:p>
    <w:p w14:paraId="78BD0919" w14:textId="77777777" w:rsidR="00DF73BF" w:rsidRPr="00656C0A" w:rsidRDefault="00FB299E" w:rsidP="00545340">
      <w:pPr>
        <w:pStyle w:val="Szvegtrzs"/>
        <w:tabs>
          <w:tab w:val="left" w:pos="567"/>
        </w:tabs>
        <w:ind w:left="567"/>
      </w:pPr>
      <w:r w:rsidRPr="00656C0A">
        <w:t>Közepes (kreatinin-clearance 30-50 ml/perc), illetve enyhe (kreatinin-clearance 50-80 ml/perc) vesekárosodás esetén nem szükséges az adag módosítása.</w:t>
      </w:r>
    </w:p>
    <w:p w14:paraId="78BD091A" w14:textId="77777777" w:rsidR="00DF73BF" w:rsidRPr="00656C0A" w:rsidRDefault="00DF73BF" w:rsidP="00545340">
      <w:pPr>
        <w:pStyle w:val="Szvegtrzs"/>
        <w:tabs>
          <w:tab w:val="left" w:pos="567"/>
        </w:tabs>
        <w:ind w:left="567" w:hanging="567"/>
      </w:pPr>
    </w:p>
    <w:p w14:paraId="78BD091B" w14:textId="77777777" w:rsidR="00DF73BF" w:rsidRPr="00656C0A" w:rsidRDefault="00FB299E" w:rsidP="00545340">
      <w:pPr>
        <w:pStyle w:val="Listaszerbekezds"/>
        <w:numPr>
          <w:ilvl w:val="1"/>
          <w:numId w:val="19"/>
        </w:numPr>
        <w:tabs>
          <w:tab w:val="left" w:pos="567"/>
        </w:tabs>
        <w:ind w:left="567" w:hanging="567"/>
        <w:rPr>
          <w:i/>
        </w:rPr>
      </w:pPr>
      <w:r w:rsidRPr="00656C0A">
        <w:rPr>
          <w:i/>
        </w:rPr>
        <w:t>Májkárosodás</w:t>
      </w:r>
    </w:p>
    <w:p w14:paraId="78BD091C" w14:textId="77777777" w:rsidR="00DF73BF" w:rsidRDefault="00FB299E" w:rsidP="00545340">
      <w:pPr>
        <w:pStyle w:val="Szvegtrzs"/>
        <w:tabs>
          <w:tab w:val="left" w:pos="567"/>
        </w:tabs>
        <w:ind w:left="567"/>
      </w:pPr>
      <w:r w:rsidRPr="00656C0A">
        <w:t>Az enoxaparin-nátriumot óvatosan kell alkalmazni májkárosodásban szenvedő betegeknél a vérzés fokozott kockázatának lehetősége miatt. Az anti-Xa</w:t>
      </w:r>
      <w:r w:rsidR="00D243EB">
        <w:t>-</w:t>
      </w:r>
      <w:r w:rsidRPr="00656C0A">
        <w:t>szintek monitorozásán alapuló dózismódosítás májcirrózisban szenvedő betegek esetében megtévesztő, ezért nem javasolt (lásd 5.2 pont).</w:t>
      </w:r>
    </w:p>
    <w:p w14:paraId="78BD091D" w14:textId="77777777" w:rsidR="00D92F89" w:rsidRPr="00656C0A" w:rsidRDefault="00D92F89" w:rsidP="00545340">
      <w:pPr>
        <w:pStyle w:val="Szvegtrzs"/>
        <w:tabs>
          <w:tab w:val="left" w:pos="567"/>
        </w:tabs>
        <w:ind w:left="567"/>
      </w:pPr>
    </w:p>
    <w:p w14:paraId="78BD091E" w14:textId="77777777" w:rsidR="00DF73BF" w:rsidRPr="00656C0A" w:rsidRDefault="00FB299E" w:rsidP="00545340">
      <w:pPr>
        <w:pStyle w:val="Listaszerbekezds"/>
        <w:numPr>
          <w:ilvl w:val="1"/>
          <w:numId w:val="19"/>
        </w:numPr>
        <w:tabs>
          <w:tab w:val="left" w:pos="567"/>
        </w:tabs>
        <w:ind w:left="567" w:hanging="567"/>
        <w:rPr>
          <w:i/>
        </w:rPr>
      </w:pPr>
      <w:r w:rsidRPr="00656C0A">
        <w:rPr>
          <w:i/>
        </w:rPr>
        <w:t>Kis testtömeg</w:t>
      </w:r>
    </w:p>
    <w:p w14:paraId="78BD091F" w14:textId="77777777" w:rsidR="00DF73BF" w:rsidRPr="00656C0A" w:rsidRDefault="00FB299E" w:rsidP="00545340">
      <w:pPr>
        <w:pStyle w:val="Szvegtrzs"/>
        <w:tabs>
          <w:tab w:val="left" w:pos="567"/>
        </w:tabs>
        <w:ind w:left="567"/>
      </w:pPr>
      <w:r w:rsidRPr="00656C0A">
        <w:t>Kis testtömegű nőknél (&lt;</w:t>
      </w:r>
      <w:r w:rsidR="00D243EB">
        <w:t> </w:t>
      </w:r>
      <w:r w:rsidRPr="00656C0A">
        <w:t>45 kg), illetve férfiaknál (&lt;</w:t>
      </w:r>
      <w:r w:rsidR="00D243EB">
        <w:t> </w:t>
      </w:r>
      <w:r w:rsidRPr="00656C0A">
        <w:t>57 kg) a profilaktikus (nem a testtömeg alapján kiszámolt) dózisok alkalmazásakor fokozott az enoxaparin-nátrium</w:t>
      </w:r>
      <w:r w:rsidR="00D243EB">
        <w:t>-</w:t>
      </w:r>
      <w:r w:rsidRPr="00656C0A">
        <w:t>expozíció, ezért fokozott a vérzés kockázata. E</w:t>
      </w:r>
      <w:r w:rsidR="00D243EB">
        <w:t>nnek megfelelően</w:t>
      </w:r>
      <w:r w:rsidRPr="00656C0A">
        <w:t xml:space="preserve"> az ilyen betegeknél szoros klinikai megfigyelés javasolt. (lásd 5.2 pont).</w:t>
      </w:r>
    </w:p>
    <w:p w14:paraId="78BD0920" w14:textId="77777777" w:rsidR="00DF73BF" w:rsidRPr="00656C0A" w:rsidRDefault="00DF73BF" w:rsidP="00545340">
      <w:pPr>
        <w:pStyle w:val="Szvegtrzs"/>
        <w:tabs>
          <w:tab w:val="left" w:pos="567"/>
        </w:tabs>
        <w:ind w:left="567" w:hanging="567"/>
      </w:pPr>
    </w:p>
    <w:p w14:paraId="78BD0921" w14:textId="77777777" w:rsidR="00DF73BF" w:rsidRPr="00656C0A" w:rsidRDefault="00FB299E" w:rsidP="00545340">
      <w:pPr>
        <w:pStyle w:val="Listaszerbekezds"/>
        <w:numPr>
          <w:ilvl w:val="1"/>
          <w:numId w:val="19"/>
        </w:numPr>
        <w:tabs>
          <w:tab w:val="left" w:pos="567"/>
        </w:tabs>
        <w:ind w:left="567" w:hanging="567"/>
        <w:rPr>
          <w:i/>
        </w:rPr>
      </w:pPr>
      <w:r w:rsidRPr="00656C0A">
        <w:rPr>
          <w:i/>
        </w:rPr>
        <w:t>Túlsúlyos betegek</w:t>
      </w:r>
    </w:p>
    <w:p w14:paraId="78BD0922" w14:textId="77777777" w:rsidR="00DF73BF" w:rsidRDefault="00FB299E" w:rsidP="00545340">
      <w:pPr>
        <w:pStyle w:val="Szvegtrzs"/>
        <w:tabs>
          <w:tab w:val="left" w:pos="567"/>
        </w:tabs>
        <w:ind w:left="567"/>
      </w:pPr>
      <w:r w:rsidRPr="00656C0A">
        <w:t xml:space="preserve">Túlsúlyos betegek esetében nagyobb a tromboembólia kialakulásának kockázata. A profilaktikus dózisok hatásosságát és biztonságosságát túlsúlyos betegek esetében (BMI </w:t>
      </w:r>
      <w:r w:rsidRPr="00656C0A">
        <w:rPr>
          <w:b/>
        </w:rPr>
        <w:t>&gt;</w:t>
      </w:r>
      <w:r w:rsidR="00BB21F0">
        <w:rPr>
          <w:b/>
        </w:rPr>
        <w:t> </w:t>
      </w:r>
      <w:r w:rsidRPr="00656C0A">
        <w:t>30</w:t>
      </w:r>
      <w:r w:rsidR="00BB21F0">
        <w:t> </w:t>
      </w:r>
      <w:r w:rsidRPr="00656C0A">
        <w:t>kg/m2) még nem határozták meg teljes mértékben, így a dózismódosításra vonatkozóan nincs megállapodás. Ezeket a betegeket gondos megfigyelés alatt kell tartani a tromboembólia jeleinek és tüneteinek kialakulása tekintetében.</w:t>
      </w:r>
    </w:p>
    <w:p w14:paraId="78BD0923" w14:textId="77777777" w:rsidR="00BB21F0" w:rsidRPr="00656C0A" w:rsidRDefault="00BB21F0" w:rsidP="00545340">
      <w:pPr>
        <w:pStyle w:val="Szvegtrzs"/>
        <w:tabs>
          <w:tab w:val="left" w:pos="567"/>
        </w:tabs>
        <w:ind w:left="567"/>
      </w:pPr>
    </w:p>
    <w:p w14:paraId="78BD0924" w14:textId="77777777" w:rsidR="00DF73BF" w:rsidRPr="00656C0A" w:rsidRDefault="00FB299E" w:rsidP="00545340">
      <w:pPr>
        <w:pStyle w:val="Listaszerbekezds"/>
        <w:numPr>
          <w:ilvl w:val="1"/>
          <w:numId w:val="19"/>
        </w:numPr>
        <w:tabs>
          <w:tab w:val="left" w:pos="567"/>
        </w:tabs>
        <w:ind w:left="567" w:hanging="567"/>
        <w:rPr>
          <w:i/>
        </w:rPr>
      </w:pPr>
      <w:r w:rsidRPr="00656C0A">
        <w:rPr>
          <w:i/>
        </w:rPr>
        <w:t>Hyperkalaemia</w:t>
      </w:r>
    </w:p>
    <w:p w14:paraId="78BD0925" w14:textId="77777777" w:rsidR="00DF73BF" w:rsidRPr="00656C0A" w:rsidRDefault="00FB299E" w:rsidP="00545340">
      <w:pPr>
        <w:pStyle w:val="Szvegtrzs"/>
        <w:tabs>
          <w:tab w:val="left" w:pos="567"/>
        </w:tabs>
        <w:ind w:left="567"/>
      </w:pPr>
      <w:r w:rsidRPr="00656C0A">
        <w:t>A heparinok elnyomhatják az aldoszteron mellékvesebeli termelődését, ami hyperkalaemia kialakulásához vezet (lásd 4.8 pont), különösen diabetes mellitus, krónikus veseelégtelenség, már fennálló metabolikus acidózis esetén, illetve olyan gyógyszer szedésekor, amelyek ismerten növelik a káliumszintet (lásd 4.5 pont). A vér káliumszintjét rendszeresen ellenőrizni kell, különösen a kockázatnak kitett betegek esetében.</w:t>
      </w:r>
    </w:p>
    <w:p w14:paraId="19A26B60" w14:textId="06FE1041" w:rsidR="00A6403E" w:rsidRDefault="00A6403E" w:rsidP="00545340">
      <w:pPr>
        <w:pStyle w:val="Szvegtrzs"/>
        <w:tabs>
          <w:tab w:val="left" w:pos="567"/>
        </w:tabs>
        <w:rPr>
          <w:rFonts w:eastAsia="Calibri"/>
        </w:rPr>
      </w:pPr>
    </w:p>
    <w:p w14:paraId="7B3A04E2" w14:textId="77777777" w:rsidR="00A6403E" w:rsidRPr="00466AA6" w:rsidRDefault="00A6403E" w:rsidP="00A6403E">
      <w:pPr>
        <w:rPr>
          <w:noProof/>
          <w:u w:val="single"/>
        </w:rPr>
      </w:pPr>
      <w:r w:rsidRPr="00466AA6">
        <w:rPr>
          <w:noProof/>
          <w:u w:val="single"/>
        </w:rPr>
        <w:t>Akut generalizált exanthemás pustulosis</w:t>
      </w:r>
    </w:p>
    <w:p w14:paraId="75C909E8" w14:textId="744F7EAD" w:rsidR="005F0E88" w:rsidRPr="00CE6397" w:rsidRDefault="00151B3A" w:rsidP="00545340">
      <w:pPr>
        <w:pStyle w:val="Szvegtrzs"/>
        <w:tabs>
          <w:tab w:val="left" w:pos="567"/>
        </w:tabs>
        <w:rPr>
          <w:bCs/>
        </w:rPr>
      </w:pPr>
      <w:r w:rsidRPr="00CE6397">
        <w:t>Az akut generalizált exanthemás pustulosist (AGEP) ismeretlen gyakorisággal jelentették az enoxaparin-kezeléssel összefüggésben. A betegeket a gyógyszer felírásakor tájékoztatni kell a jelekről és tünetekről, és szorosan monitorozni kell a bőrreakciókat. Ilyen reakciókra utaló jelek és tünetek jelentkezése esetén, az enoxaparint azonnal le kell állítani, és alternatív kezelést kell mérlegelni (adott esetben).</w:t>
      </w:r>
    </w:p>
    <w:p w14:paraId="2967E29C" w14:textId="77777777" w:rsidR="00151B3A" w:rsidRPr="007C474F" w:rsidRDefault="00151B3A" w:rsidP="00545340">
      <w:pPr>
        <w:pStyle w:val="Szvegtrzs"/>
        <w:tabs>
          <w:tab w:val="left" w:pos="567"/>
        </w:tabs>
        <w:rPr>
          <w:rFonts w:eastAsia="Calibri"/>
        </w:rPr>
      </w:pPr>
    </w:p>
    <w:p w14:paraId="25857759" w14:textId="77777777" w:rsidR="00151B3A" w:rsidRPr="00545340" w:rsidRDefault="00151B3A" w:rsidP="00151B3A">
      <w:pPr>
        <w:pStyle w:val="Szvegtrzs"/>
        <w:tabs>
          <w:tab w:val="left" w:pos="567"/>
        </w:tabs>
        <w:rPr>
          <w:u w:val="single"/>
        </w:rPr>
      </w:pPr>
      <w:r w:rsidRPr="00545340">
        <w:rPr>
          <w:rStyle w:val="shorttext"/>
          <w:u w:val="single"/>
          <w:lang w:val="hu-HU"/>
        </w:rPr>
        <w:t>Nátriumtartalom</w:t>
      </w:r>
    </w:p>
    <w:p w14:paraId="0C406242" w14:textId="77777777" w:rsidR="00151B3A" w:rsidRDefault="00151B3A" w:rsidP="00151B3A">
      <w:pPr>
        <w:pStyle w:val="Szvegtrzs"/>
        <w:tabs>
          <w:tab w:val="left" w:pos="567"/>
        </w:tabs>
        <w:rPr>
          <w:rFonts w:eastAsia="Calibri"/>
        </w:rPr>
      </w:pPr>
      <w:r w:rsidRPr="007C474F">
        <w:rPr>
          <w:rFonts w:eastAsia="Calibri"/>
        </w:rPr>
        <w:t>A készítmény kevesebb, mint 1 mmol (23 mg) nátriumot tartalmaz adagolási egységenként, azaz gyakorlatilag „nátriummentes”.</w:t>
      </w:r>
    </w:p>
    <w:p w14:paraId="78BD092C" w14:textId="77777777" w:rsidR="00167B1A" w:rsidRPr="00656C0A" w:rsidRDefault="00167B1A" w:rsidP="00545340">
      <w:pPr>
        <w:pStyle w:val="Szvegtrzs"/>
        <w:tabs>
          <w:tab w:val="left" w:pos="567"/>
        </w:tabs>
        <w:ind w:left="567" w:hanging="567"/>
      </w:pPr>
    </w:p>
    <w:p w14:paraId="78BD092D" w14:textId="77777777" w:rsidR="00DF73BF" w:rsidRPr="00656C0A" w:rsidRDefault="00FB299E" w:rsidP="00545340">
      <w:pPr>
        <w:pStyle w:val="Cmsor1"/>
        <w:numPr>
          <w:ilvl w:val="1"/>
          <w:numId w:val="20"/>
        </w:numPr>
        <w:tabs>
          <w:tab w:val="left" w:pos="567"/>
        </w:tabs>
        <w:ind w:left="567"/>
      </w:pPr>
      <w:r w:rsidRPr="00656C0A">
        <w:t>Gyógyszerkölcsönhatások és egyéb interakciók</w:t>
      </w:r>
    </w:p>
    <w:p w14:paraId="78BD092E" w14:textId="77777777" w:rsidR="00DF73BF" w:rsidRPr="00656C0A" w:rsidRDefault="00DF73BF" w:rsidP="00545340">
      <w:pPr>
        <w:pStyle w:val="Szvegtrzs"/>
        <w:tabs>
          <w:tab w:val="left" w:pos="567"/>
        </w:tabs>
        <w:ind w:left="567" w:hanging="567"/>
        <w:rPr>
          <w:b/>
        </w:rPr>
      </w:pPr>
    </w:p>
    <w:p w14:paraId="78BD092F" w14:textId="77777777" w:rsidR="00DF73BF" w:rsidRPr="00656C0A" w:rsidRDefault="00FB299E" w:rsidP="00545340">
      <w:pPr>
        <w:pStyle w:val="Szvegtrzs"/>
        <w:tabs>
          <w:tab w:val="left" w:pos="567"/>
        </w:tabs>
        <w:ind w:left="567" w:hanging="567"/>
      </w:pPr>
      <w:r w:rsidRPr="00656C0A">
        <w:rPr>
          <w:u w:val="single"/>
        </w:rPr>
        <w:t>Együttes alkalmazása nem javasolt:</w:t>
      </w:r>
    </w:p>
    <w:p w14:paraId="78BD0930" w14:textId="77777777" w:rsidR="00DF73BF" w:rsidRPr="00656C0A" w:rsidRDefault="00FB299E" w:rsidP="00545340">
      <w:pPr>
        <w:pStyle w:val="Listaszerbekezds"/>
        <w:numPr>
          <w:ilvl w:val="2"/>
          <w:numId w:val="20"/>
        </w:numPr>
        <w:tabs>
          <w:tab w:val="left" w:pos="567"/>
        </w:tabs>
        <w:ind w:left="567" w:hanging="567"/>
        <w:rPr>
          <w:i/>
        </w:rPr>
      </w:pPr>
      <w:r w:rsidRPr="00656C0A">
        <w:rPr>
          <w:i/>
        </w:rPr>
        <w:t>Hemosztázist befolyásoló gyógyszerek (lásd 4.4 pont)</w:t>
      </w:r>
    </w:p>
    <w:p w14:paraId="78BD0931" w14:textId="77777777" w:rsidR="00DF73BF" w:rsidRPr="00656C0A" w:rsidRDefault="00FB299E" w:rsidP="00545340">
      <w:pPr>
        <w:pStyle w:val="Szvegtrzs"/>
        <w:tabs>
          <w:tab w:val="left" w:pos="567"/>
        </w:tabs>
        <w:ind w:left="567"/>
      </w:pPr>
      <w:r w:rsidRPr="00656C0A">
        <w:t>Egyes szerek alaklamazását, amelyek hatással vannak a hemosztázisra – hacsak alkalmazásuk nem nélkülözhetetlen – az enoxaparin</w:t>
      </w:r>
      <w:r w:rsidR="00BB21F0">
        <w:t>-</w:t>
      </w:r>
      <w:r w:rsidRPr="00656C0A">
        <w:t>nátrium-kezelés előtt abba kell hagyni. Ha a kombináció indokolt, az enoxaparin-nátriumot gondos klinikai és laboratóriumi monitorozás mellett kell alkalmazni. Ilyen gyógyszerek lehetnek:</w:t>
      </w:r>
    </w:p>
    <w:p w14:paraId="78BD0932" w14:textId="77777777" w:rsidR="00DF73BF" w:rsidRPr="00656C0A" w:rsidRDefault="00FB299E" w:rsidP="00545340">
      <w:pPr>
        <w:pStyle w:val="Listaszerbekezds"/>
        <w:numPr>
          <w:ilvl w:val="3"/>
          <w:numId w:val="20"/>
        </w:numPr>
        <w:tabs>
          <w:tab w:val="left" w:pos="567"/>
        </w:tabs>
        <w:ind w:left="1134" w:hanging="567"/>
      </w:pPr>
      <w:r w:rsidRPr="00656C0A">
        <w:t>Szisztémásan alkalmazott szalicilátok, gyulladáscsökkentő adagban alkalmazott acetilszalicilsav, továbbá NSAID-</w:t>
      </w:r>
      <w:r w:rsidR="00BB21F0">
        <w:t>o</w:t>
      </w:r>
      <w:r w:rsidRPr="00656C0A">
        <w:t>k</w:t>
      </w:r>
      <w:r w:rsidR="00BB21F0">
        <w:t>,</w:t>
      </w:r>
      <w:r w:rsidRPr="00656C0A">
        <w:t xml:space="preserve"> beleértve a ketorolakot is,</w:t>
      </w:r>
    </w:p>
    <w:p w14:paraId="78BD0933" w14:textId="77777777" w:rsidR="00DF73BF" w:rsidRPr="00656C0A" w:rsidRDefault="00FB299E" w:rsidP="00545340">
      <w:pPr>
        <w:pStyle w:val="Listaszerbekezds"/>
        <w:numPr>
          <w:ilvl w:val="3"/>
          <w:numId w:val="20"/>
        </w:numPr>
        <w:tabs>
          <w:tab w:val="left" w:pos="567"/>
        </w:tabs>
        <w:ind w:left="1134" w:hanging="567"/>
      </w:pPr>
      <w:r w:rsidRPr="00656C0A">
        <w:t>Egyéb trombolitikumok (pl. altepláz, retepláz, sztreptokináz, tenektepláz, urokináz) és antikoagulánsok (lásd 4.2 pont).</w:t>
      </w:r>
    </w:p>
    <w:p w14:paraId="78BD0934" w14:textId="77777777" w:rsidR="00DF73BF" w:rsidRPr="00656C0A" w:rsidRDefault="00DF73BF" w:rsidP="00545340">
      <w:pPr>
        <w:pStyle w:val="Szvegtrzs"/>
        <w:tabs>
          <w:tab w:val="left" w:pos="567"/>
        </w:tabs>
        <w:ind w:left="567" w:hanging="567"/>
      </w:pPr>
    </w:p>
    <w:p w14:paraId="78BD0935" w14:textId="77777777" w:rsidR="00DF73BF" w:rsidRPr="00656C0A" w:rsidRDefault="00FB299E" w:rsidP="00545340">
      <w:pPr>
        <w:pStyle w:val="Szvegtrzs"/>
        <w:tabs>
          <w:tab w:val="left" w:pos="567"/>
        </w:tabs>
        <w:ind w:left="567" w:hanging="567"/>
      </w:pPr>
      <w:r w:rsidRPr="00656C0A">
        <w:rPr>
          <w:u w:val="single"/>
        </w:rPr>
        <w:t>Együttes alkalmazása óvatosságot igényel:</w:t>
      </w:r>
    </w:p>
    <w:p w14:paraId="78BD0936" w14:textId="77777777" w:rsidR="00DF73BF" w:rsidRPr="00656C0A" w:rsidRDefault="00FB299E" w:rsidP="00545340">
      <w:pPr>
        <w:pStyle w:val="Szvegtrzs"/>
        <w:tabs>
          <w:tab w:val="left" w:pos="567"/>
        </w:tabs>
        <w:ind w:left="567" w:hanging="567"/>
      </w:pPr>
      <w:r w:rsidRPr="00656C0A">
        <w:t>Az alábbi gyógyszerek óvatossággal adhatók együtt az enoxaparin-nátriummal:</w:t>
      </w:r>
    </w:p>
    <w:p w14:paraId="78BD0937" w14:textId="77777777" w:rsidR="00DF73BF" w:rsidRPr="00656C0A" w:rsidRDefault="00FB299E" w:rsidP="00545340">
      <w:pPr>
        <w:pStyle w:val="Listaszerbekezds"/>
        <w:numPr>
          <w:ilvl w:val="2"/>
          <w:numId w:val="20"/>
        </w:numPr>
        <w:tabs>
          <w:tab w:val="left" w:pos="567"/>
        </w:tabs>
        <w:ind w:left="567" w:hanging="567"/>
        <w:rPr>
          <w:i/>
        </w:rPr>
      </w:pPr>
      <w:r w:rsidRPr="00656C0A">
        <w:rPr>
          <w:i/>
        </w:rPr>
        <w:t>Hemosztázisra ható egyéb gyógyszerek, például:</w:t>
      </w:r>
    </w:p>
    <w:p w14:paraId="78BD0938" w14:textId="77777777" w:rsidR="00DF73BF" w:rsidRPr="00656C0A" w:rsidRDefault="00FB299E" w:rsidP="00545340">
      <w:pPr>
        <w:pStyle w:val="Szvegtrzs"/>
        <w:tabs>
          <w:tab w:val="left" w:pos="567"/>
        </w:tabs>
        <w:ind w:left="1134" w:hanging="567"/>
      </w:pPr>
      <w:r w:rsidRPr="00656C0A">
        <w:t>-</w:t>
      </w:r>
      <w:r w:rsidRPr="00656C0A">
        <w:tab/>
        <w:t>Trombocitaaggregáció-gátló szerek, ideértve az acetilszalicilsavat trombocitaaggregáció</w:t>
      </w:r>
      <w:r w:rsidR="00BB21F0">
        <w:noBreakHyphen/>
      </w:r>
      <w:r w:rsidRPr="00656C0A">
        <w:t>gátló adagban (kardioprotekció), klopidogr</w:t>
      </w:r>
      <w:r w:rsidR="00BB21F0">
        <w:t>e</w:t>
      </w:r>
      <w:r w:rsidRPr="00656C0A">
        <w:t>l, tiklopidin, és akut koronária</w:t>
      </w:r>
      <w:r w:rsidR="00BB21F0">
        <w:t>-</w:t>
      </w:r>
      <w:r w:rsidRPr="00656C0A">
        <w:t>szindróma javallatban alkalmazott glükoprotein IIb/IIIa</w:t>
      </w:r>
      <w:r w:rsidR="00BB21F0">
        <w:t>-</w:t>
      </w:r>
      <w:r w:rsidRPr="00656C0A">
        <w:t>antagonisták (a vérzés kockázata miatt),</w:t>
      </w:r>
    </w:p>
    <w:p w14:paraId="78BD0939" w14:textId="77777777" w:rsidR="00DF73BF" w:rsidRPr="00656C0A" w:rsidRDefault="00FB299E" w:rsidP="00545340">
      <w:pPr>
        <w:pStyle w:val="Szvegtrzs"/>
        <w:tabs>
          <w:tab w:val="left" w:pos="567"/>
        </w:tabs>
        <w:ind w:left="1134" w:hanging="567"/>
      </w:pPr>
      <w:r w:rsidRPr="00656C0A">
        <w:t>-</w:t>
      </w:r>
      <w:r w:rsidRPr="00656C0A">
        <w:tab/>
        <w:t>Dextr</w:t>
      </w:r>
      <w:r w:rsidR="00BB21F0">
        <w:t>á</w:t>
      </w:r>
      <w:r w:rsidRPr="00656C0A">
        <w:t>n 40,</w:t>
      </w:r>
    </w:p>
    <w:p w14:paraId="78BD093A" w14:textId="77777777" w:rsidR="00DF73BF" w:rsidRPr="00656C0A" w:rsidRDefault="00FB299E" w:rsidP="00545340">
      <w:pPr>
        <w:pStyle w:val="Szvegtrzs"/>
        <w:tabs>
          <w:tab w:val="left" w:pos="567"/>
        </w:tabs>
        <w:ind w:left="1134" w:hanging="567"/>
      </w:pPr>
      <w:r w:rsidRPr="00656C0A">
        <w:t>-</w:t>
      </w:r>
      <w:r w:rsidRPr="00656C0A">
        <w:tab/>
      </w:r>
      <w:r w:rsidR="00BB21F0">
        <w:t>S</w:t>
      </w:r>
      <w:r w:rsidRPr="00656C0A">
        <w:t>zisztémásan alkalmazott glükokortikoidok.</w:t>
      </w:r>
    </w:p>
    <w:p w14:paraId="78BD093B" w14:textId="77777777" w:rsidR="00DF73BF" w:rsidRPr="00656C0A" w:rsidRDefault="00DF73BF" w:rsidP="00545340">
      <w:pPr>
        <w:pStyle w:val="Szvegtrzs"/>
        <w:tabs>
          <w:tab w:val="left" w:pos="567"/>
        </w:tabs>
        <w:ind w:left="567" w:hanging="567"/>
      </w:pPr>
    </w:p>
    <w:p w14:paraId="78BD093C" w14:textId="77777777" w:rsidR="00DF73BF" w:rsidRPr="00656C0A" w:rsidRDefault="00FB299E" w:rsidP="00CE6397">
      <w:pPr>
        <w:pStyle w:val="Listaszerbekezds"/>
        <w:keepNext/>
        <w:numPr>
          <w:ilvl w:val="2"/>
          <w:numId w:val="20"/>
        </w:numPr>
        <w:tabs>
          <w:tab w:val="left" w:pos="567"/>
        </w:tabs>
        <w:ind w:left="567" w:hanging="567"/>
        <w:rPr>
          <w:i/>
        </w:rPr>
      </w:pPr>
      <w:r w:rsidRPr="00656C0A">
        <w:rPr>
          <w:i/>
        </w:rPr>
        <w:lastRenderedPageBreak/>
        <w:t>Káliumszintet növelő gyógyszerek:</w:t>
      </w:r>
    </w:p>
    <w:p w14:paraId="78BD093D" w14:textId="77777777" w:rsidR="00DF73BF" w:rsidRPr="00656C0A" w:rsidRDefault="00FB299E" w:rsidP="00CE6397">
      <w:pPr>
        <w:pStyle w:val="Szvegtrzs"/>
        <w:widowControl/>
        <w:tabs>
          <w:tab w:val="left" w:pos="567"/>
        </w:tabs>
        <w:ind w:left="567"/>
      </w:pPr>
      <w:r w:rsidRPr="00656C0A">
        <w:t>A káliumszintet növelő gyógyszerek óvatosan alkalmazhatók enoxaparin-nátriummal párhuzamosan</w:t>
      </w:r>
      <w:r w:rsidR="00BB21F0">
        <w:t>,</w:t>
      </w:r>
      <w:r w:rsidRPr="00656C0A">
        <w:t xml:space="preserve"> gondos klinikai és kaboratóriumi monitorozás mellett (lásd 4.4 és 4.8 pontok).</w:t>
      </w:r>
    </w:p>
    <w:p w14:paraId="78BD093E" w14:textId="77777777" w:rsidR="00DF73BF" w:rsidRPr="00656C0A" w:rsidRDefault="00DF73BF" w:rsidP="00545340">
      <w:pPr>
        <w:pStyle w:val="Szvegtrzs"/>
        <w:tabs>
          <w:tab w:val="left" w:pos="567"/>
        </w:tabs>
        <w:ind w:left="567" w:hanging="567"/>
      </w:pPr>
    </w:p>
    <w:p w14:paraId="78BD093F" w14:textId="77777777" w:rsidR="00DF73BF" w:rsidRPr="00656C0A" w:rsidRDefault="00FB299E" w:rsidP="00545340">
      <w:pPr>
        <w:pStyle w:val="Cmsor1"/>
        <w:numPr>
          <w:ilvl w:val="1"/>
          <w:numId w:val="20"/>
        </w:numPr>
        <w:tabs>
          <w:tab w:val="left" w:pos="567"/>
        </w:tabs>
        <w:ind w:left="567"/>
      </w:pPr>
      <w:r w:rsidRPr="00656C0A">
        <w:t>Termékenység, terhesség és szoptatás</w:t>
      </w:r>
    </w:p>
    <w:p w14:paraId="78BD0940" w14:textId="77777777" w:rsidR="00DF73BF" w:rsidRPr="00656C0A" w:rsidRDefault="00DF73BF" w:rsidP="00545340">
      <w:pPr>
        <w:pStyle w:val="Szvegtrzs"/>
        <w:tabs>
          <w:tab w:val="left" w:pos="567"/>
        </w:tabs>
        <w:ind w:left="567" w:hanging="567"/>
        <w:rPr>
          <w:b/>
        </w:rPr>
      </w:pPr>
    </w:p>
    <w:p w14:paraId="78BD0941" w14:textId="77777777" w:rsidR="00DF73BF" w:rsidRPr="00656C0A" w:rsidRDefault="00FB299E" w:rsidP="00545340">
      <w:pPr>
        <w:pStyle w:val="Szvegtrzs"/>
        <w:tabs>
          <w:tab w:val="left" w:pos="567"/>
        </w:tabs>
        <w:ind w:left="567" w:hanging="567"/>
      </w:pPr>
      <w:r w:rsidRPr="00656C0A">
        <w:rPr>
          <w:u w:val="single"/>
        </w:rPr>
        <w:t>Terhesség</w:t>
      </w:r>
    </w:p>
    <w:p w14:paraId="78BD0942" w14:textId="77777777" w:rsidR="009C5CD5" w:rsidRDefault="00BB21F0" w:rsidP="00545340">
      <w:pPr>
        <w:pStyle w:val="Szvegtrzs"/>
        <w:tabs>
          <w:tab w:val="left" w:pos="567"/>
        </w:tabs>
      </w:pPr>
      <w:r>
        <w:t>Emberekben</w:t>
      </w:r>
      <w:r w:rsidR="00DE4609" w:rsidRPr="00656C0A">
        <w:t xml:space="preserve"> </w:t>
      </w:r>
      <w:r w:rsidR="00FB299E" w:rsidRPr="00656C0A">
        <w:t>nem bizonyított, hogy az enoxaparin átjut a placentán a terhesség második és a harmadik trimeszterében. Az első trimeszterre vonatkozóan nincsenek adatok.</w:t>
      </w:r>
    </w:p>
    <w:p w14:paraId="78BD0943" w14:textId="77777777" w:rsidR="00DF73BF" w:rsidRPr="00656C0A" w:rsidRDefault="00FB299E" w:rsidP="00545340">
      <w:pPr>
        <w:pStyle w:val="Szvegtrzs"/>
        <w:tabs>
          <w:tab w:val="left" w:pos="567"/>
        </w:tabs>
      </w:pPr>
      <w:r w:rsidRPr="00656C0A">
        <w:t>Az állatokkal végzett vizsgálatok nem mutattak semmiféle fötotoxicitásra vagy teratogenitásra utaló bizonyítékot (lásd 5.3 pont). Állatkísérletek adatai szerint az enoxaparin csekély mértékben jut át a placentán.</w:t>
      </w:r>
    </w:p>
    <w:p w14:paraId="78BD0944" w14:textId="77777777" w:rsidR="00DF73BF" w:rsidRPr="00656C0A" w:rsidRDefault="00FB299E" w:rsidP="00545340">
      <w:pPr>
        <w:pStyle w:val="Szvegtrzs"/>
        <w:tabs>
          <w:tab w:val="left" w:pos="567"/>
        </w:tabs>
      </w:pPr>
      <w:r w:rsidRPr="00656C0A">
        <w:t>Az enoxaparin-nátrium terhességben kizárólag akkor alkalmazható, ha azt az orvos elengedhetetlenül szükségesnek ítéli.</w:t>
      </w:r>
    </w:p>
    <w:p w14:paraId="78BD0945" w14:textId="77777777" w:rsidR="00DF73BF" w:rsidRPr="00656C0A" w:rsidRDefault="00FB299E" w:rsidP="00545340">
      <w:pPr>
        <w:pStyle w:val="Szvegtrzs"/>
        <w:tabs>
          <w:tab w:val="left" w:pos="567"/>
        </w:tabs>
      </w:pPr>
      <w:r w:rsidRPr="00656C0A">
        <w:t>Az enoxaparin-nátrium</w:t>
      </w:r>
      <w:r w:rsidR="009C5CD5">
        <w:t>-</w:t>
      </w:r>
      <w:r w:rsidRPr="00656C0A">
        <w:t xml:space="preserve">kezelésben részesülő terhes nők gondos monitorozása szükséges a vérzés kialakulása vagy a fokozott antikoaguláció szempontjából, és figyelmeztetni kell a vérzések kialakulásának kockázatára. </w:t>
      </w:r>
      <w:r w:rsidR="009C5CD5">
        <w:t>Összességében</w:t>
      </w:r>
      <w:r w:rsidRPr="00656C0A">
        <w:t xml:space="preserve"> a rendelkezésre álló adatok </w:t>
      </w:r>
      <w:r w:rsidR="009C5CD5">
        <w:t>arra</w:t>
      </w:r>
      <w:r w:rsidRPr="00656C0A">
        <w:t xml:space="preserve"> utalnak</w:t>
      </w:r>
      <w:r w:rsidR="009C5CD5">
        <w:t>, hogy nincs bizonyíték</w:t>
      </w:r>
      <w:r w:rsidRPr="00656C0A">
        <w:t xml:space="preserve"> a vérzések, trombocitopénia vagy oszteoporózis kialakulásának fokozott kockázatára a mechanikus műbillentyűvel rendelkező terhes nők esetében a nemterhes nők csoportjához képest (lásd 4.4 pont).</w:t>
      </w:r>
    </w:p>
    <w:p w14:paraId="78BD0946" w14:textId="77777777" w:rsidR="00DF73BF" w:rsidRPr="00656C0A" w:rsidRDefault="00DF73BF" w:rsidP="00545340">
      <w:pPr>
        <w:pStyle w:val="Szvegtrzs"/>
        <w:tabs>
          <w:tab w:val="left" w:pos="567"/>
        </w:tabs>
      </w:pPr>
    </w:p>
    <w:p w14:paraId="78BD0947" w14:textId="77777777" w:rsidR="00DF73BF" w:rsidRPr="00656C0A" w:rsidRDefault="00FB299E" w:rsidP="00545340">
      <w:pPr>
        <w:pStyle w:val="Szvegtrzs"/>
        <w:tabs>
          <w:tab w:val="left" w:pos="567"/>
        </w:tabs>
      </w:pPr>
      <w:r w:rsidRPr="00656C0A">
        <w:t>Tervezett epidurális anesztézia esetén a beavatkozást megelőzően az enoxaparin-nátrium</w:t>
      </w:r>
      <w:r w:rsidR="00516DBF">
        <w:t>-</w:t>
      </w:r>
      <w:r w:rsidRPr="00656C0A">
        <w:t>kezelés abbahagyása javasolt (lásd 4.4 pont).</w:t>
      </w:r>
    </w:p>
    <w:p w14:paraId="78BD0948" w14:textId="77777777" w:rsidR="00DF73BF" w:rsidRPr="00656C0A" w:rsidRDefault="00DF73BF" w:rsidP="00545340">
      <w:pPr>
        <w:pStyle w:val="Szvegtrzs"/>
        <w:tabs>
          <w:tab w:val="left" w:pos="567"/>
        </w:tabs>
        <w:ind w:left="567" w:hanging="567"/>
      </w:pPr>
    </w:p>
    <w:p w14:paraId="78BD0949" w14:textId="77777777" w:rsidR="00DF73BF" w:rsidRPr="00656C0A" w:rsidRDefault="00FB299E" w:rsidP="00545340">
      <w:pPr>
        <w:pStyle w:val="Szvegtrzs"/>
        <w:keepNext/>
        <w:tabs>
          <w:tab w:val="left" w:pos="567"/>
        </w:tabs>
        <w:ind w:left="567" w:hanging="567"/>
      </w:pPr>
      <w:r w:rsidRPr="00656C0A">
        <w:rPr>
          <w:u w:val="single"/>
        </w:rPr>
        <w:t>Szoptatás</w:t>
      </w:r>
    </w:p>
    <w:p w14:paraId="78BD094A" w14:textId="77777777" w:rsidR="00DF73BF" w:rsidRPr="00656C0A" w:rsidRDefault="00FB299E" w:rsidP="00545340">
      <w:pPr>
        <w:pStyle w:val="Szvegtrzs"/>
        <w:tabs>
          <w:tab w:val="left" w:pos="567"/>
        </w:tabs>
      </w:pPr>
      <w:r w:rsidRPr="00656C0A">
        <w:t>Nem ismert, hogy az enoxaparin változatlan formában kiválasztódik-e a humán anyatejbe. Laktáló patkányokban az enoxaparin és metabolitjainak koncentrációja az anyatejben igen alacsony.</w:t>
      </w:r>
    </w:p>
    <w:p w14:paraId="78BD094B" w14:textId="77777777" w:rsidR="00DF73BF" w:rsidRPr="00656C0A" w:rsidRDefault="00FB299E" w:rsidP="00545340">
      <w:pPr>
        <w:pStyle w:val="Szvegtrzs"/>
        <w:tabs>
          <w:tab w:val="left" w:pos="567"/>
        </w:tabs>
        <w:rPr>
          <w:lang w:val="es-ES"/>
        </w:rPr>
      </w:pPr>
      <w:r w:rsidRPr="00E41443">
        <w:t xml:space="preserve">Az enoxaparin-nátrium </w:t>
      </w:r>
      <w:r w:rsidRPr="00E41443">
        <w:rPr>
          <w:i/>
        </w:rPr>
        <w:t xml:space="preserve">per os </w:t>
      </w:r>
      <w:r w:rsidRPr="00E41443">
        <w:t xml:space="preserve">felszívódása valószínűtlen. </w:t>
      </w:r>
      <w:r w:rsidRPr="00656C0A">
        <w:rPr>
          <w:lang w:val="es-ES"/>
        </w:rPr>
        <w:t xml:space="preserve">A </w:t>
      </w:r>
      <w:r w:rsidR="00426193" w:rsidRPr="00656C0A">
        <w:rPr>
          <w:lang w:val="es-ES"/>
        </w:rPr>
        <w:t>Losmina</w:t>
      </w:r>
      <w:r w:rsidR="00BF10D0" w:rsidRPr="00656C0A">
        <w:rPr>
          <w:lang w:val="es-ES"/>
        </w:rPr>
        <w:t xml:space="preserve"> </w:t>
      </w:r>
      <w:r w:rsidRPr="00656C0A">
        <w:rPr>
          <w:lang w:val="es-ES"/>
        </w:rPr>
        <w:t>szoptatás alatt alkalmazható.</w:t>
      </w:r>
    </w:p>
    <w:p w14:paraId="78BD094C" w14:textId="77777777" w:rsidR="00DF73BF" w:rsidRPr="00656C0A" w:rsidRDefault="00DF73BF" w:rsidP="00545340">
      <w:pPr>
        <w:pStyle w:val="Szvegtrzs"/>
        <w:tabs>
          <w:tab w:val="left" w:pos="567"/>
        </w:tabs>
        <w:ind w:left="567" w:hanging="567"/>
        <w:rPr>
          <w:lang w:val="es-ES"/>
        </w:rPr>
      </w:pPr>
    </w:p>
    <w:p w14:paraId="78BD094D" w14:textId="77777777" w:rsidR="00DF73BF" w:rsidRPr="00656C0A" w:rsidRDefault="00FB299E" w:rsidP="00545340">
      <w:pPr>
        <w:pStyle w:val="Szvegtrzs"/>
        <w:tabs>
          <w:tab w:val="left" w:pos="567"/>
        </w:tabs>
        <w:ind w:left="567" w:hanging="567"/>
        <w:rPr>
          <w:lang w:val="es-ES"/>
        </w:rPr>
      </w:pPr>
      <w:r w:rsidRPr="00656C0A">
        <w:rPr>
          <w:u w:val="single"/>
          <w:lang w:val="es-ES"/>
        </w:rPr>
        <w:t>Termékenység</w:t>
      </w:r>
    </w:p>
    <w:p w14:paraId="78BD094E" w14:textId="77777777" w:rsidR="00DF73BF" w:rsidRPr="00656C0A" w:rsidRDefault="00FB299E" w:rsidP="00545340">
      <w:pPr>
        <w:pStyle w:val="Szvegtrzs"/>
        <w:tabs>
          <w:tab w:val="left" w:pos="567"/>
        </w:tabs>
        <w:rPr>
          <w:lang w:val="es-ES"/>
        </w:rPr>
      </w:pPr>
      <w:r w:rsidRPr="00656C0A">
        <w:rPr>
          <w:lang w:val="es-ES"/>
        </w:rPr>
        <w:t>A termékenységre vonatkozóan nem állnak rendelkezésre klinikai adatok. Az állatkísérletek nem mutattak semmilyen termékenységre gyakorolt hatást</w:t>
      </w:r>
      <w:r w:rsidR="001108DC" w:rsidRPr="00656C0A">
        <w:rPr>
          <w:lang w:val="es-ES"/>
        </w:rPr>
        <w:t xml:space="preserve"> </w:t>
      </w:r>
      <w:r w:rsidRPr="00656C0A">
        <w:rPr>
          <w:lang w:val="es-ES"/>
        </w:rPr>
        <w:t>(lásd 5.3 pont).</w:t>
      </w:r>
    </w:p>
    <w:p w14:paraId="78BD094F" w14:textId="77777777" w:rsidR="00DF73BF" w:rsidRPr="00656C0A" w:rsidRDefault="00DF73BF" w:rsidP="00545340">
      <w:pPr>
        <w:pStyle w:val="Szvegtrzs"/>
        <w:tabs>
          <w:tab w:val="left" w:pos="567"/>
        </w:tabs>
        <w:ind w:left="567" w:hanging="567"/>
        <w:rPr>
          <w:lang w:val="es-ES"/>
        </w:rPr>
      </w:pPr>
    </w:p>
    <w:p w14:paraId="78BD0950" w14:textId="77777777" w:rsidR="00BF10D0" w:rsidRPr="00656C0A" w:rsidRDefault="00FB299E" w:rsidP="00545340">
      <w:pPr>
        <w:pStyle w:val="Listaszerbekezds"/>
        <w:numPr>
          <w:ilvl w:val="1"/>
          <w:numId w:val="20"/>
        </w:numPr>
        <w:tabs>
          <w:tab w:val="left" w:pos="567"/>
        </w:tabs>
        <w:ind w:left="567"/>
        <w:rPr>
          <w:lang w:val="es-ES"/>
        </w:rPr>
      </w:pPr>
      <w:r w:rsidRPr="00656C0A">
        <w:rPr>
          <w:b/>
          <w:lang w:val="es-ES"/>
        </w:rPr>
        <w:t>A készítmény hatásai a gépjárművezetéshez és a gépek kezeléséhez szükséges képességekre</w:t>
      </w:r>
    </w:p>
    <w:p w14:paraId="78BD0951" w14:textId="77777777" w:rsidR="00BF10D0" w:rsidRPr="00656C0A" w:rsidRDefault="00FB299E" w:rsidP="00545340">
      <w:pPr>
        <w:pStyle w:val="Listaszerbekezds"/>
        <w:tabs>
          <w:tab w:val="left" w:pos="567"/>
        </w:tabs>
        <w:ind w:left="567" w:hanging="567"/>
        <w:rPr>
          <w:lang w:val="es-ES"/>
        </w:rPr>
      </w:pPr>
      <w:r w:rsidRPr="00656C0A">
        <w:rPr>
          <w:b/>
          <w:lang w:val="es-ES"/>
        </w:rPr>
        <w:t xml:space="preserve"> </w:t>
      </w:r>
    </w:p>
    <w:p w14:paraId="78BD0952" w14:textId="77777777" w:rsidR="00DF73BF" w:rsidRPr="00656C0A" w:rsidRDefault="00FB299E" w:rsidP="00545340">
      <w:pPr>
        <w:pStyle w:val="Listaszerbekezds"/>
        <w:tabs>
          <w:tab w:val="left" w:pos="567"/>
        </w:tabs>
        <w:ind w:left="0" w:firstLine="0"/>
        <w:rPr>
          <w:lang w:val="es-ES"/>
        </w:rPr>
      </w:pPr>
      <w:r w:rsidRPr="00656C0A">
        <w:rPr>
          <w:lang w:val="es-ES"/>
        </w:rPr>
        <w:t>Az enoxaparin-nátrium nem, vagy csak elhanyagolható mértékben befolyásolja a gépjárművezetéshez és a gépek kezeléséhez szükséges képességekre.</w:t>
      </w:r>
    </w:p>
    <w:p w14:paraId="78BD0953" w14:textId="77777777" w:rsidR="00DF73BF" w:rsidRPr="00656C0A" w:rsidRDefault="00DF73BF" w:rsidP="00545340">
      <w:pPr>
        <w:pStyle w:val="Szvegtrzs"/>
        <w:tabs>
          <w:tab w:val="left" w:pos="567"/>
        </w:tabs>
        <w:ind w:left="567" w:hanging="567"/>
        <w:rPr>
          <w:lang w:val="es-ES"/>
        </w:rPr>
      </w:pPr>
    </w:p>
    <w:p w14:paraId="78BD0954" w14:textId="77777777" w:rsidR="00DF73BF" w:rsidRPr="00656C0A" w:rsidRDefault="00FB299E" w:rsidP="00545340">
      <w:pPr>
        <w:pStyle w:val="Cmsor1"/>
        <w:numPr>
          <w:ilvl w:val="1"/>
          <w:numId w:val="20"/>
        </w:numPr>
        <w:tabs>
          <w:tab w:val="left" w:pos="567"/>
        </w:tabs>
        <w:ind w:left="567"/>
      </w:pPr>
      <w:r w:rsidRPr="00656C0A">
        <w:t>Nemkívánatos hatások, mellékhatások</w:t>
      </w:r>
    </w:p>
    <w:p w14:paraId="78BD0955" w14:textId="77777777" w:rsidR="00DF73BF" w:rsidRPr="00656C0A" w:rsidRDefault="00DF73BF" w:rsidP="00545340">
      <w:pPr>
        <w:pStyle w:val="Szvegtrzs"/>
        <w:tabs>
          <w:tab w:val="left" w:pos="567"/>
        </w:tabs>
        <w:ind w:left="567" w:hanging="567"/>
        <w:rPr>
          <w:b/>
        </w:rPr>
      </w:pPr>
    </w:p>
    <w:p w14:paraId="78BD0956" w14:textId="77777777" w:rsidR="00DF73BF" w:rsidRPr="00656C0A" w:rsidRDefault="00FB299E" w:rsidP="00545340">
      <w:pPr>
        <w:pStyle w:val="Szvegtrzs"/>
        <w:tabs>
          <w:tab w:val="left" w:pos="567"/>
        </w:tabs>
        <w:ind w:left="567" w:hanging="567"/>
      </w:pPr>
      <w:r w:rsidRPr="00656C0A">
        <w:rPr>
          <w:u w:val="single"/>
        </w:rPr>
        <w:t>A biztonságossági profil összefoglalása</w:t>
      </w:r>
    </w:p>
    <w:p w14:paraId="78BD0957" w14:textId="77777777" w:rsidR="00DF73BF" w:rsidRPr="00656C0A" w:rsidRDefault="00DF73BF" w:rsidP="00545340">
      <w:pPr>
        <w:pStyle w:val="Szvegtrzs"/>
        <w:tabs>
          <w:tab w:val="left" w:pos="567"/>
        </w:tabs>
        <w:ind w:left="567" w:hanging="567"/>
      </w:pPr>
    </w:p>
    <w:p w14:paraId="78BD0958" w14:textId="77777777" w:rsidR="00DF73BF" w:rsidRPr="00656C0A" w:rsidRDefault="00FB299E" w:rsidP="00545340">
      <w:pPr>
        <w:pStyle w:val="Szvegtrzs"/>
        <w:tabs>
          <w:tab w:val="left" w:pos="567"/>
        </w:tabs>
      </w:pPr>
      <w:r w:rsidRPr="00656C0A">
        <w:t>Az enoxaparin-nátrium hatásait klinikai vizsgálataiba több mint 15</w:t>
      </w:r>
      <w:r w:rsidR="007B60ED">
        <w:t> </w:t>
      </w:r>
      <w:r w:rsidRPr="00656C0A">
        <w:t>000 beteget vontak be, köztük 1776 beteget mélyvénás trombózis profilaxisa céljából kezeltek ortopédiai vagy hasi műtétet követően tromboembóliás szövődmény kockázata miatt; 1169 beteget mélyvénás trombózis profilaxisa céljából akut belgyógyászati betegség kapcsán nagymértékben korlátozott mobilitás miatt; 559 beteget tüdőembóliával kísért vagy nem kísért mélyvénás trombózis kezelése cáljából; 1578 beteget instabil angina vagy Q-hullámmal nem járó miokardiális infarktus kezelése céljából; 10</w:t>
      </w:r>
      <w:r w:rsidR="007B60ED">
        <w:t> </w:t>
      </w:r>
      <w:r w:rsidRPr="00656C0A">
        <w:t>176 beteget akut STEMI kezelése céljából.</w:t>
      </w:r>
    </w:p>
    <w:p w14:paraId="78BD0959" w14:textId="77777777" w:rsidR="00DF73BF" w:rsidRPr="00656C0A" w:rsidRDefault="00FB299E" w:rsidP="00545340">
      <w:pPr>
        <w:pStyle w:val="Szvegtrzs"/>
        <w:tabs>
          <w:tab w:val="left" w:pos="567"/>
        </w:tabs>
      </w:pPr>
      <w:r w:rsidRPr="00656C0A">
        <w:t>Az enoxaparin-nátrium adagolási módja az indikációktól függően eltérő volt ezekben a klinikai vizsgálatokban. Az enoxaparin-nátrium dózisa a mélyvénás trombózis (DVT) megelőzésére műtétet követően vagy akut betegségben szenvedő, nagymértékben immobilizált páciensek esetében 4000</w:t>
      </w:r>
      <w:r w:rsidR="007B60ED">
        <w:t> </w:t>
      </w:r>
      <w:r w:rsidRPr="00656C0A">
        <w:t xml:space="preserve">NE (40 mg) volt naponta egyszer, sc. injekció formájában alkalmazva. Pulmonális embóliával (PE) vagy anélkül jelentkező DVT esetén a páciensek 12 óránként 100 NE/kg (1 mg/kg) dózisú, vagy napi egyszeri alkalommal 150 NE/kg (1,5 mg/kg) dózisú enoxaparin-nátrium-kezelésben részesültek sc. injekció formájában. A klinikai vizsgálatokban instabil angina és Q-hullámmal nem járó miokardiális infarktus kezelése esetén az alkalmazott dózis 12 óránként 100 NE/kg (1 mg/kg) volt sc. injekció </w:t>
      </w:r>
      <w:r w:rsidRPr="00656C0A">
        <w:lastRenderedPageBreak/>
        <w:t>formájában, továbbá akut STEMI- esetében az enoxaparin-nátrium adagja 3000 NE (30 mg) iv. bólust követően</w:t>
      </w:r>
      <w:r w:rsidR="00516DBF">
        <w:t xml:space="preserve"> </w:t>
      </w:r>
      <w:r w:rsidRPr="00656C0A">
        <w:t>100 NE/kg (1 mg/kg) volt sc. alkalmazva, 12 óránként.</w:t>
      </w:r>
    </w:p>
    <w:p w14:paraId="78BD095A" w14:textId="77777777" w:rsidR="00DF73BF" w:rsidRPr="00656C0A" w:rsidRDefault="00DF73BF" w:rsidP="00545340">
      <w:pPr>
        <w:pStyle w:val="Szvegtrzs"/>
        <w:tabs>
          <w:tab w:val="left" w:pos="567"/>
        </w:tabs>
      </w:pPr>
    </w:p>
    <w:p w14:paraId="78BD095B" w14:textId="0023EC57" w:rsidR="00DF73BF" w:rsidRDefault="00FB299E" w:rsidP="00545340">
      <w:pPr>
        <w:pStyle w:val="Szvegtrzs"/>
        <w:tabs>
          <w:tab w:val="left" w:pos="567"/>
        </w:tabs>
      </w:pPr>
      <w:r w:rsidRPr="00656C0A">
        <w:t>A klinikai vizsgálatok során a vérzések, a trombocitopenia, és a trombocitózis volt a leggyakrabban jelentett reakció (lásd 4.4 pont és alább “A kiválasztott mellékhatások leírása” részt).</w:t>
      </w:r>
    </w:p>
    <w:p w14:paraId="7D2E7183" w14:textId="54CD3CEF" w:rsidR="00996298" w:rsidRDefault="00996298" w:rsidP="00545340">
      <w:pPr>
        <w:pStyle w:val="Szvegtrzs"/>
        <w:tabs>
          <w:tab w:val="left" w:pos="567"/>
        </w:tabs>
      </w:pPr>
    </w:p>
    <w:p w14:paraId="70B6FE64" w14:textId="29EF6ADD" w:rsidR="000533C1" w:rsidRPr="00E41443" w:rsidRDefault="000533C1" w:rsidP="000533C1">
      <w:r w:rsidRPr="00E41443">
        <w:t>A</w:t>
      </w:r>
      <w:r w:rsidR="0093621F">
        <w:t>z</w:t>
      </w:r>
      <w:r w:rsidR="0093621F" w:rsidRPr="0093621F">
        <w:t xml:space="preserve"> </w:t>
      </w:r>
      <w:r w:rsidR="0093621F" w:rsidRPr="00F173A4">
        <w:t>aktív tumoros betegeknél</w:t>
      </w:r>
      <w:r w:rsidR="00045637">
        <w:t xml:space="preserve"> </w:t>
      </w:r>
      <w:r w:rsidRPr="00E41443">
        <w:t>DVT és PE tartós kezelésé</w:t>
      </w:r>
      <w:r w:rsidR="00045637">
        <w:t>re</w:t>
      </w:r>
      <w:r w:rsidRPr="00CE6397">
        <w:t xml:space="preserve"> </w:t>
      </w:r>
      <w:r w:rsidR="00045637">
        <w:t xml:space="preserve">alkalmazott </w:t>
      </w:r>
      <w:r w:rsidR="00045637" w:rsidRPr="009D0908">
        <w:rPr>
          <w:lang w:val="hu-HU"/>
        </w:rPr>
        <w:t xml:space="preserve">enoxaparin biztonságossági profilja </w:t>
      </w:r>
      <w:r w:rsidRPr="00E41443">
        <w:t>hasonló a DVT és PE kezelésében tapasztalt biztonságossági profiljához.</w:t>
      </w:r>
    </w:p>
    <w:p w14:paraId="60A77CA8" w14:textId="77777777" w:rsidR="000533C1" w:rsidRDefault="000533C1" w:rsidP="00545340">
      <w:pPr>
        <w:pStyle w:val="Szvegtrzs"/>
        <w:tabs>
          <w:tab w:val="left" w:pos="567"/>
        </w:tabs>
      </w:pPr>
    </w:p>
    <w:p w14:paraId="5D2E4A5C" w14:textId="408006AB" w:rsidR="00996298" w:rsidRPr="00996298" w:rsidRDefault="00996298" w:rsidP="00545340">
      <w:pPr>
        <w:pStyle w:val="Szvegtrzs"/>
        <w:tabs>
          <w:tab w:val="left" w:pos="567"/>
        </w:tabs>
      </w:pPr>
      <w:r w:rsidRPr="00996298">
        <w:t>Az enoxaparin-kezeléssel összefüggésben akut generalizált exanthemás pustulosis (AGEP) jelentkezéséről számoltak be (lásd 4.4 pont).</w:t>
      </w:r>
    </w:p>
    <w:p w14:paraId="78BD095C" w14:textId="77777777" w:rsidR="00DF73BF" w:rsidRPr="00656C0A" w:rsidRDefault="00DF73BF" w:rsidP="00545340">
      <w:pPr>
        <w:pStyle w:val="Szvegtrzs"/>
        <w:tabs>
          <w:tab w:val="left" w:pos="567"/>
        </w:tabs>
        <w:ind w:left="567" w:hanging="567"/>
      </w:pPr>
    </w:p>
    <w:p w14:paraId="78BD095D" w14:textId="54F48B01" w:rsidR="00DF73BF" w:rsidRPr="00656C0A" w:rsidRDefault="00FB299E" w:rsidP="00545340">
      <w:pPr>
        <w:pStyle w:val="Szvegtrzs"/>
        <w:tabs>
          <w:tab w:val="left" w:pos="567"/>
        </w:tabs>
        <w:ind w:left="567" w:hanging="567"/>
      </w:pPr>
      <w:r w:rsidRPr="00656C0A">
        <w:rPr>
          <w:u w:val="single"/>
        </w:rPr>
        <w:t>A mellékhatások táblázatos összefoglalása</w:t>
      </w:r>
    </w:p>
    <w:p w14:paraId="78BD095E" w14:textId="77777777" w:rsidR="00DF73BF" w:rsidRPr="00656C0A" w:rsidRDefault="00FB299E" w:rsidP="00545340">
      <w:pPr>
        <w:pStyle w:val="Szvegtrzs"/>
        <w:tabs>
          <w:tab w:val="left" w:pos="567"/>
        </w:tabs>
      </w:pPr>
      <w:r w:rsidRPr="00656C0A">
        <w:t xml:space="preserve">Azokat a nemkívánatos hatásokat, amelyekről a forgalomba hozatal utáni időszakban számoltak be, a </w:t>
      </w:r>
      <w:r w:rsidR="007000F9">
        <w:t>csillag (</w:t>
      </w:r>
      <w:r w:rsidRPr="00656C0A">
        <w:t>*</w:t>
      </w:r>
      <w:r w:rsidR="007000F9">
        <w:t xml:space="preserve">) </w:t>
      </w:r>
      <w:r w:rsidRPr="00656C0A">
        <w:t>jel jezi.</w:t>
      </w:r>
    </w:p>
    <w:p w14:paraId="78BD095F" w14:textId="77777777" w:rsidR="00DF73BF" w:rsidRPr="00656C0A" w:rsidRDefault="00FB299E" w:rsidP="00545340">
      <w:pPr>
        <w:pStyle w:val="Szvegtrzs"/>
        <w:tabs>
          <w:tab w:val="left" w:pos="567"/>
        </w:tabs>
      </w:pPr>
      <w:r w:rsidRPr="00656C0A">
        <w:t>Ezek a következő gyakoriságok szerint fordultak elő: nagyon gyakori (</w:t>
      </w:r>
      <w:r w:rsidR="007000F9" w:rsidRPr="00CC2838">
        <w:t>≥ </w:t>
      </w:r>
      <w:r w:rsidRPr="00656C0A">
        <w:t>1/10); gyakori (</w:t>
      </w:r>
      <w:r w:rsidR="007000F9" w:rsidRPr="003E29B6">
        <w:t>≥ </w:t>
      </w:r>
      <w:r w:rsidRPr="00656C0A">
        <w:t>1/100</w:t>
      </w:r>
      <w:r w:rsidR="007000F9">
        <w:t xml:space="preserve"> </w:t>
      </w:r>
      <w:r w:rsidRPr="00656C0A">
        <w:t>–</w:t>
      </w:r>
      <w:r w:rsidR="007000F9">
        <w:t xml:space="preserve"> </w:t>
      </w:r>
      <w:r w:rsidRPr="00656C0A">
        <w:t>&lt;</w:t>
      </w:r>
      <w:r w:rsidR="007000F9">
        <w:t> </w:t>
      </w:r>
      <w:r w:rsidRPr="00656C0A">
        <w:t>1/10); nem gyakori (</w:t>
      </w:r>
      <w:r w:rsidR="007000F9" w:rsidRPr="003E29B6">
        <w:t>≥ </w:t>
      </w:r>
      <w:r w:rsidRPr="00656C0A">
        <w:t>1/1000</w:t>
      </w:r>
      <w:r w:rsidR="007000F9">
        <w:t xml:space="preserve"> </w:t>
      </w:r>
      <w:r w:rsidRPr="00656C0A">
        <w:t>–</w:t>
      </w:r>
      <w:r w:rsidR="007000F9">
        <w:t xml:space="preserve"> </w:t>
      </w:r>
      <w:r w:rsidRPr="00656C0A">
        <w:t>&lt;</w:t>
      </w:r>
      <w:r w:rsidR="007000F9">
        <w:t> </w:t>
      </w:r>
      <w:r w:rsidRPr="00656C0A">
        <w:t>1/100); ritka (</w:t>
      </w:r>
      <w:r w:rsidR="007000F9" w:rsidRPr="003E29B6">
        <w:t>≥ </w:t>
      </w:r>
      <w:r w:rsidRPr="00656C0A">
        <w:t>1/10</w:t>
      </w:r>
      <w:r w:rsidR="007000F9">
        <w:t> </w:t>
      </w:r>
      <w:r w:rsidRPr="00656C0A">
        <w:t>000</w:t>
      </w:r>
      <w:r w:rsidR="007000F9">
        <w:t xml:space="preserve"> </w:t>
      </w:r>
      <w:r w:rsidRPr="00656C0A">
        <w:t>–</w:t>
      </w:r>
      <w:r w:rsidR="007000F9">
        <w:t xml:space="preserve"> </w:t>
      </w:r>
      <w:r w:rsidRPr="00656C0A">
        <w:t>&lt;</w:t>
      </w:r>
      <w:r w:rsidR="007000F9">
        <w:t> </w:t>
      </w:r>
      <w:r w:rsidRPr="00656C0A">
        <w:t>1/1000); nagyon ritka (&lt;</w:t>
      </w:r>
      <w:r w:rsidR="007000F9">
        <w:t> </w:t>
      </w:r>
      <w:r w:rsidRPr="00656C0A">
        <w:t>1/10</w:t>
      </w:r>
      <w:r w:rsidR="007000F9">
        <w:t> </w:t>
      </w:r>
      <w:r w:rsidRPr="00656C0A">
        <w:t>000), vagy nem ismert (a rendelkezésre álló adatokból a gyakoriság nem állapítható meg). A szervrendszereken belül a mellékhatások csökkenő súlyosság szerint kerülnek megadásra.</w:t>
      </w:r>
    </w:p>
    <w:p w14:paraId="78BD0960" w14:textId="77777777" w:rsidR="00DF73BF" w:rsidRPr="00656C0A" w:rsidRDefault="00DF73BF" w:rsidP="00545340">
      <w:pPr>
        <w:pStyle w:val="Szvegtrzs"/>
        <w:tabs>
          <w:tab w:val="left" w:pos="567"/>
        </w:tabs>
        <w:ind w:left="567" w:hanging="567"/>
      </w:pPr>
    </w:p>
    <w:p w14:paraId="78BD0961" w14:textId="77777777" w:rsidR="00DF73BF" w:rsidRPr="00656C0A" w:rsidRDefault="00FB299E" w:rsidP="00545340">
      <w:pPr>
        <w:tabs>
          <w:tab w:val="left" w:pos="567"/>
        </w:tabs>
        <w:ind w:left="567" w:hanging="567"/>
        <w:rPr>
          <w:i/>
        </w:rPr>
      </w:pPr>
      <w:r w:rsidRPr="00656C0A">
        <w:rPr>
          <w:i/>
        </w:rPr>
        <w:t>Vérképzőszervi és nyirokrendszeri betegségek</w:t>
      </w:r>
    </w:p>
    <w:p w14:paraId="78BD0962" w14:textId="77777777" w:rsidR="00DF73BF" w:rsidRPr="00656C0A" w:rsidRDefault="00FB299E" w:rsidP="00545340">
      <w:pPr>
        <w:pStyle w:val="Listaszerbekezds"/>
        <w:numPr>
          <w:ilvl w:val="0"/>
          <w:numId w:val="24"/>
        </w:numPr>
        <w:tabs>
          <w:tab w:val="left" w:pos="567"/>
        </w:tabs>
        <w:ind w:left="567" w:hanging="567"/>
      </w:pPr>
      <w:r w:rsidRPr="00656C0A">
        <w:t>Gyakori: Vérzés, vérzés okozta anémia*, trombocitopénia, trombocitózis.</w:t>
      </w:r>
    </w:p>
    <w:p w14:paraId="78BD0963" w14:textId="77777777" w:rsidR="00DF73BF" w:rsidRPr="00656C0A" w:rsidRDefault="00FB299E" w:rsidP="00545340">
      <w:pPr>
        <w:pStyle w:val="Listaszerbekezds"/>
        <w:numPr>
          <w:ilvl w:val="0"/>
          <w:numId w:val="24"/>
        </w:numPr>
        <w:tabs>
          <w:tab w:val="left" w:pos="567"/>
        </w:tabs>
        <w:ind w:left="567" w:hanging="567"/>
      </w:pPr>
      <w:r w:rsidRPr="00656C0A">
        <w:t>Ritka: Eozinofilia*</w:t>
      </w:r>
    </w:p>
    <w:p w14:paraId="78BD0964" w14:textId="77777777" w:rsidR="00DF73BF" w:rsidRPr="00656C0A" w:rsidRDefault="00FB299E" w:rsidP="00545340">
      <w:pPr>
        <w:pStyle w:val="Listaszerbekezds"/>
        <w:numPr>
          <w:ilvl w:val="0"/>
          <w:numId w:val="24"/>
        </w:numPr>
        <w:tabs>
          <w:tab w:val="left" w:pos="567"/>
        </w:tabs>
        <w:ind w:left="567" w:hanging="567"/>
      </w:pPr>
      <w:r w:rsidRPr="00656C0A">
        <w:t>Ritka: Trombózissal járó immunoallergiás trombocitopénia</w:t>
      </w:r>
      <w:r w:rsidR="00F24C0C">
        <w:t>;</w:t>
      </w:r>
      <w:r w:rsidRPr="00656C0A">
        <w:t xml:space="preserve"> néhány esetben a trombózis szövődményeként szervi infarktus vagy végtagi ischaemia jelentkezett (lásd 4.4 pont).</w:t>
      </w:r>
    </w:p>
    <w:p w14:paraId="78BD0965" w14:textId="77777777" w:rsidR="00DF73BF" w:rsidRPr="00656C0A" w:rsidRDefault="00DF73BF" w:rsidP="00545340">
      <w:pPr>
        <w:pStyle w:val="Szvegtrzs"/>
        <w:tabs>
          <w:tab w:val="left" w:pos="567"/>
        </w:tabs>
        <w:ind w:left="567" w:hanging="567"/>
      </w:pPr>
    </w:p>
    <w:p w14:paraId="78BD0966" w14:textId="77777777" w:rsidR="00DF73BF" w:rsidRPr="00656C0A" w:rsidRDefault="00FB299E" w:rsidP="00545340">
      <w:pPr>
        <w:tabs>
          <w:tab w:val="left" w:pos="567"/>
        </w:tabs>
        <w:ind w:left="567" w:hanging="567"/>
        <w:rPr>
          <w:i/>
        </w:rPr>
      </w:pPr>
      <w:r w:rsidRPr="00656C0A">
        <w:rPr>
          <w:i/>
        </w:rPr>
        <w:t>Immunrendszeri betegségek</w:t>
      </w:r>
    </w:p>
    <w:p w14:paraId="78BD0967" w14:textId="77777777" w:rsidR="00DF73BF" w:rsidRPr="00656C0A" w:rsidRDefault="00FB299E" w:rsidP="00545340">
      <w:pPr>
        <w:pStyle w:val="Listaszerbekezds"/>
        <w:numPr>
          <w:ilvl w:val="0"/>
          <w:numId w:val="24"/>
        </w:numPr>
        <w:tabs>
          <w:tab w:val="left" w:pos="567"/>
        </w:tabs>
        <w:ind w:left="567" w:hanging="567"/>
      </w:pPr>
      <w:r w:rsidRPr="00656C0A">
        <w:t>Gyakori: Allergiás reakció</w:t>
      </w:r>
    </w:p>
    <w:p w14:paraId="78BD0968" w14:textId="77777777" w:rsidR="00DF73BF" w:rsidRPr="00656C0A" w:rsidRDefault="00FB299E" w:rsidP="00545340">
      <w:pPr>
        <w:pStyle w:val="Listaszerbekezds"/>
        <w:numPr>
          <w:ilvl w:val="0"/>
          <w:numId w:val="24"/>
        </w:numPr>
        <w:tabs>
          <w:tab w:val="left" w:pos="567"/>
        </w:tabs>
        <w:ind w:left="567" w:hanging="567"/>
      </w:pPr>
      <w:r w:rsidRPr="00656C0A">
        <w:t>Ritka: Anafilaxiás/anafilaktoid reakciók, beleértve a sokkot is*</w:t>
      </w:r>
    </w:p>
    <w:p w14:paraId="78BD0969" w14:textId="77777777" w:rsidR="00DF73BF" w:rsidRPr="00656C0A" w:rsidRDefault="00DF73BF" w:rsidP="00545340">
      <w:pPr>
        <w:pStyle w:val="Szvegtrzs"/>
        <w:tabs>
          <w:tab w:val="left" w:pos="567"/>
        </w:tabs>
        <w:ind w:left="567" w:hanging="567"/>
      </w:pPr>
    </w:p>
    <w:p w14:paraId="78BD096A" w14:textId="77777777" w:rsidR="00DF73BF" w:rsidRPr="00656C0A" w:rsidRDefault="00FB299E" w:rsidP="00545340">
      <w:pPr>
        <w:pStyle w:val="Listaszerbekezds"/>
        <w:tabs>
          <w:tab w:val="left" w:pos="567"/>
        </w:tabs>
        <w:ind w:left="567" w:hanging="567"/>
        <w:rPr>
          <w:i/>
        </w:rPr>
      </w:pPr>
      <w:r w:rsidRPr="00656C0A">
        <w:rPr>
          <w:i/>
        </w:rPr>
        <w:t>Idegrendszeri betegségek és tünetek</w:t>
      </w:r>
    </w:p>
    <w:p w14:paraId="78BD096B" w14:textId="77777777" w:rsidR="00DF73BF" w:rsidRPr="00656C0A" w:rsidRDefault="00FB299E" w:rsidP="00545340">
      <w:pPr>
        <w:pStyle w:val="Listaszerbekezds"/>
        <w:numPr>
          <w:ilvl w:val="0"/>
          <w:numId w:val="24"/>
        </w:numPr>
        <w:tabs>
          <w:tab w:val="left" w:pos="567"/>
        </w:tabs>
        <w:ind w:left="567" w:hanging="567"/>
      </w:pPr>
      <w:r w:rsidRPr="00656C0A">
        <w:t>Gyakori: Fejfájás*</w:t>
      </w:r>
    </w:p>
    <w:p w14:paraId="78BD096C" w14:textId="77777777" w:rsidR="00DF73BF" w:rsidRPr="00656C0A" w:rsidRDefault="00DF73BF" w:rsidP="00545340">
      <w:pPr>
        <w:pStyle w:val="Szvegtrzs"/>
        <w:tabs>
          <w:tab w:val="left" w:pos="567"/>
        </w:tabs>
        <w:ind w:left="567" w:hanging="567"/>
      </w:pPr>
    </w:p>
    <w:p w14:paraId="78BD096D" w14:textId="77777777" w:rsidR="00DF73BF" w:rsidRPr="00656C0A" w:rsidRDefault="00FB299E" w:rsidP="00545340">
      <w:pPr>
        <w:keepNext/>
        <w:tabs>
          <w:tab w:val="left" w:pos="567"/>
        </w:tabs>
        <w:ind w:left="567" w:hanging="567"/>
        <w:rPr>
          <w:i/>
        </w:rPr>
      </w:pPr>
      <w:r w:rsidRPr="00656C0A">
        <w:rPr>
          <w:i/>
        </w:rPr>
        <w:t>Érbetegségek és tünetek</w:t>
      </w:r>
    </w:p>
    <w:p w14:paraId="78BD096E" w14:textId="77777777" w:rsidR="00DF73BF" w:rsidRPr="00656C0A" w:rsidRDefault="00FB299E" w:rsidP="00545340">
      <w:pPr>
        <w:pStyle w:val="Listaszerbekezds"/>
        <w:numPr>
          <w:ilvl w:val="0"/>
          <w:numId w:val="24"/>
        </w:numPr>
        <w:tabs>
          <w:tab w:val="left" w:pos="567"/>
        </w:tabs>
        <w:ind w:left="567" w:hanging="567"/>
      </w:pPr>
      <w:r w:rsidRPr="00656C0A">
        <w:t>Ritka: Spinális hematóma* (vagy neuraxiális hematóma). Ezek az események változó mértékű neurológiai károsodást eredményeztek, beleértve a tartós vagy maradandó bénulást (lásd 4.4</w:t>
      </w:r>
      <w:r w:rsidR="00F24C0C">
        <w:t> </w:t>
      </w:r>
      <w:r w:rsidRPr="00656C0A">
        <w:t>pont).</w:t>
      </w:r>
    </w:p>
    <w:p w14:paraId="78BD096F" w14:textId="77777777" w:rsidR="00DF73BF" w:rsidRPr="00656C0A" w:rsidRDefault="00DF73BF" w:rsidP="00545340">
      <w:pPr>
        <w:pStyle w:val="Szvegtrzs"/>
        <w:tabs>
          <w:tab w:val="left" w:pos="567"/>
        </w:tabs>
        <w:ind w:left="567" w:hanging="567"/>
      </w:pPr>
    </w:p>
    <w:p w14:paraId="78BD0970" w14:textId="77777777" w:rsidR="00DF73BF" w:rsidRPr="00656C0A" w:rsidRDefault="00FB299E" w:rsidP="00545340">
      <w:pPr>
        <w:tabs>
          <w:tab w:val="left" w:pos="567"/>
        </w:tabs>
        <w:ind w:left="567" w:hanging="567"/>
        <w:rPr>
          <w:i/>
        </w:rPr>
      </w:pPr>
      <w:r w:rsidRPr="00656C0A">
        <w:rPr>
          <w:i/>
        </w:rPr>
        <w:t>Máj- és epebetegségek, illetve tünetek</w:t>
      </w:r>
    </w:p>
    <w:p w14:paraId="78BD0971" w14:textId="77777777" w:rsidR="00DF73BF" w:rsidRPr="00656C0A" w:rsidRDefault="00FB299E" w:rsidP="00545340">
      <w:pPr>
        <w:pStyle w:val="Listaszerbekezds"/>
        <w:numPr>
          <w:ilvl w:val="0"/>
          <w:numId w:val="24"/>
        </w:numPr>
        <w:tabs>
          <w:tab w:val="left" w:pos="567"/>
        </w:tabs>
        <w:ind w:left="567" w:hanging="567"/>
      </w:pPr>
      <w:r w:rsidRPr="00656C0A">
        <w:t>Nagyon gyakori: Májenzimszint-emelkedés (főleg transzaminázok , a normálértékek felső határának &gt;</w:t>
      </w:r>
      <w:r w:rsidR="00F24C0C">
        <w:t> </w:t>
      </w:r>
      <w:r w:rsidRPr="00656C0A">
        <w:t>3-szorosa)</w:t>
      </w:r>
    </w:p>
    <w:p w14:paraId="78BD0972" w14:textId="77777777" w:rsidR="00DF73BF" w:rsidRPr="00656C0A" w:rsidRDefault="00FB299E" w:rsidP="00545340">
      <w:pPr>
        <w:pStyle w:val="Listaszerbekezds"/>
        <w:numPr>
          <w:ilvl w:val="0"/>
          <w:numId w:val="24"/>
        </w:numPr>
        <w:tabs>
          <w:tab w:val="left" w:pos="567"/>
        </w:tabs>
        <w:ind w:left="567" w:hanging="567"/>
      </w:pPr>
      <w:r w:rsidRPr="00656C0A">
        <w:t>Nem gyakori: Hepatocelluláris májkárosodás *,</w:t>
      </w:r>
    </w:p>
    <w:p w14:paraId="78BD0973" w14:textId="77777777" w:rsidR="00DF73BF" w:rsidRPr="00656C0A" w:rsidRDefault="00FB299E" w:rsidP="00545340">
      <w:pPr>
        <w:pStyle w:val="Listaszerbekezds"/>
        <w:numPr>
          <w:ilvl w:val="0"/>
          <w:numId w:val="24"/>
        </w:numPr>
        <w:tabs>
          <w:tab w:val="left" w:pos="567"/>
        </w:tabs>
        <w:ind w:left="567" w:hanging="567"/>
      </w:pPr>
      <w:r w:rsidRPr="00656C0A">
        <w:t>Ritka: Kolesztatikus májkárosodás *</w:t>
      </w:r>
    </w:p>
    <w:p w14:paraId="78BD0974" w14:textId="77777777" w:rsidR="00DF73BF" w:rsidRPr="00656C0A" w:rsidRDefault="00DF73BF" w:rsidP="00545340">
      <w:pPr>
        <w:pStyle w:val="Szvegtrzs"/>
        <w:tabs>
          <w:tab w:val="left" w:pos="567"/>
        </w:tabs>
        <w:ind w:left="567" w:hanging="567"/>
      </w:pPr>
    </w:p>
    <w:p w14:paraId="78BD0975" w14:textId="77777777" w:rsidR="00DF73BF" w:rsidRPr="00656C0A" w:rsidRDefault="00FB299E" w:rsidP="00545340">
      <w:pPr>
        <w:tabs>
          <w:tab w:val="left" w:pos="567"/>
        </w:tabs>
        <w:ind w:left="567" w:hanging="567"/>
        <w:rPr>
          <w:i/>
        </w:rPr>
      </w:pPr>
      <w:r w:rsidRPr="00656C0A">
        <w:rPr>
          <w:i/>
        </w:rPr>
        <w:t>A bőr és a bőr alatti szövet betegségei és tünetei</w:t>
      </w:r>
    </w:p>
    <w:p w14:paraId="78BD0976" w14:textId="77777777" w:rsidR="00DF73BF" w:rsidRPr="00656C0A" w:rsidRDefault="00FB299E" w:rsidP="00545340">
      <w:pPr>
        <w:pStyle w:val="Listaszerbekezds"/>
        <w:numPr>
          <w:ilvl w:val="0"/>
          <w:numId w:val="24"/>
        </w:numPr>
        <w:tabs>
          <w:tab w:val="left" w:pos="567"/>
        </w:tabs>
        <w:ind w:left="567" w:hanging="567"/>
      </w:pPr>
      <w:r w:rsidRPr="00656C0A">
        <w:t>Gyakori: Urtikária, pruritusz, eritéma</w:t>
      </w:r>
    </w:p>
    <w:p w14:paraId="78BD0977" w14:textId="77777777" w:rsidR="00DF73BF" w:rsidRPr="00656C0A" w:rsidRDefault="00FB299E" w:rsidP="00545340">
      <w:pPr>
        <w:pStyle w:val="Listaszerbekezds"/>
        <w:numPr>
          <w:ilvl w:val="0"/>
          <w:numId w:val="24"/>
        </w:numPr>
        <w:tabs>
          <w:tab w:val="left" w:pos="567"/>
        </w:tabs>
        <w:ind w:left="567" w:hanging="567"/>
      </w:pPr>
      <w:r w:rsidRPr="00656C0A">
        <w:t>Nem gyakori: Bullózus dermatitisz</w:t>
      </w:r>
    </w:p>
    <w:p w14:paraId="78BD0978" w14:textId="77777777" w:rsidR="00DF73BF" w:rsidRPr="00656C0A" w:rsidRDefault="00FB299E" w:rsidP="00545340">
      <w:pPr>
        <w:pStyle w:val="Listaszerbekezds"/>
        <w:numPr>
          <w:ilvl w:val="0"/>
          <w:numId w:val="24"/>
        </w:numPr>
        <w:tabs>
          <w:tab w:val="left" w:pos="567"/>
        </w:tabs>
        <w:ind w:left="567" w:hanging="567"/>
      </w:pPr>
      <w:r w:rsidRPr="00656C0A">
        <w:t>Ritka: Alopécia*</w:t>
      </w:r>
    </w:p>
    <w:p w14:paraId="78BD0979" w14:textId="77777777" w:rsidR="00DF73BF" w:rsidRPr="00656C0A" w:rsidRDefault="00FB299E" w:rsidP="00545340">
      <w:pPr>
        <w:pStyle w:val="Listaszerbekezds"/>
        <w:numPr>
          <w:ilvl w:val="0"/>
          <w:numId w:val="24"/>
        </w:numPr>
        <w:tabs>
          <w:tab w:val="left" w:pos="567"/>
        </w:tabs>
        <w:ind w:left="567" w:hanging="567"/>
      </w:pPr>
      <w:r w:rsidRPr="00656C0A">
        <w:t>Ritka: Cutan vasculitis*, bőrnekrózis* általában az injekció helyén fordul elő (ezeket a bőrjelenségeket általában purpura vagy infiltrálódó és fájdalmas eritemotózus plakkok megjelenése előzi meg).</w:t>
      </w:r>
    </w:p>
    <w:p w14:paraId="78BD097A" w14:textId="7F634798" w:rsidR="00DF73BF" w:rsidRDefault="00FB299E" w:rsidP="00545340">
      <w:pPr>
        <w:pStyle w:val="Szvegtrzs"/>
        <w:tabs>
          <w:tab w:val="left" w:pos="567"/>
        </w:tabs>
        <w:ind w:left="567"/>
      </w:pPr>
      <w:r w:rsidRPr="00656C0A">
        <w:t>Csomók az injekció beadásának helyén* (gyulladásos csomók, melyek nem enoxaparin-tartalmú cisztikus képződmények). Ezek néhány nap alatt felszívódnak és nem teszik szükségessé a kezelés felfüggesztését.</w:t>
      </w:r>
    </w:p>
    <w:p w14:paraId="2F6C7A18" w14:textId="0FD9E5EF" w:rsidR="001112E4" w:rsidRPr="00E41443" w:rsidRDefault="00D30330" w:rsidP="00E41443">
      <w:pPr>
        <w:pStyle w:val="Szvegtrzs"/>
        <w:numPr>
          <w:ilvl w:val="0"/>
          <w:numId w:val="34"/>
        </w:numPr>
        <w:tabs>
          <w:tab w:val="left" w:pos="567"/>
        </w:tabs>
        <w:ind w:hanging="1287"/>
        <w:rPr>
          <w:noProof/>
          <w:lang w:val="de-DE"/>
        </w:rPr>
      </w:pPr>
      <w:r w:rsidRPr="00AD43D0">
        <w:rPr>
          <w:noProof/>
          <w:lang w:val="hu-HU"/>
        </w:rPr>
        <w:t>N</w:t>
      </w:r>
      <w:r w:rsidRPr="00E41443">
        <w:rPr>
          <w:noProof/>
          <w:lang w:val="de-DE"/>
        </w:rPr>
        <w:t>em ismert:</w:t>
      </w:r>
      <w:r w:rsidR="001112E4" w:rsidRPr="00E41443">
        <w:rPr>
          <w:noProof/>
          <w:lang w:val="de-DE"/>
        </w:rPr>
        <w:t>Akut generalizált exanthemás pustulosis</w:t>
      </w:r>
      <w:r w:rsidR="00716045" w:rsidRPr="00E41443">
        <w:rPr>
          <w:noProof/>
          <w:lang w:val="de-DE"/>
        </w:rPr>
        <w:t xml:space="preserve"> (AGEP)</w:t>
      </w:r>
    </w:p>
    <w:p w14:paraId="78BD097B" w14:textId="77777777" w:rsidR="00DF73BF" w:rsidRPr="00E41443" w:rsidRDefault="00DF73BF" w:rsidP="00545340">
      <w:pPr>
        <w:pStyle w:val="Szvegtrzs"/>
        <w:tabs>
          <w:tab w:val="left" w:pos="567"/>
        </w:tabs>
        <w:ind w:left="567" w:hanging="567"/>
        <w:rPr>
          <w:lang w:val="de-DE"/>
        </w:rPr>
      </w:pPr>
    </w:p>
    <w:p w14:paraId="78BD097C" w14:textId="77777777" w:rsidR="00DF73BF" w:rsidRPr="00411B0C" w:rsidRDefault="00FB299E" w:rsidP="00545340">
      <w:pPr>
        <w:tabs>
          <w:tab w:val="left" w:pos="567"/>
        </w:tabs>
        <w:ind w:left="567" w:hanging="567"/>
        <w:rPr>
          <w:i/>
          <w:lang w:val="de-DE"/>
        </w:rPr>
      </w:pPr>
      <w:r w:rsidRPr="00411B0C">
        <w:rPr>
          <w:i/>
          <w:lang w:val="de-DE"/>
        </w:rPr>
        <w:lastRenderedPageBreak/>
        <w:t>A csont- és izomrendszer valamint a kötőszövet betegségei és tünetei</w:t>
      </w:r>
    </w:p>
    <w:p w14:paraId="78BD097D" w14:textId="77777777" w:rsidR="00DF73BF" w:rsidRPr="00411B0C" w:rsidRDefault="00FB299E" w:rsidP="00545340">
      <w:pPr>
        <w:pStyle w:val="Listaszerbekezds"/>
        <w:numPr>
          <w:ilvl w:val="0"/>
          <w:numId w:val="24"/>
        </w:numPr>
        <w:tabs>
          <w:tab w:val="left" w:pos="567"/>
        </w:tabs>
        <w:ind w:left="567" w:hanging="567"/>
        <w:rPr>
          <w:lang w:val="de-DE"/>
        </w:rPr>
      </w:pPr>
      <w:r w:rsidRPr="00411B0C">
        <w:rPr>
          <w:lang w:val="de-DE"/>
        </w:rPr>
        <w:t xml:space="preserve">Ritka: Oszteoporózis* </w:t>
      </w:r>
      <w:r w:rsidR="000B4A59" w:rsidRPr="00411B0C">
        <w:rPr>
          <w:lang w:val="de-DE"/>
        </w:rPr>
        <w:t xml:space="preserve">a </w:t>
      </w:r>
      <w:r w:rsidRPr="00411B0C">
        <w:rPr>
          <w:lang w:val="de-DE"/>
        </w:rPr>
        <w:t>hosszú távú (3 hónapnál tovább tartó) kezelést követően</w:t>
      </w:r>
    </w:p>
    <w:p w14:paraId="78BD097E" w14:textId="77777777" w:rsidR="00DF73BF" w:rsidRPr="00411B0C" w:rsidRDefault="00DF73BF" w:rsidP="00545340">
      <w:pPr>
        <w:pStyle w:val="Szvegtrzs"/>
        <w:tabs>
          <w:tab w:val="left" w:pos="567"/>
        </w:tabs>
        <w:ind w:left="567" w:hanging="567"/>
        <w:rPr>
          <w:lang w:val="de-DE"/>
        </w:rPr>
      </w:pPr>
    </w:p>
    <w:p w14:paraId="78BD097F" w14:textId="77777777" w:rsidR="00DF73BF" w:rsidRPr="00411B0C" w:rsidRDefault="00FB299E" w:rsidP="00545340">
      <w:pPr>
        <w:tabs>
          <w:tab w:val="left" w:pos="567"/>
        </w:tabs>
        <w:ind w:left="567" w:hanging="567"/>
        <w:rPr>
          <w:i/>
          <w:lang w:val="de-DE"/>
        </w:rPr>
      </w:pPr>
      <w:r w:rsidRPr="00411B0C">
        <w:rPr>
          <w:i/>
          <w:lang w:val="de-DE"/>
        </w:rPr>
        <w:t>Általános tünetek és az alkalmazás helyén fellépő reakciók</w:t>
      </w:r>
    </w:p>
    <w:p w14:paraId="78BD0980" w14:textId="77777777" w:rsidR="00DF73BF" w:rsidRPr="00411B0C" w:rsidRDefault="00FB299E" w:rsidP="00545340">
      <w:pPr>
        <w:pStyle w:val="Listaszerbekezds"/>
        <w:numPr>
          <w:ilvl w:val="0"/>
          <w:numId w:val="24"/>
        </w:numPr>
        <w:tabs>
          <w:tab w:val="left" w:pos="567"/>
        </w:tabs>
        <w:ind w:left="567" w:hanging="567"/>
        <w:rPr>
          <w:lang w:val="de-DE"/>
        </w:rPr>
      </w:pPr>
      <w:r w:rsidRPr="00411B0C">
        <w:rPr>
          <w:lang w:val="de-DE"/>
        </w:rPr>
        <w:t>Gyakori: Az injekció beadásának helyén jelentkező hematóma, fájdalom és egyéb reakciók (például ödéma, vérzés, hiperszenzitivitás, gyulladás, csomó, fájdalom vagy reakció)</w:t>
      </w:r>
    </w:p>
    <w:p w14:paraId="78BD0981" w14:textId="77777777" w:rsidR="00DF73BF" w:rsidRPr="00411B0C" w:rsidRDefault="00FB299E" w:rsidP="00545340">
      <w:pPr>
        <w:pStyle w:val="Listaszerbekezds"/>
        <w:numPr>
          <w:ilvl w:val="0"/>
          <w:numId w:val="24"/>
        </w:numPr>
        <w:tabs>
          <w:tab w:val="left" w:pos="567"/>
        </w:tabs>
        <w:ind w:left="567" w:hanging="567"/>
        <w:rPr>
          <w:lang w:val="de-DE"/>
        </w:rPr>
      </w:pPr>
      <w:r w:rsidRPr="00411B0C">
        <w:rPr>
          <w:lang w:val="de-DE"/>
        </w:rPr>
        <w:t>Nem gyakori: Lokális irritáció; bőrnekrózis az injekció beadásának helyén</w:t>
      </w:r>
    </w:p>
    <w:p w14:paraId="78BD0982" w14:textId="77777777" w:rsidR="00DF73BF" w:rsidRPr="00411B0C" w:rsidRDefault="00DF73BF" w:rsidP="00545340">
      <w:pPr>
        <w:pStyle w:val="Szvegtrzs"/>
        <w:tabs>
          <w:tab w:val="left" w:pos="567"/>
        </w:tabs>
        <w:ind w:left="567" w:hanging="567"/>
        <w:rPr>
          <w:lang w:val="de-DE"/>
        </w:rPr>
      </w:pPr>
    </w:p>
    <w:p w14:paraId="78BD0983" w14:textId="77777777" w:rsidR="00DF73BF" w:rsidRPr="00656C0A" w:rsidRDefault="00FB299E" w:rsidP="00545340">
      <w:pPr>
        <w:tabs>
          <w:tab w:val="left" w:pos="567"/>
        </w:tabs>
        <w:ind w:left="567" w:hanging="567"/>
        <w:rPr>
          <w:i/>
        </w:rPr>
      </w:pPr>
      <w:r w:rsidRPr="00656C0A">
        <w:rPr>
          <w:i/>
        </w:rPr>
        <w:t>Laboratóriumi és egyéb vizsgálatok eredményei</w:t>
      </w:r>
    </w:p>
    <w:p w14:paraId="78BD0984" w14:textId="77777777" w:rsidR="00DF73BF" w:rsidRPr="00A027F6" w:rsidRDefault="00FB299E" w:rsidP="00545340">
      <w:pPr>
        <w:pStyle w:val="Listaszerbekezds"/>
        <w:numPr>
          <w:ilvl w:val="0"/>
          <w:numId w:val="24"/>
        </w:numPr>
        <w:tabs>
          <w:tab w:val="left" w:pos="567"/>
        </w:tabs>
        <w:ind w:left="567" w:hanging="567"/>
      </w:pPr>
      <w:r w:rsidRPr="00A027F6">
        <w:t>Ritka : Hyperkalaemia*(lásd 4.4 és 4.5 pontok)</w:t>
      </w:r>
    </w:p>
    <w:p w14:paraId="78BD0985" w14:textId="77777777" w:rsidR="00DF73BF" w:rsidRPr="00A027F6" w:rsidRDefault="00DF73BF" w:rsidP="00545340">
      <w:pPr>
        <w:pStyle w:val="Szvegtrzs"/>
        <w:tabs>
          <w:tab w:val="left" w:pos="567"/>
        </w:tabs>
        <w:ind w:left="567" w:hanging="567"/>
      </w:pPr>
    </w:p>
    <w:p w14:paraId="78BD0986" w14:textId="77777777" w:rsidR="00DF73BF" w:rsidRPr="00E41443" w:rsidRDefault="00FB299E" w:rsidP="00545340">
      <w:pPr>
        <w:pStyle w:val="Szvegtrzs"/>
        <w:tabs>
          <w:tab w:val="left" w:pos="567"/>
        </w:tabs>
        <w:ind w:left="567" w:hanging="567"/>
      </w:pPr>
      <w:r w:rsidRPr="00E41443">
        <w:rPr>
          <w:u w:val="single"/>
        </w:rPr>
        <w:t>A kiválasztott mellékhatások leírása</w:t>
      </w:r>
    </w:p>
    <w:p w14:paraId="78BD0987" w14:textId="77777777" w:rsidR="00DF73BF" w:rsidRPr="00E41443" w:rsidRDefault="00FB299E" w:rsidP="00545340">
      <w:pPr>
        <w:tabs>
          <w:tab w:val="left" w:pos="567"/>
        </w:tabs>
        <w:ind w:left="567" w:hanging="567"/>
        <w:rPr>
          <w:i/>
        </w:rPr>
      </w:pPr>
      <w:r w:rsidRPr="00E41443">
        <w:rPr>
          <w:i/>
        </w:rPr>
        <w:t>Vérzések</w:t>
      </w:r>
    </w:p>
    <w:p w14:paraId="78BD0988" w14:textId="77777777" w:rsidR="00DF73BF" w:rsidRPr="00E41443" w:rsidRDefault="00FB299E" w:rsidP="00545340">
      <w:pPr>
        <w:pStyle w:val="Szvegtrzs"/>
        <w:tabs>
          <w:tab w:val="left" w:pos="567"/>
        </w:tabs>
      </w:pPr>
      <w:r w:rsidRPr="00E41443">
        <w:t>Ezek közé tartoztak a súlyos vérzések, amelyeket a betegek mintegy 4,2%-ánál jelentettek (sebészeti beavatkozáson átesett betegek). Ezek közül  némelyik halálos kimenetelű volt. A sebészeti beavatkozáson</w:t>
      </w:r>
      <w:r w:rsidR="000B4A59" w:rsidRPr="00E41443">
        <w:t xml:space="preserve"> </w:t>
      </w:r>
      <w:r w:rsidRPr="00E41443">
        <w:t xml:space="preserve">átesett betegeknél a vérzéses szövődményeket akkor sorolták a súlyos kategóriába, (1) ha a vérzés jelentős klinikai következménnyel járt, vagy ha (2) </w:t>
      </w:r>
      <w:r w:rsidR="000B4A59" w:rsidRPr="00E41443">
        <w:t>≥ </w:t>
      </w:r>
      <w:r w:rsidRPr="00E41443">
        <w:t>2</w:t>
      </w:r>
      <w:r w:rsidR="000B4A59" w:rsidRPr="00E41443">
        <w:t> </w:t>
      </w:r>
      <w:r w:rsidRPr="00E41443">
        <w:t>g/dl hemoglobinszint-csökkenés következett be, illetve 2 vagy több egység vérkészítmény transzfúziója vált szükségessé. A retroperitoneális és intrakraniális vérzéseket mindig a súlyos kategóriába sorolták.</w:t>
      </w:r>
    </w:p>
    <w:p w14:paraId="78BD0989" w14:textId="77777777" w:rsidR="00DF73BF" w:rsidRPr="00E41443" w:rsidRDefault="00FB299E" w:rsidP="00545340">
      <w:pPr>
        <w:pStyle w:val="Szvegtrzs"/>
        <w:tabs>
          <w:tab w:val="left" w:pos="567"/>
        </w:tabs>
      </w:pPr>
      <w:r w:rsidRPr="00E41443">
        <w:t>A többi antikoaguláns szerhez hasonlóan, bizonyos kockázati tényezők egyidejű fennállása esetén vérzés jelentkezhet. Ezek közé sorolhatók: vérzésre hajlamosító organikus léziók, invazív beavatkozások vagy egyéb hemosztázisra ható gyógyszerek egyidejű alkalmazása (lásd a 4.4 és 4.5</w:t>
      </w:r>
      <w:r w:rsidR="00077F9A" w:rsidRPr="00E41443">
        <w:t> </w:t>
      </w:r>
      <w:r w:rsidRPr="00E41443">
        <w:t>pont alatt).</w:t>
      </w:r>
    </w:p>
    <w:p w14:paraId="78BD098A" w14:textId="77777777" w:rsidR="00DF73BF" w:rsidRPr="00E41443" w:rsidRDefault="00DF73BF" w:rsidP="00545340">
      <w:pPr>
        <w:pStyle w:val="Szvegtrzs"/>
        <w:tabs>
          <w:tab w:val="left" w:pos="567"/>
        </w:tabs>
        <w:ind w:left="567" w:hanging="567"/>
      </w:pPr>
    </w:p>
    <w:tbl>
      <w:tblPr>
        <w:tblW w:w="101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6"/>
        <w:gridCol w:w="1560"/>
        <w:gridCol w:w="1417"/>
        <w:gridCol w:w="1559"/>
        <w:gridCol w:w="1418"/>
        <w:gridCol w:w="1559"/>
        <w:gridCol w:w="1276"/>
      </w:tblGrid>
      <w:tr w:rsidR="000533C1" w:rsidRPr="00E316B5" w14:paraId="78BD0991" w14:textId="77777777" w:rsidTr="00CE6397">
        <w:trPr>
          <w:jc w:val="center"/>
        </w:trPr>
        <w:tc>
          <w:tcPr>
            <w:tcW w:w="1396" w:type="dxa"/>
          </w:tcPr>
          <w:p w14:paraId="78BD098B" w14:textId="77777777" w:rsidR="000533C1" w:rsidRPr="00E41443" w:rsidRDefault="000533C1" w:rsidP="00545340">
            <w:pPr>
              <w:pStyle w:val="TableParagraph"/>
              <w:keepNext/>
              <w:tabs>
                <w:tab w:val="left" w:pos="567"/>
              </w:tabs>
              <w:ind w:left="42"/>
              <w:rPr>
                <w:b/>
                <w:sz w:val="20"/>
                <w:szCs w:val="20"/>
              </w:rPr>
            </w:pPr>
            <w:r w:rsidRPr="00E41443">
              <w:rPr>
                <w:b/>
                <w:sz w:val="20"/>
                <w:szCs w:val="20"/>
              </w:rPr>
              <w:t>MedDRA szervrend-szerek szerinti osztályozás</w:t>
            </w:r>
          </w:p>
        </w:tc>
        <w:tc>
          <w:tcPr>
            <w:tcW w:w="1560" w:type="dxa"/>
          </w:tcPr>
          <w:p w14:paraId="78BD098C" w14:textId="77777777" w:rsidR="000533C1" w:rsidRPr="00E41443" w:rsidRDefault="000533C1" w:rsidP="00545340">
            <w:pPr>
              <w:pStyle w:val="TableParagraph"/>
              <w:keepNext/>
              <w:tabs>
                <w:tab w:val="left" w:pos="567"/>
              </w:tabs>
              <w:ind w:left="75"/>
              <w:rPr>
                <w:b/>
                <w:sz w:val="20"/>
                <w:szCs w:val="20"/>
              </w:rPr>
            </w:pPr>
            <w:r w:rsidRPr="00E41443">
              <w:rPr>
                <w:b/>
                <w:sz w:val="20"/>
                <w:szCs w:val="20"/>
              </w:rPr>
              <w:t>Profilaxis sebészeti beavatkozáson átesett betegeknél</w:t>
            </w:r>
          </w:p>
        </w:tc>
        <w:tc>
          <w:tcPr>
            <w:tcW w:w="1417" w:type="dxa"/>
          </w:tcPr>
          <w:p w14:paraId="78BD098D" w14:textId="77777777" w:rsidR="000533C1" w:rsidRPr="00CC2838" w:rsidRDefault="000533C1" w:rsidP="00545340">
            <w:pPr>
              <w:pStyle w:val="TableParagraph"/>
              <w:keepNext/>
              <w:tabs>
                <w:tab w:val="left" w:pos="567"/>
              </w:tabs>
              <w:ind w:left="29"/>
              <w:rPr>
                <w:b/>
                <w:sz w:val="20"/>
                <w:szCs w:val="20"/>
              </w:rPr>
            </w:pPr>
            <w:r w:rsidRPr="00CC2838">
              <w:rPr>
                <w:b/>
                <w:sz w:val="20"/>
                <w:szCs w:val="20"/>
              </w:rPr>
              <w:t>Profilaxis belgyógyászati betegeknél</w:t>
            </w:r>
          </w:p>
        </w:tc>
        <w:tc>
          <w:tcPr>
            <w:tcW w:w="1559" w:type="dxa"/>
          </w:tcPr>
          <w:p w14:paraId="78BD098E" w14:textId="77777777" w:rsidR="000533C1" w:rsidRPr="00CC2838" w:rsidRDefault="000533C1" w:rsidP="00545340">
            <w:pPr>
              <w:pStyle w:val="TableParagraph"/>
              <w:keepNext/>
              <w:tabs>
                <w:tab w:val="left" w:pos="567"/>
              </w:tabs>
              <w:ind w:left="76"/>
              <w:rPr>
                <w:b/>
                <w:sz w:val="20"/>
                <w:szCs w:val="20"/>
              </w:rPr>
            </w:pPr>
            <w:r w:rsidRPr="00CC2838">
              <w:rPr>
                <w:b/>
                <w:sz w:val="20"/>
                <w:szCs w:val="20"/>
              </w:rPr>
              <w:t>Mélyvénás trombózis kezelése tüdőembólia fennállása esetén vagy anélkül</w:t>
            </w:r>
          </w:p>
        </w:tc>
        <w:tc>
          <w:tcPr>
            <w:tcW w:w="1418" w:type="dxa"/>
          </w:tcPr>
          <w:p w14:paraId="36621E09" w14:textId="3556AD22" w:rsidR="000533C1" w:rsidRPr="000533C1" w:rsidRDefault="000533C1" w:rsidP="00545340">
            <w:pPr>
              <w:pStyle w:val="TableParagraph"/>
              <w:keepNext/>
              <w:tabs>
                <w:tab w:val="left" w:pos="567"/>
              </w:tabs>
              <w:ind w:left="75"/>
              <w:rPr>
                <w:b/>
                <w:sz w:val="20"/>
                <w:szCs w:val="20"/>
              </w:rPr>
            </w:pPr>
            <w:r w:rsidRPr="000533C1">
              <w:rPr>
                <w:b/>
                <w:bCs/>
                <w:sz w:val="20"/>
                <w:szCs w:val="20"/>
                <w:lang w:val="hu-HU"/>
              </w:rPr>
              <w:t xml:space="preserve">DVT és PE tartós kezelése aktív </w:t>
            </w:r>
            <w:r w:rsidR="006B7E64">
              <w:rPr>
                <w:b/>
                <w:bCs/>
                <w:sz w:val="20"/>
                <w:szCs w:val="20"/>
                <w:lang w:val="hu-HU"/>
              </w:rPr>
              <w:t>daganat</w:t>
            </w:r>
            <w:r w:rsidR="0093621F">
              <w:rPr>
                <w:b/>
                <w:bCs/>
                <w:sz w:val="20"/>
                <w:szCs w:val="20"/>
                <w:lang w:val="hu-HU"/>
              </w:rPr>
              <w:t>os</w:t>
            </w:r>
            <w:r w:rsidRPr="000533C1">
              <w:rPr>
                <w:b/>
                <w:bCs/>
                <w:sz w:val="20"/>
                <w:szCs w:val="20"/>
                <w:lang w:val="hu-HU"/>
              </w:rPr>
              <w:t xml:space="preserve"> betegségben szenvedő betegeknél</w:t>
            </w:r>
          </w:p>
        </w:tc>
        <w:tc>
          <w:tcPr>
            <w:tcW w:w="1559" w:type="dxa"/>
          </w:tcPr>
          <w:p w14:paraId="78BD098F" w14:textId="2CC5ABF2" w:rsidR="000533C1" w:rsidRPr="00CC2838" w:rsidRDefault="000533C1" w:rsidP="00545340">
            <w:pPr>
              <w:pStyle w:val="TableParagraph"/>
              <w:keepNext/>
              <w:tabs>
                <w:tab w:val="left" w:pos="567"/>
              </w:tabs>
              <w:ind w:left="75"/>
              <w:rPr>
                <w:b/>
                <w:sz w:val="20"/>
                <w:szCs w:val="20"/>
              </w:rPr>
            </w:pPr>
            <w:r w:rsidRPr="00CC2838">
              <w:rPr>
                <w:b/>
                <w:sz w:val="20"/>
                <w:szCs w:val="20"/>
              </w:rPr>
              <w:t>Instabil angina vagy non-Q miokardiális infarktus kezelése</w:t>
            </w:r>
          </w:p>
        </w:tc>
        <w:tc>
          <w:tcPr>
            <w:tcW w:w="1276" w:type="dxa"/>
          </w:tcPr>
          <w:p w14:paraId="78BD0990" w14:textId="77777777" w:rsidR="000533C1" w:rsidRPr="00CC2838" w:rsidRDefault="000533C1" w:rsidP="00545340">
            <w:pPr>
              <w:pStyle w:val="TableParagraph"/>
              <w:keepNext/>
              <w:tabs>
                <w:tab w:val="left" w:pos="567"/>
              </w:tabs>
              <w:ind w:left="74"/>
              <w:rPr>
                <w:b/>
                <w:sz w:val="20"/>
                <w:szCs w:val="20"/>
              </w:rPr>
            </w:pPr>
            <w:r w:rsidRPr="00CC2838">
              <w:rPr>
                <w:b/>
                <w:sz w:val="20"/>
                <w:szCs w:val="20"/>
              </w:rPr>
              <w:t>Akut STEMI kezelése</w:t>
            </w:r>
          </w:p>
        </w:tc>
      </w:tr>
      <w:tr w:rsidR="000533C1" w:rsidRPr="00E316B5" w14:paraId="78BD099D" w14:textId="77777777" w:rsidTr="00CE6397">
        <w:trPr>
          <w:jc w:val="center"/>
        </w:trPr>
        <w:tc>
          <w:tcPr>
            <w:tcW w:w="1396" w:type="dxa"/>
            <w:vMerge w:val="restart"/>
          </w:tcPr>
          <w:p w14:paraId="78BD0992" w14:textId="77777777" w:rsidR="000533C1" w:rsidRPr="00CC2838" w:rsidRDefault="000533C1" w:rsidP="00545340">
            <w:pPr>
              <w:pStyle w:val="TableParagraph"/>
              <w:keepNext/>
              <w:tabs>
                <w:tab w:val="left" w:pos="567"/>
              </w:tabs>
              <w:ind w:left="42"/>
              <w:rPr>
                <w:b/>
                <w:i/>
                <w:sz w:val="20"/>
                <w:szCs w:val="20"/>
              </w:rPr>
            </w:pPr>
            <w:r w:rsidRPr="00CC2838">
              <w:rPr>
                <w:b/>
                <w:i/>
                <w:sz w:val="20"/>
                <w:szCs w:val="20"/>
              </w:rPr>
              <w:t>Vérképzőszervi és nyirokrend- szeri betegségek</w:t>
            </w:r>
          </w:p>
        </w:tc>
        <w:tc>
          <w:tcPr>
            <w:tcW w:w="1560" w:type="dxa"/>
          </w:tcPr>
          <w:p w14:paraId="78BD0993" w14:textId="77777777" w:rsidR="000533C1" w:rsidRPr="00CC2838" w:rsidRDefault="000533C1" w:rsidP="00545340">
            <w:pPr>
              <w:pStyle w:val="TableParagraph"/>
              <w:keepNext/>
              <w:tabs>
                <w:tab w:val="left" w:pos="567"/>
              </w:tabs>
              <w:ind w:left="42"/>
              <w:rPr>
                <w:i/>
                <w:sz w:val="20"/>
                <w:szCs w:val="20"/>
              </w:rPr>
            </w:pPr>
            <w:r w:rsidRPr="00CC2838">
              <w:rPr>
                <w:i/>
                <w:sz w:val="20"/>
                <w:szCs w:val="20"/>
              </w:rPr>
              <w:t>Nagyon gyakori:</w:t>
            </w:r>
          </w:p>
          <w:p w14:paraId="78BD0994" w14:textId="77777777" w:rsidR="000533C1" w:rsidRPr="00CC2838" w:rsidRDefault="000533C1" w:rsidP="00545340">
            <w:pPr>
              <w:pStyle w:val="TableParagraph"/>
              <w:keepNext/>
              <w:tabs>
                <w:tab w:val="left" w:pos="567"/>
              </w:tabs>
              <w:ind w:left="42"/>
              <w:rPr>
                <w:b/>
                <w:sz w:val="20"/>
                <w:szCs w:val="20"/>
              </w:rPr>
            </w:pPr>
            <w:r w:rsidRPr="00CC2838">
              <w:rPr>
                <w:sz w:val="20"/>
                <w:szCs w:val="20"/>
              </w:rPr>
              <w:t>Vérzés</w:t>
            </w:r>
            <w:r w:rsidRPr="00CC2838">
              <w:rPr>
                <w:sz w:val="20"/>
                <w:szCs w:val="20"/>
                <w:vertAlign w:val="superscript"/>
              </w:rPr>
              <w:t>α</w:t>
            </w:r>
          </w:p>
        </w:tc>
        <w:tc>
          <w:tcPr>
            <w:tcW w:w="1417" w:type="dxa"/>
          </w:tcPr>
          <w:p w14:paraId="78BD0995" w14:textId="77777777" w:rsidR="000533C1" w:rsidRPr="00CC2838" w:rsidRDefault="000533C1" w:rsidP="00545340">
            <w:pPr>
              <w:pStyle w:val="TableParagraph"/>
              <w:keepNext/>
              <w:tabs>
                <w:tab w:val="left" w:pos="567"/>
              </w:tabs>
              <w:ind w:left="42"/>
              <w:rPr>
                <w:i/>
                <w:sz w:val="20"/>
                <w:szCs w:val="20"/>
              </w:rPr>
            </w:pPr>
            <w:r w:rsidRPr="00CC2838">
              <w:rPr>
                <w:i/>
                <w:sz w:val="20"/>
                <w:szCs w:val="20"/>
              </w:rPr>
              <w:t>Gyakori:</w:t>
            </w:r>
          </w:p>
          <w:p w14:paraId="78BD0996" w14:textId="77777777" w:rsidR="000533C1" w:rsidRPr="00CC2838" w:rsidRDefault="000533C1" w:rsidP="00545340">
            <w:pPr>
              <w:pStyle w:val="TableParagraph"/>
              <w:keepNext/>
              <w:tabs>
                <w:tab w:val="left" w:pos="567"/>
              </w:tabs>
              <w:ind w:left="42"/>
              <w:rPr>
                <w:b/>
                <w:sz w:val="20"/>
                <w:szCs w:val="20"/>
              </w:rPr>
            </w:pPr>
            <w:r w:rsidRPr="00CC2838">
              <w:rPr>
                <w:sz w:val="20"/>
                <w:szCs w:val="20"/>
              </w:rPr>
              <w:t>Vérzés</w:t>
            </w:r>
            <w:r w:rsidRPr="00CC2838">
              <w:rPr>
                <w:sz w:val="20"/>
                <w:szCs w:val="20"/>
                <w:vertAlign w:val="superscript"/>
              </w:rPr>
              <w:t>α</w:t>
            </w:r>
          </w:p>
        </w:tc>
        <w:tc>
          <w:tcPr>
            <w:tcW w:w="1559" w:type="dxa"/>
          </w:tcPr>
          <w:p w14:paraId="78BD0997" w14:textId="77777777" w:rsidR="000533C1" w:rsidRPr="00CC2838" w:rsidRDefault="000533C1" w:rsidP="00545340">
            <w:pPr>
              <w:pStyle w:val="TableParagraph"/>
              <w:keepNext/>
              <w:tabs>
                <w:tab w:val="left" w:pos="567"/>
              </w:tabs>
              <w:ind w:left="42"/>
              <w:rPr>
                <w:i/>
                <w:sz w:val="20"/>
                <w:szCs w:val="20"/>
              </w:rPr>
            </w:pPr>
            <w:r w:rsidRPr="00CC2838">
              <w:rPr>
                <w:i/>
                <w:sz w:val="20"/>
                <w:szCs w:val="20"/>
              </w:rPr>
              <w:t>Nagyon gyakori:</w:t>
            </w:r>
          </w:p>
          <w:p w14:paraId="78BD0998" w14:textId="77777777" w:rsidR="000533C1" w:rsidRPr="00CC2838" w:rsidRDefault="000533C1" w:rsidP="00545340">
            <w:pPr>
              <w:pStyle w:val="TableParagraph"/>
              <w:keepNext/>
              <w:tabs>
                <w:tab w:val="left" w:pos="567"/>
              </w:tabs>
              <w:ind w:left="42"/>
              <w:rPr>
                <w:b/>
                <w:sz w:val="20"/>
                <w:szCs w:val="20"/>
              </w:rPr>
            </w:pPr>
            <w:r w:rsidRPr="00CC2838">
              <w:rPr>
                <w:sz w:val="20"/>
                <w:szCs w:val="20"/>
              </w:rPr>
              <w:t>Vérzés</w:t>
            </w:r>
            <w:r w:rsidRPr="00CC2838">
              <w:rPr>
                <w:sz w:val="20"/>
                <w:szCs w:val="20"/>
                <w:vertAlign w:val="superscript"/>
              </w:rPr>
              <w:t>α</w:t>
            </w:r>
          </w:p>
        </w:tc>
        <w:tc>
          <w:tcPr>
            <w:tcW w:w="1418" w:type="dxa"/>
          </w:tcPr>
          <w:p w14:paraId="697F0031" w14:textId="77777777" w:rsidR="000533C1" w:rsidRPr="000533C1" w:rsidRDefault="000533C1" w:rsidP="000533C1">
            <w:pPr>
              <w:pStyle w:val="TableParagraph"/>
              <w:tabs>
                <w:tab w:val="left" w:pos="567"/>
              </w:tabs>
              <w:ind w:left="42"/>
              <w:rPr>
                <w:i/>
                <w:sz w:val="20"/>
                <w:szCs w:val="20"/>
                <w:vertAlign w:val="superscript"/>
                <w:lang w:val="hu-HU"/>
              </w:rPr>
            </w:pPr>
            <w:r w:rsidRPr="000533C1">
              <w:rPr>
                <w:i/>
                <w:sz w:val="20"/>
                <w:szCs w:val="20"/>
                <w:lang w:val="hu-HU"/>
              </w:rPr>
              <w:t>Gyakori</w:t>
            </w:r>
            <w:r w:rsidRPr="000533C1">
              <w:rPr>
                <w:i/>
                <w:sz w:val="20"/>
                <w:szCs w:val="20"/>
                <w:vertAlign w:val="superscript"/>
                <w:lang w:val="hu-HU"/>
              </w:rPr>
              <w:t>b</w:t>
            </w:r>
            <w:r w:rsidRPr="000533C1">
              <w:rPr>
                <w:i/>
                <w:sz w:val="20"/>
                <w:szCs w:val="20"/>
                <w:lang w:val="hu-HU"/>
              </w:rPr>
              <w:t>:</w:t>
            </w:r>
          </w:p>
          <w:p w14:paraId="0C0A263E" w14:textId="314A1773" w:rsidR="000533C1" w:rsidRPr="000533C1" w:rsidRDefault="000533C1" w:rsidP="000533C1">
            <w:pPr>
              <w:pStyle w:val="TableParagraph"/>
              <w:keepNext/>
              <w:tabs>
                <w:tab w:val="left" w:pos="567"/>
              </w:tabs>
              <w:ind w:left="42"/>
              <w:rPr>
                <w:i/>
                <w:sz w:val="20"/>
                <w:szCs w:val="20"/>
              </w:rPr>
            </w:pPr>
            <w:r w:rsidRPr="00E41443">
              <w:rPr>
                <w:sz w:val="20"/>
                <w:szCs w:val="20"/>
              </w:rPr>
              <w:t>Vérzés</w:t>
            </w:r>
            <w:r w:rsidR="006B7E64" w:rsidRPr="00CC2838">
              <w:rPr>
                <w:sz w:val="20"/>
                <w:szCs w:val="20"/>
                <w:vertAlign w:val="superscript"/>
              </w:rPr>
              <w:t>α</w:t>
            </w:r>
          </w:p>
        </w:tc>
        <w:tc>
          <w:tcPr>
            <w:tcW w:w="1559" w:type="dxa"/>
          </w:tcPr>
          <w:p w14:paraId="78BD0999" w14:textId="6D26FECE" w:rsidR="000533C1" w:rsidRPr="00CC2838" w:rsidRDefault="000533C1" w:rsidP="00545340">
            <w:pPr>
              <w:pStyle w:val="TableParagraph"/>
              <w:keepNext/>
              <w:tabs>
                <w:tab w:val="left" w:pos="567"/>
              </w:tabs>
              <w:ind w:left="42"/>
              <w:rPr>
                <w:i/>
                <w:sz w:val="20"/>
                <w:szCs w:val="20"/>
              </w:rPr>
            </w:pPr>
            <w:r w:rsidRPr="00CC2838">
              <w:rPr>
                <w:i/>
                <w:sz w:val="20"/>
                <w:szCs w:val="20"/>
              </w:rPr>
              <w:t>Gyakori:</w:t>
            </w:r>
          </w:p>
          <w:p w14:paraId="78BD099A" w14:textId="77777777" w:rsidR="000533C1" w:rsidRPr="00CC2838" w:rsidRDefault="000533C1" w:rsidP="00545340">
            <w:pPr>
              <w:pStyle w:val="TableParagraph"/>
              <w:keepNext/>
              <w:tabs>
                <w:tab w:val="left" w:pos="567"/>
              </w:tabs>
              <w:ind w:left="42"/>
              <w:rPr>
                <w:b/>
                <w:sz w:val="20"/>
                <w:szCs w:val="20"/>
              </w:rPr>
            </w:pPr>
            <w:r w:rsidRPr="00CC2838">
              <w:rPr>
                <w:sz w:val="20"/>
                <w:szCs w:val="20"/>
              </w:rPr>
              <w:t>Vérzés</w:t>
            </w:r>
            <w:r w:rsidRPr="00CC2838">
              <w:rPr>
                <w:sz w:val="20"/>
                <w:szCs w:val="20"/>
                <w:vertAlign w:val="superscript"/>
              </w:rPr>
              <w:t>α</w:t>
            </w:r>
          </w:p>
        </w:tc>
        <w:tc>
          <w:tcPr>
            <w:tcW w:w="1276" w:type="dxa"/>
          </w:tcPr>
          <w:p w14:paraId="78BD099B" w14:textId="77777777" w:rsidR="000533C1" w:rsidRPr="00CC2838" w:rsidRDefault="000533C1" w:rsidP="00545340">
            <w:pPr>
              <w:pStyle w:val="TableParagraph"/>
              <w:keepNext/>
              <w:tabs>
                <w:tab w:val="left" w:pos="567"/>
              </w:tabs>
              <w:ind w:left="42"/>
              <w:rPr>
                <w:i/>
                <w:sz w:val="20"/>
                <w:szCs w:val="20"/>
              </w:rPr>
            </w:pPr>
            <w:r w:rsidRPr="00CC2838">
              <w:rPr>
                <w:i/>
                <w:sz w:val="20"/>
                <w:szCs w:val="20"/>
              </w:rPr>
              <w:t>Gyakori:</w:t>
            </w:r>
          </w:p>
          <w:p w14:paraId="78BD099C" w14:textId="77777777" w:rsidR="000533C1" w:rsidRPr="00CC2838" w:rsidRDefault="000533C1" w:rsidP="00545340">
            <w:pPr>
              <w:pStyle w:val="TableParagraph"/>
              <w:keepNext/>
              <w:tabs>
                <w:tab w:val="left" w:pos="567"/>
              </w:tabs>
              <w:ind w:left="42"/>
              <w:rPr>
                <w:b/>
                <w:sz w:val="20"/>
                <w:szCs w:val="20"/>
              </w:rPr>
            </w:pPr>
            <w:r w:rsidRPr="00CC2838">
              <w:rPr>
                <w:sz w:val="20"/>
                <w:szCs w:val="20"/>
              </w:rPr>
              <w:t>Vérzés</w:t>
            </w:r>
            <w:r w:rsidRPr="00CC2838">
              <w:rPr>
                <w:sz w:val="20"/>
                <w:szCs w:val="20"/>
                <w:vertAlign w:val="superscript"/>
              </w:rPr>
              <w:t>α</w:t>
            </w:r>
          </w:p>
        </w:tc>
      </w:tr>
      <w:tr w:rsidR="000533C1" w:rsidRPr="0089356E" w14:paraId="78BD09A8" w14:textId="77777777" w:rsidTr="00CE6397">
        <w:trPr>
          <w:jc w:val="center"/>
        </w:trPr>
        <w:tc>
          <w:tcPr>
            <w:tcW w:w="1396" w:type="dxa"/>
            <w:vMerge/>
          </w:tcPr>
          <w:p w14:paraId="78BD099E" w14:textId="77777777" w:rsidR="000533C1" w:rsidRPr="00CC2838" w:rsidRDefault="000533C1" w:rsidP="00545340">
            <w:pPr>
              <w:tabs>
                <w:tab w:val="left" w:pos="567"/>
              </w:tabs>
              <w:ind w:left="42"/>
              <w:rPr>
                <w:sz w:val="20"/>
                <w:szCs w:val="20"/>
              </w:rPr>
            </w:pPr>
          </w:p>
        </w:tc>
        <w:tc>
          <w:tcPr>
            <w:tcW w:w="1560" w:type="dxa"/>
          </w:tcPr>
          <w:p w14:paraId="78BD099F" w14:textId="77777777" w:rsidR="000533C1" w:rsidRDefault="000533C1" w:rsidP="00545340">
            <w:pPr>
              <w:pStyle w:val="TableParagraph"/>
              <w:tabs>
                <w:tab w:val="left" w:pos="567"/>
              </w:tabs>
              <w:ind w:left="42"/>
              <w:rPr>
                <w:i/>
                <w:sz w:val="20"/>
                <w:szCs w:val="20"/>
              </w:rPr>
            </w:pPr>
            <w:r w:rsidRPr="00CC2838">
              <w:rPr>
                <w:i/>
                <w:sz w:val="20"/>
                <w:szCs w:val="20"/>
              </w:rPr>
              <w:t>Ritka:</w:t>
            </w:r>
          </w:p>
          <w:p w14:paraId="78BD09A0" w14:textId="77777777" w:rsidR="000533C1" w:rsidRPr="00CC2838" w:rsidRDefault="000533C1" w:rsidP="00545340">
            <w:pPr>
              <w:pStyle w:val="TableParagraph"/>
              <w:tabs>
                <w:tab w:val="left" w:pos="567"/>
              </w:tabs>
              <w:ind w:left="42"/>
              <w:rPr>
                <w:sz w:val="20"/>
                <w:szCs w:val="20"/>
              </w:rPr>
            </w:pPr>
            <w:r w:rsidRPr="00CC2838">
              <w:rPr>
                <w:sz w:val="20"/>
                <w:szCs w:val="20"/>
              </w:rPr>
              <w:t>Retroperitoneális vérzés</w:t>
            </w:r>
          </w:p>
        </w:tc>
        <w:tc>
          <w:tcPr>
            <w:tcW w:w="1417" w:type="dxa"/>
          </w:tcPr>
          <w:p w14:paraId="78BD09A1" w14:textId="77777777" w:rsidR="000533C1" w:rsidRPr="00CC2838" w:rsidRDefault="000533C1" w:rsidP="00545340">
            <w:pPr>
              <w:tabs>
                <w:tab w:val="left" w:pos="567"/>
              </w:tabs>
              <w:ind w:left="42"/>
              <w:rPr>
                <w:sz w:val="20"/>
                <w:szCs w:val="20"/>
              </w:rPr>
            </w:pPr>
          </w:p>
        </w:tc>
        <w:tc>
          <w:tcPr>
            <w:tcW w:w="1559" w:type="dxa"/>
          </w:tcPr>
          <w:p w14:paraId="78BD09A2" w14:textId="77777777" w:rsidR="000533C1" w:rsidRPr="00E41443" w:rsidRDefault="000533C1" w:rsidP="00545340">
            <w:pPr>
              <w:pStyle w:val="TableParagraph"/>
              <w:tabs>
                <w:tab w:val="left" w:pos="567"/>
              </w:tabs>
              <w:ind w:left="42"/>
              <w:rPr>
                <w:sz w:val="20"/>
                <w:szCs w:val="20"/>
              </w:rPr>
            </w:pPr>
            <w:r w:rsidRPr="00E41443">
              <w:rPr>
                <w:i/>
                <w:sz w:val="20"/>
                <w:szCs w:val="20"/>
              </w:rPr>
              <w:t xml:space="preserve">Nem gyakori: </w:t>
            </w:r>
            <w:r w:rsidRPr="00E41443">
              <w:rPr>
                <w:sz w:val="20"/>
                <w:szCs w:val="20"/>
              </w:rPr>
              <w:t>Intrakraniális vérzés,</w:t>
            </w:r>
          </w:p>
          <w:p w14:paraId="78BD09A3" w14:textId="77777777" w:rsidR="000533C1" w:rsidRPr="00E41443" w:rsidRDefault="000533C1" w:rsidP="00545340">
            <w:pPr>
              <w:pStyle w:val="TableParagraph"/>
              <w:tabs>
                <w:tab w:val="left" w:pos="567"/>
              </w:tabs>
              <w:ind w:left="42"/>
              <w:rPr>
                <w:sz w:val="20"/>
                <w:szCs w:val="20"/>
              </w:rPr>
            </w:pPr>
            <w:r w:rsidRPr="00E41443">
              <w:rPr>
                <w:sz w:val="20"/>
                <w:szCs w:val="20"/>
              </w:rPr>
              <w:t>Retro peritoneális vérzés</w:t>
            </w:r>
          </w:p>
        </w:tc>
        <w:tc>
          <w:tcPr>
            <w:tcW w:w="1418" w:type="dxa"/>
          </w:tcPr>
          <w:p w14:paraId="000381DA" w14:textId="77777777" w:rsidR="000533C1" w:rsidRPr="00E41443" w:rsidRDefault="000533C1" w:rsidP="00545340">
            <w:pPr>
              <w:pStyle w:val="TableParagraph"/>
              <w:tabs>
                <w:tab w:val="left" w:pos="567"/>
              </w:tabs>
              <w:ind w:left="42"/>
              <w:rPr>
                <w:i/>
                <w:sz w:val="20"/>
                <w:szCs w:val="20"/>
              </w:rPr>
            </w:pPr>
          </w:p>
        </w:tc>
        <w:tc>
          <w:tcPr>
            <w:tcW w:w="1559" w:type="dxa"/>
          </w:tcPr>
          <w:p w14:paraId="78BD09A4" w14:textId="7C69C04F" w:rsidR="000533C1" w:rsidRDefault="000533C1" w:rsidP="00545340">
            <w:pPr>
              <w:pStyle w:val="TableParagraph"/>
              <w:tabs>
                <w:tab w:val="left" w:pos="567"/>
              </w:tabs>
              <w:ind w:left="42"/>
              <w:rPr>
                <w:i/>
                <w:sz w:val="20"/>
                <w:szCs w:val="20"/>
              </w:rPr>
            </w:pPr>
            <w:r w:rsidRPr="00CC2838">
              <w:rPr>
                <w:i/>
                <w:sz w:val="20"/>
                <w:szCs w:val="20"/>
              </w:rPr>
              <w:t>Ritka:</w:t>
            </w:r>
          </w:p>
          <w:p w14:paraId="78BD09A5" w14:textId="77777777" w:rsidR="000533C1" w:rsidRPr="00CC2838" w:rsidRDefault="000533C1" w:rsidP="00545340">
            <w:pPr>
              <w:pStyle w:val="TableParagraph"/>
              <w:tabs>
                <w:tab w:val="left" w:pos="567"/>
              </w:tabs>
              <w:ind w:left="42"/>
              <w:rPr>
                <w:sz w:val="20"/>
                <w:szCs w:val="20"/>
              </w:rPr>
            </w:pPr>
            <w:r w:rsidRPr="00CC2838">
              <w:rPr>
                <w:sz w:val="20"/>
                <w:szCs w:val="20"/>
              </w:rPr>
              <w:t>Retroperitoneális vérzés</w:t>
            </w:r>
          </w:p>
        </w:tc>
        <w:tc>
          <w:tcPr>
            <w:tcW w:w="1276" w:type="dxa"/>
          </w:tcPr>
          <w:p w14:paraId="78BD09A6" w14:textId="77777777" w:rsidR="000533C1" w:rsidRPr="00E41443" w:rsidRDefault="000533C1" w:rsidP="00545340">
            <w:pPr>
              <w:pStyle w:val="TableParagraph"/>
              <w:tabs>
                <w:tab w:val="left" w:pos="567"/>
              </w:tabs>
              <w:ind w:left="42"/>
              <w:rPr>
                <w:sz w:val="20"/>
                <w:szCs w:val="20"/>
              </w:rPr>
            </w:pPr>
            <w:r w:rsidRPr="00E41443">
              <w:rPr>
                <w:i/>
                <w:sz w:val="20"/>
                <w:szCs w:val="20"/>
              </w:rPr>
              <w:t xml:space="preserve">Nem gyakori: </w:t>
            </w:r>
            <w:r w:rsidRPr="00E41443">
              <w:rPr>
                <w:sz w:val="20"/>
                <w:szCs w:val="20"/>
              </w:rPr>
              <w:t>Intrakraniális vérzés,</w:t>
            </w:r>
          </w:p>
          <w:p w14:paraId="78BD09A7" w14:textId="593CCABD" w:rsidR="000533C1" w:rsidRPr="00E41443" w:rsidRDefault="000533C1" w:rsidP="0093621F">
            <w:pPr>
              <w:pStyle w:val="TableParagraph"/>
              <w:tabs>
                <w:tab w:val="left" w:pos="567"/>
              </w:tabs>
              <w:ind w:left="42"/>
              <w:rPr>
                <w:sz w:val="20"/>
                <w:szCs w:val="20"/>
              </w:rPr>
            </w:pPr>
            <w:r w:rsidRPr="00E41443">
              <w:rPr>
                <w:sz w:val="20"/>
                <w:szCs w:val="20"/>
              </w:rPr>
              <w:t>Retro</w:t>
            </w:r>
            <w:r w:rsidR="0093621F">
              <w:rPr>
                <w:sz w:val="20"/>
                <w:szCs w:val="20"/>
              </w:rPr>
              <w:t>-</w:t>
            </w:r>
            <w:r w:rsidRPr="00E41443">
              <w:rPr>
                <w:sz w:val="20"/>
                <w:szCs w:val="20"/>
              </w:rPr>
              <w:t>peritoneális vérzés</w:t>
            </w:r>
          </w:p>
        </w:tc>
      </w:tr>
    </w:tbl>
    <w:p w14:paraId="78BD09A9" w14:textId="77777777" w:rsidR="00DF73BF" w:rsidRPr="00E41443" w:rsidRDefault="00DF73BF" w:rsidP="00545340">
      <w:pPr>
        <w:pStyle w:val="Szvegtrzs"/>
        <w:tabs>
          <w:tab w:val="left" w:pos="567"/>
        </w:tabs>
        <w:ind w:left="567" w:hanging="567"/>
      </w:pPr>
    </w:p>
    <w:p w14:paraId="78BD09AA" w14:textId="3F1FBA80" w:rsidR="00DF73BF" w:rsidRPr="00E41443" w:rsidRDefault="00FB299E" w:rsidP="00545340">
      <w:pPr>
        <w:pStyle w:val="Szvegtrzs"/>
        <w:tabs>
          <w:tab w:val="left" w:pos="567"/>
        </w:tabs>
        <w:ind w:left="284" w:hanging="284"/>
      </w:pPr>
      <w:r w:rsidRPr="00CC2838">
        <w:rPr>
          <w:vertAlign w:val="superscript"/>
        </w:rPr>
        <w:t>α</w:t>
      </w:r>
      <w:r w:rsidRPr="00E41443">
        <w:rPr>
          <w:b/>
          <w:position w:val="10"/>
          <w:sz w:val="14"/>
        </w:rPr>
        <w:tab/>
      </w:r>
      <w:r w:rsidRPr="00E41443">
        <w:t>például hematóma, nem a beadás helyén jelentkező véraláfutás, sebhematóma, hematúria, orrvérzés és emésztőrendszeri vérzés.</w:t>
      </w:r>
    </w:p>
    <w:p w14:paraId="02E1C321" w14:textId="0C3AA941" w:rsidR="000533C1" w:rsidRPr="00E41443" w:rsidRDefault="000533C1" w:rsidP="000533C1">
      <w:pPr>
        <w:keepNext/>
        <w:keepLines/>
        <w:tabs>
          <w:tab w:val="left" w:pos="284"/>
        </w:tabs>
        <w:adjustRightInd w:val="0"/>
        <w:ind w:left="284" w:hanging="284"/>
      </w:pPr>
      <w:bookmarkStart w:id="5" w:name="_Hlk57289495"/>
      <w:r w:rsidRPr="00E41443">
        <w:rPr>
          <w:vertAlign w:val="superscript"/>
        </w:rPr>
        <w:t>b</w:t>
      </w:r>
      <w:r w:rsidRPr="00E41443">
        <w:tab/>
      </w:r>
      <w:r w:rsidR="009234CA" w:rsidRPr="00E41443">
        <w:t xml:space="preserve">egy </w:t>
      </w:r>
      <w:r w:rsidRPr="00E41443">
        <w:t>3526 beteg adatait tartalmazó nyilvántartás retrospektív vizsgálat</w:t>
      </w:r>
      <w:r w:rsidR="00A24D2B" w:rsidRPr="00E41443">
        <w:t>a</w:t>
      </w:r>
      <w:r w:rsidRPr="00E41443">
        <w:t xml:space="preserve"> alapján megállapított gyakoriság (lásd 5.1 pont)</w:t>
      </w:r>
    </w:p>
    <w:bookmarkEnd w:id="5"/>
    <w:p w14:paraId="78BD09AB" w14:textId="77777777" w:rsidR="00DF73BF" w:rsidRPr="00E41443" w:rsidRDefault="00DF73BF" w:rsidP="00545340">
      <w:pPr>
        <w:pStyle w:val="Szvegtrzs"/>
        <w:tabs>
          <w:tab w:val="left" w:pos="567"/>
        </w:tabs>
        <w:ind w:left="567" w:hanging="567"/>
      </w:pPr>
    </w:p>
    <w:p w14:paraId="78BD09AC" w14:textId="77777777" w:rsidR="00DF73BF" w:rsidRPr="00656C0A" w:rsidRDefault="00FB299E" w:rsidP="00545340">
      <w:pPr>
        <w:pStyle w:val="Cmsor1"/>
        <w:tabs>
          <w:tab w:val="left" w:pos="567"/>
        </w:tabs>
        <w:ind w:left="567" w:hanging="567"/>
      </w:pPr>
      <w:r w:rsidRPr="00656C0A">
        <w:rPr>
          <w:u w:val="thick"/>
        </w:rPr>
        <w:t>Trombocitopénia és trombocitózis</w:t>
      </w:r>
    </w:p>
    <w:p w14:paraId="78BD09AD" w14:textId="77777777" w:rsidR="00DF73BF" w:rsidRPr="00656C0A" w:rsidRDefault="00DF73BF" w:rsidP="00545340">
      <w:pPr>
        <w:pStyle w:val="Szvegtrzs"/>
        <w:tabs>
          <w:tab w:val="left" w:pos="567"/>
        </w:tabs>
        <w:ind w:left="567" w:hanging="567"/>
        <w:rPr>
          <w:b/>
        </w:rPr>
      </w:pPr>
    </w:p>
    <w:tbl>
      <w:tblPr>
        <w:tblW w:w="100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03"/>
        <w:gridCol w:w="1418"/>
        <w:gridCol w:w="1417"/>
        <w:gridCol w:w="1560"/>
        <w:gridCol w:w="1424"/>
        <w:gridCol w:w="1417"/>
        <w:gridCol w:w="1418"/>
      </w:tblGrid>
      <w:tr w:rsidR="0093621F" w:rsidRPr="00041550" w14:paraId="78BD09B4" w14:textId="77777777" w:rsidTr="00CE6397">
        <w:trPr>
          <w:trHeight w:hRule="exact" w:val="1526"/>
          <w:jc w:val="center"/>
        </w:trPr>
        <w:tc>
          <w:tcPr>
            <w:tcW w:w="1403" w:type="dxa"/>
          </w:tcPr>
          <w:p w14:paraId="78BD09AE" w14:textId="77777777" w:rsidR="000533C1" w:rsidRPr="00CC2838" w:rsidRDefault="000533C1" w:rsidP="00545340">
            <w:pPr>
              <w:pStyle w:val="TableParagraph"/>
              <w:tabs>
                <w:tab w:val="left" w:pos="567"/>
              </w:tabs>
              <w:ind w:left="42"/>
              <w:rPr>
                <w:b/>
                <w:lang w:val="nl-NL"/>
              </w:rPr>
            </w:pPr>
            <w:r w:rsidRPr="00CC2838">
              <w:rPr>
                <w:b/>
                <w:lang w:val="nl-NL"/>
              </w:rPr>
              <w:t>MedDRA szerv- rendszerek szerinti osztályozás</w:t>
            </w:r>
          </w:p>
        </w:tc>
        <w:tc>
          <w:tcPr>
            <w:tcW w:w="1418" w:type="dxa"/>
          </w:tcPr>
          <w:p w14:paraId="78BD09AF" w14:textId="77777777" w:rsidR="000533C1" w:rsidRPr="00CC2838" w:rsidRDefault="000533C1" w:rsidP="00545340">
            <w:pPr>
              <w:pStyle w:val="TableParagraph"/>
              <w:tabs>
                <w:tab w:val="left" w:pos="567"/>
              </w:tabs>
              <w:ind w:left="40"/>
              <w:rPr>
                <w:b/>
                <w:lang w:val="nl-NL"/>
              </w:rPr>
            </w:pPr>
            <w:r w:rsidRPr="00CC2838">
              <w:rPr>
                <w:b/>
                <w:lang w:val="nl-NL"/>
              </w:rPr>
              <w:t>Profilaxis sebészeti beavatkozáson átesett betegeknél</w:t>
            </w:r>
          </w:p>
        </w:tc>
        <w:tc>
          <w:tcPr>
            <w:tcW w:w="1417" w:type="dxa"/>
          </w:tcPr>
          <w:p w14:paraId="78BD09B0" w14:textId="77777777" w:rsidR="000533C1" w:rsidRPr="00CC2838" w:rsidRDefault="000533C1" w:rsidP="00545340">
            <w:pPr>
              <w:pStyle w:val="TableParagraph"/>
              <w:tabs>
                <w:tab w:val="left" w:pos="567"/>
              </w:tabs>
              <w:ind w:left="41"/>
              <w:rPr>
                <w:b/>
                <w:sz w:val="20"/>
                <w:szCs w:val="20"/>
              </w:rPr>
            </w:pPr>
            <w:r w:rsidRPr="00CC2838">
              <w:rPr>
                <w:b/>
                <w:sz w:val="20"/>
                <w:szCs w:val="20"/>
              </w:rPr>
              <w:t>Profilaxis belgyógyászati betegeknél</w:t>
            </w:r>
          </w:p>
        </w:tc>
        <w:tc>
          <w:tcPr>
            <w:tcW w:w="1560" w:type="dxa"/>
          </w:tcPr>
          <w:p w14:paraId="78BD09B1" w14:textId="77777777" w:rsidR="000533C1" w:rsidRPr="00CC2838" w:rsidRDefault="000533C1" w:rsidP="00545340">
            <w:pPr>
              <w:pStyle w:val="TableParagraph"/>
              <w:tabs>
                <w:tab w:val="left" w:pos="567"/>
              </w:tabs>
              <w:ind w:left="42"/>
              <w:rPr>
                <w:b/>
                <w:sz w:val="20"/>
                <w:szCs w:val="20"/>
              </w:rPr>
            </w:pPr>
            <w:r w:rsidRPr="00CC2838">
              <w:rPr>
                <w:b/>
                <w:sz w:val="20"/>
                <w:szCs w:val="20"/>
              </w:rPr>
              <w:t>Mélyvénás trombózis kezelése tüdőembólia fennállása esetén vagy anélkül</w:t>
            </w:r>
          </w:p>
        </w:tc>
        <w:tc>
          <w:tcPr>
            <w:tcW w:w="1424" w:type="dxa"/>
          </w:tcPr>
          <w:p w14:paraId="594CCDAB" w14:textId="01D32F1C" w:rsidR="000533C1" w:rsidRPr="000533C1" w:rsidRDefault="000533C1" w:rsidP="00545340">
            <w:pPr>
              <w:pStyle w:val="TableParagraph"/>
              <w:tabs>
                <w:tab w:val="left" w:pos="567"/>
              </w:tabs>
              <w:ind w:left="41"/>
              <w:rPr>
                <w:b/>
                <w:sz w:val="20"/>
                <w:szCs w:val="20"/>
              </w:rPr>
            </w:pPr>
            <w:r w:rsidRPr="000533C1">
              <w:rPr>
                <w:b/>
                <w:bCs/>
                <w:sz w:val="20"/>
                <w:szCs w:val="20"/>
                <w:lang w:val="hu-HU"/>
              </w:rPr>
              <w:t xml:space="preserve">DVT és PE tartós kezelése aktív </w:t>
            </w:r>
            <w:r w:rsidR="00AF3BD2">
              <w:rPr>
                <w:b/>
                <w:bCs/>
                <w:sz w:val="20"/>
                <w:szCs w:val="20"/>
                <w:lang w:val="hu-HU"/>
              </w:rPr>
              <w:t>daganat</w:t>
            </w:r>
            <w:r w:rsidR="0093621F">
              <w:rPr>
                <w:b/>
                <w:bCs/>
                <w:sz w:val="20"/>
                <w:szCs w:val="20"/>
                <w:lang w:val="hu-HU"/>
              </w:rPr>
              <w:t xml:space="preserve">os </w:t>
            </w:r>
            <w:r w:rsidRPr="000533C1">
              <w:rPr>
                <w:b/>
                <w:bCs/>
                <w:sz w:val="20"/>
                <w:szCs w:val="20"/>
                <w:lang w:val="hu-HU"/>
              </w:rPr>
              <w:t>betegségben szenvedő betegeknél</w:t>
            </w:r>
          </w:p>
        </w:tc>
        <w:tc>
          <w:tcPr>
            <w:tcW w:w="1417" w:type="dxa"/>
          </w:tcPr>
          <w:p w14:paraId="78BD09B2" w14:textId="27CF5DC3" w:rsidR="000533C1" w:rsidRPr="00CC2838" w:rsidRDefault="000533C1" w:rsidP="00545340">
            <w:pPr>
              <w:pStyle w:val="TableParagraph"/>
              <w:tabs>
                <w:tab w:val="left" w:pos="567"/>
              </w:tabs>
              <w:ind w:left="41"/>
              <w:rPr>
                <w:b/>
                <w:sz w:val="20"/>
                <w:szCs w:val="20"/>
              </w:rPr>
            </w:pPr>
            <w:r w:rsidRPr="00CC2838">
              <w:rPr>
                <w:b/>
                <w:sz w:val="20"/>
                <w:szCs w:val="20"/>
              </w:rPr>
              <w:t>Instabil angina vagy non-Q miokardiális infarktus kezelése</w:t>
            </w:r>
          </w:p>
        </w:tc>
        <w:tc>
          <w:tcPr>
            <w:tcW w:w="1418" w:type="dxa"/>
          </w:tcPr>
          <w:p w14:paraId="78BD09B3" w14:textId="77777777" w:rsidR="000533C1" w:rsidRPr="00CC2838" w:rsidRDefault="000533C1" w:rsidP="00545340">
            <w:pPr>
              <w:pStyle w:val="TableParagraph"/>
              <w:tabs>
                <w:tab w:val="left" w:pos="567"/>
              </w:tabs>
              <w:ind w:left="40"/>
              <w:rPr>
                <w:b/>
                <w:sz w:val="20"/>
                <w:szCs w:val="20"/>
              </w:rPr>
            </w:pPr>
            <w:r w:rsidRPr="00CC2838">
              <w:rPr>
                <w:b/>
                <w:sz w:val="20"/>
                <w:szCs w:val="20"/>
              </w:rPr>
              <w:t>Akut STEMI kezelése</w:t>
            </w:r>
          </w:p>
        </w:tc>
      </w:tr>
      <w:tr w:rsidR="0093621F" w:rsidRPr="00041550" w14:paraId="78BD09BE" w14:textId="77777777" w:rsidTr="00CE6397">
        <w:trPr>
          <w:trHeight w:hRule="exact" w:val="1022"/>
          <w:jc w:val="center"/>
        </w:trPr>
        <w:tc>
          <w:tcPr>
            <w:tcW w:w="1403" w:type="dxa"/>
            <w:vMerge w:val="restart"/>
          </w:tcPr>
          <w:p w14:paraId="78BD09B5" w14:textId="77777777" w:rsidR="000533C1" w:rsidRPr="00CC2838" w:rsidRDefault="000533C1" w:rsidP="00545340">
            <w:pPr>
              <w:pStyle w:val="TableParagraph"/>
              <w:tabs>
                <w:tab w:val="left" w:pos="567"/>
              </w:tabs>
              <w:ind w:left="42"/>
              <w:rPr>
                <w:b/>
                <w:i/>
                <w:sz w:val="20"/>
                <w:szCs w:val="20"/>
              </w:rPr>
            </w:pPr>
            <w:r w:rsidRPr="00CC2838">
              <w:rPr>
                <w:b/>
                <w:i/>
                <w:sz w:val="20"/>
                <w:szCs w:val="20"/>
              </w:rPr>
              <w:t>Vérképzőszervi és nyirokrend-szeri betegségek</w:t>
            </w:r>
          </w:p>
        </w:tc>
        <w:tc>
          <w:tcPr>
            <w:tcW w:w="1418" w:type="dxa"/>
          </w:tcPr>
          <w:p w14:paraId="78BD09B6" w14:textId="77777777" w:rsidR="000533C1" w:rsidRPr="00CC2838" w:rsidRDefault="000533C1" w:rsidP="00545340">
            <w:pPr>
              <w:pStyle w:val="TableParagraph"/>
              <w:tabs>
                <w:tab w:val="left" w:pos="567"/>
              </w:tabs>
              <w:ind w:left="40"/>
              <w:rPr>
                <w:i/>
                <w:sz w:val="20"/>
                <w:szCs w:val="20"/>
              </w:rPr>
            </w:pPr>
            <w:r w:rsidRPr="00CC2838">
              <w:rPr>
                <w:i/>
                <w:sz w:val="20"/>
                <w:szCs w:val="20"/>
              </w:rPr>
              <w:t>Nagyon gyakori:</w:t>
            </w:r>
          </w:p>
          <w:p w14:paraId="78BD09B7" w14:textId="77777777" w:rsidR="000533C1" w:rsidRPr="00CC2838" w:rsidRDefault="000533C1" w:rsidP="00545340">
            <w:pPr>
              <w:pStyle w:val="TableParagraph"/>
              <w:tabs>
                <w:tab w:val="left" w:pos="567"/>
              </w:tabs>
              <w:ind w:left="40"/>
              <w:rPr>
                <w:b/>
                <w:sz w:val="20"/>
                <w:szCs w:val="20"/>
              </w:rPr>
            </w:pPr>
            <w:r w:rsidRPr="00CC2838">
              <w:rPr>
                <w:sz w:val="20"/>
                <w:szCs w:val="20"/>
              </w:rPr>
              <w:t>Trombocitózis</w:t>
            </w:r>
            <w:r w:rsidRPr="00CC2838">
              <w:rPr>
                <w:sz w:val="20"/>
                <w:szCs w:val="20"/>
                <w:vertAlign w:val="superscript"/>
              </w:rPr>
              <w:t>ß</w:t>
            </w:r>
          </w:p>
        </w:tc>
        <w:tc>
          <w:tcPr>
            <w:tcW w:w="1417" w:type="dxa"/>
          </w:tcPr>
          <w:p w14:paraId="78BD09B8" w14:textId="2E8FC1AD" w:rsidR="000533C1" w:rsidRPr="00CC2838" w:rsidRDefault="000533C1" w:rsidP="00545340">
            <w:pPr>
              <w:pStyle w:val="TableParagraph"/>
              <w:tabs>
                <w:tab w:val="left" w:pos="567"/>
              </w:tabs>
              <w:ind w:left="41"/>
              <w:rPr>
                <w:sz w:val="20"/>
                <w:szCs w:val="20"/>
              </w:rPr>
            </w:pPr>
            <w:r w:rsidRPr="00CC2838">
              <w:rPr>
                <w:i/>
                <w:sz w:val="20"/>
                <w:szCs w:val="20"/>
              </w:rPr>
              <w:t xml:space="preserve">Nem gyakori: </w:t>
            </w:r>
            <w:r w:rsidRPr="00CC2838">
              <w:rPr>
                <w:sz w:val="20"/>
                <w:szCs w:val="20"/>
              </w:rPr>
              <w:t>Trombocito</w:t>
            </w:r>
            <w:r w:rsidR="0093621F">
              <w:rPr>
                <w:sz w:val="20"/>
                <w:szCs w:val="20"/>
              </w:rPr>
              <w:t>-</w:t>
            </w:r>
            <w:r w:rsidRPr="00CC2838">
              <w:rPr>
                <w:sz w:val="20"/>
                <w:szCs w:val="20"/>
              </w:rPr>
              <w:t>pénia</w:t>
            </w:r>
          </w:p>
        </w:tc>
        <w:tc>
          <w:tcPr>
            <w:tcW w:w="1560" w:type="dxa"/>
          </w:tcPr>
          <w:p w14:paraId="78BD09B9" w14:textId="77777777" w:rsidR="000533C1" w:rsidRPr="00CC2838" w:rsidRDefault="000533C1" w:rsidP="00545340">
            <w:pPr>
              <w:pStyle w:val="TableParagraph"/>
              <w:tabs>
                <w:tab w:val="left" w:pos="567"/>
              </w:tabs>
              <w:ind w:left="42"/>
              <w:rPr>
                <w:i/>
                <w:sz w:val="20"/>
                <w:szCs w:val="20"/>
              </w:rPr>
            </w:pPr>
            <w:r w:rsidRPr="00CC2838">
              <w:rPr>
                <w:i/>
                <w:sz w:val="20"/>
                <w:szCs w:val="20"/>
              </w:rPr>
              <w:t>Nagyon gyakori:</w:t>
            </w:r>
          </w:p>
          <w:p w14:paraId="78BD09BA" w14:textId="77777777" w:rsidR="000533C1" w:rsidRPr="00CC2838" w:rsidRDefault="000533C1" w:rsidP="00545340">
            <w:pPr>
              <w:pStyle w:val="TableParagraph"/>
              <w:tabs>
                <w:tab w:val="left" w:pos="567"/>
              </w:tabs>
              <w:ind w:left="42"/>
              <w:rPr>
                <w:b/>
                <w:sz w:val="20"/>
                <w:szCs w:val="20"/>
              </w:rPr>
            </w:pPr>
            <w:r w:rsidRPr="00CC2838">
              <w:rPr>
                <w:sz w:val="20"/>
                <w:szCs w:val="20"/>
              </w:rPr>
              <w:t>Trombocitózis</w:t>
            </w:r>
            <w:r w:rsidRPr="003E29B6">
              <w:rPr>
                <w:sz w:val="20"/>
                <w:szCs w:val="20"/>
                <w:vertAlign w:val="superscript"/>
              </w:rPr>
              <w:t>ß</w:t>
            </w:r>
          </w:p>
        </w:tc>
        <w:tc>
          <w:tcPr>
            <w:tcW w:w="1424" w:type="dxa"/>
          </w:tcPr>
          <w:p w14:paraId="4200B5FE" w14:textId="77777777" w:rsidR="000533C1" w:rsidRPr="00E41443" w:rsidRDefault="000533C1" w:rsidP="000533C1">
            <w:pPr>
              <w:widowControl/>
              <w:suppressAutoHyphens/>
              <w:autoSpaceDE/>
              <w:autoSpaceDN/>
              <w:rPr>
                <w:i/>
                <w:lang w:val="hu-HU" w:eastAsia="ar-SA"/>
              </w:rPr>
            </w:pPr>
            <w:r w:rsidRPr="00E41443">
              <w:rPr>
                <w:i/>
                <w:lang w:val="hu-HU" w:eastAsia="ar-SA"/>
              </w:rPr>
              <w:t>Nem ismert:</w:t>
            </w:r>
          </w:p>
          <w:p w14:paraId="70BF24EF" w14:textId="3052AF62" w:rsidR="000533C1" w:rsidRPr="000533C1" w:rsidRDefault="000533C1" w:rsidP="000533C1">
            <w:pPr>
              <w:pStyle w:val="TableParagraph"/>
              <w:tabs>
                <w:tab w:val="left" w:pos="567"/>
              </w:tabs>
              <w:ind w:left="41"/>
              <w:rPr>
                <w:i/>
                <w:sz w:val="20"/>
                <w:szCs w:val="20"/>
              </w:rPr>
            </w:pPr>
            <w:r w:rsidRPr="00E41443">
              <w:rPr>
                <w:lang w:val="hu-HU" w:eastAsia="ar-SA"/>
              </w:rPr>
              <w:t>Trombocito</w:t>
            </w:r>
            <w:r w:rsidRPr="00E41443">
              <w:rPr>
                <w:lang w:val="hu-HU" w:eastAsia="ar-SA"/>
              </w:rPr>
              <w:softHyphen/>
              <w:t>pénia</w:t>
            </w:r>
          </w:p>
        </w:tc>
        <w:tc>
          <w:tcPr>
            <w:tcW w:w="1417" w:type="dxa"/>
          </w:tcPr>
          <w:p w14:paraId="78BD09BB" w14:textId="5C05CCAF" w:rsidR="000533C1" w:rsidRPr="00CC2838" w:rsidRDefault="000533C1" w:rsidP="00545340">
            <w:pPr>
              <w:pStyle w:val="TableParagraph"/>
              <w:tabs>
                <w:tab w:val="left" w:pos="567"/>
              </w:tabs>
              <w:ind w:left="41"/>
              <w:rPr>
                <w:sz w:val="20"/>
                <w:szCs w:val="20"/>
              </w:rPr>
            </w:pPr>
            <w:r w:rsidRPr="00CC2838">
              <w:rPr>
                <w:i/>
                <w:sz w:val="20"/>
                <w:szCs w:val="20"/>
              </w:rPr>
              <w:t xml:space="preserve">Nem gyakori: </w:t>
            </w:r>
            <w:r w:rsidRPr="00CC2838">
              <w:rPr>
                <w:sz w:val="20"/>
                <w:szCs w:val="20"/>
              </w:rPr>
              <w:t>Trombocito</w:t>
            </w:r>
            <w:r w:rsidR="0093621F">
              <w:rPr>
                <w:sz w:val="20"/>
                <w:szCs w:val="20"/>
              </w:rPr>
              <w:t>-</w:t>
            </w:r>
            <w:r w:rsidRPr="00CC2838">
              <w:rPr>
                <w:sz w:val="20"/>
                <w:szCs w:val="20"/>
              </w:rPr>
              <w:t>pénia</w:t>
            </w:r>
          </w:p>
        </w:tc>
        <w:tc>
          <w:tcPr>
            <w:tcW w:w="1418" w:type="dxa"/>
          </w:tcPr>
          <w:p w14:paraId="78BD09BC" w14:textId="77777777" w:rsidR="000533C1" w:rsidRDefault="000533C1" w:rsidP="00545340">
            <w:pPr>
              <w:pStyle w:val="TableParagraph"/>
              <w:tabs>
                <w:tab w:val="left" w:pos="567"/>
              </w:tabs>
              <w:ind w:left="40"/>
              <w:rPr>
                <w:sz w:val="20"/>
                <w:szCs w:val="20"/>
                <w:vertAlign w:val="superscript"/>
              </w:rPr>
            </w:pPr>
            <w:r w:rsidRPr="00CC2838">
              <w:rPr>
                <w:i/>
                <w:sz w:val="20"/>
                <w:szCs w:val="20"/>
              </w:rPr>
              <w:t xml:space="preserve">Gyakori: </w:t>
            </w:r>
            <w:r w:rsidRPr="00CC2838">
              <w:rPr>
                <w:sz w:val="20"/>
                <w:szCs w:val="20"/>
              </w:rPr>
              <w:t>Trombocitózis</w:t>
            </w:r>
            <w:r w:rsidRPr="003E29B6">
              <w:rPr>
                <w:sz w:val="20"/>
                <w:szCs w:val="20"/>
                <w:vertAlign w:val="superscript"/>
              </w:rPr>
              <w:t>ß</w:t>
            </w:r>
            <w:r w:rsidRPr="00CC2838">
              <w:rPr>
                <w:sz w:val="20"/>
                <w:szCs w:val="20"/>
              </w:rPr>
              <w:t>,</w:t>
            </w:r>
          </w:p>
          <w:p w14:paraId="78BD09BD" w14:textId="658A304F" w:rsidR="000533C1" w:rsidRPr="00CC2838" w:rsidRDefault="000533C1" w:rsidP="00545340">
            <w:pPr>
              <w:pStyle w:val="TableParagraph"/>
              <w:tabs>
                <w:tab w:val="left" w:pos="567"/>
              </w:tabs>
              <w:ind w:left="40"/>
              <w:rPr>
                <w:sz w:val="20"/>
                <w:szCs w:val="20"/>
              </w:rPr>
            </w:pPr>
            <w:r w:rsidRPr="00CC2838">
              <w:rPr>
                <w:sz w:val="20"/>
                <w:szCs w:val="20"/>
              </w:rPr>
              <w:t>Trombocito</w:t>
            </w:r>
            <w:r w:rsidR="0093621F">
              <w:rPr>
                <w:sz w:val="20"/>
                <w:szCs w:val="20"/>
              </w:rPr>
              <w:t>-</w:t>
            </w:r>
            <w:r w:rsidRPr="00CC2838">
              <w:rPr>
                <w:sz w:val="20"/>
                <w:szCs w:val="20"/>
              </w:rPr>
              <w:t>pénia</w:t>
            </w:r>
          </w:p>
        </w:tc>
      </w:tr>
      <w:tr w:rsidR="0093621F" w:rsidRPr="00041550" w14:paraId="78BD09C7" w14:textId="77777777" w:rsidTr="00CE6397">
        <w:trPr>
          <w:trHeight w:hRule="exact" w:val="1522"/>
          <w:jc w:val="center"/>
        </w:trPr>
        <w:tc>
          <w:tcPr>
            <w:tcW w:w="1403" w:type="dxa"/>
            <w:vMerge/>
          </w:tcPr>
          <w:p w14:paraId="78BD09BF" w14:textId="77777777" w:rsidR="000533C1" w:rsidRPr="00CC2838" w:rsidRDefault="000533C1" w:rsidP="00545340">
            <w:pPr>
              <w:tabs>
                <w:tab w:val="left" w:pos="567"/>
              </w:tabs>
              <w:ind w:left="42"/>
              <w:rPr>
                <w:sz w:val="20"/>
                <w:szCs w:val="20"/>
              </w:rPr>
            </w:pPr>
          </w:p>
        </w:tc>
        <w:tc>
          <w:tcPr>
            <w:tcW w:w="1418" w:type="dxa"/>
          </w:tcPr>
          <w:p w14:paraId="78BD09C0" w14:textId="77777777" w:rsidR="000533C1" w:rsidRPr="00CC2838" w:rsidRDefault="000533C1" w:rsidP="00545340">
            <w:pPr>
              <w:pStyle w:val="TableParagraph"/>
              <w:tabs>
                <w:tab w:val="left" w:pos="567"/>
              </w:tabs>
              <w:ind w:left="40"/>
              <w:rPr>
                <w:i/>
                <w:sz w:val="20"/>
                <w:szCs w:val="20"/>
              </w:rPr>
            </w:pPr>
            <w:r w:rsidRPr="00CC2838">
              <w:rPr>
                <w:i/>
                <w:sz w:val="20"/>
                <w:szCs w:val="20"/>
              </w:rPr>
              <w:t>Gyakori:</w:t>
            </w:r>
          </w:p>
          <w:p w14:paraId="78BD09C1" w14:textId="0B71AB9B" w:rsidR="000533C1" w:rsidRPr="00CC2838" w:rsidRDefault="000533C1" w:rsidP="00545340">
            <w:pPr>
              <w:pStyle w:val="TableParagraph"/>
              <w:tabs>
                <w:tab w:val="left" w:pos="567"/>
              </w:tabs>
              <w:ind w:left="40"/>
              <w:rPr>
                <w:sz w:val="20"/>
                <w:szCs w:val="20"/>
              </w:rPr>
            </w:pPr>
            <w:r w:rsidRPr="00CC2838">
              <w:rPr>
                <w:sz w:val="20"/>
                <w:szCs w:val="20"/>
              </w:rPr>
              <w:t>Trombocito</w:t>
            </w:r>
            <w:r w:rsidR="0093621F">
              <w:rPr>
                <w:sz w:val="20"/>
                <w:szCs w:val="20"/>
              </w:rPr>
              <w:t>-</w:t>
            </w:r>
            <w:r w:rsidRPr="00CC2838">
              <w:rPr>
                <w:sz w:val="20"/>
                <w:szCs w:val="20"/>
              </w:rPr>
              <w:t>pénia</w:t>
            </w:r>
          </w:p>
        </w:tc>
        <w:tc>
          <w:tcPr>
            <w:tcW w:w="1417" w:type="dxa"/>
          </w:tcPr>
          <w:p w14:paraId="78BD09C2" w14:textId="77777777" w:rsidR="000533C1" w:rsidRPr="00CC2838" w:rsidRDefault="000533C1" w:rsidP="00545340">
            <w:pPr>
              <w:tabs>
                <w:tab w:val="left" w:pos="567"/>
              </w:tabs>
              <w:ind w:left="41"/>
              <w:rPr>
                <w:sz w:val="20"/>
                <w:szCs w:val="20"/>
              </w:rPr>
            </w:pPr>
          </w:p>
        </w:tc>
        <w:tc>
          <w:tcPr>
            <w:tcW w:w="1560" w:type="dxa"/>
          </w:tcPr>
          <w:p w14:paraId="78BD09C3" w14:textId="77777777" w:rsidR="000533C1" w:rsidRPr="00CC2838" w:rsidRDefault="000533C1" w:rsidP="00545340">
            <w:pPr>
              <w:pStyle w:val="TableParagraph"/>
              <w:tabs>
                <w:tab w:val="left" w:pos="567"/>
              </w:tabs>
              <w:ind w:left="42"/>
              <w:rPr>
                <w:i/>
                <w:sz w:val="20"/>
                <w:szCs w:val="20"/>
              </w:rPr>
            </w:pPr>
            <w:r w:rsidRPr="00CC2838">
              <w:rPr>
                <w:i/>
                <w:sz w:val="20"/>
                <w:szCs w:val="20"/>
              </w:rPr>
              <w:t>Gyakori:</w:t>
            </w:r>
          </w:p>
          <w:p w14:paraId="78BD09C4" w14:textId="77777777" w:rsidR="000533C1" w:rsidRPr="00CC2838" w:rsidRDefault="000533C1" w:rsidP="00545340">
            <w:pPr>
              <w:pStyle w:val="TableParagraph"/>
              <w:tabs>
                <w:tab w:val="left" w:pos="567"/>
              </w:tabs>
              <w:ind w:left="42"/>
              <w:rPr>
                <w:sz w:val="20"/>
                <w:szCs w:val="20"/>
              </w:rPr>
            </w:pPr>
            <w:r w:rsidRPr="00CC2838">
              <w:rPr>
                <w:sz w:val="20"/>
                <w:szCs w:val="20"/>
              </w:rPr>
              <w:t>Trombocitopénia</w:t>
            </w:r>
          </w:p>
        </w:tc>
        <w:tc>
          <w:tcPr>
            <w:tcW w:w="1424" w:type="dxa"/>
          </w:tcPr>
          <w:p w14:paraId="39BF1791" w14:textId="77777777" w:rsidR="000533C1" w:rsidRPr="00CC2838" w:rsidRDefault="000533C1" w:rsidP="00545340">
            <w:pPr>
              <w:tabs>
                <w:tab w:val="left" w:pos="567"/>
              </w:tabs>
              <w:ind w:left="41"/>
              <w:rPr>
                <w:sz w:val="20"/>
                <w:szCs w:val="20"/>
              </w:rPr>
            </w:pPr>
          </w:p>
        </w:tc>
        <w:tc>
          <w:tcPr>
            <w:tcW w:w="1417" w:type="dxa"/>
          </w:tcPr>
          <w:p w14:paraId="78BD09C5" w14:textId="6FF8E03B" w:rsidR="000533C1" w:rsidRPr="00CC2838" w:rsidRDefault="000533C1" w:rsidP="00545340">
            <w:pPr>
              <w:tabs>
                <w:tab w:val="left" w:pos="567"/>
              </w:tabs>
              <w:ind w:left="41"/>
              <w:rPr>
                <w:sz w:val="20"/>
                <w:szCs w:val="20"/>
              </w:rPr>
            </w:pPr>
          </w:p>
        </w:tc>
        <w:tc>
          <w:tcPr>
            <w:tcW w:w="1418" w:type="dxa"/>
          </w:tcPr>
          <w:p w14:paraId="78BD09C6" w14:textId="77777777" w:rsidR="000533C1" w:rsidRPr="00CC2838" w:rsidRDefault="000533C1" w:rsidP="00545340">
            <w:pPr>
              <w:pStyle w:val="TableParagraph"/>
              <w:tabs>
                <w:tab w:val="left" w:pos="567"/>
              </w:tabs>
              <w:ind w:left="40"/>
              <w:rPr>
                <w:sz w:val="20"/>
                <w:szCs w:val="20"/>
              </w:rPr>
            </w:pPr>
            <w:r w:rsidRPr="00CC2838">
              <w:rPr>
                <w:i/>
                <w:sz w:val="20"/>
                <w:szCs w:val="20"/>
              </w:rPr>
              <w:t xml:space="preserve">Nagyon ritka: </w:t>
            </w:r>
            <w:r w:rsidRPr="00CC2838">
              <w:rPr>
                <w:sz w:val="20"/>
                <w:szCs w:val="20"/>
              </w:rPr>
              <w:t>Immunoallergiás trombocitopénia</w:t>
            </w:r>
          </w:p>
        </w:tc>
      </w:tr>
    </w:tbl>
    <w:p w14:paraId="78BD09C8" w14:textId="77777777" w:rsidR="002B6203" w:rsidRPr="00656C0A" w:rsidRDefault="00856233" w:rsidP="00545340">
      <w:pPr>
        <w:tabs>
          <w:tab w:val="left" w:pos="284"/>
        </w:tabs>
        <w:ind w:left="567" w:hanging="567"/>
        <w:rPr>
          <w:u w:val="single"/>
          <w:lang w:val="hu-HU"/>
        </w:rPr>
      </w:pPr>
      <w:r w:rsidRPr="003E29B6">
        <w:rPr>
          <w:sz w:val="20"/>
          <w:szCs w:val="20"/>
          <w:vertAlign w:val="superscript"/>
        </w:rPr>
        <w:t>ß</w:t>
      </w:r>
      <w:r w:rsidRPr="00CC2838">
        <w:rPr>
          <w:b/>
        </w:rPr>
        <w:tab/>
      </w:r>
      <w:r w:rsidR="00FB299E" w:rsidRPr="00CC2838">
        <w:t>emelkedett vérlemezkeszám: &gt;</w:t>
      </w:r>
      <w:r w:rsidRPr="00CC2838">
        <w:t> </w:t>
      </w:r>
      <w:r w:rsidR="00FB299E" w:rsidRPr="00CC2838">
        <w:t xml:space="preserve">400 G/l </w:t>
      </w:r>
    </w:p>
    <w:p w14:paraId="78BD09C9" w14:textId="77777777" w:rsidR="000559A7" w:rsidRPr="00656C0A" w:rsidRDefault="000559A7" w:rsidP="00545340">
      <w:pPr>
        <w:tabs>
          <w:tab w:val="left" w:pos="567"/>
        </w:tabs>
        <w:ind w:left="567" w:hanging="567"/>
        <w:rPr>
          <w:u w:val="single"/>
          <w:lang w:val="hu-HU"/>
        </w:rPr>
      </w:pPr>
    </w:p>
    <w:p w14:paraId="78BD09CA" w14:textId="77777777" w:rsidR="00DE4609" w:rsidRPr="00656C0A" w:rsidRDefault="00856233" w:rsidP="00545340">
      <w:pPr>
        <w:tabs>
          <w:tab w:val="left" w:pos="567"/>
        </w:tabs>
        <w:ind w:left="567" w:hanging="567"/>
        <w:rPr>
          <w:u w:val="single"/>
          <w:lang w:val="hu-HU"/>
        </w:rPr>
      </w:pPr>
      <w:r>
        <w:rPr>
          <w:u w:val="single"/>
          <w:lang w:val="hu-HU"/>
        </w:rPr>
        <w:t>Gyermekek és serdülők</w:t>
      </w:r>
    </w:p>
    <w:p w14:paraId="78BD09CB" w14:textId="77777777" w:rsidR="00DE4609" w:rsidRPr="00656C0A" w:rsidRDefault="00360D35" w:rsidP="00545340">
      <w:pPr>
        <w:pStyle w:val="Szvegtrzs"/>
        <w:tabs>
          <w:tab w:val="left" w:pos="567"/>
        </w:tabs>
        <w:rPr>
          <w:u w:val="single"/>
          <w:lang w:val="hu-HU"/>
        </w:rPr>
      </w:pPr>
      <w:r w:rsidRPr="00CC2838">
        <w:rPr>
          <w:lang w:val="hu-HU"/>
        </w:rPr>
        <w:t>Az enoxaparin-nátrium biztonságosságát és hatásosságát gyermekek és serdülők esetében nem igazolták.</w:t>
      </w:r>
    </w:p>
    <w:p w14:paraId="78BD09CC" w14:textId="77777777" w:rsidR="000559A7" w:rsidRPr="00656C0A" w:rsidRDefault="000559A7" w:rsidP="00545340">
      <w:pPr>
        <w:tabs>
          <w:tab w:val="left" w:pos="567"/>
        </w:tabs>
        <w:ind w:left="567" w:hanging="567"/>
        <w:rPr>
          <w:u w:val="single"/>
          <w:lang w:val="hu-HU"/>
        </w:rPr>
      </w:pPr>
    </w:p>
    <w:p w14:paraId="78BD09CD" w14:textId="77777777" w:rsidR="002B6203" w:rsidRPr="00656C0A" w:rsidRDefault="002B6203" w:rsidP="00545340">
      <w:pPr>
        <w:tabs>
          <w:tab w:val="left" w:pos="567"/>
        </w:tabs>
        <w:ind w:left="567" w:hanging="567"/>
        <w:rPr>
          <w:u w:val="single"/>
          <w:lang w:val="hu-HU"/>
        </w:rPr>
      </w:pPr>
      <w:r w:rsidRPr="00656C0A">
        <w:rPr>
          <w:u w:val="single"/>
          <w:lang w:val="hu-HU"/>
        </w:rPr>
        <w:t>Feltételezett mellékhatások bejelentése</w:t>
      </w:r>
    </w:p>
    <w:p w14:paraId="78BD09CE" w14:textId="77777777" w:rsidR="002B6203" w:rsidRPr="00656C0A" w:rsidRDefault="002B6203" w:rsidP="00CE6397">
      <w:pPr>
        <w:tabs>
          <w:tab w:val="left" w:pos="0"/>
        </w:tabs>
        <w:rPr>
          <w:lang w:val="hu-HU"/>
        </w:rPr>
      </w:pPr>
      <w:r w:rsidRPr="00656C0A">
        <w:rPr>
          <w:lang w:val="hu-HU"/>
        </w:rPr>
        <w:t xml:space="preserve">A gyógyszer engedélyezését követően lényeges a feltételezett mellékhatások bejelentése, mert ez fontos eszköze annak, hogy a gyógyszer előny/kockázat profilját folyamatosan figyelemmel lehessen kísérni. </w:t>
      </w:r>
    </w:p>
    <w:p w14:paraId="78BD09CF" w14:textId="77777777" w:rsidR="002B6203" w:rsidRPr="00656C0A" w:rsidRDefault="002B6203" w:rsidP="00CE6397">
      <w:pPr>
        <w:tabs>
          <w:tab w:val="left" w:pos="0"/>
        </w:tabs>
        <w:rPr>
          <w:lang w:val="hu-HU"/>
        </w:rPr>
      </w:pPr>
      <w:r w:rsidRPr="00656C0A">
        <w:rPr>
          <w:lang w:val="hu-HU"/>
        </w:rPr>
        <w:t xml:space="preserve">Az egészségügyi szakembereket kérjük, hogy jelentsék be a feltételezett mellékhatásokat a hatóság részére az </w:t>
      </w:r>
      <w:hyperlink r:id="rId11" w:history="1">
        <w:r w:rsidRPr="007C474F">
          <w:rPr>
            <w:rStyle w:val="Hiperhivatkozs"/>
            <w:highlight w:val="lightGray"/>
            <w:lang w:val="hu-HU"/>
          </w:rPr>
          <w:t>V. függelékben</w:t>
        </w:r>
      </w:hyperlink>
      <w:r w:rsidRPr="007C474F">
        <w:rPr>
          <w:highlight w:val="lightGray"/>
          <w:lang w:val="hu-HU"/>
        </w:rPr>
        <w:t xml:space="preserve"> található elérhetőségek valamelyikén keresztül</w:t>
      </w:r>
      <w:r w:rsidRPr="00656C0A">
        <w:rPr>
          <w:color w:val="008000"/>
          <w:lang w:val="hu-HU"/>
        </w:rPr>
        <w:t>.</w:t>
      </w:r>
    </w:p>
    <w:p w14:paraId="78BD09D0" w14:textId="77777777" w:rsidR="00424393" w:rsidRPr="00656C0A" w:rsidRDefault="00424393" w:rsidP="00545340">
      <w:pPr>
        <w:pStyle w:val="Szvegtrzs"/>
        <w:tabs>
          <w:tab w:val="left" w:pos="567"/>
        </w:tabs>
        <w:ind w:left="567" w:hanging="567"/>
        <w:rPr>
          <w:lang w:val="hu-HU"/>
        </w:rPr>
      </w:pPr>
    </w:p>
    <w:p w14:paraId="78BD09D1" w14:textId="77777777" w:rsidR="00DF73BF" w:rsidRPr="00656C0A" w:rsidRDefault="00FB299E" w:rsidP="00545340">
      <w:pPr>
        <w:pStyle w:val="Cmsor1"/>
        <w:numPr>
          <w:ilvl w:val="1"/>
          <w:numId w:val="20"/>
        </w:numPr>
        <w:tabs>
          <w:tab w:val="left" w:pos="567"/>
        </w:tabs>
        <w:ind w:left="567"/>
      </w:pPr>
      <w:r w:rsidRPr="00656C0A">
        <w:t>Túladagolás</w:t>
      </w:r>
    </w:p>
    <w:p w14:paraId="78BD09D2" w14:textId="77777777" w:rsidR="00DF73BF" w:rsidRPr="00656C0A" w:rsidRDefault="00DF73BF" w:rsidP="00545340">
      <w:pPr>
        <w:pStyle w:val="Szvegtrzs"/>
        <w:tabs>
          <w:tab w:val="left" w:pos="567"/>
        </w:tabs>
        <w:ind w:left="567" w:hanging="567"/>
        <w:rPr>
          <w:b/>
        </w:rPr>
      </w:pPr>
    </w:p>
    <w:p w14:paraId="78BD09D3" w14:textId="77777777" w:rsidR="00DF73BF" w:rsidRPr="00656C0A" w:rsidRDefault="00FB299E" w:rsidP="00545340">
      <w:pPr>
        <w:pStyle w:val="Szvegtrzs"/>
        <w:tabs>
          <w:tab w:val="left" w:pos="567"/>
        </w:tabs>
        <w:ind w:left="567" w:hanging="567"/>
      </w:pPr>
      <w:r w:rsidRPr="00656C0A">
        <w:rPr>
          <w:u w:val="single"/>
        </w:rPr>
        <w:t>Jelek és tünetek</w:t>
      </w:r>
    </w:p>
    <w:p w14:paraId="78BD09D4" w14:textId="77777777" w:rsidR="00DF73BF" w:rsidRPr="00656C0A" w:rsidRDefault="00FB299E" w:rsidP="0093621F">
      <w:pPr>
        <w:pStyle w:val="Szvegtrzs"/>
        <w:tabs>
          <w:tab w:val="left" w:pos="0"/>
        </w:tabs>
      </w:pPr>
      <w:r w:rsidRPr="00656C0A">
        <w:t xml:space="preserve">Az enoxaparin-nátrium esetleges túladagolása intravénás, extrakorporális vagy szubkután alkalmazást követően vérzéses szövődményekhez vezethet. </w:t>
      </w:r>
      <w:r w:rsidRPr="00656C0A">
        <w:rPr>
          <w:i/>
        </w:rPr>
        <w:t xml:space="preserve">Per os </w:t>
      </w:r>
      <w:r w:rsidRPr="00656C0A">
        <w:t>alkalmazva még nagy adag esetén sem valószínű, hogy az enoxaparin-nátrium felszívódik.</w:t>
      </w:r>
    </w:p>
    <w:p w14:paraId="78BD09D5" w14:textId="77777777" w:rsidR="00DF73BF" w:rsidRPr="00656C0A" w:rsidRDefault="00DF73BF" w:rsidP="00545340">
      <w:pPr>
        <w:pStyle w:val="Szvegtrzs"/>
        <w:tabs>
          <w:tab w:val="left" w:pos="567"/>
        </w:tabs>
        <w:ind w:left="567" w:hanging="567"/>
      </w:pPr>
    </w:p>
    <w:p w14:paraId="78BD09D6" w14:textId="77777777" w:rsidR="00DF73BF" w:rsidRPr="00656C0A" w:rsidRDefault="00FB299E" w:rsidP="00545340">
      <w:pPr>
        <w:pStyle w:val="Szvegtrzs"/>
        <w:keepNext/>
        <w:widowControl/>
        <w:tabs>
          <w:tab w:val="left" w:pos="567"/>
        </w:tabs>
        <w:ind w:left="567" w:hanging="567"/>
      </w:pPr>
      <w:r w:rsidRPr="00656C0A">
        <w:rPr>
          <w:u w:val="single"/>
        </w:rPr>
        <w:t>Kezelés</w:t>
      </w:r>
    </w:p>
    <w:p w14:paraId="78BD09D7" w14:textId="77777777" w:rsidR="00DF73BF" w:rsidRPr="00656C0A" w:rsidRDefault="00FB299E" w:rsidP="00545340">
      <w:pPr>
        <w:pStyle w:val="Szvegtrzs"/>
        <w:keepNext/>
        <w:widowControl/>
        <w:tabs>
          <w:tab w:val="left" w:pos="567"/>
        </w:tabs>
      </w:pPr>
      <w:r w:rsidRPr="00656C0A">
        <w:t>Az antikoaguláns hatás nagymértékben közömbösíthető intravénasan alkalmazott, lassú protamin injekcióval. A protamin adagja a beadott enoxaparin-nátrium mennyiségétől függ, 1</w:t>
      </w:r>
      <w:r w:rsidR="00360D35">
        <w:t> </w:t>
      </w:r>
      <w:r w:rsidRPr="00656C0A">
        <w:t>mg protamin 100</w:t>
      </w:r>
      <w:r w:rsidR="00360D35">
        <w:t> </w:t>
      </w:r>
      <w:r w:rsidRPr="00656C0A">
        <w:t>NE (1 mg) enoxaparin-nátrium antikoaguláns hatását közömbösíti, amennyiben az enoxaparin alkalmazása</w:t>
      </w:r>
      <w:r w:rsidR="00424393" w:rsidRPr="00656C0A">
        <w:t xml:space="preserve"> </w:t>
      </w:r>
      <w:r w:rsidRPr="00656C0A">
        <w:t>8 órán belül történt. Amennyiben több mint 8 óra telt el az enoxaparin alkalmazása óta, vagy ha úgy határoznak, hogy egy második adag protamin adása szükséges, akkor infúzió formájában 0,5</w:t>
      </w:r>
      <w:r w:rsidR="00360D35">
        <w:t> </w:t>
      </w:r>
      <w:r w:rsidRPr="00656C0A">
        <w:t>mg protamin adható minden 100</w:t>
      </w:r>
      <w:r w:rsidR="00360D35">
        <w:t> </w:t>
      </w:r>
      <w:r w:rsidRPr="00656C0A">
        <w:t>NE (1 mg) enoxaparin-nátrium közömbösítésére. 12 órával az enoxaparin-nátrium injekciót követően nem szükséges a protamint alkalmazni. Azonban még nagy dózisú protaminnal sem közömbösíthető teljesen az enoxaparin anti-Xa</w:t>
      </w:r>
      <w:r w:rsidR="00360D35">
        <w:t>-</w:t>
      </w:r>
      <w:r w:rsidRPr="00656C0A">
        <w:t>aktivitása (legfeljebb 60%</w:t>
      </w:r>
      <w:r w:rsidR="00360D35">
        <w:noBreakHyphen/>
      </w:r>
      <w:r w:rsidRPr="00656C0A">
        <w:t>ban) (lásd a protaminsók alkalmazására vonatkozó utasításokat).</w:t>
      </w:r>
    </w:p>
    <w:p w14:paraId="78BD09D8" w14:textId="77777777" w:rsidR="00DF73BF" w:rsidRPr="00656C0A" w:rsidRDefault="00DF73BF" w:rsidP="00545340">
      <w:pPr>
        <w:pStyle w:val="Szvegtrzs"/>
        <w:tabs>
          <w:tab w:val="left" w:pos="567"/>
        </w:tabs>
        <w:ind w:left="567" w:hanging="567"/>
      </w:pPr>
    </w:p>
    <w:p w14:paraId="78BD09D9" w14:textId="77777777" w:rsidR="00DF73BF" w:rsidRPr="00656C0A" w:rsidRDefault="00DF73BF" w:rsidP="00545340">
      <w:pPr>
        <w:pStyle w:val="Szvegtrzs"/>
        <w:tabs>
          <w:tab w:val="left" w:pos="567"/>
        </w:tabs>
        <w:ind w:left="567" w:hanging="567"/>
      </w:pPr>
    </w:p>
    <w:p w14:paraId="78BD09DA" w14:textId="77777777" w:rsidR="00DF73BF" w:rsidRPr="00656C0A" w:rsidRDefault="00FB299E" w:rsidP="00545340">
      <w:pPr>
        <w:pStyle w:val="Cmsor1"/>
        <w:numPr>
          <w:ilvl w:val="0"/>
          <w:numId w:val="23"/>
        </w:numPr>
        <w:tabs>
          <w:tab w:val="left" w:pos="567"/>
        </w:tabs>
        <w:ind w:left="567" w:hanging="567"/>
      </w:pPr>
      <w:r w:rsidRPr="00656C0A">
        <w:t>FARMAKOLÓGIAI TULAJDONSÁGOK</w:t>
      </w:r>
    </w:p>
    <w:p w14:paraId="78BD09DB" w14:textId="77777777" w:rsidR="00DF73BF" w:rsidRPr="00656C0A" w:rsidRDefault="00DF73BF" w:rsidP="00545340">
      <w:pPr>
        <w:pStyle w:val="Szvegtrzs"/>
        <w:tabs>
          <w:tab w:val="left" w:pos="567"/>
        </w:tabs>
        <w:ind w:left="567" w:hanging="567"/>
        <w:rPr>
          <w:b/>
        </w:rPr>
      </w:pPr>
    </w:p>
    <w:p w14:paraId="78BD09DC" w14:textId="77777777" w:rsidR="00DF73BF" w:rsidRPr="00656C0A" w:rsidRDefault="00FB299E" w:rsidP="00545340">
      <w:pPr>
        <w:pStyle w:val="Listaszerbekezds"/>
        <w:numPr>
          <w:ilvl w:val="1"/>
          <w:numId w:val="23"/>
        </w:numPr>
        <w:tabs>
          <w:tab w:val="left" w:pos="567"/>
        </w:tabs>
        <w:ind w:left="567" w:hanging="567"/>
        <w:rPr>
          <w:b/>
        </w:rPr>
      </w:pPr>
      <w:r w:rsidRPr="00656C0A">
        <w:rPr>
          <w:b/>
        </w:rPr>
        <w:t>Farmakodinámiás tulajdonságok</w:t>
      </w:r>
    </w:p>
    <w:p w14:paraId="78BD09DD" w14:textId="77777777" w:rsidR="00360D35" w:rsidRDefault="00360D35" w:rsidP="00545340">
      <w:pPr>
        <w:pStyle w:val="Szvegtrzs"/>
        <w:tabs>
          <w:tab w:val="left" w:pos="567"/>
        </w:tabs>
        <w:ind w:left="567" w:hanging="567"/>
      </w:pPr>
    </w:p>
    <w:p w14:paraId="78BD09DE" w14:textId="77777777" w:rsidR="00424393" w:rsidRPr="00656C0A" w:rsidRDefault="00FB299E" w:rsidP="00545340">
      <w:pPr>
        <w:pStyle w:val="Szvegtrzs"/>
        <w:tabs>
          <w:tab w:val="left" w:pos="567"/>
        </w:tabs>
        <w:ind w:left="567" w:hanging="567"/>
      </w:pPr>
      <w:r w:rsidRPr="00656C0A">
        <w:t xml:space="preserve">Farmakoterápiás csoport: Antitrombotikus gyógyszerek, </w:t>
      </w:r>
      <w:r w:rsidR="00424393" w:rsidRPr="00656C0A">
        <w:t>Heparin csoport, ATC code: B01A B05</w:t>
      </w:r>
    </w:p>
    <w:p w14:paraId="78BD09DF" w14:textId="77777777" w:rsidR="00CE3F27" w:rsidRPr="00656C0A" w:rsidRDefault="00CE3F27" w:rsidP="00545340">
      <w:pPr>
        <w:tabs>
          <w:tab w:val="left" w:pos="567"/>
        </w:tabs>
        <w:ind w:left="567" w:hanging="567"/>
        <w:rPr>
          <w:noProof/>
          <w:lang w:val="hu-HU"/>
        </w:rPr>
      </w:pPr>
    </w:p>
    <w:p w14:paraId="78BD09E0" w14:textId="77777777" w:rsidR="0062235E" w:rsidRPr="00656C0A" w:rsidRDefault="0062235E" w:rsidP="00545340">
      <w:pPr>
        <w:tabs>
          <w:tab w:val="left" w:pos="567"/>
        </w:tabs>
        <w:rPr>
          <w:noProof/>
          <w:lang w:val="hu-HU"/>
        </w:rPr>
      </w:pPr>
      <w:r w:rsidRPr="00656C0A">
        <w:rPr>
          <w:noProof/>
          <w:lang w:val="hu-HU"/>
        </w:rPr>
        <w:t xml:space="preserve">A </w:t>
      </w:r>
      <w:r w:rsidR="00426193" w:rsidRPr="00656C0A">
        <w:rPr>
          <w:lang w:val="hu"/>
        </w:rPr>
        <w:t>Losmina</w:t>
      </w:r>
      <w:r w:rsidRPr="00656C0A">
        <w:rPr>
          <w:noProof/>
          <w:lang w:val="hu-HU"/>
        </w:rPr>
        <w:t xml:space="preserve"> </w:t>
      </w:r>
      <w:r w:rsidR="00955866">
        <w:rPr>
          <w:noProof/>
          <w:lang w:val="hu-HU"/>
        </w:rPr>
        <w:t>egy bio</w:t>
      </w:r>
      <w:r w:rsidRPr="00656C0A">
        <w:rPr>
          <w:noProof/>
          <w:lang w:val="hu-HU"/>
        </w:rPr>
        <w:t xml:space="preserve">hasonló gyógyszer. Részletes információk a(z) </w:t>
      </w:r>
      <w:r w:rsidR="00942126" w:rsidRPr="00656C0A">
        <w:rPr>
          <w:noProof/>
          <w:lang w:val="hu-HU"/>
        </w:rPr>
        <w:t>Országos Gyógyszerészeti és Élelmezés – egészségügyi Intézet</w:t>
      </w:r>
      <w:r w:rsidRPr="00656C0A">
        <w:rPr>
          <w:noProof/>
          <w:lang w:val="hu-HU"/>
        </w:rPr>
        <w:t xml:space="preserve"> internetes honlapján érhetők el.</w:t>
      </w:r>
    </w:p>
    <w:p w14:paraId="78BD09E1" w14:textId="77777777" w:rsidR="00CE3F27" w:rsidRPr="00656C0A" w:rsidRDefault="00CE3F27" w:rsidP="00545340">
      <w:pPr>
        <w:pStyle w:val="Szvegtrzs"/>
        <w:tabs>
          <w:tab w:val="left" w:pos="567"/>
        </w:tabs>
        <w:ind w:left="567" w:hanging="567"/>
        <w:rPr>
          <w:lang w:val="hu-HU"/>
        </w:rPr>
      </w:pPr>
    </w:p>
    <w:p w14:paraId="78BD09E2" w14:textId="77777777" w:rsidR="00DF73BF" w:rsidRPr="00656C0A" w:rsidRDefault="00FB299E" w:rsidP="00545340">
      <w:pPr>
        <w:pStyle w:val="Szvegtrzs"/>
        <w:tabs>
          <w:tab w:val="left" w:pos="567"/>
        </w:tabs>
        <w:ind w:left="567" w:hanging="567"/>
        <w:rPr>
          <w:lang w:val="hu-HU"/>
        </w:rPr>
      </w:pPr>
      <w:r w:rsidRPr="00656C0A">
        <w:rPr>
          <w:u w:val="single"/>
          <w:lang w:val="hu-HU"/>
        </w:rPr>
        <w:t>Farmakodinámiás hatások</w:t>
      </w:r>
    </w:p>
    <w:p w14:paraId="78BD09E3" w14:textId="77777777" w:rsidR="00DF73BF" w:rsidRPr="00656C0A" w:rsidRDefault="00FB299E" w:rsidP="00545340">
      <w:pPr>
        <w:pStyle w:val="Szvegtrzs"/>
        <w:tabs>
          <w:tab w:val="left" w:pos="567"/>
        </w:tabs>
        <w:rPr>
          <w:lang w:val="hu-HU"/>
        </w:rPr>
      </w:pPr>
      <w:r w:rsidRPr="00656C0A">
        <w:rPr>
          <w:lang w:val="hu-HU"/>
        </w:rPr>
        <w:t>Az enoxaparin alacsony, hozzávetőlegesen 4500 dalton molekulatömegű heparin, amelyben szétválik a</w:t>
      </w:r>
      <w:r w:rsidR="00E72434" w:rsidRPr="00656C0A">
        <w:rPr>
          <w:lang w:val="hu-HU"/>
        </w:rPr>
        <w:t xml:space="preserve"> </w:t>
      </w:r>
      <w:r w:rsidRPr="00656C0A">
        <w:rPr>
          <w:lang w:val="hu-HU"/>
        </w:rPr>
        <w:t>standard heparin antitrombotikus és antikoaguláns hatása. A hatóanyag egy nátriumsó.</w:t>
      </w:r>
    </w:p>
    <w:p w14:paraId="78BD09E4" w14:textId="77777777" w:rsidR="00DF73BF" w:rsidRPr="00656C0A" w:rsidRDefault="00DF73BF" w:rsidP="00545340">
      <w:pPr>
        <w:pStyle w:val="Szvegtrzs"/>
        <w:tabs>
          <w:tab w:val="left" w:pos="567"/>
        </w:tabs>
        <w:rPr>
          <w:lang w:val="hu-HU"/>
        </w:rPr>
      </w:pPr>
    </w:p>
    <w:p w14:paraId="78BD09E5" w14:textId="77777777" w:rsidR="00DF73BF" w:rsidRPr="00656C0A" w:rsidRDefault="00FB299E" w:rsidP="00545340">
      <w:pPr>
        <w:pStyle w:val="Szvegtrzs"/>
        <w:tabs>
          <w:tab w:val="left" w:pos="567"/>
        </w:tabs>
        <w:rPr>
          <w:lang w:val="hu-HU"/>
        </w:rPr>
      </w:pPr>
      <w:r w:rsidRPr="00656C0A">
        <w:rPr>
          <w:i/>
          <w:lang w:val="hu-HU"/>
        </w:rPr>
        <w:t xml:space="preserve">In vitro </w:t>
      </w:r>
      <w:r w:rsidRPr="00656C0A">
        <w:rPr>
          <w:lang w:val="hu-HU"/>
        </w:rPr>
        <w:t>tisztított rendszerben az enoxaparin-nátriumnak erős anti-Xa</w:t>
      </w:r>
      <w:r w:rsidR="00CA7F11">
        <w:rPr>
          <w:lang w:val="hu-HU"/>
        </w:rPr>
        <w:t>-</w:t>
      </w:r>
      <w:r w:rsidRPr="00656C0A">
        <w:rPr>
          <w:lang w:val="hu-HU"/>
        </w:rPr>
        <w:t>aktivitása (körülbelül 100</w:t>
      </w:r>
      <w:r w:rsidR="00CA7F11">
        <w:rPr>
          <w:lang w:val="hu-HU"/>
        </w:rPr>
        <w:t> </w:t>
      </w:r>
      <w:r w:rsidRPr="00656C0A">
        <w:rPr>
          <w:lang w:val="hu-HU"/>
        </w:rPr>
        <w:t>NE/mg) és gyenge anti-IIa- vagy antitrombin-aktivitása (körülbelül 28 NE/mg) van; ezek aránya 3,6. Ezek az antikoaguláns hatások antitrombin-III (ATIII) által mediáltak és emberben antitrombotikus aktivitást eredményeznek.</w:t>
      </w:r>
    </w:p>
    <w:p w14:paraId="78BD09E6" w14:textId="77777777" w:rsidR="00DF73BF" w:rsidRPr="00656C0A" w:rsidRDefault="00CA7F11" w:rsidP="00545340">
      <w:pPr>
        <w:pStyle w:val="Szvegtrzs"/>
        <w:tabs>
          <w:tab w:val="left" w:pos="567"/>
        </w:tabs>
        <w:rPr>
          <w:lang w:val="hu-HU"/>
        </w:rPr>
      </w:pPr>
      <w:r>
        <w:rPr>
          <w:lang w:val="hu-HU"/>
        </w:rPr>
        <w:tab/>
      </w:r>
    </w:p>
    <w:p w14:paraId="78BD09E7" w14:textId="77777777" w:rsidR="00DF73BF" w:rsidRPr="00656C0A" w:rsidRDefault="00FB299E" w:rsidP="00CE6397">
      <w:pPr>
        <w:pStyle w:val="Szvegtrzs"/>
        <w:widowControl/>
        <w:tabs>
          <w:tab w:val="left" w:pos="567"/>
        </w:tabs>
        <w:rPr>
          <w:lang w:val="hu-HU"/>
        </w:rPr>
      </w:pPr>
      <w:r w:rsidRPr="00656C0A">
        <w:rPr>
          <w:lang w:val="hu-HU"/>
        </w:rPr>
        <w:lastRenderedPageBreak/>
        <w:t>Az anti-Xa</w:t>
      </w:r>
      <w:r w:rsidR="00CA7F11">
        <w:rPr>
          <w:lang w:val="hu-HU"/>
        </w:rPr>
        <w:t>-</w:t>
      </w:r>
      <w:r w:rsidRPr="00656C0A">
        <w:rPr>
          <w:lang w:val="hu-HU"/>
        </w:rPr>
        <w:t>/IIa</w:t>
      </w:r>
      <w:r w:rsidR="00CA7F11">
        <w:rPr>
          <w:lang w:val="hu-HU"/>
        </w:rPr>
        <w:t>-</w:t>
      </w:r>
      <w:r w:rsidRPr="00656C0A">
        <w:rPr>
          <w:lang w:val="hu-HU"/>
        </w:rPr>
        <w:t>aktivitáson túl az enoxaparin-nátrium további antitrombotikus és gyulladásgátló tulajdonságait azonosították egészséges vizsgálati alanyokban és betegekben, valamint nem klinikai modellekben. Ezek közé a tulajdonságok közé sorolható egyéb véralvadási faktorok, mint pl. a VIIa faktor ATIII</w:t>
      </w:r>
      <w:r w:rsidR="004543AB">
        <w:rPr>
          <w:lang w:val="hu-HU"/>
        </w:rPr>
        <w:t>-</w:t>
      </w:r>
      <w:r w:rsidRPr="00656C0A">
        <w:rPr>
          <w:lang w:val="hu-HU"/>
        </w:rPr>
        <w:t>függő gátlása, az endogén Szöveti Faktor Útvonal</w:t>
      </w:r>
      <w:r w:rsidR="004543AB">
        <w:rPr>
          <w:lang w:val="hu-HU"/>
        </w:rPr>
        <w:t>-</w:t>
      </w:r>
      <w:r w:rsidRPr="00656C0A">
        <w:rPr>
          <w:lang w:val="hu-HU"/>
        </w:rPr>
        <w:t>Inhibitor (TFPI) felszabadulásának serkentése, valamint a von</w:t>
      </w:r>
      <w:r w:rsidR="004543AB">
        <w:rPr>
          <w:lang w:val="hu-HU"/>
        </w:rPr>
        <w:t> </w:t>
      </w:r>
      <w:r w:rsidRPr="00656C0A">
        <w:rPr>
          <w:lang w:val="hu-HU"/>
        </w:rPr>
        <w:t>Willebrand faktor (vWF) vaszkuláris endotélből a vérkeringésbe történő felszabadulásának csökkentése. Ezek a faktorok ismerten hozzájárulnak az enoxaparin-nátrium teljes antitrombotikus hatásához.</w:t>
      </w:r>
    </w:p>
    <w:p w14:paraId="78BD09E8" w14:textId="77777777" w:rsidR="00424393" w:rsidRPr="00656C0A" w:rsidRDefault="00FB299E" w:rsidP="00545340">
      <w:pPr>
        <w:pStyle w:val="Szvegtrzs"/>
        <w:tabs>
          <w:tab w:val="left" w:pos="567"/>
        </w:tabs>
        <w:rPr>
          <w:lang w:val="hu-HU"/>
        </w:rPr>
      </w:pPr>
      <w:r w:rsidRPr="00656C0A">
        <w:rPr>
          <w:lang w:val="hu-HU"/>
        </w:rPr>
        <w:t>Megelőző terápiaként alkalmazva az enoxaparin-nátrium nem módosítja szignifikáns mértékben az aPTI-t. Kuratív terápiaként alkalmazva a maximális hatás elérésekor aPTI a kontroll idő 1,5</w:t>
      </w:r>
      <w:r w:rsidR="004543AB">
        <w:rPr>
          <w:lang w:val="hu-HU"/>
        </w:rPr>
        <w:noBreakHyphen/>
      </w:r>
      <w:r w:rsidRPr="00656C0A">
        <w:rPr>
          <w:lang w:val="hu-HU"/>
        </w:rPr>
        <w:t>2,2</w:t>
      </w:r>
      <w:r w:rsidR="004543AB">
        <w:rPr>
          <w:lang w:val="hu-HU"/>
        </w:rPr>
        <w:noBreakHyphen/>
      </w:r>
      <w:r w:rsidRPr="00656C0A">
        <w:rPr>
          <w:lang w:val="hu-HU"/>
        </w:rPr>
        <w:t>szeresére növekedhet.</w:t>
      </w:r>
    </w:p>
    <w:p w14:paraId="78BD09E9" w14:textId="77777777" w:rsidR="001108DC" w:rsidRPr="00656C0A" w:rsidRDefault="001108DC" w:rsidP="00545340">
      <w:pPr>
        <w:pStyle w:val="Szvegtrzs"/>
        <w:tabs>
          <w:tab w:val="left" w:pos="567"/>
        </w:tabs>
        <w:ind w:left="567" w:hanging="567"/>
        <w:rPr>
          <w:lang w:val="hu-HU"/>
        </w:rPr>
      </w:pPr>
    </w:p>
    <w:p w14:paraId="78BD09EA" w14:textId="77777777" w:rsidR="00DF73BF" w:rsidRPr="00656C0A" w:rsidRDefault="00FB299E" w:rsidP="00545340">
      <w:pPr>
        <w:pStyle w:val="Szvegtrzs"/>
        <w:tabs>
          <w:tab w:val="left" w:pos="567"/>
        </w:tabs>
        <w:ind w:left="567" w:hanging="567"/>
        <w:rPr>
          <w:lang w:val="hu-HU"/>
        </w:rPr>
      </w:pPr>
      <w:r w:rsidRPr="00656C0A">
        <w:rPr>
          <w:u w:val="single"/>
          <w:lang w:val="hu-HU"/>
        </w:rPr>
        <w:t>Klinikai hatásosság és biztonságosság</w:t>
      </w:r>
    </w:p>
    <w:p w14:paraId="78BD09EB" w14:textId="77777777" w:rsidR="00DF73BF" w:rsidRPr="00656C0A" w:rsidRDefault="00FB299E" w:rsidP="00545340">
      <w:pPr>
        <w:tabs>
          <w:tab w:val="left" w:pos="567"/>
        </w:tabs>
        <w:ind w:left="567" w:hanging="567"/>
        <w:rPr>
          <w:i/>
          <w:lang w:val="hu-HU"/>
        </w:rPr>
      </w:pPr>
      <w:r w:rsidRPr="00656C0A">
        <w:rPr>
          <w:i/>
          <w:lang w:val="hu-HU"/>
        </w:rPr>
        <w:t>Vénás tromboembóliás esemény (VTE) megelőzése műtét kapcsán</w:t>
      </w:r>
    </w:p>
    <w:p w14:paraId="78BD09EC" w14:textId="77777777" w:rsidR="00DF73BF" w:rsidRPr="00656C0A" w:rsidRDefault="00FB299E" w:rsidP="00545340">
      <w:pPr>
        <w:pStyle w:val="Listaszerbekezds"/>
        <w:numPr>
          <w:ilvl w:val="0"/>
          <w:numId w:val="24"/>
        </w:numPr>
        <w:tabs>
          <w:tab w:val="left" w:pos="567"/>
        </w:tabs>
        <w:ind w:left="567" w:hanging="567"/>
        <w:rPr>
          <w:lang w:val="hu-HU"/>
        </w:rPr>
      </w:pPr>
      <w:r w:rsidRPr="00656C0A">
        <w:rPr>
          <w:lang w:val="hu-HU"/>
        </w:rPr>
        <w:t>A VTE kiterjesztett profilaxisa ortopédiai műtétet követően:</w:t>
      </w:r>
    </w:p>
    <w:p w14:paraId="78BD09ED" w14:textId="77777777" w:rsidR="00DF73BF" w:rsidRPr="00656C0A" w:rsidRDefault="00FB299E" w:rsidP="00545340">
      <w:pPr>
        <w:pStyle w:val="Szvegtrzs"/>
        <w:tabs>
          <w:tab w:val="left" w:pos="567"/>
        </w:tabs>
        <w:ind w:left="567"/>
        <w:rPr>
          <w:lang w:val="hu-HU"/>
        </w:rPr>
      </w:pPr>
      <w:r w:rsidRPr="00656C0A">
        <w:rPr>
          <w:lang w:val="hu-HU"/>
        </w:rPr>
        <w:t>VTE kiterjesztett profilaxisában végzett kettős vak vizsgálatban, amelyben 179, VTE-vel előzőleg nem kezelt, csípőprotézis-műtéten átesett beteg vett részt, és a kórházi tartózkodás során kezdeti kezelésként 4000 NE (40 mg) sc. enoxaparin-nátriumot alkalmaztak, a betegeket úgy randomizálták, hogy a kórházból való elbocsátást követően 3 hétig vagy napi egyszer 4000</w:t>
      </w:r>
      <w:r w:rsidR="004543AB">
        <w:rPr>
          <w:lang w:val="hu-HU"/>
        </w:rPr>
        <w:t> </w:t>
      </w:r>
      <w:r w:rsidRPr="00656C0A">
        <w:rPr>
          <w:lang w:val="hu-HU"/>
        </w:rPr>
        <w:t>NE (40 mg) sc. enoxaparin-nátriumot (n</w:t>
      </w:r>
      <w:r w:rsidR="004543AB">
        <w:rPr>
          <w:lang w:val="hu-HU"/>
        </w:rPr>
        <w:t> </w:t>
      </w:r>
      <w:r w:rsidRPr="00656C0A">
        <w:rPr>
          <w:lang w:val="hu-HU"/>
        </w:rPr>
        <w:t>=</w:t>
      </w:r>
      <w:r w:rsidR="004543AB">
        <w:rPr>
          <w:lang w:val="hu-HU"/>
        </w:rPr>
        <w:t> </w:t>
      </w:r>
      <w:r w:rsidRPr="00656C0A">
        <w:rPr>
          <w:lang w:val="hu-HU"/>
        </w:rPr>
        <w:t>90), vagy placebót (n</w:t>
      </w:r>
      <w:r w:rsidR="004543AB">
        <w:rPr>
          <w:lang w:val="hu-HU"/>
        </w:rPr>
        <w:t> </w:t>
      </w:r>
      <w:r w:rsidRPr="00656C0A">
        <w:rPr>
          <w:lang w:val="hu-HU"/>
        </w:rPr>
        <w:t>=</w:t>
      </w:r>
      <w:r w:rsidR="004543AB">
        <w:rPr>
          <w:lang w:val="hu-HU"/>
        </w:rPr>
        <w:t> </w:t>
      </w:r>
      <w:r w:rsidRPr="00656C0A">
        <w:rPr>
          <w:lang w:val="hu-HU"/>
        </w:rPr>
        <w:t>89) kaptak. A mélyvénás trombózis (DVT) incidenciája a kiterjesztett profilaxis során szignifikánsan alacsonyabb volt az enoxaparin-nátrium esetében a placeb</w:t>
      </w:r>
      <w:r w:rsidR="004543AB">
        <w:rPr>
          <w:lang w:val="hu-HU"/>
        </w:rPr>
        <w:t>ó</w:t>
      </w:r>
      <w:r w:rsidRPr="00656C0A">
        <w:rPr>
          <w:lang w:val="hu-HU"/>
        </w:rPr>
        <w:t>hoz képest. Nem számoltak be tüdőembólia előfordulásáról, és nem jelentkezett jelentős vérzés.</w:t>
      </w:r>
    </w:p>
    <w:p w14:paraId="78BD09EE" w14:textId="77777777" w:rsidR="004543AB" w:rsidRDefault="004543AB" w:rsidP="00545340">
      <w:pPr>
        <w:pStyle w:val="Szvegtrzs"/>
        <w:tabs>
          <w:tab w:val="left" w:pos="567"/>
        </w:tabs>
        <w:ind w:left="567" w:hanging="567"/>
        <w:rPr>
          <w:lang w:val="hu-HU"/>
        </w:rPr>
      </w:pPr>
    </w:p>
    <w:p w14:paraId="78BD09EF" w14:textId="77777777" w:rsidR="00DF73BF" w:rsidRPr="00656C0A" w:rsidRDefault="00FB299E" w:rsidP="00545340">
      <w:pPr>
        <w:pStyle w:val="Szvegtrzs"/>
        <w:keepNext/>
        <w:tabs>
          <w:tab w:val="left" w:pos="567"/>
        </w:tabs>
        <w:ind w:left="567"/>
        <w:rPr>
          <w:lang w:val="hu-HU"/>
        </w:rPr>
      </w:pPr>
      <w:r w:rsidRPr="00656C0A">
        <w:rPr>
          <w:lang w:val="hu-HU"/>
        </w:rPr>
        <w:t>A hatásosságra vonatkozó adatokat az alábbi táblázatban tüntettük fel:</w:t>
      </w:r>
    </w:p>
    <w:p w14:paraId="78BD09F0" w14:textId="77777777" w:rsidR="00DF73BF" w:rsidRPr="00656C0A" w:rsidRDefault="00DF73BF" w:rsidP="00545340">
      <w:pPr>
        <w:pStyle w:val="Szvegtrzs"/>
        <w:keepNext/>
        <w:tabs>
          <w:tab w:val="left" w:pos="567"/>
        </w:tabs>
        <w:ind w:left="567" w:hanging="567"/>
        <w:rPr>
          <w:lang w:val="hu-HU"/>
        </w:rPr>
      </w:pPr>
    </w:p>
    <w:tbl>
      <w:tblPr>
        <w:tblW w:w="8408" w:type="dxa"/>
        <w:tblInd w:w="6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89"/>
        <w:gridCol w:w="2977"/>
        <w:gridCol w:w="1842"/>
      </w:tblGrid>
      <w:tr w:rsidR="00DF73BF" w:rsidRPr="00A027F6" w14:paraId="78BD09F6" w14:textId="77777777" w:rsidTr="00545340">
        <w:trPr>
          <w:trHeight w:hRule="exact" w:val="1142"/>
        </w:trPr>
        <w:tc>
          <w:tcPr>
            <w:tcW w:w="3589" w:type="dxa"/>
          </w:tcPr>
          <w:p w14:paraId="78BD09F1" w14:textId="77777777" w:rsidR="00DF73BF" w:rsidRPr="00656C0A" w:rsidRDefault="00DF73BF" w:rsidP="00545340">
            <w:pPr>
              <w:tabs>
                <w:tab w:val="left" w:pos="567"/>
              </w:tabs>
              <w:ind w:left="45"/>
              <w:rPr>
                <w:lang w:val="hu-HU"/>
              </w:rPr>
            </w:pPr>
          </w:p>
        </w:tc>
        <w:tc>
          <w:tcPr>
            <w:tcW w:w="2977" w:type="dxa"/>
          </w:tcPr>
          <w:p w14:paraId="78BD09F2" w14:textId="77777777" w:rsidR="000F71E2" w:rsidRPr="00CC2838" w:rsidRDefault="00FB299E" w:rsidP="00545340">
            <w:pPr>
              <w:pStyle w:val="TableParagraph"/>
              <w:tabs>
                <w:tab w:val="left" w:pos="567"/>
              </w:tabs>
              <w:ind w:left="142"/>
              <w:jc w:val="center"/>
              <w:rPr>
                <w:b/>
                <w:lang w:val="hu-HU"/>
              </w:rPr>
            </w:pPr>
            <w:r w:rsidRPr="00CC2838">
              <w:rPr>
                <w:b/>
                <w:lang w:val="hu-HU"/>
              </w:rPr>
              <w:t>Enoxaparin-nátrium 4000 NE (40 mg)naponta egyszer, sc.</w:t>
            </w:r>
          </w:p>
          <w:p w14:paraId="78BD09F3" w14:textId="77777777" w:rsidR="00DF73BF" w:rsidRPr="00656C0A" w:rsidRDefault="00FB299E" w:rsidP="00545340">
            <w:pPr>
              <w:pStyle w:val="TableParagraph"/>
              <w:tabs>
                <w:tab w:val="left" w:pos="567"/>
              </w:tabs>
              <w:ind w:left="142"/>
              <w:jc w:val="center"/>
              <w:rPr>
                <w:b/>
              </w:rPr>
            </w:pPr>
            <w:r w:rsidRPr="00656C0A">
              <w:rPr>
                <w:b/>
              </w:rPr>
              <w:t>n (%)</w:t>
            </w:r>
          </w:p>
        </w:tc>
        <w:tc>
          <w:tcPr>
            <w:tcW w:w="1842" w:type="dxa"/>
          </w:tcPr>
          <w:p w14:paraId="78BD09F4" w14:textId="77777777" w:rsidR="00DF73BF" w:rsidRPr="00CC2838" w:rsidRDefault="00FB299E" w:rsidP="00545340">
            <w:pPr>
              <w:pStyle w:val="TableParagraph"/>
              <w:tabs>
                <w:tab w:val="left" w:pos="567"/>
              </w:tabs>
              <w:ind w:left="142"/>
              <w:jc w:val="center"/>
              <w:rPr>
                <w:b/>
                <w:lang w:val="it-IT"/>
              </w:rPr>
            </w:pPr>
            <w:r w:rsidRPr="00CC2838">
              <w:rPr>
                <w:b/>
                <w:lang w:val="it-IT"/>
              </w:rPr>
              <w:t>Placebo naponta egyszer, sc.</w:t>
            </w:r>
          </w:p>
          <w:p w14:paraId="78BD09F5" w14:textId="77777777" w:rsidR="00DF73BF" w:rsidRPr="00CC2838" w:rsidRDefault="00FB299E" w:rsidP="00545340">
            <w:pPr>
              <w:pStyle w:val="TableParagraph"/>
              <w:tabs>
                <w:tab w:val="left" w:pos="567"/>
              </w:tabs>
              <w:ind w:left="142"/>
              <w:jc w:val="center"/>
              <w:rPr>
                <w:b/>
                <w:lang w:val="it-IT"/>
              </w:rPr>
            </w:pPr>
            <w:r w:rsidRPr="00CC2838">
              <w:rPr>
                <w:b/>
                <w:lang w:val="it-IT"/>
              </w:rPr>
              <w:t>n (%)</w:t>
            </w:r>
          </w:p>
        </w:tc>
      </w:tr>
      <w:tr w:rsidR="00DF73BF" w:rsidRPr="00656C0A" w14:paraId="78BD09FA" w14:textId="77777777" w:rsidTr="00545340">
        <w:trPr>
          <w:trHeight w:hRule="exact" w:val="516"/>
        </w:trPr>
        <w:tc>
          <w:tcPr>
            <w:tcW w:w="3589" w:type="dxa"/>
          </w:tcPr>
          <w:p w14:paraId="78BD09F7" w14:textId="77777777" w:rsidR="00DF73BF" w:rsidRPr="00CC2838" w:rsidRDefault="00FB299E" w:rsidP="00545340">
            <w:pPr>
              <w:pStyle w:val="TableParagraph"/>
              <w:tabs>
                <w:tab w:val="left" w:pos="567"/>
              </w:tabs>
              <w:ind w:left="45"/>
              <w:rPr>
                <w:b/>
                <w:lang w:val="it-IT"/>
              </w:rPr>
            </w:pPr>
            <w:r w:rsidRPr="00CC2838">
              <w:rPr>
                <w:b/>
                <w:lang w:val="it-IT"/>
              </w:rPr>
              <w:t>Kiterjesztett profilaxisban részesült összes beteg</w:t>
            </w:r>
          </w:p>
        </w:tc>
        <w:tc>
          <w:tcPr>
            <w:tcW w:w="2977" w:type="dxa"/>
          </w:tcPr>
          <w:p w14:paraId="78BD09F8" w14:textId="77777777" w:rsidR="00DF73BF" w:rsidRPr="00656C0A" w:rsidRDefault="00FB299E" w:rsidP="00545340">
            <w:pPr>
              <w:pStyle w:val="TableParagraph"/>
              <w:tabs>
                <w:tab w:val="left" w:pos="567"/>
              </w:tabs>
              <w:ind w:left="567" w:hanging="567"/>
              <w:jc w:val="center"/>
            </w:pPr>
            <w:r w:rsidRPr="00656C0A">
              <w:t>90 (100)</w:t>
            </w:r>
          </w:p>
        </w:tc>
        <w:tc>
          <w:tcPr>
            <w:tcW w:w="1842" w:type="dxa"/>
          </w:tcPr>
          <w:p w14:paraId="78BD09F9" w14:textId="77777777" w:rsidR="00DF73BF" w:rsidRPr="00656C0A" w:rsidRDefault="00FB299E" w:rsidP="00545340">
            <w:pPr>
              <w:pStyle w:val="TableParagraph"/>
              <w:tabs>
                <w:tab w:val="left" w:pos="567"/>
              </w:tabs>
              <w:ind w:left="567" w:hanging="567"/>
              <w:jc w:val="center"/>
            </w:pPr>
            <w:r w:rsidRPr="00656C0A">
              <w:t>89 (100)</w:t>
            </w:r>
          </w:p>
        </w:tc>
      </w:tr>
      <w:tr w:rsidR="00DF73BF" w:rsidRPr="00656C0A" w14:paraId="78BD09FE" w14:textId="77777777" w:rsidTr="00545340">
        <w:trPr>
          <w:trHeight w:hRule="exact" w:val="264"/>
        </w:trPr>
        <w:tc>
          <w:tcPr>
            <w:tcW w:w="3589" w:type="dxa"/>
          </w:tcPr>
          <w:p w14:paraId="78BD09FB" w14:textId="77777777" w:rsidR="00DF73BF" w:rsidRPr="00656C0A" w:rsidRDefault="00FB299E" w:rsidP="00545340">
            <w:pPr>
              <w:pStyle w:val="TableParagraph"/>
              <w:tabs>
                <w:tab w:val="left" w:pos="567"/>
              </w:tabs>
              <w:ind w:left="45"/>
              <w:rPr>
                <w:b/>
              </w:rPr>
            </w:pPr>
            <w:r w:rsidRPr="00656C0A">
              <w:rPr>
                <w:b/>
              </w:rPr>
              <w:t>Összes VTE</w:t>
            </w:r>
          </w:p>
        </w:tc>
        <w:tc>
          <w:tcPr>
            <w:tcW w:w="2977" w:type="dxa"/>
          </w:tcPr>
          <w:p w14:paraId="78BD09FC" w14:textId="77777777" w:rsidR="00DF73BF" w:rsidRPr="00656C0A" w:rsidRDefault="00FB299E" w:rsidP="00545340">
            <w:pPr>
              <w:pStyle w:val="TableParagraph"/>
              <w:tabs>
                <w:tab w:val="left" w:pos="567"/>
              </w:tabs>
              <w:ind w:left="567" w:hanging="567"/>
              <w:jc w:val="center"/>
            </w:pPr>
            <w:r w:rsidRPr="00656C0A">
              <w:t>6 (6,6)</w:t>
            </w:r>
          </w:p>
        </w:tc>
        <w:tc>
          <w:tcPr>
            <w:tcW w:w="1842" w:type="dxa"/>
          </w:tcPr>
          <w:p w14:paraId="78BD09FD" w14:textId="77777777" w:rsidR="00DF73BF" w:rsidRPr="00656C0A" w:rsidRDefault="00FB299E" w:rsidP="00545340">
            <w:pPr>
              <w:pStyle w:val="TableParagraph"/>
              <w:tabs>
                <w:tab w:val="left" w:pos="567"/>
              </w:tabs>
              <w:ind w:left="567" w:hanging="567"/>
              <w:jc w:val="center"/>
            </w:pPr>
            <w:r w:rsidRPr="00656C0A">
              <w:t>18 (20,2)</w:t>
            </w:r>
          </w:p>
        </w:tc>
      </w:tr>
      <w:tr w:rsidR="00DF73BF" w:rsidRPr="00656C0A" w14:paraId="78BD0A02" w14:textId="77777777" w:rsidTr="00545340">
        <w:trPr>
          <w:trHeight w:hRule="exact" w:val="269"/>
        </w:trPr>
        <w:tc>
          <w:tcPr>
            <w:tcW w:w="3589" w:type="dxa"/>
          </w:tcPr>
          <w:p w14:paraId="78BD09FF" w14:textId="77777777" w:rsidR="00DF73BF" w:rsidRPr="00656C0A" w:rsidRDefault="00FB299E" w:rsidP="00545340">
            <w:pPr>
              <w:pStyle w:val="TableParagraph"/>
              <w:numPr>
                <w:ilvl w:val="0"/>
                <w:numId w:val="18"/>
              </w:numPr>
              <w:tabs>
                <w:tab w:val="left" w:pos="567"/>
              </w:tabs>
              <w:ind w:left="45" w:firstLine="0"/>
            </w:pPr>
            <w:r w:rsidRPr="00656C0A">
              <w:t>Összes DVT (%)</w:t>
            </w:r>
          </w:p>
        </w:tc>
        <w:tc>
          <w:tcPr>
            <w:tcW w:w="2977" w:type="dxa"/>
          </w:tcPr>
          <w:p w14:paraId="78BD0A00" w14:textId="77777777" w:rsidR="00DF73BF" w:rsidRPr="00656C0A" w:rsidRDefault="00FB299E" w:rsidP="00545340">
            <w:pPr>
              <w:pStyle w:val="TableParagraph"/>
              <w:tabs>
                <w:tab w:val="left" w:pos="567"/>
              </w:tabs>
              <w:ind w:left="567" w:hanging="567"/>
              <w:jc w:val="center"/>
            </w:pPr>
            <w:r w:rsidRPr="00656C0A">
              <w:t>6 (6,6</w:t>
            </w:r>
            <w:hyperlink r:id="rId12">
              <w:r w:rsidRPr="00656C0A">
                <w:t>)*</w:t>
              </w:r>
            </w:hyperlink>
          </w:p>
        </w:tc>
        <w:tc>
          <w:tcPr>
            <w:tcW w:w="1842" w:type="dxa"/>
          </w:tcPr>
          <w:p w14:paraId="78BD0A01" w14:textId="77777777" w:rsidR="00DF73BF" w:rsidRPr="00656C0A" w:rsidRDefault="00FB299E" w:rsidP="00545340">
            <w:pPr>
              <w:pStyle w:val="TableParagraph"/>
              <w:tabs>
                <w:tab w:val="left" w:pos="567"/>
              </w:tabs>
              <w:ind w:left="567" w:hanging="567"/>
              <w:jc w:val="center"/>
            </w:pPr>
            <w:r w:rsidRPr="00656C0A">
              <w:t>18 (20,2)</w:t>
            </w:r>
          </w:p>
        </w:tc>
      </w:tr>
      <w:tr w:rsidR="00DF73BF" w:rsidRPr="00656C0A" w14:paraId="78BD0A06" w14:textId="77777777" w:rsidTr="00545340">
        <w:trPr>
          <w:trHeight w:hRule="exact" w:val="271"/>
        </w:trPr>
        <w:tc>
          <w:tcPr>
            <w:tcW w:w="3589" w:type="dxa"/>
          </w:tcPr>
          <w:p w14:paraId="78BD0A03" w14:textId="77777777" w:rsidR="00DF73BF" w:rsidRPr="00656C0A" w:rsidRDefault="00FB299E" w:rsidP="00545340">
            <w:pPr>
              <w:pStyle w:val="TableParagraph"/>
              <w:numPr>
                <w:ilvl w:val="0"/>
                <w:numId w:val="17"/>
              </w:numPr>
              <w:tabs>
                <w:tab w:val="left" w:pos="567"/>
              </w:tabs>
              <w:ind w:left="45" w:firstLine="0"/>
            </w:pPr>
            <w:r w:rsidRPr="00656C0A">
              <w:t>Proximális DVT (%)</w:t>
            </w:r>
          </w:p>
        </w:tc>
        <w:tc>
          <w:tcPr>
            <w:tcW w:w="2977" w:type="dxa"/>
          </w:tcPr>
          <w:p w14:paraId="78BD0A04" w14:textId="77777777" w:rsidR="00DF73BF" w:rsidRPr="00656C0A" w:rsidRDefault="00FB299E" w:rsidP="00545340">
            <w:pPr>
              <w:pStyle w:val="TableParagraph"/>
              <w:tabs>
                <w:tab w:val="left" w:pos="567"/>
              </w:tabs>
              <w:ind w:left="567" w:hanging="567"/>
              <w:jc w:val="center"/>
            </w:pPr>
            <w:r w:rsidRPr="00656C0A">
              <w:t>5 (5,6)#</w:t>
            </w:r>
          </w:p>
        </w:tc>
        <w:tc>
          <w:tcPr>
            <w:tcW w:w="1842" w:type="dxa"/>
          </w:tcPr>
          <w:p w14:paraId="78BD0A05" w14:textId="77777777" w:rsidR="00DF73BF" w:rsidRPr="00656C0A" w:rsidRDefault="00FB299E" w:rsidP="00545340">
            <w:pPr>
              <w:pStyle w:val="TableParagraph"/>
              <w:tabs>
                <w:tab w:val="left" w:pos="567"/>
              </w:tabs>
              <w:ind w:left="567" w:hanging="567"/>
              <w:jc w:val="center"/>
            </w:pPr>
            <w:r w:rsidRPr="00656C0A">
              <w:t>7 (8,8)</w:t>
            </w:r>
          </w:p>
        </w:tc>
      </w:tr>
      <w:tr w:rsidR="00DF73BF" w:rsidRPr="00656C0A" w14:paraId="78BD0A09" w14:textId="77777777" w:rsidTr="00545340">
        <w:trPr>
          <w:trHeight w:hRule="exact" w:val="516"/>
        </w:trPr>
        <w:tc>
          <w:tcPr>
            <w:tcW w:w="8408" w:type="dxa"/>
            <w:gridSpan w:val="3"/>
          </w:tcPr>
          <w:p w14:paraId="78BD0A07" w14:textId="77777777" w:rsidR="00DF73BF" w:rsidRPr="00656C0A" w:rsidRDefault="00FB299E" w:rsidP="00545340">
            <w:pPr>
              <w:pStyle w:val="TableParagraph"/>
              <w:tabs>
                <w:tab w:val="left" w:pos="567"/>
              </w:tabs>
              <w:ind w:left="45"/>
            </w:pPr>
            <w:r w:rsidRPr="00656C0A">
              <w:t>*p-érték vs</w:t>
            </w:r>
            <w:r w:rsidR="000F71E2">
              <w:t>.</w:t>
            </w:r>
            <w:r w:rsidRPr="00656C0A">
              <w:t xml:space="preserve"> placebo=0,008</w:t>
            </w:r>
          </w:p>
          <w:p w14:paraId="78BD0A08" w14:textId="77777777" w:rsidR="00DF73BF" w:rsidRPr="00656C0A" w:rsidRDefault="00FB299E" w:rsidP="00545340">
            <w:pPr>
              <w:pStyle w:val="TableParagraph"/>
              <w:tabs>
                <w:tab w:val="left" w:pos="567"/>
              </w:tabs>
              <w:ind w:left="45"/>
            </w:pPr>
            <w:r w:rsidRPr="00656C0A">
              <w:t>#p-érték vs</w:t>
            </w:r>
            <w:r w:rsidR="000F71E2">
              <w:t>.</w:t>
            </w:r>
            <w:r w:rsidRPr="00656C0A">
              <w:t xml:space="preserve"> placebo=0,537</w:t>
            </w:r>
          </w:p>
        </w:tc>
      </w:tr>
    </w:tbl>
    <w:p w14:paraId="78BD0A0A" w14:textId="77777777" w:rsidR="00DF73BF" w:rsidRPr="00656C0A" w:rsidRDefault="00DF73BF" w:rsidP="00545340">
      <w:pPr>
        <w:pStyle w:val="Szvegtrzs"/>
        <w:tabs>
          <w:tab w:val="left" w:pos="567"/>
        </w:tabs>
        <w:ind w:left="567" w:hanging="567"/>
      </w:pPr>
    </w:p>
    <w:p w14:paraId="78BD0A0B" w14:textId="77777777" w:rsidR="00DF73BF" w:rsidRPr="00656C0A" w:rsidRDefault="00FB299E" w:rsidP="00545340">
      <w:pPr>
        <w:pStyle w:val="Szvegtrzs"/>
        <w:tabs>
          <w:tab w:val="left" w:pos="567"/>
        </w:tabs>
        <w:ind w:left="567"/>
      </w:pPr>
      <w:r w:rsidRPr="00656C0A">
        <w:t>Egy másik kettős vak vizsgálatban, amelyet 262, VTE-vel nem érintett, csípőprotézis műtéten átesett beteg részvételével végeztek, és ahol a kórházi tartózkodás során kezdeti kezelésként 4000 NE (40</w:t>
      </w:r>
      <w:r w:rsidR="00600FE2">
        <w:t> </w:t>
      </w:r>
      <w:r w:rsidRPr="00656C0A">
        <w:t>mg) sc. enoxaparin-nátriumot alkalmaztak, a betegeket úgy randomizálták, hogy a kórházból való elbocsátást követően 3 hétig vagy napi egyszer 4000 NE (40 mg) sc. enoxaparin</w:t>
      </w:r>
      <w:r w:rsidR="00BE06D6">
        <w:noBreakHyphen/>
      </w:r>
      <w:r w:rsidRPr="00656C0A">
        <w:t>nátriumot (n</w:t>
      </w:r>
      <w:r w:rsidR="00600FE2">
        <w:t> </w:t>
      </w:r>
      <w:r w:rsidRPr="00656C0A">
        <w:t>=</w:t>
      </w:r>
      <w:r w:rsidR="00600FE2">
        <w:t> </w:t>
      </w:r>
      <w:r w:rsidRPr="00656C0A">
        <w:t>131), vagy placebót (n</w:t>
      </w:r>
      <w:r w:rsidR="00600FE2">
        <w:t> </w:t>
      </w:r>
      <w:r w:rsidRPr="00656C0A">
        <w:t>=</w:t>
      </w:r>
      <w:r w:rsidR="00600FE2">
        <w:t> </w:t>
      </w:r>
      <w:r w:rsidRPr="00656C0A">
        <w:t>131) kaptak. A VTE indidenciája az első vizsgálathoz hasonlóan szignifikánsan alacsonyabb volt a kiterjesztett profilaxis során az enoxaparin-nátrium</w:t>
      </w:r>
      <w:r w:rsidR="00600FE2">
        <w:t>-</w:t>
      </w:r>
      <w:r w:rsidRPr="00656C0A">
        <w:t>csoportban, mint a placebocsoportban mind az összesített VTE (enoxaparin-nátrium: 21 [16%], illetve placebo: 45 [34,4%]; p</w:t>
      </w:r>
      <w:r w:rsidR="00600FE2">
        <w:t> </w:t>
      </w:r>
      <w:r w:rsidRPr="00656C0A">
        <w:t>=</w:t>
      </w:r>
      <w:r w:rsidR="00600FE2">
        <w:t> </w:t>
      </w:r>
      <w:r w:rsidRPr="00656C0A">
        <w:t>0,001), mind a proximális</w:t>
      </w:r>
      <w:r w:rsidR="00600FE2">
        <w:t xml:space="preserve"> </w:t>
      </w:r>
      <w:r w:rsidRPr="00656C0A">
        <w:t>DVT (enoxaparin-nátrium: 8 [6,1%], illetve placebo: 28 [21,4%]; p</w:t>
      </w:r>
      <w:r w:rsidR="00600FE2">
        <w:t> </w:t>
      </w:r>
      <w:r w:rsidRPr="00656C0A">
        <w:t>=</w:t>
      </w:r>
      <w:r w:rsidR="00600FE2">
        <w:t> </w:t>
      </w:r>
      <w:r w:rsidRPr="00656C0A">
        <w:t>&lt;</w:t>
      </w:r>
      <w:r w:rsidR="00600FE2">
        <w:t> </w:t>
      </w:r>
      <w:r w:rsidRPr="00656C0A">
        <w:t>0,001) tekintetében. A jelentős vérzések tekintetében nem mutatkozott eltérés az enoxaparin-nátriumot és a placebót kapó csoport között.</w:t>
      </w:r>
    </w:p>
    <w:p w14:paraId="78BD0A0C" w14:textId="77777777" w:rsidR="00DF73BF" w:rsidRPr="00656C0A" w:rsidRDefault="00DF73BF" w:rsidP="00545340">
      <w:pPr>
        <w:pStyle w:val="Szvegtrzs"/>
        <w:tabs>
          <w:tab w:val="left" w:pos="567"/>
        </w:tabs>
        <w:ind w:left="567" w:hanging="567"/>
      </w:pPr>
    </w:p>
    <w:p w14:paraId="78BD0A0D" w14:textId="77777777" w:rsidR="00DF73BF" w:rsidRPr="00656C0A" w:rsidRDefault="00FB299E" w:rsidP="00545340">
      <w:pPr>
        <w:pStyle w:val="Listaszerbekezds"/>
        <w:numPr>
          <w:ilvl w:val="0"/>
          <w:numId w:val="24"/>
        </w:numPr>
        <w:tabs>
          <w:tab w:val="left" w:pos="567"/>
        </w:tabs>
        <w:ind w:left="567" w:hanging="567"/>
        <w:rPr>
          <w:i/>
        </w:rPr>
      </w:pPr>
      <w:r w:rsidRPr="00656C0A">
        <w:rPr>
          <w:i/>
        </w:rPr>
        <w:t>A mélyvénás trombózis (DVT) kiterjesztett profilaxisa onkológiai műtét kapcsán</w:t>
      </w:r>
    </w:p>
    <w:p w14:paraId="78BD0A0E" w14:textId="77777777" w:rsidR="00DF73BF" w:rsidRPr="00656C0A" w:rsidRDefault="00FB299E" w:rsidP="00545340">
      <w:pPr>
        <w:pStyle w:val="Szvegtrzs"/>
        <w:tabs>
          <w:tab w:val="left" w:pos="567"/>
        </w:tabs>
        <w:ind w:left="567"/>
      </w:pPr>
      <w:r w:rsidRPr="00656C0A">
        <w:t>Egy kettős vak, multicentrikus vizsgálatban az enoxaparin-nátrium négy hétig, illetve egy hétig alkalmazott profilaktikus adagjának hatásosságát és biztonságosságát hasonlították össze 332 olyan betegnél, akiknél hasi vagy medenceűri daganat eltávolítására elektív műtétet hajtottak végre. A betegek 6–10 napig naponta kaptak enoxaparin-nátriumot (4000 NE (40 mg)</w:t>
      </w:r>
      <w:r w:rsidR="00BE06D6">
        <w:t xml:space="preserve"> </w:t>
      </w:r>
      <w:r w:rsidRPr="00656C0A">
        <w:t>sc.), majd véletlen besorolás alapján újabb 21 napig kaptak enoxaparin-nátriumot, vagy placebót. Kétoldali venográfiát végeztek a 25. és a</w:t>
      </w:r>
      <w:r w:rsidR="001524AB" w:rsidRPr="00656C0A">
        <w:t xml:space="preserve"> </w:t>
      </w:r>
      <w:r w:rsidRPr="00656C0A">
        <w:t xml:space="preserve">31. nap között, illetve korábban, ha a vénás tromboembólia </w:t>
      </w:r>
      <w:r w:rsidRPr="00656C0A">
        <w:lastRenderedPageBreak/>
        <w:t>tüneteit észlelték. A betegeket három hónapig követték. A hasi vagy medencei daganat műtétjét követően a négyhetes enoxaparin-nátrium</w:t>
      </w:r>
      <w:r w:rsidR="00BE06D6">
        <w:t>-</w:t>
      </w:r>
      <w:r w:rsidRPr="00656C0A">
        <w:t>profilaxis szignifikánsan csökkentette a venográfiával kimutatott trombózis incidenciáját az egyhetes enoxaparin-nátrium</w:t>
      </w:r>
      <w:r w:rsidR="00BE06D6">
        <w:t>-</w:t>
      </w:r>
      <w:r w:rsidRPr="00656C0A">
        <w:t>profilaxishoz képest. A kettős vak fázis végén a vénás tromboembólia előfordulási aránya 12,0% (n</w:t>
      </w:r>
      <w:r w:rsidR="00BE06D6">
        <w:t> </w:t>
      </w:r>
      <w:r w:rsidRPr="00656C0A">
        <w:t>=</w:t>
      </w:r>
      <w:r w:rsidR="00BE06D6">
        <w:t> </w:t>
      </w:r>
      <w:r w:rsidRPr="00656C0A">
        <w:t>20) volt a placebocsoportban, illetve 4,8% (n</w:t>
      </w:r>
      <w:r w:rsidR="00BE06D6">
        <w:t> </w:t>
      </w:r>
      <w:r w:rsidRPr="00656C0A">
        <w:t>=</w:t>
      </w:r>
      <w:r w:rsidR="00BE06D6">
        <w:t> </w:t>
      </w:r>
      <w:r w:rsidRPr="00656C0A">
        <w:t>8) az enoxaparin-nátrium</w:t>
      </w:r>
      <w:r w:rsidR="00BE06D6">
        <w:t>-</w:t>
      </w:r>
      <w:r w:rsidRPr="00656C0A">
        <w:t>csoportban; p</w:t>
      </w:r>
      <w:r w:rsidR="00BE06D6">
        <w:t> </w:t>
      </w:r>
      <w:r w:rsidRPr="00656C0A">
        <w:t>=</w:t>
      </w:r>
      <w:r w:rsidR="00BE06D6">
        <w:t> </w:t>
      </w:r>
      <w:r w:rsidRPr="00656C0A">
        <w:t>0,02. Ez a különbség három hónap elteltével is fennállt (13,8% szemben az 5,5%-kal</w:t>
      </w:r>
      <w:r w:rsidR="00BE06D6">
        <w:t xml:space="preserve"> </w:t>
      </w:r>
      <w:r w:rsidRPr="00656C0A">
        <w:t>[n</w:t>
      </w:r>
      <w:r w:rsidR="00BE06D6">
        <w:t> </w:t>
      </w:r>
      <w:r w:rsidRPr="00656C0A">
        <w:t>=</w:t>
      </w:r>
      <w:r w:rsidR="00BE06D6">
        <w:t> </w:t>
      </w:r>
      <w:r w:rsidRPr="00656C0A">
        <w:t>23 versus 9], p</w:t>
      </w:r>
      <w:r w:rsidR="00BE06D6">
        <w:t> </w:t>
      </w:r>
      <w:r w:rsidRPr="00656C0A">
        <w:t>=</w:t>
      </w:r>
      <w:r w:rsidR="00BE06D6">
        <w:t> </w:t>
      </w:r>
      <w:r w:rsidRPr="00656C0A">
        <w:t>0,01). A vérzés vagy egyéb szövődmények tekintetében nem jelentkeztek különbségek sem a kettős vak, sem a követéses fázisban.</w:t>
      </w:r>
    </w:p>
    <w:p w14:paraId="78BD0A0F" w14:textId="77777777" w:rsidR="00DF73BF" w:rsidRPr="00656C0A" w:rsidRDefault="00DF73BF" w:rsidP="00545340">
      <w:pPr>
        <w:pStyle w:val="Szvegtrzs"/>
        <w:tabs>
          <w:tab w:val="left" w:pos="567"/>
        </w:tabs>
        <w:ind w:left="567" w:hanging="567"/>
      </w:pPr>
    </w:p>
    <w:p w14:paraId="78BD0A10" w14:textId="1DC2E9F7" w:rsidR="00DF73BF" w:rsidRPr="00CC2838" w:rsidRDefault="00FB299E" w:rsidP="00545340">
      <w:pPr>
        <w:pStyle w:val="Listaszerbekezds"/>
        <w:numPr>
          <w:ilvl w:val="0"/>
          <w:numId w:val="24"/>
        </w:numPr>
        <w:tabs>
          <w:tab w:val="left" w:pos="567"/>
        </w:tabs>
        <w:ind w:left="567" w:hanging="567"/>
        <w:rPr>
          <w:i/>
        </w:rPr>
      </w:pPr>
      <w:r w:rsidRPr="00CC2838">
        <w:rPr>
          <w:i/>
        </w:rPr>
        <w:t>Vénás tromboembólia megelőzése akut belgyógyászati betegség miatt várhatóan csökkent mobili</w:t>
      </w:r>
      <w:r w:rsidR="00207FD8">
        <w:rPr>
          <w:i/>
        </w:rPr>
        <w:t>t</w:t>
      </w:r>
      <w:r w:rsidRPr="00CC2838">
        <w:rPr>
          <w:i/>
        </w:rPr>
        <w:t>ású betegeknél</w:t>
      </w:r>
    </w:p>
    <w:p w14:paraId="78BD0A11" w14:textId="77777777" w:rsidR="00DF73BF" w:rsidRPr="00656C0A" w:rsidRDefault="00FB299E" w:rsidP="00545340">
      <w:pPr>
        <w:pStyle w:val="Szvegtrzs"/>
        <w:tabs>
          <w:tab w:val="left" w:pos="567"/>
        </w:tabs>
        <w:ind w:left="567"/>
      </w:pPr>
      <w:r w:rsidRPr="00656C0A">
        <w:t>Egy kettős vak, multicentrikus, párhuzamos csoportos vizsgálatban naponta egyszer, sc. alkalmazott enoxaparin-nátrium 2000 NE (20 mg) és 4000 NE (40 mg) adagját hasonlították össze a placebóval</w:t>
      </w:r>
      <w:r w:rsidR="00B55BE2">
        <w:t xml:space="preserve"> a</w:t>
      </w:r>
      <w:r w:rsidRPr="00656C0A">
        <w:t xml:space="preserve"> DVT megelőzésében akut betegség miatt korlátozott mobilitású belgyógyászati betegeknél (definíció: a megtett távolság &lt;</w:t>
      </w:r>
      <w:r w:rsidR="00B55BE2">
        <w:t> </w:t>
      </w:r>
      <w:r w:rsidRPr="00656C0A">
        <w:t>10 méter ≤</w:t>
      </w:r>
      <w:r w:rsidR="00B55BE2">
        <w:t> </w:t>
      </w:r>
      <w:r w:rsidRPr="00656C0A">
        <w:t>3 nap alatt). A vizsgálatban szívelégtelenségben (NYHA III. vagy IV. stádium); akut légzési elégtelenségben, szövődményekkel járó krónikus légzési elégtelenségben, valamint akut fertőzésben vagy akut reumás betegségben szenvedő betegeket vonták be, ha a VTE-nek legalább egy kockázati tényezője is fennállt (≥</w:t>
      </w:r>
      <w:r w:rsidR="00B55BE2">
        <w:t> </w:t>
      </w:r>
      <w:r w:rsidRPr="00656C0A">
        <w:t>75</w:t>
      </w:r>
      <w:r w:rsidR="00B55BE2">
        <w:t> </w:t>
      </w:r>
      <w:r w:rsidRPr="00656C0A">
        <w:t>éves életkor, daganat, korábbi VTE, obezitás, visszértágulat, hormonkezelés, valamint krónikus szív- vagy légzési elégtelenség).</w:t>
      </w:r>
    </w:p>
    <w:p w14:paraId="78BD0A12" w14:textId="77777777" w:rsidR="00DF73BF" w:rsidRDefault="00FB299E" w:rsidP="00545340">
      <w:pPr>
        <w:pStyle w:val="Szvegtrzs"/>
        <w:tabs>
          <w:tab w:val="left" w:pos="567"/>
        </w:tabs>
        <w:ind w:left="567"/>
      </w:pPr>
      <w:r w:rsidRPr="00656C0A">
        <w:t>Összesen 1102 beteget vontak be a vizsgálatba, és 1073 beteg részesült 6–14 napig tartó kezelésben (az átlagos időtartam 7 nap volt). Az enoxaparin-nátrium naponta egyszer 4000 NE (40 mg) sc. adagja szignifikánsan csökkentette a VTE incidenciáját a placebóhoz képest.</w:t>
      </w:r>
    </w:p>
    <w:p w14:paraId="78BD0A13" w14:textId="77777777" w:rsidR="00B55BE2" w:rsidRPr="00656C0A" w:rsidRDefault="00B55BE2" w:rsidP="00545340">
      <w:pPr>
        <w:pStyle w:val="Szvegtrzs"/>
        <w:tabs>
          <w:tab w:val="left" w:pos="567"/>
        </w:tabs>
        <w:ind w:left="567"/>
      </w:pPr>
    </w:p>
    <w:p w14:paraId="78BD0A14" w14:textId="77777777" w:rsidR="00DF73BF" w:rsidRPr="00656C0A" w:rsidRDefault="00FB299E" w:rsidP="00545340">
      <w:pPr>
        <w:pStyle w:val="Szvegtrzs"/>
        <w:tabs>
          <w:tab w:val="left" w:pos="567"/>
        </w:tabs>
        <w:ind w:left="567"/>
      </w:pPr>
      <w:r w:rsidRPr="00656C0A">
        <w:t>A hatásossági adatokat az alábbi táblázatban tüntettük fel:</w:t>
      </w:r>
    </w:p>
    <w:p w14:paraId="78BD0A15" w14:textId="77777777" w:rsidR="00DF73BF" w:rsidRPr="00656C0A" w:rsidRDefault="00DF73BF" w:rsidP="00545340">
      <w:pPr>
        <w:pStyle w:val="Szvegtrzs"/>
        <w:tabs>
          <w:tab w:val="left" w:pos="567"/>
        </w:tabs>
        <w:ind w:left="567" w:hanging="567"/>
      </w:pPr>
    </w:p>
    <w:tbl>
      <w:tblPr>
        <w:tblW w:w="86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3"/>
        <w:gridCol w:w="2026"/>
        <w:gridCol w:w="2369"/>
        <w:gridCol w:w="1559"/>
      </w:tblGrid>
      <w:tr w:rsidR="00DF73BF" w:rsidRPr="00656C0A" w14:paraId="78BD0A21" w14:textId="77777777" w:rsidTr="00CC2838">
        <w:tc>
          <w:tcPr>
            <w:tcW w:w="2693" w:type="dxa"/>
          </w:tcPr>
          <w:p w14:paraId="78BD0A16" w14:textId="77777777" w:rsidR="00DF73BF" w:rsidRPr="00656C0A" w:rsidRDefault="00DF73BF" w:rsidP="00545340">
            <w:pPr>
              <w:tabs>
                <w:tab w:val="left" w:pos="567"/>
              </w:tabs>
              <w:ind w:left="142"/>
            </w:pPr>
          </w:p>
        </w:tc>
        <w:tc>
          <w:tcPr>
            <w:tcW w:w="2026" w:type="dxa"/>
          </w:tcPr>
          <w:p w14:paraId="78BD0A17" w14:textId="77777777" w:rsidR="00DF73BF" w:rsidRPr="00A027F6" w:rsidRDefault="00FB299E" w:rsidP="00545340">
            <w:pPr>
              <w:pStyle w:val="TableParagraph"/>
              <w:tabs>
                <w:tab w:val="left" w:pos="567"/>
              </w:tabs>
              <w:ind w:left="567" w:hanging="567"/>
              <w:jc w:val="center"/>
              <w:rPr>
                <w:b/>
              </w:rPr>
            </w:pPr>
            <w:r w:rsidRPr="00A027F6">
              <w:rPr>
                <w:b/>
              </w:rPr>
              <w:t>Enoxaparin-nátrium</w:t>
            </w:r>
          </w:p>
          <w:p w14:paraId="78BD0A18" w14:textId="77777777" w:rsidR="00DF73BF" w:rsidRPr="00A027F6" w:rsidRDefault="00FB299E" w:rsidP="00545340">
            <w:pPr>
              <w:pStyle w:val="TableParagraph"/>
              <w:tabs>
                <w:tab w:val="left" w:pos="567"/>
              </w:tabs>
              <w:ind w:left="567" w:hanging="567"/>
              <w:jc w:val="center"/>
              <w:rPr>
                <w:b/>
              </w:rPr>
            </w:pPr>
            <w:r w:rsidRPr="00A027F6">
              <w:rPr>
                <w:b/>
              </w:rPr>
              <w:t>2000 NE (20 mg)</w:t>
            </w:r>
          </w:p>
          <w:p w14:paraId="78BD0A19" w14:textId="77777777" w:rsidR="00DF73BF" w:rsidRPr="00A027F6" w:rsidRDefault="00FB299E" w:rsidP="00545340">
            <w:pPr>
              <w:pStyle w:val="TableParagraph"/>
              <w:tabs>
                <w:tab w:val="left" w:pos="567"/>
              </w:tabs>
              <w:ind w:left="567" w:hanging="567"/>
              <w:jc w:val="center"/>
              <w:rPr>
                <w:b/>
              </w:rPr>
            </w:pPr>
            <w:r w:rsidRPr="00A027F6">
              <w:rPr>
                <w:b/>
              </w:rPr>
              <w:t>naponta egyszer, sc.</w:t>
            </w:r>
          </w:p>
          <w:p w14:paraId="78BD0A1A" w14:textId="77777777" w:rsidR="00DF73BF" w:rsidRPr="00656C0A" w:rsidRDefault="00FB299E" w:rsidP="00545340">
            <w:pPr>
              <w:pStyle w:val="TableParagraph"/>
              <w:tabs>
                <w:tab w:val="left" w:pos="567"/>
              </w:tabs>
              <w:ind w:left="567" w:hanging="567"/>
              <w:jc w:val="center"/>
              <w:rPr>
                <w:b/>
              </w:rPr>
            </w:pPr>
            <w:r w:rsidRPr="00656C0A">
              <w:rPr>
                <w:b/>
              </w:rPr>
              <w:t>n (%)</w:t>
            </w:r>
          </w:p>
        </w:tc>
        <w:tc>
          <w:tcPr>
            <w:tcW w:w="2369" w:type="dxa"/>
          </w:tcPr>
          <w:p w14:paraId="78BD0A1B" w14:textId="77777777" w:rsidR="00DF73BF" w:rsidRPr="00A027F6" w:rsidRDefault="00FB299E" w:rsidP="00545340">
            <w:pPr>
              <w:pStyle w:val="TableParagraph"/>
              <w:tabs>
                <w:tab w:val="left" w:pos="567"/>
              </w:tabs>
              <w:ind w:left="567" w:hanging="567"/>
              <w:jc w:val="center"/>
              <w:rPr>
                <w:b/>
              </w:rPr>
            </w:pPr>
            <w:r w:rsidRPr="00A027F6">
              <w:rPr>
                <w:b/>
              </w:rPr>
              <w:t>Enoxaparin-nátrium</w:t>
            </w:r>
          </w:p>
          <w:p w14:paraId="78BD0A1C" w14:textId="77777777" w:rsidR="00DF73BF" w:rsidRPr="00A027F6" w:rsidRDefault="00FB299E" w:rsidP="00545340">
            <w:pPr>
              <w:pStyle w:val="TableParagraph"/>
              <w:tabs>
                <w:tab w:val="left" w:pos="567"/>
              </w:tabs>
              <w:ind w:left="567" w:hanging="567"/>
              <w:jc w:val="center"/>
              <w:rPr>
                <w:b/>
              </w:rPr>
            </w:pPr>
            <w:r w:rsidRPr="00A027F6">
              <w:rPr>
                <w:b/>
              </w:rPr>
              <w:t>4000 NE (40 mg)</w:t>
            </w:r>
          </w:p>
          <w:p w14:paraId="78BD0A1D" w14:textId="77777777" w:rsidR="00DF73BF" w:rsidRPr="00A027F6" w:rsidRDefault="00FB299E" w:rsidP="00545340">
            <w:pPr>
              <w:pStyle w:val="TableParagraph"/>
              <w:tabs>
                <w:tab w:val="left" w:pos="567"/>
              </w:tabs>
              <w:ind w:left="567" w:hanging="567"/>
              <w:jc w:val="center"/>
              <w:rPr>
                <w:b/>
              </w:rPr>
            </w:pPr>
            <w:r w:rsidRPr="00A027F6">
              <w:rPr>
                <w:b/>
              </w:rPr>
              <w:t>naponta egyszer, sc.</w:t>
            </w:r>
          </w:p>
          <w:p w14:paraId="78BD0A1E" w14:textId="77777777" w:rsidR="00DF73BF" w:rsidRPr="00656C0A" w:rsidRDefault="00FB299E" w:rsidP="00545340">
            <w:pPr>
              <w:pStyle w:val="TableParagraph"/>
              <w:tabs>
                <w:tab w:val="left" w:pos="567"/>
              </w:tabs>
              <w:ind w:left="567" w:hanging="567"/>
              <w:jc w:val="center"/>
              <w:rPr>
                <w:b/>
              </w:rPr>
            </w:pPr>
            <w:r w:rsidRPr="00656C0A">
              <w:rPr>
                <w:b/>
              </w:rPr>
              <w:t>n (%)</w:t>
            </w:r>
          </w:p>
        </w:tc>
        <w:tc>
          <w:tcPr>
            <w:tcW w:w="1559" w:type="dxa"/>
          </w:tcPr>
          <w:p w14:paraId="78BD0A1F" w14:textId="77777777" w:rsidR="00B55BE2" w:rsidRDefault="00FB299E" w:rsidP="00545340">
            <w:pPr>
              <w:pStyle w:val="TableParagraph"/>
              <w:tabs>
                <w:tab w:val="left" w:pos="567"/>
              </w:tabs>
              <w:ind w:left="567" w:hanging="567"/>
              <w:jc w:val="center"/>
              <w:rPr>
                <w:b/>
              </w:rPr>
            </w:pPr>
            <w:r w:rsidRPr="00656C0A">
              <w:rPr>
                <w:b/>
              </w:rPr>
              <w:t>Placebo</w:t>
            </w:r>
          </w:p>
          <w:p w14:paraId="78BD0A20" w14:textId="77777777" w:rsidR="00DF73BF" w:rsidRPr="00656C0A" w:rsidRDefault="00FB299E" w:rsidP="00545340">
            <w:pPr>
              <w:pStyle w:val="TableParagraph"/>
              <w:tabs>
                <w:tab w:val="left" w:pos="567"/>
              </w:tabs>
              <w:ind w:left="567" w:hanging="567"/>
              <w:jc w:val="center"/>
              <w:rPr>
                <w:b/>
              </w:rPr>
            </w:pPr>
            <w:r w:rsidRPr="00656C0A">
              <w:rPr>
                <w:b/>
              </w:rPr>
              <w:t>n (%)</w:t>
            </w:r>
          </w:p>
        </w:tc>
      </w:tr>
      <w:tr w:rsidR="00DF73BF" w:rsidRPr="00656C0A" w14:paraId="78BD0A26" w14:textId="77777777" w:rsidTr="00CC2838">
        <w:tc>
          <w:tcPr>
            <w:tcW w:w="2693" w:type="dxa"/>
          </w:tcPr>
          <w:p w14:paraId="78BD0A22" w14:textId="77777777" w:rsidR="00DF73BF" w:rsidRPr="00A027F6" w:rsidRDefault="00FB299E" w:rsidP="00545340">
            <w:pPr>
              <w:pStyle w:val="TableParagraph"/>
              <w:tabs>
                <w:tab w:val="left" w:pos="567"/>
              </w:tabs>
              <w:ind w:left="142"/>
              <w:rPr>
                <w:b/>
              </w:rPr>
            </w:pPr>
            <w:r w:rsidRPr="00A027F6">
              <w:rPr>
                <w:b/>
              </w:rPr>
              <w:t>Az összes, akut betegséggel kezelt belgyógyászati beteg</w:t>
            </w:r>
          </w:p>
        </w:tc>
        <w:tc>
          <w:tcPr>
            <w:tcW w:w="2026" w:type="dxa"/>
          </w:tcPr>
          <w:p w14:paraId="78BD0A23" w14:textId="77777777" w:rsidR="00DF73BF" w:rsidRPr="00656C0A" w:rsidRDefault="00FB299E" w:rsidP="00545340">
            <w:pPr>
              <w:pStyle w:val="TableParagraph"/>
              <w:tabs>
                <w:tab w:val="left" w:pos="567"/>
              </w:tabs>
              <w:ind w:left="567" w:hanging="567"/>
              <w:jc w:val="center"/>
            </w:pPr>
            <w:r w:rsidRPr="00656C0A">
              <w:t>287 (100)</w:t>
            </w:r>
          </w:p>
        </w:tc>
        <w:tc>
          <w:tcPr>
            <w:tcW w:w="2369" w:type="dxa"/>
          </w:tcPr>
          <w:p w14:paraId="78BD0A24" w14:textId="77777777" w:rsidR="00DF73BF" w:rsidRPr="00656C0A" w:rsidRDefault="00FB299E" w:rsidP="00545340">
            <w:pPr>
              <w:pStyle w:val="TableParagraph"/>
              <w:tabs>
                <w:tab w:val="left" w:pos="567"/>
              </w:tabs>
              <w:ind w:left="567" w:hanging="567"/>
              <w:jc w:val="center"/>
            </w:pPr>
            <w:r w:rsidRPr="00656C0A">
              <w:t>291 (100)</w:t>
            </w:r>
          </w:p>
        </w:tc>
        <w:tc>
          <w:tcPr>
            <w:tcW w:w="1559" w:type="dxa"/>
          </w:tcPr>
          <w:p w14:paraId="78BD0A25" w14:textId="77777777" w:rsidR="00DF73BF" w:rsidRPr="00656C0A" w:rsidRDefault="00FB299E" w:rsidP="00545340">
            <w:pPr>
              <w:pStyle w:val="TableParagraph"/>
              <w:tabs>
                <w:tab w:val="left" w:pos="567"/>
              </w:tabs>
              <w:ind w:left="567" w:hanging="567"/>
              <w:jc w:val="center"/>
            </w:pPr>
            <w:r w:rsidRPr="00656C0A">
              <w:t>288 (100)</w:t>
            </w:r>
          </w:p>
        </w:tc>
      </w:tr>
      <w:tr w:rsidR="00DF73BF" w:rsidRPr="00656C0A" w14:paraId="78BD0A2B" w14:textId="77777777" w:rsidTr="00CC2838">
        <w:tc>
          <w:tcPr>
            <w:tcW w:w="2693" w:type="dxa"/>
          </w:tcPr>
          <w:p w14:paraId="78BD0A27" w14:textId="77777777" w:rsidR="00DF73BF" w:rsidRPr="00656C0A" w:rsidRDefault="00FB299E" w:rsidP="00545340">
            <w:pPr>
              <w:pStyle w:val="TableParagraph"/>
              <w:tabs>
                <w:tab w:val="left" w:pos="567"/>
              </w:tabs>
              <w:ind w:left="142"/>
              <w:rPr>
                <w:b/>
              </w:rPr>
            </w:pPr>
            <w:r w:rsidRPr="00656C0A">
              <w:rPr>
                <w:b/>
              </w:rPr>
              <w:t>Összes VTE (%)</w:t>
            </w:r>
          </w:p>
        </w:tc>
        <w:tc>
          <w:tcPr>
            <w:tcW w:w="2026" w:type="dxa"/>
          </w:tcPr>
          <w:p w14:paraId="78BD0A28" w14:textId="77777777" w:rsidR="00DF73BF" w:rsidRPr="00656C0A" w:rsidRDefault="00FB299E" w:rsidP="00545340">
            <w:pPr>
              <w:pStyle w:val="TableParagraph"/>
              <w:tabs>
                <w:tab w:val="left" w:pos="567"/>
              </w:tabs>
              <w:ind w:left="567" w:hanging="567"/>
              <w:jc w:val="center"/>
            </w:pPr>
            <w:r w:rsidRPr="00656C0A">
              <w:t>43 (15,0)</w:t>
            </w:r>
          </w:p>
        </w:tc>
        <w:tc>
          <w:tcPr>
            <w:tcW w:w="2369" w:type="dxa"/>
          </w:tcPr>
          <w:p w14:paraId="78BD0A29" w14:textId="77777777" w:rsidR="00DF73BF" w:rsidRPr="00656C0A" w:rsidRDefault="00FB299E" w:rsidP="00545340">
            <w:pPr>
              <w:pStyle w:val="TableParagraph"/>
              <w:tabs>
                <w:tab w:val="left" w:pos="567"/>
              </w:tabs>
              <w:ind w:left="567" w:hanging="567"/>
              <w:jc w:val="center"/>
            </w:pPr>
            <w:r w:rsidRPr="00656C0A">
              <w:t>16 (5,5)*</w:t>
            </w:r>
          </w:p>
        </w:tc>
        <w:tc>
          <w:tcPr>
            <w:tcW w:w="1559" w:type="dxa"/>
          </w:tcPr>
          <w:p w14:paraId="78BD0A2A" w14:textId="77777777" w:rsidR="00DF73BF" w:rsidRPr="00656C0A" w:rsidRDefault="00FB299E" w:rsidP="00545340">
            <w:pPr>
              <w:pStyle w:val="TableParagraph"/>
              <w:tabs>
                <w:tab w:val="left" w:pos="567"/>
              </w:tabs>
              <w:ind w:left="567" w:hanging="567"/>
              <w:jc w:val="center"/>
            </w:pPr>
            <w:r w:rsidRPr="00656C0A">
              <w:t>43 (14,9)</w:t>
            </w:r>
          </w:p>
        </w:tc>
      </w:tr>
      <w:tr w:rsidR="00DF73BF" w:rsidRPr="00656C0A" w14:paraId="78BD0A30" w14:textId="77777777" w:rsidTr="00CC2838">
        <w:tc>
          <w:tcPr>
            <w:tcW w:w="2693" w:type="dxa"/>
          </w:tcPr>
          <w:p w14:paraId="78BD0A2C" w14:textId="77777777" w:rsidR="00DF73BF" w:rsidRPr="00656C0A" w:rsidRDefault="00FB299E" w:rsidP="00545340">
            <w:pPr>
              <w:pStyle w:val="TableParagraph"/>
              <w:numPr>
                <w:ilvl w:val="0"/>
                <w:numId w:val="16"/>
              </w:numPr>
              <w:tabs>
                <w:tab w:val="left" w:pos="567"/>
              </w:tabs>
              <w:ind w:left="284" w:firstLine="0"/>
            </w:pPr>
            <w:r w:rsidRPr="00656C0A">
              <w:t>Összes DVT (%)</w:t>
            </w:r>
          </w:p>
        </w:tc>
        <w:tc>
          <w:tcPr>
            <w:tcW w:w="2026" w:type="dxa"/>
          </w:tcPr>
          <w:p w14:paraId="78BD0A2D" w14:textId="77777777" w:rsidR="00DF73BF" w:rsidRPr="00656C0A" w:rsidRDefault="00FB299E" w:rsidP="00545340">
            <w:pPr>
              <w:pStyle w:val="TableParagraph"/>
              <w:tabs>
                <w:tab w:val="left" w:pos="567"/>
              </w:tabs>
              <w:ind w:left="567" w:hanging="567"/>
              <w:jc w:val="center"/>
            </w:pPr>
            <w:r w:rsidRPr="00656C0A">
              <w:t>43 (15,0)</w:t>
            </w:r>
          </w:p>
        </w:tc>
        <w:tc>
          <w:tcPr>
            <w:tcW w:w="2369" w:type="dxa"/>
          </w:tcPr>
          <w:p w14:paraId="78BD0A2E" w14:textId="77777777" w:rsidR="00DF73BF" w:rsidRPr="00656C0A" w:rsidRDefault="00FB299E" w:rsidP="00545340">
            <w:pPr>
              <w:pStyle w:val="TableParagraph"/>
              <w:tabs>
                <w:tab w:val="left" w:pos="567"/>
              </w:tabs>
              <w:ind w:left="567" w:hanging="567"/>
              <w:jc w:val="center"/>
            </w:pPr>
            <w:r w:rsidRPr="00656C0A">
              <w:t>16 (5,5)</w:t>
            </w:r>
          </w:p>
        </w:tc>
        <w:tc>
          <w:tcPr>
            <w:tcW w:w="1559" w:type="dxa"/>
          </w:tcPr>
          <w:p w14:paraId="78BD0A2F" w14:textId="77777777" w:rsidR="00DF73BF" w:rsidRPr="00656C0A" w:rsidRDefault="00FB299E" w:rsidP="00545340">
            <w:pPr>
              <w:pStyle w:val="TableParagraph"/>
              <w:tabs>
                <w:tab w:val="left" w:pos="567"/>
              </w:tabs>
              <w:ind w:left="567" w:hanging="567"/>
              <w:jc w:val="center"/>
            </w:pPr>
            <w:r w:rsidRPr="00656C0A">
              <w:t>40 (13,9)</w:t>
            </w:r>
          </w:p>
        </w:tc>
      </w:tr>
      <w:tr w:rsidR="00DF73BF" w:rsidRPr="00656C0A" w14:paraId="78BD0A35" w14:textId="77777777" w:rsidTr="00CC2838">
        <w:tc>
          <w:tcPr>
            <w:tcW w:w="2693" w:type="dxa"/>
          </w:tcPr>
          <w:p w14:paraId="78BD0A31" w14:textId="77777777" w:rsidR="00DF73BF" w:rsidRPr="00656C0A" w:rsidRDefault="00FB299E" w:rsidP="00545340">
            <w:pPr>
              <w:pStyle w:val="TableParagraph"/>
              <w:numPr>
                <w:ilvl w:val="0"/>
                <w:numId w:val="15"/>
              </w:numPr>
              <w:tabs>
                <w:tab w:val="left" w:pos="567"/>
              </w:tabs>
              <w:ind w:left="284" w:firstLine="0"/>
            </w:pPr>
            <w:r w:rsidRPr="00656C0A">
              <w:t>Proximális DVT (%)</w:t>
            </w:r>
          </w:p>
        </w:tc>
        <w:tc>
          <w:tcPr>
            <w:tcW w:w="2026" w:type="dxa"/>
          </w:tcPr>
          <w:p w14:paraId="78BD0A32" w14:textId="77777777" w:rsidR="00DF73BF" w:rsidRPr="00656C0A" w:rsidRDefault="00FB299E" w:rsidP="00545340">
            <w:pPr>
              <w:pStyle w:val="TableParagraph"/>
              <w:tabs>
                <w:tab w:val="left" w:pos="567"/>
              </w:tabs>
              <w:ind w:left="567" w:hanging="567"/>
              <w:jc w:val="center"/>
            </w:pPr>
            <w:r w:rsidRPr="00656C0A">
              <w:t>13 (4,5)</w:t>
            </w:r>
          </w:p>
        </w:tc>
        <w:tc>
          <w:tcPr>
            <w:tcW w:w="2369" w:type="dxa"/>
          </w:tcPr>
          <w:p w14:paraId="78BD0A33" w14:textId="77777777" w:rsidR="00DF73BF" w:rsidRPr="00656C0A" w:rsidRDefault="00FB299E" w:rsidP="00545340">
            <w:pPr>
              <w:pStyle w:val="TableParagraph"/>
              <w:tabs>
                <w:tab w:val="left" w:pos="567"/>
              </w:tabs>
              <w:ind w:left="567" w:hanging="567"/>
              <w:jc w:val="center"/>
            </w:pPr>
            <w:r w:rsidRPr="00656C0A">
              <w:t>5 (1,7)</w:t>
            </w:r>
          </w:p>
        </w:tc>
        <w:tc>
          <w:tcPr>
            <w:tcW w:w="1559" w:type="dxa"/>
          </w:tcPr>
          <w:p w14:paraId="78BD0A34" w14:textId="77777777" w:rsidR="00DF73BF" w:rsidRPr="00656C0A" w:rsidRDefault="00FB299E" w:rsidP="00545340">
            <w:pPr>
              <w:pStyle w:val="TableParagraph"/>
              <w:tabs>
                <w:tab w:val="left" w:pos="567"/>
              </w:tabs>
              <w:ind w:left="567" w:hanging="567"/>
              <w:jc w:val="center"/>
            </w:pPr>
            <w:r w:rsidRPr="00656C0A">
              <w:t>14 (4,9)</w:t>
            </w:r>
          </w:p>
        </w:tc>
      </w:tr>
      <w:tr w:rsidR="00DF73BF" w:rsidRPr="00656C0A" w14:paraId="78BD0A38" w14:textId="77777777" w:rsidTr="00CC2838">
        <w:tc>
          <w:tcPr>
            <w:tcW w:w="8647" w:type="dxa"/>
            <w:gridSpan w:val="4"/>
          </w:tcPr>
          <w:p w14:paraId="78BD0A36" w14:textId="77777777" w:rsidR="00DF73BF" w:rsidRPr="00656C0A" w:rsidRDefault="00FB299E" w:rsidP="00545340">
            <w:pPr>
              <w:pStyle w:val="TableParagraph"/>
              <w:tabs>
                <w:tab w:val="left" w:pos="567"/>
              </w:tabs>
              <w:ind w:left="142"/>
            </w:pPr>
            <w:r w:rsidRPr="00656C0A">
              <w:t>VTE = vénás tromboembóliás események, beleértve a DVT-t, PE-t, valamint a tromboembóliás eredetűnek ítélt halálozást is</w:t>
            </w:r>
          </w:p>
          <w:p w14:paraId="78BD0A37" w14:textId="77777777" w:rsidR="00DF73BF" w:rsidRPr="00656C0A" w:rsidRDefault="00FB299E" w:rsidP="00545340">
            <w:pPr>
              <w:pStyle w:val="TableParagraph"/>
              <w:tabs>
                <w:tab w:val="left" w:pos="567"/>
              </w:tabs>
              <w:ind w:left="142"/>
            </w:pPr>
            <w:r w:rsidRPr="00656C0A">
              <w:t>* p-érték vs</w:t>
            </w:r>
            <w:r w:rsidR="006A5319">
              <w:t>.</w:t>
            </w:r>
            <w:r w:rsidRPr="00656C0A">
              <w:t xml:space="preserve"> placebo =</w:t>
            </w:r>
            <w:r w:rsidR="006A5319">
              <w:t> </w:t>
            </w:r>
            <w:r w:rsidRPr="00656C0A">
              <w:t>0,0002</w:t>
            </w:r>
          </w:p>
        </w:tc>
      </w:tr>
    </w:tbl>
    <w:p w14:paraId="78BD0A39" w14:textId="77777777" w:rsidR="00DF73BF" w:rsidRPr="00656C0A" w:rsidRDefault="00DF73BF" w:rsidP="00545340">
      <w:pPr>
        <w:pStyle w:val="Szvegtrzs"/>
        <w:tabs>
          <w:tab w:val="left" w:pos="567"/>
        </w:tabs>
        <w:ind w:left="567" w:hanging="567"/>
      </w:pPr>
    </w:p>
    <w:p w14:paraId="78BD0A3A" w14:textId="77777777" w:rsidR="00DF73BF" w:rsidRPr="00656C0A" w:rsidRDefault="00FB299E" w:rsidP="00545340">
      <w:pPr>
        <w:pStyle w:val="Szvegtrzs"/>
        <w:tabs>
          <w:tab w:val="left" w:pos="567"/>
        </w:tabs>
        <w:ind w:left="567"/>
      </w:pPr>
      <w:r w:rsidRPr="00656C0A">
        <w:t>A beválasztást követően körülbelül 3 hónappal a VTE incidenciája szignifikánsan alacsonyabb maradt a 4000 NE (40 mg) enoxaparin-nátriummal kezelt csoportban, mint a placebocsoportban.</w:t>
      </w:r>
    </w:p>
    <w:p w14:paraId="78BD0A3B" w14:textId="77777777" w:rsidR="00DF73BF" w:rsidRPr="00656C0A" w:rsidRDefault="00FB299E" w:rsidP="00545340">
      <w:pPr>
        <w:pStyle w:val="Szvegtrzs"/>
        <w:tabs>
          <w:tab w:val="left" w:pos="567"/>
        </w:tabs>
        <w:ind w:left="567"/>
      </w:pPr>
      <w:r w:rsidRPr="00656C0A">
        <w:t>Az összes vérzés előfordulása 8,6%, a jelentős vérzéseké 1,1% volt a placebocsoportban, 11,7% és 0,3% a az enoxaparin-nátrium 2000 NE (20 mg) adagjával, valamint 12,6% és 1,7% az enoxaparin-nátrium 4000 NE (40 mg)  adagjával.</w:t>
      </w:r>
    </w:p>
    <w:p w14:paraId="78BD0A3C" w14:textId="77777777" w:rsidR="00DF73BF" w:rsidRPr="00656C0A" w:rsidRDefault="00DF73BF" w:rsidP="00545340">
      <w:pPr>
        <w:pStyle w:val="Szvegtrzs"/>
        <w:tabs>
          <w:tab w:val="left" w:pos="567"/>
        </w:tabs>
        <w:ind w:left="567" w:hanging="567"/>
      </w:pPr>
    </w:p>
    <w:p w14:paraId="78BD0A3D" w14:textId="77777777" w:rsidR="00DF73BF" w:rsidRPr="00CC2838" w:rsidRDefault="00FB299E" w:rsidP="00545340">
      <w:pPr>
        <w:pStyle w:val="Listaszerbekezds"/>
        <w:numPr>
          <w:ilvl w:val="0"/>
          <w:numId w:val="24"/>
        </w:numPr>
        <w:tabs>
          <w:tab w:val="left" w:pos="567"/>
        </w:tabs>
        <w:ind w:left="567" w:hanging="567"/>
        <w:rPr>
          <w:i/>
        </w:rPr>
      </w:pPr>
      <w:r w:rsidRPr="00CC2838">
        <w:rPr>
          <w:i/>
        </w:rPr>
        <w:t>Tüdőembóliával kísért vagy a nélküli mélyvénás trombózis kezelése</w:t>
      </w:r>
    </w:p>
    <w:p w14:paraId="78BD0A3E" w14:textId="77777777" w:rsidR="00DF73BF" w:rsidRPr="00656C0A" w:rsidRDefault="00FB299E" w:rsidP="00545340">
      <w:pPr>
        <w:pStyle w:val="Szvegtrzs"/>
        <w:tabs>
          <w:tab w:val="left" w:pos="567"/>
        </w:tabs>
        <w:ind w:left="567"/>
      </w:pPr>
      <w:r w:rsidRPr="00656C0A">
        <w:t>Egy multicentrikus, párhuzamos csoportos vizsgálatban 900, tüdőembóliával (PE) kísért vagy a nélküli, akut alsó végtagi mélyvénás trombózissal érintett beteget randomizáltak kórházi kezelésre a következők szerint: (i) naponta egyszer 150 NE/kg (1,5 mg/kg) sc. enoxaparin</w:t>
      </w:r>
      <w:r w:rsidR="00B42523">
        <w:noBreakHyphen/>
      </w:r>
      <w:r w:rsidRPr="00656C0A">
        <w:t>nátrium, (ii) 12 óránként 100 NE/kg (1 mg/kg) sc. enoxaparin-nátrium vagy (iii) iv. b</w:t>
      </w:r>
      <w:r w:rsidR="00B42523">
        <w:t>ó</w:t>
      </w:r>
      <w:r w:rsidRPr="00656C0A">
        <w:t>lus heparin (5000 NE), amelyet folyamatos infúzió követett (a cél az 55–85 másodperces aPTI elérése volt). Összesen 900 beteget randomizáltak, és valamennyi beteg kapott kezelést. Minden beteg warfarin-nátriumot is kapott (a dózist a protrombinidő alapján módosították, hogy az INR értéke 2,0–3,0 közötti legyen), amelyet az enoxaparin-nátrium vagy a hagyományos heparin</w:t>
      </w:r>
      <w:r w:rsidR="00B42523">
        <w:t>-</w:t>
      </w:r>
      <w:r w:rsidRPr="00656C0A">
        <w:t>terápia megkezdése után 72 órán belül kezdtek meg és 90 napig folytattak.</w:t>
      </w:r>
    </w:p>
    <w:p w14:paraId="78BD0A3F" w14:textId="77777777" w:rsidR="00DF73BF" w:rsidRDefault="00FB299E" w:rsidP="00545340">
      <w:pPr>
        <w:pStyle w:val="Szvegtrzs"/>
        <w:tabs>
          <w:tab w:val="left" w:pos="567"/>
        </w:tabs>
        <w:ind w:left="567"/>
      </w:pPr>
      <w:r w:rsidRPr="00656C0A">
        <w:t>Enoxaparin-nátriumot vagy hagyományos heparin</w:t>
      </w:r>
      <w:r w:rsidR="00B42523">
        <w:t>-</w:t>
      </w:r>
      <w:r w:rsidRPr="00656C0A">
        <w:t xml:space="preserve">terápiát alkalmaztak legalább 5 napig, illetve </w:t>
      </w:r>
      <w:r w:rsidRPr="00656C0A">
        <w:lastRenderedPageBreak/>
        <w:t>mindaddig, amíg a megcélzott warfarin-nátrium INR</w:t>
      </w:r>
      <w:r w:rsidR="00B42523">
        <w:t>-</w:t>
      </w:r>
      <w:r w:rsidRPr="00656C0A">
        <w:t>értéket el nem érték. Mindkét enoxaparin</w:t>
      </w:r>
      <w:r w:rsidR="00B42523">
        <w:noBreakHyphen/>
      </w:r>
      <w:r w:rsidRPr="00656C0A">
        <w:t>nátrium kezelési protokoll egyenértékű volt a hagyományos heparin</w:t>
      </w:r>
      <w:r w:rsidR="00B42523">
        <w:t>-</w:t>
      </w:r>
      <w:r w:rsidRPr="00656C0A">
        <w:t>terápiával a kiújuló vénás tromboembolizáció (DVT és/vagy PE) kockázatának csökkentése tekintetében.</w:t>
      </w:r>
    </w:p>
    <w:p w14:paraId="78BD0A40" w14:textId="77777777" w:rsidR="00B42523" w:rsidRPr="00656C0A" w:rsidRDefault="00B42523" w:rsidP="00545340">
      <w:pPr>
        <w:pStyle w:val="Szvegtrzs"/>
        <w:tabs>
          <w:tab w:val="left" w:pos="567"/>
        </w:tabs>
        <w:ind w:left="567"/>
      </w:pPr>
    </w:p>
    <w:p w14:paraId="78BD0A41" w14:textId="77777777" w:rsidR="00DF73BF" w:rsidRDefault="00FB299E" w:rsidP="00545340">
      <w:pPr>
        <w:pStyle w:val="Szvegtrzs"/>
        <w:tabs>
          <w:tab w:val="left" w:pos="567"/>
        </w:tabs>
        <w:ind w:left="567"/>
      </w:pPr>
      <w:r w:rsidRPr="00656C0A">
        <w:t>A hatásossági adatokat az alábbi táblázatban tüntettük fel:</w:t>
      </w:r>
    </w:p>
    <w:p w14:paraId="78BD0A42" w14:textId="77777777" w:rsidR="00B42523" w:rsidRPr="00656C0A" w:rsidRDefault="00B42523" w:rsidP="00545340">
      <w:pPr>
        <w:pStyle w:val="Szvegtrzs"/>
        <w:tabs>
          <w:tab w:val="left" w:pos="567"/>
        </w:tabs>
        <w:ind w:left="567" w:hanging="567"/>
      </w:pPr>
    </w:p>
    <w:tbl>
      <w:tblPr>
        <w:tblW w:w="86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2126"/>
        <w:gridCol w:w="2126"/>
        <w:gridCol w:w="1843"/>
      </w:tblGrid>
      <w:tr w:rsidR="003F61D5" w:rsidRPr="00A75E88" w14:paraId="78BD0A4C" w14:textId="77777777" w:rsidTr="00CC2838">
        <w:tc>
          <w:tcPr>
            <w:tcW w:w="2552" w:type="dxa"/>
          </w:tcPr>
          <w:p w14:paraId="78BD0A43" w14:textId="77777777" w:rsidR="00DF73BF" w:rsidRPr="00656C0A" w:rsidRDefault="00DF73BF" w:rsidP="00545340">
            <w:pPr>
              <w:tabs>
                <w:tab w:val="left" w:pos="567"/>
              </w:tabs>
              <w:ind w:left="142"/>
            </w:pPr>
          </w:p>
        </w:tc>
        <w:tc>
          <w:tcPr>
            <w:tcW w:w="2126" w:type="dxa"/>
          </w:tcPr>
          <w:p w14:paraId="78BD0A44" w14:textId="77777777" w:rsidR="00D42670" w:rsidRDefault="00FB299E" w:rsidP="00545340">
            <w:pPr>
              <w:pStyle w:val="TableParagraph"/>
              <w:tabs>
                <w:tab w:val="left" w:pos="567"/>
              </w:tabs>
              <w:ind w:left="28" w:firstLine="1"/>
              <w:jc w:val="center"/>
              <w:rPr>
                <w:b/>
              </w:rPr>
            </w:pPr>
            <w:r w:rsidRPr="00656C0A">
              <w:rPr>
                <w:b/>
              </w:rPr>
              <w:t>Enoxaparin- nátrium</w:t>
            </w:r>
          </w:p>
          <w:p w14:paraId="78BD0A45" w14:textId="77777777" w:rsidR="00DF73BF" w:rsidRPr="00A027F6" w:rsidRDefault="00FB299E" w:rsidP="00545340">
            <w:pPr>
              <w:pStyle w:val="TableParagraph"/>
              <w:tabs>
                <w:tab w:val="left" w:pos="567"/>
              </w:tabs>
              <w:ind w:left="28" w:firstLine="1"/>
              <w:jc w:val="center"/>
              <w:rPr>
                <w:b/>
              </w:rPr>
            </w:pPr>
            <w:r w:rsidRPr="00A027F6">
              <w:rPr>
                <w:b/>
              </w:rPr>
              <w:t>150 NE/kg(1,5</w:t>
            </w:r>
            <w:r w:rsidR="00D42670" w:rsidRPr="00A027F6">
              <w:rPr>
                <w:b/>
              </w:rPr>
              <w:t> </w:t>
            </w:r>
            <w:r w:rsidRPr="00A027F6">
              <w:rPr>
                <w:b/>
              </w:rPr>
              <w:t>mg/kg) naponta egyszer, sc.</w:t>
            </w:r>
          </w:p>
          <w:p w14:paraId="78BD0A46" w14:textId="77777777" w:rsidR="00DF73BF" w:rsidRPr="00656C0A" w:rsidRDefault="00FB299E" w:rsidP="00545340">
            <w:pPr>
              <w:pStyle w:val="TableParagraph"/>
              <w:tabs>
                <w:tab w:val="left" w:pos="567"/>
              </w:tabs>
              <w:ind w:left="28" w:firstLine="1"/>
              <w:jc w:val="center"/>
              <w:rPr>
                <w:b/>
              </w:rPr>
            </w:pPr>
            <w:r w:rsidRPr="00656C0A">
              <w:rPr>
                <w:b/>
              </w:rPr>
              <w:t>n (%)</w:t>
            </w:r>
          </w:p>
        </w:tc>
        <w:tc>
          <w:tcPr>
            <w:tcW w:w="2126" w:type="dxa"/>
          </w:tcPr>
          <w:p w14:paraId="78BD0A47" w14:textId="77777777" w:rsidR="00D42670" w:rsidRDefault="00FB299E" w:rsidP="00545340">
            <w:pPr>
              <w:pStyle w:val="TableParagraph"/>
              <w:tabs>
                <w:tab w:val="left" w:pos="567"/>
              </w:tabs>
              <w:ind w:left="28"/>
              <w:jc w:val="center"/>
              <w:rPr>
                <w:b/>
              </w:rPr>
            </w:pPr>
            <w:r w:rsidRPr="00656C0A">
              <w:rPr>
                <w:b/>
              </w:rPr>
              <w:t>Enoxaparin-nátrium</w:t>
            </w:r>
          </w:p>
          <w:p w14:paraId="78BD0A48" w14:textId="77777777" w:rsidR="00DF73BF" w:rsidRPr="00A027F6" w:rsidRDefault="00FB299E" w:rsidP="00545340">
            <w:pPr>
              <w:pStyle w:val="TableParagraph"/>
              <w:tabs>
                <w:tab w:val="left" w:pos="567"/>
              </w:tabs>
              <w:ind w:left="28"/>
              <w:jc w:val="center"/>
              <w:rPr>
                <w:b/>
              </w:rPr>
            </w:pPr>
            <w:r w:rsidRPr="00A027F6">
              <w:rPr>
                <w:b/>
              </w:rPr>
              <w:t>100 NE/kg(1 mg/kg) naponta kétszer, sc.</w:t>
            </w:r>
          </w:p>
          <w:p w14:paraId="78BD0A49" w14:textId="77777777" w:rsidR="00DF73BF" w:rsidRPr="00656C0A" w:rsidRDefault="00FB299E" w:rsidP="00545340">
            <w:pPr>
              <w:pStyle w:val="TableParagraph"/>
              <w:tabs>
                <w:tab w:val="left" w:pos="567"/>
              </w:tabs>
              <w:ind w:left="28"/>
              <w:jc w:val="center"/>
              <w:rPr>
                <w:b/>
              </w:rPr>
            </w:pPr>
            <w:r w:rsidRPr="00656C0A">
              <w:rPr>
                <w:b/>
              </w:rPr>
              <w:t>n (%)</w:t>
            </w:r>
          </w:p>
        </w:tc>
        <w:tc>
          <w:tcPr>
            <w:tcW w:w="1843" w:type="dxa"/>
          </w:tcPr>
          <w:p w14:paraId="78BD0A4A" w14:textId="77777777" w:rsidR="00D42670" w:rsidRPr="00A027F6" w:rsidRDefault="00FB299E" w:rsidP="00545340">
            <w:pPr>
              <w:pStyle w:val="TableParagraph"/>
              <w:tabs>
                <w:tab w:val="left" w:pos="567"/>
              </w:tabs>
              <w:ind w:left="28"/>
              <w:jc w:val="center"/>
              <w:rPr>
                <w:b/>
              </w:rPr>
            </w:pPr>
            <w:r w:rsidRPr="00A027F6">
              <w:rPr>
                <w:b/>
              </w:rPr>
              <w:t>Heparin aPTI</w:t>
            </w:r>
            <w:r w:rsidR="00D42670" w:rsidRPr="00A027F6">
              <w:rPr>
                <w:b/>
              </w:rPr>
              <w:noBreakHyphen/>
            </w:r>
            <w:r w:rsidRPr="00A027F6">
              <w:rPr>
                <w:b/>
              </w:rPr>
              <w:t>hez igazítottiv. terápia</w:t>
            </w:r>
          </w:p>
          <w:p w14:paraId="78BD0A4B" w14:textId="77777777" w:rsidR="00DF73BF" w:rsidRPr="00A027F6" w:rsidRDefault="00FB299E" w:rsidP="00545340">
            <w:pPr>
              <w:pStyle w:val="TableParagraph"/>
              <w:tabs>
                <w:tab w:val="left" w:pos="567"/>
              </w:tabs>
              <w:ind w:left="28"/>
              <w:jc w:val="center"/>
              <w:rPr>
                <w:b/>
              </w:rPr>
            </w:pPr>
            <w:r w:rsidRPr="00A027F6">
              <w:rPr>
                <w:b/>
              </w:rPr>
              <w:t>n (%)</w:t>
            </w:r>
          </w:p>
        </w:tc>
      </w:tr>
      <w:tr w:rsidR="003F61D5" w:rsidRPr="00656C0A" w14:paraId="78BD0A51" w14:textId="77777777" w:rsidTr="00CC2838">
        <w:tc>
          <w:tcPr>
            <w:tcW w:w="2552" w:type="dxa"/>
          </w:tcPr>
          <w:p w14:paraId="78BD0A4D" w14:textId="77777777" w:rsidR="00DF73BF" w:rsidRPr="00A027F6" w:rsidRDefault="00FB299E" w:rsidP="00545340">
            <w:pPr>
              <w:pStyle w:val="TableParagraph"/>
              <w:tabs>
                <w:tab w:val="left" w:pos="567"/>
              </w:tabs>
              <w:ind w:left="142"/>
              <w:rPr>
                <w:b/>
              </w:rPr>
            </w:pPr>
            <w:r w:rsidRPr="00A027F6">
              <w:rPr>
                <w:b/>
              </w:rPr>
              <w:t>Az összes PE-vel kísért vagy a nélküli DVT-vel kezelt beteg</w:t>
            </w:r>
          </w:p>
        </w:tc>
        <w:tc>
          <w:tcPr>
            <w:tcW w:w="2126" w:type="dxa"/>
          </w:tcPr>
          <w:p w14:paraId="78BD0A4E" w14:textId="77777777" w:rsidR="00DF73BF" w:rsidRPr="00656C0A" w:rsidRDefault="00FB299E" w:rsidP="00545340">
            <w:pPr>
              <w:pStyle w:val="TableParagraph"/>
              <w:tabs>
                <w:tab w:val="left" w:pos="567"/>
              </w:tabs>
              <w:ind w:left="56" w:hanging="28"/>
              <w:jc w:val="center"/>
            </w:pPr>
            <w:r w:rsidRPr="00656C0A">
              <w:t>298 (100)</w:t>
            </w:r>
          </w:p>
        </w:tc>
        <w:tc>
          <w:tcPr>
            <w:tcW w:w="2126" w:type="dxa"/>
          </w:tcPr>
          <w:p w14:paraId="78BD0A4F" w14:textId="77777777" w:rsidR="00DF73BF" w:rsidRPr="00656C0A" w:rsidRDefault="00FB299E" w:rsidP="00545340">
            <w:pPr>
              <w:pStyle w:val="TableParagraph"/>
              <w:tabs>
                <w:tab w:val="left" w:pos="567"/>
              </w:tabs>
              <w:ind w:left="56" w:hanging="28"/>
              <w:jc w:val="center"/>
            </w:pPr>
            <w:r w:rsidRPr="00656C0A">
              <w:t>312 (100)</w:t>
            </w:r>
          </w:p>
        </w:tc>
        <w:tc>
          <w:tcPr>
            <w:tcW w:w="1843" w:type="dxa"/>
          </w:tcPr>
          <w:p w14:paraId="78BD0A50" w14:textId="77777777" w:rsidR="00DF73BF" w:rsidRPr="00656C0A" w:rsidRDefault="00FB299E" w:rsidP="00545340">
            <w:pPr>
              <w:pStyle w:val="TableParagraph"/>
              <w:tabs>
                <w:tab w:val="left" w:pos="567"/>
              </w:tabs>
              <w:ind w:left="56" w:hanging="28"/>
              <w:jc w:val="center"/>
            </w:pPr>
            <w:r w:rsidRPr="00656C0A">
              <w:t>290 (100)</w:t>
            </w:r>
          </w:p>
        </w:tc>
      </w:tr>
      <w:tr w:rsidR="003F61D5" w:rsidRPr="00656C0A" w14:paraId="78BD0A56" w14:textId="77777777" w:rsidTr="00CC2838">
        <w:tc>
          <w:tcPr>
            <w:tcW w:w="2552" w:type="dxa"/>
          </w:tcPr>
          <w:p w14:paraId="78BD0A52" w14:textId="77777777" w:rsidR="00DF73BF" w:rsidRPr="00656C0A" w:rsidRDefault="00FB299E" w:rsidP="00545340">
            <w:pPr>
              <w:pStyle w:val="TableParagraph"/>
              <w:tabs>
                <w:tab w:val="left" w:pos="567"/>
              </w:tabs>
              <w:ind w:left="142"/>
              <w:rPr>
                <w:b/>
              </w:rPr>
            </w:pPr>
            <w:r w:rsidRPr="00656C0A">
              <w:rPr>
                <w:b/>
              </w:rPr>
              <w:t>Összes VTE (%)</w:t>
            </w:r>
          </w:p>
        </w:tc>
        <w:tc>
          <w:tcPr>
            <w:tcW w:w="2126" w:type="dxa"/>
          </w:tcPr>
          <w:p w14:paraId="78BD0A53" w14:textId="77777777" w:rsidR="00DF73BF" w:rsidRPr="00656C0A" w:rsidRDefault="00FB299E" w:rsidP="00545340">
            <w:pPr>
              <w:pStyle w:val="TableParagraph"/>
              <w:tabs>
                <w:tab w:val="left" w:pos="567"/>
              </w:tabs>
              <w:ind w:left="56" w:hanging="28"/>
              <w:jc w:val="center"/>
            </w:pPr>
            <w:r w:rsidRPr="00656C0A">
              <w:t>13 (4,4)*</w:t>
            </w:r>
          </w:p>
        </w:tc>
        <w:tc>
          <w:tcPr>
            <w:tcW w:w="2126" w:type="dxa"/>
          </w:tcPr>
          <w:p w14:paraId="78BD0A54" w14:textId="77777777" w:rsidR="00DF73BF" w:rsidRPr="00656C0A" w:rsidRDefault="00FB299E" w:rsidP="00545340">
            <w:pPr>
              <w:pStyle w:val="TableParagraph"/>
              <w:tabs>
                <w:tab w:val="left" w:pos="567"/>
              </w:tabs>
              <w:ind w:left="56" w:hanging="28"/>
              <w:jc w:val="center"/>
            </w:pPr>
            <w:r w:rsidRPr="00656C0A">
              <w:t>9 (2,9</w:t>
            </w:r>
            <w:hyperlink r:id="rId13">
              <w:r w:rsidRPr="00656C0A">
                <w:t>)*</w:t>
              </w:r>
            </w:hyperlink>
          </w:p>
        </w:tc>
        <w:tc>
          <w:tcPr>
            <w:tcW w:w="1843" w:type="dxa"/>
          </w:tcPr>
          <w:p w14:paraId="78BD0A55" w14:textId="77777777" w:rsidR="00DF73BF" w:rsidRPr="00656C0A" w:rsidRDefault="00FB299E" w:rsidP="00545340">
            <w:pPr>
              <w:pStyle w:val="TableParagraph"/>
              <w:tabs>
                <w:tab w:val="left" w:pos="567"/>
              </w:tabs>
              <w:ind w:left="56" w:hanging="28"/>
              <w:jc w:val="center"/>
            </w:pPr>
            <w:r w:rsidRPr="00656C0A">
              <w:t>12 (4,1)</w:t>
            </w:r>
          </w:p>
        </w:tc>
      </w:tr>
      <w:tr w:rsidR="003F61D5" w:rsidRPr="00656C0A" w14:paraId="78BD0A5B" w14:textId="77777777" w:rsidTr="00CC2838">
        <w:tc>
          <w:tcPr>
            <w:tcW w:w="2552" w:type="dxa"/>
          </w:tcPr>
          <w:p w14:paraId="78BD0A57" w14:textId="77777777" w:rsidR="00DF73BF" w:rsidRPr="00656C0A" w:rsidRDefault="00FB299E" w:rsidP="00545340">
            <w:pPr>
              <w:pStyle w:val="TableParagraph"/>
              <w:numPr>
                <w:ilvl w:val="0"/>
                <w:numId w:val="14"/>
              </w:numPr>
              <w:tabs>
                <w:tab w:val="left" w:pos="567"/>
              </w:tabs>
              <w:ind w:left="567" w:hanging="283"/>
            </w:pPr>
            <w:r w:rsidRPr="00656C0A">
              <w:t>Csak DVT (%)</w:t>
            </w:r>
          </w:p>
        </w:tc>
        <w:tc>
          <w:tcPr>
            <w:tcW w:w="2126" w:type="dxa"/>
          </w:tcPr>
          <w:p w14:paraId="78BD0A58" w14:textId="77777777" w:rsidR="00DF73BF" w:rsidRPr="00656C0A" w:rsidRDefault="00FB299E" w:rsidP="00545340">
            <w:pPr>
              <w:pStyle w:val="TableParagraph"/>
              <w:tabs>
                <w:tab w:val="left" w:pos="567"/>
              </w:tabs>
              <w:ind w:left="56" w:hanging="28"/>
              <w:jc w:val="center"/>
            </w:pPr>
            <w:r w:rsidRPr="00656C0A">
              <w:t>11 (3,7)</w:t>
            </w:r>
          </w:p>
        </w:tc>
        <w:tc>
          <w:tcPr>
            <w:tcW w:w="2126" w:type="dxa"/>
          </w:tcPr>
          <w:p w14:paraId="78BD0A59" w14:textId="77777777" w:rsidR="00DF73BF" w:rsidRPr="00656C0A" w:rsidRDefault="00FB299E" w:rsidP="00545340">
            <w:pPr>
              <w:pStyle w:val="TableParagraph"/>
              <w:tabs>
                <w:tab w:val="left" w:pos="567"/>
              </w:tabs>
              <w:ind w:left="56" w:hanging="28"/>
              <w:jc w:val="center"/>
            </w:pPr>
            <w:r w:rsidRPr="00656C0A">
              <w:t>7 (2,2)</w:t>
            </w:r>
          </w:p>
        </w:tc>
        <w:tc>
          <w:tcPr>
            <w:tcW w:w="1843" w:type="dxa"/>
          </w:tcPr>
          <w:p w14:paraId="78BD0A5A" w14:textId="77777777" w:rsidR="00DF73BF" w:rsidRPr="00656C0A" w:rsidRDefault="00FB299E" w:rsidP="00545340">
            <w:pPr>
              <w:pStyle w:val="TableParagraph"/>
              <w:tabs>
                <w:tab w:val="left" w:pos="567"/>
              </w:tabs>
              <w:ind w:left="56" w:hanging="28"/>
              <w:jc w:val="center"/>
            </w:pPr>
            <w:r w:rsidRPr="00656C0A">
              <w:t>8 (2,8)</w:t>
            </w:r>
          </w:p>
        </w:tc>
      </w:tr>
      <w:tr w:rsidR="003F61D5" w:rsidRPr="00656C0A" w14:paraId="78BD0A60" w14:textId="77777777" w:rsidTr="00CC2838">
        <w:tc>
          <w:tcPr>
            <w:tcW w:w="2552" w:type="dxa"/>
          </w:tcPr>
          <w:p w14:paraId="78BD0A5C" w14:textId="77777777" w:rsidR="00DF73BF" w:rsidRPr="00656C0A" w:rsidRDefault="00FB299E" w:rsidP="00545340">
            <w:pPr>
              <w:pStyle w:val="TableParagraph"/>
              <w:numPr>
                <w:ilvl w:val="0"/>
                <w:numId w:val="13"/>
              </w:numPr>
              <w:tabs>
                <w:tab w:val="left" w:pos="567"/>
              </w:tabs>
              <w:ind w:left="567" w:hanging="283"/>
            </w:pPr>
            <w:r w:rsidRPr="00656C0A">
              <w:t>Proximális DVT</w:t>
            </w:r>
            <w:r w:rsidR="003F61D5">
              <w:t xml:space="preserve"> </w:t>
            </w:r>
            <w:r w:rsidRPr="00656C0A">
              <w:t>(%)</w:t>
            </w:r>
          </w:p>
        </w:tc>
        <w:tc>
          <w:tcPr>
            <w:tcW w:w="2126" w:type="dxa"/>
          </w:tcPr>
          <w:p w14:paraId="78BD0A5D" w14:textId="77777777" w:rsidR="00DF73BF" w:rsidRPr="00656C0A" w:rsidRDefault="00FB299E" w:rsidP="00545340">
            <w:pPr>
              <w:pStyle w:val="TableParagraph"/>
              <w:tabs>
                <w:tab w:val="left" w:pos="567"/>
              </w:tabs>
              <w:ind w:left="56" w:hanging="28"/>
              <w:jc w:val="center"/>
            </w:pPr>
            <w:r w:rsidRPr="00656C0A">
              <w:t>9 (3,0)</w:t>
            </w:r>
          </w:p>
        </w:tc>
        <w:tc>
          <w:tcPr>
            <w:tcW w:w="2126" w:type="dxa"/>
          </w:tcPr>
          <w:p w14:paraId="78BD0A5E" w14:textId="77777777" w:rsidR="00DF73BF" w:rsidRPr="00656C0A" w:rsidRDefault="00FB299E" w:rsidP="00545340">
            <w:pPr>
              <w:pStyle w:val="TableParagraph"/>
              <w:tabs>
                <w:tab w:val="left" w:pos="567"/>
              </w:tabs>
              <w:ind w:left="56" w:hanging="28"/>
              <w:jc w:val="center"/>
            </w:pPr>
            <w:r w:rsidRPr="00656C0A">
              <w:t>6 (1,9)</w:t>
            </w:r>
          </w:p>
        </w:tc>
        <w:tc>
          <w:tcPr>
            <w:tcW w:w="1843" w:type="dxa"/>
          </w:tcPr>
          <w:p w14:paraId="78BD0A5F" w14:textId="77777777" w:rsidR="00DF73BF" w:rsidRPr="00656C0A" w:rsidRDefault="00FB299E" w:rsidP="00545340">
            <w:pPr>
              <w:pStyle w:val="TableParagraph"/>
              <w:tabs>
                <w:tab w:val="left" w:pos="567"/>
              </w:tabs>
              <w:ind w:left="56" w:hanging="28"/>
              <w:jc w:val="center"/>
            </w:pPr>
            <w:r w:rsidRPr="00656C0A">
              <w:t>7 (2,4)</w:t>
            </w:r>
          </w:p>
        </w:tc>
      </w:tr>
      <w:tr w:rsidR="003F61D5" w:rsidRPr="00656C0A" w14:paraId="78BD0A65" w14:textId="77777777" w:rsidTr="00CC2838">
        <w:tc>
          <w:tcPr>
            <w:tcW w:w="2552" w:type="dxa"/>
          </w:tcPr>
          <w:p w14:paraId="78BD0A61" w14:textId="77777777" w:rsidR="00DF73BF" w:rsidRPr="00656C0A" w:rsidRDefault="00FB299E" w:rsidP="00545340">
            <w:pPr>
              <w:pStyle w:val="TableParagraph"/>
              <w:numPr>
                <w:ilvl w:val="0"/>
                <w:numId w:val="24"/>
              </w:numPr>
              <w:tabs>
                <w:tab w:val="left" w:pos="567"/>
              </w:tabs>
              <w:ind w:left="567" w:hanging="283"/>
            </w:pPr>
            <w:r w:rsidRPr="00656C0A">
              <w:t>PE (%)</w:t>
            </w:r>
          </w:p>
        </w:tc>
        <w:tc>
          <w:tcPr>
            <w:tcW w:w="2126" w:type="dxa"/>
          </w:tcPr>
          <w:p w14:paraId="78BD0A62" w14:textId="77777777" w:rsidR="00DF73BF" w:rsidRPr="00656C0A" w:rsidRDefault="00FB299E" w:rsidP="00545340">
            <w:pPr>
              <w:pStyle w:val="TableParagraph"/>
              <w:tabs>
                <w:tab w:val="left" w:pos="567"/>
              </w:tabs>
              <w:ind w:left="56" w:hanging="28"/>
              <w:jc w:val="center"/>
            </w:pPr>
            <w:r w:rsidRPr="00656C0A">
              <w:t>2 (0,7)</w:t>
            </w:r>
          </w:p>
        </w:tc>
        <w:tc>
          <w:tcPr>
            <w:tcW w:w="2126" w:type="dxa"/>
          </w:tcPr>
          <w:p w14:paraId="78BD0A63" w14:textId="77777777" w:rsidR="00DF73BF" w:rsidRPr="00656C0A" w:rsidRDefault="00FB299E" w:rsidP="00545340">
            <w:pPr>
              <w:pStyle w:val="TableParagraph"/>
              <w:tabs>
                <w:tab w:val="left" w:pos="567"/>
              </w:tabs>
              <w:ind w:left="56" w:hanging="28"/>
              <w:jc w:val="center"/>
            </w:pPr>
            <w:r w:rsidRPr="00656C0A">
              <w:t>2 (0,6)</w:t>
            </w:r>
          </w:p>
        </w:tc>
        <w:tc>
          <w:tcPr>
            <w:tcW w:w="1843" w:type="dxa"/>
          </w:tcPr>
          <w:p w14:paraId="78BD0A64" w14:textId="77777777" w:rsidR="00DF73BF" w:rsidRPr="00656C0A" w:rsidRDefault="00FB299E" w:rsidP="00545340">
            <w:pPr>
              <w:pStyle w:val="TableParagraph"/>
              <w:tabs>
                <w:tab w:val="left" w:pos="567"/>
              </w:tabs>
              <w:ind w:left="56" w:hanging="28"/>
              <w:jc w:val="center"/>
            </w:pPr>
            <w:r w:rsidRPr="00656C0A">
              <w:t>4 (1,4)</w:t>
            </w:r>
          </w:p>
        </w:tc>
      </w:tr>
      <w:tr w:rsidR="00DF73BF" w:rsidRPr="00656C0A" w14:paraId="78BD0A69" w14:textId="77777777" w:rsidTr="00CC2838">
        <w:tc>
          <w:tcPr>
            <w:tcW w:w="8647" w:type="dxa"/>
            <w:gridSpan w:val="4"/>
          </w:tcPr>
          <w:p w14:paraId="78BD0A66" w14:textId="77777777" w:rsidR="00DF73BF" w:rsidRPr="00656C0A" w:rsidRDefault="00FB299E" w:rsidP="00545340">
            <w:pPr>
              <w:pStyle w:val="TableParagraph"/>
              <w:tabs>
                <w:tab w:val="left" w:pos="567"/>
              </w:tabs>
              <w:ind w:left="28"/>
            </w:pPr>
            <w:r w:rsidRPr="00656C0A">
              <w:t>VTE = vénás tromboembóliás esemény (mélyvénás trombózis és/vagy tüdőembólia) Az összes VTE kezelési különbsége: CI (95%):</w:t>
            </w:r>
          </w:p>
          <w:p w14:paraId="78BD0A67" w14:textId="77777777" w:rsidR="00DF73BF" w:rsidRPr="00656C0A" w:rsidRDefault="00FB299E" w:rsidP="00545340">
            <w:pPr>
              <w:pStyle w:val="TableParagraph"/>
              <w:numPr>
                <w:ilvl w:val="0"/>
                <w:numId w:val="12"/>
              </w:numPr>
              <w:tabs>
                <w:tab w:val="left" w:pos="567"/>
              </w:tabs>
              <w:ind w:left="28" w:firstLine="539"/>
            </w:pPr>
            <w:r w:rsidRPr="00656C0A">
              <w:t>napi egyszeri enoxaparin-nátrium vs</w:t>
            </w:r>
            <w:r w:rsidR="003F61D5">
              <w:t>.</w:t>
            </w:r>
            <w:r w:rsidRPr="00656C0A">
              <w:t xml:space="preserve"> heparin (-3,0–3,5)</w:t>
            </w:r>
          </w:p>
          <w:p w14:paraId="78BD0A68" w14:textId="77777777" w:rsidR="00DF73BF" w:rsidRPr="00656C0A" w:rsidRDefault="00FB299E" w:rsidP="00545340">
            <w:pPr>
              <w:pStyle w:val="TableParagraph"/>
              <w:numPr>
                <w:ilvl w:val="0"/>
                <w:numId w:val="12"/>
              </w:numPr>
              <w:tabs>
                <w:tab w:val="left" w:pos="567"/>
              </w:tabs>
              <w:ind w:left="28" w:firstLine="539"/>
            </w:pPr>
            <w:r w:rsidRPr="00656C0A">
              <w:t>12 óránként alkalmazott enoxaparin-nátrium vs</w:t>
            </w:r>
            <w:r w:rsidR="003F61D5">
              <w:t>.</w:t>
            </w:r>
            <w:r w:rsidRPr="00656C0A">
              <w:t xml:space="preserve"> heparin (-4,2–1,7).</w:t>
            </w:r>
          </w:p>
        </w:tc>
      </w:tr>
    </w:tbl>
    <w:p w14:paraId="78BD0A6A" w14:textId="77777777" w:rsidR="00DF73BF" w:rsidRPr="00656C0A" w:rsidRDefault="00DF73BF" w:rsidP="00545340">
      <w:pPr>
        <w:pStyle w:val="Szvegtrzs"/>
        <w:tabs>
          <w:tab w:val="left" w:pos="567"/>
        </w:tabs>
        <w:ind w:left="567" w:hanging="567"/>
      </w:pPr>
    </w:p>
    <w:p w14:paraId="78BD0A6B" w14:textId="77777777" w:rsidR="00DF73BF" w:rsidRPr="00656C0A" w:rsidRDefault="00FB299E" w:rsidP="00545340">
      <w:pPr>
        <w:pStyle w:val="Szvegtrzs"/>
        <w:tabs>
          <w:tab w:val="left" w:pos="567"/>
        </w:tabs>
        <w:ind w:left="567"/>
      </w:pPr>
      <w:r w:rsidRPr="00656C0A">
        <w:t>Jelentős vérzés 1,7%-ban jelentkezett a napi egyszer 150 NE/kg (1,5 mg/kg) enoxaparin</w:t>
      </w:r>
      <w:r w:rsidR="0080651B">
        <w:noBreakHyphen/>
      </w:r>
      <w:r w:rsidRPr="00656C0A">
        <w:t>nátriumot, 1,3%-ban a napi kétszer 100 NE/kg (1 mg/kg) enoxaparin-nátriumot, valamint 2,1%-ban a heparint alkalmazó csoportban.</w:t>
      </w:r>
    </w:p>
    <w:p w14:paraId="78BD0A6C" w14:textId="0C03D6BA" w:rsidR="00DF73BF" w:rsidRPr="00456210" w:rsidRDefault="00DF73BF" w:rsidP="00545340">
      <w:pPr>
        <w:pStyle w:val="Szvegtrzs"/>
        <w:tabs>
          <w:tab w:val="left" w:pos="567"/>
        </w:tabs>
        <w:ind w:left="567" w:hanging="567"/>
      </w:pPr>
    </w:p>
    <w:p w14:paraId="09B2D01C" w14:textId="59966353" w:rsidR="00456210" w:rsidRPr="00CE6397" w:rsidRDefault="00456210" w:rsidP="00456210">
      <w:pPr>
        <w:rPr>
          <w:i/>
          <w:iCs/>
          <w:sz w:val="20"/>
          <w:u w:val="single"/>
        </w:rPr>
      </w:pPr>
      <w:bookmarkStart w:id="6" w:name="_Hlk108433471"/>
      <w:r w:rsidRPr="00E41443">
        <w:rPr>
          <w:i/>
          <w:iCs/>
          <w:lang w:val="it-IT"/>
        </w:rPr>
        <w:t>Mélyvénás trombózis (DVT) és tüdőembólia (PE)</w:t>
      </w:r>
      <w:r w:rsidRPr="00E41443">
        <w:t xml:space="preserve"> </w:t>
      </w:r>
      <w:r w:rsidRPr="00E41443">
        <w:rPr>
          <w:i/>
          <w:iCs/>
        </w:rPr>
        <w:t xml:space="preserve">tartós kezelése és kiújulásának megelőzése aktív </w:t>
      </w:r>
      <w:r w:rsidR="00A84821">
        <w:rPr>
          <w:i/>
          <w:iCs/>
        </w:rPr>
        <w:t>daganat</w:t>
      </w:r>
      <w:r w:rsidR="00207FD8">
        <w:rPr>
          <w:i/>
          <w:iCs/>
        </w:rPr>
        <w:t xml:space="preserve">os </w:t>
      </w:r>
      <w:r w:rsidRPr="00CE6397">
        <w:rPr>
          <w:i/>
          <w:iCs/>
        </w:rPr>
        <w:t>betegségben szenvedő betegeknél</w:t>
      </w:r>
    </w:p>
    <w:p w14:paraId="2BE66B3C" w14:textId="796D59A4" w:rsidR="00456210" w:rsidRPr="00E41443" w:rsidRDefault="00456210" w:rsidP="00456210">
      <w:r w:rsidRPr="00CE6397">
        <w:t>Korlátozott számú beteg részvételével végzett klinikai vizsgálatokban a kiújuló VTE aránya a 3</w:t>
      </w:r>
      <w:r w:rsidRPr="00CE6397">
        <w:noBreakHyphen/>
        <w:t>6</w:t>
      </w:r>
      <w:r w:rsidR="00207FD8">
        <w:t> </w:t>
      </w:r>
      <w:r w:rsidRPr="00CE6397">
        <w:t>hónapon át napi egyszer vagy kétszer enoxaparinnal kezelt betegeknél hasonló</w:t>
      </w:r>
      <w:r w:rsidR="00FC1B00">
        <w:t>nak</w:t>
      </w:r>
      <w:r w:rsidRPr="00E41443">
        <w:t xml:space="preserve"> </w:t>
      </w:r>
      <w:r w:rsidR="00FC1B00" w:rsidRPr="003B16E4">
        <w:rPr>
          <w:lang w:val="hu-HU" w:eastAsia="ar-SA"/>
        </w:rPr>
        <w:t>tűnik</w:t>
      </w:r>
      <w:r w:rsidR="00FC1B00" w:rsidRPr="00FC1B00">
        <w:t xml:space="preserve"> </w:t>
      </w:r>
      <w:r w:rsidRPr="00E41443">
        <w:t>a warfarinnal kezelt betegekéhez.</w:t>
      </w:r>
    </w:p>
    <w:p w14:paraId="41ACA4F4" w14:textId="77777777" w:rsidR="00456210" w:rsidRPr="00E41443" w:rsidRDefault="00456210" w:rsidP="00456210"/>
    <w:p w14:paraId="1740FB69" w14:textId="6236837D" w:rsidR="00456210" w:rsidRPr="00CE6397" w:rsidRDefault="00456210" w:rsidP="00456210">
      <w:r w:rsidRPr="00E41443">
        <w:t>A valós körülmények közötti hatásosságot a VTE</w:t>
      </w:r>
      <w:r w:rsidR="00DA7450">
        <w:t>-ben</w:t>
      </w:r>
      <w:r w:rsidRPr="00E41443">
        <w:t xml:space="preserve"> és más tromboembóliás állapotokban szenvedő betegek nyilvántartására létrehozott nemzetközi regiszter, a RIETE segítségével, 4451 </w:t>
      </w:r>
      <w:r w:rsidR="00DA7450" w:rsidRPr="003B16E4">
        <w:rPr>
          <w:lang w:val="hu-HU" w:eastAsia="ar-SA"/>
        </w:rPr>
        <w:t xml:space="preserve">szimptomatikus </w:t>
      </w:r>
      <w:r w:rsidRPr="00E41443">
        <w:t xml:space="preserve">VTE-s és aktív tumoros beteg </w:t>
      </w:r>
      <w:r w:rsidR="00DA7450">
        <w:t xml:space="preserve">alkotta </w:t>
      </w:r>
      <w:r w:rsidRPr="00E41443">
        <w:t>kohorsz</w:t>
      </w:r>
      <w:r w:rsidR="00DA7450">
        <w:t xml:space="preserve">ban </w:t>
      </w:r>
      <w:r w:rsidRPr="00CE6397">
        <w:t>értékelték.</w:t>
      </w:r>
    </w:p>
    <w:p w14:paraId="32F9ABA9" w14:textId="15B27DC7" w:rsidR="00456210" w:rsidRPr="00CE6397" w:rsidRDefault="00456210" w:rsidP="00456210">
      <w:pPr>
        <w:pStyle w:val="Jegyzetszveg"/>
        <w:rPr>
          <w:sz w:val="22"/>
          <w:szCs w:val="22"/>
          <w:lang w:val="hu-HU"/>
        </w:rPr>
      </w:pPr>
      <w:r w:rsidRPr="00CE6397">
        <w:t xml:space="preserve">3526 beteg sc. enoxaparint kapott legfeljebb 6 hónapig, és 925 beteg kapott sc. tinzaparint vagy dalteparint. </w:t>
      </w:r>
      <w:bookmarkStart w:id="7" w:name="_Hlk74556510"/>
      <w:r w:rsidRPr="00CE6397">
        <w:t>Az enoxaparin-kezelésben részesülő 3526 beteg közül 891 beteg kapott naponta egyszer 1,5 mg/kg adagot mind a bevezető, mind a tartós kezelésben legfeljebb 6 hónapig (csak naponta egyszer), 1854 beteg kapott naponta kétszer 1,0 mg/kg adagot mind bevezető, mind tartós kezelésként legfeljebb 6 hónapig (csak naponta kétszer), és 687 beteg kapott naponta kétszer 1,0 mg/kg dózist kezdeti terápiaként, majd naponta egyszer 1,5 mg/kg dózist a tartós kezelésben (naponta kétszer - naponta egyszer) legfeljebb 6 hónapig. A kezelés átlagos időtartama a</w:t>
      </w:r>
      <w:r w:rsidR="004C5AD2">
        <w:rPr>
          <w:sz w:val="22"/>
          <w:szCs w:val="22"/>
        </w:rPr>
        <w:t>z</w:t>
      </w:r>
      <w:r w:rsidRPr="00E41443">
        <w:rPr>
          <w:sz w:val="22"/>
          <w:szCs w:val="22"/>
        </w:rPr>
        <w:t xml:space="preserve"> </w:t>
      </w:r>
      <w:r w:rsidR="004C5AD2" w:rsidRPr="00E41443">
        <w:rPr>
          <w:sz w:val="22"/>
          <w:szCs w:val="22"/>
          <w:lang w:val="hu-HU" w:eastAsia="ar-SA"/>
        </w:rPr>
        <w:t>adagolási rend</w:t>
      </w:r>
      <w:r w:rsidRPr="00CE6397">
        <w:t xml:space="preserve"> módosításáig 17 nap volt, középértéke 8 nap.</w:t>
      </w:r>
      <w:bookmarkEnd w:id="7"/>
      <w:r w:rsidRPr="00CE6397">
        <w:t xml:space="preserve"> A VTE kiújulási arányában nem volt szignifikáns különbség a két kezelési csoport között (lásd a lenti táblázatot), mivel az enoxaparin megfelelt az előre meghatározott 1,5-es </w:t>
      </w:r>
      <w:r w:rsidR="0020605E" w:rsidRPr="00E41443">
        <w:rPr>
          <w:sz w:val="22"/>
          <w:szCs w:val="22"/>
          <w:lang w:val="hu-HU" w:eastAsia="ar-SA"/>
        </w:rPr>
        <w:t>non-inferioritási</w:t>
      </w:r>
      <w:r w:rsidR="00207FD8">
        <w:rPr>
          <w:sz w:val="22"/>
          <w:szCs w:val="22"/>
          <w:lang w:val="hu-HU" w:eastAsia="ar-SA"/>
        </w:rPr>
        <w:t xml:space="preserve"> </w:t>
      </w:r>
      <w:r w:rsidRPr="00CE6397">
        <w:rPr>
          <w:sz w:val="22"/>
          <w:szCs w:val="22"/>
          <w:lang w:val="hu-HU"/>
        </w:rPr>
        <w:t xml:space="preserve">nem rosszabb mint” (non inferiority) kritériumnak (a releváns </w:t>
      </w:r>
      <w:r w:rsidR="00B36226" w:rsidRPr="00E41443">
        <w:rPr>
          <w:sz w:val="22"/>
          <w:szCs w:val="22"/>
          <w:lang w:val="hu-HU" w:eastAsia="ar-SA"/>
        </w:rPr>
        <w:t>együttjáró változókkal korrigált</w:t>
      </w:r>
      <w:r w:rsidR="00B36226">
        <w:rPr>
          <w:lang w:val="hu-HU" w:eastAsia="ar-SA"/>
        </w:rPr>
        <w:t xml:space="preserve"> </w:t>
      </w:r>
      <w:r w:rsidRPr="00E41443">
        <w:rPr>
          <w:sz w:val="22"/>
          <w:szCs w:val="22"/>
          <w:lang w:val="hu-HU"/>
        </w:rPr>
        <w:t>relatív</w:t>
      </w:r>
      <w:r w:rsidR="00207FD8">
        <w:rPr>
          <w:sz w:val="22"/>
          <w:szCs w:val="22"/>
          <w:lang w:val="hu-HU"/>
        </w:rPr>
        <w:t xml:space="preserve"> </w:t>
      </w:r>
      <w:r w:rsidR="0003581D" w:rsidRPr="00556766">
        <w:rPr>
          <w:sz w:val="22"/>
          <w:szCs w:val="22"/>
          <w:lang w:val="hu-HU" w:eastAsia="ar-SA"/>
        </w:rPr>
        <w:t>hazárd</w:t>
      </w:r>
      <w:r w:rsidRPr="00E41443">
        <w:rPr>
          <w:sz w:val="22"/>
          <w:szCs w:val="22"/>
          <w:lang w:val="hu-HU"/>
        </w:rPr>
        <w:t xml:space="preserve">: 0,817, 95%-os CI: 0,499-1,336). A két kezelési csoport </w:t>
      </w:r>
      <w:bookmarkStart w:id="8" w:name="_Hlk65595274"/>
      <w:r w:rsidR="00A56339" w:rsidRPr="00556766">
        <w:rPr>
          <w:sz w:val="22"/>
          <w:szCs w:val="22"/>
          <w:lang w:val="hu-HU" w:eastAsia="ar-SA"/>
        </w:rPr>
        <w:t xml:space="preserve">között nem volt statisztikailag szignifikáns különbség </w:t>
      </w:r>
      <w:r w:rsidRPr="00E41443">
        <w:rPr>
          <w:sz w:val="22"/>
          <w:szCs w:val="22"/>
          <w:lang w:val="hu-HU"/>
        </w:rPr>
        <w:t xml:space="preserve">a súlyos (halálos vagy nem halálos) vérzések és </w:t>
      </w:r>
      <w:r w:rsidR="008C38A8" w:rsidRPr="00E41443">
        <w:rPr>
          <w:sz w:val="22"/>
          <w:szCs w:val="22"/>
          <w:lang w:val="hu-HU"/>
        </w:rPr>
        <w:t xml:space="preserve">a </w:t>
      </w:r>
      <w:r w:rsidRPr="00E41443">
        <w:rPr>
          <w:sz w:val="22"/>
          <w:szCs w:val="22"/>
          <w:lang w:val="hu-HU"/>
        </w:rPr>
        <w:t>bármilyen ok</w:t>
      </w:r>
      <w:r w:rsidR="008C38A8" w:rsidRPr="00556766">
        <w:rPr>
          <w:sz w:val="22"/>
          <w:szCs w:val="22"/>
          <w:lang w:val="hu-HU" w:eastAsia="ar-SA"/>
        </w:rPr>
        <w:t>ból bekövetkezett</w:t>
      </w:r>
      <w:r w:rsidRPr="00CE6397">
        <w:rPr>
          <w:sz w:val="22"/>
          <w:szCs w:val="22"/>
          <w:lang w:val="hu-HU"/>
        </w:rPr>
        <w:t xml:space="preserve"> halálozás relatív kockázata szempontjából </w:t>
      </w:r>
      <w:bookmarkEnd w:id="8"/>
      <w:r w:rsidRPr="00CE6397">
        <w:rPr>
          <w:sz w:val="22"/>
          <w:szCs w:val="22"/>
          <w:lang w:val="hu-HU"/>
        </w:rPr>
        <w:t>(lásd az alábbi táblázatot).</w:t>
      </w:r>
    </w:p>
    <w:p w14:paraId="2F3B34EF" w14:textId="77777777" w:rsidR="00456210" w:rsidRPr="00CE6397" w:rsidRDefault="00456210" w:rsidP="00456210">
      <w:pPr>
        <w:rPr>
          <w:lang w:val="hu-HU"/>
        </w:rPr>
      </w:pPr>
    </w:p>
    <w:p w14:paraId="0D6A73B1" w14:textId="77777777" w:rsidR="00456210" w:rsidRPr="00CE6397" w:rsidRDefault="00456210" w:rsidP="00456210">
      <w:pPr>
        <w:jc w:val="center"/>
        <w:rPr>
          <w:rFonts w:cs="Tahoma"/>
          <w:b/>
          <w:bCs/>
          <w:lang w:val="hu-HU"/>
        </w:rPr>
      </w:pPr>
      <w:r w:rsidRPr="00CE6397">
        <w:rPr>
          <w:rFonts w:cs="Tahoma"/>
          <w:b/>
          <w:bCs/>
          <w:lang w:val="hu-HU"/>
        </w:rPr>
        <w:t>Táblázat: A hatásosságra és biztonságosságra vonatkozó eredmények a RIETECAT vizsgálatban</w:t>
      </w:r>
    </w:p>
    <w:p w14:paraId="47E50FFD" w14:textId="77777777" w:rsidR="00456210" w:rsidRPr="00CE6397" w:rsidRDefault="00456210" w:rsidP="00456210">
      <w:pPr>
        <w:jc w:val="center"/>
        <w:rPr>
          <w:rFonts w:cs="Tahoma"/>
          <w:b/>
          <w:bCs/>
          <w:lang w:val="hu-HU"/>
        </w:rPr>
      </w:pPr>
    </w:p>
    <w:tbl>
      <w:tblPr>
        <w:tblW w:w="5000" w:type="pct"/>
        <w:jc w:val="center"/>
        <w:tblCellMar>
          <w:left w:w="70" w:type="dxa"/>
          <w:right w:w="70" w:type="dxa"/>
        </w:tblCellMar>
        <w:tblLook w:val="04A0" w:firstRow="1" w:lastRow="0" w:firstColumn="1" w:lastColumn="0" w:noHBand="0" w:noVBand="1"/>
      </w:tblPr>
      <w:tblGrid>
        <w:gridCol w:w="1597"/>
        <w:gridCol w:w="1677"/>
        <w:gridCol w:w="2074"/>
        <w:gridCol w:w="3716"/>
      </w:tblGrid>
      <w:tr w:rsidR="00456210" w:rsidRPr="00456210" w14:paraId="1048DF3F" w14:textId="77777777" w:rsidTr="00045637">
        <w:trPr>
          <w:trHeight w:val="300"/>
          <w:jc w:val="center"/>
        </w:trPr>
        <w:tc>
          <w:tcPr>
            <w:tcW w:w="881" w:type="pct"/>
            <w:tcBorders>
              <w:top w:val="single" w:sz="4" w:space="0" w:color="auto"/>
              <w:left w:val="single" w:sz="4" w:space="0" w:color="auto"/>
              <w:bottom w:val="single" w:sz="4" w:space="0" w:color="auto"/>
              <w:right w:val="single" w:sz="4" w:space="0" w:color="auto"/>
            </w:tcBorders>
            <w:vAlign w:val="center"/>
          </w:tcPr>
          <w:p w14:paraId="39A329B6" w14:textId="7B8FF9C8" w:rsidR="00456210" w:rsidRPr="00E41443" w:rsidRDefault="006B2313" w:rsidP="00045637">
            <w:pPr>
              <w:rPr>
                <w:rFonts w:cs="Tahoma"/>
                <w:b/>
                <w:bCs/>
                <w:lang w:eastAsia="nl-NL"/>
              </w:rPr>
            </w:pPr>
            <w:r>
              <w:rPr>
                <w:b/>
                <w:bCs/>
                <w:lang w:eastAsia="nl-NL"/>
              </w:rPr>
              <w:t>Kimenetel</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840BED" w14:textId="77777777" w:rsidR="00456210" w:rsidRPr="00E41443" w:rsidRDefault="00456210" w:rsidP="00045637">
            <w:pPr>
              <w:jc w:val="center"/>
              <w:rPr>
                <w:rFonts w:cs="Tahoma"/>
                <w:b/>
                <w:bCs/>
                <w:lang w:eastAsia="nl-NL"/>
              </w:rPr>
            </w:pPr>
            <w:r w:rsidRPr="00E41443">
              <w:rPr>
                <w:b/>
                <w:bCs/>
                <w:lang w:eastAsia="nl-NL"/>
              </w:rPr>
              <w:t>Enoxaparin</w:t>
            </w:r>
            <w:r w:rsidRPr="00E41443">
              <w:rPr>
                <w:b/>
                <w:bCs/>
                <w:lang w:eastAsia="nl-NL"/>
              </w:rPr>
              <w:br/>
              <w:t>n = 3526</w:t>
            </w:r>
          </w:p>
        </w:tc>
        <w:tc>
          <w:tcPr>
            <w:tcW w:w="1144" w:type="pct"/>
            <w:tcBorders>
              <w:top w:val="single" w:sz="4" w:space="0" w:color="auto"/>
              <w:left w:val="nil"/>
              <w:bottom w:val="single" w:sz="4" w:space="0" w:color="auto"/>
              <w:right w:val="single" w:sz="4" w:space="0" w:color="auto"/>
            </w:tcBorders>
            <w:shd w:val="clear" w:color="auto" w:fill="auto"/>
            <w:noWrap/>
            <w:vAlign w:val="center"/>
          </w:tcPr>
          <w:p w14:paraId="3BCA50A6" w14:textId="77777777" w:rsidR="00456210" w:rsidRPr="00E41443" w:rsidRDefault="00456210" w:rsidP="00045637">
            <w:pPr>
              <w:jc w:val="center"/>
              <w:rPr>
                <w:rFonts w:cs="Tahoma"/>
                <w:b/>
                <w:bCs/>
                <w:lang w:eastAsia="nl-NL"/>
              </w:rPr>
            </w:pPr>
            <w:r w:rsidRPr="00E41443">
              <w:rPr>
                <w:b/>
                <w:bCs/>
                <w:lang w:eastAsia="nl-NL"/>
              </w:rPr>
              <w:t>Egyéb LMWH</w:t>
            </w:r>
            <w:r w:rsidRPr="00E41443">
              <w:rPr>
                <w:b/>
                <w:bCs/>
                <w:lang w:eastAsia="nl-NL"/>
              </w:rPr>
              <w:br/>
              <w:t>n = 925</w:t>
            </w:r>
          </w:p>
        </w:tc>
        <w:tc>
          <w:tcPr>
            <w:tcW w:w="2051" w:type="pct"/>
            <w:tcBorders>
              <w:top w:val="single" w:sz="4" w:space="0" w:color="auto"/>
              <w:left w:val="nil"/>
              <w:bottom w:val="single" w:sz="4" w:space="0" w:color="auto"/>
              <w:right w:val="single" w:sz="4" w:space="0" w:color="auto"/>
            </w:tcBorders>
            <w:shd w:val="clear" w:color="auto" w:fill="auto"/>
            <w:noWrap/>
            <w:vAlign w:val="center"/>
          </w:tcPr>
          <w:p w14:paraId="5B84CA11" w14:textId="5D6E5A3A" w:rsidR="00456210" w:rsidRPr="00E41443" w:rsidRDefault="00456210" w:rsidP="00045637">
            <w:pPr>
              <w:jc w:val="center"/>
              <w:rPr>
                <w:rFonts w:cs="Tahoma"/>
                <w:b/>
                <w:bCs/>
                <w:lang w:eastAsia="nl-NL"/>
              </w:rPr>
            </w:pPr>
            <w:r w:rsidRPr="00E41443">
              <w:rPr>
                <w:b/>
                <w:bCs/>
                <w:lang w:eastAsia="nl-NL"/>
              </w:rPr>
              <w:t xml:space="preserve">Korrigált </w:t>
            </w:r>
            <w:r w:rsidR="002E4DC6">
              <w:rPr>
                <w:b/>
                <w:bCs/>
                <w:lang w:val="hu-HU" w:eastAsia="nl-NL"/>
              </w:rPr>
              <w:t>relatív hazárd</w:t>
            </w:r>
            <w:r w:rsidRPr="00E41443">
              <w:rPr>
                <w:b/>
                <w:bCs/>
                <w:lang w:eastAsia="nl-NL"/>
              </w:rPr>
              <w:br/>
              <w:t>enoxaparin / egyéb LMWH</w:t>
            </w:r>
            <w:r w:rsidRPr="00E41443">
              <w:rPr>
                <w:b/>
                <w:bCs/>
                <w:lang w:eastAsia="nl-NL"/>
              </w:rPr>
              <w:br/>
              <w:t>[95%-os CI]</w:t>
            </w:r>
          </w:p>
        </w:tc>
      </w:tr>
      <w:tr w:rsidR="00456210" w:rsidRPr="00456210" w14:paraId="062D15B5" w14:textId="77777777" w:rsidTr="00045637">
        <w:trPr>
          <w:trHeight w:val="300"/>
          <w:jc w:val="center"/>
        </w:trPr>
        <w:tc>
          <w:tcPr>
            <w:tcW w:w="881" w:type="pct"/>
            <w:tcBorders>
              <w:top w:val="single" w:sz="4" w:space="0" w:color="auto"/>
              <w:left w:val="single" w:sz="4" w:space="0" w:color="auto"/>
              <w:bottom w:val="single" w:sz="4" w:space="0" w:color="auto"/>
              <w:right w:val="single" w:sz="4" w:space="0" w:color="auto"/>
            </w:tcBorders>
            <w:vAlign w:val="center"/>
          </w:tcPr>
          <w:p w14:paraId="56A92B08" w14:textId="77777777" w:rsidR="00456210" w:rsidRPr="00556766" w:rsidRDefault="00456210" w:rsidP="00045637">
            <w:pPr>
              <w:rPr>
                <w:rFonts w:cs="Tahoma"/>
                <w:lang w:eastAsia="nl-NL"/>
              </w:rPr>
            </w:pPr>
            <w:r w:rsidRPr="00556766">
              <w:rPr>
                <w:lang w:eastAsia="nl-NL"/>
              </w:rPr>
              <w:t>VTE kiújulása</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E4C61F" w14:textId="77777777" w:rsidR="00456210" w:rsidRPr="00556766" w:rsidRDefault="00456210" w:rsidP="00045637">
            <w:pPr>
              <w:jc w:val="center"/>
              <w:rPr>
                <w:rFonts w:cs="Tahoma"/>
                <w:lang w:eastAsia="nl-NL"/>
              </w:rPr>
            </w:pPr>
            <w:r w:rsidRPr="00556766">
              <w:rPr>
                <w:lang w:eastAsia="nl-NL"/>
              </w:rPr>
              <w:t>70 (2,0%)</w:t>
            </w:r>
          </w:p>
        </w:tc>
        <w:tc>
          <w:tcPr>
            <w:tcW w:w="1144" w:type="pct"/>
            <w:tcBorders>
              <w:top w:val="single" w:sz="4" w:space="0" w:color="auto"/>
              <w:left w:val="nil"/>
              <w:bottom w:val="single" w:sz="4" w:space="0" w:color="auto"/>
              <w:right w:val="single" w:sz="4" w:space="0" w:color="auto"/>
            </w:tcBorders>
            <w:shd w:val="clear" w:color="auto" w:fill="auto"/>
            <w:noWrap/>
            <w:vAlign w:val="center"/>
          </w:tcPr>
          <w:p w14:paraId="0D91628A" w14:textId="77777777" w:rsidR="00456210" w:rsidRPr="00556766" w:rsidRDefault="00456210" w:rsidP="00045637">
            <w:pPr>
              <w:jc w:val="center"/>
              <w:rPr>
                <w:rFonts w:cs="Tahoma"/>
                <w:lang w:eastAsia="nl-NL"/>
              </w:rPr>
            </w:pPr>
            <w:r w:rsidRPr="00556766">
              <w:rPr>
                <w:lang w:eastAsia="nl-NL"/>
              </w:rPr>
              <w:t>23 (2,5%)</w:t>
            </w:r>
          </w:p>
        </w:tc>
        <w:tc>
          <w:tcPr>
            <w:tcW w:w="2051" w:type="pct"/>
            <w:tcBorders>
              <w:top w:val="single" w:sz="4" w:space="0" w:color="auto"/>
              <w:left w:val="nil"/>
              <w:bottom w:val="single" w:sz="4" w:space="0" w:color="auto"/>
              <w:right w:val="single" w:sz="4" w:space="0" w:color="auto"/>
            </w:tcBorders>
            <w:shd w:val="clear" w:color="auto" w:fill="auto"/>
            <w:noWrap/>
            <w:vAlign w:val="center"/>
          </w:tcPr>
          <w:p w14:paraId="1D7E025B" w14:textId="77777777" w:rsidR="00456210" w:rsidRPr="00556766" w:rsidRDefault="00456210" w:rsidP="00045637">
            <w:pPr>
              <w:jc w:val="center"/>
              <w:rPr>
                <w:rFonts w:cs="Tahoma"/>
                <w:lang w:eastAsia="nl-NL"/>
              </w:rPr>
            </w:pPr>
            <w:r w:rsidRPr="00556766">
              <w:rPr>
                <w:lang w:eastAsia="nl-NL"/>
              </w:rPr>
              <w:t>0,817, [0,499-1,336]</w:t>
            </w:r>
          </w:p>
        </w:tc>
      </w:tr>
      <w:tr w:rsidR="00456210" w:rsidRPr="00456210" w14:paraId="36E6E862" w14:textId="77777777" w:rsidTr="00045637">
        <w:trPr>
          <w:trHeight w:val="300"/>
          <w:jc w:val="center"/>
        </w:trPr>
        <w:tc>
          <w:tcPr>
            <w:tcW w:w="881" w:type="pct"/>
            <w:tcBorders>
              <w:top w:val="single" w:sz="4" w:space="0" w:color="auto"/>
              <w:left w:val="single" w:sz="4" w:space="0" w:color="auto"/>
              <w:bottom w:val="single" w:sz="4" w:space="0" w:color="auto"/>
              <w:right w:val="single" w:sz="4" w:space="0" w:color="auto"/>
            </w:tcBorders>
            <w:vAlign w:val="center"/>
          </w:tcPr>
          <w:p w14:paraId="0AA68085" w14:textId="77777777" w:rsidR="00456210" w:rsidRPr="00556766" w:rsidRDefault="00456210" w:rsidP="00045637">
            <w:pPr>
              <w:rPr>
                <w:rFonts w:cs="Tahoma"/>
                <w:lang w:eastAsia="nl-NL"/>
              </w:rPr>
            </w:pPr>
            <w:r w:rsidRPr="00556766">
              <w:rPr>
                <w:lang w:eastAsia="nl-NL"/>
              </w:rPr>
              <w:t>Súlyos vérzés</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9D37E6" w14:textId="77777777" w:rsidR="00456210" w:rsidRPr="00556766" w:rsidRDefault="00456210" w:rsidP="00045637">
            <w:pPr>
              <w:jc w:val="center"/>
              <w:rPr>
                <w:rFonts w:cs="Tahoma"/>
                <w:lang w:eastAsia="nl-NL"/>
              </w:rPr>
            </w:pPr>
            <w:r w:rsidRPr="00556766">
              <w:rPr>
                <w:lang w:eastAsia="nl-NL"/>
              </w:rPr>
              <w:t>111 (3,1%)</w:t>
            </w:r>
          </w:p>
        </w:tc>
        <w:tc>
          <w:tcPr>
            <w:tcW w:w="1144" w:type="pct"/>
            <w:tcBorders>
              <w:top w:val="single" w:sz="4" w:space="0" w:color="auto"/>
              <w:left w:val="nil"/>
              <w:bottom w:val="single" w:sz="4" w:space="0" w:color="auto"/>
              <w:right w:val="single" w:sz="4" w:space="0" w:color="auto"/>
            </w:tcBorders>
            <w:shd w:val="clear" w:color="auto" w:fill="auto"/>
            <w:noWrap/>
            <w:vAlign w:val="center"/>
          </w:tcPr>
          <w:p w14:paraId="1A763445" w14:textId="77777777" w:rsidR="00456210" w:rsidRPr="00556766" w:rsidRDefault="00456210" w:rsidP="00045637">
            <w:pPr>
              <w:jc w:val="center"/>
              <w:rPr>
                <w:rFonts w:cs="Tahoma"/>
                <w:lang w:eastAsia="nl-NL"/>
              </w:rPr>
            </w:pPr>
            <w:r w:rsidRPr="00556766">
              <w:rPr>
                <w:lang w:eastAsia="nl-NL"/>
              </w:rPr>
              <w:t>18 (1,9%)</w:t>
            </w:r>
          </w:p>
        </w:tc>
        <w:tc>
          <w:tcPr>
            <w:tcW w:w="2051" w:type="pct"/>
            <w:tcBorders>
              <w:top w:val="single" w:sz="4" w:space="0" w:color="auto"/>
              <w:left w:val="nil"/>
              <w:bottom w:val="single" w:sz="4" w:space="0" w:color="auto"/>
              <w:right w:val="single" w:sz="4" w:space="0" w:color="auto"/>
            </w:tcBorders>
            <w:shd w:val="clear" w:color="auto" w:fill="auto"/>
            <w:noWrap/>
            <w:vAlign w:val="center"/>
          </w:tcPr>
          <w:p w14:paraId="43BFFA02" w14:textId="77777777" w:rsidR="00456210" w:rsidRPr="00556766" w:rsidRDefault="00456210" w:rsidP="00045637">
            <w:pPr>
              <w:jc w:val="center"/>
              <w:rPr>
                <w:rFonts w:cs="Tahoma"/>
                <w:lang w:eastAsia="nl-NL"/>
              </w:rPr>
            </w:pPr>
            <w:r w:rsidRPr="00556766">
              <w:rPr>
                <w:lang w:eastAsia="nl-NL"/>
              </w:rPr>
              <w:t>1,522, [0,899-2,577]</w:t>
            </w:r>
          </w:p>
        </w:tc>
      </w:tr>
      <w:tr w:rsidR="00456210" w:rsidRPr="00456210" w14:paraId="7D001B73" w14:textId="77777777" w:rsidTr="00045637">
        <w:trPr>
          <w:trHeight w:val="300"/>
          <w:jc w:val="center"/>
        </w:trPr>
        <w:tc>
          <w:tcPr>
            <w:tcW w:w="881" w:type="pct"/>
            <w:tcBorders>
              <w:top w:val="nil"/>
              <w:left w:val="single" w:sz="4" w:space="0" w:color="auto"/>
              <w:bottom w:val="single" w:sz="4" w:space="0" w:color="auto"/>
              <w:right w:val="single" w:sz="4" w:space="0" w:color="auto"/>
            </w:tcBorders>
            <w:vAlign w:val="center"/>
          </w:tcPr>
          <w:p w14:paraId="536DC048" w14:textId="6D88448D" w:rsidR="00456210" w:rsidRPr="00556766" w:rsidRDefault="00456210" w:rsidP="00045637">
            <w:pPr>
              <w:rPr>
                <w:rFonts w:cs="Tahoma"/>
                <w:lang w:eastAsia="nl-NL"/>
              </w:rPr>
            </w:pPr>
            <w:r w:rsidRPr="00556766">
              <w:rPr>
                <w:lang w:eastAsia="nl-NL"/>
              </w:rPr>
              <w:lastRenderedPageBreak/>
              <w:t>Nem súlyos vérzés</w:t>
            </w:r>
          </w:p>
        </w:tc>
        <w:tc>
          <w:tcPr>
            <w:tcW w:w="925" w:type="pct"/>
            <w:tcBorders>
              <w:top w:val="nil"/>
              <w:left w:val="single" w:sz="4" w:space="0" w:color="auto"/>
              <w:bottom w:val="single" w:sz="4" w:space="0" w:color="auto"/>
              <w:right w:val="single" w:sz="4" w:space="0" w:color="auto"/>
            </w:tcBorders>
            <w:shd w:val="clear" w:color="auto" w:fill="auto"/>
            <w:noWrap/>
            <w:vAlign w:val="center"/>
          </w:tcPr>
          <w:p w14:paraId="34766B57" w14:textId="77777777" w:rsidR="00456210" w:rsidRPr="00556766" w:rsidRDefault="00456210" w:rsidP="00045637">
            <w:pPr>
              <w:jc w:val="center"/>
              <w:rPr>
                <w:rFonts w:cs="Tahoma"/>
                <w:lang w:eastAsia="nl-NL"/>
              </w:rPr>
            </w:pPr>
            <w:r w:rsidRPr="00556766">
              <w:rPr>
                <w:lang w:eastAsia="nl-NL"/>
              </w:rPr>
              <w:t>87 (2,5%)</w:t>
            </w:r>
          </w:p>
        </w:tc>
        <w:tc>
          <w:tcPr>
            <w:tcW w:w="1144" w:type="pct"/>
            <w:tcBorders>
              <w:top w:val="nil"/>
              <w:left w:val="nil"/>
              <w:bottom w:val="single" w:sz="4" w:space="0" w:color="auto"/>
              <w:right w:val="single" w:sz="4" w:space="0" w:color="auto"/>
            </w:tcBorders>
            <w:shd w:val="clear" w:color="auto" w:fill="auto"/>
            <w:noWrap/>
            <w:vAlign w:val="center"/>
          </w:tcPr>
          <w:p w14:paraId="3E00B2A3" w14:textId="77777777" w:rsidR="00456210" w:rsidRPr="00556766" w:rsidRDefault="00456210" w:rsidP="00045637">
            <w:pPr>
              <w:jc w:val="center"/>
              <w:rPr>
                <w:rFonts w:cs="Tahoma"/>
                <w:lang w:eastAsia="nl-NL"/>
              </w:rPr>
            </w:pPr>
            <w:r w:rsidRPr="00556766">
              <w:rPr>
                <w:lang w:eastAsia="nl-NL"/>
              </w:rPr>
              <w:t>24 (2,6%)</w:t>
            </w:r>
          </w:p>
        </w:tc>
        <w:tc>
          <w:tcPr>
            <w:tcW w:w="2051" w:type="pct"/>
            <w:tcBorders>
              <w:top w:val="nil"/>
              <w:left w:val="nil"/>
              <w:bottom w:val="single" w:sz="4" w:space="0" w:color="auto"/>
              <w:right w:val="single" w:sz="4" w:space="0" w:color="auto"/>
            </w:tcBorders>
            <w:shd w:val="clear" w:color="auto" w:fill="auto"/>
            <w:noWrap/>
            <w:vAlign w:val="center"/>
          </w:tcPr>
          <w:p w14:paraId="3BD1DC60" w14:textId="77777777" w:rsidR="00456210" w:rsidRPr="00556766" w:rsidRDefault="00456210" w:rsidP="00045637">
            <w:pPr>
              <w:jc w:val="center"/>
              <w:rPr>
                <w:rFonts w:cs="Tahoma"/>
                <w:lang w:eastAsia="nl-NL"/>
              </w:rPr>
            </w:pPr>
            <w:r w:rsidRPr="00556766">
              <w:rPr>
                <w:lang w:eastAsia="nl-NL"/>
              </w:rPr>
              <w:t>0,881, [0,550-1,410]</w:t>
            </w:r>
          </w:p>
        </w:tc>
      </w:tr>
      <w:tr w:rsidR="00456210" w:rsidRPr="00456210" w14:paraId="4C62182F" w14:textId="77777777" w:rsidTr="00045637">
        <w:trPr>
          <w:trHeight w:val="300"/>
          <w:jc w:val="center"/>
        </w:trPr>
        <w:tc>
          <w:tcPr>
            <w:tcW w:w="881" w:type="pct"/>
            <w:tcBorders>
              <w:top w:val="nil"/>
              <w:left w:val="single" w:sz="4" w:space="0" w:color="auto"/>
              <w:bottom w:val="single" w:sz="4" w:space="0" w:color="auto"/>
              <w:right w:val="single" w:sz="4" w:space="0" w:color="auto"/>
            </w:tcBorders>
            <w:vAlign w:val="center"/>
          </w:tcPr>
          <w:p w14:paraId="0829FD0C" w14:textId="77777777" w:rsidR="00456210" w:rsidRPr="00556766" w:rsidRDefault="00456210" w:rsidP="00045637">
            <w:pPr>
              <w:rPr>
                <w:rFonts w:cs="Tahoma"/>
                <w:lang w:eastAsia="nl-NL"/>
              </w:rPr>
            </w:pPr>
            <w:r w:rsidRPr="00556766">
              <w:rPr>
                <w:lang w:eastAsia="nl-NL"/>
              </w:rPr>
              <w:t>Összes halálozás</w:t>
            </w:r>
          </w:p>
        </w:tc>
        <w:tc>
          <w:tcPr>
            <w:tcW w:w="925" w:type="pct"/>
            <w:tcBorders>
              <w:top w:val="nil"/>
              <w:left w:val="single" w:sz="4" w:space="0" w:color="auto"/>
              <w:bottom w:val="single" w:sz="4" w:space="0" w:color="auto"/>
              <w:right w:val="single" w:sz="4" w:space="0" w:color="auto"/>
            </w:tcBorders>
            <w:shd w:val="clear" w:color="auto" w:fill="auto"/>
            <w:noWrap/>
            <w:vAlign w:val="center"/>
          </w:tcPr>
          <w:p w14:paraId="4DDD68FC" w14:textId="77777777" w:rsidR="00456210" w:rsidRPr="00556766" w:rsidRDefault="00456210" w:rsidP="00045637">
            <w:pPr>
              <w:jc w:val="center"/>
              <w:rPr>
                <w:rFonts w:cs="Tahoma"/>
                <w:lang w:eastAsia="nl-NL"/>
              </w:rPr>
            </w:pPr>
            <w:r w:rsidRPr="00556766">
              <w:rPr>
                <w:lang w:eastAsia="nl-NL"/>
              </w:rPr>
              <w:t>666 (18,9%)</w:t>
            </w:r>
          </w:p>
        </w:tc>
        <w:tc>
          <w:tcPr>
            <w:tcW w:w="1144" w:type="pct"/>
            <w:tcBorders>
              <w:top w:val="nil"/>
              <w:left w:val="nil"/>
              <w:bottom w:val="single" w:sz="4" w:space="0" w:color="auto"/>
              <w:right w:val="single" w:sz="4" w:space="0" w:color="auto"/>
            </w:tcBorders>
            <w:shd w:val="clear" w:color="auto" w:fill="auto"/>
            <w:noWrap/>
            <w:vAlign w:val="center"/>
          </w:tcPr>
          <w:p w14:paraId="42116B28" w14:textId="77777777" w:rsidR="00456210" w:rsidRPr="00556766" w:rsidRDefault="00456210" w:rsidP="00045637">
            <w:pPr>
              <w:jc w:val="center"/>
              <w:rPr>
                <w:rFonts w:cs="Tahoma"/>
                <w:lang w:eastAsia="nl-NL"/>
              </w:rPr>
            </w:pPr>
            <w:r w:rsidRPr="00556766">
              <w:rPr>
                <w:lang w:eastAsia="nl-NL"/>
              </w:rPr>
              <w:t>157 (17,0%)</w:t>
            </w:r>
          </w:p>
        </w:tc>
        <w:tc>
          <w:tcPr>
            <w:tcW w:w="2051" w:type="pct"/>
            <w:tcBorders>
              <w:top w:val="nil"/>
              <w:left w:val="nil"/>
              <w:bottom w:val="single" w:sz="4" w:space="0" w:color="auto"/>
              <w:right w:val="single" w:sz="4" w:space="0" w:color="auto"/>
            </w:tcBorders>
            <w:shd w:val="clear" w:color="auto" w:fill="auto"/>
            <w:noWrap/>
            <w:vAlign w:val="center"/>
          </w:tcPr>
          <w:p w14:paraId="3148AEAE" w14:textId="77777777" w:rsidR="00456210" w:rsidRPr="00556766" w:rsidRDefault="00456210" w:rsidP="00045637">
            <w:pPr>
              <w:jc w:val="center"/>
              <w:rPr>
                <w:rFonts w:cs="Tahoma"/>
                <w:lang w:eastAsia="nl-NL"/>
              </w:rPr>
            </w:pPr>
            <w:r w:rsidRPr="00556766">
              <w:rPr>
                <w:lang w:eastAsia="nl-NL"/>
              </w:rPr>
              <w:t>0,974, [0,813-1,165]</w:t>
            </w:r>
          </w:p>
        </w:tc>
      </w:tr>
    </w:tbl>
    <w:p w14:paraId="6A46AE25" w14:textId="77777777" w:rsidR="00456210" w:rsidRPr="00556766" w:rsidRDefault="00456210" w:rsidP="00456210">
      <w:pPr>
        <w:pStyle w:val="Jegyzetszveg"/>
        <w:rPr>
          <w:sz w:val="22"/>
          <w:szCs w:val="22"/>
        </w:rPr>
      </w:pPr>
    </w:p>
    <w:p w14:paraId="3493B0F0" w14:textId="59A995A9" w:rsidR="00456210" w:rsidRPr="00556766" w:rsidRDefault="00456210" w:rsidP="00456210">
      <w:pPr>
        <w:keepNext/>
        <w:rPr>
          <w:iCs/>
        </w:rPr>
      </w:pPr>
      <w:r w:rsidRPr="00556766">
        <w:rPr>
          <w:iCs/>
        </w:rPr>
        <w:t>Az alábbi táblázat összefoglalja a RIETECAT vizsgálatban alkalmazott kezelési sémák szerinti eredményeket azokra a betegekre vonatkozóan, akik</w:t>
      </w:r>
      <w:r w:rsidR="00C03DAF" w:rsidRPr="00C03DAF">
        <w:rPr>
          <w:iCs/>
          <w:lang w:val="hu-HU" w:eastAsia="ar-SA"/>
        </w:rPr>
        <w:t xml:space="preserve"> </w:t>
      </w:r>
      <w:r w:rsidR="00C03DAF">
        <w:rPr>
          <w:iCs/>
          <w:lang w:val="hu-HU" w:eastAsia="ar-SA"/>
        </w:rPr>
        <w:t>teljesítették</w:t>
      </w:r>
      <w:r w:rsidRPr="00556766">
        <w:rPr>
          <w:iCs/>
        </w:rPr>
        <w:t xml:space="preserve"> a 6 hónapos kezelés</w:t>
      </w:r>
      <w:r w:rsidR="00C03DAF">
        <w:rPr>
          <w:iCs/>
        </w:rPr>
        <w:t>t</w:t>
      </w:r>
      <w:r w:rsidRPr="00556766">
        <w:rPr>
          <w:iCs/>
        </w:rPr>
        <w:t xml:space="preserve"> :</w:t>
      </w:r>
    </w:p>
    <w:p w14:paraId="20F7A575" w14:textId="77777777" w:rsidR="00456210" w:rsidRPr="00556766" w:rsidRDefault="00456210" w:rsidP="00456210">
      <w:pPr>
        <w:keepNext/>
        <w:rPr>
          <w:iCs/>
        </w:rPr>
      </w:pPr>
    </w:p>
    <w:p w14:paraId="57932ACE" w14:textId="60D25844" w:rsidR="00456210" w:rsidRPr="00556766" w:rsidRDefault="00456210" w:rsidP="00456210">
      <w:pPr>
        <w:pStyle w:val="Kpalrs"/>
        <w:jc w:val="center"/>
        <w:rPr>
          <w:sz w:val="22"/>
          <w:szCs w:val="22"/>
          <w:lang w:val="hu-HU"/>
        </w:rPr>
      </w:pPr>
      <w:bookmarkStart w:id="9" w:name="_Hlk82011855"/>
      <w:r w:rsidRPr="00556766">
        <w:rPr>
          <w:sz w:val="22"/>
          <w:szCs w:val="22"/>
          <w:lang w:val="hu-HU"/>
        </w:rPr>
        <w:t>Táblázat:</w:t>
      </w:r>
      <w:r w:rsidRPr="00556766" w:rsidDel="00B53482">
        <w:rPr>
          <w:sz w:val="22"/>
          <w:szCs w:val="22"/>
          <w:lang w:val="hu-HU"/>
        </w:rPr>
        <w:t xml:space="preserve"> </w:t>
      </w:r>
      <w:r w:rsidRPr="00556766">
        <w:rPr>
          <w:sz w:val="22"/>
          <w:szCs w:val="22"/>
          <w:lang w:val="hu-HU"/>
        </w:rPr>
        <w:t>a 6 hónapos kezelés eredményei kezelési sémák szerint a hat</w:t>
      </w:r>
      <w:r w:rsidR="00207FD8">
        <w:rPr>
          <w:sz w:val="22"/>
          <w:szCs w:val="22"/>
          <w:lang w:val="hu-HU"/>
        </w:rPr>
        <w:t xml:space="preserve"> </w:t>
      </w:r>
      <w:r w:rsidRPr="00556766">
        <w:rPr>
          <w:sz w:val="22"/>
          <w:szCs w:val="22"/>
          <w:lang w:val="hu-HU"/>
        </w:rPr>
        <w:t>hónapos kezelést befejező betegeknél</w:t>
      </w:r>
    </w:p>
    <w:bookmarkEnd w:id="9"/>
    <w:p w14:paraId="43DE0E9B" w14:textId="77777777" w:rsidR="00456210" w:rsidRPr="00556766" w:rsidRDefault="00456210" w:rsidP="00456210"/>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162"/>
        <w:gridCol w:w="1174"/>
        <w:gridCol w:w="1175"/>
        <w:gridCol w:w="1175"/>
        <w:gridCol w:w="1175"/>
        <w:gridCol w:w="1175"/>
        <w:gridCol w:w="1101"/>
        <w:gridCol w:w="1185"/>
      </w:tblGrid>
      <w:tr w:rsidR="00456210" w:rsidRPr="00A027F6" w14:paraId="1A1177BA" w14:textId="77777777" w:rsidTr="00045637">
        <w:trPr>
          <w:trHeight w:val="355"/>
        </w:trPr>
        <w:tc>
          <w:tcPr>
            <w:tcW w:w="1162" w:type="dxa"/>
            <w:vMerge w:val="restart"/>
            <w:tcBorders>
              <w:top w:val="single" w:sz="4" w:space="0" w:color="auto"/>
              <w:left w:val="single" w:sz="4" w:space="0" w:color="auto"/>
              <w:right w:val="single" w:sz="4" w:space="0" w:color="auto"/>
            </w:tcBorders>
            <w:shd w:val="clear" w:color="auto" w:fill="auto"/>
            <w:vAlign w:val="center"/>
          </w:tcPr>
          <w:p w14:paraId="38E32E1F" w14:textId="59DF68D5" w:rsidR="00456210" w:rsidRPr="00CE6397" w:rsidRDefault="00BF3182" w:rsidP="00045637">
            <w:pPr>
              <w:pStyle w:val="TblHeadingCenter"/>
              <w:spacing w:before="100" w:beforeAutospacing="1" w:after="100" w:afterAutospacing="1"/>
              <w:rPr>
                <w:sz w:val="18"/>
                <w:szCs w:val="18"/>
              </w:rPr>
            </w:pPr>
            <w:r>
              <w:rPr>
                <w:sz w:val="18"/>
                <w:szCs w:val="18"/>
              </w:rPr>
              <w:t>Kimenetel</w:t>
            </w:r>
            <w:r w:rsidR="00456210" w:rsidRPr="00CE6397">
              <w:rPr>
                <w:sz w:val="18"/>
                <w:szCs w:val="18"/>
              </w:rPr>
              <w:br/>
              <w:t>N (%)</w:t>
            </w:r>
            <w:r w:rsidR="00456210" w:rsidRPr="00CE6397">
              <w:rPr>
                <w:sz w:val="18"/>
                <w:szCs w:val="18"/>
              </w:rPr>
              <w:br/>
              <w:t>(95%-os CI)</w:t>
            </w:r>
          </w:p>
        </w:tc>
        <w:tc>
          <w:tcPr>
            <w:tcW w:w="1174" w:type="dxa"/>
            <w:vMerge w:val="restart"/>
            <w:tcBorders>
              <w:top w:val="single" w:sz="4" w:space="0" w:color="auto"/>
              <w:left w:val="single" w:sz="4" w:space="0" w:color="auto"/>
              <w:right w:val="single" w:sz="4" w:space="0" w:color="auto"/>
            </w:tcBorders>
            <w:shd w:val="clear" w:color="auto" w:fill="auto"/>
            <w:vAlign w:val="center"/>
          </w:tcPr>
          <w:p w14:paraId="7E6D1E9E" w14:textId="77777777" w:rsidR="00456210" w:rsidRPr="00CE6397" w:rsidRDefault="00456210" w:rsidP="00045637">
            <w:pPr>
              <w:pStyle w:val="TblHeadingCenter"/>
              <w:spacing w:before="100" w:beforeAutospacing="1" w:after="100" w:afterAutospacing="1"/>
              <w:rPr>
                <w:sz w:val="18"/>
                <w:szCs w:val="18"/>
              </w:rPr>
            </w:pPr>
            <w:r w:rsidRPr="00CE6397">
              <w:rPr>
                <w:sz w:val="18"/>
                <w:szCs w:val="18"/>
              </w:rPr>
              <w:t>Enoxaparin összes kezelési séma</w:t>
            </w:r>
          </w:p>
        </w:tc>
        <w:tc>
          <w:tcPr>
            <w:tcW w:w="58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3C9EEA" w14:textId="77777777" w:rsidR="00456210" w:rsidRPr="00CE6397" w:rsidRDefault="00456210" w:rsidP="00045637">
            <w:pPr>
              <w:pStyle w:val="TblHeadingCenter"/>
              <w:spacing w:before="100" w:beforeAutospacing="1" w:after="100" w:afterAutospacing="1"/>
              <w:rPr>
                <w:sz w:val="18"/>
                <w:szCs w:val="18"/>
                <w:lang w:val="en-US"/>
              </w:rPr>
            </w:pPr>
            <w:r w:rsidRPr="00CE6397">
              <w:rPr>
                <w:sz w:val="18"/>
                <w:szCs w:val="18"/>
                <w:lang w:val="en-US"/>
              </w:rPr>
              <w:t>Enoxaparin összes kezelési séma</w:t>
            </w:r>
          </w:p>
        </w:tc>
        <w:tc>
          <w:tcPr>
            <w:tcW w:w="1185" w:type="dxa"/>
            <w:vMerge w:val="restart"/>
            <w:tcBorders>
              <w:top w:val="single" w:sz="4" w:space="0" w:color="auto"/>
              <w:left w:val="single" w:sz="4" w:space="0" w:color="auto"/>
              <w:right w:val="single" w:sz="4" w:space="0" w:color="auto"/>
            </w:tcBorders>
            <w:shd w:val="clear" w:color="auto" w:fill="auto"/>
            <w:vAlign w:val="center"/>
          </w:tcPr>
          <w:p w14:paraId="1FA9593E" w14:textId="77777777" w:rsidR="00456210" w:rsidRPr="00CE6397" w:rsidRDefault="00456210" w:rsidP="00045637">
            <w:pPr>
              <w:pStyle w:val="TblHeadingCenter"/>
              <w:spacing w:before="100" w:beforeAutospacing="1" w:after="100" w:afterAutospacing="1"/>
              <w:rPr>
                <w:sz w:val="18"/>
                <w:szCs w:val="18"/>
              </w:rPr>
            </w:pPr>
            <w:r w:rsidRPr="00CE6397">
              <w:rPr>
                <w:sz w:val="18"/>
                <w:szCs w:val="18"/>
              </w:rPr>
              <w:t>EU-ban engedélyezett LMWH-k</w:t>
            </w:r>
          </w:p>
        </w:tc>
      </w:tr>
      <w:tr w:rsidR="00456210" w:rsidRPr="00456210" w14:paraId="2AB0A2FB" w14:textId="77777777" w:rsidTr="00045637">
        <w:trPr>
          <w:trHeight w:val="552"/>
        </w:trPr>
        <w:tc>
          <w:tcPr>
            <w:tcW w:w="1162" w:type="dxa"/>
            <w:vMerge/>
            <w:tcBorders>
              <w:left w:val="single" w:sz="4" w:space="0" w:color="auto"/>
              <w:bottom w:val="nil"/>
              <w:right w:val="single" w:sz="4" w:space="0" w:color="auto"/>
            </w:tcBorders>
            <w:shd w:val="clear" w:color="auto" w:fill="auto"/>
            <w:vAlign w:val="center"/>
          </w:tcPr>
          <w:p w14:paraId="002A9003" w14:textId="77777777" w:rsidR="00456210" w:rsidRPr="00CE6397" w:rsidRDefault="00456210" w:rsidP="00045637">
            <w:pPr>
              <w:pStyle w:val="TblHeadingCenter"/>
              <w:spacing w:before="100" w:beforeAutospacing="1" w:after="100" w:afterAutospacing="1"/>
              <w:rPr>
                <w:sz w:val="18"/>
                <w:szCs w:val="18"/>
              </w:rPr>
            </w:pPr>
          </w:p>
        </w:tc>
        <w:tc>
          <w:tcPr>
            <w:tcW w:w="1174" w:type="dxa"/>
            <w:vMerge/>
            <w:tcBorders>
              <w:left w:val="single" w:sz="4" w:space="0" w:color="auto"/>
              <w:bottom w:val="nil"/>
              <w:right w:val="single" w:sz="4" w:space="0" w:color="auto"/>
            </w:tcBorders>
            <w:shd w:val="clear" w:color="auto" w:fill="auto"/>
            <w:vAlign w:val="center"/>
          </w:tcPr>
          <w:p w14:paraId="7BE36E8C" w14:textId="77777777" w:rsidR="00456210" w:rsidRPr="00CE6397" w:rsidRDefault="00456210" w:rsidP="00045637">
            <w:pPr>
              <w:pStyle w:val="TblHeadingCenter"/>
              <w:spacing w:before="100" w:beforeAutospacing="1" w:after="100" w:afterAutospacing="1"/>
              <w:rPr>
                <w:sz w:val="18"/>
                <w:szCs w:val="18"/>
              </w:rPr>
            </w:pPr>
          </w:p>
        </w:tc>
        <w:tc>
          <w:tcPr>
            <w:tcW w:w="1175" w:type="dxa"/>
            <w:tcBorders>
              <w:top w:val="single" w:sz="4" w:space="0" w:color="auto"/>
              <w:left w:val="single" w:sz="4" w:space="0" w:color="auto"/>
              <w:bottom w:val="nil"/>
              <w:right w:val="single" w:sz="4" w:space="0" w:color="auto"/>
            </w:tcBorders>
            <w:shd w:val="clear" w:color="auto" w:fill="auto"/>
            <w:vAlign w:val="center"/>
          </w:tcPr>
          <w:p w14:paraId="5F14D82F" w14:textId="77777777" w:rsidR="00456210" w:rsidRPr="00CE6397" w:rsidRDefault="00456210" w:rsidP="00045637">
            <w:pPr>
              <w:pStyle w:val="TblHeadingCenter"/>
              <w:spacing w:before="100" w:beforeAutospacing="1" w:after="100" w:afterAutospacing="1"/>
              <w:rPr>
                <w:sz w:val="18"/>
                <w:szCs w:val="18"/>
              </w:rPr>
            </w:pPr>
            <w:r w:rsidRPr="00CE6397">
              <w:rPr>
                <w:sz w:val="18"/>
                <w:szCs w:val="18"/>
              </w:rPr>
              <w:t>Enoxaparin naponta egyszer (OD)</w:t>
            </w:r>
          </w:p>
        </w:tc>
        <w:tc>
          <w:tcPr>
            <w:tcW w:w="1175" w:type="dxa"/>
            <w:tcBorders>
              <w:top w:val="single" w:sz="4" w:space="0" w:color="auto"/>
              <w:left w:val="single" w:sz="4" w:space="0" w:color="auto"/>
              <w:bottom w:val="nil"/>
              <w:right w:val="single" w:sz="4" w:space="0" w:color="auto"/>
            </w:tcBorders>
            <w:shd w:val="clear" w:color="auto" w:fill="auto"/>
            <w:vAlign w:val="center"/>
          </w:tcPr>
          <w:p w14:paraId="3DB67DE2" w14:textId="77777777" w:rsidR="00456210" w:rsidRPr="00CE6397" w:rsidRDefault="00456210" w:rsidP="00045637">
            <w:pPr>
              <w:pStyle w:val="TblHeadingCenter"/>
              <w:spacing w:before="100" w:beforeAutospacing="1" w:after="100" w:afterAutospacing="1"/>
              <w:rPr>
                <w:sz w:val="18"/>
                <w:szCs w:val="18"/>
              </w:rPr>
            </w:pPr>
            <w:r w:rsidRPr="00CE6397">
              <w:rPr>
                <w:sz w:val="18"/>
                <w:szCs w:val="18"/>
              </w:rPr>
              <w:t>Enoxaparin naponta kétszer (BID)</w:t>
            </w:r>
          </w:p>
        </w:tc>
        <w:tc>
          <w:tcPr>
            <w:tcW w:w="1175" w:type="dxa"/>
            <w:tcBorders>
              <w:top w:val="single" w:sz="4" w:space="0" w:color="auto"/>
              <w:left w:val="single" w:sz="4" w:space="0" w:color="auto"/>
              <w:bottom w:val="nil"/>
              <w:right w:val="single" w:sz="4" w:space="0" w:color="auto"/>
            </w:tcBorders>
            <w:shd w:val="clear" w:color="auto" w:fill="auto"/>
            <w:vAlign w:val="center"/>
          </w:tcPr>
          <w:p w14:paraId="1D0815C7" w14:textId="77777777" w:rsidR="00456210" w:rsidRPr="00CE6397" w:rsidRDefault="00456210" w:rsidP="00045637">
            <w:pPr>
              <w:pStyle w:val="TblHeadingCenter"/>
              <w:spacing w:before="100" w:beforeAutospacing="1" w:after="100" w:afterAutospacing="1"/>
              <w:rPr>
                <w:sz w:val="18"/>
                <w:szCs w:val="18"/>
              </w:rPr>
            </w:pPr>
            <w:r w:rsidRPr="00CE6397">
              <w:rPr>
                <w:sz w:val="18"/>
                <w:szCs w:val="18"/>
              </w:rPr>
              <w:t>Enoxaparin</w:t>
            </w:r>
            <w:r w:rsidRPr="00CE6397">
              <w:rPr>
                <w:sz w:val="18"/>
                <w:szCs w:val="18"/>
              </w:rPr>
              <w:br/>
              <w:t>naponta kétszer (BID)-ről naponta egyszer (OD)-re</w:t>
            </w:r>
          </w:p>
        </w:tc>
        <w:tc>
          <w:tcPr>
            <w:tcW w:w="1175" w:type="dxa"/>
            <w:tcBorders>
              <w:top w:val="single" w:sz="4" w:space="0" w:color="auto"/>
              <w:left w:val="single" w:sz="4" w:space="0" w:color="auto"/>
              <w:bottom w:val="nil"/>
              <w:right w:val="single" w:sz="4" w:space="0" w:color="auto"/>
            </w:tcBorders>
            <w:shd w:val="clear" w:color="auto" w:fill="auto"/>
            <w:vAlign w:val="center"/>
          </w:tcPr>
          <w:p w14:paraId="5A38427E" w14:textId="77777777" w:rsidR="00456210" w:rsidRPr="00CE6397" w:rsidRDefault="00456210" w:rsidP="00045637">
            <w:pPr>
              <w:pStyle w:val="TblHeadingCenter"/>
              <w:spacing w:before="100" w:beforeAutospacing="1" w:after="100" w:afterAutospacing="1"/>
              <w:rPr>
                <w:sz w:val="18"/>
                <w:szCs w:val="18"/>
              </w:rPr>
            </w:pPr>
            <w:r w:rsidRPr="00CE6397">
              <w:rPr>
                <w:sz w:val="18"/>
                <w:szCs w:val="18"/>
              </w:rPr>
              <w:t>Enoxaparin</w:t>
            </w:r>
            <w:r w:rsidRPr="00CE6397">
              <w:rPr>
                <w:sz w:val="18"/>
                <w:szCs w:val="18"/>
              </w:rPr>
              <w:br/>
              <w:t>naponta egyszer (OD)-ről naponta kétszer (BID)-re</w:t>
            </w:r>
          </w:p>
        </w:tc>
        <w:tc>
          <w:tcPr>
            <w:tcW w:w="1101" w:type="dxa"/>
            <w:tcBorders>
              <w:top w:val="single" w:sz="4" w:space="0" w:color="auto"/>
              <w:left w:val="single" w:sz="4" w:space="0" w:color="auto"/>
              <w:bottom w:val="nil"/>
              <w:right w:val="single" w:sz="4" w:space="0" w:color="auto"/>
            </w:tcBorders>
            <w:shd w:val="clear" w:color="auto" w:fill="auto"/>
            <w:vAlign w:val="center"/>
          </w:tcPr>
          <w:p w14:paraId="3B5BB563" w14:textId="77777777" w:rsidR="00456210" w:rsidRPr="00CE6397" w:rsidRDefault="00456210" w:rsidP="00045637">
            <w:pPr>
              <w:pStyle w:val="TblHeadingCenter"/>
              <w:spacing w:before="100" w:beforeAutospacing="1" w:after="100" w:afterAutospacing="1"/>
              <w:rPr>
                <w:sz w:val="18"/>
                <w:szCs w:val="18"/>
                <w:lang w:val="en-US"/>
              </w:rPr>
            </w:pPr>
            <w:r w:rsidRPr="00CE6397">
              <w:rPr>
                <w:sz w:val="18"/>
                <w:szCs w:val="18"/>
                <w:lang w:val="en-US"/>
              </w:rPr>
              <w:t>Enoxaparin</w:t>
            </w:r>
            <w:r w:rsidRPr="00CE6397">
              <w:rPr>
                <w:sz w:val="18"/>
                <w:szCs w:val="18"/>
                <w:lang w:val="en-US"/>
              </w:rPr>
              <w:br/>
              <w:t>egynél több váltás</w:t>
            </w:r>
          </w:p>
        </w:tc>
        <w:tc>
          <w:tcPr>
            <w:tcW w:w="1185" w:type="dxa"/>
            <w:vMerge/>
            <w:tcBorders>
              <w:left w:val="single" w:sz="4" w:space="0" w:color="auto"/>
              <w:bottom w:val="nil"/>
              <w:right w:val="single" w:sz="4" w:space="0" w:color="auto"/>
            </w:tcBorders>
            <w:shd w:val="clear" w:color="auto" w:fill="auto"/>
            <w:vAlign w:val="center"/>
          </w:tcPr>
          <w:p w14:paraId="484A7A18" w14:textId="77777777" w:rsidR="00456210" w:rsidRPr="00CE6397" w:rsidRDefault="00456210" w:rsidP="00045637">
            <w:pPr>
              <w:pStyle w:val="TblHeadingCenter"/>
              <w:spacing w:before="100" w:beforeAutospacing="1" w:after="100" w:afterAutospacing="1"/>
              <w:rPr>
                <w:sz w:val="18"/>
                <w:szCs w:val="18"/>
              </w:rPr>
            </w:pPr>
          </w:p>
        </w:tc>
      </w:tr>
      <w:tr w:rsidR="00456210" w:rsidRPr="00456210" w14:paraId="7CAA9049" w14:textId="77777777" w:rsidTr="00045637">
        <w:tc>
          <w:tcPr>
            <w:tcW w:w="1162" w:type="dxa"/>
            <w:tcBorders>
              <w:top w:val="nil"/>
              <w:left w:val="single" w:sz="4" w:space="0" w:color="auto"/>
              <w:bottom w:val="single" w:sz="4" w:space="0" w:color="auto"/>
              <w:right w:val="single" w:sz="4" w:space="0" w:color="auto"/>
            </w:tcBorders>
            <w:shd w:val="clear" w:color="auto" w:fill="auto"/>
            <w:vAlign w:val="center"/>
          </w:tcPr>
          <w:p w14:paraId="275C7F0F" w14:textId="77777777" w:rsidR="00456210" w:rsidRPr="00556766" w:rsidRDefault="00456210" w:rsidP="00045637">
            <w:pPr>
              <w:rPr>
                <w:rFonts w:ascii="Arial" w:hAnsi="Arial" w:cs="Arial"/>
                <w:sz w:val="16"/>
                <w:szCs w:val="16"/>
              </w:rPr>
            </w:pPr>
            <w:bookmarkStart w:id="10" w:name="_Hlk82011881"/>
          </w:p>
        </w:tc>
        <w:tc>
          <w:tcPr>
            <w:tcW w:w="1174" w:type="dxa"/>
            <w:tcBorders>
              <w:top w:val="nil"/>
              <w:left w:val="single" w:sz="4" w:space="0" w:color="auto"/>
              <w:bottom w:val="single" w:sz="4" w:space="0" w:color="auto"/>
              <w:right w:val="single" w:sz="4" w:space="0" w:color="auto"/>
            </w:tcBorders>
            <w:shd w:val="clear" w:color="auto" w:fill="auto"/>
            <w:vAlign w:val="center"/>
          </w:tcPr>
          <w:p w14:paraId="228338D8" w14:textId="77777777" w:rsidR="00456210" w:rsidRPr="00556766" w:rsidRDefault="00456210" w:rsidP="00045637">
            <w:pPr>
              <w:jc w:val="center"/>
            </w:pPr>
            <w:r w:rsidRPr="00556766">
              <w:rPr>
                <w:sz w:val="16"/>
                <w:szCs w:val="16"/>
              </w:rPr>
              <w:t>N = 1432</w:t>
            </w:r>
          </w:p>
        </w:tc>
        <w:tc>
          <w:tcPr>
            <w:tcW w:w="1175" w:type="dxa"/>
            <w:tcBorders>
              <w:top w:val="nil"/>
              <w:left w:val="single" w:sz="4" w:space="0" w:color="auto"/>
              <w:bottom w:val="single" w:sz="4" w:space="0" w:color="auto"/>
              <w:right w:val="single" w:sz="4" w:space="0" w:color="auto"/>
            </w:tcBorders>
            <w:shd w:val="clear" w:color="auto" w:fill="auto"/>
            <w:vAlign w:val="center"/>
          </w:tcPr>
          <w:p w14:paraId="1F287A82" w14:textId="77777777" w:rsidR="00456210" w:rsidRPr="00556766" w:rsidRDefault="00456210" w:rsidP="00045637">
            <w:pPr>
              <w:jc w:val="center"/>
            </w:pPr>
            <w:r w:rsidRPr="00556766">
              <w:rPr>
                <w:sz w:val="16"/>
                <w:szCs w:val="16"/>
              </w:rPr>
              <w:t>N = 444</w:t>
            </w:r>
          </w:p>
        </w:tc>
        <w:tc>
          <w:tcPr>
            <w:tcW w:w="1175" w:type="dxa"/>
            <w:tcBorders>
              <w:top w:val="nil"/>
              <w:left w:val="single" w:sz="4" w:space="0" w:color="auto"/>
              <w:bottom w:val="single" w:sz="4" w:space="0" w:color="auto"/>
              <w:right w:val="single" w:sz="4" w:space="0" w:color="auto"/>
            </w:tcBorders>
            <w:shd w:val="clear" w:color="auto" w:fill="auto"/>
            <w:vAlign w:val="center"/>
          </w:tcPr>
          <w:p w14:paraId="6EF07E01" w14:textId="77777777" w:rsidR="00456210" w:rsidRPr="00556766" w:rsidRDefault="00456210" w:rsidP="00045637">
            <w:pPr>
              <w:jc w:val="center"/>
              <w:rPr>
                <w:lang w:val="es-GT"/>
              </w:rPr>
            </w:pPr>
            <w:r w:rsidRPr="00556766">
              <w:rPr>
                <w:sz w:val="16"/>
                <w:szCs w:val="16"/>
              </w:rPr>
              <w:t>N = 529</w:t>
            </w:r>
          </w:p>
        </w:tc>
        <w:tc>
          <w:tcPr>
            <w:tcW w:w="1175" w:type="dxa"/>
            <w:tcBorders>
              <w:top w:val="nil"/>
              <w:left w:val="single" w:sz="4" w:space="0" w:color="auto"/>
              <w:bottom w:val="single" w:sz="4" w:space="0" w:color="auto"/>
              <w:right w:val="single" w:sz="4" w:space="0" w:color="auto"/>
            </w:tcBorders>
            <w:shd w:val="clear" w:color="auto" w:fill="auto"/>
            <w:vAlign w:val="center"/>
          </w:tcPr>
          <w:p w14:paraId="1B1ECFB9" w14:textId="77777777" w:rsidR="00456210" w:rsidRPr="00556766" w:rsidRDefault="00456210" w:rsidP="00045637">
            <w:pPr>
              <w:jc w:val="center"/>
            </w:pPr>
            <w:r w:rsidRPr="00556766">
              <w:rPr>
                <w:sz w:val="16"/>
                <w:szCs w:val="16"/>
                <w:lang w:val="de-DE"/>
              </w:rPr>
              <w:t>N = 406</w:t>
            </w:r>
          </w:p>
        </w:tc>
        <w:tc>
          <w:tcPr>
            <w:tcW w:w="1175" w:type="dxa"/>
            <w:tcBorders>
              <w:top w:val="nil"/>
              <w:left w:val="single" w:sz="4" w:space="0" w:color="auto"/>
              <w:bottom w:val="single" w:sz="4" w:space="0" w:color="auto"/>
              <w:right w:val="single" w:sz="4" w:space="0" w:color="auto"/>
            </w:tcBorders>
            <w:shd w:val="clear" w:color="auto" w:fill="auto"/>
            <w:vAlign w:val="center"/>
          </w:tcPr>
          <w:p w14:paraId="08139A4B" w14:textId="77777777" w:rsidR="00456210" w:rsidRPr="00556766" w:rsidRDefault="00456210" w:rsidP="00045637">
            <w:pPr>
              <w:jc w:val="center"/>
            </w:pPr>
            <w:r w:rsidRPr="00556766">
              <w:rPr>
                <w:sz w:val="16"/>
                <w:szCs w:val="16"/>
                <w:lang w:val="de-DE"/>
              </w:rPr>
              <w:t>N = 14</w:t>
            </w:r>
          </w:p>
        </w:tc>
        <w:tc>
          <w:tcPr>
            <w:tcW w:w="1101" w:type="dxa"/>
            <w:tcBorders>
              <w:top w:val="nil"/>
              <w:left w:val="single" w:sz="4" w:space="0" w:color="auto"/>
              <w:bottom w:val="single" w:sz="4" w:space="0" w:color="auto"/>
              <w:right w:val="single" w:sz="4" w:space="0" w:color="auto"/>
            </w:tcBorders>
            <w:shd w:val="clear" w:color="auto" w:fill="auto"/>
            <w:vAlign w:val="center"/>
          </w:tcPr>
          <w:p w14:paraId="7312D78E" w14:textId="77777777" w:rsidR="00456210" w:rsidRPr="00556766" w:rsidRDefault="00456210" w:rsidP="00045637">
            <w:pPr>
              <w:jc w:val="center"/>
            </w:pPr>
            <w:r w:rsidRPr="00556766">
              <w:rPr>
                <w:sz w:val="16"/>
                <w:szCs w:val="16"/>
                <w:lang w:val="de-DE"/>
              </w:rPr>
              <w:t>N = 39</w:t>
            </w:r>
          </w:p>
        </w:tc>
        <w:tc>
          <w:tcPr>
            <w:tcW w:w="1185" w:type="dxa"/>
            <w:tcBorders>
              <w:top w:val="nil"/>
              <w:left w:val="single" w:sz="4" w:space="0" w:color="auto"/>
              <w:bottom w:val="single" w:sz="4" w:space="0" w:color="auto"/>
              <w:right w:val="single" w:sz="4" w:space="0" w:color="auto"/>
            </w:tcBorders>
            <w:shd w:val="clear" w:color="auto" w:fill="auto"/>
            <w:vAlign w:val="center"/>
          </w:tcPr>
          <w:p w14:paraId="34E45826" w14:textId="77777777" w:rsidR="00456210" w:rsidRPr="00556766" w:rsidRDefault="00456210" w:rsidP="00045637">
            <w:pPr>
              <w:jc w:val="center"/>
            </w:pPr>
            <w:r w:rsidRPr="00556766">
              <w:rPr>
                <w:sz w:val="16"/>
                <w:szCs w:val="16"/>
              </w:rPr>
              <w:t>N = 428</w:t>
            </w:r>
          </w:p>
        </w:tc>
      </w:tr>
      <w:tr w:rsidR="00456210" w:rsidRPr="00456210" w14:paraId="281E4B8F" w14:textId="77777777" w:rsidTr="00045637">
        <w:trPr>
          <w:trHeight w:val="724"/>
        </w:trPr>
        <w:tc>
          <w:tcPr>
            <w:tcW w:w="1162" w:type="dxa"/>
            <w:tcBorders>
              <w:top w:val="single" w:sz="4" w:space="0" w:color="auto"/>
              <w:bottom w:val="single" w:sz="4" w:space="0" w:color="auto"/>
              <w:right w:val="single" w:sz="4" w:space="0" w:color="auto"/>
            </w:tcBorders>
            <w:shd w:val="clear" w:color="auto" w:fill="auto"/>
            <w:vAlign w:val="center"/>
          </w:tcPr>
          <w:p w14:paraId="75BF62DE" w14:textId="77777777" w:rsidR="00456210" w:rsidRPr="00466AA6" w:rsidRDefault="00456210" w:rsidP="00045637">
            <w:pPr>
              <w:rPr>
                <w:sz w:val="18"/>
                <w:szCs w:val="18"/>
              </w:rPr>
            </w:pPr>
            <w:r w:rsidRPr="00466AA6">
              <w:rPr>
                <w:sz w:val="18"/>
                <w:szCs w:val="18"/>
                <w:lang w:eastAsia="nl-NL"/>
              </w:rPr>
              <w:t>VTE kiújulása</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A40E6A5" w14:textId="77777777" w:rsidR="00456210" w:rsidRPr="00466AA6" w:rsidRDefault="00456210" w:rsidP="00045637">
            <w:pPr>
              <w:jc w:val="center"/>
            </w:pPr>
            <w:r w:rsidRPr="00466AA6">
              <w:rPr>
                <w:sz w:val="17"/>
                <w:szCs w:val="17"/>
              </w:rPr>
              <w:t xml:space="preserve">70 (4,9%) </w:t>
            </w:r>
            <w:r w:rsidRPr="00466AA6">
              <w:rPr>
                <w:sz w:val="14"/>
                <w:szCs w:val="14"/>
              </w:rPr>
              <w:t>(3,8% - 6,0%)</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6DD157E" w14:textId="77777777" w:rsidR="00456210" w:rsidRPr="00466AA6" w:rsidRDefault="00456210" w:rsidP="00045637">
            <w:pPr>
              <w:jc w:val="center"/>
            </w:pPr>
            <w:r w:rsidRPr="00466AA6">
              <w:rPr>
                <w:sz w:val="17"/>
                <w:szCs w:val="17"/>
              </w:rPr>
              <w:t xml:space="preserve">33 (7,4%) </w:t>
            </w:r>
            <w:r w:rsidRPr="00466AA6">
              <w:rPr>
                <w:sz w:val="17"/>
                <w:szCs w:val="17"/>
              </w:rPr>
              <w:br/>
            </w:r>
            <w:r w:rsidRPr="00466AA6">
              <w:rPr>
                <w:sz w:val="14"/>
                <w:szCs w:val="14"/>
              </w:rPr>
              <w:t>(5,0% - 9,9%)</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A8E5C89" w14:textId="77777777" w:rsidR="00456210" w:rsidRPr="00466AA6" w:rsidRDefault="00456210" w:rsidP="00045637">
            <w:pPr>
              <w:jc w:val="center"/>
            </w:pPr>
            <w:r w:rsidRPr="00466AA6">
              <w:rPr>
                <w:sz w:val="17"/>
                <w:szCs w:val="17"/>
              </w:rPr>
              <w:t xml:space="preserve">22 (4,2%) </w:t>
            </w:r>
            <w:r w:rsidRPr="00466AA6">
              <w:rPr>
                <w:sz w:val="14"/>
                <w:szCs w:val="14"/>
              </w:rPr>
              <w:t>(2,5% - 5,9%)</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280E4D7" w14:textId="77777777" w:rsidR="00456210" w:rsidRPr="00466AA6" w:rsidRDefault="00456210" w:rsidP="00045637">
            <w:pPr>
              <w:jc w:val="center"/>
            </w:pPr>
            <w:r w:rsidRPr="00466AA6">
              <w:rPr>
                <w:sz w:val="17"/>
                <w:szCs w:val="17"/>
              </w:rPr>
              <w:t xml:space="preserve">10 (2,5%) </w:t>
            </w:r>
            <w:r w:rsidRPr="00466AA6">
              <w:rPr>
                <w:sz w:val="14"/>
                <w:szCs w:val="14"/>
              </w:rPr>
              <w:t>(0,9% - 4,0%)</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5D7C341" w14:textId="77777777" w:rsidR="00456210" w:rsidRPr="00466AA6" w:rsidRDefault="00456210" w:rsidP="00045637">
            <w:pPr>
              <w:pStyle w:val="TblTextCenter"/>
              <w:spacing w:before="0" w:after="0"/>
              <w:rPr>
                <w:sz w:val="17"/>
                <w:szCs w:val="17"/>
              </w:rPr>
            </w:pPr>
            <w:r w:rsidRPr="00466AA6">
              <w:rPr>
                <w:sz w:val="17"/>
                <w:szCs w:val="17"/>
              </w:rPr>
              <w:t>1 (7,1%)</w:t>
            </w:r>
          </w:p>
          <w:p w14:paraId="016A6278" w14:textId="77777777" w:rsidR="00456210" w:rsidRPr="00466AA6" w:rsidRDefault="00456210" w:rsidP="00045637">
            <w:pPr>
              <w:jc w:val="center"/>
            </w:pPr>
            <w:r w:rsidRPr="00466AA6">
              <w:rPr>
                <w:sz w:val="14"/>
                <w:szCs w:val="14"/>
              </w:rPr>
              <w:t>(0% - 22,6%)</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9503E81" w14:textId="77777777" w:rsidR="00456210" w:rsidRPr="00466AA6" w:rsidRDefault="00456210" w:rsidP="00045637">
            <w:pPr>
              <w:jc w:val="center"/>
              <w:rPr>
                <w:sz w:val="17"/>
                <w:szCs w:val="17"/>
              </w:rPr>
            </w:pPr>
            <w:r w:rsidRPr="00466AA6">
              <w:rPr>
                <w:sz w:val="17"/>
                <w:szCs w:val="17"/>
              </w:rPr>
              <w:t>4 (10,3%)</w:t>
            </w:r>
          </w:p>
          <w:p w14:paraId="467ABB72" w14:textId="77777777" w:rsidR="00456210" w:rsidRPr="00466AA6" w:rsidRDefault="00456210" w:rsidP="00045637">
            <w:pPr>
              <w:jc w:val="center"/>
            </w:pPr>
            <w:r w:rsidRPr="00466AA6">
              <w:rPr>
                <w:sz w:val="14"/>
                <w:szCs w:val="14"/>
              </w:rPr>
              <w:t>(0,3% - 20,2%)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D75EEE2" w14:textId="77777777" w:rsidR="00456210" w:rsidRPr="00466AA6" w:rsidRDefault="00456210" w:rsidP="00045637">
            <w:pPr>
              <w:jc w:val="center"/>
            </w:pPr>
            <w:r w:rsidRPr="00466AA6">
              <w:rPr>
                <w:sz w:val="17"/>
                <w:szCs w:val="17"/>
              </w:rPr>
              <w:t xml:space="preserve">23 (5,4%) </w:t>
            </w:r>
            <w:r w:rsidRPr="00466AA6">
              <w:rPr>
                <w:sz w:val="14"/>
                <w:szCs w:val="14"/>
              </w:rPr>
              <w:t>(3,2% - 7,5%)</w:t>
            </w:r>
          </w:p>
        </w:tc>
      </w:tr>
      <w:tr w:rsidR="00456210" w:rsidRPr="00456210" w14:paraId="31FE5B54" w14:textId="77777777" w:rsidTr="00045637">
        <w:trPr>
          <w:trHeight w:val="20"/>
        </w:trPr>
        <w:tc>
          <w:tcPr>
            <w:tcW w:w="1162" w:type="dxa"/>
            <w:tcBorders>
              <w:top w:val="single" w:sz="4" w:space="0" w:color="auto"/>
              <w:bottom w:val="single" w:sz="4" w:space="0" w:color="auto"/>
              <w:right w:val="single" w:sz="4" w:space="0" w:color="auto"/>
            </w:tcBorders>
            <w:shd w:val="clear" w:color="auto" w:fill="auto"/>
            <w:vAlign w:val="center"/>
          </w:tcPr>
          <w:p w14:paraId="0504DEA4" w14:textId="77777777" w:rsidR="00456210" w:rsidRPr="00A027F6" w:rsidRDefault="00456210" w:rsidP="00045637">
            <w:pPr>
              <w:pStyle w:val="TblTextLeft"/>
              <w:rPr>
                <w:rFonts w:ascii="Times New Roman" w:hAnsi="Times New Roman"/>
                <w:sz w:val="18"/>
                <w:szCs w:val="18"/>
              </w:rPr>
            </w:pPr>
            <w:r w:rsidRPr="00A027F6">
              <w:rPr>
                <w:rFonts w:ascii="Times New Roman" w:hAnsi="Times New Roman"/>
                <w:sz w:val="18"/>
                <w:szCs w:val="18"/>
                <w:lang w:eastAsia="nl-NL"/>
              </w:rPr>
              <w:t>Súlyos vérzés</w:t>
            </w:r>
          </w:p>
          <w:p w14:paraId="26DDE7E3" w14:textId="77777777" w:rsidR="00456210" w:rsidRPr="00A027F6" w:rsidRDefault="00456210" w:rsidP="00045637">
            <w:pPr>
              <w:rPr>
                <w:sz w:val="18"/>
                <w:szCs w:val="18"/>
              </w:rPr>
            </w:pPr>
            <w:r w:rsidRPr="00A027F6">
              <w:rPr>
                <w:sz w:val="18"/>
                <w:szCs w:val="18"/>
              </w:rPr>
              <w:t>(végzetes és nem végzetes)</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2A15ACAF" w14:textId="77777777" w:rsidR="00456210" w:rsidRPr="00466AA6" w:rsidRDefault="00456210" w:rsidP="00045637">
            <w:pPr>
              <w:jc w:val="center"/>
            </w:pPr>
            <w:r w:rsidRPr="00466AA6">
              <w:rPr>
                <w:sz w:val="17"/>
                <w:szCs w:val="17"/>
              </w:rPr>
              <w:t xml:space="preserve">111 (7,8%) </w:t>
            </w:r>
            <w:r w:rsidRPr="00466AA6">
              <w:rPr>
                <w:sz w:val="14"/>
                <w:szCs w:val="14"/>
              </w:rPr>
              <w:t>(6,4% - 9,1%)</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8E786A" w14:textId="77777777" w:rsidR="00456210" w:rsidRPr="00466AA6" w:rsidRDefault="00456210" w:rsidP="00045637">
            <w:pPr>
              <w:jc w:val="center"/>
            </w:pPr>
            <w:r w:rsidRPr="00466AA6">
              <w:rPr>
                <w:sz w:val="17"/>
                <w:szCs w:val="17"/>
              </w:rPr>
              <w:t xml:space="preserve">31 (7,0%) </w:t>
            </w:r>
            <w:r w:rsidRPr="00466AA6">
              <w:rPr>
                <w:sz w:val="17"/>
                <w:szCs w:val="17"/>
              </w:rPr>
              <w:br/>
            </w:r>
            <w:r w:rsidRPr="00466AA6">
              <w:rPr>
                <w:sz w:val="14"/>
                <w:szCs w:val="14"/>
              </w:rPr>
              <w:t>(4,6% - 9,4%)</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0AE2EE3" w14:textId="77777777" w:rsidR="00456210" w:rsidRPr="00466AA6" w:rsidRDefault="00456210" w:rsidP="00045637">
            <w:pPr>
              <w:jc w:val="center"/>
            </w:pPr>
            <w:r w:rsidRPr="00466AA6">
              <w:rPr>
                <w:sz w:val="17"/>
                <w:szCs w:val="17"/>
              </w:rPr>
              <w:t xml:space="preserve">52 (9.8%) </w:t>
            </w:r>
            <w:r w:rsidRPr="00466AA6">
              <w:rPr>
                <w:sz w:val="14"/>
                <w:szCs w:val="14"/>
              </w:rPr>
              <w:t>(7,3% - 12,4%)</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5496CAA" w14:textId="77777777" w:rsidR="00456210" w:rsidRPr="00466AA6" w:rsidRDefault="00456210" w:rsidP="00045637">
            <w:pPr>
              <w:jc w:val="center"/>
            </w:pPr>
            <w:r w:rsidRPr="00466AA6">
              <w:rPr>
                <w:sz w:val="17"/>
                <w:szCs w:val="17"/>
              </w:rPr>
              <w:t xml:space="preserve">21 (5,2%) </w:t>
            </w:r>
            <w:r w:rsidRPr="00466AA6">
              <w:rPr>
                <w:sz w:val="14"/>
                <w:szCs w:val="14"/>
              </w:rPr>
              <w:t>(3,0% - 7,3%)</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DAAA6B" w14:textId="77777777" w:rsidR="00456210" w:rsidRPr="00466AA6" w:rsidRDefault="00456210" w:rsidP="00045637">
            <w:pPr>
              <w:pStyle w:val="TblTextCenter"/>
              <w:spacing w:before="0" w:after="0"/>
              <w:rPr>
                <w:sz w:val="17"/>
                <w:szCs w:val="17"/>
              </w:rPr>
            </w:pPr>
            <w:r w:rsidRPr="00466AA6">
              <w:rPr>
                <w:sz w:val="17"/>
                <w:szCs w:val="17"/>
              </w:rPr>
              <w:t>1 (7,1%)</w:t>
            </w:r>
          </w:p>
          <w:p w14:paraId="6BC8C3F4" w14:textId="77777777" w:rsidR="00456210" w:rsidRPr="00466AA6" w:rsidRDefault="00456210" w:rsidP="00045637">
            <w:pPr>
              <w:jc w:val="center"/>
            </w:pPr>
            <w:r w:rsidRPr="00466AA6">
              <w:rPr>
                <w:sz w:val="14"/>
                <w:szCs w:val="14"/>
              </w:rPr>
              <w:t>(0% - 22,6%)</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01255DD" w14:textId="77777777" w:rsidR="00456210" w:rsidRPr="00466AA6" w:rsidRDefault="00456210" w:rsidP="00045637">
            <w:pPr>
              <w:jc w:val="center"/>
              <w:rPr>
                <w:sz w:val="17"/>
                <w:szCs w:val="17"/>
              </w:rPr>
            </w:pPr>
            <w:r w:rsidRPr="00466AA6">
              <w:rPr>
                <w:sz w:val="17"/>
                <w:szCs w:val="17"/>
              </w:rPr>
              <w:t>6 (15,4%)</w:t>
            </w:r>
          </w:p>
          <w:p w14:paraId="2A74BA41" w14:textId="77777777" w:rsidR="00456210" w:rsidRPr="00466AA6" w:rsidRDefault="00456210" w:rsidP="00045637">
            <w:pPr>
              <w:jc w:val="center"/>
            </w:pPr>
            <w:r w:rsidRPr="00466AA6">
              <w:rPr>
                <w:sz w:val="14"/>
                <w:szCs w:val="14"/>
              </w:rPr>
              <w:t>(3,5% - 27,2%)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B1A2794" w14:textId="77777777" w:rsidR="00456210" w:rsidRPr="00466AA6" w:rsidRDefault="00456210" w:rsidP="00045637">
            <w:pPr>
              <w:jc w:val="center"/>
            </w:pPr>
            <w:r w:rsidRPr="00466AA6">
              <w:rPr>
                <w:sz w:val="17"/>
                <w:szCs w:val="17"/>
              </w:rPr>
              <w:t xml:space="preserve">18 (4,2%) </w:t>
            </w:r>
            <w:r w:rsidRPr="00466AA6">
              <w:rPr>
                <w:sz w:val="14"/>
                <w:szCs w:val="14"/>
              </w:rPr>
              <w:t>(2,3% - 6,1%)</w:t>
            </w:r>
          </w:p>
        </w:tc>
      </w:tr>
      <w:tr w:rsidR="00456210" w:rsidRPr="00456210" w14:paraId="66F791E0" w14:textId="77777777" w:rsidTr="00045637">
        <w:tc>
          <w:tcPr>
            <w:tcW w:w="1162" w:type="dxa"/>
            <w:tcBorders>
              <w:top w:val="single" w:sz="4" w:space="0" w:color="auto"/>
              <w:bottom w:val="single" w:sz="4" w:space="0" w:color="auto"/>
              <w:right w:val="single" w:sz="4" w:space="0" w:color="auto"/>
            </w:tcBorders>
            <w:shd w:val="clear" w:color="auto" w:fill="auto"/>
            <w:vAlign w:val="center"/>
          </w:tcPr>
          <w:p w14:paraId="1AA565B0" w14:textId="6AC5978E" w:rsidR="00456210" w:rsidRPr="00466AA6" w:rsidRDefault="00456210" w:rsidP="00045637">
            <w:pPr>
              <w:rPr>
                <w:sz w:val="18"/>
                <w:szCs w:val="18"/>
              </w:rPr>
            </w:pPr>
            <w:r w:rsidRPr="00466AA6">
              <w:rPr>
                <w:sz w:val="18"/>
                <w:szCs w:val="18"/>
              </w:rPr>
              <w:t>Klinikai jelentőség</w:t>
            </w:r>
            <w:r w:rsidR="00207FD8">
              <w:rPr>
                <w:sz w:val="18"/>
                <w:szCs w:val="18"/>
              </w:rPr>
              <w:t>ű</w:t>
            </w:r>
            <w:r w:rsidRPr="00466AA6">
              <w:rPr>
                <w:sz w:val="18"/>
                <w:szCs w:val="18"/>
              </w:rPr>
              <w:t xml:space="preserve"> nem súlyos vérzések</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63AD5CC" w14:textId="77777777" w:rsidR="00456210" w:rsidRPr="00466AA6" w:rsidRDefault="00456210" w:rsidP="00045637">
            <w:pPr>
              <w:jc w:val="center"/>
            </w:pPr>
            <w:r w:rsidRPr="00466AA6">
              <w:rPr>
                <w:sz w:val="17"/>
                <w:szCs w:val="17"/>
              </w:rPr>
              <w:t xml:space="preserve">87 (6,1%) </w:t>
            </w:r>
            <w:r w:rsidRPr="00466AA6">
              <w:rPr>
                <w:sz w:val="14"/>
                <w:szCs w:val="14"/>
              </w:rPr>
              <w:t>(4,8% - 7,3%)</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A28CA2D" w14:textId="77777777" w:rsidR="00456210" w:rsidRPr="00466AA6" w:rsidRDefault="00456210" w:rsidP="00045637">
            <w:pPr>
              <w:jc w:val="center"/>
            </w:pPr>
            <w:r w:rsidRPr="00466AA6">
              <w:rPr>
                <w:sz w:val="17"/>
                <w:szCs w:val="17"/>
              </w:rPr>
              <w:t xml:space="preserve">26 (5,9%) </w:t>
            </w:r>
            <w:r w:rsidRPr="00466AA6">
              <w:rPr>
                <w:sz w:val="17"/>
                <w:szCs w:val="17"/>
              </w:rPr>
              <w:br/>
            </w:r>
            <w:r w:rsidRPr="00466AA6">
              <w:rPr>
                <w:sz w:val="14"/>
                <w:szCs w:val="14"/>
              </w:rPr>
              <w:t>(3,7% - 8,0%)</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9E0FCBB" w14:textId="77777777" w:rsidR="00456210" w:rsidRPr="00466AA6" w:rsidRDefault="00456210" w:rsidP="00045637">
            <w:pPr>
              <w:jc w:val="center"/>
            </w:pPr>
            <w:r w:rsidRPr="00466AA6">
              <w:rPr>
                <w:sz w:val="17"/>
                <w:szCs w:val="17"/>
              </w:rPr>
              <w:t xml:space="preserve">33 (6,2%) </w:t>
            </w:r>
            <w:r w:rsidRPr="00466AA6">
              <w:rPr>
                <w:sz w:val="14"/>
                <w:szCs w:val="14"/>
              </w:rPr>
              <w:t>(4,2% - 8,3%)</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74C90B6" w14:textId="77777777" w:rsidR="00456210" w:rsidRPr="00466AA6" w:rsidRDefault="00456210" w:rsidP="00045637">
            <w:pPr>
              <w:jc w:val="center"/>
            </w:pPr>
            <w:r w:rsidRPr="00466AA6">
              <w:rPr>
                <w:sz w:val="17"/>
                <w:szCs w:val="17"/>
              </w:rPr>
              <w:t xml:space="preserve">23 (5,7%) </w:t>
            </w:r>
            <w:r w:rsidRPr="00466AA6">
              <w:rPr>
                <w:sz w:val="14"/>
                <w:szCs w:val="14"/>
              </w:rPr>
              <w:t>(3,4% - 7,9%)</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F587CD8" w14:textId="77777777" w:rsidR="00456210" w:rsidRPr="00466AA6" w:rsidRDefault="00456210" w:rsidP="00045637">
            <w:pPr>
              <w:pStyle w:val="TblTextCenter"/>
              <w:spacing w:before="0" w:after="0"/>
              <w:rPr>
                <w:sz w:val="17"/>
                <w:szCs w:val="17"/>
              </w:rPr>
            </w:pPr>
            <w:r w:rsidRPr="00466AA6">
              <w:rPr>
                <w:sz w:val="17"/>
                <w:szCs w:val="17"/>
              </w:rPr>
              <w:t>1 (7,1%)</w:t>
            </w:r>
          </w:p>
          <w:p w14:paraId="60BA456E" w14:textId="77777777" w:rsidR="00456210" w:rsidRPr="00466AA6" w:rsidRDefault="00456210" w:rsidP="00045637">
            <w:pPr>
              <w:jc w:val="center"/>
            </w:pPr>
            <w:r w:rsidRPr="00466AA6">
              <w:rPr>
                <w:sz w:val="14"/>
                <w:szCs w:val="14"/>
              </w:rPr>
              <w:t>(0% - 22,6%)</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5067A6E" w14:textId="77777777" w:rsidR="00456210" w:rsidRPr="00466AA6" w:rsidRDefault="00456210" w:rsidP="00045637">
            <w:pPr>
              <w:jc w:val="center"/>
              <w:rPr>
                <w:sz w:val="17"/>
                <w:szCs w:val="17"/>
              </w:rPr>
            </w:pPr>
            <w:r w:rsidRPr="00466AA6">
              <w:rPr>
                <w:sz w:val="17"/>
                <w:szCs w:val="17"/>
              </w:rPr>
              <w:t>4 (10,3%)</w:t>
            </w:r>
          </w:p>
          <w:p w14:paraId="4493B643" w14:textId="77777777" w:rsidR="00456210" w:rsidRPr="00466AA6" w:rsidRDefault="00456210" w:rsidP="00045637">
            <w:pPr>
              <w:jc w:val="center"/>
            </w:pPr>
            <w:r w:rsidRPr="00466AA6">
              <w:rPr>
                <w:sz w:val="14"/>
                <w:szCs w:val="14"/>
              </w:rPr>
              <w:t>(0,3% - 20,2%)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1C3FC2F" w14:textId="77777777" w:rsidR="00456210" w:rsidRPr="00466AA6" w:rsidRDefault="00456210" w:rsidP="00045637">
            <w:pPr>
              <w:jc w:val="center"/>
            </w:pPr>
            <w:r w:rsidRPr="00466AA6">
              <w:rPr>
                <w:sz w:val="17"/>
                <w:szCs w:val="17"/>
              </w:rPr>
              <w:t xml:space="preserve">24 (5,6%) </w:t>
            </w:r>
            <w:r w:rsidRPr="00466AA6">
              <w:rPr>
                <w:sz w:val="14"/>
                <w:szCs w:val="14"/>
              </w:rPr>
              <w:t>(3,4% - 7,8%)</w:t>
            </w:r>
          </w:p>
        </w:tc>
      </w:tr>
      <w:tr w:rsidR="00456210" w:rsidRPr="00456210" w14:paraId="12427F92" w14:textId="77777777" w:rsidTr="00045637">
        <w:trPr>
          <w:trHeight w:val="751"/>
        </w:trPr>
        <w:tc>
          <w:tcPr>
            <w:tcW w:w="1162" w:type="dxa"/>
            <w:tcBorders>
              <w:top w:val="single" w:sz="4" w:space="0" w:color="auto"/>
              <w:bottom w:val="single" w:sz="4" w:space="0" w:color="auto"/>
              <w:right w:val="single" w:sz="4" w:space="0" w:color="auto"/>
            </w:tcBorders>
            <w:shd w:val="clear" w:color="auto" w:fill="auto"/>
            <w:vAlign w:val="center"/>
          </w:tcPr>
          <w:p w14:paraId="6EA721E3" w14:textId="77777777" w:rsidR="00456210" w:rsidRPr="00466AA6" w:rsidRDefault="00456210" w:rsidP="00045637">
            <w:pPr>
              <w:rPr>
                <w:sz w:val="18"/>
                <w:szCs w:val="18"/>
              </w:rPr>
            </w:pPr>
            <w:r w:rsidRPr="00466AA6">
              <w:rPr>
                <w:sz w:val="18"/>
                <w:szCs w:val="18"/>
              </w:rPr>
              <w:t>Összes eredetű halálozás</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CCBE605" w14:textId="77777777" w:rsidR="00456210" w:rsidRPr="00466AA6" w:rsidRDefault="00456210" w:rsidP="00045637">
            <w:pPr>
              <w:jc w:val="center"/>
            </w:pPr>
            <w:r w:rsidRPr="00466AA6">
              <w:rPr>
                <w:sz w:val="17"/>
                <w:szCs w:val="17"/>
              </w:rPr>
              <w:t xml:space="preserve">666 (46,5%) </w:t>
            </w:r>
            <w:r w:rsidRPr="00466AA6">
              <w:rPr>
                <w:sz w:val="14"/>
                <w:szCs w:val="14"/>
              </w:rPr>
              <w:t>(43,9% - 49,1%)</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5441EAA" w14:textId="77777777" w:rsidR="00456210" w:rsidRPr="00466AA6" w:rsidRDefault="00456210" w:rsidP="00045637">
            <w:pPr>
              <w:jc w:val="center"/>
            </w:pPr>
            <w:r w:rsidRPr="00466AA6">
              <w:rPr>
                <w:sz w:val="17"/>
                <w:szCs w:val="17"/>
              </w:rPr>
              <w:t xml:space="preserve">175 (39,4%) </w:t>
            </w:r>
            <w:r w:rsidRPr="00466AA6">
              <w:rPr>
                <w:sz w:val="14"/>
                <w:szCs w:val="14"/>
              </w:rPr>
              <w:t>(34,9% - 44,0%)</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1593939" w14:textId="77777777" w:rsidR="00456210" w:rsidRPr="00466AA6" w:rsidRDefault="00456210" w:rsidP="00045637">
            <w:pPr>
              <w:jc w:val="center"/>
            </w:pPr>
            <w:r w:rsidRPr="00466AA6">
              <w:rPr>
                <w:sz w:val="17"/>
                <w:szCs w:val="17"/>
              </w:rPr>
              <w:t xml:space="preserve">323 (61,1%) </w:t>
            </w:r>
            <w:r w:rsidRPr="00466AA6">
              <w:rPr>
                <w:sz w:val="14"/>
                <w:szCs w:val="14"/>
              </w:rPr>
              <w:t>(56,9% - 65,2%)</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6F514E7" w14:textId="77777777" w:rsidR="00456210" w:rsidRPr="00466AA6" w:rsidRDefault="00456210" w:rsidP="00045637">
            <w:pPr>
              <w:jc w:val="center"/>
            </w:pPr>
            <w:r w:rsidRPr="00466AA6">
              <w:rPr>
                <w:sz w:val="17"/>
                <w:szCs w:val="17"/>
              </w:rPr>
              <w:t xml:space="preserve">146 (36,0%) </w:t>
            </w:r>
            <w:r w:rsidRPr="00466AA6">
              <w:rPr>
                <w:sz w:val="14"/>
                <w:szCs w:val="14"/>
              </w:rPr>
              <w:t>(31,3% - 40,6%)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32FA98D" w14:textId="77777777" w:rsidR="00456210" w:rsidRPr="00466AA6" w:rsidRDefault="00456210" w:rsidP="00045637">
            <w:pPr>
              <w:jc w:val="center"/>
            </w:pPr>
            <w:r w:rsidRPr="00466AA6">
              <w:rPr>
                <w:sz w:val="17"/>
                <w:szCs w:val="17"/>
              </w:rPr>
              <w:t xml:space="preserve">6 (42.9%) </w:t>
            </w:r>
            <w:r w:rsidRPr="00466AA6">
              <w:rPr>
                <w:sz w:val="14"/>
                <w:szCs w:val="14"/>
              </w:rPr>
              <w:t>(13,2% - 72,5%)</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6885294" w14:textId="77777777" w:rsidR="00456210" w:rsidRPr="00466AA6" w:rsidRDefault="00456210" w:rsidP="00045637">
            <w:pPr>
              <w:jc w:val="center"/>
              <w:rPr>
                <w:sz w:val="17"/>
                <w:szCs w:val="17"/>
              </w:rPr>
            </w:pPr>
            <w:r w:rsidRPr="00466AA6">
              <w:rPr>
                <w:sz w:val="17"/>
                <w:szCs w:val="17"/>
              </w:rPr>
              <w:t>16 (41,0%)</w:t>
            </w:r>
          </w:p>
          <w:p w14:paraId="06D4AEC4" w14:textId="77777777" w:rsidR="00456210" w:rsidRPr="00466AA6" w:rsidRDefault="00456210" w:rsidP="00045637">
            <w:pPr>
              <w:jc w:val="center"/>
            </w:pPr>
            <w:r w:rsidRPr="00466AA6">
              <w:rPr>
                <w:sz w:val="14"/>
                <w:szCs w:val="14"/>
              </w:rPr>
              <w:t>(24,9% - 57,2%)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41551E" w14:textId="77777777" w:rsidR="00456210" w:rsidRPr="00466AA6" w:rsidRDefault="00456210" w:rsidP="00045637">
            <w:pPr>
              <w:jc w:val="center"/>
            </w:pPr>
            <w:r w:rsidRPr="00466AA6">
              <w:rPr>
                <w:sz w:val="17"/>
                <w:szCs w:val="17"/>
              </w:rPr>
              <w:t xml:space="preserve">157 (36,7%) </w:t>
            </w:r>
            <w:r w:rsidRPr="00466AA6">
              <w:rPr>
                <w:sz w:val="14"/>
                <w:szCs w:val="14"/>
              </w:rPr>
              <w:t>(32,1% - 41,3%)</w:t>
            </w:r>
          </w:p>
        </w:tc>
      </w:tr>
      <w:tr w:rsidR="00456210" w:rsidRPr="00456210" w14:paraId="23BB7DF8" w14:textId="77777777" w:rsidTr="00045637">
        <w:tc>
          <w:tcPr>
            <w:tcW w:w="1162" w:type="dxa"/>
            <w:tcBorders>
              <w:top w:val="single" w:sz="4" w:space="0" w:color="auto"/>
              <w:bottom w:val="single" w:sz="4" w:space="0" w:color="auto"/>
              <w:right w:val="single" w:sz="4" w:space="0" w:color="auto"/>
            </w:tcBorders>
            <w:shd w:val="clear" w:color="auto" w:fill="auto"/>
            <w:vAlign w:val="center"/>
          </w:tcPr>
          <w:p w14:paraId="4539BD57" w14:textId="77777777" w:rsidR="00456210" w:rsidRPr="00466AA6" w:rsidRDefault="00456210" w:rsidP="00045637">
            <w:pPr>
              <w:rPr>
                <w:sz w:val="18"/>
                <w:szCs w:val="18"/>
              </w:rPr>
            </w:pPr>
            <w:r w:rsidRPr="00466AA6">
              <w:rPr>
                <w:sz w:val="18"/>
                <w:szCs w:val="18"/>
              </w:rPr>
              <w:t>Végzetes PE vagy végzetes vérzéssel összefüggő halál</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32198BB" w14:textId="77777777" w:rsidR="00456210" w:rsidRPr="00466AA6" w:rsidRDefault="00456210" w:rsidP="00045637">
            <w:pPr>
              <w:jc w:val="center"/>
            </w:pPr>
            <w:r w:rsidRPr="00466AA6">
              <w:rPr>
                <w:sz w:val="17"/>
                <w:szCs w:val="17"/>
              </w:rPr>
              <w:t xml:space="preserve">48 (3,4%) </w:t>
            </w:r>
            <w:r w:rsidRPr="00466AA6">
              <w:rPr>
                <w:sz w:val="14"/>
                <w:szCs w:val="14"/>
              </w:rPr>
              <w:t>(2,4% - 4,3%)</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AED2DE0" w14:textId="77777777" w:rsidR="00456210" w:rsidRPr="00466AA6" w:rsidRDefault="00456210" w:rsidP="00045637">
            <w:pPr>
              <w:jc w:val="center"/>
            </w:pPr>
            <w:r w:rsidRPr="00466AA6">
              <w:rPr>
                <w:sz w:val="17"/>
                <w:szCs w:val="17"/>
              </w:rPr>
              <w:t xml:space="preserve">7 (1.6%) </w:t>
            </w:r>
            <w:r w:rsidRPr="00466AA6">
              <w:rPr>
                <w:sz w:val="17"/>
                <w:szCs w:val="17"/>
              </w:rPr>
              <w:br/>
            </w:r>
            <w:r w:rsidRPr="00466AA6">
              <w:rPr>
                <w:sz w:val="14"/>
                <w:szCs w:val="14"/>
              </w:rPr>
              <w:t>(0,4% - 2,7%)</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805D274" w14:textId="77777777" w:rsidR="00456210" w:rsidRPr="00466AA6" w:rsidRDefault="00456210" w:rsidP="00045637">
            <w:pPr>
              <w:jc w:val="center"/>
            </w:pPr>
            <w:r w:rsidRPr="00466AA6">
              <w:rPr>
                <w:sz w:val="17"/>
                <w:szCs w:val="17"/>
              </w:rPr>
              <w:t xml:space="preserve">35 (6,6%) </w:t>
            </w:r>
            <w:r w:rsidRPr="00466AA6">
              <w:rPr>
                <w:sz w:val="14"/>
                <w:szCs w:val="14"/>
              </w:rPr>
              <w:t>(4,5% - 8,7%)</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2676B14" w14:textId="77777777" w:rsidR="00456210" w:rsidRPr="00466AA6" w:rsidRDefault="00456210" w:rsidP="00045637">
            <w:pPr>
              <w:jc w:val="center"/>
            </w:pPr>
            <w:r w:rsidRPr="00466AA6">
              <w:rPr>
                <w:sz w:val="17"/>
                <w:szCs w:val="17"/>
              </w:rPr>
              <w:t xml:space="preserve">5 (1,2%) </w:t>
            </w:r>
            <w:r w:rsidRPr="00466AA6">
              <w:rPr>
                <w:sz w:val="17"/>
                <w:szCs w:val="17"/>
              </w:rPr>
              <w:br/>
            </w:r>
            <w:r w:rsidRPr="00466AA6">
              <w:rPr>
                <w:sz w:val="14"/>
                <w:szCs w:val="14"/>
              </w:rPr>
              <w:t>(0,2% - 2,3%)</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483CE49" w14:textId="77777777" w:rsidR="00456210" w:rsidRPr="00466AA6" w:rsidRDefault="00456210" w:rsidP="00045637">
            <w:pPr>
              <w:jc w:val="center"/>
              <w:rPr>
                <w:sz w:val="17"/>
                <w:szCs w:val="17"/>
              </w:rPr>
            </w:pPr>
            <w:r w:rsidRPr="00466AA6">
              <w:rPr>
                <w:sz w:val="17"/>
                <w:szCs w:val="17"/>
              </w:rPr>
              <w:t>0 (0%)</w:t>
            </w:r>
          </w:p>
          <w:p w14:paraId="3F8D8F33" w14:textId="77777777" w:rsidR="00456210" w:rsidRPr="00466AA6" w:rsidRDefault="00456210" w:rsidP="00045637">
            <w:pPr>
              <w:jc w:val="center"/>
            </w:pPr>
            <w:r w:rsidRPr="00466AA6">
              <w:rPr>
                <w:sz w:val="14"/>
                <w:szCs w:val="14"/>
              </w:rPr>
              <w:t> - </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4BB78B6" w14:textId="77777777" w:rsidR="00456210" w:rsidRPr="00466AA6" w:rsidRDefault="00456210" w:rsidP="00045637">
            <w:pPr>
              <w:jc w:val="center"/>
            </w:pPr>
            <w:r w:rsidRPr="00466AA6">
              <w:rPr>
                <w:sz w:val="17"/>
                <w:szCs w:val="17"/>
              </w:rPr>
              <w:t xml:space="preserve">1 (2,6%) </w:t>
            </w:r>
            <w:r w:rsidRPr="00466AA6">
              <w:rPr>
                <w:sz w:val="17"/>
                <w:szCs w:val="17"/>
              </w:rPr>
              <w:br/>
            </w:r>
            <w:r w:rsidRPr="00466AA6">
              <w:rPr>
                <w:sz w:val="14"/>
                <w:szCs w:val="14"/>
              </w:rPr>
              <w:t>(0% - 7,8%)</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712A826" w14:textId="77777777" w:rsidR="00456210" w:rsidRPr="00466AA6" w:rsidRDefault="00456210" w:rsidP="00045637">
            <w:pPr>
              <w:jc w:val="center"/>
            </w:pPr>
            <w:r w:rsidRPr="00466AA6">
              <w:rPr>
                <w:sz w:val="17"/>
                <w:szCs w:val="17"/>
              </w:rPr>
              <w:t xml:space="preserve">11 (2,6%) </w:t>
            </w:r>
            <w:r w:rsidRPr="00466AA6">
              <w:rPr>
                <w:sz w:val="14"/>
                <w:szCs w:val="14"/>
              </w:rPr>
              <w:t>(1,1% - 4,1%)</w:t>
            </w:r>
          </w:p>
        </w:tc>
      </w:tr>
    </w:tbl>
    <w:p w14:paraId="6A18964E" w14:textId="77777777" w:rsidR="00456210" w:rsidRPr="00466AA6" w:rsidRDefault="00456210" w:rsidP="00456210">
      <w:pPr>
        <w:rPr>
          <w:sz w:val="18"/>
          <w:szCs w:val="16"/>
        </w:rPr>
      </w:pPr>
      <w:r w:rsidRPr="00466AA6">
        <w:rPr>
          <w:sz w:val="18"/>
          <w:szCs w:val="16"/>
        </w:rPr>
        <w:t>*Összes adatnál 95%-os CI</w:t>
      </w:r>
    </w:p>
    <w:bookmarkEnd w:id="6"/>
    <w:bookmarkEnd w:id="10"/>
    <w:p w14:paraId="0A51626C" w14:textId="77777777" w:rsidR="00456210" w:rsidRPr="00656C0A" w:rsidRDefault="00456210" w:rsidP="00545340">
      <w:pPr>
        <w:pStyle w:val="Szvegtrzs"/>
        <w:tabs>
          <w:tab w:val="left" w:pos="567"/>
        </w:tabs>
        <w:ind w:left="567" w:hanging="567"/>
      </w:pPr>
    </w:p>
    <w:p w14:paraId="78BD0A6D" w14:textId="77777777" w:rsidR="00DF73BF" w:rsidRPr="00CC2838" w:rsidRDefault="00FB299E" w:rsidP="00545340">
      <w:pPr>
        <w:pStyle w:val="Listaszerbekezds"/>
        <w:numPr>
          <w:ilvl w:val="0"/>
          <w:numId w:val="24"/>
        </w:numPr>
        <w:tabs>
          <w:tab w:val="left" w:pos="567"/>
        </w:tabs>
        <w:ind w:left="567" w:hanging="567"/>
        <w:rPr>
          <w:i/>
        </w:rPr>
      </w:pPr>
      <w:r w:rsidRPr="00CC2838">
        <w:rPr>
          <w:i/>
        </w:rPr>
        <w:t>Instabil angina és nem ST-elevációval járó miokardiális infarktus kezelése</w:t>
      </w:r>
    </w:p>
    <w:p w14:paraId="78BD0A6E" w14:textId="77777777" w:rsidR="00DF73BF" w:rsidRPr="00656C0A" w:rsidRDefault="00FB299E" w:rsidP="00545340">
      <w:pPr>
        <w:pStyle w:val="Szvegtrzs"/>
        <w:tabs>
          <w:tab w:val="left" w:pos="567"/>
        </w:tabs>
        <w:ind w:left="567"/>
      </w:pPr>
      <w:r w:rsidRPr="00656C0A">
        <w:t>Egy nagy volumenű, multicentrikus vizsgálatba 3171 beteget választottak be instabil angina vagy non-Q miokardiális infarktus akut fázisában. A betegeket úgy randomizálták, hogy napi egyszer 100–325 mg acetilszalicilsav alkalmazása mellett 12 óránként 100 NE/kg (1 mg/kg) sc. enoxaparin-nátriumot, vagy nemfrakcionált iv. heparint kaptak az aPTI-hez igazítva. A betegeket minimum 2 napig, maximum</w:t>
      </w:r>
      <w:r w:rsidR="001A4A06" w:rsidRPr="00656C0A">
        <w:t xml:space="preserve"> </w:t>
      </w:r>
      <w:r w:rsidRPr="00656C0A">
        <w:t>8 napig kellett kórházi kezelésben részesíteni, amíg vagy az állapotuk klinikailag stabilizálódott, vagy revaszkularizációs beavatkozás történt, vagy elbocsátották őket. A betegeket 30 napig követték. A heparinhoz képest az enoxaparin-nátrium szignifikánsan csökkentette az angina pectoris, a miokardiális infarktus és a halál kombinált incidenciáját, amely a 14. napra 19,8%-ról 16,6%-ra csökkent (a relatív kockázat csökkenése 16,2%). A kombinált incidencia csökkenése 30 nap után is fennmaradt (23,3%-ról 19,8%-ra; a relatív kockázat 15%-os csökkenése).</w:t>
      </w:r>
    </w:p>
    <w:p w14:paraId="78BD0A6F" w14:textId="77777777" w:rsidR="00DF73BF" w:rsidRPr="00656C0A" w:rsidRDefault="00FB299E" w:rsidP="00545340">
      <w:pPr>
        <w:pStyle w:val="Szvegtrzs"/>
        <w:tabs>
          <w:tab w:val="left" w:pos="567"/>
        </w:tabs>
        <w:ind w:left="567"/>
      </w:pPr>
      <w:r w:rsidRPr="00656C0A">
        <w:t>Nem volt szignifikáns különbség a jelentős vérzések tekintetében, noha gyakrabban alakult ki vérzés a sc. injekció beadási helyén.</w:t>
      </w:r>
    </w:p>
    <w:p w14:paraId="78BD0A70" w14:textId="77777777" w:rsidR="00DF73BF" w:rsidRPr="00656C0A" w:rsidRDefault="00DF73BF" w:rsidP="00545340">
      <w:pPr>
        <w:pStyle w:val="Szvegtrzs"/>
        <w:tabs>
          <w:tab w:val="left" w:pos="567"/>
        </w:tabs>
        <w:ind w:left="567" w:hanging="567"/>
      </w:pPr>
    </w:p>
    <w:p w14:paraId="78BD0A71" w14:textId="77777777" w:rsidR="00DF73BF" w:rsidRPr="00CC2838" w:rsidRDefault="00FB299E" w:rsidP="00545340">
      <w:pPr>
        <w:pStyle w:val="Listaszerbekezds"/>
        <w:numPr>
          <w:ilvl w:val="0"/>
          <w:numId w:val="24"/>
        </w:numPr>
        <w:tabs>
          <w:tab w:val="left" w:pos="567"/>
        </w:tabs>
        <w:ind w:left="567" w:hanging="567"/>
        <w:rPr>
          <w:i/>
        </w:rPr>
      </w:pPr>
      <w:r w:rsidRPr="00CC2838">
        <w:rPr>
          <w:i/>
        </w:rPr>
        <w:t>ST-elevációval járó akut miokardiális infarktus kezelése (STEMI)</w:t>
      </w:r>
    </w:p>
    <w:p w14:paraId="78BD0A72" w14:textId="77777777" w:rsidR="00DF73BF" w:rsidRPr="00656C0A" w:rsidRDefault="00FB299E" w:rsidP="00545340">
      <w:pPr>
        <w:pStyle w:val="Szvegtrzs"/>
        <w:tabs>
          <w:tab w:val="left" w:pos="567"/>
        </w:tabs>
        <w:ind w:left="567"/>
      </w:pPr>
      <w:r w:rsidRPr="00656C0A">
        <w:t>Egy nagy volumenű multicentrikus vizsgálatban 20</w:t>
      </w:r>
      <w:r w:rsidR="0080651B">
        <w:t> </w:t>
      </w:r>
      <w:r w:rsidRPr="00656C0A">
        <w:t>479 fibrinolitikus terápiára alkalmas STEMI</w:t>
      </w:r>
      <w:r w:rsidR="0080651B">
        <w:noBreakHyphen/>
        <w:t xml:space="preserve">s </w:t>
      </w:r>
      <w:r w:rsidRPr="00656C0A">
        <w:t>beteget randomizáltak vagy enoxaparin-nátrium</w:t>
      </w:r>
      <w:r w:rsidR="0080651B">
        <w:t>-</w:t>
      </w:r>
      <w:r w:rsidRPr="00656C0A">
        <w:t xml:space="preserve">kezelésre egyszeri 3000 NE (30 mg) iv. bólusban és azzal egyidőben további 100 NE/kg (1 mg/kg) sc. injekció formájában, amelyet 100 NE/kg (1 mg/kg) sc. adagok követtek 12 óránként; vagy intravénásan alkalmazott, az </w:t>
      </w:r>
      <w:r w:rsidRPr="00656C0A">
        <w:lastRenderedPageBreak/>
        <w:t>aktivált tromboplasztinidőhöz (aPTI) igazított nemfrakcionált heparin</w:t>
      </w:r>
      <w:r w:rsidR="0080651B">
        <w:t>-</w:t>
      </w:r>
      <w:r w:rsidRPr="00656C0A">
        <w:t>kezelésre 48 órán át. Valamennyi beteg legalább 30 napon keresztül acetilszalicilsav-kezelésben is részesült. Az enoxaparin-nátrium adagolási stratégiáját a súlyos vesekárosodásban szenvedő és a 75</w:t>
      </w:r>
      <w:r w:rsidR="0080651B">
        <w:t> </w:t>
      </w:r>
      <w:r w:rsidRPr="00656C0A">
        <w:t>éves vagy idősebb betegek esetén módosították. Az sc. enoxaparin-nátrium injekciókat a kórházi elbocsátás idejéig, vagy maximum 8 napig (amelyik előbb bekövetkezett) alkalmazták.</w:t>
      </w:r>
    </w:p>
    <w:p w14:paraId="78BD0A73" w14:textId="77777777" w:rsidR="00DF73BF" w:rsidRPr="00656C0A" w:rsidRDefault="00FB299E" w:rsidP="00545340">
      <w:pPr>
        <w:pStyle w:val="Szvegtrzs"/>
        <w:tabs>
          <w:tab w:val="left" w:pos="567"/>
        </w:tabs>
        <w:ind w:left="567"/>
      </w:pPr>
      <w:r w:rsidRPr="00656C0A">
        <w:t>4716 perkután koronária</w:t>
      </w:r>
      <w:r w:rsidR="0080651B">
        <w:t>-</w:t>
      </w:r>
      <w:r w:rsidRPr="00656C0A">
        <w:t>intervencióval kezelt beteg kapott vak elrendezés szerinti adjuváns, antitrombotikus vizsgálati készítményt. Ebből következően az enoxaparin-nátrium</w:t>
      </w:r>
      <w:r w:rsidR="001B6228">
        <w:t>-</w:t>
      </w:r>
      <w:r w:rsidRPr="00656C0A">
        <w:t>kezelésben részesülő beteg esetén a PCI enoxaparin-nátrium</w:t>
      </w:r>
      <w:r w:rsidR="001B6228">
        <w:t>-</w:t>
      </w:r>
      <w:r w:rsidRPr="00656C0A">
        <w:t>kezelés mellett zajlott (átállás nélkül) a korábbi klinikai</w:t>
      </w:r>
      <w:r w:rsidR="008E5AD4" w:rsidRPr="00656C0A">
        <w:t xml:space="preserve"> </w:t>
      </w:r>
      <w:r w:rsidRPr="00656C0A">
        <w:t>vizsgálatokban meghatározott adagolás szerint, pl. nem adtak újabb adagot abban az esetben, ha az utolsó sc. adagot a ballon felfújását megelőző 8 órán belül adták be, illetve 30 NE/kg (0,3 mg/kg) enoxaparin-nátrium iv. bólust alkalmaztak, amennyiben az utolsó sc. adagot a ballon felfújását megelőző 8 órán túl adták be.</w:t>
      </w:r>
    </w:p>
    <w:p w14:paraId="78BD0A74" w14:textId="77777777" w:rsidR="00DF73BF" w:rsidRPr="00656C0A" w:rsidRDefault="00FB299E" w:rsidP="00545340">
      <w:pPr>
        <w:pStyle w:val="Szvegtrzs"/>
        <w:tabs>
          <w:tab w:val="left" w:pos="567"/>
        </w:tabs>
        <w:ind w:left="567"/>
      </w:pPr>
      <w:r w:rsidRPr="00656C0A">
        <w:t>Az enoxaparin-nátrium a nemfrakcionált heparinhoz képest 17%-os relatív rizikócsökkenéssel, szignifikánsan csökkentette (p</w:t>
      </w:r>
      <w:r w:rsidR="001B6228">
        <w:t> </w:t>
      </w:r>
      <w:r w:rsidRPr="00656C0A">
        <w:t>&lt;</w:t>
      </w:r>
      <w:r w:rsidR="001B6228">
        <w:t> </w:t>
      </w:r>
      <w:r w:rsidRPr="00656C0A">
        <w:t>0,001) az elsődleges végpont, a bármely okból bekövetkezett halál vagy az ismételt miokardiális infarktus (összesített végpont) incidenciáját a randomizálást követő első 30 napon belül (9,9% az enoxaparin-nátrium</w:t>
      </w:r>
      <w:r w:rsidR="001B6228">
        <w:t>-</w:t>
      </w:r>
      <w:r w:rsidRPr="00656C0A">
        <w:t>csoportban; 12,0% a nem-frakcionált heparincsoportban).</w:t>
      </w:r>
    </w:p>
    <w:p w14:paraId="78BD0A75" w14:textId="77777777" w:rsidR="00DF73BF" w:rsidRPr="00656C0A" w:rsidRDefault="00FB299E" w:rsidP="00545340">
      <w:pPr>
        <w:pStyle w:val="Szvegtrzs"/>
        <w:tabs>
          <w:tab w:val="left" w:pos="567"/>
        </w:tabs>
        <w:ind w:left="567"/>
      </w:pPr>
      <w:r w:rsidRPr="00656C0A">
        <w:t>Az enoxaparin-nátrium</w:t>
      </w:r>
      <w:r w:rsidR="001B6228">
        <w:t>-</w:t>
      </w:r>
      <w:r w:rsidRPr="00656C0A">
        <w:t>kezelés előnyei, melyek számos hatásossági végpontban megnyilvánultak, a</w:t>
      </w:r>
      <w:r w:rsidR="001B6228">
        <w:t xml:space="preserve"> </w:t>
      </w:r>
      <w:r w:rsidRPr="00656C0A">
        <w:t>48. órában jelentkeztek, amikor az ismételt miokardiális infarktus relatív kockázatának 35%-os csökkenését észlelték a nemfrakcionált heparint alkalmazó csoporthoz képest (p</w:t>
      </w:r>
      <w:r w:rsidR="001B6228">
        <w:t> </w:t>
      </w:r>
      <w:r w:rsidRPr="00656C0A">
        <w:t>&lt;</w:t>
      </w:r>
      <w:r w:rsidR="001B6228">
        <w:t> </w:t>
      </w:r>
      <w:r w:rsidRPr="00656C0A">
        <w:t>0,001).</w:t>
      </w:r>
    </w:p>
    <w:p w14:paraId="78BD0A76" w14:textId="77777777" w:rsidR="00DF73BF" w:rsidRPr="00656C0A" w:rsidRDefault="00FB299E" w:rsidP="00545340">
      <w:pPr>
        <w:pStyle w:val="Szvegtrzs"/>
        <w:tabs>
          <w:tab w:val="left" w:pos="567"/>
        </w:tabs>
        <w:ind w:left="567"/>
      </w:pPr>
      <w:r w:rsidRPr="00656C0A">
        <w:t>Az enoxaparin-nátrium kedvező hatása az elsődleges végpont tekintetében egységesen megmutatkozott valamennyi kulcsfontosságú alcsoportban, így az életkor, a nem, az infarktus lokalizációja, az anamnézisben szereplő cukorbetegség, az anamnézisben szereplő miokardiális infarktus, az alkalmazott fibrinolitikum típusa és a vizsgálati készítmény alkalmazásáig eltelt idő vonatkozásában.</w:t>
      </w:r>
    </w:p>
    <w:p w14:paraId="78BD0A77" w14:textId="77777777" w:rsidR="00DF73BF" w:rsidRPr="00656C0A" w:rsidRDefault="00FB299E" w:rsidP="00545340">
      <w:pPr>
        <w:pStyle w:val="Szvegtrzs"/>
        <w:tabs>
          <w:tab w:val="left" w:pos="567"/>
        </w:tabs>
        <w:ind w:left="567"/>
      </w:pPr>
      <w:r w:rsidRPr="00656C0A">
        <w:t>Az enoxaparin-nátrium</w:t>
      </w:r>
      <w:r w:rsidR="001B6228">
        <w:t>-</w:t>
      </w:r>
      <w:r w:rsidRPr="00656C0A">
        <w:t>kezelés hatása szignifikánsan kedvezőbb volt a nemfrakcionált heparinhoz viszonyítva a randomizációt követő 30 napon belül a PCI-vel kezelt (23%-os relatív rizikócsökkenés) vagy a csak gyógyszeres kezelésben részesült betegek esetén (15%-os relatív rizikócsökkenés, p</w:t>
      </w:r>
      <w:r w:rsidR="001B6228">
        <w:t> </w:t>
      </w:r>
      <w:r w:rsidRPr="00656C0A">
        <w:t>=</w:t>
      </w:r>
      <w:r w:rsidR="001B6228">
        <w:t> </w:t>
      </w:r>
      <w:r w:rsidRPr="00656C0A">
        <w:t>0,27 az interakcióra).</w:t>
      </w:r>
    </w:p>
    <w:p w14:paraId="78BD0A78" w14:textId="77777777" w:rsidR="00DF73BF" w:rsidRPr="00656C0A" w:rsidRDefault="00FB299E" w:rsidP="00545340">
      <w:pPr>
        <w:pStyle w:val="Szvegtrzs"/>
        <w:tabs>
          <w:tab w:val="left" w:pos="567"/>
        </w:tabs>
        <w:ind w:left="567"/>
      </w:pPr>
      <w:r w:rsidRPr="00656C0A">
        <w:t>Az összetett végpont (halál, újabb miokardiális infarktus vagy koponyaűri vérzés a 30. napig) aránya (a nettó klinikai előny mérőszáma) szignifikánsan ritkábban következett be (p</w:t>
      </w:r>
      <w:r w:rsidR="001B6228">
        <w:t> </w:t>
      </w:r>
      <w:r w:rsidRPr="00656C0A">
        <w:t>&lt;</w:t>
      </w:r>
      <w:r w:rsidR="001B6228">
        <w:t> </w:t>
      </w:r>
      <w:r w:rsidRPr="00656C0A">
        <w:t>0,0001) az enoxaparin-nátrium</w:t>
      </w:r>
      <w:r w:rsidR="001B6228">
        <w:t>-</w:t>
      </w:r>
      <w:r w:rsidRPr="00656C0A">
        <w:t>csoportban (10,1%) a heparincsoporttal összehasonlítva (12,2%), ami a relatív kockázat 17%-os csökkenését jelenti az enoxaparin-nátrium</w:t>
      </w:r>
      <w:r w:rsidR="001B6228">
        <w:t>-</w:t>
      </w:r>
      <w:r w:rsidRPr="00656C0A">
        <w:t>kezelésben részesülők javára.</w:t>
      </w:r>
    </w:p>
    <w:p w14:paraId="78BD0A79" w14:textId="77777777" w:rsidR="00DF73BF" w:rsidRPr="00656C0A" w:rsidRDefault="00FB299E" w:rsidP="00545340">
      <w:pPr>
        <w:pStyle w:val="Szvegtrzs"/>
        <w:tabs>
          <w:tab w:val="left" w:pos="567"/>
        </w:tabs>
        <w:ind w:left="567"/>
      </w:pPr>
      <w:r w:rsidRPr="00656C0A">
        <w:t>A jelentős vérzés incidenciája a 30</w:t>
      </w:r>
      <w:r w:rsidR="001B6228">
        <w:t>.</w:t>
      </w:r>
      <w:r w:rsidRPr="00656C0A">
        <w:t xml:space="preserve"> napon szignifikánsan magasabb volt (p</w:t>
      </w:r>
      <w:r w:rsidR="001B6228">
        <w:t> </w:t>
      </w:r>
      <w:r w:rsidRPr="00656C0A">
        <w:t>&lt;</w:t>
      </w:r>
      <w:r w:rsidR="001B6228">
        <w:t> </w:t>
      </w:r>
      <w:r w:rsidRPr="00656C0A">
        <w:t>0,0001) az enoxaparin-nátrium</w:t>
      </w:r>
      <w:r w:rsidR="001B6228">
        <w:t>-</w:t>
      </w:r>
      <w:r w:rsidRPr="00656C0A">
        <w:t>csoportban (2,1%), mint a heparincsoportban (1,4%). A gyomor-</w:t>
      </w:r>
      <w:r w:rsidR="001B6228">
        <w:t>/</w:t>
      </w:r>
      <w:r w:rsidRPr="00656C0A">
        <w:t>bélrendszeri vérzés incidenciája magasabb volt az enoxaparin-nátriummal kezelt csoportban (0,5%), mint a heparincsoportban (0,1%), míg a koponyaűri vérzés incidenciája hasonló volt mindkét csoportban (enoxaparin-nátriummal 0,8%, heparinnal 0,7%).</w:t>
      </w:r>
    </w:p>
    <w:p w14:paraId="78BD0A7A" w14:textId="77777777" w:rsidR="00DF73BF" w:rsidRPr="00656C0A" w:rsidRDefault="00FB299E" w:rsidP="00545340">
      <w:pPr>
        <w:pStyle w:val="Szvegtrzs"/>
        <w:tabs>
          <w:tab w:val="left" w:pos="567"/>
        </w:tabs>
        <w:ind w:left="567"/>
      </w:pPr>
      <w:r w:rsidRPr="00656C0A">
        <w:t>Az enoxaparin-nátrium</w:t>
      </w:r>
      <w:r w:rsidR="006157FD">
        <w:t>-</w:t>
      </w:r>
      <w:r w:rsidRPr="00656C0A">
        <w:t>kezelés első 30 napja során megfigyelt</w:t>
      </w:r>
      <w:r w:rsidR="006157FD">
        <w:t>,</w:t>
      </w:r>
      <w:r w:rsidRPr="00656C0A">
        <w:t xml:space="preserve"> </w:t>
      </w:r>
      <w:r w:rsidR="006157FD">
        <w:t xml:space="preserve">az </w:t>
      </w:r>
      <w:r w:rsidRPr="00656C0A">
        <w:t>elsődleges végpontra gyakorolt kedvező hatása fennmaradt a 12 hónapos követési periódus alatt.</w:t>
      </w:r>
    </w:p>
    <w:p w14:paraId="78BD0A7B" w14:textId="77777777" w:rsidR="00DF73BF" w:rsidRPr="00656C0A" w:rsidRDefault="00DF73BF" w:rsidP="00545340">
      <w:pPr>
        <w:pStyle w:val="Szvegtrzs"/>
        <w:tabs>
          <w:tab w:val="left" w:pos="567"/>
        </w:tabs>
        <w:ind w:left="567" w:hanging="567"/>
      </w:pPr>
    </w:p>
    <w:p w14:paraId="78BD0A7C" w14:textId="77777777" w:rsidR="00DF73BF" w:rsidRPr="00CC2838" w:rsidRDefault="00FB299E" w:rsidP="00545340">
      <w:pPr>
        <w:pStyle w:val="Listaszerbekezds"/>
        <w:numPr>
          <w:ilvl w:val="0"/>
          <w:numId w:val="24"/>
        </w:numPr>
        <w:tabs>
          <w:tab w:val="left" w:pos="567"/>
        </w:tabs>
        <w:ind w:left="567" w:hanging="567"/>
        <w:rPr>
          <w:i/>
        </w:rPr>
      </w:pPr>
      <w:r w:rsidRPr="00CC2838">
        <w:rPr>
          <w:i/>
        </w:rPr>
        <w:t>Májkárosodás</w:t>
      </w:r>
    </w:p>
    <w:p w14:paraId="78BD0A7D" w14:textId="77777777" w:rsidR="00DF73BF" w:rsidRPr="00656C0A" w:rsidRDefault="00FB299E" w:rsidP="00545340">
      <w:pPr>
        <w:pStyle w:val="Szvegtrzs"/>
        <w:tabs>
          <w:tab w:val="left" w:pos="567"/>
        </w:tabs>
        <w:ind w:left="567"/>
      </w:pPr>
      <w:r w:rsidRPr="00656C0A">
        <w:t>Irodalmi adatok alapján a májcirrózisban szenvedő betegeknél (Child-Pugh B-C stádium) az enoxaparin-nátrium 4000 NE (40 mg) dózisban alkalmazva biztonságosnak és hatásosnak tűnik a véna portae</w:t>
      </w:r>
      <w:r w:rsidR="006157FD">
        <w:t xml:space="preserve"> </w:t>
      </w:r>
      <w:r w:rsidRPr="00656C0A">
        <w:t>trombózis</w:t>
      </w:r>
      <w:r w:rsidR="006157FD">
        <w:t>ának</w:t>
      </w:r>
      <w:r w:rsidRPr="00656C0A">
        <w:t xml:space="preserve"> megelőzésében, azonban figyelembe kell venni, hogy a közölt vizsgálatoknak korlátai lehetnek. Májkárosodásban szenvedő betegek esetében óvatosan kell eljárni a vérzés fokozott kockázatának lehetősége miatt (lásd 4.4 pont). Májcirrózisban szenvedő betegek esetében (Child-Pugh A, B vagy C stádium) nem végeztek formális dóziskereső klinikai vizsgálatokat.</w:t>
      </w:r>
    </w:p>
    <w:p w14:paraId="78BD0A7E" w14:textId="77777777" w:rsidR="00DF73BF" w:rsidRPr="00656C0A" w:rsidRDefault="00DF73BF" w:rsidP="00545340">
      <w:pPr>
        <w:pStyle w:val="Szvegtrzs"/>
        <w:tabs>
          <w:tab w:val="left" w:pos="567"/>
        </w:tabs>
        <w:ind w:left="567" w:hanging="567"/>
      </w:pPr>
    </w:p>
    <w:p w14:paraId="78BD0A7F" w14:textId="77777777" w:rsidR="00DF73BF" w:rsidRPr="00656C0A" w:rsidRDefault="00FB299E" w:rsidP="00545340">
      <w:pPr>
        <w:pStyle w:val="Cmsor1"/>
        <w:numPr>
          <w:ilvl w:val="1"/>
          <w:numId w:val="23"/>
        </w:numPr>
        <w:tabs>
          <w:tab w:val="left" w:pos="567"/>
        </w:tabs>
        <w:ind w:left="567" w:hanging="567"/>
      </w:pPr>
      <w:r w:rsidRPr="00656C0A">
        <w:t>Farmakokinetikai tulajdonságok</w:t>
      </w:r>
    </w:p>
    <w:p w14:paraId="78BD0A80" w14:textId="77777777" w:rsidR="00DF73BF" w:rsidRPr="00656C0A" w:rsidRDefault="00DF73BF" w:rsidP="00545340">
      <w:pPr>
        <w:pStyle w:val="Szvegtrzs"/>
        <w:tabs>
          <w:tab w:val="left" w:pos="567"/>
        </w:tabs>
        <w:ind w:left="567" w:hanging="567"/>
        <w:rPr>
          <w:b/>
        </w:rPr>
      </w:pPr>
    </w:p>
    <w:p w14:paraId="78BD0A81" w14:textId="77777777" w:rsidR="00DF73BF" w:rsidRPr="00656C0A" w:rsidRDefault="00FB299E" w:rsidP="00545340">
      <w:pPr>
        <w:pStyle w:val="Szvegtrzs"/>
        <w:tabs>
          <w:tab w:val="left" w:pos="567"/>
        </w:tabs>
        <w:ind w:left="567" w:hanging="567"/>
      </w:pPr>
      <w:r w:rsidRPr="00656C0A">
        <w:rPr>
          <w:u w:val="single"/>
        </w:rPr>
        <w:t>Általános jellemzők</w:t>
      </w:r>
    </w:p>
    <w:p w14:paraId="78BD0A82" w14:textId="77777777" w:rsidR="00DF73BF" w:rsidRPr="00656C0A" w:rsidRDefault="00FB299E" w:rsidP="00545340">
      <w:pPr>
        <w:pStyle w:val="Szvegtrzs"/>
        <w:tabs>
          <w:tab w:val="left" w:pos="567"/>
        </w:tabs>
      </w:pPr>
      <w:r w:rsidRPr="00656C0A">
        <w:t>Az enoxaparin-nátrium farmakokinetikai paramétereit elsősorban a plazma anti-Xa, valamint az anti</w:t>
      </w:r>
      <w:r w:rsidR="006908AF">
        <w:noBreakHyphen/>
      </w:r>
      <w:r w:rsidRPr="00656C0A">
        <w:t xml:space="preserve">IIa aktivitásának időbeli változása alapján tanulmányozták a javasolt adagolási tartományokban, </w:t>
      </w:r>
      <w:r w:rsidRPr="00656C0A">
        <w:lastRenderedPageBreak/>
        <w:t>egyszeri és ismételt sc. alkalmazást, illetve az egyszeri iv. beadást követően. Az anti-Xa és az anti-IIa farmakokinetikai aktivitások mennyiségi meghatározására validált amidolítikus módszerekkel került sor.</w:t>
      </w:r>
    </w:p>
    <w:p w14:paraId="78BD0A83" w14:textId="77777777" w:rsidR="00DF73BF" w:rsidRPr="00656C0A" w:rsidRDefault="00DF73BF" w:rsidP="00545340">
      <w:pPr>
        <w:pStyle w:val="Szvegtrzs"/>
        <w:tabs>
          <w:tab w:val="left" w:pos="567"/>
        </w:tabs>
      </w:pPr>
    </w:p>
    <w:p w14:paraId="78BD0A84" w14:textId="77777777" w:rsidR="00DF73BF" w:rsidRPr="00656C0A" w:rsidRDefault="00FB299E" w:rsidP="00545340">
      <w:pPr>
        <w:pStyle w:val="Szvegtrzs"/>
        <w:tabs>
          <w:tab w:val="left" w:pos="567"/>
        </w:tabs>
        <w:ind w:left="567" w:hanging="567"/>
      </w:pPr>
      <w:r w:rsidRPr="00656C0A">
        <w:rPr>
          <w:u w:val="single"/>
        </w:rPr>
        <w:t>Felszívódás</w:t>
      </w:r>
    </w:p>
    <w:p w14:paraId="78BD0A85" w14:textId="77777777" w:rsidR="00DF73BF" w:rsidRPr="00656C0A" w:rsidRDefault="00FB299E" w:rsidP="00545340">
      <w:pPr>
        <w:pStyle w:val="Szvegtrzs"/>
        <w:tabs>
          <w:tab w:val="left" w:pos="567"/>
        </w:tabs>
      </w:pPr>
      <w:r w:rsidRPr="00656C0A">
        <w:t>Az enoxaparin-nátrium abszolút biohasznosulása sc. injekció után az anti-Xa</w:t>
      </w:r>
      <w:r w:rsidR="00FF41AC">
        <w:t>-</w:t>
      </w:r>
      <w:r w:rsidRPr="00656C0A">
        <w:t>aktivitás szerint közel 100%.</w:t>
      </w:r>
    </w:p>
    <w:p w14:paraId="78BD0A86" w14:textId="77777777" w:rsidR="00DF73BF" w:rsidRPr="00656C0A" w:rsidRDefault="00DF73BF" w:rsidP="00545340">
      <w:pPr>
        <w:pStyle w:val="Szvegtrzs"/>
        <w:tabs>
          <w:tab w:val="left" w:pos="567"/>
        </w:tabs>
        <w:ind w:left="567" w:hanging="567"/>
      </w:pPr>
    </w:p>
    <w:p w14:paraId="78BD0A87" w14:textId="77777777" w:rsidR="00DF73BF" w:rsidRPr="00656C0A" w:rsidRDefault="00FB299E" w:rsidP="00545340">
      <w:pPr>
        <w:pStyle w:val="Szvegtrzs"/>
        <w:tabs>
          <w:tab w:val="left" w:pos="567"/>
        </w:tabs>
      </w:pPr>
      <w:r w:rsidRPr="00656C0A">
        <w:t>Különféle adagokat, gyógyszerformákat és adagolási rendeket lehet alkalmazni:</w:t>
      </w:r>
    </w:p>
    <w:p w14:paraId="78BD0A88" w14:textId="77777777" w:rsidR="008E5AD4" w:rsidRPr="00656C0A" w:rsidRDefault="00FB299E" w:rsidP="00545340">
      <w:pPr>
        <w:pStyle w:val="Szvegtrzs"/>
        <w:tabs>
          <w:tab w:val="left" w:pos="567"/>
        </w:tabs>
      </w:pPr>
      <w:r w:rsidRPr="00656C0A">
        <w:t>Az átlagos maximális plazma anti-Xa</w:t>
      </w:r>
      <w:r w:rsidR="00FF41AC">
        <w:t>-</w:t>
      </w:r>
      <w:r w:rsidRPr="00656C0A">
        <w:t>aktivitás a sc. injekció után 3–5 órával figyelhető meg és 2000</w:t>
      </w:r>
      <w:r w:rsidR="00FF41AC">
        <w:t> </w:t>
      </w:r>
      <w:r w:rsidRPr="00656C0A">
        <w:t>NE, 4000 NE, 100 NE/kg és 150 NE/kg (20 mg, 40 mg, 1 mg/kg és 1,5 mg/kg) adagban történő egyszeri sc. adagolás után az anti Xa</w:t>
      </w:r>
      <w:r w:rsidR="00FF41AC">
        <w:t>-</w:t>
      </w:r>
      <w:r w:rsidRPr="00656C0A">
        <w:t>aktivitás körülbelül eléri a 0,2, 0,4, 1,0 illetve 1,3</w:t>
      </w:r>
      <w:r w:rsidR="00FF41AC">
        <w:t> </w:t>
      </w:r>
      <w:r w:rsidRPr="00656C0A">
        <w:t>anti</w:t>
      </w:r>
      <w:r w:rsidR="00FF41AC">
        <w:noBreakHyphen/>
      </w:r>
      <w:r w:rsidRPr="00656C0A">
        <w:t>Xa</w:t>
      </w:r>
      <w:r w:rsidR="00FF41AC">
        <w:t> </w:t>
      </w:r>
      <w:r w:rsidRPr="00656C0A">
        <w:t>NE/ml</w:t>
      </w:r>
      <w:r w:rsidR="00FF41AC">
        <w:noBreakHyphen/>
      </w:r>
      <w:r w:rsidRPr="00656C0A">
        <w:t>t.</w:t>
      </w:r>
    </w:p>
    <w:p w14:paraId="78BD0A89" w14:textId="77777777" w:rsidR="00DF73BF" w:rsidRPr="00656C0A" w:rsidRDefault="00FB299E" w:rsidP="00545340">
      <w:pPr>
        <w:pStyle w:val="Szvegtrzs"/>
        <w:tabs>
          <w:tab w:val="left" w:pos="567"/>
        </w:tabs>
      </w:pPr>
      <w:r w:rsidRPr="00656C0A">
        <w:t>3000 NE (30 mg) iv. b</w:t>
      </w:r>
      <w:r w:rsidR="00FF41AC">
        <w:t>ó</w:t>
      </w:r>
      <w:r w:rsidRPr="00656C0A">
        <w:t>lus, majd közvetlenül utána 12 óránként 100 NE/kg (1 mg/kg) sc. adagolás hatására a kiindulási maximális anti-Xa</w:t>
      </w:r>
      <w:r w:rsidR="00FF41AC">
        <w:t>-</w:t>
      </w:r>
      <w:r w:rsidRPr="00656C0A">
        <w:t>szint 1,16</w:t>
      </w:r>
      <w:r w:rsidR="00FF41AC">
        <w:t> </w:t>
      </w:r>
      <w:r w:rsidRPr="00656C0A">
        <w:t>NE/ml-nek adódott (n</w:t>
      </w:r>
      <w:r w:rsidR="00FF41AC">
        <w:t> </w:t>
      </w:r>
      <w:r w:rsidRPr="00656C0A">
        <w:t>=</w:t>
      </w:r>
      <w:r w:rsidR="00FF41AC">
        <w:t> </w:t>
      </w:r>
      <w:r w:rsidRPr="00656C0A">
        <w:t>16), az átlagos expozíció pedig a dinamikus egyensúlyi szint 88%-ának felelt meg. A dinamikus egyensúlyi állapot a kezelés második napján áll be.</w:t>
      </w:r>
    </w:p>
    <w:p w14:paraId="78BD0A8A" w14:textId="77777777" w:rsidR="00DF73BF" w:rsidRPr="00656C0A" w:rsidRDefault="00DF73BF" w:rsidP="00545340">
      <w:pPr>
        <w:pStyle w:val="Szvegtrzs"/>
        <w:tabs>
          <w:tab w:val="left" w:pos="567"/>
        </w:tabs>
        <w:ind w:left="567" w:hanging="567"/>
      </w:pPr>
    </w:p>
    <w:p w14:paraId="78BD0A8B" w14:textId="77777777" w:rsidR="00DF73BF" w:rsidRPr="00656C0A" w:rsidRDefault="00FB299E" w:rsidP="00545340">
      <w:pPr>
        <w:pStyle w:val="Szvegtrzs"/>
        <w:tabs>
          <w:tab w:val="left" w:pos="567"/>
        </w:tabs>
      </w:pPr>
      <w:r w:rsidRPr="00656C0A">
        <w:t>Ismételt sc. alkalmazással, napi egyszeri 4000 NE (40 mg) és napi egyszeri 150 NE/kg (1,5 mg/kg) protokollok mellett egészséges önkénteseknél a dinamikus egyensúlyi állapot a 2. napon állt be, az átlagos expozíciós arány hozzávetőlegesen 15%-kal magasabb volt, mint egy egyszeri adagolást követően. A napi kétszer 100 NE/kg (1 mg/kg) sc. protokollal a dinamikus egyensúlyi állapot a 3–4. napon áll be; az átlag expozíció körülbelül 65%-kal magasabb, mint egyszeri adagolást követően, az anti-Xa aktivitási szint középértékének maximuma és mélypontja körülbelül 1,2 illetve 0,52</w:t>
      </w:r>
      <w:r w:rsidR="00FF41AC">
        <w:t> </w:t>
      </w:r>
      <w:r w:rsidRPr="00656C0A">
        <w:t>NE/ml.</w:t>
      </w:r>
    </w:p>
    <w:p w14:paraId="78BD0A8C" w14:textId="77777777" w:rsidR="00DF73BF" w:rsidRPr="00656C0A" w:rsidRDefault="00DF73BF" w:rsidP="00545340">
      <w:pPr>
        <w:pStyle w:val="Szvegtrzs"/>
        <w:tabs>
          <w:tab w:val="left" w:pos="567"/>
        </w:tabs>
      </w:pPr>
    </w:p>
    <w:p w14:paraId="78BD0A8D" w14:textId="77777777" w:rsidR="00DF73BF" w:rsidRPr="00656C0A" w:rsidRDefault="00FB299E" w:rsidP="00545340">
      <w:pPr>
        <w:pStyle w:val="Szvegtrzs"/>
        <w:tabs>
          <w:tab w:val="left" w:pos="567"/>
        </w:tabs>
      </w:pPr>
      <w:r w:rsidRPr="00656C0A">
        <w:t>Az injekció térfogata és dóziskoncentrációja a 100–200 mg/ml tartományban nem befolyásolja a farmakokinetikai paramétereket egészséges önkénteseknél.</w:t>
      </w:r>
    </w:p>
    <w:p w14:paraId="78BD0A8E" w14:textId="77777777" w:rsidR="00DF73BF" w:rsidRPr="00656C0A" w:rsidRDefault="00FB299E" w:rsidP="00545340">
      <w:pPr>
        <w:pStyle w:val="Szvegtrzs"/>
        <w:tabs>
          <w:tab w:val="left" w:pos="567"/>
        </w:tabs>
      </w:pPr>
      <w:r w:rsidRPr="00656C0A">
        <w:t>Az enoxaparin-nátrium farmakokinetikája a javasolt adagolási tartományokban lineárisnak mutatkozik. Az egyéni</w:t>
      </w:r>
      <w:r w:rsidR="00637DFC">
        <w:t>,</w:t>
      </w:r>
      <w:r w:rsidRPr="00656C0A">
        <w:t xml:space="preserve"> betegeken belüli és </w:t>
      </w:r>
      <w:r w:rsidR="00637DFC">
        <w:t xml:space="preserve">a </w:t>
      </w:r>
      <w:r w:rsidRPr="00656C0A">
        <w:t>betegek közti variabilitás kismértékű. Ismételt sc. alkalmazást követően nem jelentkezik akkumuláció.</w:t>
      </w:r>
    </w:p>
    <w:p w14:paraId="78BD0A8F" w14:textId="77777777" w:rsidR="00DF73BF" w:rsidRPr="00656C0A" w:rsidRDefault="00DF73BF" w:rsidP="00545340">
      <w:pPr>
        <w:pStyle w:val="Szvegtrzs"/>
        <w:tabs>
          <w:tab w:val="left" w:pos="567"/>
        </w:tabs>
      </w:pPr>
    </w:p>
    <w:p w14:paraId="78BD0A90" w14:textId="77777777" w:rsidR="00DF73BF" w:rsidRPr="00656C0A" w:rsidRDefault="00FB299E" w:rsidP="00545340">
      <w:pPr>
        <w:pStyle w:val="Szvegtrzs"/>
        <w:tabs>
          <w:tab w:val="left" w:pos="567"/>
        </w:tabs>
      </w:pPr>
      <w:r w:rsidRPr="00656C0A">
        <w:t>A plazma anti-IIa aktivitása sc. alkalmazást követően hozzávetőlegesen tízszer alacsonyabb, mint az anti-Xa</w:t>
      </w:r>
      <w:r w:rsidR="00637DFC">
        <w:t>-</w:t>
      </w:r>
      <w:r w:rsidRPr="00656C0A">
        <w:t>aktivitás. Az anti-IIa aktivitási szint átlagának maximum</w:t>
      </w:r>
      <w:r w:rsidR="00637DFC">
        <w:t>át</w:t>
      </w:r>
      <w:r w:rsidRPr="00656C0A">
        <w:t xml:space="preserve"> hozzávetőlegesen 3–4 órával az sc. injekciót követően figyelt</w:t>
      </w:r>
      <w:r w:rsidR="00637DFC">
        <w:t>é</w:t>
      </w:r>
      <w:r w:rsidRPr="00656C0A">
        <w:t>k meg, ami naponta kétszer 100 NE/kg (1 mg/kg) és naponta egyszer 150</w:t>
      </w:r>
      <w:r w:rsidR="00637DFC">
        <w:t> </w:t>
      </w:r>
      <w:r w:rsidRPr="00656C0A">
        <w:t>NE/kg</w:t>
      </w:r>
      <w:r w:rsidR="00424393" w:rsidRPr="00656C0A">
        <w:t xml:space="preserve"> </w:t>
      </w:r>
      <w:r w:rsidRPr="00656C0A">
        <w:t>(1,5 mg/kg) ismételt alkalmazása után 0,13</w:t>
      </w:r>
      <w:r w:rsidR="00637DFC">
        <w:t> </w:t>
      </w:r>
      <w:r w:rsidRPr="00656C0A">
        <w:t>NE/ml illetve 0,19</w:t>
      </w:r>
      <w:r w:rsidR="00637DFC">
        <w:t> </w:t>
      </w:r>
      <w:r w:rsidRPr="00656C0A">
        <w:t>NE/ml értékeket ér el.</w:t>
      </w:r>
    </w:p>
    <w:p w14:paraId="78BD0A91" w14:textId="77777777" w:rsidR="00DF73BF" w:rsidRPr="00656C0A" w:rsidRDefault="00DF73BF" w:rsidP="00545340">
      <w:pPr>
        <w:pStyle w:val="Szvegtrzs"/>
        <w:tabs>
          <w:tab w:val="left" w:pos="567"/>
        </w:tabs>
      </w:pPr>
    </w:p>
    <w:p w14:paraId="78BD0A92" w14:textId="77777777" w:rsidR="00DF73BF" w:rsidRPr="00656C0A" w:rsidRDefault="00FB299E" w:rsidP="00545340">
      <w:pPr>
        <w:pStyle w:val="Szvegtrzs"/>
        <w:tabs>
          <w:tab w:val="left" w:pos="567"/>
        </w:tabs>
      </w:pPr>
      <w:r w:rsidRPr="00656C0A">
        <w:rPr>
          <w:u w:val="single"/>
        </w:rPr>
        <w:t>Eloszlás</w:t>
      </w:r>
    </w:p>
    <w:p w14:paraId="78BD0A93" w14:textId="77777777" w:rsidR="00DF73BF" w:rsidRPr="00656C0A" w:rsidRDefault="00FB299E" w:rsidP="00545340">
      <w:pPr>
        <w:pStyle w:val="Szvegtrzs"/>
        <w:tabs>
          <w:tab w:val="left" w:pos="567"/>
        </w:tabs>
      </w:pPr>
      <w:r w:rsidRPr="00656C0A">
        <w:t>Az enoxaparin-nátrium anti-Xa</w:t>
      </w:r>
      <w:r w:rsidR="00637DFC">
        <w:t>-</w:t>
      </w:r>
      <w:r w:rsidRPr="00656C0A">
        <w:t>aktivitás tényleges megoszlási térfogata körülbelül 4,3</w:t>
      </w:r>
      <w:r w:rsidR="00637DFC">
        <w:t> </w:t>
      </w:r>
      <w:r w:rsidRPr="00656C0A">
        <w:t>liter, és megközelíti a vértérfogatot.</w:t>
      </w:r>
    </w:p>
    <w:p w14:paraId="78BD0A94" w14:textId="77777777" w:rsidR="00DF73BF" w:rsidRPr="00656C0A" w:rsidRDefault="00DF73BF" w:rsidP="00545340">
      <w:pPr>
        <w:pStyle w:val="Szvegtrzs"/>
        <w:tabs>
          <w:tab w:val="left" w:pos="567"/>
        </w:tabs>
        <w:ind w:left="567" w:hanging="567"/>
      </w:pPr>
    </w:p>
    <w:p w14:paraId="78BD0A95" w14:textId="77777777" w:rsidR="00DF73BF" w:rsidRPr="00656C0A" w:rsidRDefault="00FB299E" w:rsidP="00545340">
      <w:pPr>
        <w:pStyle w:val="Szvegtrzs"/>
        <w:tabs>
          <w:tab w:val="left" w:pos="567"/>
        </w:tabs>
        <w:ind w:left="567" w:hanging="567"/>
      </w:pPr>
      <w:r w:rsidRPr="00656C0A">
        <w:rPr>
          <w:u w:val="single"/>
        </w:rPr>
        <w:t>Biotranszformáció</w:t>
      </w:r>
    </w:p>
    <w:p w14:paraId="78BD0A96" w14:textId="77777777" w:rsidR="00DF73BF" w:rsidRPr="00656C0A" w:rsidRDefault="00FB299E" w:rsidP="00545340">
      <w:pPr>
        <w:pStyle w:val="Szvegtrzs"/>
        <w:tabs>
          <w:tab w:val="left" w:pos="567"/>
        </w:tabs>
      </w:pPr>
      <w:r w:rsidRPr="00656C0A">
        <w:t>Az enoxaparin-nátrium elsősorban a májban metabolizálódik deszulfatációval és/vagy depolimerizációval, kisebb molekulasúlyú részekre, és ezzel együtt a biológiai hatékonyság nagyban csökken.</w:t>
      </w:r>
    </w:p>
    <w:p w14:paraId="78BD0A97" w14:textId="77777777" w:rsidR="00DF73BF" w:rsidRPr="00656C0A" w:rsidRDefault="00DF73BF" w:rsidP="00545340">
      <w:pPr>
        <w:pStyle w:val="Szvegtrzs"/>
        <w:tabs>
          <w:tab w:val="left" w:pos="567"/>
        </w:tabs>
        <w:ind w:left="567" w:hanging="567"/>
      </w:pPr>
    </w:p>
    <w:p w14:paraId="78BD0A98" w14:textId="77777777" w:rsidR="00DF73BF" w:rsidRPr="00656C0A" w:rsidRDefault="00FB299E" w:rsidP="00545340">
      <w:pPr>
        <w:pStyle w:val="Szvegtrzs"/>
        <w:tabs>
          <w:tab w:val="left" w:pos="567"/>
        </w:tabs>
        <w:ind w:left="567" w:hanging="567"/>
      </w:pPr>
      <w:r w:rsidRPr="00656C0A">
        <w:rPr>
          <w:u w:val="single"/>
        </w:rPr>
        <w:t>Elimináció</w:t>
      </w:r>
    </w:p>
    <w:p w14:paraId="78BD0A99" w14:textId="77777777" w:rsidR="00DF73BF" w:rsidRPr="00656C0A" w:rsidRDefault="00FB299E" w:rsidP="00545340">
      <w:pPr>
        <w:pStyle w:val="Szvegtrzs"/>
        <w:tabs>
          <w:tab w:val="left" w:pos="567"/>
        </w:tabs>
      </w:pPr>
      <w:r w:rsidRPr="00656C0A">
        <w:t>Az enoxaparin-nátrium clearance-e alacsony, 150 NE/kg (1,5 mg/kg) 6 órás iv. infúziót követően az átlagos anti-Xa plazma</w:t>
      </w:r>
      <w:r w:rsidR="00637DFC">
        <w:t>-</w:t>
      </w:r>
      <w:r w:rsidRPr="00656C0A">
        <w:t>clearance</w:t>
      </w:r>
      <w:r w:rsidR="00DF5E00">
        <w:t>-e</w:t>
      </w:r>
      <w:r w:rsidRPr="00656C0A">
        <w:t xml:space="preserve"> 0,74</w:t>
      </w:r>
      <w:r w:rsidR="00DF5E00">
        <w:t> </w:t>
      </w:r>
      <w:r w:rsidRPr="00656C0A">
        <w:t>l/</w:t>
      </w:r>
      <w:r w:rsidR="00DF5E00">
        <w:t>óra</w:t>
      </w:r>
      <w:r w:rsidRPr="00656C0A">
        <w:t xml:space="preserve"> .</w:t>
      </w:r>
    </w:p>
    <w:p w14:paraId="78BD0A9A" w14:textId="77777777" w:rsidR="00DF73BF" w:rsidRPr="00656C0A" w:rsidRDefault="00FB299E" w:rsidP="00545340">
      <w:pPr>
        <w:pStyle w:val="Szvegtrzs"/>
        <w:tabs>
          <w:tab w:val="left" w:pos="567"/>
        </w:tabs>
      </w:pPr>
      <w:r w:rsidRPr="00656C0A">
        <w:t>Az elimináció monofázisosnak tűnik, a felezési idő körülbelül az egyszeri sc. dózis utáni 5 órától az ismételt adagolást követő 7</w:t>
      </w:r>
      <w:r w:rsidR="00DF5E00">
        <w:t> </w:t>
      </w:r>
      <w:r w:rsidRPr="00656C0A">
        <w:t>óráig terjed.</w:t>
      </w:r>
    </w:p>
    <w:p w14:paraId="78BD0A9B" w14:textId="77777777" w:rsidR="00DF73BF" w:rsidRPr="00656C0A" w:rsidRDefault="00FB299E" w:rsidP="00545340">
      <w:pPr>
        <w:pStyle w:val="Szvegtrzs"/>
        <w:tabs>
          <w:tab w:val="left" w:pos="567"/>
        </w:tabs>
      </w:pPr>
      <w:r w:rsidRPr="00656C0A">
        <w:t>Az aktív fragmentumok vese</w:t>
      </w:r>
      <w:r w:rsidR="00DF5E00">
        <w:t>-</w:t>
      </w:r>
      <w:r w:rsidRPr="00656C0A">
        <w:t>clearance-e a beadott adag hozzávetőlegesen 10%-ának felel meg, az aktív és nem aktív fragmentumok vesén keresztüli teljes kiürülése pedig a dózis 40%-át teszi ki.</w:t>
      </w:r>
    </w:p>
    <w:p w14:paraId="78BD0A9C" w14:textId="77777777" w:rsidR="00DF73BF" w:rsidRPr="00656C0A" w:rsidRDefault="00DF73BF" w:rsidP="00545340">
      <w:pPr>
        <w:pStyle w:val="Szvegtrzs"/>
        <w:tabs>
          <w:tab w:val="left" w:pos="567"/>
        </w:tabs>
        <w:ind w:left="567" w:hanging="567"/>
      </w:pPr>
    </w:p>
    <w:p w14:paraId="78BD0A9D" w14:textId="77777777" w:rsidR="00DF73BF" w:rsidRPr="00656C0A" w:rsidRDefault="00FB299E" w:rsidP="00545340">
      <w:pPr>
        <w:pStyle w:val="Szvegtrzs"/>
        <w:tabs>
          <w:tab w:val="left" w:pos="567"/>
        </w:tabs>
        <w:ind w:left="567" w:hanging="567"/>
      </w:pPr>
      <w:r w:rsidRPr="00656C0A">
        <w:rPr>
          <w:u w:val="single"/>
        </w:rPr>
        <w:t xml:space="preserve">Speciális </w:t>
      </w:r>
      <w:r w:rsidR="00DF5E00">
        <w:rPr>
          <w:u w:val="single"/>
        </w:rPr>
        <w:t>betegcsoportok</w:t>
      </w:r>
    </w:p>
    <w:p w14:paraId="78BD0A9E" w14:textId="77777777" w:rsidR="00DF73BF" w:rsidRPr="00656C0A" w:rsidRDefault="00FB299E" w:rsidP="00545340">
      <w:pPr>
        <w:tabs>
          <w:tab w:val="left" w:pos="567"/>
        </w:tabs>
        <w:ind w:left="567" w:hanging="567"/>
        <w:rPr>
          <w:i/>
        </w:rPr>
      </w:pPr>
      <w:r w:rsidRPr="00656C0A">
        <w:rPr>
          <w:i/>
        </w:rPr>
        <w:t>Idősek</w:t>
      </w:r>
    </w:p>
    <w:p w14:paraId="78BD0A9F" w14:textId="77777777" w:rsidR="00DF73BF" w:rsidRPr="00656C0A" w:rsidRDefault="00FB299E" w:rsidP="00545340">
      <w:pPr>
        <w:pStyle w:val="Szvegtrzs"/>
        <w:tabs>
          <w:tab w:val="left" w:pos="567"/>
        </w:tabs>
      </w:pPr>
      <w:r w:rsidRPr="00656C0A">
        <w:t>Egy populációs szintű farmakokinetikai elemzés eredményei alapján az enoxaparin-nátrium kinetikai profilja időseknél</w:t>
      </w:r>
      <w:r w:rsidR="00DF5E00">
        <w:t>,</w:t>
      </w:r>
      <w:r w:rsidRPr="00656C0A">
        <w:t xml:space="preserve"> normál</w:t>
      </w:r>
      <w:r w:rsidR="00DF5E00">
        <w:t>is</w:t>
      </w:r>
      <w:r w:rsidRPr="00656C0A">
        <w:t xml:space="preserve"> vesefunkció esetén</w:t>
      </w:r>
      <w:r w:rsidR="00DF5E00">
        <w:t>,</w:t>
      </w:r>
      <w:r w:rsidRPr="00656C0A">
        <w:t xml:space="preserve"> nem tér el a fiatalabbakétól </w:t>
      </w:r>
      <w:r w:rsidR="00DF5E00">
        <w:t>A</w:t>
      </w:r>
      <w:r w:rsidRPr="00656C0A">
        <w:t xml:space="preserve"> vesefunkció </w:t>
      </w:r>
      <w:r w:rsidR="00DF5E00">
        <w:t xml:space="preserve">azonban </w:t>
      </w:r>
      <w:r w:rsidRPr="00656C0A">
        <w:t xml:space="preserve">az </w:t>
      </w:r>
      <w:r w:rsidRPr="00656C0A">
        <w:lastRenderedPageBreak/>
        <w:t xml:space="preserve">életkor előrehaladtával beszűkül, </w:t>
      </w:r>
      <w:r w:rsidR="00DF5E00">
        <w:t xml:space="preserve">így </w:t>
      </w:r>
      <w:r w:rsidRPr="00656C0A">
        <w:t>idős betegeknél csökkenhet az enoxaparin-nátrium eliminációja (lásd 4.2 és 4.4 pont).</w:t>
      </w:r>
    </w:p>
    <w:p w14:paraId="78BD0AA0" w14:textId="77777777" w:rsidR="00DF73BF" w:rsidRPr="00656C0A" w:rsidRDefault="00DF73BF" w:rsidP="00545340">
      <w:pPr>
        <w:pStyle w:val="Szvegtrzs"/>
        <w:tabs>
          <w:tab w:val="left" w:pos="567"/>
        </w:tabs>
      </w:pPr>
    </w:p>
    <w:p w14:paraId="78BD0AA1" w14:textId="77777777" w:rsidR="00DF73BF" w:rsidRPr="00656C0A" w:rsidRDefault="00FB299E" w:rsidP="00545340">
      <w:pPr>
        <w:tabs>
          <w:tab w:val="left" w:pos="567"/>
        </w:tabs>
        <w:rPr>
          <w:i/>
        </w:rPr>
      </w:pPr>
      <w:r w:rsidRPr="00656C0A">
        <w:rPr>
          <w:i/>
        </w:rPr>
        <w:t>Májkárosodás</w:t>
      </w:r>
    </w:p>
    <w:p w14:paraId="78BD0AA2" w14:textId="77777777" w:rsidR="008E5AD4" w:rsidRPr="00656C0A" w:rsidRDefault="00FB299E" w:rsidP="00545340">
      <w:pPr>
        <w:pStyle w:val="Szvegtrzs"/>
        <w:tabs>
          <w:tab w:val="left" w:pos="567"/>
        </w:tabs>
      </w:pPr>
      <w:r w:rsidRPr="00656C0A">
        <w:t>Egy vizsgálatban, amelyben előrehaladott cirrózisban szenvedő betegeket kezeltek napi egyszeri 4000</w:t>
      </w:r>
      <w:r w:rsidR="00DF5E00">
        <w:t> </w:t>
      </w:r>
      <w:r w:rsidRPr="00656C0A">
        <w:t>NE (40 mg) enoxaparin-nátriummal, a maximális anti-Xa</w:t>
      </w:r>
      <w:r w:rsidR="00DF5E00">
        <w:t>-</w:t>
      </w:r>
      <w:r w:rsidRPr="00656C0A">
        <w:t>aktivitás csökkenése a májkárosodás súlyosságának mértékével függött össze (Child–Pugh stádiumok szerint), amit elsősorban annak tulajdon</w:t>
      </w:r>
      <w:r w:rsidR="00DF5E00">
        <w:t>í</w:t>
      </w:r>
      <w:r w:rsidRPr="00656C0A">
        <w:t>tottak, hogy a májkárosodásban szenvedő betegeknél az ATIII-szint a csökkent ATIII</w:t>
      </w:r>
      <w:r w:rsidR="00DF5E00">
        <w:noBreakHyphen/>
      </w:r>
      <w:r w:rsidRPr="00656C0A">
        <w:t>szintézis következtében alacsonyabb.</w:t>
      </w:r>
    </w:p>
    <w:p w14:paraId="78BD0AA3" w14:textId="77777777" w:rsidR="008E5AD4" w:rsidRPr="00656C0A" w:rsidRDefault="008E5AD4" w:rsidP="00545340">
      <w:pPr>
        <w:pStyle w:val="Szvegtrzs"/>
        <w:tabs>
          <w:tab w:val="left" w:pos="567"/>
        </w:tabs>
      </w:pPr>
    </w:p>
    <w:p w14:paraId="78BD0AA4" w14:textId="77777777" w:rsidR="00DF73BF" w:rsidRPr="00656C0A" w:rsidRDefault="00FB299E" w:rsidP="00545340">
      <w:pPr>
        <w:pStyle w:val="Szvegtrzs"/>
        <w:tabs>
          <w:tab w:val="left" w:pos="567"/>
        </w:tabs>
        <w:ind w:left="567" w:hanging="567"/>
      </w:pPr>
      <w:r w:rsidRPr="00656C0A">
        <w:rPr>
          <w:i/>
        </w:rPr>
        <w:t>Vesekárosodás</w:t>
      </w:r>
    </w:p>
    <w:p w14:paraId="78BD0AA5" w14:textId="77777777" w:rsidR="00DF73BF" w:rsidRPr="00656C0A" w:rsidRDefault="00FB299E" w:rsidP="00545340">
      <w:pPr>
        <w:pStyle w:val="Szvegtrzs"/>
        <w:tabs>
          <w:tab w:val="left" w:pos="567"/>
        </w:tabs>
      </w:pPr>
      <w:r w:rsidRPr="00656C0A">
        <w:t>Az anti-Xa plazma</w:t>
      </w:r>
      <w:r w:rsidR="00DF5E00">
        <w:t>-</w:t>
      </w:r>
      <w:r w:rsidRPr="00656C0A">
        <w:t>clearance</w:t>
      </w:r>
      <w:r w:rsidR="00313145">
        <w:t>-e</w:t>
      </w:r>
      <w:r w:rsidRPr="00656C0A">
        <w:t xml:space="preserve"> és a kreatinin</w:t>
      </w:r>
      <w:r w:rsidR="00313145">
        <w:t>-</w:t>
      </w:r>
      <w:r w:rsidRPr="00656C0A">
        <w:t>clearance között lineáris kapcsolat figyelhető meg dinamikus egyensúlyi állapotban, ami arra utal, hogy vesekárosodás esetén a betegekben csökken az enoxaparin-nátrium clearance-e. Közepes (kreatinin</w:t>
      </w:r>
      <w:r w:rsidR="00313145">
        <w:t>-</w:t>
      </w:r>
      <w:r w:rsidRPr="00656C0A">
        <w:t>clearance 30–50 ml/perc), illetve enyhe (kreatinin</w:t>
      </w:r>
      <w:r w:rsidR="00313145">
        <w:noBreakHyphen/>
      </w:r>
      <w:r w:rsidRPr="00656C0A">
        <w:t>clearance 50–80 ml/perc) vesekárosodásban szenvedő betegek esetében napi egyszeri 4000</w:t>
      </w:r>
      <w:r w:rsidR="00313145">
        <w:t> </w:t>
      </w:r>
      <w:r w:rsidRPr="00656C0A">
        <w:t>NE (40 mg) ismételt sc. adagolása mellett kismértékben növekszik az anti-X</w:t>
      </w:r>
      <w:r w:rsidR="00313145">
        <w:t>a</w:t>
      </w:r>
      <w:r w:rsidR="00313145">
        <w:noBreakHyphen/>
      </w:r>
      <w:r w:rsidRPr="00656C0A">
        <w:t>expozíció, amelyet az AUC értéke jellemez dinamikus egyensúlyi állapotban. Súlyos vesekárosodásban (kreatinin</w:t>
      </w:r>
      <w:r w:rsidR="00313145">
        <w:noBreakHyphen/>
      </w:r>
      <w:r w:rsidRPr="00656C0A">
        <w:t>clearance &lt;</w:t>
      </w:r>
      <w:r w:rsidR="00313145">
        <w:t> </w:t>
      </w:r>
      <w:r w:rsidRPr="00656C0A">
        <w:t>30 ml/perc) napi egyszeri 4000</w:t>
      </w:r>
      <w:r w:rsidR="00313145">
        <w:t> </w:t>
      </w:r>
      <w:r w:rsidRPr="00656C0A">
        <w:t xml:space="preserve">NE (40 mg) ismételt sc. adagolása mellett az AUC-érték szignifikánsan, átlagosan 65%-kal emelkedik </w:t>
      </w:r>
      <w:r w:rsidR="00313145">
        <w:t xml:space="preserve">a </w:t>
      </w:r>
      <w:r w:rsidRPr="00656C0A">
        <w:t>dinamikus egyensúlyi állapotban (lásd 4.2 és 4.4 pont).</w:t>
      </w:r>
    </w:p>
    <w:p w14:paraId="78BD0AA6" w14:textId="77777777" w:rsidR="00DF73BF" w:rsidRPr="00656C0A" w:rsidRDefault="00DF73BF" w:rsidP="00545340">
      <w:pPr>
        <w:pStyle w:val="Szvegtrzs"/>
        <w:tabs>
          <w:tab w:val="left" w:pos="567"/>
        </w:tabs>
      </w:pPr>
    </w:p>
    <w:p w14:paraId="78BD0AA7" w14:textId="77777777" w:rsidR="00DF73BF" w:rsidRPr="00656C0A" w:rsidRDefault="00FB299E" w:rsidP="00545340">
      <w:pPr>
        <w:tabs>
          <w:tab w:val="left" w:pos="567"/>
        </w:tabs>
        <w:rPr>
          <w:i/>
        </w:rPr>
      </w:pPr>
      <w:r w:rsidRPr="00656C0A">
        <w:rPr>
          <w:i/>
        </w:rPr>
        <w:t>Hemodialízis</w:t>
      </w:r>
    </w:p>
    <w:p w14:paraId="78BD0AA8" w14:textId="77777777" w:rsidR="00DF73BF" w:rsidRPr="00656C0A" w:rsidRDefault="00FB299E" w:rsidP="00545340">
      <w:pPr>
        <w:pStyle w:val="Szvegtrzs"/>
        <w:tabs>
          <w:tab w:val="left" w:pos="567"/>
        </w:tabs>
      </w:pPr>
      <w:r w:rsidRPr="00656C0A">
        <w:t>Az enoxaparin-nátrium farmakokinetikája hasonlónak tűnt a kontrollcsoportban tapasztalthoz egyszeri</w:t>
      </w:r>
      <w:r w:rsidR="00F57445" w:rsidRPr="00656C0A">
        <w:t xml:space="preserve"> </w:t>
      </w:r>
      <w:r w:rsidRPr="00656C0A">
        <w:t>25</w:t>
      </w:r>
      <w:r w:rsidR="00313145">
        <w:t> </w:t>
      </w:r>
      <w:r w:rsidRPr="00656C0A">
        <w:t>NE, 50 NE, vagy 100 NE/kg (0,25, 0,5 vagy 1</w:t>
      </w:r>
      <w:r w:rsidR="00313145">
        <w:t> </w:t>
      </w:r>
      <w:r w:rsidRPr="00656C0A">
        <w:t>mg/kg) iv. dózis alkalmazását követően, ugyanakkor a kontrollcsoporthoz képest kétszer magasabb AUC-értéket mértek.</w:t>
      </w:r>
    </w:p>
    <w:p w14:paraId="78BD0AA9" w14:textId="77777777" w:rsidR="00DF73BF" w:rsidRPr="00656C0A" w:rsidRDefault="00DF73BF" w:rsidP="00545340">
      <w:pPr>
        <w:pStyle w:val="Szvegtrzs"/>
        <w:tabs>
          <w:tab w:val="left" w:pos="567"/>
        </w:tabs>
      </w:pPr>
    </w:p>
    <w:p w14:paraId="78BD0AAA" w14:textId="77777777" w:rsidR="00DF73BF" w:rsidRPr="00656C0A" w:rsidRDefault="00FB299E" w:rsidP="00545340">
      <w:pPr>
        <w:tabs>
          <w:tab w:val="left" w:pos="567"/>
        </w:tabs>
        <w:ind w:left="567" w:hanging="567"/>
        <w:rPr>
          <w:i/>
        </w:rPr>
      </w:pPr>
      <w:r w:rsidRPr="00656C0A">
        <w:rPr>
          <w:i/>
        </w:rPr>
        <w:t>Testtömeg</w:t>
      </w:r>
    </w:p>
    <w:p w14:paraId="78BD0AAB" w14:textId="77777777" w:rsidR="00DF73BF" w:rsidRPr="00656C0A" w:rsidRDefault="00FB299E" w:rsidP="00545340">
      <w:pPr>
        <w:pStyle w:val="Szvegtrzs"/>
        <w:tabs>
          <w:tab w:val="left" w:pos="567"/>
        </w:tabs>
      </w:pPr>
      <w:r w:rsidRPr="00656C0A">
        <w:t>Napi egyszeri 150 NE/kg (1,5 mg/kg) ismételt sc. adását követően az anti-Xa</w:t>
      </w:r>
      <w:r w:rsidR="00313145">
        <w:t>-</w:t>
      </w:r>
      <w:r w:rsidRPr="00656C0A">
        <w:t xml:space="preserve">aktivitás átlagos AUC értéke alig volt magasabb </w:t>
      </w:r>
      <w:r w:rsidR="00313145">
        <w:t xml:space="preserve">a </w:t>
      </w:r>
      <w:r w:rsidRPr="00656C0A">
        <w:t xml:space="preserve">dinamikus egyensúlyi állapotban </w:t>
      </w:r>
      <w:r w:rsidR="00313145">
        <w:t xml:space="preserve">az </w:t>
      </w:r>
      <w:r w:rsidRPr="00656C0A">
        <w:t>elhízott egészséges önkénteseknél (BMI 30-48 kg/m</w:t>
      </w:r>
      <w:r w:rsidRPr="00CC2838">
        <w:rPr>
          <w:vertAlign w:val="superscript"/>
        </w:rPr>
        <w:t>2</w:t>
      </w:r>
      <w:r w:rsidRPr="00656C0A">
        <w:t>), mint a nem obez kontrollok körében, míg a maximális plazma anti-Xa</w:t>
      </w:r>
      <w:r w:rsidR="002C5AA5">
        <w:t>-</w:t>
      </w:r>
      <w:r w:rsidRPr="00656C0A">
        <w:t>aktivitás nem emelkedett. Az obez, sc. adagolásban részesülő betegeknél a testtömeghez viszonyított clearance alacsonyabb volt.</w:t>
      </w:r>
    </w:p>
    <w:p w14:paraId="78BD0AAC" w14:textId="77777777" w:rsidR="00DF73BF" w:rsidRPr="00656C0A" w:rsidRDefault="00DF73BF" w:rsidP="00545340">
      <w:pPr>
        <w:pStyle w:val="Szvegtrzs"/>
        <w:tabs>
          <w:tab w:val="left" w:pos="567"/>
        </w:tabs>
      </w:pPr>
    </w:p>
    <w:p w14:paraId="78BD0AAD" w14:textId="77777777" w:rsidR="00DF73BF" w:rsidRPr="00656C0A" w:rsidRDefault="00FB299E" w:rsidP="00545340">
      <w:pPr>
        <w:pStyle w:val="Szvegtrzs"/>
        <w:tabs>
          <w:tab w:val="left" w:pos="567"/>
        </w:tabs>
      </w:pPr>
      <w:r w:rsidRPr="00656C0A">
        <w:t>Amikor az adagolást nem a testtömeghez igazították, egyszeri 4000 NE (40 mg) sc. dózist követően az anti-Xa</w:t>
      </w:r>
      <w:r w:rsidR="002C5AA5">
        <w:t>-</w:t>
      </w:r>
      <w:r w:rsidRPr="00656C0A">
        <w:t>expozíció 52%-kal volt magasabb a kis testtömegű (&lt;</w:t>
      </w:r>
      <w:r w:rsidR="002C5AA5">
        <w:t> </w:t>
      </w:r>
      <w:r w:rsidRPr="00656C0A">
        <w:t>45 kg-os) nők és 27%-kal volt magasabb kis testtömegű (&lt;</w:t>
      </w:r>
      <w:r w:rsidR="002C5AA5">
        <w:t> </w:t>
      </w:r>
      <w:r w:rsidRPr="00656C0A">
        <w:t>57</w:t>
      </w:r>
      <w:r w:rsidR="002C5AA5">
        <w:t> </w:t>
      </w:r>
      <w:r w:rsidRPr="00656C0A">
        <w:t>kg-os) férfiak esetében, mint a normál testtömegű alanyoknál (lásd 4.4</w:t>
      </w:r>
      <w:r w:rsidR="002C5AA5">
        <w:t> </w:t>
      </w:r>
      <w:r w:rsidRPr="00656C0A">
        <w:t>pont).</w:t>
      </w:r>
    </w:p>
    <w:p w14:paraId="78BD0AAE" w14:textId="77777777" w:rsidR="00DF73BF" w:rsidRPr="00656C0A" w:rsidRDefault="00DF73BF" w:rsidP="00545340">
      <w:pPr>
        <w:pStyle w:val="Szvegtrzs"/>
        <w:tabs>
          <w:tab w:val="left" w:pos="567"/>
        </w:tabs>
        <w:ind w:left="567" w:hanging="567"/>
      </w:pPr>
    </w:p>
    <w:p w14:paraId="56381EE0" w14:textId="77777777" w:rsidR="00207FD8" w:rsidRDefault="00AD43D0" w:rsidP="00545340">
      <w:pPr>
        <w:pStyle w:val="Szvegtrzs"/>
        <w:tabs>
          <w:tab w:val="left" w:pos="567"/>
        </w:tabs>
        <w:rPr>
          <w:noProof/>
          <w:szCs w:val="24"/>
          <w:u w:val="single"/>
          <w:lang w:val="hu-HU"/>
        </w:rPr>
      </w:pPr>
      <w:r w:rsidRPr="00AD43D0">
        <w:rPr>
          <w:noProof/>
          <w:szCs w:val="24"/>
          <w:u w:val="single"/>
          <w:lang w:val="hu-HU"/>
        </w:rPr>
        <w:t>Farmakokinetikai/farmakodinámiás összefüggés(ek)</w:t>
      </w:r>
    </w:p>
    <w:p w14:paraId="78BD0AB0" w14:textId="4FAFBBCF" w:rsidR="00DF73BF" w:rsidRPr="00656C0A" w:rsidRDefault="00FB299E" w:rsidP="00545340">
      <w:pPr>
        <w:pStyle w:val="Szvegtrzs"/>
        <w:tabs>
          <w:tab w:val="left" w:pos="567"/>
        </w:tabs>
      </w:pPr>
      <w:r w:rsidRPr="00656C0A">
        <w:t>Nem észleltek farmakokinetikai interakciót az enoxaparin és az azzal párhozamosan alkalmazott trombolitikumok között.</w:t>
      </w:r>
    </w:p>
    <w:p w14:paraId="78BD0AB1" w14:textId="77777777" w:rsidR="00DF73BF" w:rsidRPr="00656C0A" w:rsidRDefault="00DF73BF" w:rsidP="00545340">
      <w:pPr>
        <w:pStyle w:val="Szvegtrzs"/>
        <w:tabs>
          <w:tab w:val="left" w:pos="567"/>
        </w:tabs>
        <w:ind w:left="567" w:hanging="567"/>
      </w:pPr>
    </w:p>
    <w:p w14:paraId="78BD0AB2" w14:textId="77777777" w:rsidR="00DF73BF" w:rsidRPr="00656C0A" w:rsidRDefault="00FB299E" w:rsidP="00545340">
      <w:pPr>
        <w:pStyle w:val="Cmsor1"/>
        <w:numPr>
          <w:ilvl w:val="1"/>
          <w:numId w:val="23"/>
        </w:numPr>
        <w:tabs>
          <w:tab w:val="left" w:pos="567"/>
        </w:tabs>
        <w:ind w:left="567" w:hanging="567"/>
      </w:pPr>
      <w:r w:rsidRPr="00656C0A">
        <w:t>A preklinikai biztonságossági vizsgálatok eredményei</w:t>
      </w:r>
    </w:p>
    <w:p w14:paraId="78BD0AB3" w14:textId="77777777" w:rsidR="00DF73BF" w:rsidRPr="00656C0A" w:rsidRDefault="00DF73BF" w:rsidP="00545340">
      <w:pPr>
        <w:pStyle w:val="Szvegtrzs"/>
        <w:tabs>
          <w:tab w:val="left" w:pos="567"/>
        </w:tabs>
        <w:ind w:left="567" w:hanging="567"/>
        <w:rPr>
          <w:b/>
        </w:rPr>
      </w:pPr>
    </w:p>
    <w:p w14:paraId="78BD0AB4" w14:textId="77777777" w:rsidR="00DF73BF" w:rsidRPr="00656C0A" w:rsidRDefault="00FB299E" w:rsidP="00545340">
      <w:pPr>
        <w:pStyle w:val="Szvegtrzs"/>
        <w:tabs>
          <w:tab w:val="left" w:pos="567"/>
        </w:tabs>
      </w:pPr>
      <w:r w:rsidRPr="00656C0A">
        <w:t>A toxicitási vizsgálatokban az enoxaparin-nátrium antikoaguláns hatásán kívül nem tapasztaltak nemkívánatos hatásokat patkányokon és kutyákon</w:t>
      </w:r>
      <w:r w:rsidR="002C5AA5">
        <w:t>,</w:t>
      </w:r>
      <w:r w:rsidRPr="00656C0A">
        <w:t xml:space="preserve"> sc. adott 15 mg/kg/nap adaggal 13 héten át, illetve patkányokon és majmokon sc. és iv. adott 10 mg/kg/nap adaggal 26 héten át.</w:t>
      </w:r>
    </w:p>
    <w:p w14:paraId="78BD0AB5" w14:textId="77777777" w:rsidR="00DF73BF" w:rsidRPr="00656C0A" w:rsidRDefault="00FB299E" w:rsidP="00545340">
      <w:pPr>
        <w:pStyle w:val="Szvegtrzs"/>
        <w:tabs>
          <w:tab w:val="left" w:pos="567"/>
        </w:tabs>
      </w:pPr>
      <w:r w:rsidRPr="00656C0A">
        <w:t xml:space="preserve">Az enoxaparin nem bizonyult mutagénnek </w:t>
      </w:r>
      <w:r w:rsidRPr="00656C0A">
        <w:rPr>
          <w:i/>
        </w:rPr>
        <w:t xml:space="preserve">in vitro </w:t>
      </w:r>
      <w:r w:rsidRPr="00656C0A">
        <w:t xml:space="preserve">vizsgálatokban, beleértve az Ames-tesztet, egér limfóma-mutációs tesztet, humán limfocita-aberráció vizsgálatot, és </w:t>
      </w:r>
      <w:r w:rsidRPr="00CC2838">
        <w:rPr>
          <w:i/>
        </w:rPr>
        <w:t>in vitro</w:t>
      </w:r>
      <w:r w:rsidRPr="00656C0A">
        <w:t xml:space="preserve"> patkány csontvelőkromoszóma-aberrációs tesztet.</w:t>
      </w:r>
    </w:p>
    <w:p w14:paraId="78BD0AB6" w14:textId="77777777" w:rsidR="00DF73BF" w:rsidRPr="00656C0A" w:rsidRDefault="00DF73BF" w:rsidP="00545340">
      <w:pPr>
        <w:pStyle w:val="Szvegtrzs"/>
        <w:tabs>
          <w:tab w:val="left" w:pos="567"/>
        </w:tabs>
      </w:pPr>
    </w:p>
    <w:p w14:paraId="78BD0AB7" w14:textId="77777777" w:rsidR="00DF73BF" w:rsidRPr="00656C0A" w:rsidRDefault="00FB299E" w:rsidP="00545340">
      <w:pPr>
        <w:pStyle w:val="Szvegtrzs"/>
        <w:tabs>
          <w:tab w:val="left" w:pos="567"/>
        </w:tabs>
      </w:pPr>
      <w:r w:rsidRPr="00656C0A">
        <w:t>Vemhes patkányokon és nyulakon végzett vizsgálatokban a sc. alkalmazott enoxaparin-nátrium</w:t>
      </w:r>
      <w:r w:rsidR="008F0A0F">
        <w:t xml:space="preserve"> </w:t>
      </w:r>
      <w:r w:rsidRPr="00656C0A">
        <w:t>30</w:t>
      </w:r>
      <w:r w:rsidR="008F0A0F">
        <w:t> </w:t>
      </w:r>
      <w:r w:rsidRPr="00656C0A">
        <w:t>mg/kg/nap adagig nem mutatott semmilyen teratogén vagy fötotoxikus hatást. Az enoxaparin nem befolyásolta a fertilitást és a reproduktív képességet a hím és nőstény patkányokon, szubkután alkalmazott 20 mg/kg/nap adagokig.</w:t>
      </w:r>
    </w:p>
    <w:p w14:paraId="78BD0AB8" w14:textId="77777777" w:rsidR="00DF73BF" w:rsidRPr="00656C0A" w:rsidRDefault="00DF73BF" w:rsidP="00545340">
      <w:pPr>
        <w:pStyle w:val="Szvegtrzs"/>
        <w:tabs>
          <w:tab w:val="left" w:pos="567"/>
        </w:tabs>
      </w:pPr>
    </w:p>
    <w:p w14:paraId="78BD0AB9" w14:textId="77777777" w:rsidR="00DF73BF" w:rsidRPr="00656C0A" w:rsidRDefault="00DF73BF" w:rsidP="00545340">
      <w:pPr>
        <w:pStyle w:val="Szvegtrzs"/>
        <w:tabs>
          <w:tab w:val="left" w:pos="567"/>
        </w:tabs>
        <w:ind w:left="567" w:hanging="567"/>
      </w:pPr>
    </w:p>
    <w:p w14:paraId="78BD0ABA" w14:textId="77777777" w:rsidR="00DF73BF" w:rsidRPr="00656C0A" w:rsidRDefault="00FB299E" w:rsidP="00545340">
      <w:pPr>
        <w:pStyle w:val="Cmsor1"/>
        <w:numPr>
          <w:ilvl w:val="0"/>
          <w:numId w:val="23"/>
        </w:numPr>
        <w:tabs>
          <w:tab w:val="left" w:pos="567"/>
        </w:tabs>
        <w:ind w:left="567" w:hanging="567"/>
      </w:pPr>
      <w:r w:rsidRPr="00656C0A">
        <w:lastRenderedPageBreak/>
        <w:t>GYÓGYSZERÉSZETI JELLEMZŐK</w:t>
      </w:r>
    </w:p>
    <w:p w14:paraId="78BD0ABB" w14:textId="77777777" w:rsidR="00DF73BF" w:rsidRPr="00656C0A" w:rsidRDefault="00DF73BF" w:rsidP="00545340">
      <w:pPr>
        <w:pStyle w:val="Szvegtrzs"/>
        <w:tabs>
          <w:tab w:val="left" w:pos="567"/>
        </w:tabs>
        <w:ind w:left="567" w:hanging="567"/>
        <w:rPr>
          <w:b/>
        </w:rPr>
      </w:pPr>
    </w:p>
    <w:p w14:paraId="78BD0ABC" w14:textId="77777777" w:rsidR="00DF73BF" w:rsidRPr="00656C0A" w:rsidRDefault="00FB299E" w:rsidP="00545340">
      <w:pPr>
        <w:pStyle w:val="Listaszerbekezds"/>
        <w:numPr>
          <w:ilvl w:val="1"/>
          <w:numId w:val="23"/>
        </w:numPr>
        <w:tabs>
          <w:tab w:val="left" w:pos="567"/>
        </w:tabs>
        <w:ind w:left="567" w:hanging="567"/>
        <w:rPr>
          <w:b/>
        </w:rPr>
      </w:pPr>
      <w:r w:rsidRPr="00656C0A">
        <w:rPr>
          <w:b/>
        </w:rPr>
        <w:t>Segédanyagok felsorolása</w:t>
      </w:r>
    </w:p>
    <w:p w14:paraId="78BD0ABD" w14:textId="77777777" w:rsidR="00DF73BF" w:rsidRPr="00656C0A" w:rsidRDefault="00DF73BF" w:rsidP="00545340">
      <w:pPr>
        <w:pStyle w:val="Szvegtrzs"/>
        <w:tabs>
          <w:tab w:val="left" w:pos="567"/>
        </w:tabs>
        <w:ind w:left="567" w:hanging="567"/>
        <w:rPr>
          <w:b/>
        </w:rPr>
      </w:pPr>
    </w:p>
    <w:p w14:paraId="78BD0ABE" w14:textId="77777777" w:rsidR="00DF73BF" w:rsidRPr="00656C0A" w:rsidRDefault="008E5AD4" w:rsidP="00545340">
      <w:pPr>
        <w:pStyle w:val="Szvegtrzs"/>
        <w:tabs>
          <w:tab w:val="left" w:pos="567"/>
        </w:tabs>
        <w:ind w:left="567" w:hanging="567"/>
      </w:pPr>
      <w:r w:rsidRPr="00656C0A">
        <w:rPr>
          <w:lang w:val="hu"/>
        </w:rPr>
        <w:t>Injekcióhoz való víz</w:t>
      </w:r>
    </w:p>
    <w:p w14:paraId="78BD0ABF" w14:textId="77777777" w:rsidR="008E5AD4" w:rsidRPr="00656C0A" w:rsidRDefault="008E5AD4" w:rsidP="00545340">
      <w:pPr>
        <w:pStyle w:val="Szvegtrzs"/>
        <w:tabs>
          <w:tab w:val="left" w:pos="567"/>
        </w:tabs>
        <w:ind w:left="567" w:hanging="567"/>
      </w:pPr>
    </w:p>
    <w:p w14:paraId="78BD0AC0" w14:textId="77777777" w:rsidR="00DF73BF" w:rsidRPr="00656C0A" w:rsidRDefault="00FB299E" w:rsidP="00545340">
      <w:pPr>
        <w:pStyle w:val="Cmsor1"/>
        <w:numPr>
          <w:ilvl w:val="1"/>
          <w:numId w:val="23"/>
        </w:numPr>
        <w:tabs>
          <w:tab w:val="left" w:pos="567"/>
        </w:tabs>
        <w:ind w:left="567" w:hanging="567"/>
      </w:pPr>
      <w:r w:rsidRPr="00656C0A">
        <w:t>Incompatibilitások</w:t>
      </w:r>
    </w:p>
    <w:p w14:paraId="78BD0AC1" w14:textId="77777777" w:rsidR="00DF73BF" w:rsidRPr="00656C0A" w:rsidRDefault="00DF73BF" w:rsidP="00545340">
      <w:pPr>
        <w:pStyle w:val="Szvegtrzs"/>
        <w:tabs>
          <w:tab w:val="left" w:pos="567"/>
        </w:tabs>
        <w:ind w:left="567" w:hanging="567"/>
        <w:rPr>
          <w:b/>
        </w:rPr>
      </w:pPr>
    </w:p>
    <w:p w14:paraId="78BD0AC2" w14:textId="77777777" w:rsidR="00DF73BF" w:rsidRPr="00656C0A" w:rsidRDefault="00FB299E" w:rsidP="00545340">
      <w:pPr>
        <w:pStyle w:val="Szvegtrzs"/>
        <w:tabs>
          <w:tab w:val="left" w:pos="567"/>
        </w:tabs>
        <w:ind w:left="567" w:hanging="567"/>
      </w:pPr>
      <w:r w:rsidRPr="00656C0A">
        <w:rPr>
          <w:u w:val="single"/>
        </w:rPr>
        <w:t>Sc. injekció</w:t>
      </w:r>
    </w:p>
    <w:p w14:paraId="78BD0AC3" w14:textId="77777777" w:rsidR="00DF73BF" w:rsidRPr="00656C0A" w:rsidRDefault="00FB299E" w:rsidP="00545340">
      <w:pPr>
        <w:pStyle w:val="Szvegtrzs"/>
        <w:tabs>
          <w:tab w:val="left" w:pos="567"/>
        </w:tabs>
        <w:ind w:left="567" w:hanging="567"/>
      </w:pPr>
      <w:r w:rsidRPr="00656C0A">
        <w:t>Ez a gyógyszer nem keverhető más gyógyszerekkel.</w:t>
      </w:r>
    </w:p>
    <w:p w14:paraId="78BD0AC4" w14:textId="77777777" w:rsidR="00DF73BF" w:rsidRPr="00656C0A" w:rsidRDefault="00DF73BF" w:rsidP="00545340">
      <w:pPr>
        <w:pStyle w:val="Szvegtrzs"/>
        <w:tabs>
          <w:tab w:val="left" w:pos="567"/>
        </w:tabs>
        <w:ind w:left="567" w:hanging="567"/>
      </w:pPr>
    </w:p>
    <w:p w14:paraId="78BD0AC5" w14:textId="77777777" w:rsidR="00DF73BF" w:rsidRPr="00656C0A" w:rsidRDefault="00FB299E" w:rsidP="00545340">
      <w:pPr>
        <w:pStyle w:val="Szvegtrzs"/>
        <w:tabs>
          <w:tab w:val="left" w:pos="567"/>
        </w:tabs>
        <w:ind w:left="567" w:hanging="567"/>
      </w:pPr>
      <w:r w:rsidRPr="00656C0A">
        <w:rPr>
          <w:u w:val="single"/>
        </w:rPr>
        <w:t xml:space="preserve">Iv. (bólus) injekció </w:t>
      </w:r>
      <w:r w:rsidRPr="00656C0A">
        <w:t>(kizárólag akut STEMI indikáció esetén):</w:t>
      </w:r>
    </w:p>
    <w:p w14:paraId="78BD0AC6" w14:textId="77777777" w:rsidR="00DF73BF" w:rsidRPr="00656C0A" w:rsidRDefault="00FB299E" w:rsidP="00545340">
      <w:pPr>
        <w:pStyle w:val="Szvegtrzs"/>
        <w:tabs>
          <w:tab w:val="left" w:pos="567"/>
        </w:tabs>
      </w:pPr>
      <w:r w:rsidRPr="00656C0A">
        <w:t>Az enoxaparin-nátrium biztonságosan alkalmazható fiziológiás sóoldattal (0,9%-os NaCl) vagy 5%-os dextrózoldattal (lásd 4.2 pont).</w:t>
      </w:r>
    </w:p>
    <w:p w14:paraId="78BD0AC7" w14:textId="77777777" w:rsidR="00DF73BF" w:rsidRPr="00656C0A" w:rsidRDefault="00DF73BF" w:rsidP="00545340">
      <w:pPr>
        <w:pStyle w:val="Szvegtrzs"/>
        <w:tabs>
          <w:tab w:val="left" w:pos="567"/>
        </w:tabs>
        <w:ind w:left="567" w:hanging="567"/>
      </w:pPr>
    </w:p>
    <w:p w14:paraId="78BD0AC8" w14:textId="77777777" w:rsidR="00DF73BF" w:rsidRPr="00656C0A" w:rsidRDefault="00FB299E" w:rsidP="00545340">
      <w:pPr>
        <w:pStyle w:val="Cmsor1"/>
        <w:numPr>
          <w:ilvl w:val="1"/>
          <w:numId w:val="23"/>
        </w:numPr>
        <w:tabs>
          <w:tab w:val="left" w:pos="567"/>
        </w:tabs>
        <w:ind w:left="567" w:hanging="567"/>
      </w:pPr>
      <w:r w:rsidRPr="00656C0A">
        <w:t>Felhasználhatósági időtartam</w:t>
      </w:r>
    </w:p>
    <w:p w14:paraId="78BD0AC9" w14:textId="77777777" w:rsidR="00DF73BF" w:rsidRPr="00656C0A" w:rsidRDefault="00DF73BF" w:rsidP="00545340">
      <w:pPr>
        <w:pStyle w:val="Szvegtrzs"/>
        <w:tabs>
          <w:tab w:val="left" w:pos="567"/>
        </w:tabs>
        <w:ind w:left="567" w:hanging="567"/>
        <w:rPr>
          <w:b/>
        </w:rPr>
      </w:pPr>
    </w:p>
    <w:p w14:paraId="78BD0ACA" w14:textId="77777777" w:rsidR="008E5AD4" w:rsidRPr="00656C0A" w:rsidRDefault="008E5AD4" w:rsidP="00545340">
      <w:pPr>
        <w:tabs>
          <w:tab w:val="left" w:pos="567"/>
        </w:tabs>
        <w:ind w:left="567" w:hanging="567"/>
      </w:pPr>
      <w:r w:rsidRPr="00656C0A">
        <w:rPr>
          <w:lang w:val="hu"/>
        </w:rPr>
        <w:t>3 év</w:t>
      </w:r>
    </w:p>
    <w:p w14:paraId="78BD0ACB" w14:textId="77777777" w:rsidR="00DF73BF" w:rsidRPr="00656C0A" w:rsidRDefault="00DF73BF" w:rsidP="00545340">
      <w:pPr>
        <w:pStyle w:val="Szvegtrzs"/>
        <w:tabs>
          <w:tab w:val="left" w:pos="567"/>
        </w:tabs>
        <w:ind w:left="567" w:hanging="567"/>
      </w:pPr>
    </w:p>
    <w:p w14:paraId="78BD0ACC" w14:textId="77777777" w:rsidR="00DF73BF" w:rsidRPr="00656C0A" w:rsidRDefault="00FB299E" w:rsidP="00545340">
      <w:pPr>
        <w:pStyle w:val="Cmsor1"/>
        <w:numPr>
          <w:ilvl w:val="1"/>
          <w:numId w:val="23"/>
        </w:numPr>
        <w:tabs>
          <w:tab w:val="left" w:pos="567"/>
        </w:tabs>
        <w:ind w:left="567" w:hanging="567"/>
      </w:pPr>
      <w:r w:rsidRPr="00656C0A">
        <w:t>Különleges tárolási előírások</w:t>
      </w:r>
    </w:p>
    <w:p w14:paraId="78BD0ACD" w14:textId="77777777" w:rsidR="00DF73BF" w:rsidRPr="00656C0A" w:rsidRDefault="00DF73BF" w:rsidP="00545340">
      <w:pPr>
        <w:pStyle w:val="Szvegtrzs"/>
        <w:tabs>
          <w:tab w:val="left" w:pos="567"/>
        </w:tabs>
        <w:ind w:left="567" w:hanging="567"/>
        <w:rPr>
          <w:b/>
        </w:rPr>
      </w:pPr>
    </w:p>
    <w:p w14:paraId="78BD0ACE" w14:textId="77777777" w:rsidR="0019650A" w:rsidRPr="00656C0A" w:rsidRDefault="0019650A" w:rsidP="00545340">
      <w:pPr>
        <w:tabs>
          <w:tab w:val="left" w:pos="567"/>
        </w:tabs>
        <w:ind w:left="567" w:hanging="567"/>
      </w:pPr>
      <w:r w:rsidRPr="00656C0A">
        <w:rPr>
          <w:lang w:val="hu"/>
        </w:rPr>
        <w:t>Legfeljebb 25</w:t>
      </w:r>
      <w:r w:rsidR="008F0A0F">
        <w:rPr>
          <w:lang w:val="hu"/>
        </w:rPr>
        <w:t xml:space="preserve"> </w:t>
      </w:r>
      <w:r w:rsidRPr="00656C0A">
        <w:rPr>
          <w:lang w:val="hu"/>
        </w:rPr>
        <w:t>°C-on tárolandó. Nem fagyasztható!</w:t>
      </w:r>
    </w:p>
    <w:p w14:paraId="78BD0ACF" w14:textId="77777777" w:rsidR="00DF73BF" w:rsidRPr="00656C0A" w:rsidRDefault="00DF73BF" w:rsidP="00545340">
      <w:pPr>
        <w:pStyle w:val="Szvegtrzs"/>
        <w:tabs>
          <w:tab w:val="left" w:pos="567"/>
        </w:tabs>
        <w:ind w:left="567" w:hanging="567"/>
      </w:pPr>
    </w:p>
    <w:p w14:paraId="78BD0AD0" w14:textId="77777777" w:rsidR="00DF73BF" w:rsidRPr="00656C0A" w:rsidRDefault="00FB299E" w:rsidP="00545340">
      <w:pPr>
        <w:pStyle w:val="Cmsor1"/>
        <w:numPr>
          <w:ilvl w:val="1"/>
          <w:numId w:val="23"/>
        </w:numPr>
        <w:tabs>
          <w:tab w:val="left" w:pos="567"/>
        </w:tabs>
        <w:ind w:left="567" w:hanging="567"/>
      </w:pPr>
      <w:r w:rsidRPr="00656C0A">
        <w:t>Csomagolás típusa és kiszerelése</w:t>
      </w:r>
    </w:p>
    <w:p w14:paraId="78BD0AD1" w14:textId="77777777" w:rsidR="00DF73BF" w:rsidRPr="00656C0A" w:rsidRDefault="00DF73BF" w:rsidP="00545340">
      <w:pPr>
        <w:pStyle w:val="Szvegtrzs"/>
        <w:tabs>
          <w:tab w:val="left" w:pos="567"/>
        </w:tabs>
        <w:ind w:left="567" w:hanging="567"/>
        <w:rPr>
          <w:b/>
        </w:rPr>
      </w:pPr>
    </w:p>
    <w:p w14:paraId="78BD0AD2" w14:textId="77777777" w:rsidR="0019650A" w:rsidRPr="00656C0A" w:rsidRDefault="0019650A" w:rsidP="00545340">
      <w:pPr>
        <w:tabs>
          <w:tab w:val="left" w:pos="567"/>
        </w:tabs>
      </w:pPr>
      <w:r w:rsidRPr="00656C0A">
        <w:rPr>
          <w:lang w:val="hu"/>
        </w:rPr>
        <w:t xml:space="preserve">Oldatos injekció klórbutil gumidugóval I. típusú előretöltött üvegfecskendőben hozzá való injekciós tűvel és automatikus </w:t>
      </w:r>
      <w:r w:rsidR="00C11C9F" w:rsidRPr="00C11C9F">
        <w:rPr>
          <w:lang w:val="hu-HU"/>
        </w:rPr>
        <w:t>védőeszközzel</w:t>
      </w:r>
      <w:r w:rsidR="00C11C9F" w:rsidRPr="00C11C9F" w:rsidDel="00C11C9F">
        <w:rPr>
          <w:lang w:val="hu"/>
        </w:rPr>
        <w:t xml:space="preserve"> </w:t>
      </w:r>
      <w:r w:rsidRPr="00656C0A">
        <w:rPr>
          <w:lang w:val="hu"/>
        </w:rPr>
        <w:t xml:space="preserve">vagy anélkül. </w:t>
      </w:r>
    </w:p>
    <w:p w14:paraId="78BD0AD3" w14:textId="77777777" w:rsidR="0019650A" w:rsidRPr="00656C0A" w:rsidRDefault="0019650A" w:rsidP="00545340">
      <w:pPr>
        <w:tabs>
          <w:tab w:val="left" w:pos="567"/>
        </w:tabs>
      </w:pPr>
      <w:r w:rsidRPr="00656C0A">
        <w:rPr>
          <w:lang w:val="hu"/>
        </w:rPr>
        <w:t>Az előretöltött fecskendők műanyag t</w:t>
      </w:r>
      <w:r w:rsidR="008F0A0F">
        <w:rPr>
          <w:lang w:val="hu"/>
        </w:rPr>
        <w:t>álcá</w:t>
      </w:r>
      <w:r w:rsidR="00C11C9F">
        <w:rPr>
          <w:lang w:val="hu"/>
        </w:rPr>
        <w:t>ko</w:t>
      </w:r>
      <w:r w:rsidR="008F0A0F">
        <w:rPr>
          <w:lang w:val="hu"/>
        </w:rPr>
        <w:t>n</w:t>
      </w:r>
      <w:r w:rsidR="00C11C9F">
        <w:rPr>
          <w:lang w:val="hu"/>
        </w:rPr>
        <w:t xml:space="preserve"> </w:t>
      </w:r>
      <w:r w:rsidR="008F0A0F">
        <w:rPr>
          <w:lang w:val="hu"/>
        </w:rPr>
        <w:t xml:space="preserve">és </w:t>
      </w:r>
      <w:r w:rsidRPr="00656C0A">
        <w:rPr>
          <w:lang w:val="hu"/>
        </w:rPr>
        <w:t>dobozban kerülnek forgalomba.</w:t>
      </w:r>
    </w:p>
    <w:p w14:paraId="78BD0AD4" w14:textId="77777777" w:rsidR="0019650A" w:rsidRPr="00656C0A" w:rsidRDefault="0019650A" w:rsidP="00545340">
      <w:pPr>
        <w:tabs>
          <w:tab w:val="left" w:pos="567"/>
        </w:tabs>
        <w:ind w:left="567" w:hanging="567"/>
      </w:pPr>
    </w:p>
    <w:p w14:paraId="78BD0AD5" w14:textId="77777777" w:rsidR="0019650A" w:rsidRPr="00E41443" w:rsidRDefault="00426193" w:rsidP="00545340">
      <w:pPr>
        <w:tabs>
          <w:tab w:val="left" w:pos="567"/>
        </w:tabs>
        <w:ind w:left="567" w:hanging="567"/>
        <w:rPr>
          <w:b/>
        </w:rPr>
      </w:pPr>
      <w:r w:rsidRPr="00656C0A">
        <w:rPr>
          <w:b/>
          <w:bCs/>
          <w:lang w:val="hu"/>
        </w:rPr>
        <w:t>Losmina</w:t>
      </w:r>
      <w:r w:rsidR="0019650A" w:rsidRPr="00656C0A">
        <w:rPr>
          <w:b/>
          <w:bCs/>
          <w:lang w:val="hu"/>
        </w:rPr>
        <w:t xml:space="preserve"> 2000 NE (20 mg)/0,2 ml oldatos injekció előretöltött fecskendőben</w:t>
      </w:r>
    </w:p>
    <w:p w14:paraId="78BD0AD6" w14:textId="77777777" w:rsidR="00C11C9F" w:rsidRDefault="0019650A" w:rsidP="00545340">
      <w:pPr>
        <w:tabs>
          <w:tab w:val="left" w:pos="567"/>
        </w:tabs>
        <w:rPr>
          <w:lang w:val="hu"/>
        </w:rPr>
      </w:pPr>
      <w:r w:rsidRPr="00656C0A">
        <w:rPr>
          <w:lang w:val="hu"/>
        </w:rPr>
        <w:t>0,2 ml oldatos injekció beosztás nélküli, 0,5 ml-es előretöltött fecskendőben.</w:t>
      </w:r>
    </w:p>
    <w:p w14:paraId="78BD0AD7" w14:textId="77777777" w:rsidR="0019650A" w:rsidRPr="00CC2838" w:rsidRDefault="0019650A" w:rsidP="00545340">
      <w:pPr>
        <w:tabs>
          <w:tab w:val="left" w:pos="567"/>
        </w:tabs>
        <w:rPr>
          <w:lang w:val="hu"/>
        </w:rPr>
      </w:pPr>
      <w:r w:rsidRPr="00656C0A">
        <w:rPr>
          <w:lang w:val="hu"/>
        </w:rPr>
        <w:t xml:space="preserve">Kiszerelések: 2, 6, 10, 20 </w:t>
      </w:r>
      <w:r w:rsidR="00C11C9F">
        <w:rPr>
          <w:lang w:val="hu"/>
        </w:rPr>
        <w:t>vagy</w:t>
      </w:r>
      <w:r w:rsidRPr="00656C0A">
        <w:rPr>
          <w:lang w:val="hu"/>
        </w:rPr>
        <w:t xml:space="preserve"> 50 </w:t>
      </w:r>
      <w:r w:rsidR="00C11C9F">
        <w:rPr>
          <w:lang w:val="hu"/>
        </w:rPr>
        <w:t xml:space="preserve">db </w:t>
      </w:r>
      <w:r w:rsidRPr="00656C0A">
        <w:rPr>
          <w:lang w:val="hu"/>
        </w:rPr>
        <w:t>fecskendő.</w:t>
      </w:r>
    </w:p>
    <w:p w14:paraId="78BD0AD8" w14:textId="77777777" w:rsidR="0019650A" w:rsidRPr="00CC2838" w:rsidRDefault="00426193" w:rsidP="00545340">
      <w:pPr>
        <w:keepNext/>
        <w:tabs>
          <w:tab w:val="left" w:pos="567"/>
        </w:tabs>
        <w:rPr>
          <w:b/>
          <w:lang w:val="hu"/>
        </w:rPr>
      </w:pPr>
      <w:r w:rsidRPr="00656C0A">
        <w:rPr>
          <w:b/>
          <w:bCs/>
          <w:lang w:val="hu"/>
        </w:rPr>
        <w:t>Losmina</w:t>
      </w:r>
      <w:r w:rsidR="0019650A" w:rsidRPr="00656C0A">
        <w:rPr>
          <w:b/>
          <w:bCs/>
          <w:lang w:val="hu"/>
        </w:rPr>
        <w:t xml:space="preserve"> 4000 NE (40 mg)/0,4 ml oldatos injekció előretöltött fecskendőben</w:t>
      </w:r>
    </w:p>
    <w:p w14:paraId="78BD0AD9" w14:textId="77777777" w:rsidR="00C11C9F" w:rsidRDefault="0019650A" w:rsidP="00545340">
      <w:pPr>
        <w:tabs>
          <w:tab w:val="left" w:pos="567"/>
        </w:tabs>
        <w:rPr>
          <w:lang w:val="hu"/>
        </w:rPr>
      </w:pPr>
      <w:r w:rsidRPr="00656C0A">
        <w:rPr>
          <w:lang w:val="hu"/>
        </w:rPr>
        <w:t>0,4 ml oldatos injekció beosztás nélküli, 0,5 ml-es előretöltött fecskendőben.</w:t>
      </w:r>
    </w:p>
    <w:p w14:paraId="78BD0ADA" w14:textId="77777777" w:rsidR="0019650A" w:rsidRPr="00CC2838" w:rsidRDefault="0019650A" w:rsidP="00545340">
      <w:pPr>
        <w:tabs>
          <w:tab w:val="left" w:pos="567"/>
        </w:tabs>
        <w:rPr>
          <w:lang w:val="hu"/>
        </w:rPr>
      </w:pPr>
      <w:r w:rsidRPr="00656C0A">
        <w:rPr>
          <w:lang w:val="hu"/>
        </w:rPr>
        <w:t xml:space="preserve">Kiszerelések: 2, 6, 10, 20, 30 </w:t>
      </w:r>
      <w:r w:rsidR="00C11C9F">
        <w:rPr>
          <w:lang w:val="hu"/>
        </w:rPr>
        <w:t>vagy</w:t>
      </w:r>
      <w:r w:rsidR="0016451E">
        <w:rPr>
          <w:lang w:val="hu"/>
        </w:rPr>
        <w:t xml:space="preserve"> </w:t>
      </w:r>
      <w:r w:rsidRPr="00656C0A">
        <w:rPr>
          <w:lang w:val="hu"/>
        </w:rPr>
        <w:t>50 </w:t>
      </w:r>
      <w:r w:rsidR="00C11C9F">
        <w:rPr>
          <w:lang w:val="hu"/>
        </w:rPr>
        <w:t xml:space="preserve">db </w:t>
      </w:r>
      <w:r w:rsidRPr="00656C0A">
        <w:rPr>
          <w:lang w:val="hu"/>
        </w:rPr>
        <w:t>fecskendő.</w:t>
      </w:r>
    </w:p>
    <w:p w14:paraId="78BD0ADB" w14:textId="77777777" w:rsidR="0019650A" w:rsidRPr="00CC2838" w:rsidRDefault="00426193" w:rsidP="00545340">
      <w:pPr>
        <w:tabs>
          <w:tab w:val="left" w:pos="567"/>
        </w:tabs>
        <w:rPr>
          <w:b/>
          <w:lang w:val="hu"/>
        </w:rPr>
      </w:pPr>
      <w:r w:rsidRPr="00656C0A">
        <w:rPr>
          <w:b/>
          <w:bCs/>
          <w:lang w:val="hu"/>
        </w:rPr>
        <w:t>Losmina</w:t>
      </w:r>
      <w:r w:rsidR="0019650A" w:rsidRPr="00656C0A">
        <w:rPr>
          <w:b/>
          <w:bCs/>
          <w:lang w:val="hu"/>
        </w:rPr>
        <w:t xml:space="preserve"> 6000 NE (60 mg)/0,6 ml oldatos injekció előretöltött fecskendőben.</w:t>
      </w:r>
    </w:p>
    <w:p w14:paraId="78BD0ADC" w14:textId="77777777" w:rsidR="00C11C9F" w:rsidRDefault="0019650A" w:rsidP="00545340">
      <w:pPr>
        <w:tabs>
          <w:tab w:val="left" w:pos="567"/>
        </w:tabs>
        <w:rPr>
          <w:lang w:val="hu"/>
        </w:rPr>
      </w:pPr>
      <w:r w:rsidRPr="00656C0A">
        <w:rPr>
          <w:lang w:val="hu"/>
        </w:rPr>
        <w:t>0,6 ml oldatos injekció beosztással ellátott, 1 ml-es előretöltött fecskendőben.</w:t>
      </w:r>
    </w:p>
    <w:p w14:paraId="78BD0ADD" w14:textId="77777777" w:rsidR="0019650A" w:rsidRPr="00CC2838" w:rsidRDefault="0019650A" w:rsidP="00545340">
      <w:pPr>
        <w:tabs>
          <w:tab w:val="left" w:pos="567"/>
        </w:tabs>
        <w:rPr>
          <w:lang w:val="hu"/>
        </w:rPr>
      </w:pPr>
      <w:r w:rsidRPr="00656C0A">
        <w:rPr>
          <w:lang w:val="hu"/>
        </w:rPr>
        <w:t xml:space="preserve">Kiszerelések: 2, 6, 10, 12, </w:t>
      </w:r>
      <w:r w:rsidR="009D2896">
        <w:rPr>
          <w:lang w:val="hu"/>
        </w:rPr>
        <w:t xml:space="preserve">20, </w:t>
      </w:r>
      <w:r w:rsidRPr="00656C0A">
        <w:rPr>
          <w:lang w:val="hu"/>
        </w:rPr>
        <w:t>24</w:t>
      </w:r>
      <w:r w:rsidR="00A03961">
        <w:rPr>
          <w:lang w:val="hu"/>
        </w:rPr>
        <w:t>, 30</w:t>
      </w:r>
      <w:r w:rsidRPr="00656C0A">
        <w:rPr>
          <w:lang w:val="hu"/>
        </w:rPr>
        <w:t xml:space="preserve"> </w:t>
      </w:r>
      <w:r w:rsidR="00C11C9F">
        <w:rPr>
          <w:lang w:val="hu"/>
        </w:rPr>
        <w:t>vagy</w:t>
      </w:r>
      <w:r w:rsidRPr="00656C0A">
        <w:rPr>
          <w:lang w:val="hu"/>
        </w:rPr>
        <w:t xml:space="preserve"> </w:t>
      </w:r>
      <w:r w:rsidR="00A03961">
        <w:rPr>
          <w:lang w:val="hu"/>
        </w:rPr>
        <w:t>5</w:t>
      </w:r>
      <w:r w:rsidRPr="00656C0A">
        <w:rPr>
          <w:lang w:val="hu"/>
        </w:rPr>
        <w:t>0 </w:t>
      </w:r>
      <w:r w:rsidR="00C11C9F">
        <w:rPr>
          <w:lang w:val="hu"/>
        </w:rPr>
        <w:t xml:space="preserve">db </w:t>
      </w:r>
      <w:r w:rsidRPr="00656C0A">
        <w:rPr>
          <w:lang w:val="hu"/>
        </w:rPr>
        <w:t>fecskendő.</w:t>
      </w:r>
    </w:p>
    <w:p w14:paraId="78BD0ADE" w14:textId="77777777" w:rsidR="0019650A" w:rsidRPr="00CC2838" w:rsidRDefault="00426193" w:rsidP="00545340">
      <w:pPr>
        <w:tabs>
          <w:tab w:val="left" w:pos="567"/>
        </w:tabs>
        <w:rPr>
          <w:b/>
          <w:lang w:val="hu"/>
        </w:rPr>
      </w:pPr>
      <w:r w:rsidRPr="00656C0A">
        <w:rPr>
          <w:b/>
          <w:bCs/>
          <w:lang w:val="hu"/>
        </w:rPr>
        <w:t>Losmina</w:t>
      </w:r>
      <w:r w:rsidR="0019650A" w:rsidRPr="00656C0A">
        <w:rPr>
          <w:b/>
          <w:bCs/>
          <w:lang w:val="hu"/>
        </w:rPr>
        <w:t xml:space="preserve"> 8000 NE (80 mg)/0,8 ml oldatos injekció előretöltött fecskendőben</w:t>
      </w:r>
    </w:p>
    <w:p w14:paraId="78BD0ADF" w14:textId="77777777" w:rsidR="00C11C9F" w:rsidRDefault="0019650A" w:rsidP="00545340">
      <w:pPr>
        <w:tabs>
          <w:tab w:val="left" w:pos="567"/>
        </w:tabs>
        <w:rPr>
          <w:lang w:val="hu"/>
        </w:rPr>
      </w:pPr>
      <w:r w:rsidRPr="00656C0A">
        <w:rPr>
          <w:lang w:val="hu"/>
        </w:rPr>
        <w:t>0,8 ml oldatos injekció beosztással ellátott, 1 ml-es előretöltött fecskendőben.</w:t>
      </w:r>
    </w:p>
    <w:p w14:paraId="78BD0AE0" w14:textId="77777777" w:rsidR="0019650A" w:rsidRPr="00CC2838" w:rsidRDefault="0019650A" w:rsidP="00545340">
      <w:pPr>
        <w:tabs>
          <w:tab w:val="left" w:pos="567"/>
        </w:tabs>
        <w:rPr>
          <w:lang w:val="hu"/>
        </w:rPr>
      </w:pPr>
      <w:r w:rsidRPr="00656C0A">
        <w:rPr>
          <w:lang w:val="hu"/>
        </w:rPr>
        <w:t xml:space="preserve">Kiszerelések: 2, 6, 10, 12, </w:t>
      </w:r>
      <w:r w:rsidR="009D2896">
        <w:rPr>
          <w:lang w:val="hu"/>
        </w:rPr>
        <w:t xml:space="preserve">20, </w:t>
      </w:r>
      <w:r w:rsidRPr="00656C0A">
        <w:rPr>
          <w:lang w:val="hu"/>
        </w:rPr>
        <w:t>24</w:t>
      </w:r>
      <w:r w:rsidR="00A03961">
        <w:rPr>
          <w:lang w:val="hu"/>
        </w:rPr>
        <w:t>, 30</w:t>
      </w:r>
      <w:r w:rsidRPr="00656C0A">
        <w:rPr>
          <w:lang w:val="hu"/>
        </w:rPr>
        <w:t xml:space="preserve"> </w:t>
      </w:r>
      <w:r w:rsidR="00C11C9F">
        <w:rPr>
          <w:lang w:val="hu"/>
        </w:rPr>
        <w:t>vagy</w:t>
      </w:r>
      <w:r w:rsidRPr="00656C0A">
        <w:rPr>
          <w:lang w:val="hu"/>
        </w:rPr>
        <w:t xml:space="preserve"> </w:t>
      </w:r>
      <w:r w:rsidR="00A03961">
        <w:rPr>
          <w:lang w:val="hu"/>
        </w:rPr>
        <w:t>5</w:t>
      </w:r>
      <w:r w:rsidRPr="00656C0A">
        <w:rPr>
          <w:lang w:val="hu"/>
        </w:rPr>
        <w:t>0 </w:t>
      </w:r>
      <w:r w:rsidR="00C11C9F">
        <w:rPr>
          <w:lang w:val="hu"/>
        </w:rPr>
        <w:t xml:space="preserve">db </w:t>
      </w:r>
      <w:r w:rsidRPr="00656C0A">
        <w:rPr>
          <w:lang w:val="hu"/>
        </w:rPr>
        <w:t>fecskendő.</w:t>
      </w:r>
    </w:p>
    <w:p w14:paraId="78BD0AE1" w14:textId="77777777" w:rsidR="0019650A" w:rsidRPr="00CC2838" w:rsidRDefault="00426193" w:rsidP="00545340">
      <w:pPr>
        <w:tabs>
          <w:tab w:val="left" w:pos="567"/>
        </w:tabs>
        <w:rPr>
          <w:b/>
          <w:lang w:val="hu"/>
        </w:rPr>
      </w:pPr>
      <w:r w:rsidRPr="00656C0A">
        <w:rPr>
          <w:b/>
          <w:bCs/>
          <w:lang w:val="hu"/>
        </w:rPr>
        <w:t>Losmina</w:t>
      </w:r>
      <w:r w:rsidR="0019650A" w:rsidRPr="00656C0A">
        <w:rPr>
          <w:b/>
          <w:bCs/>
          <w:lang w:val="hu"/>
        </w:rPr>
        <w:t xml:space="preserve"> 10 000 NE (100 mg)/1 ml oldatos injekció előretöltött fecskendőben</w:t>
      </w:r>
    </w:p>
    <w:p w14:paraId="78BD0AE2" w14:textId="77777777" w:rsidR="00C11C9F" w:rsidRDefault="0019650A" w:rsidP="00545340">
      <w:pPr>
        <w:tabs>
          <w:tab w:val="left" w:pos="567"/>
        </w:tabs>
        <w:rPr>
          <w:lang w:val="hu"/>
        </w:rPr>
      </w:pPr>
      <w:r w:rsidRPr="00656C0A">
        <w:rPr>
          <w:lang w:val="hu"/>
        </w:rPr>
        <w:t>1 ml oldatos injekció beosztással ellátott, 1 ml-es előretöltött fecskendőben.</w:t>
      </w:r>
    </w:p>
    <w:p w14:paraId="78BD0AE3" w14:textId="77777777" w:rsidR="0019650A" w:rsidRPr="00CC2838" w:rsidRDefault="0019650A" w:rsidP="00545340">
      <w:pPr>
        <w:tabs>
          <w:tab w:val="left" w:pos="567"/>
        </w:tabs>
        <w:rPr>
          <w:lang w:val="hu"/>
        </w:rPr>
      </w:pPr>
      <w:r w:rsidRPr="00656C0A">
        <w:rPr>
          <w:lang w:val="hu"/>
        </w:rPr>
        <w:t xml:space="preserve">Kiszerelések: 2, 6, 10, 12, </w:t>
      </w:r>
      <w:r w:rsidR="009D2896">
        <w:rPr>
          <w:lang w:val="hu"/>
        </w:rPr>
        <w:t xml:space="preserve">20, </w:t>
      </w:r>
      <w:r w:rsidRPr="00656C0A">
        <w:rPr>
          <w:lang w:val="hu"/>
        </w:rPr>
        <w:t>24</w:t>
      </w:r>
      <w:r w:rsidR="00A03961">
        <w:rPr>
          <w:lang w:val="hu"/>
        </w:rPr>
        <w:t>, 30</w:t>
      </w:r>
      <w:r w:rsidRPr="00656C0A">
        <w:rPr>
          <w:lang w:val="hu"/>
        </w:rPr>
        <w:t xml:space="preserve"> </w:t>
      </w:r>
      <w:r w:rsidR="00C11C9F">
        <w:rPr>
          <w:lang w:val="hu"/>
        </w:rPr>
        <w:t>vagy</w:t>
      </w:r>
      <w:r w:rsidRPr="00656C0A">
        <w:rPr>
          <w:lang w:val="hu"/>
        </w:rPr>
        <w:t xml:space="preserve"> </w:t>
      </w:r>
      <w:r w:rsidR="00A03961">
        <w:rPr>
          <w:lang w:val="hu"/>
        </w:rPr>
        <w:t>5</w:t>
      </w:r>
      <w:r w:rsidRPr="00656C0A">
        <w:rPr>
          <w:lang w:val="hu"/>
        </w:rPr>
        <w:t>0 </w:t>
      </w:r>
      <w:r w:rsidR="00C11C9F">
        <w:rPr>
          <w:lang w:val="hu"/>
        </w:rPr>
        <w:t xml:space="preserve">db </w:t>
      </w:r>
      <w:r w:rsidRPr="00656C0A">
        <w:rPr>
          <w:lang w:val="hu"/>
        </w:rPr>
        <w:t>fecskendő.</w:t>
      </w:r>
    </w:p>
    <w:p w14:paraId="78BD0AE4" w14:textId="77777777" w:rsidR="00DF73BF" w:rsidRPr="00CC2838" w:rsidRDefault="00DF73BF" w:rsidP="00545340">
      <w:pPr>
        <w:pStyle w:val="Szvegtrzs"/>
        <w:tabs>
          <w:tab w:val="left" w:pos="567"/>
        </w:tabs>
        <w:ind w:left="567" w:hanging="567"/>
        <w:rPr>
          <w:lang w:val="hu"/>
        </w:rPr>
      </w:pPr>
    </w:p>
    <w:p w14:paraId="78BD0AE5" w14:textId="77777777" w:rsidR="00DF73BF" w:rsidRPr="00CC2838" w:rsidRDefault="00FB299E" w:rsidP="00545340">
      <w:pPr>
        <w:pStyle w:val="Szvegtrzs"/>
        <w:tabs>
          <w:tab w:val="left" w:pos="567"/>
        </w:tabs>
        <w:ind w:left="567" w:hanging="567"/>
        <w:rPr>
          <w:lang w:val="hu"/>
        </w:rPr>
      </w:pPr>
      <w:r w:rsidRPr="00CC2838">
        <w:rPr>
          <w:lang w:val="hu"/>
        </w:rPr>
        <w:t>Nem feltétlenül mindegyik kiszerelés kerül kereskedelmi forgalomba.</w:t>
      </w:r>
    </w:p>
    <w:p w14:paraId="78BD0AE6" w14:textId="77777777" w:rsidR="00DF73BF" w:rsidRPr="00CC2838" w:rsidRDefault="00DF73BF" w:rsidP="00545340">
      <w:pPr>
        <w:pStyle w:val="Szvegtrzs"/>
        <w:tabs>
          <w:tab w:val="left" w:pos="567"/>
        </w:tabs>
        <w:ind w:left="567" w:hanging="567"/>
        <w:rPr>
          <w:lang w:val="hu"/>
        </w:rPr>
      </w:pPr>
    </w:p>
    <w:p w14:paraId="78BD0AE7" w14:textId="77777777" w:rsidR="00DF73BF" w:rsidRPr="00CC2838" w:rsidRDefault="00FB299E" w:rsidP="00545340">
      <w:pPr>
        <w:pStyle w:val="Cmsor1"/>
        <w:numPr>
          <w:ilvl w:val="1"/>
          <w:numId w:val="23"/>
        </w:numPr>
        <w:tabs>
          <w:tab w:val="left" w:pos="567"/>
        </w:tabs>
        <w:ind w:left="567" w:hanging="567"/>
        <w:rPr>
          <w:lang w:val="hu"/>
        </w:rPr>
      </w:pPr>
      <w:r w:rsidRPr="00CC2838">
        <w:rPr>
          <w:lang w:val="hu"/>
        </w:rPr>
        <w:t>A megsemmisítésre vonatkozó különleges óvintézkedések és egyéb, a készítmény kezelésével kapcsolatos információk</w:t>
      </w:r>
    </w:p>
    <w:p w14:paraId="78BD0AE8" w14:textId="77777777" w:rsidR="00DF73BF" w:rsidRPr="00CC2838" w:rsidRDefault="00DF73BF" w:rsidP="00545340">
      <w:pPr>
        <w:pStyle w:val="Szvegtrzs"/>
        <w:tabs>
          <w:tab w:val="left" w:pos="567"/>
        </w:tabs>
        <w:ind w:left="567" w:hanging="567"/>
        <w:rPr>
          <w:b/>
          <w:lang w:val="hu"/>
        </w:rPr>
      </w:pPr>
    </w:p>
    <w:p w14:paraId="78BD0AE9" w14:textId="77777777" w:rsidR="00A71341" w:rsidRPr="00CC2838" w:rsidRDefault="00A71341" w:rsidP="00545340">
      <w:pPr>
        <w:tabs>
          <w:tab w:val="left" w:pos="567"/>
        </w:tabs>
        <w:ind w:left="567" w:hanging="567"/>
        <w:rPr>
          <w:lang w:val="hu"/>
        </w:rPr>
      </w:pPr>
      <w:r w:rsidRPr="00656C0A">
        <w:rPr>
          <w:lang w:val="hu"/>
        </w:rPr>
        <w:t>Az előretöltött fecskendő azonnal felhasználható (lásd 4.2 pont).</w:t>
      </w:r>
    </w:p>
    <w:p w14:paraId="78BD0AEA" w14:textId="77777777" w:rsidR="00A71341" w:rsidRPr="00CC2838" w:rsidRDefault="00C11C9F" w:rsidP="00545340">
      <w:pPr>
        <w:tabs>
          <w:tab w:val="left" w:pos="567"/>
        </w:tabs>
        <w:rPr>
          <w:lang w:val="hu"/>
        </w:rPr>
      </w:pPr>
      <w:r>
        <w:rPr>
          <w:lang w:val="hu-HU"/>
        </w:rPr>
        <w:t>A</w:t>
      </w:r>
      <w:r w:rsidR="00812827">
        <w:rPr>
          <w:lang w:val="hu-HU"/>
        </w:rPr>
        <w:t xml:space="preserve"> védő</w:t>
      </w:r>
      <w:r w:rsidR="00812827">
        <w:rPr>
          <w:lang w:val="hu"/>
        </w:rPr>
        <w:t>eszközzel</w:t>
      </w:r>
      <w:r w:rsidR="00A71341" w:rsidRPr="00656C0A">
        <w:rPr>
          <w:lang w:val="hu"/>
        </w:rPr>
        <w:t xml:space="preserve"> ellátott fecskendőknél a tűt a felhasználótól és a többi jelenlevőtől elfelé mutató irányban kell tartani. A biztonsági rendszer a dugattyú határozott lenyomásával aktiválódik. A védőburok automatikusan befedi a tűt, az eszköz aktiválódását hallható kattanás jelzi.</w:t>
      </w:r>
    </w:p>
    <w:p w14:paraId="78BD0AEB" w14:textId="77777777" w:rsidR="00A71341" w:rsidRPr="00CC2838" w:rsidRDefault="00A71341" w:rsidP="00545340">
      <w:pPr>
        <w:tabs>
          <w:tab w:val="left" w:pos="567"/>
        </w:tabs>
        <w:rPr>
          <w:lang w:val="hu"/>
        </w:rPr>
      </w:pPr>
      <w:r w:rsidRPr="00656C0A">
        <w:rPr>
          <w:lang w:val="hu"/>
        </w:rPr>
        <w:t xml:space="preserve">Az </w:t>
      </w:r>
      <w:r w:rsidR="00426193" w:rsidRPr="00656C0A">
        <w:rPr>
          <w:lang w:val="hu"/>
        </w:rPr>
        <w:t>Losmina</w:t>
      </w:r>
      <w:r w:rsidRPr="00656C0A">
        <w:rPr>
          <w:lang w:val="hu"/>
        </w:rPr>
        <w:t xml:space="preserve"> előretöltött fecskendő egy adagot tartalmaz – a fel nem használt készítményt dobja ki.</w:t>
      </w:r>
    </w:p>
    <w:p w14:paraId="78BD0AEC" w14:textId="77777777" w:rsidR="00A71341" w:rsidRPr="00CC2838" w:rsidRDefault="00A71341" w:rsidP="00545340">
      <w:pPr>
        <w:tabs>
          <w:tab w:val="left" w:pos="567"/>
        </w:tabs>
        <w:rPr>
          <w:lang w:val="hu"/>
        </w:rPr>
      </w:pPr>
      <w:r w:rsidRPr="00656C0A">
        <w:rPr>
          <w:lang w:val="hu"/>
        </w:rPr>
        <w:t xml:space="preserve">Ellenőrizze a lejárati dátumot a fecskendőn vagy a csomagoláson. A lejárt gyógyszerkészítményt nem szabad felhasználni. Győződjön meg arról, hogy a fecskendő nem sérült, a benne található készítmény </w:t>
      </w:r>
      <w:r w:rsidR="00812827">
        <w:rPr>
          <w:lang w:val="hu"/>
        </w:rPr>
        <w:lastRenderedPageBreak/>
        <w:t xml:space="preserve">egy </w:t>
      </w:r>
      <w:r w:rsidRPr="00656C0A">
        <w:rPr>
          <w:lang w:val="hu"/>
        </w:rPr>
        <w:t>tiszta oldat és nem láthatók benne szemcsék. Használjon másik fecskendőt, ha a fecskendő megsérült vagy ha a készítmény nem tiszta.</w:t>
      </w:r>
    </w:p>
    <w:p w14:paraId="78BD0AED" w14:textId="77777777" w:rsidR="00A71341" w:rsidRPr="00CC2838" w:rsidRDefault="00A71341" w:rsidP="00545340">
      <w:pPr>
        <w:tabs>
          <w:tab w:val="left" w:pos="567"/>
        </w:tabs>
        <w:rPr>
          <w:lang w:val="hu"/>
        </w:rPr>
      </w:pPr>
      <w:r w:rsidRPr="00656C0A">
        <w:rPr>
          <w:lang w:val="hu"/>
        </w:rPr>
        <w:t>A fecskendőt (a hozzátartozó tűvel együtt) haladéktalanul ki kell dobni az éles tárgyak gyűjtésére szolgáló legközelebbi tartályba. Szorosan zárja le a tartály fedelét és helyezze gyermekektől elzárt helyre.</w:t>
      </w:r>
    </w:p>
    <w:p w14:paraId="78BD0AEE" w14:textId="77777777" w:rsidR="00DF73BF" w:rsidRPr="00CC2838" w:rsidRDefault="00DF73BF" w:rsidP="00545340">
      <w:pPr>
        <w:pStyle w:val="Szvegtrzs"/>
        <w:tabs>
          <w:tab w:val="left" w:pos="567"/>
        </w:tabs>
        <w:ind w:left="567" w:hanging="567"/>
        <w:rPr>
          <w:lang w:val="hu"/>
        </w:rPr>
      </w:pPr>
    </w:p>
    <w:p w14:paraId="78BD0AEF" w14:textId="77777777" w:rsidR="00DF73BF" w:rsidRPr="00CC2838" w:rsidRDefault="00FB299E" w:rsidP="00545340">
      <w:pPr>
        <w:pStyle w:val="Szvegtrzs"/>
        <w:tabs>
          <w:tab w:val="left" w:pos="567"/>
        </w:tabs>
        <w:rPr>
          <w:lang w:val="hu"/>
        </w:rPr>
      </w:pPr>
      <w:r w:rsidRPr="00CC2838">
        <w:rPr>
          <w:lang w:val="hu"/>
        </w:rPr>
        <w:t>Bármilyen fel nem használt gyógyszer, illetve hulladékanyag megsemmisítését a gyógyszerekre vonatkozó előírások szerint kell végrehajtani.</w:t>
      </w:r>
    </w:p>
    <w:p w14:paraId="78BD0AF0" w14:textId="77777777" w:rsidR="00A71341" w:rsidRPr="00CC2838" w:rsidRDefault="00A71341" w:rsidP="00545340">
      <w:pPr>
        <w:pStyle w:val="Szvegtrzs"/>
        <w:tabs>
          <w:tab w:val="left" w:pos="567"/>
        </w:tabs>
        <w:ind w:left="567" w:hanging="567"/>
        <w:rPr>
          <w:lang w:val="hu"/>
        </w:rPr>
      </w:pPr>
    </w:p>
    <w:p w14:paraId="78BD0AF1" w14:textId="77777777" w:rsidR="001108DC" w:rsidRPr="00656C0A" w:rsidRDefault="001108DC" w:rsidP="00545340">
      <w:pPr>
        <w:tabs>
          <w:tab w:val="left" w:pos="567"/>
        </w:tabs>
        <w:ind w:left="567" w:hanging="567"/>
        <w:rPr>
          <w:lang w:val="el-GR"/>
        </w:rPr>
      </w:pPr>
      <w:r w:rsidRPr="00656C0A">
        <w:rPr>
          <w:b/>
          <w:lang w:val="hu"/>
        </w:rPr>
        <w:t xml:space="preserve">Megjegyzés: </w:t>
      </w:r>
      <w:r w:rsidR="00812827">
        <w:rPr>
          <w:b/>
          <w:lang w:val="hu"/>
        </w:rPr>
        <w:sym w:font="Wingdings" w:char="F058"/>
      </w:r>
      <w:r w:rsidRPr="00656C0A">
        <w:rPr>
          <w:b/>
          <w:lang w:val="hu"/>
        </w:rPr>
        <w:t xml:space="preserve"> </w:t>
      </w:r>
      <w:r w:rsidRPr="00656C0A">
        <w:rPr>
          <w:lang w:val="hu"/>
        </w:rPr>
        <w:t>(egy kereszt</w:t>
      </w:r>
      <w:r w:rsidRPr="00656C0A">
        <w:rPr>
          <w:lang w:val="hu-HU"/>
        </w:rPr>
        <w:t>es</w:t>
      </w:r>
      <w:r w:rsidRPr="00656C0A">
        <w:rPr>
          <w:lang w:val="hu"/>
        </w:rPr>
        <w:t xml:space="preserve">) </w:t>
      </w:r>
    </w:p>
    <w:p w14:paraId="78BD0AF2" w14:textId="77777777" w:rsidR="001108DC" w:rsidRPr="00656C0A" w:rsidRDefault="001108DC" w:rsidP="00545340">
      <w:pPr>
        <w:pStyle w:val="Szvegtrzs"/>
        <w:tabs>
          <w:tab w:val="left" w:pos="567"/>
        </w:tabs>
        <w:ind w:left="567" w:hanging="567"/>
        <w:rPr>
          <w:b/>
          <w:lang w:val="hu-HU"/>
        </w:rPr>
      </w:pPr>
      <w:r w:rsidRPr="00656C0A">
        <w:rPr>
          <w:b/>
          <w:lang w:val="hu-HU"/>
        </w:rPr>
        <w:t xml:space="preserve">Osztályozás: II. csoport </w:t>
      </w:r>
    </w:p>
    <w:p w14:paraId="78BD0AF3" w14:textId="77777777" w:rsidR="001108DC" w:rsidRPr="00656C0A" w:rsidRDefault="001108DC" w:rsidP="00545340">
      <w:pPr>
        <w:tabs>
          <w:tab w:val="left" w:pos="567"/>
        </w:tabs>
        <w:ind w:left="567" w:hanging="567"/>
        <w:rPr>
          <w:lang w:val="hu-HU"/>
        </w:rPr>
      </w:pPr>
      <w:r w:rsidRPr="00656C0A">
        <w:rPr>
          <w:lang w:val="hu-HU"/>
        </w:rPr>
        <w:t>Kizárólag orvosi rendelvényhez kötött gyógyszer (V).</w:t>
      </w:r>
    </w:p>
    <w:p w14:paraId="78BD0AF4" w14:textId="77777777" w:rsidR="00A71341" w:rsidRPr="00CC2838" w:rsidRDefault="00A71341" w:rsidP="00545340">
      <w:pPr>
        <w:pStyle w:val="Szvegtrzs"/>
        <w:tabs>
          <w:tab w:val="left" w:pos="567"/>
        </w:tabs>
        <w:ind w:left="567" w:hanging="567"/>
        <w:rPr>
          <w:lang w:val="hu-HU"/>
        </w:rPr>
      </w:pPr>
    </w:p>
    <w:p w14:paraId="78BD0AF5" w14:textId="77777777" w:rsidR="00DF73BF" w:rsidRPr="00CC2838" w:rsidRDefault="00DF73BF" w:rsidP="00545340">
      <w:pPr>
        <w:pStyle w:val="Szvegtrzs"/>
        <w:tabs>
          <w:tab w:val="left" w:pos="567"/>
        </w:tabs>
        <w:ind w:left="567" w:hanging="567"/>
        <w:rPr>
          <w:lang w:val="hu-HU"/>
        </w:rPr>
      </w:pPr>
    </w:p>
    <w:p w14:paraId="78BD0AF6" w14:textId="77777777" w:rsidR="00DF73BF" w:rsidRPr="00656C0A" w:rsidRDefault="00FB299E" w:rsidP="00545340">
      <w:pPr>
        <w:pStyle w:val="Cmsor1"/>
        <w:numPr>
          <w:ilvl w:val="0"/>
          <w:numId w:val="23"/>
        </w:numPr>
        <w:tabs>
          <w:tab w:val="left" w:pos="567"/>
        </w:tabs>
        <w:ind w:left="567" w:hanging="567"/>
      </w:pPr>
      <w:r w:rsidRPr="00656C0A">
        <w:t>A FORGALOMBA HOZATALI ENGEDÉLY JOGOSULTJA</w:t>
      </w:r>
    </w:p>
    <w:p w14:paraId="78BD0AF7" w14:textId="77777777" w:rsidR="00DF73BF" w:rsidRPr="00656C0A" w:rsidRDefault="00DF73BF" w:rsidP="00545340">
      <w:pPr>
        <w:pStyle w:val="Szvegtrzs"/>
        <w:tabs>
          <w:tab w:val="left" w:pos="567"/>
        </w:tabs>
        <w:ind w:left="567" w:hanging="567"/>
        <w:rPr>
          <w:b/>
        </w:rPr>
      </w:pPr>
    </w:p>
    <w:p w14:paraId="78BD0AF8" w14:textId="77777777" w:rsidR="001A3CBB" w:rsidRPr="00CC2838" w:rsidRDefault="001A3CBB" w:rsidP="00545340">
      <w:pPr>
        <w:tabs>
          <w:tab w:val="left" w:pos="567"/>
        </w:tabs>
        <w:ind w:left="567" w:hanging="567"/>
        <w:rPr>
          <w:lang w:val="es-ES"/>
        </w:rPr>
      </w:pPr>
      <w:r w:rsidRPr="00656C0A">
        <w:rPr>
          <w:lang w:val="hu"/>
        </w:rPr>
        <w:t>Laboratorios Farmacéuticos ROVI, S.A.</w:t>
      </w:r>
    </w:p>
    <w:p w14:paraId="78BD0AF9" w14:textId="77777777" w:rsidR="001A3CBB" w:rsidRPr="00656C0A" w:rsidRDefault="001A3CBB" w:rsidP="00545340">
      <w:pPr>
        <w:tabs>
          <w:tab w:val="left" w:pos="567"/>
        </w:tabs>
        <w:ind w:left="567" w:hanging="567"/>
      </w:pPr>
      <w:r w:rsidRPr="00656C0A">
        <w:rPr>
          <w:lang w:val="hu"/>
        </w:rPr>
        <w:t>Julián Camarillo, 35</w:t>
      </w:r>
    </w:p>
    <w:p w14:paraId="78BD0AFA" w14:textId="77777777" w:rsidR="001A3CBB" w:rsidRPr="00656C0A" w:rsidRDefault="001A3CBB" w:rsidP="00545340">
      <w:pPr>
        <w:tabs>
          <w:tab w:val="left" w:pos="567"/>
        </w:tabs>
        <w:ind w:left="567" w:hanging="567"/>
      </w:pPr>
      <w:r w:rsidRPr="00656C0A">
        <w:rPr>
          <w:lang w:val="hu"/>
        </w:rPr>
        <w:t xml:space="preserve">28037 – Madrid </w:t>
      </w:r>
    </w:p>
    <w:p w14:paraId="78BD0AFB" w14:textId="77777777" w:rsidR="00DF73BF" w:rsidRPr="00656C0A" w:rsidRDefault="001A3CBB" w:rsidP="00545340">
      <w:pPr>
        <w:pStyle w:val="Szvegtrzs"/>
        <w:tabs>
          <w:tab w:val="left" w:pos="567"/>
        </w:tabs>
        <w:ind w:left="567" w:hanging="567"/>
      </w:pPr>
      <w:r w:rsidRPr="00656C0A">
        <w:rPr>
          <w:lang w:val="hu"/>
        </w:rPr>
        <w:t>Spanyolország</w:t>
      </w:r>
    </w:p>
    <w:p w14:paraId="78BD0AFC" w14:textId="77777777" w:rsidR="00DF73BF" w:rsidRPr="00656C0A" w:rsidRDefault="00DF73BF" w:rsidP="00545340">
      <w:pPr>
        <w:pStyle w:val="Szvegtrzs"/>
        <w:tabs>
          <w:tab w:val="left" w:pos="567"/>
        </w:tabs>
        <w:ind w:left="567" w:hanging="567"/>
      </w:pPr>
    </w:p>
    <w:p w14:paraId="78BD0AFD" w14:textId="77777777" w:rsidR="001A3CBB" w:rsidRPr="00656C0A" w:rsidRDefault="001A3CBB" w:rsidP="00545340">
      <w:pPr>
        <w:pStyle w:val="Szvegtrzs"/>
        <w:tabs>
          <w:tab w:val="left" w:pos="567"/>
        </w:tabs>
        <w:ind w:left="567" w:hanging="567"/>
      </w:pPr>
    </w:p>
    <w:p w14:paraId="78BD0AFE" w14:textId="77777777" w:rsidR="00DF73BF" w:rsidRPr="00CC2838" w:rsidRDefault="00FB299E" w:rsidP="00545340">
      <w:pPr>
        <w:pStyle w:val="Cmsor1"/>
        <w:numPr>
          <w:ilvl w:val="0"/>
          <w:numId w:val="23"/>
        </w:numPr>
        <w:tabs>
          <w:tab w:val="left" w:pos="567"/>
        </w:tabs>
        <w:ind w:left="567" w:hanging="567"/>
        <w:rPr>
          <w:lang w:val="it-IT"/>
        </w:rPr>
      </w:pPr>
      <w:r w:rsidRPr="00CC2838">
        <w:rPr>
          <w:lang w:val="it-IT"/>
        </w:rPr>
        <w:t>A FORGALOMBA HOZATALI ENGEDÉLY SZÁMA(I)</w:t>
      </w:r>
    </w:p>
    <w:p w14:paraId="78BD0AFF" w14:textId="77777777" w:rsidR="00DF73BF" w:rsidRPr="00CC2838" w:rsidRDefault="00DF73BF" w:rsidP="00545340">
      <w:pPr>
        <w:pStyle w:val="Szvegtrzs"/>
        <w:tabs>
          <w:tab w:val="left" w:pos="567"/>
        </w:tabs>
        <w:ind w:left="567" w:hanging="567"/>
        <w:rPr>
          <w:b/>
          <w:lang w:val="it-IT"/>
        </w:rPr>
      </w:pPr>
    </w:p>
    <w:p w14:paraId="78BD0B00" w14:textId="77777777" w:rsidR="00942126" w:rsidRPr="00CC2838" w:rsidRDefault="00426193" w:rsidP="00545340">
      <w:pPr>
        <w:pStyle w:val="Default"/>
        <w:tabs>
          <w:tab w:val="left" w:pos="567"/>
        </w:tabs>
        <w:ind w:left="567" w:hanging="567"/>
        <w:rPr>
          <w:b/>
          <w:sz w:val="22"/>
          <w:szCs w:val="22"/>
          <w:lang w:val="it-IT"/>
        </w:rPr>
      </w:pPr>
      <w:r w:rsidRPr="00CC2838">
        <w:rPr>
          <w:b/>
          <w:sz w:val="22"/>
          <w:szCs w:val="22"/>
          <w:lang w:val="it-IT"/>
        </w:rPr>
        <w:t>Losmina</w:t>
      </w:r>
      <w:r w:rsidR="00942126" w:rsidRPr="00CC2838">
        <w:rPr>
          <w:b/>
          <w:sz w:val="22"/>
          <w:szCs w:val="22"/>
          <w:lang w:val="it-IT"/>
        </w:rPr>
        <w:t xml:space="preserve"> 2000 NE (20 mg)/0,2 m</w:t>
      </w:r>
      <w:r w:rsidR="00812827" w:rsidRPr="00CC2838">
        <w:rPr>
          <w:b/>
          <w:sz w:val="22"/>
          <w:szCs w:val="22"/>
          <w:lang w:val="it-IT"/>
        </w:rPr>
        <w:t>l</w:t>
      </w:r>
      <w:r w:rsidR="00942126" w:rsidRPr="00CC2838">
        <w:rPr>
          <w:b/>
          <w:sz w:val="22"/>
          <w:szCs w:val="22"/>
          <w:lang w:val="it-IT"/>
        </w:rPr>
        <w:t xml:space="preserve"> oldatos injekció előretöltött fecskendőben </w:t>
      </w:r>
    </w:p>
    <w:p w14:paraId="78BD0B01" w14:textId="77777777" w:rsidR="00942126" w:rsidRPr="00CC2838" w:rsidRDefault="00B01B38" w:rsidP="00545340">
      <w:pPr>
        <w:pStyle w:val="Default"/>
        <w:tabs>
          <w:tab w:val="left" w:pos="567"/>
        </w:tabs>
        <w:ind w:left="2410" w:hanging="2410"/>
        <w:rPr>
          <w:sz w:val="22"/>
          <w:szCs w:val="22"/>
          <w:lang w:val="it-IT"/>
        </w:rPr>
      </w:pPr>
      <w:r w:rsidRPr="00CC2838">
        <w:rPr>
          <w:sz w:val="22"/>
          <w:szCs w:val="22"/>
          <w:lang w:val="it-IT"/>
        </w:rPr>
        <w:t>OGYI-T-23213/01</w:t>
      </w:r>
      <w:r w:rsidR="00812827" w:rsidRPr="00CC2838">
        <w:rPr>
          <w:sz w:val="22"/>
          <w:szCs w:val="22"/>
          <w:lang w:val="it-IT"/>
        </w:rPr>
        <w:tab/>
      </w:r>
      <w:r w:rsidR="00942126" w:rsidRPr="00CC2838">
        <w:rPr>
          <w:sz w:val="22"/>
          <w:szCs w:val="22"/>
          <w:lang w:val="it-IT"/>
        </w:rPr>
        <w:t>10</w:t>
      </w:r>
      <w:r w:rsidR="00812827" w:rsidRPr="00CC2838">
        <w:rPr>
          <w:sz w:val="22"/>
          <w:szCs w:val="22"/>
          <w:lang w:val="it-IT"/>
        </w:rPr>
        <w:t>×</w:t>
      </w:r>
      <w:r w:rsidR="00812827" w:rsidRPr="00CC2838">
        <w:rPr>
          <w:sz w:val="22"/>
          <w:szCs w:val="22"/>
          <w:lang w:val="it-IT"/>
        </w:rPr>
        <w:tab/>
      </w:r>
      <w:r w:rsidR="00741011" w:rsidRPr="00CC2838">
        <w:rPr>
          <w:sz w:val="22"/>
          <w:szCs w:val="22"/>
          <w:lang w:val="it-IT"/>
        </w:rPr>
        <w:t>I.</w:t>
      </w:r>
      <w:r w:rsidR="00812827" w:rsidRPr="00CC2838">
        <w:rPr>
          <w:sz w:val="22"/>
          <w:szCs w:val="22"/>
          <w:lang w:val="it-IT"/>
        </w:rPr>
        <w:t xml:space="preserve"> </w:t>
      </w:r>
      <w:r w:rsidR="00942126" w:rsidRPr="00CC2838">
        <w:rPr>
          <w:sz w:val="22"/>
          <w:szCs w:val="22"/>
          <w:lang w:val="it-IT"/>
        </w:rPr>
        <w:t xml:space="preserve">típusú előretöltött üvegfecskendőben hozzá való injekciós </w:t>
      </w:r>
      <w:r w:rsidR="00741011" w:rsidRPr="00CC2838">
        <w:rPr>
          <w:sz w:val="22"/>
          <w:szCs w:val="22"/>
          <w:lang w:val="it-IT"/>
        </w:rPr>
        <w:t xml:space="preserve">tűvel és automatikus </w:t>
      </w:r>
      <w:r w:rsidR="00C20014" w:rsidRPr="00C20014">
        <w:rPr>
          <w:sz w:val="22"/>
          <w:szCs w:val="22"/>
          <w:lang w:val="hu-HU"/>
        </w:rPr>
        <w:t>védőeszközzel</w:t>
      </w:r>
    </w:p>
    <w:p w14:paraId="78BD0B02" w14:textId="77777777" w:rsidR="00942126" w:rsidRPr="00CC2838" w:rsidRDefault="00B01B38" w:rsidP="00545340">
      <w:pPr>
        <w:pStyle w:val="Default"/>
        <w:tabs>
          <w:tab w:val="left" w:pos="567"/>
        </w:tabs>
        <w:ind w:left="2410" w:hanging="2410"/>
        <w:rPr>
          <w:sz w:val="22"/>
          <w:szCs w:val="22"/>
          <w:lang w:val="it-IT"/>
        </w:rPr>
      </w:pPr>
      <w:r w:rsidRPr="00CC2838">
        <w:rPr>
          <w:sz w:val="22"/>
          <w:szCs w:val="22"/>
          <w:lang w:val="it-IT"/>
        </w:rPr>
        <w:t>OGYI-T-23213/02</w:t>
      </w:r>
      <w:r w:rsidR="00812827" w:rsidRPr="00CC2838">
        <w:rPr>
          <w:sz w:val="22"/>
          <w:szCs w:val="22"/>
          <w:lang w:val="it-IT"/>
        </w:rPr>
        <w:tab/>
        <w:t>10×</w:t>
      </w:r>
      <w:r w:rsidR="00812827" w:rsidRPr="00CC2838">
        <w:rPr>
          <w:sz w:val="22"/>
          <w:szCs w:val="22"/>
          <w:lang w:val="it-IT"/>
        </w:rPr>
        <w:tab/>
      </w:r>
      <w:r w:rsidR="00741011" w:rsidRPr="00CC2838">
        <w:rPr>
          <w:sz w:val="22"/>
          <w:szCs w:val="22"/>
          <w:lang w:val="it-IT"/>
        </w:rPr>
        <w:t xml:space="preserve">I.típusú előretöltött üvegfecskendőben hozzá való injekciós tűvel és automatikus </w:t>
      </w:r>
      <w:r w:rsidR="00C20014" w:rsidRPr="00C20014">
        <w:rPr>
          <w:sz w:val="22"/>
          <w:szCs w:val="22"/>
          <w:lang w:val="hu-HU"/>
        </w:rPr>
        <w:t>védőeszköz</w:t>
      </w:r>
      <w:r w:rsidR="00741011" w:rsidRPr="00CC2838">
        <w:rPr>
          <w:sz w:val="22"/>
          <w:szCs w:val="22"/>
          <w:lang w:val="it-IT"/>
        </w:rPr>
        <w:t xml:space="preserve"> nélkül </w:t>
      </w:r>
    </w:p>
    <w:p w14:paraId="78BD0B03" w14:textId="77777777" w:rsidR="00741011" w:rsidRPr="00CC2838" w:rsidRDefault="00741011" w:rsidP="00545340">
      <w:pPr>
        <w:pStyle w:val="Default"/>
        <w:tabs>
          <w:tab w:val="left" w:pos="567"/>
        </w:tabs>
        <w:ind w:left="567" w:hanging="567"/>
        <w:rPr>
          <w:sz w:val="22"/>
          <w:szCs w:val="22"/>
          <w:lang w:val="it-IT"/>
        </w:rPr>
      </w:pPr>
    </w:p>
    <w:p w14:paraId="78BD0B04" w14:textId="77777777" w:rsidR="00942126" w:rsidRPr="00CC2838" w:rsidRDefault="00426193" w:rsidP="00545340">
      <w:pPr>
        <w:pStyle w:val="Default"/>
        <w:keepNext/>
        <w:tabs>
          <w:tab w:val="left" w:pos="567"/>
        </w:tabs>
        <w:ind w:left="567" w:hanging="567"/>
        <w:rPr>
          <w:b/>
          <w:sz w:val="22"/>
          <w:szCs w:val="22"/>
          <w:lang w:val="it-IT"/>
        </w:rPr>
      </w:pPr>
      <w:r w:rsidRPr="00CC2838">
        <w:rPr>
          <w:b/>
          <w:sz w:val="22"/>
          <w:szCs w:val="22"/>
          <w:lang w:val="it-IT"/>
        </w:rPr>
        <w:t>Losmina</w:t>
      </w:r>
      <w:r w:rsidR="00942126" w:rsidRPr="00CC2838">
        <w:rPr>
          <w:b/>
          <w:sz w:val="22"/>
          <w:szCs w:val="22"/>
          <w:lang w:val="it-IT"/>
        </w:rPr>
        <w:t xml:space="preserve"> 4000 NE (40 mg)/0,4 m</w:t>
      </w:r>
      <w:r w:rsidR="00812827" w:rsidRPr="00CC2838">
        <w:rPr>
          <w:b/>
          <w:sz w:val="22"/>
          <w:szCs w:val="22"/>
          <w:lang w:val="it-IT"/>
        </w:rPr>
        <w:t>l</w:t>
      </w:r>
      <w:r w:rsidR="00942126" w:rsidRPr="00CC2838">
        <w:rPr>
          <w:b/>
          <w:sz w:val="22"/>
          <w:szCs w:val="22"/>
          <w:lang w:val="it-IT"/>
        </w:rPr>
        <w:t xml:space="preserve"> oldatos injekció előretöltött fecskendőben </w:t>
      </w:r>
    </w:p>
    <w:p w14:paraId="78BD0B05" w14:textId="77777777" w:rsidR="00942126" w:rsidRPr="00CC2838" w:rsidRDefault="00942126" w:rsidP="00545340">
      <w:pPr>
        <w:pStyle w:val="Default"/>
        <w:tabs>
          <w:tab w:val="left" w:pos="567"/>
        </w:tabs>
        <w:ind w:left="2410" w:hanging="2410"/>
        <w:rPr>
          <w:sz w:val="22"/>
          <w:szCs w:val="22"/>
          <w:lang w:val="it-IT"/>
        </w:rPr>
      </w:pPr>
      <w:r w:rsidRPr="00CC2838">
        <w:rPr>
          <w:sz w:val="22"/>
          <w:szCs w:val="22"/>
          <w:lang w:val="it-IT"/>
        </w:rPr>
        <w:t>OGYI-T-</w:t>
      </w:r>
      <w:r w:rsidR="00B01B38" w:rsidRPr="00CC2838">
        <w:rPr>
          <w:sz w:val="22"/>
          <w:szCs w:val="22"/>
          <w:lang w:val="it-IT"/>
        </w:rPr>
        <w:t>23213</w:t>
      </w:r>
      <w:r w:rsidRPr="00CC2838">
        <w:rPr>
          <w:sz w:val="22"/>
          <w:szCs w:val="22"/>
          <w:lang w:val="it-IT"/>
        </w:rPr>
        <w:t>/03</w:t>
      </w:r>
      <w:r w:rsidR="00812827" w:rsidRPr="00CC2838">
        <w:rPr>
          <w:sz w:val="22"/>
          <w:szCs w:val="22"/>
          <w:lang w:val="it-IT"/>
        </w:rPr>
        <w:tab/>
        <w:t>10×</w:t>
      </w:r>
      <w:r w:rsidR="00812827" w:rsidRPr="00CC2838">
        <w:rPr>
          <w:sz w:val="22"/>
          <w:szCs w:val="22"/>
          <w:lang w:val="it-IT"/>
        </w:rPr>
        <w:tab/>
      </w:r>
      <w:r w:rsidR="00741011" w:rsidRPr="00CC2838">
        <w:rPr>
          <w:sz w:val="22"/>
          <w:szCs w:val="22"/>
          <w:lang w:val="it-IT"/>
        </w:rPr>
        <w:t>I.</w:t>
      </w:r>
      <w:r w:rsidR="00812827" w:rsidRPr="00CC2838">
        <w:rPr>
          <w:sz w:val="22"/>
          <w:szCs w:val="22"/>
          <w:lang w:val="it-IT"/>
        </w:rPr>
        <w:t xml:space="preserve"> </w:t>
      </w:r>
      <w:r w:rsidR="00741011" w:rsidRPr="00CC2838">
        <w:rPr>
          <w:sz w:val="22"/>
          <w:szCs w:val="22"/>
          <w:lang w:val="it-IT"/>
        </w:rPr>
        <w:t xml:space="preserve">típusú előretöltött üvegfecskendőben hozzá való injekciós tűvel és automatikus </w:t>
      </w:r>
      <w:r w:rsidR="00C20014" w:rsidRPr="00C20014">
        <w:rPr>
          <w:sz w:val="22"/>
          <w:szCs w:val="22"/>
          <w:lang w:val="hu-HU"/>
        </w:rPr>
        <w:t>védőeszközzel</w:t>
      </w:r>
    </w:p>
    <w:p w14:paraId="78BD0B06" w14:textId="77777777" w:rsidR="00942126" w:rsidRPr="00CC2838" w:rsidRDefault="00942126" w:rsidP="00545340">
      <w:pPr>
        <w:pStyle w:val="Default"/>
        <w:tabs>
          <w:tab w:val="left" w:pos="567"/>
        </w:tabs>
        <w:ind w:left="2410" w:hanging="2410"/>
        <w:rPr>
          <w:sz w:val="22"/>
          <w:szCs w:val="22"/>
          <w:lang w:val="it-IT"/>
        </w:rPr>
      </w:pPr>
      <w:r w:rsidRPr="00CC2838">
        <w:rPr>
          <w:sz w:val="22"/>
          <w:szCs w:val="22"/>
          <w:lang w:val="it-IT"/>
        </w:rPr>
        <w:t>OGYI-T-</w:t>
      </w:r>
      <w:r w:rsidR="00B01B38" w:rsidRPr="00CC2838">
        <w:rPr>
          <w:sz w:val="22"/>
          <w:szCs w:val="22"/>
          <w:lang w:val="it-IT"/>
        </w:rPr>
        <w:t>23213</w:t>
      </w:r>
      <w:r w:rsidRPr="00CC2838">
        <w:rPr>
          <w:sz w:val="22"/>
          <w:szCs w:val="22"/>
          <w:lang w:val="it-IT"/>
        </w:rPr>
        <w:t>/04</w:t>
      </w:r>
      <w:r w:rsidR="00812827" w:rsidRPr="00CC2838">
        <w:rPr>
          <w:sz w:val="22"/>
          <w:szCs w:val="22"/>
          <w:lang w:val="it-IT"/>
        </w:rPr>
        <w:tab/>
        <w:t>10×</w:t>
      </w:r>
      <w:r w:rsidR="00812827" w:rsidRPr="00CC2838">
        <w:rPr>
          <w:sz w:val="22"/>
          <w:szCs w:val="22"/>
          <w:lang w:val="it-IT"/>
        </w:rPr>
        <w:tab/>
      </w:r>
      <w:r w:rsidR="00741011" w:rsidRPr="00CC2838">
        <w:rPr>
          <w:sz w:val="22"/>
          <w:szCs w:val="22"/>
          <w:lang w:val="it-IT"/>
        </w:rPr>
        <w:t>I.</w:t>
      </w:r>
      <w:r w:rsidR="00812827" w:rsidRPr="00CC2838">
        <w:rPr>
          <w:sz w:val="22"/>
          <w:szCs w:val="22"/>
          <w:lang w:val="it-IT"/>
        </w:rPr>
        <w:t xml:space="preserve"> </w:t>
      </w:r>
      <w:r w:rsidR="00741011" w:rsidRPr="00CC2838">
        <w:rPr>
          <w:sz w:val="22"/>
          <w:szCs w:val="22"/>
          <w:lang w:val="it-IT"/>
        </w:rPr>
        <w:t xml:space="preserve">típusú előretöltött üvegfecskendőben hozzá való injekciós tűvel és automatikus </w:t>
      </w:r>
      <w:r w:rsidR="00C20014" w:rsidRPr="00C20014">
        <w:rPr>
          <w:sz w:val="22"/>
          <w:szCs w:val="22"/>
          <w:lang w:val="hu-HU"/>
        </w:rPr>
        <w:t>védőeszköz</w:t>
      </w:r>
      <w:r w:rsidR="00741011" w:rsidRPr="00CC2838">
        <w:rPr>
          <w:sz w:val="22"/>
          <w:szCs w:val="22"/>
          <w:lang w:val="it-IT"/>
        </w:rPr>
        <w:t xml:space="preserve"> nélkül</w:t>
      </w:r>
    </w:p>
    <w:p w14:paraId="78BD0B07" w14:textId="77777777" w:rsidR="00741011" w:rsidRPr="00CC2838" w:rsidRDefault="00741011" w:rsidP="00545340">
      <w:pPr>
        <w:pStyle w:val="Default"/>
        <w:tabs>
          <w:tab w:val="left" w:pos="567"/>
        </w:tabs>
        <w:ind w:left="2410" w:hanging="2410"/>
        <w:rPr>
          <w:sz w:val="22"/>
          <w:szCs w:val="22"/>
          <w:lang w:val="it-IT"/>
        </w:rPr>
      </w:pPr>
    </w:p>
    <w:p w14:paraId="78BD0B08" w14:textId="77777777" w:rsidR="00942126" w:rsidRPr="00CC2838" w:rsidRDefault="00426193" w:rsidP="00545340">
      <w:pPr>
        <w:pStyle w:val="Default"/>
        <w:tabs>
          <w:tab w:val="left" w:pos="567"/>
        </w:tabs>
        <w:ind w:left="567" w:hanging="567"/>
        <w:rPr>
          <w:b/>
          <w:sz w:val="22"/>
          <w:szCs w:val="22"/>
          <w:lang w:val="it-IT"/>
        </w:rPr>
      </w:pPr>
      <w:r w:rsidRPr="00CC2838">
        <w:rPr>
          <w:b/>
          <w:sz w:val="22"/>
          <w:szCs w:val="22"/>
          <w:lang w:val="it-IT"/>
        </w:rPr>
        <w:t>Losmina</w:t>
      </w:r>
      <w:r w:rsidR="00942126" w:rsidRPr="00CC2838">
        <w:rPr>
          <w:b/>
          <w:sz w:val="22"/>
          <w:szCs w:val="22"/>
          <w:lang w:val="it-IT"/>
        </w:rPr>
        <w:t xml:space="preserve"> 6000 NE (60 mg)/0,6 m</w:t>
      </w:r>
      <w:r w:rsidR="00812827" w:rsidRPr="00CC2838">
        <w:rPr>
          <w:b/>
          <w:sz w:val="22"/>
          <w:szCs w:val="22"/>
          <w:lang w:val="it-IT"/>
        </w:rPr>
        <w:t>l</w:t>
      </w:r>
      <w:r w:rsidR="00942126" w:rsidRPr="00CC2838">
        <w:rPr>
          <w:b/>
          <w:sz w:val="22"/>
          <w:szCs w:val="22"/>
          <w:lang w:val="it-IT"/>
        </w:rPr>
        <w:t xml:space="preserve"> oldatos injekció előretöltött fecskendőben </w:t>
      </w:r>
    </w:p>
    <w:p w14:paraId="78BD0B09" w14:textId="77777777" w:rsidR="00942126" w:rsidRPr="00CC2838" w:rsidRDefault="00942126" w:rsidP="00545340">
      <w:pPr>
        <w:pStyle w:val="Default"/>
        <w:tabs>
          <w:tab w:val="left" w:pos="567"/>
        </w:tabs>
        <w:ind w:left="2410" w:hanging="2410"/>
        <w:rPr>
          <w:sz w:val="22"/>
          <w:szCs w:val="22"/>
          <w:lang w:val="it-IT"/>
        </w:rPr>
      </w:pPr>
      <w:r w:rsidRPr="00CC2838">
        <w:rPr>
          <w:sz w:val="22"/>
          <w:szCs w:val="22"/>
          <w:lang w:val="it-IT"/>
        </w:rPr>
        <w:t>OGYI-T-</w:t>
      </w:r>
      <w:r w:rsidR="00B01B38" w:rsidRPr="00CC2838">
        <w:rPr>
          <w:sz w:val="22"/>
          <w:szCs w:val="22"/>
          <w:lang w:val="it-IT"/>
        </w:rPr>
        <w:t>23213</w:t>
      </w:r>
      <w:r w:rsidRPr="00CC2838">
        <w:rPr>
          <w:sz w:val="22"/>
          <w:szCs w:val="22"/>
          <w:lang w:val="it-IT"/>
        </w:rPr>
        <w:t>/05</w:t>
      </w:r>
      <w:r w:rsidR="00812827" w:rsidRPr="00CC2838">
        <w:rPr>
          <w:sz w:val="22"/>
          <w:szCs w:val="22"/>
          <w:lang w:val="it-IT"/>
        </w:rPr>
        <w:tab/>
        <w:t>10×</w:t>
      </w:r>
      <w:r w:rsidR="00812827" w:rsidRPr="00CC2838">
        <w:rPr>
          <w:sz w:val="22"/>
          <w:szCs w:val="22"/>
          <w:lang w:val="it-IT"/>
        </w:rPr>
        <w:tab/>
      </w:r>
      <w:r w:rsidR="00741011" w:rsidRPr="00CC2838">
        <w:rPr>
          <w:sz w:val="22"/>
          <w:szCs w:val="22"/>
          <w:lang w:val="it-IT"/>
        </w:rPr>
        <w:t>I.</w:t>
      </w:r>
      <w:r w:rsidR="00812827" w:rsidRPr="00CC2838">
        <w:rPr>
          <w:sz w:val="22"/>
          <w:szCs w:val="22"/>
          <w:lang w:val="it-IT"/>
        </w:rPr>
        <w:t xml:space="preserve"> </w:t>
      </w:r>
      <w:r w:rsidR="00741011" w:rsidRPr="00CC2838">
        <w:rPr>
          <w:sz w:val="22"/>
          <w:szCs w:val="22"/>
          <w:lang w:val="it-IT"/>
        </w:rPr>
        <w:t xml:space="preserve">típusú előretöltött üvegfecskendőben hozzá való injekciós tűvel és automatikus </w:t>
      </w:r>
      <w:r w:rsidR="00C20014" w:rsidRPr="00C20014">
        <w:rPr>
          <w:sz w:val="22"/>
          <w:szCs w:val="22"/>
          <w:lang w:val="hu-HU"/>
        </w:rPr>
        <w:t>védőeszközzel</w:t>
      </w:r>
    </w:p>
    <w:p w14:paraId="78BD0B0A" w14:textId="77777777" w:rsidR="00942126" w:rsidRPr="00CC2838" w:rsidRDefault="00942126" w:rsidP="00545340">
      <w:pPr>
        <w:pStyle w:val="Default"/>
        <w:tabs>
          <w:tab w:val="left" w:pos="567"/>
        </w:tabs>
        <w:ind w:left="2410" w:hanging="2410"/>
        <w:rPr>
          <w:sz w:val="22"/>
          <w:szCs w:val="22"/>
          <w:lang w:val="it-IT"/>
        </w:rPr>
      </w:pPr>
      <w:r w:rsidRPr="00CC2838">
        <w:rPr>
          <w:sz w:val="22"/>
          <w:szCs w:val="22"/>
          <w:lang w:val="it-IT"/>
        </w:rPr>
        <w:t>OGYI-T-</w:t>
      </w:r>
      <w:r w:rsidR="00B01B38" w:rsidRPr="00CC2838">
        <w:rPr>
          <w:sz w:val="22"/>
          <w:szCs w:val="22"/>
          <w:lang w:val="it-IT"/>
        </w:rPr>
        <w:t>23213/</w:t>
      </w:r>
      <w:r w:rsidRPr="00CC2838">
        <w:rPr>
          <w:sz w:val="22"/>
          <w:szCs w:val="22"/>
          <w:lang w:val="it-IT"/>
        </w:rPr>
        <w:t>06</w:t>
      </w:r>
      <w:r w:rsidR="00812827" w:rsidRPr="00CC2838">
        <w:rPr>
          <w:sz w:val="22"/>
          <w:szCs w:val="22"/>
          <w:lang w:val="it-IT"/>
        </w:rPr>
        <w:tab/>
        <w:t>10×</w:t>
      </w:r>
      <w:r w:rsidR="00812827" w:rsidRPr="00CC2838">
        <w:rPr>
          <w:sz w:val="22"/>
          <w:szCs w:val="22"/>
          <w:lang w:val="it-IT"/>
        </w:rPr>
        <w:tab/>
      </w:r>
      <w:r w:rsidR="00741011" w:rsidRPr="00CC2838">
        <w:rPr>
          <w:sz w:val="22"/>
          <w:szCs w:val="22"/>
          <w:lang w:val="it-IT"/>
        </w:rPr>
        <w:t>I.</w:t>
      </w:r>
      <w:r w:rsidR="00812827" w:rsidRPr="00CC2838">
        <w:rPr>
          <w:sz w:val="22"/>
          <w:szCs w:val="22"/>
          <w:lang w:val="it-IT"/>
        </w:rPr>
        <w:t xml:space="preserve"> </w:t>
      </w:r>
      <w:r w:rsidR="00741011" w:rsidRPr="00CC2838">
        <w:rPr>
          <w:sz w:val="22"/>
          <w:szCs w:val="22"/>
          <w:lang w:val="it-IT"/>
        </w:rPr>
        <w:t xml:space="preserve">típusú előretöltött üvegfecskendőben hozzá való injekciós tűvel és automatikus </w:t>
      </w:r>
      <w:r w:rsidR="00C20014" w:rsidRPr="00CC2838">
        <w:rPr>
          <w:sz w:val="22"/>
          <w:szCs w:val="22"/>
          <w:lang w:val="hu-HU"/>
        </w:rPr>
        <w:t>védőeszköz</w:t>
      </w:r>
      <w:r w:rsidR="00741011" w:rsidRPr="00CC2838">
        <w:rPr>
          <w:sz w:val="22"/>
          <w:szCs w:val="22"/>
          <w:lang w:val="it-IT"/>
        </w:rPr>
        <w:t xml:space="preserve"> nélkül</w:t>
      </w:r>
    </w:p>
    <w:p w14:paraId="78BD0B0B" w14:textId="77777777" w:rsidR="00741011" w:rsidRPr="00CC2838" w:rsidRDefault="00741011" w:rsidP="00545340">
      <w:pPr>
        <w:pStyle w:val="Default"/>
        <w:tabs>
          <w:tab w:val="left" w:pos="567"/>
        </w:tabs>
        <w:ind w:left="567" w:hanging="567"/>
        <w:rPr>
          <w:sz w:val="22"/>
          <w:szCs w:val="22"/>
          <w:lang w:val="it-IT"/>
        </w:rPr>
      </w:pPr>
    </w:p>
    <w:p w14:paraId="78BD0B0C" w14:textId="77777777" w:rsidR="00942126" w:rsidRPr="00CC2838" w:rsidRDefault="00426193" w:rsidP="00545340">
      <w:pPr>
        <w:pStyle w:val="Default"/>
        <w:tabs>
          <w:tab w:val="left" w:pos="567"/>
        </w:tabs>
        <w:ind w:left="567" w:hanging="567"/>
        <w:rPr>
          <w:b/>
          <w:sz w:val="22"/>
          <w:szCs w:val="22"/>
          <w:lang w:val="it-IT"/>
        </w:rPr>
      </w:pPr>
      <w:r w:rsidRPr="00CC2838">
        <w:rPr>
          <w:b/>
          <w:sz w:val="22"/>
          <w:szCs w:val="22"/>
          <w:lang w:val="it-IT"/>
        </w:rPr>
        <w:t>Losmina</w:t>
      </w:r>
      <w:r w:rsidR="00942126" w:rsidRPr="00CC2838">
        <w:rPr>
          <w:b/>
          <w:sz w:val="22"/>
          <w:szCs w:val="22"/>
          <w:lang w:val="it-IT"/>
        </w:rPr>
        <w:t xml:space="preserve"> 8000 NE (80 mg)/0,8 m</w:t>
      </w:r>
      <w:r w:rsidR="00812827" w:rsidRPr="00CC2838">
        <w:rPr>
          <w:b/>
          <w:sz w:val="22"/>
          <w:szCs w:val="22"/>
          <w:lang w:val="it-IT"/>
        </w:rPr>
        <w:t>l</w:t>
      </w:r>
      <w:r w:rsidR="00942126" w:rsidRPr="00CC2838">
        <w:rPr>
          <w:b/>
          <w:sz w:val="22"/>
          <w:szCs w:val="22"/>
          <w:lang w:val="it-IT"/>
        </w:rPr>
        <w:t xml:space="preserve"> oldatos injekció előretöltött fecskendőben</w:t>
      </w:r>
    </w:p>
    <w:p w14:paraId="78BD0B0D" w14:textId="77777777" w:rsidR="00942126" w:rsidRPr="00CC2838" w:rsidRDefault="00942126" w:rsidP="00545340">
      <w:pPr>
        <w:pStyle w:val="Szvegtrzs"/>
        <w:tabs>
          <w:tab w:val="left" w:pos="567"/>
        </w:tabs>
        <w:ind w:left="2410" w:hanging="2410"/>
        <w:rPr>
          <w:lang w:val="it-IT"/>
        </w:rPr>
      </w:pPr>
      <w:r w:rsidRPr="007C474F">
        <w:rPr>
          <w:rFonts w:eastAsia="Calibri"/>
          <w:color w:val="000000"/>
          <w:lang w:val="it-IT"/>
        </w:rPr>
        <w:t>OGYI-T-</w:t>
      </w:r>
      <w:r w:rsidR="00B01B38" w:rsidRPr="00CC2838">
        <w:rPr>
          <w:lang w:val="it-IT"/>
        </w:rPr>
        <w:t>23213</w:t>
      </w:r>
      <w:r w:rsidRPr="007C474F">
        <w:rPr>
          <w:rFonts w:eastAsia="Calibri"/>
          <w:color w:val="000000"/>
          <w:lang w:val="it-IT"/>
        </w:rPr>
        <w:t>/07</w:t>
      </w:r>
      <w:r w:rsidR="00812827" w:rsidRPr="00CC2838">
        <w:rPr>
          <w:lang w:val="it-IT"/>
        </w:rPr>
        <w:tab/>
        <w:t>10×</w:t>
      </w:r>
      <w:r w:rsidR="00812827" w:rsidRPr="00CC2838">
        <w:rPr>
          <w:lang w:val="it-IT"/>
        </w:rPr>
        <w:tab/>
      </w:r>
      <w:r w:rsidR="00741011" w:rsidRPr="00CC2838">
        <w:rPr>
          <w:lang w:val="it-IT"/>
        </w:rPr>
        <w:t xml:space="preserve">I.ípusú előretöltött üvegfecskendőben hozzá való injekciós tűvel és automatikus </w:t>
      </w:r>
      <w:r w:rsidR="00C20014" w:rsidRPr="00C20014">
        <w:rPr>
          <w:lang w:val="hu-HU"/>
        </w:rPr>
        <w:t>védőeszközzel</w:t>
      </w:r>
    </w:p>
    <w:p w14:paraId="78BD0B0E" w14:textId="77777777" w:rsidR="00942126" w:rsidRPr="00CC2838" w:rsidRDefault="00942126" w:rsidP="00545340">
      <w:pPr>
        <w:pStyle w:val="Szvegtrzs"/>
        <w:tabs>
          <w:tab w:val="left" w:pos="567"/>
        </w:tabs>
        <w:ind w:left="2410" w:hanging="2410"/>
        <w:rPr>
          <w:lang w:val="it-IT"/>
        </w:rPr>
      </w:pPr>
      <w:r w:rsidRPr="007C474F">
        <w:rPr>
          <w:rFonts w:eastAsia="Calibri"/>
          <w:color w:val="000000"/>
          <w:lang w:val="it-IT"/>
        </w:rPr>
        <w:t>OGYI-T-</w:t>
      </w:r>
      <w:r w:rsidR="00B01B38" w:rsidRPr="00CC2838">
        <w:rPr>
          <w:lang w:val="it-IT"/>
        </w:rPr>
        <w:t>23213</w:t>
      </w:r>
      <w:r w:rsidRPr="007C474F">
        <w:rPr>
          <w:rFonts w:eastAsia="Calibri"/>
          <w:color w:val="000000"/>
          <w:lang w:val="it-IT"/>
        </w:rPr>
        <w:t>/08</w:t>
      </w:r>
      <w:r w:rsidR="00812827" w:rsidRPr="00CC2838">
        <w:rPr>
          <w:lang w:val="it-IT"/>
        </w:rPr>
        <w:tab/>
        <w:t>10×</w:t>
      </w:r>
      <w:r w:rsidR="00812827" w:rsidRPr="00CC2838">
        <w:rPr>
          <w:lang w:val="it-IT"/>
        </w:rPr>
        <w:tab/>
      </w:r>
      <w:r w:rsidR="00741011" w:rsidRPr="00CC2838">
        <w:rPr>
          <w:lang w:val="it-IT"/>
        </w:rPr>
        <w:t>I.</w:t>
      </w:r>
      <w:r w:rsidR="00812827" w:rsidRPr="00CC2838">
        <w:rPr>
          <w:lang w:val="it-IT"/>
        </w:rPr>
        <w:t xml:space="preserve"> </w:t>
      </w:r>
      <w:r w:rsidR="00741011" w:rsidRPr="00CC2838">
        <w:rPr>
          <w:lang w:val="it-IT"/>
        </w:rPr>
        <w:t xml:space="preserve">típusú előretöltött üvegfecskendőben hozzá való injekciós tűvel és automatikus </w:t>
      </w:r>
      <w:r w:rsidR="00C20014" w:rsidRPr="00C20014">
        <w:rPr>
          <w:lang w:val="hu-HU"/>
        </w:rPr>
        <w:t>védőeszköz</w:t>
      </w:r>
      <w:r w:rsidR="00741011" w:rsidRPr="00CC2838">
        <w:rPr>
          <w:lang w:val="it-IT"/>
        </w:rPr>
        <w:t xml:space="preserve"> nélkül</w:t>
      </w:r>
    </w:p>
    <w:p w14:paraId="78BD0B0F" w14:textId="77777777" w:rsidR="00741011" w:rsidRPr="007C474F" w:rsidRDefault="00741011" w:rsidP="00545340">
      <w:pPr>
        <w:pStyle w:val="Szvegtrzs"/>
        <w:tabs>
          <w:tab w:val="left" w:pos="567"/>
        </w:tabs>
        <w:ind w:left="567" w:hanging="567"/>
        <w:rPr>
          <w:rFonts w:eastAsia="Calibri"/>
          <w:color w:val="000000"/>
          <w:lang w:val="it-IT"/>
        </w:rPr>
      </w:pPr>
    </w:p>
    <w:p w14:paraId="78BD0B10" w14:textId="77777777" w:rsidR="00DF73BF" w:rsidRPr="00CC2838" w:rsidRDefault="00426193" w:rsidP="00545340">
      <w:pPr>
        <w:pStyle w:val="Szvegtrzs"/>
        <w:tabs>
          <w:tab w:val="left" w:pos="567"/>
        </w:tabs>
        <w:ind w:left="567" w:hanging="567"/>
        <w:rPr>
          <w:b/>
          <w:lang w:val="it-IT"/>
        </w:rPr>
      </w:pPr>
      <w:r w:rsidRPr="00CC2838">
        <w:rPr>
          <w:b/>
          <w:lang w:val="it-IT"/>
        </w:rPr>
        <w:t>Losmina</w:t>
      </w:r>
      <w:r w:rsidR="00942126" w:rsidRPr="00CC2838">
        <w:rPr>
          <w:b/>
          <w:lang w:val="it-IT"/>
        </w:rPr>
        <w:t xml:space="preserve"> 10000 NE (100 mg)/1 mL oldatos injekció előretöltött fecskendőben </w:t>
      </w:r>
    </w:p>
    <w:p w14:paraId="78BD0B11" w14:textId="77777777" w:rsidR="00942126" w:rsidRPr="00CC2838" w:rsidRDefault="00741011" w:rsidP="00545340">
      <w:pPr>
        <w:pStyle w:val="Szvegtrzs"/>
        <w:tabs>
          <w:tab w:val="left" w:pos="567"/>
        </w:tabs>
        <w:ind w:left="2410" w:hanging="2410"/>
        <w:rPr>
          <w:lang w:val="it-IT"/>
        </w:rPr>
      </w:pPr>
      <w:r w:rsidRPr="00CC2838">
        <w:rPr>
          <w:lang w:val="it-IT"/>
        </w:rPr>
        <w:t>OGYI-T-</w:t>
      </w:r>
      <w:r w:rsidR="00B01B38" w:rsidRPr="00CC2838">
        <w:rPr>
          <w:lang w:val="it-IT"/>
        </w:rPr>
        <w:t>23213</w:t>
      </w:r>
      <w:r w:rsidRPr="00CC2838">
        <w:rPr>
          <w:lang w:val="it-IT"/>
        </w:rPr>
        <w:t>/09</w:t>
      </w:r>
      <w:r w:rsidR="00812827" w:rsidRPr="00CC2838">
        <w:rPr>
          <w:lang w:val="it-IT"/>
        </w:rPr>
        <w:tab/>
        <w:t>10×</w:t>
      </w:r>
      <w:r w:rsidR="00812827" w:rsidRPr="00CC2838">
        <w:rPr>
          <w:lang w:val="it-IT"/>
        </w:rPr>
        <w:tab/>
      </w:r>
      <w:r w:rsidRPr="00CC2838">
        <w:rPr>
          <w:lang w:val="it-IT"/>
        </w:rPr>
        <w:t xml:space="preserve">I.típusú előretöltött üvegfecskendőben hozzá való injekciós tűvel és automatikus </w:t>
      </w:r>
      <w:r w:rsidR="00C20014" w:rsidRPr="00C20014">
        <w:rPr>
          <w:lang w:val="hu-HU"/>
        </w:rPr>
        <w:t>védőeszközzel</w:t>
      </w:r>
    </w:p>
    <w:p w14:paraId="78BD0B12" w14:textId="77777777" w:rsidR="00DF73BF" w:rsidRPr="00CC2838" w:rsidRDefault="00942126" w:rsidP="00545340">
      <w:pPr>
        <w:pStyle w:val="Szvegtrzs"/>
        <w:tabs>
          <w:tab w:val="left" w:pos="567"/>
        </w:tabs>
        <w:ind w:left="2410" w:hanging="2410"/>
        <w:rPr>
          <w:lang w:val="it-IT"/>
        </w:rPr>
      </w:pPr>
      <w:r w:rsidRPr="00CC2838">
        <w:rPr>
          <w:lang w:val="it-IT"/>
        </w:rPr>
        <w:t>OGYI-T-</w:t>
      </w:r>
      <w:r w:rsidR="00B01B38" w:rsidRPr="00CC2838">
        <w:rPr>
          <w:lang w:val="it-IT"/>
        </w:rPr>
        <w:t>23213</w:t>
      </w:r>
      <w:r w:rsidRPr="00CC2838">
        <w:rPr>
          <w:lang w:val="it-IT"/>
        </w:rPr>
        <w:t>/10</w:t>
      </w:r>
      <w:r w:rsidR="00812827" w:rsidRPr="00CC2838">
        <w:rPr>
          <w:lang w:val="it-IT"/>
        </w:rPr>
        <w:tab/>
        <w:t>10×</w:t>
      </w:r>
      <w:r w:rsidR="00812827" w:rsidRPr="00CC2838">
        <w:rPr>
          <w:lang w:val="it-IT"/>
        </w:rPr>
        <w:tab/>
      </w:r>
      <w:r w:rsidR="00741011" w:rsidRPr="00CC2838">
        <w:rPr>
          <w:lang w:val="it-IT"/>
        </w:rPr>
        <w:t>I.</w:t>
      </w:r>
      <w:r w:rsidR="00812827" w:rsidRPr="00CC2838">
        <w:rPr>
          <w:lang w:val="it-IT"/>
        </w:rPr>
        <w:t xml:space="preserve"> </w:t>
      </w:r>
      <w:r w:rsidR="00741011" w:rsidRPr="00CC2838">
        <w:rPr>
          <w:lang w:val="it-IT"/>
        </w:rPr>
        <w:t xml:space="preserve">típusú előretöltött üvegfecskendőben hozzá való injekciós tűvel és automatikus </w:t>
      </w:r>
      <w:r w:rsidR="00C20014" w:rsidRPr="00C20014">
        <w:rPr>
          <w:lang w:val="hu-HU"/>
        </w:rPr>
        <w:t>védőeszköz</w:t>
      </w:r>
      <w:r w:rsidR="00C20014">
        <w:rPr>
          <w:lang w:val="hu-HU"/>
        </w:rPr>
        <w:t xml:space="preserve"> </w:t>
      </w:r>
      <w:r w:rsidR="00741011" w:rsidRPr="00CC2838">
        <w:rPr>
          <w:lang w:val="it-IT"/>
        </w:rPr>
        <w:t>nélkül</w:t>
      </w:r>
    </w:p>
    <w:p w14:paraId="78BD0B13" w14:textId="77777777" w:rsidR="00812827" w:rsidRPr="00CC2838" w:rsidRDefault="00812827" w:rsidP="00545340">
      <w:pPr>
        <w:pStyle w:val="Szvegtrzs"/>
        <w:tabs>
          <w:tab w:val="left" w:pos="567"/>
        </w:tabs>
        <w:ind w:left="2410" w:hanging="2410"/>
        <w:rPr>
          <w:lang w:val="it-IT"/>
        </w:rPr>
      </w:pPr>
    </w:p>
    <w:p w14:paraId="78BD0B14" w14:textId="77777777" w:rsidR="00741011" w:rsidRPr="00CC2838" w:rsidRDefault="00741011" w:rsidP="00545340">
      <w:pPr>
        <w:pStyle w:val="Szvegtrzs"/>
        <w:tabs>
          <w:tab w:val="left" w:pos="567"/>
        </w:tabs>
        <w:ind w:left="567" w:hanging="567"/>
        <w:rPr>
          <w:lang w:val="it-IT"/>
        </w:rPr>
      </w:pPr>
    </w:p>
    <w:p w14:paraId="78BD0B15" w14:textId="77777777" w:rsidR="00DF73BF" w:rsidRPr="00750E24" w:rsidRDefault="00FB299E" w:rsidP="00CE6397">
      <w:pPr>
        <w:pStyle w:val="Cmsor1"/>
        <w:keepNext/>
        <w:widowControl/>
        <w:numPr>
          <w:ilvl w:val="0"/>
          <w:numId w:val="23"/>
        </w:numPr>
        <w:tabs>
          <w:tab w:val="left" w:pos="567"/>
        </w:tabs>
        <w:ind w:left="567" w:hanging="567"/>
        <w:rPr>
          <w:lang w:val="it-IT"/>
        </w:rPr>
      </w:pPr>
      <w:r w:rsidRPr="00750E24">
        <w:rPr>
          <w:lang w:val="it-IT"/>
        </w:rPr>
        <w:lastRenderedPageBreak/>
        <w:t>A FORGALOMBA HOZATALI ENGEDÉLY ELSŐ KIADÁSÁNAK / MEGÚJÍTÁSÁNAK DÁTUMA</w:t>
      </w:r>
    </w:p>
    <w:p w14:paraId="78BD0B16" w14:textId="77777777" w:rsidR="00DF73BF" w:rsidRPr="00750E24" w:rsidRDefault="00DF73BF" w:rsidP="00545340">
      <w:pPr>
        <w:pStyle w:val="Szvegtrzs"/>
        <w:tabs>
          <w:tab w:val="left" w:pos="567"/>
        </w:tabs>
        <w:ind w:left="567" w:hanging="567"/>
        <w:rPr>
          <w:b/>
          <w:lang w:val="it-IT"/>
        </w:rPr>
      </w:pPr>
    </w:p>
    <w:p w14:paraId="78BD0B17" w14:textId="45278C99" w:rsidR="00DF73BF" w:rsidRDefault="00FB299E" w:rsidP="00545340">
      <w:pPr>
        <w:pStyle w:val="Szvegtrzs"/>
        <w:tabs>
          <w:tab w:val="left" w:pos="567"/>
        </w:tabs>
        <w:ind w:left="567" w:hanging="567"/>
        <w:rPr>
          <w:lang w:val="it-IT"/>
        </w:rPr>
      </w:pPr>
      <w:r w:rsidRPr="0094649D">
        <w:rPr>
          <w:lang w:val="it-IT"/>
        </w:rPr>
        <w:t xml:space="preserve">A forgalomba hozatali engedély első kiadásának dátuma: </w:t>
      </w:r>
      <w:r w:rsidR="00741011" w:rsidRPr="0094649D">
        <w:rPr>
          <w:lang w:val="it-IT"/>
        </w:rPr>
        <w:t>2017. július 7.</w:t>
      </w:r>
    </w:p>
    <w:p w14:paraId="1949A4B3" w14:textId="1C48806C" w:rsidR="00544B35" w:rsidRPr="0094649D" w:rsidRDefault="00544B35" w:rsidP="00545340">
      <w:pPr>
        <w:pStyle w:val="Szvegtrzs"/>
        <w:tabs>
          <w:tab w:val="left" w:pos="567"/>
        </w:tabs>
        <w:ind w:left="567" w:hanging="567"/>
        <w:rPr>
          <w:lang w:val="it-IT"/>
        </w:rPr>
      </w:pPr>
      <w:r w:rsidRPr="00411B0C">
        <w:rPr>
          <w:noProof/>
          <w:lang w:val="it-IT"/>
        </w:rPr>
        <w:t>A forgalomba hozatali engedély legutóbbi megújításának dátuma:</w:t>
      </w:r>
    </w:p>
    <w:p w14:paraId="78BD0B18" w14:textId="77777777" w:rsidR="00DF73BF" w:rsidRPr="0094649D" w:rsidRDefault="00DF73BF" w:rsidP="00545340">
      <w:pPr>
        <w:pStyle w:val="Szvegtrzs"/>
        <w:tabs>
          <w:tab w:val="left" w:pos="567"/>
        </w:tabs>
        <w:ind w:left="567" w:hanging="567"/>
        <w:rPr>
          <w:lang w:val="it-IT"/>
        </w:rPr>
      </w:pPr>
    </w:p>
    <w:p w14:paraId="78BD0B19" w14:textId="77777777" w:rsidR="00812827" w:rsidRPr="0094649D" w:rsidRDefault="00812827" w:rsidP="00545340">
      <w:pPr>
        <w:pStyle w:val="Szvegtrzs"/>
        <w:tabs>
          <w:tab w:val="left" w:pos="567"/>
        </w:tabs>
        <w:ind w:left="567" w:hanging="567"/>
        <w:rPr>
          <w:lang w:val="it-IT"/>
        </w:rPr>
      </w:pPr>
    </w:p>
    <w:p w14:paraId="78BD0B1A" w14:textId="77777777" w:rsidR="00812827" w:rsidRDefault="00FB299E" w:rsidP="00545340">
      <w:pPr>
        <w:pStyle w:val="Cmsor1"/>
        <w:numPr>
          <w:ilvl w:val="0"/>
          <w:numId w:val="23"/>
        </w:numPr>
        <w:tabs>
          <w:tab w:val="left" w:pos="567"/>
        </w:tabs>
        <w:ind w:left="567" w:hanging="567"/>
        <w:rPr>
          <w:lang w:val="es-ES"/>
        </w:rPr>
      </w:pPr>
      <w:r w:rsidRPr="00656C0A">
        <w:rPr>
          <w:lang w:val="es-ES"/>
        </w:rPr>
        <w:t>A SZÖVEG ELLENŐRZÉSÉNEK DÁTUMA</w:t>
      </w:r>
    </w:p>
    <w:p w14:paraId="78BD0B1B" w14:textId="77777777" w:rsidR="00812827" w:rsidRPr="00CC2838" w:rsidRDefault="00812827" w:rsidP="00545340">
      <w:pPr>
        <w:pStyle w:val="Cmsor1"/>
        <w:tabs>
          <w:tab w:val="left" w:pos="567"/>
        </w:tabs>
        <w:ind w:left="0"/>
        <w:rPr>
          <w:b w:val="0"/>
          <w:lang w:val="es-ES"/>
        </w:rPr>
      </w:pPr>
    </w:p>
    <w:p w14:paraId="78BD0B1C" w14:textId="4E170657" w:rsidR="00DF73BF" w:rsidRPr="00656C0A" w:rsidRDefault="00E857F9" w:rsidP="00750E21">
      <w:pPr>
        <w:pStyle w:val="Szvegtrzs"/>
        <w:tabs>
          <w:tab w:val="left" w:pos="567"/>
        </w:tabs>
        <w:rPr>
          <w:lang w:val="es-ES"/>
        </w:rPr>
      </w:pPr>
      <w:r>
        <w:rPr>
          <w:lang w:val="hu-HU"/>
        </w:rPr>
        <w:t>2024. december 11</w:t>
      </w:r>
      <w:bookmarkStart w:id="11" w:name="_GoBack"/>
      <w:bookmarkEnd w:id="11"/>
      <w:r>
        <w:rPr>
          <w:lang w:val="hu-HU"/>
        </w:rPr>
        <w:t>.</w:t>
      </w:r>
    </w:p>
    <w:sectPr w:rsidR="00DF73BF" w:rsidRPr="00656C0A" w:rsidSect="00CC2838">
      <w:headerReference w:type="default" r:id="rId14"/>
      <w:footerReference w:type="default" r:id="rId15"/>
      <w:footerReference w:type="first" r:id="rId16"/>
      <w:pgSz w:w="11910"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F3BAE" w14:textId="77777777" w:rsidR="005342E2" w:rsidRDefault="005342E2">
      <w:r>
        <w:separator/>
      </w:r>
    </w:p>
  </w:endnote>
  <w:endnote w:type="continuationSeparator" w:id="0">
    <w:p w14:paraId="0AE5D849" w14:textId="77777777" w:rsidR="005342E2" w:rsidRDefault="00534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E0002A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D0B29" w14:textId="77777777" w:rsidR="005342E2" w:rsidRPr="00C115BA" w:rsidRDefault="005342E2" w:rsidP="00C115BA">
    <w:pPr>
      <w:pStyle w:val="Szvegtrzs"/>
      <w:spacing w:line="14" w:lineRule="auto"/>
      <w:rPr>
        <w:sz w:val="2"/>
      </w:rPr>
    </w:pPr>
    <w:r w:rsidRPr="00C115BA">
      <w:rPr>
        <w:sz w:val="2"/>
      </w:rPr>
      <w:t>OGYÉI/58300/2017</w:t>
    </w:r>
  </w:p>
  <w:p w14:paraId="78BD0B2A" w14:textId="77777777" w:rsidR="005342E2" w:rsidRPr="00C115BA" w:rsidRDefault="005342E2" w:rsidP="00C115BA">
    <w:pPr>
      <w:pStyle w:val="Szvegtrzs"/>
      <w:spacing w:line="14" w:lineRule="auto"/>
      <w:rPr>
        <w:sz w:val="2"/>
      </w:rPr>
    </w:pPr>
    <w:r w:rsidRPr="00C115BA">
      <w:rPr>
        <w:sz w:val="2"/>
      </w:rPr>
      <w:t>OGYÉI/58309/2017</w:t>
    </w:r>
  </w:p>
  <w:p w14:paraId="78BD0B2B" w14:textId="77777777" w:rsidR="005342E2" w:rsidRPr="00C115BA" w:rsidRDefault="005342E2" w:rsidP="00C115BA">
    <w:pPr>
      <w:pStyle w:val="Szvegtrzs"/>
      <w:spacing w:line="14" w:lineRule="auto"/>
      <w:rPr>
        <w:sz w:val="2"/>
      </w:rPr>
    </w:pPr>
    <w:r w:rsidRPr="00C115BA">
      <w:rPr>
        <w:sz w:val="2"/>
      </w:rPr>
      <w:t>OGYÉI/58314/2017</w:t>
    </w:r>
  </w:p>
  <w:p w14:paraId="78BD0B2C" w14:textId="77777777" w:rsidR="005342E2" w:rsidRPr="00C115BA" w:rsidRDefault="005342E2" w:rsidP="00C115BA">
    <w:pPr>
      <w:pStyle w:val="Szvegtrzs"/>
      <w:spacing w:line="14" w:lineRule="auto"/>
      <w:rPr>
        <w:sz w:val="2"/>
      </w:rPr>
    </w:pPr>
    <w:r w:rsidRPr="00C115BA">
      <w:rPr>
        <w:sz w:val="2"/>
      </w:rPr>
      <w:t>OGYÉI/58320/2017</w:t>
    </w:r>
  </w:p>
  <w:p w14:paraId="78BD0B2D" w14:textId="77777777" w:rsidR="005342E2" w:rsidRDefault="005342E2" w:rsidP="00C115BA">
    <w:pPr>
      <w:pStyle w:val="Szvegtrzs"/>
      <w:spacing w:line="14" w:lineRule="auto"/>
      <w:rPr>
        <w:sz w:val="2"/>
      </w:rPr>
    </w:pPr>
    <w:r>
      <w:rPr>
        <w:sz w:val="2"/>
      </w:rPr>
      <w:t>OGYÉI/58323/20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865DA" w14:textId="77777777" w:rsidR="005342E2" w:rsidRPr="005342E2" w:rsidRDefault="005342E2" w:rsidP="005342E2">
    <w:pPr>
      <w:pStyle w:val="llb"/>
      <w:rPr>
        <w:sz w:val="18"/>
        <w:szCs w:val="18"/>
      </w:rPr>
    </w:pPr>
    <w:r w:rsidRPr="005342E2">
      <w:rPr>
        <w:sz w:val="18"/>
        <w:szCs w:val="18"/>
      </w:rPr>
      <w:t>NNGYK/GYSZ/66903/2024</w:t>
    </w:r>
  </w:p>
  <w:p w14:paraId="63984338" w14:textId="77777777" w:rsidR="005342E2" w:rsidRPr="005342E2" w:rsidRDefault="005342E2" w:rsidP="005342E2">
    <w:pPr>
      <w:pStyle w:val="llb"/>
      <w:rPr>
        <w:sz w:val="18"/>
        <w:szCs w:val="18"/>
      </w:rPr>
    </w:pPr>
    <w:r w:rsidRPr="005342E2">
      <w:rPr>
        <w:sz w:val="18"/>
        <w:szCs w:val="18"/>
      </w:rPr>
      <w:t>NNGYK/GYSZ/66904/2024</w:t>
    </w:r>
  </w:p>
  <w:p w14:paraId="6357B241" w14:textId="77777777" w:rsidR="005342E2" w:rsidRPr="005342E2" w:rsidRDefault="005342E2" w:rsidP="005342E2">
    <w:pPr>
      <w:pStyle w:val="llb"/>
      <w:rPr>
        <w:sz w:val="18"/>
        <w:szCs w:val="18"/>
      </w:rPr>
    </w:pPr>
    <w:r w:rsidRPr="005342E2">
      <w:rPr>
        <w:sz w:val="18"/>
        <w:szCs w:val="18"/>
      </w:rPr>
      <w:t>NNGYK/GYSZ/66907/2024</w:t>
    </w:r>
  </w:p>
  <w:p w14:paraId="365E4B92" w14:textId="77777777" w:rsidR="005342E2" w:rsidRPr="005342E2" w:rsidRDefault="005342E2" w:rsidP="005342E2">
    <w:pPr>
      <w:pStyle w:val="llb"/>
      <w:rPr>
        <w:sz w:val="18"/>
        <w:szCs w:val="18"/>
      </w:rPr>
    </w:pPr>
    <w:r w:rsidRPr="005342E2">
      <w:rPr>
        <w:sz w:val="18"/>
        <w:szCs w:val="18"/>
      </w:rPr>
      <w:t>NNGYK/GYSZ/66909/2024</w:t>
    </w:r>
  </w:p>
  <w:p w14:paraId="78BD0B2F" w14:textId="0C5EC97B" w:rsidR="005342E2" w:rsidRPr="00CC2838" w:rsidRDefault="005342E2" w:rsidP="00311AB5">
    <w:pPr>
      <w:pStyle w:val="llb"/>
      <w:rPr>
        <w:sz w:val="18"/>
        <w:szCs w:val="18"/>
      </w:rPr>
    </w:pPr>
    <w:r w:rsidRPr="005342E2">
      <w:rPr>
        <w:sz w:val="18"/>
        <w:szCs w:val="18"/>
      </w:rPr>
      <w:t>NNGYK/GYSZ/66910/2024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AD6AF" w14:textId="77777777" w:rsidR="005342E2" w:rsidRDefault="005342E2">
      <w:r>
        <w:separator/>
      </w:r>
    </w:p>
  </w:footnote>
  <w:footnote w:type="continuationSeparator" w:id="0">
    <w:p w14:paraId="740C78C7" w14:textId="77777777" w:rsidR="005342E2" w:rsidRDefault="00534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D0B26" w14:textId="4BCF9A77" w:rsidR="005342E2" w:rsidRPr="00CC2838" w:rsidRDefault="005342E2">
    <w:pPr>
      <w:pStyle w:val="lfej"/>
      <w:jc w:val="center"/>
      <w:rPr>
        <w:rFonts w:ascii="Times New Roman" w:hAnsi="Times New Roman"/>
        <w:sz w:val="18"/>
        <w:szCs w:val="18"/>
      </w:rPr>
    </w:pPr>
    <w:r w:rsidRPr="00CC2838">
      <w:rPr>
        <w:rFonts w:ascii="Times New Roman" w:hAnsi="Times New Roman"/>
        <w:sz w:val="18"/>
        <w:szCs w:val="18"/>
      </w:rPr>
      <w:fldChar w:fldCharType="begin"/>
    </w:r>
    <w:r w:rsidRPr="00CC2838">
      <w:rPr>
        <w:rFonts w:ascii="Times New Roman" w:hAnsi="Times New Roman"/>
        <w:sz w:val="18"/>
        <w:szCs w:val="18"/>
      </w:rPr>
      <w:instrText>PAGE   \* MERGEFORMAT</w:instrText>
    </w:r>
    <w:r w:rsidRPr="00CC2838">
      <w:rPr>
        <w:rFonts w:ascii="Times New Roman" w:hAnsi="Times New Roman"/>
        <w:sz w:val="18"/>
        <w:szCs w:val="18"/>
      </w:rPr>
      <w:fldChar w:fldCharType="separate"/>
    </w:r>
    <w:r w:rsidR="00750E21" w:rsidRPr="00750E21">
      <w:rPr>
        <w:rFonts w:ascii="Times New Roman" w:hAnsi="Times New Roman"/>
        <w:noProof/>
        <w:sz w:val="18"/>
        <w:szCs w:val="18"/>
        <w:lang w:val="hu-HU"/>
      </w:rPr>
      <w:t>25</w:t>
    </w:r>
    <w:r w:rsidRPr="00CC2838">
      <w:rPr>
        <w:rFonts w:ascii="Times New Roman" w:hAnsi="Times New Roman"/>
        <w:sz w:val="18"/>
        <w:szCs w:val="18"/>
      </w:rPr>
      <w:fldChar w:fldCharType="end"/>
    </w:r>
  </w:p>
  <w:p w14:paraId="78BD0B27" w14:textId="77777777" w:rsidR="005342E2" w:rsidRPr="00CC2838" w:rsidRDefault="005342E2">
    <w:pPr>
      <w:pStyle w:val="lfej"/>
      <w:rPr>
        <w:rFonts w:ascii="Times New Roman" w:hAnsi="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DC6A58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27D47"/>
    <w:multiLevelType w:val="hybridMultilevel"/>
    <w:tmpl w:val="BC3E2FCA"/>
    <w:lvl w:ilvl="0" w:tplc="A9D61B3C">
      <w:numFmt w:val="bullet"/>
      <w:lvlText w:val=""/>
      <w:lvlJc w:val="left"/>
      <w:pPr>
        <w:ind w:left="828" w:hanging="361"/>
      </w:pPr>
      <w:rPr>
        <w:rFonts w:ascii="Symbol" w:eastAsia="Symbol" w:hAnsi="Symbol" w:cs="Symbol" w:hint="default"/>
        <w:w w:val="100"/>
        <w:sz w:val="22"/>
        <w:szCs w:val="22"/>
      </w:rPr>
    </w:lvl>
    <w:lvl w:ilvl="1" w:tplc="2CB45A2E">
      <w:numFmt w:val="bullet"/>
      <w:lvlText w:val="•"/>
      <w:lvlJc w:val="left"/>
      <w:pPr>
        <w:ind w:left="1698" w:hanging="361"/>
      </w:pPr>
      <w:rPr>
        <w:rFonts w:hint="default"/>
      </w:rPr>
    </w:lvl>
    <w:lvl w:ilvl="2" w:tplc="FDA44988">
      <w:numFmt w:val="bullet"/>
      <w:lvlText w:val="•"/>
      <w:lvlJc w:val="left"/>
      <w:pPr>
        <w:ind w:left="2577" w:hanging="361"/>
      </w:pPr>
      <w:rPr>
        <w:rFonts w:hint="default"/>
      </w:rPr>
    </w:lvl>
    <w:lvl w:ilvl="3" w:tplc="392CA780">
      <w:numFmt w:val="bullet"/>
      <w:lvlText w:val="•"/>
      <w:lvlJc w:val="left"/>
      <w:pPr>
        <w:ind w:left="3455" w:hanging="361"/>
      </w:pPr>
      <w:rPr>
        <w:rFonts w:hint="default"/>
      </w:rPr>
    </w:lvl>
    <w:lvl w:ilvl="4" w:tplc="78749148">
      <w:numFmt w:val="bullet"/>
      <w:lvlText w:val="•"/>
      <w:lvlJc w:val="left"/>
      <w:pPr>
        <w:ind w:left="4334" w:hanging="361"/>
      </w:pPr>
      <w:rPr>
        <w:rFonts w:hint="default"/>
      </w:rPr>
    </w:lvl>
    <w:lvl w:ilvl="5" w:tplc="EE361EEC">
      <w:numFmt w:val="bullet"/>
      <w:lvlText w:val="•"/>
      <w:lvlJc w:val="left"/>
      <w:pPr>
        <w:ind w:left="5213" w:hanging="361"/>
      </w:pPr>
      <w:rPr>
        <w:rFonts w:hint="default"/>
      </w:rPr>
    </w:lvl>
    <w:lvl w:ilvl="6" w:tplc="9774C3F6">
      <w:numFmt w:val="bullet"/>
      <w:lvlText w:val="•"/>
      <w:lvlJc w:val="left"/>
      <w:pPr>
        <w:ind w:left="6091" w:hanging="361"/>
      </w:pPr>
      <w:rPr>
        <w:rFonts w:hint="default"/>
      </w:rPr>
    </w:lvl>
    <w:lvl w:ilvl="7" w:tplc="3AECEE48">
      <w:numFmt w:val="bullet"/>
      <w:lvlText w:val="•"/>
      <w:lvlJc w:val="left"/>
      <w:pPr>
        <w:ind w:left="6970" w:hanging="361"/>
      </w:pPr>
      <w:rPr>
        <w:rFonts w:hint="default"/>
      </w:rPr>
    </w:lvl>
    <w:lvl w:ilvl="8" w:tplc="BDDA0E74">
      <w:numFmt w:val="bullet"/>
      <w:lvlText w:val="•"/>
      <w:lvlJc w:val="left"/>
      <w:pPr>
        <w:ind w:left="7849" w:hanging="361"/>
      </w:pPr>
      <w:rPr>
        <w:rFonts w:hint="default"/>
      </w:rPr>
    </w:lvl>
  </w:abstractNum>
  <w:abstractNum w:abstractNumId="2" w15:restartNumberingAfterBreak="0">
    <w:nsid w:val="02163981"/>
    <w:multiLevelType w:val="hybridMultilevel"/>
    <w:tmpl w:val="A5FE6F84"/>
    <w:lvl w:ilvl="0" w:tplc="BA62C3BA">
      <w:numFmt w:val="bullet"/>
      <w:lvlText w:val=""/>
      <w:lvlJc w:val="left"/>
      <w:pPr>
        <w:ind w:left="463" w:hanging="360"/>
      </w:pPr>
      <w:rPr>
        <w:rFonts w:ascii="Symbol" w:eastAsia="Symbol" w:hAnsi="Symbol" w:cs="Symbol" w:hint="default"/>
        <w:w w:val="100"/>
        <w:sz w:val="22"/>
        <w:szCs w:val="22"/>
      </w:rPr>
    </w:lvl>
    <w:lvl w:ilvl="1" w:tplc="58BEF578">
      <w:numFmt w:val="bullet"/>
      <w:lvlText w:val="•"/>
      <w:lvlJc w:val="left"/>
      <w:pPr>
        <w:ind w:left="767" w:hanging="360"/>
      </w:pPr>
      <w:rPr>
        <w:rFonts w:hint="default"/>
      </w:rPr>
    </w:lvl>
    <w:lvl w:ilvl="2" w:tplc="950ED936">
      <w:numFmt w:val="bullet"/>
      <w:lvlText w:val="•"/>
      <w:lvlJc w:val="left"/>
      <w:pPr>
        <w:ind w:left="1075" w:hanging="360"/>
      </w:pPr>
      <w:rPr>
        <w:rFonts w:hint="default"/>
      </w:rPr>
    </w:lvl>
    <w:lvl w:ilvl="3" w:tplc="B032E766">
      <w:numFmt w:val="bullet"/>
      <w:lvlText w:val="•"/>
      <w:lvlJc w:val="left"/>
      <w:pPr>
        <w:ind w:left="1382" w:hanging="360"/>
      </w:pPr>
      <w:rPr>
        <w:rFonts w:hint="default"/>
      </w:rPr>
    </w:lvl>
    <w:lvl w:ilvl="4" w:tplc="EAF44E0C">
      <w:numFmt w:val="bullet"/>
      <w:lvlText w:val="•"/>
      <w:lvlJc w:val="left"/>
      <w:pPr>
        <w:ind w:left="1690" w:hanging="360"/>
      </w:pPr>
      <w:rPr>
        <w:rFonts w:hint="default"/>
      </w:rPr>
    </w:lvl>
    <w:lvl w:ilvl="5" w:tplc="A3B4C756">
      <w:numFmt w:val="bullet"/>
      <w:lvlText w:val="•"/>
      <w:lvlJc w:val="left"/>
      <w:pPr>
        <w:ind w:left="1997" w:hanging="360"/>
      </w:pPr>
      <w:rPr>
        <w:rFonts w:hint="default"/>
      </w:rPr>
    </w:lvl>
    <w:lvl w:ilvl="6" w:tplc="A7584DE2">
      <w:numFmt w:val="bullet"/>
      <w:lvlText w:val="•"/>
      <w:lvlJc w:val="left"/>
      <w:pPr>
        <w:ind w:left="2305" w:hanging="360"/>
      </w:pPr>
      <w:rPr>
        <w:rFonts w:hint="default"/>
      </w:rPr>
    </w:lvl>
    <w:lvl w:ilvl="7" w:tplc="28BE6E6A">
      <w:numFmt w:val="bullet"/>
      <w:lvlText w:val="•"/>
      <w:lvlJc w:val="left"/>
      <w:pPr>
        <w:ind w:left="2612" w:hanging="360"/>
      </w:pPr>
      <w:rPr>
        <w:rFonts w:hint="default"/>
      </w:rPr>
    </w:lvl>
    <w:lvl w:ilvl="8" w:tplc="6D642A50">
      <w:numFmt w:val="bullet"/>
      <w:lvlText w:val="•"/>
      <w:lvlJc w:val="left"/>
      <w:pPr>
        <w:ind w:left="2920" w:hanging="360"/>
      </w:pPr>
      <w:rPr>
        <w:rFonts w:hint="default"/>
      </w:rPr>
    </w:lvl>
  </w:abstractNum>
  <w:abstractNum w:abstractNumId="3" w15:restartNumberingAfterBreak="0">
    <w:nsid w:val="02DA01E0"/>
    <w:multiLevelType w:val="hybridMultilevel"/>
    <w:tmpl w:val="5B52D170"/>
    <w:lvl w:ilvl="0" w:tplc="684EDCC4">
      <w:numFmt w:val="bullet"/>
      <w:lvlText w:val="–"/>
      <w:lvlJc w:val="left"/>
      <w:pPr>
        <w:ind w:left="828" w:hanging="360"/>
      </w:pPr>
      <w:rPr>
        <w:rFonts w:ascii="Calibri" w:eastAsia="Calibri" w:hAnsi="Calibri" w:cs="Calibri" w:hint="default"/>
        <w:w w:val="100"/>
        <w:sz w:val="22"/>
        <w:szCs w:val="22"/>
      </w:rPr>
    </w:lvl>
    <w:lvl w:ilvl="1" w:tplc="D07E0258">
      <w:numFmt w:val="bullet"/>
      <w:lvlText w:val="•"/>
      <w:lvlJc w:val="left"/>
      <w:pPr>
        <w:ind w:left="1698" w:hanging="360"/>
      </w:pPr>
      <w:rPr>
        <w:rFonts w:hint="default"/>
      </w:rPr>
    </w:lvl>
    <w:lvl w:ilvl="2" w:tplc="21342912">
      <w:numFmt w:val="bullet"/>
      <w:lvlText w:val="•"/>
      <w:lvlJc w:val="left"/>
      <w:pPr>
        <w:ind w:left="2577" w:hanging="360"/>
      </w:pPr>
      <w:rPr>
        <w:rFonts w:hint="default"/>
      </w:rPr>
    </w:lvl>
    <w:lvl w:ilvl="3" w:tplc="1A50CEF4">
      <w:numFmt w:val="bullet"/>
      <w:lvlText w:val="•"/>
      <w:lvlJc w:val="left"/>
      <w:pPr>
        <w:ind w:left="3455" w:hanging="360"/>
      </w:pPr>
      <w:rPr>
        <w:rFonts w:hint="default"/>
      </w:rPr>
    </w:lvl>
    <w:lvl w:ilvl="4" w:tplc="0B62FE96">
      <w:numFmt w:val="bullet"/>
      <w:lvlText w:val="•"/>
      <w:lvlJc w:val="left"/>
      <w:pPr>
        <w:ind w:left="4334" w:hanging="360"/>
      </w:pPr>
      <w:rPr>
        <w:rFonts w:hint="default"/>
      </w:rPr>
    </w:lvl>
    <w:lvl w:ilvl="5" w:tplc="63B23E58">
      <w:numFmt w:val="bullet"/>
      <w:lvlText w:val="•"/>
      <w:lvlJc w:val="left"/>
      <w:pPr>
        <w:ind w:left="5213" w:hanging="360"/>
      </w:pPr>
      <w:rPr>
        <w:rFonts w:hint="default"/>
      </w:rPr>
    </w:lvl>
    <w:lvl w:ilvl="6" w:tplc="0514335E">
      <w:numFmt w:val="bullet"/>
      <w:lvlText w:val="•"/>
      <w:lvlJc w:val="left"/>
      <w:pPr>
        <w:ind w:left="6091" w:hanging="360"/>
      </w:pPr>
      <w:rPr>
        <w:rFonts w:hint="default"/>
      </w:rPr>
    </w:lvl>
    <w:lvl w:ilvl="7" w:tplc="EB604B60">
      <w:numFmt w:val="bullet"/>
      <w:lvlText w:val="•"/>
      <w:lvlJc w:val="left"/>
      <w:pPr>
        <w:ind w:left="6970" w:hanging="360"/>
      </w:pPr>
      <w:rPr>
        <w:rFonts w:hint="default"/>
      </w:rPr>
    </w:lvl>
    <w:lvl w:ilvl="8" w:tplc="F124821C">
      <w:numFmt w:val="bullet"/>
      <w:lvlText w:val="•"/>
      <w:lvlJc w:val="left"/>
      <w:pPr>
        <w:ind w:left="7849" w:hanging="360"/>
      </w:pPr>
      <w:rPr>
        <w:rFonts w:hint="default"/>
      </w:rPr>
    </w:lvl>
  </w:abstractNum>
  <w:abstractNum w:abstractNumId="4" w15:restartNumberingAfterBreak="0">
    <w:nsid w:val="0B625429"/>
    <w:multiLevelType w:val="hybridMultilevel"/>
    <w:tmpl w:val="E42C0A62"/>
    <w:lvl w:ilvl="0" w:tplc="95E4BBF6">
      <w:numFmt w:val="bullet"/>
      <w:lvlText w:val=""/>
      <w:lvlJc w:val="left"/>
      <w:pPr>
        <w:ind w:left="828" w:hanging="361"/>
      </w:pPr>
      <w:rPr>
        <w:rFonts w:ascii="Symbol" w:eastAsia="Symbol" w:hAnsi="Symbol" w:cs="Symbol" w:hint="default"/>
        <w:w w:val="100"/>
        <w:sz w:val="22"/>
        <w:szCs w:val="22"/>
      </w:rPr>
    </w:lvl>
    <w:lvl w:ilvl="1" w:tplc="47807BAE">
      <w:numFmt w:val="bullet"/>
      <w:lvlText w:val="o"/>
      <w:lvlJc w:val="left"/>
      <w:pPr>
        <w:ind w:left="1548" w:hanging="361"/>
      </w:pPr>
      <w:rPr>
        <w:rFonts w:ascii="Courier New" w:eastAsia="Courier New" w:hAnsi="Courier New" w:cs="Courier New" w:hint="default"/>
        <w:w w:val="100"/>
        <w:sz w:val="22"/>
        <w:szCs w:val="22"/>
      </w:rPr>
    </w:lvl>
    <w:lvl w:ilvl="2" w:tplc="325EBE50">
      <w:numFmt w:val="bullet"/>
      <w:lvlText w:val="•"/>
      <w:lvlJc w:val="left"/>
      <w:pPr>
        <w:ind w:left="2434" w:hanging="361"/>
      </w:pPr>
      <w:rPr>
        <w:rFonts w:hint="default"/>
      </w:rPr>
    </w:lvl>
    <w:lvl w:ilvl="3" w:tplc="B57AA7CA">
      <w:numFmt w:val="bullet"/>
      <w:lvlText w:val="•"/>
      <w:lvlJc w:val="left"/>
      <w:pPr>
        <w:ind w:left="3328" w:hanging="361"/>
      </w:pPr>
      <w:rPr>
        <w:rFonts w:hint="default"/>
      </w:rPr>
    </w:lvl>
    <w:lvl w:ilvl="4" w:tplc="97D43EF6">
      <w:numFmt w:val="bullet"/>
      <w:lvlText w:val="•"/>
      <w:lvlJc w:val="left"/>
      <w:pPr>
        <w:ind w:left="4222" w:hanging="361"/>
      </w:pPr>
      <w:rPr>
        <w:rFonts w:hint="default"/>
      </w:rPr>
    </w:lvl>
    <w:lvl w:ilvl="5" w:tplc="C0EA79AA">
      <w:numFmt w:val="bullet"/>
      <w:lvlText w:val="•"/>
      <w:lvlJc w:val="left"/>
      <w:pPr>
        <w:ind w:left="5116" w:hanging="361"/>
      </w:pPr>
      <w:rPr>
        <w:rFonts w:hint="default"/>
      </w:rPr>
    </w:lvl>
    <w:lvl w:ilvl="6" w:tplc="03A40DAA">
      <w:numFmt w:val="bullet"/>
      <w:lvlText w:val="•"/>
      <w:lvlJc w:val="left"/>
      <w:pPr>
        <w:ind w:left="6010" w:hanging="361"/>
      </w:pPr>
      <w:rPr>
        <w:rFonts w:hint="default"/>
      </w:rPr>
    </w:lvl>
    <w:lvl w:ilvl="7" w:tplc="81D8B634">
      <w:numFmt w:val="bullet"/>
      <w:lvlText w:val="•"/>
      <w:lvlJc w:val="left"/>
      <w:pPr>
        <w:ind w:left="6904" w:hanging="361"/>
      </w:pPr>
      <w:rPr>
        <w:rFonts w:hint="default"/>
      </w:rPr>
    </w:lvl>
    <w:lvl w:ilvl="8" w:tplc="9F8AF364">
      <w:numFmt w:val="bullet"/>
      <w:lvlText w:val="•"/>
      <w:lvlJc w:val="left"/>
      <w:pPr>
        <w:ind w:left="7798" w:hanging="361"/>
      </w:pPr>
      <w:rPr>
        <w:rFonts w:hint="default"/>
      </w:rPr>
    </w:lvl>
  </w:abstractNum>
  <w:abstractNum w:abstractNumId="5" w15:restartNumberingAfterBreak="0">
    <w:nsid w:val="147B64C9"/>
    <w:multiLevelType w:val="hybridMultilevel"/>
    <w:tmpl w:val="8222D2DE"/>
    <w:lvl w:ilvl="0" w:tplc="339AF874">
      <w:numFmt w:val="bullet"/>
      <w:lvlText w:val=""/>
      <w:lvlJc w:val="left"/>
      <w:pPr>
        <w:ind w:left="463" w:hanging="360"/>
      </w:pPr>
      <w:rPr>
        <w:rFonts w:ascii="Symbol" w:eastAsia="Symbol" w:hAnsi="Symbol" w:cs="Symbol" w:hint="default"/>
        <w:w w:val="100"/>
        <w:sz w:val="22"/>
        <w:szCs w:val="22"/>
      </w:rPr>
    </w:lvl>
    <w:lvl w:ilvl="1" w:tplc="32F2F0E4">
      <w:numFmt w:val="bullet"/>
      <w:lvlText w:val="•"/>
      <w:lvlJc w:val="left"/>
      <w:pPr>
        <w:ind w:left="625" w:hanging="360"/>
      </w:pPr>
      <w:rPr>
        <w:rFonts w:hint="default"/>
      </w:rPr>
    </w:lvl>
    <w:lvl w:ilvl="2" w:tplc="1F600B20">
      <w:numFmt w:val="bullet"/>
      <w:lvlText w:val="•"/>
      <w:lvlJc w:val="left"/>
      <w:pPr>
        <w:ind w:left="791" w:hanging="360"/>
      </w:pPr>
      <w:rPr>
        <w:rFonts w:hint="default"/>
      </w:rPr>
    </w:lvl>
    <w:lvl w:ilvl="3" w:tplc="08CCDA5C">
      <w:numFmt w:val="bullet"/>
      <w:lvlText w:val="•"/>
      <w:lvlJc w:val="left"/>
      <w:pPr>
        <w:ind w:left="957" w:hanging="360"/>
      </w:pPr>
      <w:rPr>
        <w:rFonts w:hint="default"/>
      </w:rPr>
    </w:lvl>
    <w:lvl w:ilvl="4" w:tplc="BE681AAC">
      <w:numFmt w:val="bullet"/>
      <w:lvlText w:val="•"/>
      <w:lvlJc w:val="left"/>
      <w:pPr>
        <w:ind w:left="1122" w:hanging="360"/>
      </w:pPr>
      <w:rPr>
        <w:rFonts w:hint="default"/>
      </w:rPr>
    </w:lvl>
    <w:lvl w:ilvl="5" w:tplc="B986BF5A">
      <w:numFmt w:val="bullet"/>
      <w:lvlText w:val="•"/>
      <w:lvlJc w:val="left"/>
      <w:pPr>
        <w:ind w:left="1288" w:hanging="360"/>
      </w:pPr>
      <w:rPr>
        <w:rFonts w:hint="default"/>
      </w:rPr>
    </w:lvl>
    <w:lvl w:ilvl="6" w:tplc="672A4166">
      <w:numFmt w:val="bullet"/>
      <w:lvlText w:val="•"/>
      <w:lvlJc w:val="left"/>
      <w:pPr>
        <w:ind w:left="1454" w:hanging="360"/>
      </w:pPr>
      <w:rPr>
        <w:rFonts w:hint="default"/>
      </w:rPr>
    </w:lvl>
    <w:lvl w:ilvl="7" w:tplc="5C1AE4C6">
      <w:numFmt w:val="bullet"/>
      <w:lvlText w:val="•"/>
      <w:lvlJc w:val="left"/>
      <w:pPr>
        <w:ind w:left="1619" w:hanging="360"/>
      </w:pPr>
      <w:rPr>
        <w:rFonts w:hint="default"/>
      </w:rPr>
    </w:lvl>
    <w:lvl w:ilvl="8" w:tplc="1F0EA162">
      <w:numFmt w:val="bullet"/>
      <w:lvlText w:val="•"/>
      <w:lvlJc w:val="left"/>
      <w:pPr>
        <w:ind w:left="1785" w:hanging="360"/>
      </w:pPr>
      <w:rPr>
        <w:rFonts w:hint="default"/>
      </w:rPr>
    </w:lvl>
  </w:abstractNum>
  <w:abstractNum w:abstractNumId="6" w15:restartNumberingAfterBreak="0">
    <w:nsid w:val="19993D9C"/>
    <w:multiLevelType w:val="multilevel"/>
    <w:tmpl w:val="04769070"/>
    <w:lvl w:ilvl="0">
      <w:start w:val="4"/>
      <w:numFmt w:val="decimal"/>
      <w:lvlText w:val="%1"/>
      <w:lvlJc w:val="left"/>
      <w:pPr>
        <w:ind w:left="673" w:hanging="567"/>
      </w:pPr>
      <w:rPr>
        <w:rFonts w:hint="default"/>
      </w:rPr>
    </w:lvl>
    <w:lvl w:ilvl="1">
      <w:start w:val="3"/>
      <w:numFmt w:val="decimal"/>
      <w:lvlText w:val="%1.%2"/>
      <w:lvlJc w:val="left"/>
      <w:pPr>
        <w:ind w:left="108" w:hanging="567"/>
      </w:pPr>
      <w:rPr>
        <w:rFonts w:ascii="Times New Roman" w:eastAsia="Times New Roman" w:hAnsi="Times New Roman" w:cs="Times New Roman" w:hint="default"/>
        <w:b/>
        <w:bCs/>
        <w:w w:val="100"/>
        <w:sz w:val="22"/>
        <w:szCs w:val="22"/>
      </w:rPr>
    </w:lvl>
    <w:lvl w:ilvl="2">
      <w:numFmt w:val="bullet"/>
      <w:lvlText w:val="–"/>
      <w:lvlJc w:val="left"/>
      <w:pPr>
        <w:ind w:left="828" w:hanging="361"/>
      </w:pPr>
      <w:rPr>
        <w:rFonts w:ascii="Calibri" w:eastAsia="Calibri" w:hAnsi="Calibri" w:cs="Calibri" w:hint="default"/>
        <w:w w:val="100"/>
        <w:sz w:val="22"/>
        <w:szCs w:val="22"/>
      </w:rPr>
    </w:lvl>
    <w:lvl w:ilvl="3">
      <w:numFmt w:val="bullet"/>
      <w:lvlText w:val="-"/>
      <w:lvlJc w:val="left"/>
      <w:pPr>
        <w:ind w:left="1190" w:hanging="363"/>
      </w:pPr>
      <w:rPr>
        <w:rFonts w:ascii="Times New Roman" w:eastAsia="Times New Roman" w:hAnsi="Times New Roman" w:cs="Times New Roman" w:hint="default"/>
        <w:w w:val="100"/>
        <w:sz w:val="22"/>
        <w:szCs w:val="22"/>
      </w:rPr>
    </w:lvl>
    <w:lvl w:ilvl="4">
      <w:numFmt w:val="bullet"/>
      <w:lvlText w:val="•"/>
      <w:lvlJc w:val="left"/>
      <w:pPr>
        <w:ind w:left="2400" w:hanging="363"/>
      </w:pPr>
      <w:rPr>
        <w:rFonts w:hint="default"/>
      </w:rPr>
    </w:lvl>
    <w:lvl w:ilvl="5">
      <w:numFmt w:val="bullet"/>
      <w:lvlText w:val="•"/>
      <w:lvlJc w:val="left"/>
      <w:pPr>
        <w:ind w:left="3601" w:hanging="363"/>
      </w:pPr>
      <w:rPr>
        <w:rFonts w:hint="default"/>
      </w:rPr>
    </w:lvl>
    <w:lvl w:ilvl="6">
      <w:numFmt w:val="bullet"/>
      <w:lvlText w:val="•"/>
      <w:lvlJc w:val="left"/>
      <w:pPr>
        <w:ind w:left="4802" w:hanging="363"/>
      </w:pPr>
      <w:rPr>
        <w:rFonts w:hint="default"/>
      </w:rPr>
    </w:lvl>
    <w:lvl w:ilvl="7">
      <w:numFmt w:val="bullet"/>
      <w:lvlText w:val="•"/>
      <w:lvlJc w:val="left"/>
      <w:pPr>
        <w:ind w:left="6003" w:hanging="363"/>
      </w:pPr>
      <w:rPr>
        <w:rFonts w:hint="default"/>
      </w:rPr>
    </w:lvl>
    <w:lvl w:ilvl="8">
      <w:numFmt w:val="bullet"/>
      <w:lvlText w:val="•"/>
      <w:lvlJc w:val="left"/>
      <w:pPr>
        <w:ind w:left="7204" w:hanging="363"/>
      </w:pPr>
      <w:rPr>
        <w:rFonts w:hint="default"/>
      </w:rPr>
    </w:lvl>
  </w:abstractNum>
  <w:abstractNum w:abstractNumId="7" w15:restartNumberingAfterBreak="0">
    <w:nsid w:val="1A6838FB"/>
    <w:multiLevelType w:val="hybridMultilevel"/>
    <w:tmpl w:val="507036CC"/>
    <w:lvl w:ilvl="0" w:tplc="2FD460FA">
      <w:numFmt w:val="bullet"/>
      <w:lvlText w:val="–"/>
      <w:lvlJc w:val="left"/>
      <w:pPr>
        <w:ind w:left="827" w:hanging="360"/>
      </w:pPr>
      <w:rPr>
        <w:rFonts w:ascii="Times New Roman" w:eastAsia="Times New Roman" w:hAnsi="Times New Roman" w:cs="Times New Roman" w:hint="default"/>
        <w:caps/>
        <w:w w:val="100"/>
        <w:sz w:val="22"/>
        <w:szCs w:val="22"/>
      </w:rPr>
    </w:lvl>
    <w:lvl w:ilvl="1" w:tplc="04240003" w:tentative="1">
      <w:start w:val="1"/>
      <w:numFmt w:val="bullet"/>
      <w:lvlText w:val="o"/>
      <w:lvlJc w:val="left"/>
      <w:pPr>
        <w:ind w:left="1547" w:hanging="360"/>
      </w:pPr>
      <w:rPr>
        <w:rFonts w:ascii="Courier New" w:hAnsi="Courier New" w:cs="Courier New" w:hint="default"/>
      </w:rPr>
    </w:lvl>
    <w:lvl w:ilvl="2" w:tplc="04240005" w:tentative="1">
      <w:start w:val="1"/>
      <w:numFmt w:val="bullet"/>
      <w:lvlText w:val=""/>
      <w:lvlJc w:val="left"/>
      <w:pPr>
        <w:ind w:left="2267" w:hanging="360"/>
      </w:pPr>
      <w:rPr>
        <w:rFonts w:ascii="Wingdings" w:hAnsi="Wingdings" w:hint="default"/>
      </w:rPr>
    </w:lvl>
    <w:lvl w:ilvl="3" w:tplc="04240001" w:tentative="1">
      <w:start w:val="1"/>
      <w:numFmt w:val="bullet"/>
      <w:lvlText w:val=""/>
      <w:lvlJc w:val="left"/>
      <w:pPr>
        <w:ind w:left="2987" w:hanging="360"/>
      </w:pPr>
      <w:rPr>
        <w:rFonts w:ascii="Symbol" w:hAnsi="Symbol" w:hint="default"/>
      </w:rPr>
    </w:lvl>
    <w:lvl w:ilvl="4" w:tplc="04240003" w:tentative="1">
      <w:start w:val="1"/>
      <w:numFmt w:val="bullet"/>
      <w:lvlText w:val="o"/>
      <w:lvlJc w:val="left"/>
      <w:pPr>
        <w:ind w:left="3707" w:hanging="360"/>
      </w:pPr>
      <w:rPr>
        <w:rFonts w:ascii="Courier New" w:hAnsi="Courier New" w:cs="Courier New" w:hint="default"/>
      </w:rPr>
    </w:lvl>
    <w:lvl w:ilvl="5" w:tplc="04240005" w:tentative="1">
      <w:start w:val="1"/>
      <w:numFmt w:val="bullet"/>
      <w:lvlText w:val=""/>
      <w:lvlJc w:val="left"/>
      <w:pPr>
        <w:ind w:left="4427" w:hanging="360"/>
      </w:pPr>
      <w:rPr>
        <w:rFonts w:ascii="Wingdings" w:hAnsi="Wingdings" w:hint="default"/>
      </w:rPr>
    </w:lvl>
    <w:lvl w:ilvl="6" w:tplc="04240001" w:tentative="1">
      <w:start w:val="1"/>
      <w:numFmt w:val="bullet"/>
      <w:lvlText w:val=""/>
      <w:lvlJc w:val="left"/>
      <w:pPr>
        <w:ind w:left="5147" w:hanging="360"/>
      </w:pPr>
      <w:rPr>
        <w:rFonts w:ascii="Symbol" w:hAnsi="Symbol" w:hint="default"/>
      </w:rPr>
    </w:lvl>
    <w:lvl w:ilvl="7" w:tplc="04240003" w:tentative="1">
      <w:start w:val="1"/>
      <w:numFmt w:val="bullet"/>
      <w:lvlText w:val="o"/>
      <w:lvlJc w:val="left"/>
      <w:pPr>
        <w:ind w:left="5867" w:hanging="360"/>
      </w:pPr>
      <w:rPr>
        <w:rFonts w:ascii="Courier New" w:hAnsi="Courier New" w:cs="Courier New" w:hint="default"/>
      </w:rPr>
    </w:lvl>
    <w:lvl w:ilvl="8" w:tplc="04240005" w:tentative="1">
      <w:start w:val="1"/>
      <w:numFmt w:val="bullet"/>
      <w:lvlText w:val=""/>
      <w:lvlJc w:val="left"/>
      <w:pPr>
        <w:ind w:left="6587" w:hanging="360"/>
      </w:pPr>
      <w:rPr>
        <w:rFonts w:ascii="Wingdings" w:hAnsi="Wingdings" w:hint="default"/>
      </w:rPr>
    </w:lvl>
  </w:abstractNum>
  <w:abstractNum w:abstractNumId="8" w15:restartNumberingAfterBreak="0">
    <w:nsid w:val="1B750ACB"/>
    <w:multiLevelType w:val="hybridMultilevel"/>
    <w:tmpl w:val="B9C8A91A"/>
    <w:lvl w:ilvl="0" w:tplc="2FD460FA">
      <w:numFmt w:val="bullet"/>
      <w:lvlText w:val="–"/>
      <w:lvlJc w:val="left"/>
      <w:pPr>
        <w:ind w:left="467" w:hanging="360"/>
      </w:pPr>
      <w:rPr>
        <w:rFonts w:ascii="Times New Roman" w:eastAsia="Times New Roman" w:hAnsi="Times New Roman" w:cs="Times New Roman" w:hint="default"/>
        <w:w w:val="100"/>
        <w:sz w:val="22"/>
        <w:szCs w:val="22"/>
      </w:rPr>
    </w:lvl>
    <w:lvl w:ilvl="1" w:tplc="DE48F26E">
      <w:numFmt w:val="bullet"/>
      <w:lvlText w:val="–"/>
      <w:lvlJc w:val="left"/>
      <w:pPr>
        <w:ind w:left="828" w:hanging="358"/>
      </w:pPr>
      <w:rPr>
        <w:rFonts w:ascii="Calibri" w:eastAsia="Calibri" w:hAnsi="Calibri" w:cs="Calibri" w:hint="default"/>
        <w:caps/>
        <w:w w:val="100"/>
        <w:sz w:val="22"/>
        <w:szCs w:val="22"/>
      </w:rPr>
    </w:lvl>
    <w:lvl w:ilvl="2" w:tplc="06FE9156">
      <w:numFmt w:val="bullet"/>
      <w:lvlText w:val="•"/>
      <w:lvlJc w:val="left"/>
      <w:pPr>
        <w:ind w:left="1796" w:hanging="358"/>
      </w:pPr>
      <w:rPr>
        <w:rFonts w:hint="default"/>
      </w:rPr>
    </w:lvl>
    <w:lvl w:ilvl="3" w:tplc="FD66ED3A">
      <w:numFmt w:val="bullet"/>
      <w:lvlText w:val="•"/>
      <w:lvlJc w:val="left"/>
      <w:pPr>
        <w:ind w:left="2772" w:hanging="358"/>
      </w:pPr>
      <w:rPr>
        <w:rFonts w:hint="default"/>
      </w:rPr>
    </w:lvl>
    <w:lvl w:ilvl="4" w:tplc="6264117C">
      <w:numFmt w:val="bullet"/>
      <w:lvlText w:val="•"/>
      <w:lvlJc w:val="left"/>
      <w:pPr>
        <w:ind w:left="3748" w:hanging="358"/>
      </w:pPr>
      <w:rPr>
        <w:rFonts w:hint="default"/>
      </w:rPr>
    </w:lvl>
    <w:lvl w:ilvl="5" w:tplc="12BC34AC">
      <w:numFmt w:val="bullet"/>
      <w:lvlText w:val="•"/>
      <w:lvlJc w:val="left"/>
      <w:pPr>
        <w:ind w:left="4725" w:hanging="358"/>
      </w:pPr>
      <w:rPr>
        <w:rFonts w:hint="default"/>
      </w:rPr>
    </w:lvl>
    <w:lvl w:ilvl="6" w:tplc="312237B4">
      <w:numFmt w:val="bullet"/>
      <w:lvlText w:val="•"/>
      <w:lvlJc w:val="left"/>
      <w:pPr>
        <w:ind w:left="5701" w:hanging="358"/>
      </w:pPr>
      <w:rPr>
        <w:rFonts w:hint="default"/>
      </w:rPr>
    </w:lvl>
    <w:lvl w:ilvl="7" w:tplc="44A0FD38">
      <w:numFmt w:val="bullet"/>
      <w:lvlText w:val="•"/>
      <w:lvlJc w:val="left"/>
      <w:pPr>
        <w:ind w:left="6677" w:hanging="358"/>
      </w:pPr>
      <w:rPr>
        <w:rFonts w:hint="default"/>
      </w:rPr>
    </w:lvl>
    <w:lvl w:ilvl="8" w:tplc="077EC41E">
      <w:numFmt w:val="bullet"/>
      <w:lvlText w:val="•"/>
      <w:lvlJc w:val="left"/>
      <w:pPr>
        <w:ind w:left="7653" w:hanging="358"/>
      </w:pPr>
      <w:rPr>
        <w:rFonts w:hint="default"/>
      </w:rPr>
    </w:lvl>
  </w:abstractNum>
  <w:abstractNum w:abstractNumId="9" w15:restartNumberingAfterBreak="0">
    <w:nsid w:val="1B9312AD"/>
    <w:multiLevelType w:val="hybridMultilevel"/>
    <w:tmpl w:val="3992EB6C"/>
    <w:lvl w:ilvl="0" w:tplc="3C061AEC">
      <w:numFmt w:val="bullet"/>
      <w:lvlText w:val=""/>
      <w:lvlJc w:val="left"/>
      <w:pPr>
        <w:ind w:left="828" w:hanging="361"/>
      </w:pPr>
      <w:rPr>
        <w:rFonts w:ascii="Symbol" w:eastAsia="Symbol" w:hAnsi="Symbol" w:cs="Symbol" w:hint="default"/>
        <w:w w:val="100"/>
        <w:sz w:val="22"/>
        <w:szCs w:val="22"/>
      </w:rPr>
    </w:lvl>
    <w:lvl w:ilvl="1" w:tplc="50AEBB50">
      <w:numFmt w:val="bullet"/>
      <w:lvlText w:val="•"/>
      <w:lvlJc w:val="left"/>
      <w:pPr>
        <w:ind w:left="1698" w:hanging="361"/>
      </w:pPr>
      <w:rPr>
        <w:rFonts w:hint="default"/>
      </w:rPr>
    </w:lvl>
    <w:lvl w:ilvl="2" w:tplc="81EA501E">
      <w:numFmt w:val="bullet"/>
      <w:lvlText w:val="•"/>
      <w:lvlJc w:val="left"/>
      <w:pPr>
        <w:ind w:left="2577" w:hanging="361"/>
      </w:pPr>
      <w:rPr>
        <w:rFonts w:hint="default"/>
      </w:rPr>
    </w:lvl>
    <w:lvl w:ilvl="3" w:tplc="E77620FA">
      <w:numFmt w:val="bullet"/>
      <w:lvlText w:val="•"/>
      <w:lvlJc w:val="left"/>
      <w:pPr>
        <w:ind w:left="3455" w:hanging="361"/>
      </w:pPr>
      <w:rPr>
        <w:rFonts w:hint="default"/>
      </w:rPr>
    </w:lvl>
    <w:lvl w:ilvl="4" w:tplc="8A4E4C78">
      <w:numFmt w:val="bullet"/>
      <w:lvlText w:val="•"/>
      <w:lvlJc w:val="left"/>
      <w:pPr>
        <w:ind w:left="4334" w:hanging="361"/>
      </w:pPr>
      <w:rPr>
        <w:rFonts w:hint="default"/>
      </w:rPr>
    </w:lvl>
    <w:lvl w:ilvl="5" w:tplc="1598D06E">
      <w:numFmt w:val="bullet"/>
      <w:lvlText w:val="•"/>
      <w:lvlJc w:val="left"/>
      <w:pPr>
        <w:ind w:left="5213" w:hanging="361"/>
      </w:pPr>
      <w:rPr>
        <w:rFonts w:hint="default"/>
      </w:rPr>
    </w:lvl>
    <w:lvl w:ilvl="6" w:tplc="872884A4">
      <w:numFmt w:val="bullet"/>
      <w:lvlText w:val="•"/>
      <w:lvlJc w:val="left"/>
      <w:pPr>
        <w:ind w:left="6091" w:hanging="361"/>
      </w:pPr>
      <w:rPr>
        <w:rFonts w:hint="default"/>
      </w:rPr>
    </w:lvl>
    <w:lvl w:ilvl="7" w:tplc="FF7CE45A">
      <w:numFmt w:val="bullet"/>
      <w:lvlText w:val="•"/>
      <w:lvlJc w:val="left"/>
      <w:pPr>
        <w:ind w:left="6970" w:hanging="361"/>
      </w:pPr>
      <w:rPr>
        <w:rFonts w:hint="default"/>
      </w:rPr>
    </w:lvl>
    <w:lvl w:ilvl="8" w:tplc="DEA618A6">
      <w:numFmt w:val="bullet"/>
      <w:lvlText w:val="•"/>
      <w:lvlJc w:val="left"/>
      <w:pPr>
        <w:ind w:left="7849" w:hanging="361"/>
      </w:pPr>
      <w:rPr>
        <w:rFonts w:hint="default"/>
      </w:rPr>
    </w:lvl>
  </w:abstractNum>
  <w:abstractNum w:abstractNumId="10" w15:restartNumberingAfterBreak="0">
    <w:nsid w:val="1F524483"/>
    <w:multiLevelType w:val="hybridMultilevel"/>
    <w:tmpl w:val="168C5DAC"/>
    <w:lvl w:ilvl="0" w:tplc="04240001">
      <w:start w:val="1"/>
      <w:numFmt w:val="bullet"/>
      <w:lvlText w:val=""/>
      <w:lvlJc w:val="left"/>
      <w:pPr>
        <w:ind w:left="1287" w:hanging="360"/>
      </w:pPr>
      <w:rPr>
        <w:rFonts w:ascii="Symbol" w:hAnsi="Symbol" w:hint="default"/>
      </w:rPr>
    </w:lvl>
    <w:lvl w:ilvl="1" w:tplc="04240003" w:tentative="1">
      <w:start w:val="1"/>
      <w:numFmt w:val="bullet"/>
      <w:lvlText w:val="o"/>
      <w:lvlJc w:val="left"/>
      <w:pPr>
        <w:ind w:left="2007" w:hanging="360"/>
      </w:pPr>
      <w:rPr>
        <w:rFonts w:ascii="Courier New" w:hAnsi="Courier New" w:cs="Courier New" w:hint="default"/>
      </w:rPr>
    </w:lvl>
    <w:lvl w:ilvl="2" w:tplc="04240005" w:tentative="1">
      <w:start w:val="1"/>
      <w:numFmt w:val="bullet"/>
      <w:lvlText w:val=""/>
      <w:lvlJc w:val="left"/>
      <w:pPr>
        <w:ind w:left="2727" w:hanging="360"/>
      </w:pPr>
      <w:rPr>
        <w:rFonts w:ascii="Wingdings" w:hAnsi="Wingdings" w:hint="default"/>
      </w:rPr>
    </w:lvl>
    <w:lvl w:ilvl="3" w:tplc="04240001" w:tentative="1">
      <w:start w:val="1"/>
      <w:numFmt w:val="bullet"/>
      <w:lvlText w:val=""/>
      <w:lvlJc w:val="left"/>
      <w:pPr>
        <w:ind w:left="3447" w:hanging="360"/>
      </w:pPr>
      <w:rPr>
        <w:rFonts w:ascii="Symbol" w:hAnsi="Symbol" w:hint="default"/>
      </w:rPr>
    </w:lvl>
    <w:lvl w:ilvl="4" w:tplc="04240003" w:tentative="1">
      <w:start w:val="1"/>
      <w:numFmt w:val="bullet"/>
      <w:lvlText w:val="o"/>
      <w:lvlJc w:val="left"/>
      <w:pPr>
        <w:ind w:left="4167" w:hanging="360"/>
      </w:pPr>
      <w:rPr>
        <w:rFonts w:ascii="Courier New" w:hAnsi="Courier New" w:cs="Courier New" w:hint="default"/>
      </w:rPr>
    </w:lvl>
    <w:lvl w:ilvl="5" w:tplc="04240005" w:tentative="1">
      <w:start w:val="1"/>
      <w:numFmt w:val="bullet"/>
      <w:lvlText w:val=""/>
      <w:lvlJc w:val="left"/>
      <w:pPr>
        <w:ind w:left="4887" w:hanging="360"/>
      </w:pPr>
      <w:rPr>
        <w:rFonts w:ascii="Wingdings" w:hAnsi="Wingdings" w:hint="default"/>
      </w:rPr>
    </w:lvl>
    <w:lvl w:ilvl="6" w:tplc="04240001" w:tentative="1">
      <w:start w:val="1"/>
      <w:numFmt w:val="bullet"/>
      <w:lvlText w:val=""/>
      <w:lvlJc w:val="left"/>
      <w:pPr>
        <w:ind w:left="5607" w:hanging="360"/>
      </w:pPr>
      <w:rPr>
        <w:rFonts w:ascii="Symbol" w:hAnsi="Symbol" w:hint="default"/>
      </w:rPr>
    </w:lvl>
    <w:lvl w:ilvl="7" w:tplc="04240003" w:tentative="1">
      <w:start w:val="1"/>
      <w:numFmt w:val="bullet"/>
      <w:lvlText w:val="o"/>
      <w:lvlJc w:val="left"/>
      <w:pPr>
        <w:ind w:left="6327" w:hanging="360"/>
      </w:pPr>
      <w:rPr>
        <w:rFonts w:ascii="Courier New" w:hAnsi="Courier New" w:cs="Courier New" w:hint="default"/>
      </w:rPr>
    </w:lvl>
    <w:lvl w:ilvl="8" w:tplc="04240005" w:tentative="1">
      <w:start w:val="1"/>
      <w:numFmt w:val="bullet"/>
      <w:lvlText w:val=""/>
      <w:lvlJc w:val="left"/>
      <w:pPr>
        <w:ind w:left="7047" w:hanging="360"/>
      </w:pPr>
      <w:rPr>
        <w:rFonts w:ascii="Wingdings" w:hAnsi="Wingdings" w:hint="default"/>
      </w:rPr>
    </w:lvl>
  </w:abstractNum>
  <w:abstractNum w:abstractNumId="11" w15:restartNumberingAfterBreak="0">
    <w:nsid w:val="24446EE9"/>
    <w:multiLevelType w:val="hybridMultilevel"/>
    <w:tmpl w:val="6AC0D686"/>
    <w:lvl w:ilvl="0" w:tplc="64989E14">
      <w:numFmt w:val="bullet"/>
      <w:lvlText w:val="o"/>
      <w:lvlJc w:val="left"/>
      <w:pPr>
        <w:ind w:left="1548" w:hanging="361"/>
      </w:pPr>
      <w:rPr>
        <w:rFonts w:ascii="Courier New" w:eastAsia="Courier New" w:hAnsi="Courier New" w:cs="Courier New" w:hint="default"/>
        <w:w w:val="100"/>
        <w:sz w:val="22"/>
        <w:szCs w:val="22"/>
      </w:rPr>
    </w:lvl>
    <w:lvl w:ilvl="1" w:tplc="F0E0806E">
      <w:numFmt w:val="bullet"/>
      <w:lvlText w:val="•"/>
      <w:lvlJc w:val="left"/>
      <w:pPr>
        <w:ind w:left="2356" w:hanging="361"/>
      </w:pPr>
      <w:rPr>
        <w:rFonts w:hint="default"/>
      </w:rPr>
    </w:lvl>
    <w:lvl w:ilvl="2" w:tplc="8962E078">
      <w:numFmt w:val="bullet"/>
      <w:lvlText w:val="•"/>
      <w:lvlJc w:val="left"/>
      <w:pPr>
        <w:ind w:left="3173" w:hanging="361"/>
      </w:pPr>
      <w:rPr>
        <w:rFonts w:hint="default"/>
      </w:rPr>
    </w:lvl>
    <w:lvl w:ilvl="3" w:tplc="EE08343A">
      <w:numFmt w:val="bullet"/>
      <w:lvlText w:val="•"/>
      <w:lvlJc w:val="left"/>
      <w:pPr>
        <w:ind w:left="3989" w:hanging="361"/>
      </w:pPr>
      <w:rPr>
        <w:rFonts w:hint="default"/>
      </w:rPr>
    </w:lvl>
    <w:lvl w:ilvl="4" w:tplc="23F61406">
      <w:numFmt w:val="bullet"/>
      <w:lvlText w:val="•"/>
      <w:lvlJc w:val="left"/>
      <w:pPr>
        <w:ind w:left="4806" w:hanging="361"/>
      </w:pPr>
      <w:rPr>
        <w:rFonts w:hint="default"/>
      </w:rPr>
    </w:lvl>
    <w:lvl w:ilvl="5" w:tplc="AEA21144">
      <w:numFmt w:val="bullet"/>
      <w:lvlText w:val="•"/>
      <w:lvlJc w:val="left"/>
      <w:pPr>
        <w:ind w:left="5623" w:hanging="361"/>
      </w:pPr>
      <w:rPr>
        <w:rFonts w:hint="default"/>
      </w:rPr>
    </w:lvl>
    <w:lvl w:ilvl="6" w:tplc="A5C4EF44">
      <w:numFmt w:val="bullet"/>
      <w:lvlText w:val="•"/>
      <w:lvlJc w:val="left"/>
      <w:pPr>
        <w:ind w:left="6439" w:hanging="361"/>
      </w:pPr>
      <w:rPr>
        <w:rFonts w:hint="default"/>
      </w:rPr>
    </w:lvl>
    <w:lvl w:ilvl="7" w:tplc="BB540E3E">
      <w:numFmt w:val="bullet"/>
      <w:lvlText w:val="•"/>
      <w:lvlJc w:val="left"/>
      <w:pPr>
        <w:ind w:left="7256" w:hanging="361"/>
      </w:pPr>
      <w:rPr>
        <w:rFonts w:hint="default"/>
      </w:rPr>
    </w:lvl>
    <w:lvl w:ilvl="8" w:tplc="CE7A9F98">
      <w:numFmt w:val="bullet"/>
      <w:lvlText w:val="•"/>
      <w:lvlJc w:val="left"/>
      <w:pPr>
        <w:ind w:left="8073" w:hanging="361"/>
      </w:pPr>
      <w:rPr>
        <w:rFonts w:hint="default"/>
      </w:rPr>
    </w:lvl>
  </w:abstractNum>
  <w:abstractNum w:abstractNumId="12" w15:restartNumberingAfterBreak="0">
    <w:nsid w:val="25155080"/>
    <w:multiLevelType w:val="hybridMultilevel"/>
    <w:tmpl w:val="F020AF4E"/>
    <w:lvl w:ilvl="0" w:tplc="D2B03C9C">
      <w:numFmt w:val="bullet"/>
      <w:lvlText w:val="-"/>
      <w:lvlJc w:val="left"/>
      <w:pPr>
        <w:ind w:left="632" w:hanging="207"/>
      </w:pPr>
      <w:rPr>
        <w:rFonts w:ascii="Calibri" w:eastAsia="Calibri" w:hAnsi="Calibri" w:cs="Calibri" w:hint="default"/>
        <w:w w:val="100"/>
        <w:sz w:val="22"/>
        <w:szCs w:val="22"/>
      </w:rPr>
    </w:lvl>
    <w:lvl w:ilvl="1" w:tplc="89E4627C">
      <w:numFmt w:val="bullet"/>
      <w:lvlText w:val="•"/>
      <w:lvlJc w:val="left"/>
      <w:pPr>
        <w:ind w:left="1392" w:hanging="207"/>
      </w:pPr>
      <w:rPr>
        <w:rFonts w:hint="default"/>
      </w:rPr>
    </w:lvl>
    <w:lvl w:ilvl="2" w:tplc="9A3C8DC2">
      <w:numFmt w:val="bullet"/>
      <w:lvlText w:val="•"/>
      <w:lvlJc w:val="left"/>
      <w:pPr>
        <w:ind w:left="2161" w:hanging="207"/>
      </w:pPr>
      <w:rPr>
        <w:rFonts w:hint="default"/>
      </w:rPr>
    </w:lvl>
    <w:lvl w:ilvl="3" w:tplc="EC1227DC">
      <w:numFmt w:val="bullet"/>
      <w:lvlText w:val="•"/>
      <w:lvlJc w:val="left"/>
      <w:pPr>
        <w:ind w:left="2931" w:hanging="207"/>
      </w:pPr>
      <w:rPr>
        <w:rFonts w:hint="default"/>
      </w:rPr>
    </w:lvl>
    <w:lvl w:ilvl="4" w:tplc="887EE7AE">
      <w:numFmt w:val="bullet"/>
      <w:lvlText w:val="•"/>
      <w:lvlJc w:val="left"/>
      <w:pPr>
        <w:ind w:left="3700" w:hanging="207"/>
      </w:pPr>
      <w:rPr>
        <w:rFonts w:hint="default"/>
      </w:rPr>
    </w:lvl>
    <w:lvl w:ilvl="5" w:tplc="B15CC92E">
      <w:numFmt w:val="bullet"/>
      <w:lvlText w:val="•"/>
      <w:lvlJc w:val="left"/>
      <w:pPr>
        <w:ind w:left="4470" w:hanging="207"/>
      </w:pPr>
      <w:rPr>
        <w:rFonts w:hint="default"/>
      </w:rPr>
    </w:lvl>
    <w:lvl w:ilvl="6" w:tplc="A8322108">
      <w:numFmt w:val="bullet"/>
      <w:lvlText w:val="•"/>
      <w:lvlJc w:val="left"/>
      <w:pPr>
        <w:ind w:left="5239" w:hanging="207"/>
      </w:pPr>
      <w:rPr>
        <w:rFonts w:hint="default"/>
      </w:rPr>
    </w:lvl>
    <w:lvl w:ilvl="7" w:tplc="B4500774">
      <w:numFmt w:val="bullet"/>
      <w:lvlText w:val="•"/>
      <w:lvlJc w:val="left"/>
      <w:pPr>
        <w:ind w:left="6009" w:hanging="207"/>
      </w:pPr>
      <w:rPr>
        <w:rFonts w:hint="default"/>
      </w:rPr>
    </w:lvl>
    <w:lvl w:ilvl="8" w:tplc="4E42C968">
      <w:numFmt w:val="bullet"/>
      <w:lvlText w:val="•"/>
      <w:lvlJc w:val="left"/>
      <w:pPr>
        <w:ind w:left="6778" w:hanging="207"/>
      </w:pPr>
      <w:rPr>
        <w:rFonts w:hint="default"/>
      </w:rPr>
    </w:lvl>
  </w:abstractNum>
  <w:abstractNum w:abstractNumId="13" w15:restartNumberingAfterBreak="0">
    <w:nsid w:val="2F2C602B"/>
    <w:multiLevelType w:val="hybridMultilevel"/>
    <w:tmpl w:val="2028E6C0"/>
    <w:lvl w:ilvl="0" w:tplc="D92612E4">
      <w:numFmt w:val="bullet"/>
      <w:lvlText w:val="o"/>
      <w:lvlJc w:val="left"/>
      <w:pPr>
        <w:ind w:left="1471" w:hanging="361"/>
      </w:pPr>
      <w:rPr>
        <w:rFonts w:ascii="Courier New" w:eastAsia="Courier New" w:hAnsi="Courier New" w:cs="Courier New" w:hint="default"/>
        <w:w w:val="100"/>
        <w:sz w:val="22"/>
        <w:szCs w:val="22"/>
      </w:rPr>
    </w:lvl>
    <w:lvl w:ilvl="1" w:tplc="2A542BF6">
      <w:numFmt w:val="bullet"/>
      <w:lvlText w:val="•"/>
      <w:lvlJc w:val="left"/>
      <w:pPr>
        <w:ind w:left="2294" w:hanging="361"/>
      </w:pPr>
      <w:rPr>
        <w:rFonts w:hint="default"/>
      </w:rPr>
    </w:lvl>
    <w:lvl w:ilvl="2" w:tplc="D8E0B544">
      <w:numFmt w:val="bullet"/>
      <w:lvlText w:val="•"/>
      <w:lvlJc w:val="left"/>
      <w:pPr>
        <w:ind w:left="3109" w:hanging="361"/>
      </w:pPr>
      <w:rPr>
        <w:rFonts w:hint="default"/>
      </w:rPr>
    </w:lvl>
    <w:lvl w:ilvl="3" w:tplc="5F0CCB8E">
      <w:numFmt w:val="bullet"/>
      <w:lvlText w:val="•"/>
      <w:lvlJc w:val="left"/>
      <w:pPr>
        <w:ind w:left="3923" w:hanging="361"/>
      </w:pPr>
      <w:rPr>
        <w:rFonts w:hint="default"/>
      </w:rPr>
    </w:lvl>
    <w:lvl w:ilvl="4" w:tplc="8B2CB40E">
      <w:numFmt w:val="bullet"/>
      <w:lvlText w:val="•"/>
      <w:lvlJc w:val="left"/>
      <w:pPr>
        <w:ind w:left="4738" w:hanging="361"/>
      </w:pPr>
      <w:rPr>
        <w:rFonts w:hint="default"/>
      </w:rPr>
    </w:lvl>
    <w:lvl w:ilvl="5" w:tplc="0F0EFFC8">
      <w:numFmt w:val="bullet"/>
      <w:lvlText w:val="•"/>
      <w:lvlJc w:val="left"/>
      <w:pPr>
        <w:ind w:left="5553" w:hanging="361"/>
      </w:pPr>
      <w:rPr>
        <w:rFonts w:hint="default"/>
      </w:rPr>
    </w:lvl>
    <w:lvl w:ilvl="6" w:tplc="31863198">
      <w:numFmt w:val="bullet"/>
      <w:lvlText w:val="•"/>
      <w:lvlJc w:val="left"/>
      <w:pPr>
        <w:ind w:left="6367" w:hanging="361"/>
      </w:pPr>
      <w:rPr>
        <w:rFonts w:hint="default"/>
      </w:rPr>
    </w:lvl>
    <w:lvl w:ilvl="7" w:tplc="F31E5C64">
      <w:numFmt w:val="bullet"/>
      <w:lvlText w:val="•"/>
      <w:lvlJc w:val="left"/>
      <w:pPr>
        <w:ind w:left="7182" w:hanging="361"/>
      </w:pPr>
      <w:rPr>
        <w:rFonts w:hint="default"/>
      </w:rPr>
    </w:lvl>
    <w:lvl w:ilvl="8" w:tplc="F8544552">
      <w:numFmt w:val="bullet"/>
      <w:lvlText w:val="•"/>
      <w:lvlJc w:val="left"/>
      <w:pPr>
        <w:ind w:left="7997" w:hanging="361"/>
      </w:pPr>
      <w:rPr>
        <w:rFonts w:hint="default"/>
      </w:rPr>
    </w:lvl>
  </w:abstractNum>
  <w:abstractNum w:abstractNumId="14" w15:restartNumberingAfterBreak="0">
    <w:nsid w:val="2F9D56C0"/>
    <w:multiLevelType w:val="hybridMultilevel"/>
    <w:tmpl w:val="9ACAA814"/>
    <w:lvl w:ilvl="0" w:tplc="B9D6EDD6">
      <w:numFmt w:val="bullet"/>
      <w:lvlText w:val=""/>
      <w:lvlJc w:val="left"/>
      <w:pPr>
        <w:ind w:left="463" w:hanging="360"/>
      </w:pPr>
      <w:rPr>
        <w:rFonts w:ascii="Symbol" w:eastAsia="Symbol" w:hAnsi="Symbol" w:cs="Symbol" w:hint="default"/>
        <w:w w:val="100"/>
        <w:sz w:val="22"/>
        <w:szCs w:val="22"/>
      </w:rPr>
    </w:lvl>
    <w:lvl w:ilvl="1" w:tplc="C1C6844A">
      <w:numFmt w:val="bullet"/>
      <w:lvlText w:val="•"/>
      <w:lvlJc w:val="left"/>
      <w:pPr>
        <w:ind w:left="682" w:hanging="360"/>
      </w:pPr>
      <w:rPr>
        <w:rFonts w:hint="default"/>
      </w:rPr>
    </w:lvl>
    <w:lvl w:ilvl="2" w:tplc="76089CBA">
      <w:numFmt w:val="bullet"/>
      <w:lvlText w:val="•"/>
      <w:lvlJc w:val="left"/>
      <w:pPr>
        <w:ind w:left="904" w:hanging="360"/>
      </w:pPr>
      <w:rPr>
        <w:rFonts w:hint="default"/>
      </w:rPr>
    </w:lvl>
    <w:lvl w:ilvl="3" w:tplc="FF24A676">
      <w:numFmt w:val="bullet"/>
      <w:lvlText w:val="•"/>
      <w:lvlJc w:val="left"/>
      <w:pPr>
        <w:ind w:left="1126" w:hanging="360"/>
      </w:pPr>
      <w:rPr>
        <w:rFonts w:hint="default"/>
      </w:rPr>
    </w:lvl>
    <w:lvl w:ilvl="4" w:tplc="A6DE0F5C">
      <w:numFmt w:val="bullet"/>
      <w:lvlText w:val="•"/>
      <w:lvlJc w:val="left"/>
      <w:pPr>
        <w:ind w:left="1349" w:hanging="360"/>
      </w:pPr>
      <w:rPr>
        <w:rFonts w:hint="default"/>
      </w:rPr>
    </w:lvl>
    <w:lvl w:ilvl="5" w:tplc="B6544422">
      <w:numFmt w:val="bullet"/>
      <w:lvlText w:val="•"/>
      <w:lvlJc w:val="left"/>
      <w:pPr>
        <w:ind w:left="1571" w:hanging="360"/>
      </w:pPr>
      <w:rPr>
        <w:rFonts w:hint="default"/>
      </w:rPr>
    </w:lvl>
    <w:lvl w:ilvl="6" w:tplc="23E20728">
      <w:numFmt w:val="bullet"/>
      <w:lvlText w:val="•"/>
      <w:lvlJc w:val="left"/>
      <w:pPr>
        <w:ind w:left="1793" w:hanging="360"/>
      </w:pPr>
      <w:rPr>
        <w:rFonts w:hint="default"/>
      </w:rPr>
    </w:lvl>
    <w:lvl w:ilvl="7" w:tplc="D14A8ABA">
      <w:numFmt w:val="bullet"/>
      <w:lvlText w:val="•"/>
      <w:lvlJc w:val="left"/>
      <w:pPr>
        <w:ind w:left="2016" w:hanging="360"/>
      </w:pPr>
      <w:rPr>
        <w:rFonts w:hint="default"/>
      </w:rPr>
    </w:lvl>
    <w:lvl w:ilvl="8" w:tplc="9B2C708C">
      <w:numFmt w:val="bullet"/>
      <w:lvlText w:val="•"/>
      <w:lvlJc w:val="left"/>
      <w:pPr>
        <w:ind w:left="2238" w:hanging="360"/>
      </w:pPr>
      <w:rPr>
        <w:rFonts w:hint="default"/>
      </w:rPr>
    </w:lvl>
  </w:abstractNum>
  <w:abstractNum w:abstractNumId="15" w15:restartNumberingAfterBreak="0">
    <w:nsid w:val="33D36611"/>
    <w:multiLevelType w:val="multilevel"/>
    <w:tmpl w:val="0F8CD8FA"/>
    <w:lvl w:ilvl="0">
      <w:start w:val="1"/>
      <w:numFmt w:val="decimal"/>
      <w:lvlText w:val="%1."/>
      <w:lvlJc w:val="left"/>
      <w:pPr>
        <w:ind w:left="673" w:hanging="721"/>
      </w:pPr>
      <w:rPr>
        <w:rFonts w:hint="default"/>
        <w:w w:val="100"/>
      </w:rPr>
    </w:lvl>
    <w:lvl w:ilvl="1">
      <w:start w:val="1"/>
      <w:numFmt w:val="decimal"/>
      <w:lvlText w:val="%1.%2"/>
      <w:lvlJc w:val="left"/>
      <w:pPr>
        <w:ind w:left="827" w:hanging="721"/>
      </w:pPr>
      <w:rPr>
        <w:rFonts w:ascii="Times New Roman" w:eastAsia="Times New Roman" w:hAnsi="Times New Roman" w:cs="Times New Roman" w:hint="default"/>
        <w:b/>
        <w:bCs/>
        <w:w w:val="100"/>
        <w:sz w:val="22"/>
        <w:szCs w:val="22"/>
      </w:rPr>
    </w:lvl>
    <w:lvl w:ilvl="2">
      <w:numFmt w:val="bullet"/>
      <w:lvlText w:val="•"/>
      <w:lvlJc w:val="left"/>
      <w:pPr>
        <w:ind w:left="1782" w:hanging="721"/>
      </w:pPr>
      <w:rPr>
        <w:rFonts w:hint="default"/>
      </w:rPr>
    </w:lvl>
    <w:lvl w:ilvl="3">
      <w:numFmt w:val="bullet"/>
      <w:lvlText w:val="•"/>
      <w:lvlJc w:val="left"/>
      <w:pPr>
        <w:ind w:left="2745" w:hanging="721"/>
      </w:pPr>
      <w:rPr>
        <w:rFonts w:hint="default"/>
      </w:rPr>
    </w:lvl>
    <w:lvl w:ilvl="4">
      <w:numFmt w:val="bullet"/>
      <w:lvlText w:val="•"/>
      <w:lvlJc w:val="left"/>
      <w:pPr>
        <w:ind w:left="3708" w:hanging="721"/>
      </w:pPr>
      <w:rPr>
        <w:rFonts w:hint="default"/>
      </w:rPr>
    </w:lvl>
    <w:lvl w:ilvl="5">
      <w:numFmt w:val="bullet"/>
      <w:lvlText w:val="•"/>
      <w:lvlJc w:val="left"/>
      <w:pPr>
        <w:ind w:left="4671" w:hanging="721"/>
      </w:pPr>
      <w:rPr>
        <w:rFonts w:hint="default"/>
      </w:rPr>
    </w:lvl>
    <w:lvl w:ilvl="6">
      <w:numFmt w:val="bullet"/>
      <w:lvlText w:val="•"/>
      <w:lvlJc w:val="left"/>
      <w:pPr>
        <w:ind w:left="5634" w:hanging="721"/>
      </w:pPr>
      <w:rPr>
        <w:rFonts w:hint="default"/>
      </w:rPr>
    </w:lvl>
    <w:lvl w:ilvl="7">
      <w:numFmt w:val="bullet"/>
      <w:lvlText w:val="•"/>
      <w:lvlJc w:val="left"/>
      <w:pPr>
        <w:ind w:left="6597" w:hanging="721"/>
      </w:pPr>
      <w:rPr>
        <w:rFonts w:hint="default"/>
      </w:rPr>
    </w:lvl>
    <w:lvl w:ilvl="8">
      <w:numFmt w:val="bullet"/>
      <w:lvlText w:val="•"/>
      <w:lvlJc w:val="left"/>
      <w:pPr>
        <w:ind w:left="7560" w:hanging="721"/>
      </w:pPr>
      <w:rPr>
        <w:rFonts w:hint="default"/>
      </w:rPr>
    </w:lvl>
  </w:abstractNum>
  <w:abstractNum w:abstractNumId="16" w15:restartNumberingAfterBreak="0">
    <w:nsid w:val="34655715"/>
    <w:multiLevelType w:val="multilevel"/>
    <w:tmpl w:val="2A0A3668"/>
    <w:lvl w:ilvl="0">
      <w:start w:val="4"/>
      <w:numFmt w:val="decimal"/>
      <w:lvlText w:val="%1"/>
      <w:lvlJc w:val="left"/>
      <w:pPr>
        <w:ind w:left="673" w:hanging="567"/>
      </w:pPr>
      <w:rPr>
        <w:rFonts w:hint="default"/>
      </w:rPr>
    </w:lvl>
    <w:lvl w:ilvl="1">
      <w:start w:val="3"/>
      <w:numFmt w:val="decimal"/>
      <w:lvlText w:val="%1.%2"/>
      <w:lvlJc w:val="left"/>
      <w:pPr>
        <w:ind w:left="108" w:hanging="567"/>
      </w:pPr>
      <w:rPr>
        <w:rFonts w:ascii="Times New Roman" w:eastAsia="Times New Roman" w:hAnsi="Times New Roman" w:cs="Times New Roman" w:hint="default"/>
        <w:b/>
        <w:bCs/>
        <w:w w:val="100"/>
        <w:sz w:val="22"/>
        <w:szCs w:val="22"/>
      </w:rPr>
    </w:lvl>
    <w:lvl w:ilvl="2">
      <w:start w:val="1"/>
      <w:numFmt w:val="bullet"/>
      <w:pStyle w:val="Felsorols"/>
      <w:lvlText w:val="•"/>
      <w:lvlJc w:val="left"/>
      <w:pPr>
        <w:ind w:left="828" w:hanging="361"/>
      </w:pPr>
      <w:rPr>
        <w:rFonts w:ascii="Arial" w:hAnsi="Arial" w:hint="default"/>
        <w:b w:val="0"/>
        <w:i w:val="0"/>
        <w:caps w:val="0"/>
        <w:w w:val="100"/>
        <w:sz w:val="32"/>
        <w:u w:val="none"/>
        <w:vertAlign w:val="baseline"/>
      </w:rPr>
    </w:lvl>
    <w:lvl w:ilvl="3">
      <w:numFmt w:val="bullet"/>
      <w:lvlText w:val="-"/>
      <w:lvlJc w:val="left"/>
      <w:pPr>
        <w:ind w:left="1190" w:hanging="363"/>
      </w:pPr>
      <w:rPr>
        <w:rFonts w:ascii="Times New Roman" w:eastAsia="Times New Roman" w:hAnsi="Times New Roman" w:cs="Times New Roman" w:hint="default"/>
        <w:w w:val="100"/>
        <w:sz w:val="22"/>
        <w:szCs w:val="22"/>
      </w:rPr>
    </w:lvl>
    <w:lvl w:ilvl="4">
      <w:numFmt w:val="bullet"/>
      <w:lvlText w:val="•"/>
      <w:lvlJc w:val="left"/>
      <w:pPr>
        <w:ind w:left="2400" w:hanging="363"/>
      </w:pPr>
      <w:rPr>
        <w:rFonts w:hint="default"/>
      </w:rPr>
    </w:lvl>
    <w:lvl w:ilvl="5">
      <w:numFmt w:val="bullet"/>
      <w:lvlText w:val="•"/>
      <w:lvlJc w:val="left"/>
      <w:pPr>
        <w:ind w:left="3601" w:hanging="363"/>
      </w:pPr>
      <w:rPr>
        <w:rFonts w:hint="default"/>
      </w:rPr>
    </w:lvl>
    <w:lvl w:ilvl="6">
      <w:numFmt w:val="bullet"/>
      <w:lvlText w:val="•"/>
      <w:lvlJc w:val="left"/>
      <w:pPr>
        <w:ind w:left="4802" w:hanging="363"/>
      </w:pPr>
      <w:rPr>
        <w:rFonts w:hint="default"/>
      </w:rPr>
    </w:lvl>
    <w:lvl w:ilvl="7">
      <w:numFmt w:val="bullet"/>
      <w:lvlText w:val="•"/>
      <w:lvlJc w:val="left"/>
      <w:pPr>
        <w:ind w:left="6003" w:hanging="363"/>
      </w:pPr>
      <w:rPr>
        <w:rFonts w:hint="default"/>
      </w:rPr>
    </w:lvl>
    <w:lvl w:ilvl="8">
      <w:numFmt w:val="bullet"/>
      <w:lvlText w:val="•"/>
      <w:lvlJc w:val="left"/>
      <w:pPr>
        <w:ind w:left="7204" w:hanging="363"/>
      </w:pPr>
      <w:rPr>
        <w:rFonts w:hint="default"/>
      </w:rPr>
    </w:lvl>
  </w:abstractNum>
  <w:abstractNum w:abstractNumId="17" w15:restartNumberingAfterBreak="0">
    <w:nsid w:val="360E0822"/>
    <w:multiLevelType w:val="multilevel"/>
    <w:tmpl w:val="4496BA7A"/>
    <w:lvl w:ilvl="0">
      <w:start w:val="4"/>
      <w:numFmt w:val="decimal"/>
      <w:lvlText w:val="%1"/>
      <w:lvlJc w:val="left"/>
      <w:pPr>
        <w:ind w:left="673" w:hanging="567"/>
      </w:pPr>
      <w:rPr>
        <w:rFonts w:hint="default"/>
      </w:rPr>
    </w:lvl>
    <w:lvl w:ilvl="1">
      <w:start w:val="3"/>
      <w:numFmt w:val="decimal"/>
      <w:lvlText w:val="%1.%2"/>
      <w:lvlJc w:val="left"/>
      <w:pPr>
        <w:ind w:left="108" w:hanging="567"/>
      </w:pPr>
      <w:rPr>
        <w:rFonts w:ascii="Times New Roman" w:eastAsia="Times New Roman" w:hAnsi="Times New Roman" w:cs="Times New Roman" w:hint="default"/>
        <w:b/>
        <w:bCs/>
        <w:w w:val="100"/>
        <w:sz w:val="22"/>
        <w:szCs w:val="22"/>
      </w:rPr>
    </w:lvl>
    <w:lvl w:ilvl="2">
      <w:start w:val="1"/>
      <w:numFmt w:val="bullet"/>
      <w:lvlText w:val="•"/>
      <w:lvlJc w:val="left"/>
      <w:pPr>
        <w:ind w:left="828" w:hanging="361"/>
      </w:pPr>
      <w:rPr>
        <w:rFonts w:ascii="Arial" w:hAnsi="Arial" w:hint="default"/>
        <w:b w:val="0"/>
        <w:i w:val="0"/>
        <w:caps w:val="0"/>
        <w:w w:val="100"/>
        <w:sz w:val="32"/>
        <w:u w:val="none"/>
        <w:vertAlign w:val="baseline"/>
      </w:rPr>
    </w:lvl>
    <w:lvl w:ilvl="3">
      <w:numFmt w:val="bullet"/>
      <w:lvlText w:val="-"/>
      <w:lvlJc w:val="left"/>
      <w:pPr>
        <w:ind w:left="1190" w:hanging="363"/>
      </w:pPr>
      <w:rPr>
        <w:rFonts w:ascii="Times New Roman" w:eastAsia="Times New Roman" w:hAnsi="Times New Roman" w:cs="Times New Roman" w:hint="default"/>
        <w:w w:val="100"/>
        <w:sz w:val="22"/>
        <w:szCs w:val="22"/>
      </w:rPr>
    </w:lvl>
    <w:lvl w:ilvl="4">
      <w:numFmt w:val="bullet"/>
      <w:lvlText w:val="•"/>
      <w:lvlJc w:val="left"/>
      <w:pPr>
        <w:ind w:left="2400" w:hanging="363"/>
      </w:pPr>
      <w:rPr>
        <w:rFonts w:hint="default"/>
      </w:rPr>
    </w:lvl>
    <w:lvl w:ilvl="5">
      <w:numFmt w:val="bullet"/>
      <w:lvlText w:val="•"/>
      <w:lvlJc w:val="left"/>
      <w:pPr>
        <w:ind w:left="3601" w:hanging="363"/>
      </w:pPr>
      <w:rPr>
        <w:rFonts w:hint="default"/>
      </w:rPr>
    </w:lvl>
    <w:lvl w:ilvl="6">
      <w:numFmt w:val="bullet"/>
      <w:lvlText w:val="•"/>
      <w:lvlJc w:val="left"/>
      <w:pPr>
        <w:ind w:left="4802" w:hanging="363"/>
      </w:pPr>
      <w:rPr>
        <w:rFonts w:hint="default"/>
      </w:rPr>
    </w:lvl>
    <w:lvl w:ilvl="7">
      <w:numFmt w:val="bullet"/>
      <w:lvlText w:val="•"/>
      <w:lvlJc w:val="left"/>
      <w:pPr>
        <w:ind w:left="6003" w:hanging="363"/>
      </w:pPr>
      <w:rPr>
        <w:rFonts w:hint="default"/>
      </w:rPr>
    </w:lvl>
    <w:lvl w:ilvl="8">
      <w:numFmt w:val="bullet"/>
      <w:lvlText w:val="•"/>
      <w:lvlJc w:val="left"/>
      <w:pPr>
        <w:ind w:left="7204" w:hanging="363"/>
      </w:pPr>
      <w:rPr>
        <w:rFonts w:hint="default"/>
      </w:rPr>
    </w:lvl>
  </w:abstractNum>
  <w:abstractNum w:abstractNumId="18" w15:restartNumberingAfterBreak="0">
    <w:nsid w:val="38211287"/>
    <w:multiLevelType w:val="multilevel"/>
    <w:tmpl w:val="11BCE0F0"/>
    <w:lvl w:ilvl="0">
      <w:start w:val="4"/>
      <w:numFmt w:val="decimal"/>
      <w:lvlText w:val="%1"/>
      <w:lvlJc w:val="left"/>
      <w:pPr>
        <w:ind w:left="673" w:hanging="567"/>
      </w:pPr>
      <w:rPr>
        <w:rFonts w:hint="default"/>
      </w:rPr>
    </w:lvl>
    <w:lvl w:ilvl="1">
      <w:start w:val="3"/>
      <w:numFmt w:val="decimal"/>
      <w:lvlText w:val="%1.%2"/>
      <w:lvlJc w:val="left"/>
      <w:pPr>
        <w:ind w:left="108" w:hanging="567"/>
      </w:pPr>
      <w:rPr>
        <w:rFonts w:ascii="Times New Roman" w:eastAsia="Times New Roman" w:hAnsi="Times New Roman" w:cs="Times New Roman" w:hint="default"/>
        <w:b/>
        <w:bCs/>
        <w:w w:val="100"/>
        <w:sz w:val="22"/>
        <w:szCs w:val="22"/>
      </w:rPr>
    </w:lvl>
    <w:lvl w:ilvl="2">
      <w:numFmt w:val="bullet"/>
      <w:lvlText w:val="–"/>
      <w:lvlJc w:val="left"/>
      <w:pPr>
        <w:ind w:left="828" w:hanging="361"/>
      </w:pPr>
      <w:rPr>
        <w:rFonts w:ascii="Calibri" w:eastAsia="Calibri" w:hAnsi="Calibri" w:cs="Calibri" w:hint="default"/>
        <w:b w:val="0"/>
        <w:i w:val="0"/>
        <w:caps w:val="0"/>
        <w:w w:val="100"/>
        <w:sz w:val="22"/>
        <w:szCs w:val="22"/>
        <w:u w:val="none"/>
        <w:vertAlign w:val="baseline"/>
      </w:rPr>
    </w:lvl>
    <w:lvl w:ilvl="3">
      <w:numFmt w:val="bullet"/>
      <w:lvlText w:val="-"/>
      <w:lvlJc w:val="left"/>
      <w:pPr>
        <w:ind w:left="1190" w:hanging="363"/>
      </w:pPr>
      <w:rPr>
        <w:rFonts w:ascii="Times New Roman" w:eastAsia="Times New Roman" w:hAnsi="Times New Roman" w:cs="Times New Roman" w:hint="default"/>
        <w:w w:val="100"/>
        <w:sz w:val="22"/>
        <w:szCs w:val="22"/>
      </w:rPr>
    </w:lvl>
    <w:lvl w:ilvl="4">
      <w:numFmt w:val="bullet"/>
      <w:lvlText w:val="•"/>
      <w:lvlJc w:val="left"/>
      <w:pPr>
        <w:ind w:left="2400" w:hanging="363"/>
      </w:pPr>
      <w:rPr>
        <w:rFonts w:hint="default"/>
      </w:rPr>
    </w:lvl>
    <w:lvl w:ilvl="5">
      <w:numFmt w:val="bullet"/>
      <w:lvlText w:val="•"/>
      <w:lvlJc w:val="left"/>
      <w:pPr>
        <w:ind w:left="3601" w:hanging="363"/>
      </w:pPr>
      <w:rPr>
        <w:rFonts w:hint="default"/>
      </w:rPr>
    </w:lvl>
    <w:lvl w:ilvl="6">
      <w:numFmt w:val="bullet"/>
      <w:lvlText w:val="•"/>
      <w:lvlJc w:val="left"/>
      <w:pPr>
        <w:ind w:left="4802" w:hanging="363"/>
      </w:pPr>
      <w:rPr>
        <w:rFonts w:hint="default"/>
      </w:rPr>
    </w:lvl>
    <w:lvl w:ilvl="7">
      <w:numFmt w:val="bullet"/>
      <w:lvlText w:val="•"/>
      <w:lvlJc w:val="left"/>
      <w:pPr>
        <w:ind w:left="6003" w:hanging="363"/>
      </w:pPr>
      <w:rPr>
        <w:rFonts w:hint="default"/>
      </w:rPr>
    </w:lvl>
    <w:lvl w:ilvl="8">
      <w:numFmt w:val="bullet"/>
      <w:lvlText w:val="•"/>
      <w:lvlJc w:val="left"/>
      <w:pPr>
        <w:ind w:left="7204" w:hanging="363"/>
      </w:pPr>
      <w:rPr>
        <w:rFonts w:hint="default"/>
      </w:rPr>
    </w:lvl>
  </w:abstractNum>
  <w:abstractNum w:abstractNumId="19" w15:restartNumberingAfterBreak="0">
    <w:nsid w:val="391775C2"/>
    <w:multiLevelType w:val="hybridMultilevel"/>
    <w:tmpl w:val="4B928762"/>
    <w:lvl w:ilvl="0" w:tplc="0DD04BAA">
      <w:start w:val="3"/>
      <w:numFmt w:val="bullet"/>
      <w:lvlText w:val="-"/>
      <w:lvlJc w:val="left"/>
      <w:pPr>
        <w:tabs>
          <w:tab w:val="num" w:pos="720"/>
        </w:tabs>
        <w:ind w:left="720" w:hanging="360"/>
      </w:pPr>
      <w:rPr>
        <w:rFonts w:ascii="Times New Roman" w:eastAsia="Times New Roman" w:hAnsi="Times New Roman" w:cs="Times New Roman" w:hint="default"/>
      </w:rPr>
    </w:lvl>
    <w:lvl w:ilvl="1" w:tplc="6892361C">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4B1980"/>
    <w:multiLevelType w:val="hybridMultilevel"/>
    <w:tmpl w:val="F176E59E"/>
    <w:lvl w:ilvl="0" w:tplc="626AE870">
      <w:start w:val="1"/>
      <w:numFmt w:val="decimal"/>
      <w:lvlText w:val="%1."/>
      <w:lvlJc w:val="left"/>
      <w:pPr>
        <w:ind w:left="674" w:hanging="567"/>
      </w:pPr>
      <w:rPr>
        <w:rFonts w:ascii="Times New Roman" w:eastAsia="Times New Roman" w:hAnsi="Times New Roman" w:cs="Times New Roman" w:hint="default"/>
        <w:w w:val="100"/>
        <w:sz w:val="22"/>
        <w:szCs w:val="22"/>
      </w:rPr>
    </w:lvl>
    <w:lvl w:ilvl="1" w:tplc="AA96C014">
      <w:numFmt w:val="bullet"/>
      <w:lvlText w:val="•"/>
      <w:lvlJc w:val="left"/>
      <w:pPr>
        <w:ind w:left="1570" w:hanging="567"/>
      </w:pPr>
      <w:rPr>
        <w:rFonts w:hint="default"/>
      </w:rPr>
    </w:lvl>
    <w:lvl w:ilvl="2" w:tplc="5F469AF0">
      <w:numFmt w:val="bullet"/>
      <w:lvlText w:val="•"/>
      <w:lvlJc w:val="left"/>
      <w:pPr>
        <w:ind w:left="2461" w:hanging="567"/>
      </w:pPr>
      <w:rPr>
        <w:rFonts w:hint="default"/>
      </w:rPr>
    </w:lvl>
    <w:lvl w:ilvl="3" w:tplc="634E1DF4">
      <w:numFmt w:val="bullet"/>
      <w:lvlText w:val="•"/>
      <w:lvlJc w:val="left"/>
      <w:pPr>
        <w:ind w:left="3351" w:hanging="567"/>
      </w:pPr>
      <w:rPr>
        <w:rFonts w:hint="default"/>
      </w:rPr>
    </w:lvl>
    <w:lvl w:ilvl="4" w:tplc="77BABF72">
      <w:numFmt w:val="bullet"/>
      <w:lvlText w:val="•"/>
      <w:lvlJc w:val="left"/>
      <w:pPr>
        <w:ind w:left="4242" w:hanging="567"/>
      </w:pPr>
      <w:rPr>
        <w:rFonts w:hint="default"/>
      </w:rPr>
    </w:lvl>
    <w:lvl w:ilvl="5" w:tplc="030C4578">
      <w:numFmt w:val="bullet"/>
      <w:lvlText w:val="•"/>
      <w:lvlJc w:val="left"/>
      <w:pPr>
        <w:ind w:left="5133" w:hanging="567"/>
      </w:pPr>
      <w:rPr>
        <w:rFonts w:hint="default"/>
      </w:rPr>
    </w:lvl>
    <w:lvl w:ilvl="6" w:tplc="7A941B72">
      <w:numFmt w:val="bullet"/>
      <w:lvlText w:val="•"/>
      <w:lvlJc w:val="left"/>
      <w:pPr>
        <w:ind w:left="6023" w:hanging="567"/>
      </w:pPr>
      <w:rPr>
        <w:rFonts w:hint="default"/>
      </w:rPr>
    </w:lvl>
    <w:lvl w:ilvl="7" w:tplc="3D487626">
      <w:numFmt w:val="bullet"/>
      <w:lvlText w:val="•"/>
      <w:lvlJc w:val="left"/>
      <w:pPr>
        <w:ind w:left="6914" w:hanging="567"/>
      </w:pPr>
      <w:rPr>
        <w:rFonts w:hint="default"/>
      </w:rPr>
    </w:lvl>
    <w:lvl w:ilvl="8" w:tplc="F250AC76">
      <w:numFmt w:val="bullet"/>
      <w:lvlText w:val="•"/>
      <w:lvlJc w:val="left"/>
      <w:pPr>
        <w:ind w:left="7805" w:hanging="567"/>
      </w:pPr>
      <w:rPr>
        <w:rFonts w:hint="default"/>
      </w:rPr>
    </w:lvl>
  </w:abstractNum>
  <w:abstractNum w:abstractNumId="21" w15:restartNumberingAfterBreak="0">
    <w:nsid w:val="4BF703DB"/>
    <w:multiLevelType w:val="hybridMultilevel"/>
    <w:tmpl w:val="3E804808"/>
    <w:lvl w:ilvl="0" w:tplc="C06ED16A">
      <w:numFmt w:val="bullet"/>
      <w:lvlText w:val=""/>
      <w:lvlJc w:val="left"/>
      <w:pPr>
        <w:ind w:left="463" w:hanging="360"/>
      </w:pPr>
      <w:rPr>
        <w:rFonts w:ascii="Symbol" w:eastAsia="Symbol" w:hAnsi="Symbol" w:cs="Symbol" w:hint="default"/>
        <w:w w:val="100"/>
        <w:sz w:val="22"/>
        <w:szCs w:val="22"/>
      </w:rPr>
    </w:lvl>
    <w:lvl w:ilvl="1" w:tplc="8634DAE2">
      <w:numFmt w:val="bullet"/>
      <w:lvlText w:val="•"/>
      <w:lvlJc w:val="left"/>
      <w:pPr>
        <w:ind w:left="767" w:hanging="360"/>
      </w:pPr>
      <w:rPr>
        <w:rFonts w:hint="default"/>
      </w:rPr>
    </w:lvl>
    <w:lvl w:ilvl="2" w:tplc="B8B44298">
      <w:numFmt w:val="bullet"/>
      <w:lvlText w:val="•"/>
      <w:lvlJc w:val="left"/>
      <w:pPr>
        <w:ind w:left="1075" w:hanging="360"/>
      </w:pPr>
      <w:rPr>
        <w:rFonts w:hint="default"/>
      </w:rPr>
    </w:lvl>
    <w:lvl w:ilvl="3" w:tplc="25102DD8">
      <w:numFmt w:val="bullet"/>
      <w:lvlText w:val="•"/>
      <w:lvlJc w:val="left"/>
      <w:pPr>
        <w:ind w:left="1382" w:hanging="360"/>
      </w:pPr>
      <w:rPr>
        <w:rFonts w:hint="default"/>
      </w:rPr>
    </w:lvl>
    <w:lvl w:ilvl="4" w:tplc="2A8486C0">
      <w:numFmt w:val="bullet"/>
      <w:lvlText w:val="•"/>
      <w:lvlJc w:val="left"/>
      <w:pPr>
        <w:ind w:left="1690" w:hanging="360"/>
      </w:pPr>
      <w:rPr>
        <w:rFonts w:hint="default"/>
      </w:rPr>
    </w:lvl>
    <w:lvl w:ilvl="5" w:tplc="EF82D222">
      <w:numFmt w:val="bullet"/>
      <w:lvlText w:val="•"/>
      <w:lvlJc w:val="left"/>
      <w:pPr>
        <w:ind w:left="1997" w:hanging="360"/>
      </w:pPr>
      <w:rPr>
        <w:rFonts w:hint="default"/>
      </w:rPr>
    </w:lvl>
    <w:lvl w:ilvl="6" w:tplc="E6303CA8">
      <w:numFmt w:val="bullet"/>
      <w:lvlText w:val="•"/>
      <w:lvlJc w:val="left"/>
      <w:pPr>
        <w:ind w:left="2305" w:hanging="360"/>
      </w:pPr>
      <w:rPr>
        <w:rFonts w:hint="default"/>
      </w:rPr>
    </w:lvl>
    <w:lvl w:ilvl="7" w:tplc="844027F8">
      <w:numFmt w:val="bullet"/>
      <w:lvlText w:val="•"/>
      <w:lvlJc w:val="left"/>
      <w:pPr>
        <w:ind w:left="2612" w:hanging="360"/>
      </w:pPr>
      <w:rPr>
        <w:rFonts w:hint="default"/>
      </w:rPr>
    </w:lvl>
    <w:lvl w:ilvl="8" w:tplc="DE76D140">
      <w:numFmt w:val="bullet"/>
      <w:lvlText w:val="•"/>
      <w:lvlJc w:val="left"/>
      <w:pPr>
        <w:ind w:left="2920" w:hanging="360"/>
      </w:pPr>
      <w:rPr>
        <w:rFonts w:hint="default"/>
      </w:rPr>
    </w:lvl>
  </w:abstractNum>
  <w:abstractNum w:abstractNumId="22" w15:restartNumberingAfterBreak="0">
    <w:nsid w:val="4FAE1305"/>
    <w:multiLevelType w:val="hybridMultilevel"/>
    <w:tmpl w:val="B4163666"/>
    <w:lvl w:ilvl="0" w:tplc="433A9E1A">
      <w:numFmt w:val="bullet"/>
      <w:lvlText w:val=""/>
      <w:lvlJc w:val="left"/>
      <w:pPr>
        <w:ind w:left="463" w:hanging="360"/>
      </w:pPr>
      <w:rPr>
        <w:rFonts w:ascii="Symbol" w:eastAsia="Symbol" w:hAnsi="Symbol" w:cs="Symbol" w:hint="default"/>
        <w:w w:val="100"/>
        <w:sz w:val="22"/>
        <w:szCs w:val="22"/>
      </w:rPr>
    </w:lvl>
    <w:lvl w:ilvl="1" w:tplc="E5A0DD1E">
      <w:numFmt w:val="bullet"/>
      <w:lvlText w:val="•"/>
      <w:lvlJc w:val="left"/>
      <w:pPr>
        <w:ind w:left="682" w:hanging="360"/>
      </w:pPr>
      <w:rPr>
        <w:rFonts w:hint="default"/>
      </w:rPr>
    </w:lvl>
    <w:lvl w:ilvl="2" w:tplc="5A1EC39A">
      <w:numFmt w:val="bullet"/>
      <w:lvlText w:val="•"/>
      <w:lvlJc w:val="left"/>
      <w:pPr>
        <w:ind w:left="904" w:hanging="360"/>
      </w:pPr>
      <w:rPr>
        <w:rFonts w:hint="default"/>
      </w:rPr>
    </w:lvl>
    <w:lvl w:ilvl="3" w:tplc="8640AA6E">
      <w:numFmt w:val="bullet"/>
      <w:lvlText w:val="•"/>
      <w:lvlJc w:val="left"/>
      <w:pPr>
        <w:ind w:left="1126" w:hanging="360"/>
      </w:pPr>
      <w:rPr>
        <w:rFonts w:hint="default"/>
      </w:rPr>
    </w:lvl>
    <w:lvl w:ilvl="4" w:tplc="CB2A9156">
      <w:numFmt w:val="bullet"/>
      <w:lvlText w:val="•"/>
      <w:lvlJc w:val="left"/>
      <w:pPr>
        <w:ind w:left="1349" w:hanging="360"/>
      </w:pPr>
      <w:rPr>
        <w:rFonts w:hint="default"/>
      </w:rPr>
    </w:lvl>
    <w:lvl w:ilvl="5" w:tplc="3CD2C794">
      <w:numFmt w:val="bullet"/>
      <w:lvlText w:val="•"/>
      <w:lvlJc w:val="left"/>
      <w:pPr>
        <w:ind w:left="1571" w:hanging="360"/>
      </w:pPr>
      <w:rPr>
        <w:rFonts w:hint="default"/>
      </w:rPr>
    </w:lvl>
    <w:lvl w:ilvl="6" w:tplc="EAE4BD5C">
      <w:numFmt w:val="bullet"/>
      <w:lvlText w:val="•"/>
      <w:lvlJc w:val="left"/>
      <w:pPr>
        <w:ind w:left="1793" w:hanging="360"/>
      </w:pPr>
      <w:rPr>
        <w:rFonts w:hint="default"/>
      </w:rPr>
    </w:lvl>
    <w:lvl w:ilvl="7" w:tplc="FF52AA46">
      <w:numFmt w:val="bullet"/>
      <w:lvlText w:val="•"/>
      <w:lvlJc w:val="left"/>
      <w:pPr>
        <w:ind w:left="2016" w:hanging="360"/>
      </w:pPr>
      <w:rPr>
        <w:rFonts w:hint="default"/>
      </w:rPr>
    </w:lvl>
    <w:lvl w:ilvl="8" w:tplc="AFC81A60">
      <w:numFmt w:val="bullet"/>
      <w:lvlText w:val="•"/>
      <w:lvlJc w:val="left"/>
      <w:pPr>
        <w:ind w:left="2238" w:hanging="360"/>
      </w:pPr>
      <w:rPr>
        <w:rFonts w:hint="default"/>
      </w:rPr>
    </w:lvl>
  </w:abstractNum>
  <w:abstractNum w:abstractNumId="23" w15:restartNumberingAfterBreak="0">
    <w:nsid w:val="5BB57A10"/>
    <w:multiLevelType w:val="multilevel"/>
    <w:tmpl w:val="1270A358"/>
    <w:lvl w:ilvl="0">
      <w:start w:val="4"/>
      <w:numFmt w:val="decimal"/>
      <w:lvlText w:val="%1"/>
      <w:lvlJc w:val="left"/>
      <w:pPr>
        <w:ind w:left="673" w:hanging="567"/>
      </w:pPr>
      <w:rPr>
        <w:rFonts w:hint="default"/>
      </w:rPr>
    </w:lvl>
    <w:lvl w:ilvl="1">
      <w:start w:val="3"/>
      <w:numFmt w:val="decimal"/>
      <w:lvlText w:val="%1.%2"/>
      <w:lvlJc w:val="left"/>
      <w:pPr>
        <w:ind w:left="108" w:hanging="567"/>
      </w:pPr>
      <w:rPr>
        <w:rFonts w:ascii="Times New Roman" w:eastAsia="Times New Roman" w:hAnsi="Times New Roman" w:cs="Times New Roman" w:hint="default"/>
        <w:b/>
        <w:bCs/>
        <w:w w:val="100"/>
        <w:sz w:val="22"/>
        <w:szCs w:val="22"/>
      </w:rPr>
    </w:lvl>
    <w:lvl w:ilvl="2">
      <w:start w:val="1"/>
      <w:numFmt w:val="bullet"/>
      <w:lvlText w:val=""/>
      <w:lvlJc w:val="left"/>
      <w:pPr>
        <w:ind w:left="828" w:hanging="361"/>
      </w:pPr>
      <w:rPr>
        <w:rFonts w:ascii="Symbol" w:hAnsi="Symbol" w:hint="default"/>
        <w:b w:val="0"/>
        <w:i w:val="0"/>
        <w:caps w:val="0"/>
        <w:w w:val="100"/>
        <w:sz w:val="32"/>
        <w:u w:val="none"/>
        <w:vertAlign w:val="baseline"/>
      </w:rPr>
    </w:lvl>
    <w:lvl w:ilvl="3">
      <w:numFmt w:val="bullet"/>
      <w:lvlText w:val="-"/>
      <w:lvlJc w:val="left"/>
      <w:pPr>
        <w:ind w:left="1190" w:hanging="363"/>
      </w:pPr>
      <w:rPr>
        <w:rFonts w:ascii="Times New Roman" w:eastAsia="Times New Roman" w:hAnsi="Times New Roman" w:cs="Times New Roman" w:hint="default"/>
        <w:w w:val="100"/>
        <w:sz w:val="22"/>
        <w:szCs w:val="22"/>
      </w:rPr>
    </w:lvl>
    <w:lvl w:ilvl="4">
      <w:numFmt w:val="bullet"/>
      <w:lvlText w:val="•"/>
      <w:lvlJc w:val="left"/>
      <w:pPr>
        <w:ind w:left="2400" w:hanging="363"/>
      </w:pPr>
      <w:rPr>
        <w:rFonts w:hint="default"/>
      </w:rPr>
    </w:lvl>
    <w:lvl w:ilvl="5">
      <w:numFmt w:val="bullet"/>
      <w:lvlText w:val="•"/>
      <w:lvlJc w:val="left"/>
      <w:pPr>
        <w:ind w:left="3601" w:hanging="363"/>
      </w:pPr>
      <w:rPr>
        <w:rFonts w:hint="default"/>
      </w:rPr>
    </w:lvl>
    <w:lvl w:ilvl="6">
      <w:numFmt w:val="bullet"/>
      <w:lvlText w:val="•"/>
      <w:lvlJc w:val="left"/>
      <w:pPr>
        <w:ind w:left="4802" w:hanging="363"/>
      </w:pPr>
      <w:rPr>
        <w:rFonts w:hint="default"/>
      </w:rPr>
    </w:lvl>
    <w:lvl w:ilvl="7">
      <w:numFmt w:val="bullet"/>
      <w:lvlText w:val="•"/>
      <w:lvlJc w:val="left"/>
      <w:pPr>
        <w:ind w:left="6003" w:hanging="363"/>
      </w:pPr>
      <w:rPr>
        <w:rFonts w:hint="default"/>
      </w:rPr>
    </w:lvl>
    <w:lvl w:ilvl="8">
      <w:numFmt w:val="bullet"/>
      <w:lvlText w:val="•"/>
      <w:lvlJc w:val="left"/>
      <w:pPr>
        <w:ind w:left="7204" w:hanging="363"/>
      </w:pPr>
      <w:rPr>
        <w:rFonts w:hint="default"/>
      </w:rPr>
    </w:lvl>
  </w:abstractNum>
  <w:abstractNum w:abstractNumId="24" w15:restartNumberingAfterBreak="0">
    <w:nsid w:val="62FB1119"/>
    <w:multiLevelType w:val="hybridMultilevel"/>
    <w:tmpl w:val="26005B44"/>
    <w:lvl w:ilvl="0" w:tplc="D21CF3FC">
      <w:start w:val="1"/>
      <w:numFmt w:val="decimal"/>
      <w:lvlText w:val="%1."/>
      <w:lvlJc w:val="left"/>
      <w:pPr>
        <w:ind w:left="679" w:hanging="572"/>
      </w:pPr>
      <w:rPr>
        <w:rFonts w:ascii="Times New Roman" w:eastAsia="Times New Roman" w:hAnsi="Times New Roman" w:cs="Times New Roman" w:hint="default"/>
        <w:b/>
        <w:bCs/>
        <w:w w:val="100"/>
        <w:sz w:val="22"/>
        <w:szCs w:val="22"/>
      </w:rPr>
    </w:lvl>
    <w:lvl w:ilvl="1" w:tplc="AA200846">
      <w:start w:val="1"/>
      <w:numFmt w:val="decimal"/>
      <w:lvlText w:val="%2)"/>
      <w:lvlJc w:val="left"/>
      <w:pPr>
        <w:ind w:left="827" w:hanging="360"/>
      </w:pPr>
      <w:rPr>
        <w:rFonts w:ascii="Times New Roman" w:eastAsia="Times New Roman" w:hAnsi="Times New Roman" w:cs="Times New Roman" w:hint="default"/>
        <w:w w:val="100"/>
        <w:sz w:val="22"/>
        <w:szCs w:val="22"/>
      </w:rPr>
    </w:lvl>
    <w:lvl w:ilvl="2" w:tplc="9E1C282C">
      <w:numFmt w:val="bullet"/>
      <w:lvlText w:val="•"/>
      <w:lvlJc w:val="left"/>
      <w:pPr>
        <w:ind w:left="1794" w:hanging="360"/>
      </w:pPr>
      <w:rPr>
        <w:rFonts w:hint="default"/>
      </w:rPr>
    </w:lvl>
    <w:lvl w:ilvl="3" w:tplc="AD504F18">
      <w:numFmt w:val="bullet"/>
      <w:lvlText w:val="•"/>
      <w:lvlJc w:val="left"/>
      <w:pPr>
        <w:ind w:left="2768" w:hanging="360"/>
      </w:pPr>
      <w:rPr>
        <w:rFonts w:hint="default"/>
      </w:rPr>
    </w:lvl>
    <w:lvl w:ilvl="4" w:tplc="E1484C36">
      <w:numFmt w:val="bullet"/>
      <w:lvlText w:val="•"/>
      <w:lvlJc w:val="left"/>
      <w:pPr>
        <w:ind w:left="3742" w:hanging="360"/>
      </w:pPr>
      <w:rPr>
        <w:rFonts w:hint="default"/>
      </w:rPr>
    </w:lvl>
    <w:lvl w:ilvl="5" w:tplc="3CF88A66">
      <w:numFmt w:val="bullet"/>
      <w:lvlText w:val="•"/>
      <w:lvlJc w:val="left"/>
      <w:pPr>
        <w:ind w:left="4716" w:hanging="360"/>
      </w:pPr>
      <w:rPr>
        <w:rFonts w:hint="default"/>
      </w:rPr>
    </w:lvl>
    <w:lvl w:ilvl="6" w:tplc="171CFF54">
      <w:numFmt w:val="bullet"/>
      <w:lvlText w:val="•"/>
      <w:lvlJc w:val="left"/>
      <w:pPr>
        <w:ind w:left="5690" w:hanging="360"/>
      </w:pPr>
      <w:rPr>
        <w:rFonts w:hint="default"/>
      </w:rPr>
    </w:lvl>
    <w:lvl w:ilvl="7" w:tplc="CA7C9DBE">
      <w:numFmt w:val="bullet"/>
      <w:lvlText w:val="•"/>
      <w:lvlJc w:val="left"/>
      <w:pPr>
        <w:ind w:left="6664" w:hanging="360"/>
      </w:pPr>
      <w:rPr>
        <w:rFonts w:hint="default"/>
      </w:rPr>
    </w:lvl>
    <w:lvl w:ilvl="8" w:tplc="F3DCE624">
      <w:numFmt w:val="bullet"/>
      <w:lvlText w:val="•"/>
      <w:lvlJc w:val="left"/>
      <w:pPr>
        <w:ind w:left="7638" w:hanging="360"/>
      </w:pPr>
      <w:rPr>
        <w:rFonts w:hint="default"/>
      </w:rPr>
    </w:lvl>
  </w:abstractNum>
  <w:abstractNum w:abstractNumId="25" w15:restartNumberingAfterBreak="0">
    <w:nsid w:val="665C27D5"/>
    <w:multiLevelType w:val="hybridMultilevel"/>
    <w:tmpl w:val="831EB8A2"/>
    <w:lvl w:ilvl="0" w:tplc="DA9E5830">
      <w:start w:val="1"/>
      <w:numFmt w:val="bullet"/>
      <w:lvlText w:val=""/>
      <w:lvlJc w:val="left"/>
      <w:pPr>
        <w:ind w:left="467" w:hanging="360"/>
      </w:pPr>
      <w:rPr>
        <w:rFonts w:ascii="Symbol" w:hAnsi="Symbol" w:hint="default"/>
        <w:caps/>
        <w:w w:val="100"/>
        <w:sz w:val="22"/>
        <w:szCs w:val="22"/>
      </w:rPr>
    </w:lvl>
    <w:lvl w:ilvl="1" w:tplc="DE48F26E">
      <w:numFmt w:val="bullet"/>
      <w:lvlText w:val="–"/>
      <w:lvlJc w:val="left"/>
      <w:pPr>
        <w:ind w:left="828" w:hanging="358"/>
      </w:pPr>
      <w:rPr>
        <w:rFonts w:ascii="Calibri" w:eastAsia="Calibri" w:hAnsi="Calibri" w:cs="Calibri" w:hint="default"/>
        <w:caps/>
        <w:w w:val="100"/>
        <w:sz w:val="22"/>
        <w:szCs w:val="22"/>
      </w:rPr>
    </w:lvl>
    <w:lvl w:ilvl="2" w:tplc="06FE9156">
      <w:numFmt w:val="bullet"/>
      <w:lvlText w:val="•"/>
      <w:lvlJc w:val="left"/>
      <w:pPr>
        <w:ind w:left="1796" w:hanging="358"/>
      </w:pPr>
      <w:rPr>
        <w:rFonts w:hint="default"/>
      </w:rPr>
    </w:lvl>
    <w:lvl w:ilvl="3" w:tplc="FD66ED3A">
      <w:numFmt w:val="bullet"/>
      <w:lvlText w:val="•"/>
      <w:lvlJc w:val="left"/>
      <w:pPr>
        <w:ind w:left="2772" w:hanging="358"/>
      </w:pPr>
      <w:rPr>
        <w:rFonts w:hint="default"/>
      </w:rPr>
    </w:lvl>
    <w:lvl w:ilvl="4" w:tplc="6264117C">
      <w:numFmt w:val="bullet"/>
      <w:lvlText w:val="•"/>
      <w:lvlJc w:val="left"/>
      <w:pPr>
        <w:ind w:left="3748" w:hanging="358"/>
      </w:pPr>
      <w:rPr>
        <w:rFonts w:hint="default"/>
      </w:rPr>
    </w:lvl>
    <w:lvl w:ilvl="5" w:tplc="12BC34AC">
      <w:numFmt w:val="bullet"/>
      <w:lvlText w:val="•"/>
      <w:lvlJc w:val="left"/>
      <w:pPr>
        <w:ind w:left="4725" w:hanging="358"/>
      </w:pPr>
      <w:rPr>
        <w:rFonts w:hint="default"/>
      </w:rPr>
    </w:lvl>
    <w:lvl w:ilvl="6" w:tplc="312237B4">
      <w:numFmt w:val="bullet"/>
      <w:lvlText w:val="•"/>
      <w:lvlJc w:val="left"/>
      <w:pPr>
        <w:ind w:left="5701" w:hanging="358"/>
      </w:pPr>
      <w:rPr>
        <w:rFonts w:hint="default"/>
      </w:rPr>
    </w:lvl>
    <w:lvl w:ilvl="7" w:tplc="44A0FD38">
      <w:numFmt w:val="bullet"/>
      <w:lvlText w:val="•"/>
      <w:lvlJc w:val="left"/>
      <w:pPr>
        <w:ind w:left="6677" w:hanging="358"/>
      </w:pPr>
      <w:rPr>
        <w:rFonts w:hint="default"/>
      </w:rPr>
    </w:lvl>
    <w:lvl w:ilvl="8" w:tplc="077EC41E">
      <w:numFmt w:val="bullet"/>
      <w:lvlText w:val="•"/>
      <w:lvlJc w:val="left"/>
      <w:pPr>
        <w:ind w:left="7653" w:hanging="358"/>
      </w:pPr>
      <w:rPr>
        <w:rFonts w:hint="default"/>
      </w:rPr>
    </w:lvl>
  </w:abstractNum>
  <w:abstractNum w:abstractNumId="26" w15:restartNumberingAfterBreak="0">
    <w:nsid w:val="6CE72AE7"/>
    <w:multiLevelType w:val="hybridMultilevel"/>
    <w:tmpl w:val="349CC204"/>
    <w:lvl w:ilvl="0" w:tplc="88E6729A">
      <w:numFmt w:val="bullet"/>
      <w:lvlText w:val=""/>
      <w:lvlJc w:val="left"/>
      <w:pPr>
        <w:ind w:left="829" w:hanging="360"/>
      </w:pPr>
      <w:rPr>
        <w:rFonts w:ascii="Wingdings" w:eastAsia="Wingdings" w:hAnsi="Wingdings" w:cs="Wingdings" w:hint="default"/>
        <w:w w:val="100"/>
        <w:sz w:val="22"/>
        <w:szCs w:val="22"/>
      </w:rPr>
    </w:lvl>
    <w:lvl w:ilvl="1" w:tplc="E60E4C28">
      <w:numFmt w:val="bullet"/>
      <w:lvlText w:val=""/>
      <w:lvlJc w:val="left"/>
      <w:pPr>
        <w:ind w:left="1035" w:hanging="154"/>
      </w:pPr>
      <w:rPr>
        <w:rFonts w:ascii="Symbol" w:eastAsia="Symbol" w:hAnsi="Symbol" w:cs="Symbol" w:hint="default"/>
        <w:w w:val="100"/>
        <w:sz w:val="22"/>
        <w:szCs w:val="22"/>
      </w:rPr>
    </w:lvl>
    <w:lvl w:ilvl="2" w:tplc="321A5952">
      <w:numFmt w:val="bullet"/>
      <w:lvlText w:val="•"/>
      <w:lvlJc w:val="left"/>
      <w:pPr>
        <w:ind w:left="1994" w:hanging="154"/>
      </w:pPr>
      <w:rPr>
        <w:rFonts w:hint="default"/>
      </w:rPr>
    </w:lvl>
    <w:lvl w:ilvl="3" w:tplc="06CAD922">
      <w:numFmt w:val="bullet"/>
      <w:lvlText w:val="•"/>
      <w:lvlJc w:val="left"/>
      <w:pPr>
        <w:ind w:left="2948" w:hanging="154"/>
      </w:pPr>
      <w:rPr>
        <w:rFonts w:hint="default"/>
      </w:rPr>
    </w:lvl>
    <w:lvl w:ilvl="4" w:tplc="8BB29EF0">
      <w:numFmt w:val="bullet"/>
      <w:lvlText w:val="•"/>
      <w:lvlJc w:val="left"/>
      <w:pPr>
        <w:ind w:left="3902" w:hanging="154"/>
      </w:pPr>
      <w:rPr>
        <w:rFonts w:hint="default"/>
      </w:rPr>
    </w:lvl>
    <w:lvl w:ilvl="5" w:tplc="CF3CEAEA">
      <w:numFmt w:val="bullet"/>
      <w:lvlText w:val="•"/>
      <w:lvlJc w:val="left"/>
      <w:pPr>
        <w:ind w:left="4856" w:hanging="154"/>
      </w:pPr>
      <w:rPr>
        <w:rFonts w:hint="default"/>
      </w:rPr>
    </w:lvl>
    <w:lvl w:ilvl="6" w:tplc="CBFAE2D4">
      <w:numFmt w:val="bullet"/>
      <w:lvlText w:val="•"/>
      <w:lvlJc w:val="left"/>
      <w:pPr>
        <w:ind w:left="5810" w:hanging="154"/>
      </w:pPr>
      <w:rPr>
        <w:rFonts w:hint="default"/>
      </w:rPr>
    </w:lvl>
    <w:lvl w:ilvl="7" w:tplc="6E866386">
      <w:numFmt w:val="bullet"/>
      <w:lvlText w:val="•"/>
      <w:lvlJc w:val="left"/>
      <w:pPr>
        <w:ind w:left="6764" w:hanging="154"/>
      </w:pPr>
      <w:rPr>
        <w:rFonts w:hint="default"/>
      </w:rPr>
    </w:lvl>
    <w:lvl w:ilvl="8" w:tplc="74E86826">
      <w:numFmt w:val="bullet"/>
      <w:lvlText w:val="•"/>
      <w:lvlJc w:val="left"/>
      <w:pPr>
        <w:ind w:left="7718" w:hanging="154"/>
      </w:pPr>
      <w:rPr>
        <w:rFonts w:hint="default"/>
      </w:rPr>
    </w:lvl>
  </w:abstractNum>
  <w:abstractNum w:abstractNumId="27" w15:restartNumberingAfterBreak="0">
    <w:nsid w:val="6D676827"/>
    <w:multiLevelType w:val="hybridMultilevel"/>
    <w:tmpl w:val="7CDC670A"/>
    <w:lvl w:ilvl="0" w:tplc="DA9E5830">
      <w:start w:val="1"/>
      <w:numFmt w:val="bullet"/>
      <w:lvlText w:val=""/>
      <w:lvlJc w:val="left"/>
      <w:pPr>
        <w:ind w:left="468" w:hanging="360"/>
      </w:pPr>
      <w:rPr>
        <w:rFonts w:ascii="Symbol" w:hAnsi="Symbol" w:hint="default"/>
        <w:caps/>
        <w:w w:val="100"/>
      </w:rPr>
    </w:lvl>
    <w:lvl w:ilvl="1" w:tplc="BF329AB6">
      <w:numFmt w:val="bullet"/>
      <w:lvlText w:val="-"/>
      <w:lvlJc w:val="left"/>
      <w:pPr>
        <w:ind w:left="1034" w:hanging="154"/>
      </w:pPr>
      <w:rPr>
        <w:rFonts w:ascii="Times New Roman" w:eastAsia="Times New Roman" w:hAnsi="Times New Roman" w:cs="Times New Roman" w:hint="default"/>
        <w:w w:val="100"/>
        <w:sz w:val="22"/>
        <w:szCs w:val="22"/>
      </w:rPr>
    </w:lvl>
    <w:lvl w:ilvl="2" w:tplc="B2BEC85E">
      <w:numFmt w:val="bullet"/>
      <w:lvlText w:val="•"/>
      <w:lvlJc w:val="left"/>
      <w:pPr>
        <w:ind w:left="1985" w:hanging="154"/>
      </w:pPr>
      <w:rPr>
        <w:rFonts w:hint="default"/>
      </w:rPr>
    </w:lvl>
    <w:lvl w:ilvl="3" w:tplc="567A05C0">
      <w:numFmt w:val="bullet"/>
      <w:lvlText w:val="•"/>
      <w:lvlJc w:val="left"/>
      <w:pPr>
        <w:ind w:left="2930" w:hanging="154"/>
      </w:pPr>
      <w:rPr>
        <w:rFonts w:hint="default"/>
      </w:rPr>
    </w:lvl>
    <w:lvl w:ilvl="4" w:tplc="FEA6AD00">
      <w:numFmt w:val="bullet"/>
      <w:lvlText w:val="•"/>
      <w:lvlJc w:val="left"/>
      <w:pPr>
        <w:ind w:left="3875" w:hanging="154"/>
      </w:pPr>
      <w:rPr>
        <w:rFonts w:hint="default"/>
      </w:rPr>
    </w:lvl>
    <w:lvl w:ilvl="5" w:tplc="4352098C">
      <w:numFmt w:val="bullet"/>
      <w:lvlText w:val="•"/>
      <w:lvlJc w:val="left"/>
      <w:pPr>
        <w:ind w:left="4820" w:hanging="154"/>
      </w:pPr>
      <w:rPr>
        <w:rFonts w:hint="default"/>
      </w:rPr>
    </w:lvl>
    <w:lvl w:ilvl="6" w:tplc="A9665578">
      <w:numFmt w:val="bullet"/>
      <w:lvlText w:val="•"/>
      <w:lvlJc w:val="left"/>
      <w:pPr>
        <w:ind w:left="5765" w:hanging="154"/>
      </w:pPr>
      <w:rPr>
        <w:rFonts w:hint="default"/>
      </w:rPr>
    </w:lvl>
    <w:lvl w:ilvl="7" w:tplc="418AC248">
      <w:numFmt w:val="bullet"/>
      <w:lvlText w:val="•"/>
      <w:lvlJc w:val="left"/>
      <w:pPr>
        <w:ind w:left="6710" w:hanging="154"/>
      </w:pPr>
      <w:rPr>
        <w:rFonts w:hint="default"/>
      </w:rPr>
    </w:lvl>
    <w:lvl w:ilvl="8" w:tplc="E068A302">
      <w:numFmt w:val="bullet"/>
      <w:lvlText w:val="•"/>
      <w:lvlJc w:val="left"/>
      <w:pPr>
        <w:ind w:left="7656" w:hanging="154"/>
      </w:pPr>
      <w:rPr>
        <w:rFonts w:hint="default"/>
      </w:rPr>
    </w:lvl>
  </w:abstractNum>
  <w:abstractNum w:abstractNumId="28" w15:restartNumberingAfterBreak="0">
    <w:nsid w:val="6E5F12DC"/>
    <w:multiLevelType w:val="hybridMultilevel"/>
    <w:tmpl w:val="54966326"/>
    <w:lvl w:ilvl="0" w:tplc="38C89AB2">
      <w:numFmt w:val="bullet"/>
      <w:lvlText w:val=""/>
      <w:lvlJc w:val="left"/>
      <w:pPr>
        <w:ind w:left="463" w:hanging="361"/>
      </w:pPr>
      <w:rPr>
        <w:rFonts w:ascii="Symbol" w:eastAsia="Symbol" w:hAnsi="Symbol" w:cs="Symbol" w:hint="default"/>
        <w:w w:val="100"/>
        <w:sz w:val="22"/>
        <w:szCs w:val="22"/>
      </w:rPr>
    </w:lvl>
    <w:lvl w:ilvl="1" w:tplc="39967738">
      <w:numFmt w:val="bullet"/>
      <w:lvlText w:val="•"/>
      <w:lvlJc w:val="left"/>
      <w:pPr>
        <w:ind w:left="625" w:hanging="361"/>
      </w:pPr>
      <w:rPr>
        <w:rFonts w:hint="default"/>
      </w:rPr>
    </w:lvl>
    <w:lvl w:ilvl="2" w:tplc="21EA647E">
      <w:numFmt w:val="bullet"/>
      <w:lvlText w:val="•"/>
      <w:lvlJc w:val="left"/>
      <w:pPr>
        <w:ind w:left="791" w:hanging="361"/>
      </w:pPr>
      <w:rPr>
        <w:rFonts w:hint="default"/>
      </w:rPr>
    </w:lvl>
    <w:lvl w:ilvl="3" w:tplc="D2D6EBAE">
      <w:numFmt w:val="bullet"/>
      <w:lvlText w:val="•"/>
      <w:lvlJc w:val="left"/>
      <w:pPr>
        <w:ind w:left="957" w:hanging="361"/>
      </w:pPr>
      <w:rPr>
        <w:rFonts w:hint="default"/>
      </w:rPr>
    </w:lvl>
    <w:lvl w:ilvl="4" w:tplc="F1283E9A">
      <w:numFmt w:val="bullet"/>
      <w:lvlText w:val="•"/>
      <w:lvlJc w:val="left"/>
      <w:pPr>
        <w:ind w:left="1122" w:hanging="361"/>
      </w:pPr>
      <w:rPr>
        <w:rFonts w:hint="default"/>
      </w:rPr>
    </w:lvl>
    <w:lvl w:ilvl="5" w:tplc="FFBA06E2">
      <w:numFmt w:val="bullet"/>
      <w:lvlText w:val="•"/>
      <w:lvlJc w:val="left"/>
      <w:pPr>
        <w:ind w:left="1288" w:hanging="361"/>
      </w:pPr>
      <w:rPr>
        <w:rFonts w:hint="default"/>
      </w:rPr>
    </w:lvl>
    <w:lvl w:ilvl="6" w:tplc="4A2E52B8">
      <w:numFmt w:val="bullet"/>
      <w:lvlText w:val="•"/>
      <w:lvlJc w:val="left"/>
      <w:pPr>
        <w:ind w:left="1454" w:hanging="361"/>
      </w:pPr>
      <w:rPr>
        <w:rFonts w:hint="default"/>
      </w:rPr>
    </w:lvl>
    <w:lvl w:ilvl="7" w:tplc="DAFC7DF2">
      <w:numFmt w:val="bullet"/>
      <w:lvlText w:val="•"/>
      <w:lvlJc w:val="left"/>
      <w:pPr>
        <w:ind w:left="1619" w:hanging="361"/>
      </w:pPr>
      <w:rPr>
        <w:rFonts w:hint="default"/>
      </w:rPr>
    </w:lvl>
    <w:lvl w:ilvl="8" w:tplc="11B6E6CC">
      <w:numFmt w:val="bullet"/>
      <w:lvlText w:val="•"/>
      <w:lvlJc w:val="left"/>
      <w:pPr>
        <w:ind w:left="1785" w:hanging="361"/>
      </w:pPr>
      <w:rPr>
        <w:rFonts w:hint="default"/>
      </w:rPr>
    </w:lvl>
  </w:abstractNum>
  <w:abstractNum w:abstractNumId="29" w15:restartNumberingAfterBreak="0">
    <w:nsid w:val="6E8833E7"/>
    <w:multiLevelType w:val="hybridMultilevel"/>
    <w:tmpl w:val="D89EDB68"/>
    <w:lvl w:ilvl="0" w:tplc="CB169E9C">
      <w:numFmt w:val="bullet"/>
      <w:lvlText w:val=""/>
      <w:lvlJc w:val="left"/>
      <w:pPr>
        <w:ind w:left="108" w:hanging="361"/>
      </w:pPr>
      <w:rPr>
        <w:rFonts w:ascii="Symbol" w:eastAsia="Symbol" w:hAnsi="Symbol" w:cs="Symbol" w:hint="default"/>
        <w:w w:val="100"/>
        <w:sz w:val="22"/>
        <w:szCs w:val="22"/>
      </w:rPr>
    </w:lvl>
    <w:lvl w:ilvl="1" w:tplc="37702A0E">
      <w:numFmt w:val="bullet"/>
      <w:lvlText w:val="•"/>
      <w:lvlJc w:val="left"/>
      <w:pPr>
        <w:ind w:left="1048" w:hanging="361"/>
      </w:pPr>
      <w:rPr>
        <w:rFonts w:hint="default"/>
      </w:rPr>
    </w:lvl>
    <w:lvl w:ilvl="2" w:tplc="E9A63BCE">
      <w:numFmt w:val="bullet"/>
      <w:lvlText w:val="•"/>
      <w:lvlJc w:val="left"/>
      <w:pPr>
        <w:ind w:left="1997" w:hanging="361"/>
      </w:pPr>
      <w:rPr>
        <w:rFonts w:hint="default"/>
      </w:rPr>
    </w:lvl>
    <w:lvl w:ilvl="3" w:tplc="DC8094B6">
      <w:numFmt w:val="bullet"/>
      <w:lvlText w:val="•"/>
      <w:lvlJc w:val="left"/>
      <w:pPr>
        <w:ind w:left="2945" w:hanging="361"/>
      </w:pPr>
      <w:rPr>
        <w:rFonts w:hint="default"/>
      </w:rPr>
    </w:lvl>
    <w:lvl w:ilvl="4" w:tplc="75BE9466">
      <w:numFmt w:val="bullet"/>
      <w:lvlText w:val="•"/>
      <w:lvlJc w:val="left"/>
      <w:pPr>
        <w:ind w:left="3894" w:hanging="361"/>
      </w:pPr>
      <w:rPr>
        <w:rFonts w:hint="default"/>
      </w:rPr>
    </w:lvl>
    <w:lvl w:ilvl="5" w:tplc="BB12424E">
      <w:numFmt w:val="bullet"/>
      <w:lvlText w:val="•"/>
      <w:lvlJc w:val="left"/>
      <w:pPr>
        <w:ind w:left="4843" w:hanging="361"/>
      </w:pPr>
      <w:rPr>
        <w:rFonts w:hint="default"/>
      </w:rPr>
    </w:lvl>
    <w:lvl w:ilvl="6" w:tplc="132AA83C">
      <w:numFmt w:val="bullet"/>
      <w:lvlText w:val="•"/>
      <w:lvlJc w:val="left"/>
      <w:pPr>
        <w:ind w:left="5791" w:hanging="361"/>
      </w:pPr>
      <w:rPr>
        <w:rFonts w:hint="default"/>
      </w:rPr>
    </w:lvl>
    <w:lvl w:ilvl="7" w:tplc="7860620C">
      <w:numFmt w:val="bullet"/>
      <w:lvlText w:val="•"/>
      <w:lvlJc w:val="left"/>
      <w:pPr>
        <w:ind w:left="6740" w:hanging="361"/>
      </w:pPr>
      <w:rPr>
        <w:rFonts w:hint="default"/>
      </w:rPr>
    </w:lvl>
    <w:lvl w:ilvl="8" w:tplc="DC122784">
      <w:numFmt w:val="bullet"/>
      <w:lvlText w:val="•"/>
      <w:lvlJc w:val="left"/>
      <w:pPr>
        <w:ind w:left="7689" w:hanging="361"/>
      </w:pPr>
      <w:rPr>
        <w:rFonts w:hint="default"/>
      </w:rPr>
    </w:lvl>
  </w:abstractNum>
  <w:abstractNum w:abstractNumId="30" w15:restartNumberingAfterBreak="0">
    <w:nsid w:val="6EDE0030"/>
    <w:multiLevelType w:val="hybridMultilevel"/>
    <w:tmpl w:val="BF62B01E"/>
    <w:lvl w:ilvl="0" w:tplc="F50C62D8">
      <w:numFmt w:val="bullet"/>
      <w:lvlText w:val=""/>
      <w:lvlJc w:val="left"/>
      <w:pPr>
        <w:ind w:left="1188" w:hanging="361"/>
      </w:pPr>
      <w:rPr>
        <w:rFonts w:ascii="Symbol" w:eastAsia="Symbol" w:hAnsi="Symbol" w:cs="Symbol" w:hint="default"/>
        <w:w w:val="100"/>
        <w:sz w:val="22"/>
        <w:szCs w:val="22"/>
      </w:rPr>
    </w:lvl>
    <w:lvl w:ilvl="1" w:tplc="4EBA859E">
      <w:numFmt w:val="bullet"/>
      <w:lvlText w:val=""/>
      <w:lvlJc w:val="left"/>
      <w:pPr>
        <w:ind w:left="1188" w:hanging="157"/>
      </w:pPr>
      <w:rPr>
        <w:rFonts w:ascii="Symbol" w:eastAsia="Symbol" w:hAnsi="Symbol" w:cs="Symbol" w:hint="default"/>
        <w:w w:val="100"/>
        <w:sz w:val="22"/>
        <w:szCs w:val="22"/>
      </w:rPr>
    </w:lvl>
    <w:lvl w:ilvl="2" w:tplc="745C5EA8">
      <w:numFmt w:val="bullet"/>
      <w:lvlText w:val="•"/>
      <w:lvlJc w:val="left"/>
      <w:pPr>
        <w:ind w:left="2881" w:hanging="157"/>
      </w:pPr>
      <w:rPr>
        <w:rFonts w:hint="default"/>
      </w:rPr>
    </w:lvl>
    <w:lvl w:ilvl="3" w:tplc="C26C5D30">
      <w:numFmt w:val="bullet"/>
      <w:lvlText w:val="•"/>
      <w:lvlJc w:val="left"/>
      <w:pPr>
        <w:ind w:left="3731" w:hanging="157"/>
      </w:pPr>
      <w:rPr>
        <w:rFonts w:hint="default"/>
      </w:rPr>
    </w:lvl>
    <w:lvl w:ilvl="4" w:tplc="5B5AF8BC">
      <w:numFmt w:val="bullet"/>
      <w:lvlText w:val="•"/>
      <w:lvlJc w:val="left"/>
      <w:pPr>
        <w:ind w:left="4582" w:hanging="157"/>
      </w:pPr>
      <w:rPr>
        <w:rFonts w:hint="default"/>
      </w:rPr>
    </w:lvl>
    <w:lvl w:ilvl="5" w:tplc="D45A17DC">
      <w:numFmt w:val="bullet"/>
      <w:lvlText w:val="•"/>
      <w:lvlJc w:val="left"/>
      <w:pPr>
        <w:ind w:left="5433" w:hanging="157"/>
      </w:pPr>
      <w:rPr>
        <w:rFonts w:hint="default"/>
      </w:rPr>
    </w:lvl>
    <w:lvl w:ilvl="6" w:tplc="A18A9E42">
      <w:numFmt w:val="bullet"/>
      <w:lvlText w:val="•"/>
      <w:lvlJc w:val="left"/>
      <w:pPr>
        <w:ind w:left="6283" w:hanging="157"/>
      </w:pPr>
      <w:rPr>
        <w:rFonts w:hint="default"/>
      </w:rPr>
    </w:lvl>
    <w:lvl w:ilvl="7" w:tplc="DB8044AC">
      <w:numFmt w:val="bullet"/>
      <w:lvlText w:val="•"/>
      <w:lvlJc w:val="left"/>
      <w:pPr>
        <w:ind w:left="7134" w:hanging="157"/>
      </w:pPr>
      <w:rPr>
        <w:rFonts w:hint="default"/>
      </w:rPr>
    </w:lvl>
    <w:lvl w:ilvl="8" w:tplc="0270C1DE">
      <w:numFmt w:val="bullet"/>
      <w:lvlText w:val="•"/>
      <w:lvlJc w:val="left"/>
      <w:pPr>
        <w:ind w:left="7985" w:hanging="157"/>
      </w:pPr>
      <w:rPr>
        <w:rFonts w:hint="default"/>
      </w:rPr>
    </w:lvl>
  </w:abstractNum>
  <w:abstractNum w:abstractNumId="31" w15:restartNumberingAfterBreak="0">
    <w:nsid w:val="71760B5E"/>
    <w:multiLevelType w:val="hybridMultilevel"/>
    <w:tmpl w:val="A3CE7E64"/>
    <w:lvl w:ilvl="0" w:tplc="25B6261A">
      <w:start w:val="1"/>
      <w:numFmt w:val="decimal"/>
      <w:lvlText w:val="%1."/>
      <w:lvlJc w:val="left"/>
      <w:pPr>
        <w:ind w:left="107" w:hanging="221"/>
      </w:pPr>
      <w:rPr>
        <w:rFonts w:hint="default"/>
        <w:w w:val="100"/>
      </w:rPr>
    </w:lvl>
    <w:lvl w:ilvl="1" w:tplc="F9FCECEC">
      <w:numFmt w:val="bullet"/>
      <w:lvlText w:val=""/>
      <w:lvlJc w:val="left"/>
      <w:pPr>
        <w:ind w:left="828" w:hanging="361"/>
      </w:pPr>
      <w:rPr>
        <w:rFonts w:ascii="Symbol" w:eastAsia="Symbol" w:hAnsi="Symbol" w:cs="Symbol" w:hint="default"/>
        <w:w w:val="100"/>
        <w:sz w:val="22"/>
        <w:szCs w:val="22"/>
      </w:rPr>
    </w:lvl>
    <w:lvl w:ilvl="2" w:tplc="D83C17E4">
      <w:numFmt w:val="bullet"/>
      <w:lvlText w:val=""/>
      <w:lvlJc w:val="left"/>
      <w:pPr>
        <w:ind w:left="722" w:hanging="181"/>
      </w:pPr>
      <w:rPr>
        <w:rFonts w:ascii="Symbol" w:eastAsia="Symbol" w:hAnsi="Symbol" w:cs="Symbol" w:hint="default"/>
        <w:w w:val="100"/>
        <w:sz w:val="22"/>
        <w:szCs w:val="22"/>
      </w:rPr>
    </w:lvl>
    <w:lvl w:ilvl="3" w:tplc="0B10DFEE">
      <w:numFmt w:val="bullet"/>
      <w:lvlText w:val="•"/>
      <w:lvlJc w:val="left"/>
      <w:pPr>
        <w:ind w:left="1920" w:hanging="181"/>
      </w:pPr>
      <w:rPr>
        <w:rFonts w:hint="default"/>
      </w:rPr>
    </w:lvl>
    <w:lvl w:ilvl="4" w:tplc="5314BF10">
      <w:numFmt w:val="bullet"/>
      <w:lvlText w:val="•"/>
      <w:lvlJc w:val="left"/>
      <w:pPr>
        <w:ind w:left="3021" w:hanging="181"/>
      </w:pPr>
      <w:rPr>
        <w:rFonts w:hint="default"/>
      </w:rPr>
    </w:lvl>
    <w:lvl w:ilvl="5" w:tplc="618CC5D0">
      <w:numFmt w:val="bullet"/>
      <w:lvlText w:val="•"/>
      <w:lvlJc w:val="left"/>
      <w:pPr>
        <w:ind w:left="4122" w:hanging="181"/>
      </w:pPr>
      <w:rPr>
        <w:rFonts w:hint="default"/>
      </w:rPr>
    </w:lvl>
    <w:lvl w:ilvl="6" w:tplc="31A01A50">
      <w:numFmt w:val="bullet"/>
      <w:lvlText w:val="•"/>
      <w:lvlJc w:val="left"/>
      <w:pPr>
        <w:ind w:left="5223" w:hanging="181"/>
      </w:pPr>
      <w:rPr>
        <w:rFonts w:hint="default"/>
      </w:rPr>
    </w:lvl>
    <w:lvl w:ilvl="7" w:tplc="E18E90E4">
      <w:numFmt w:val="bullet"/>
      <w:lvlText w:val="•"/>
      <w:lvlJc w:val="left"/>
      <w:pPr>
        <w:ind w:left="6324" w:hanging="181"/>
      </w:pPr>
      <w:rPr>
        <w:rFonts w:hint="default"/>
      </w:rPr>
    </w:lvl>
    <w:lvl w:ilvl="8" w:tplc="05B09314">
      <w:numFmt w:val="bullet"/>
      <w:lvlText w:val="•"/>
      <w:lvlJc w:val="left"/>
      <w:pPr>
        <w:ind w:left="7424" w:hanging="181"/>
      </w:pPr>
      <w:rPr>
        <w:rFonts w:hint="default"/>
      </w:rPr>
    </w:lvl>
  </w:abstractNum>
  <w:abstractNum w:abstractNumId="32" w15:restartNumberingAfterBreak="0">
    <w:nsid w:val="7D55679C"/>
    <w:multiLevelType w:val="multilevel"/>
    <w:tmpl w:val="C560A644"/>
    <w:lvl w:ilvl="0">
      <w:start w:val="4"/>
      <w:numFmt w:val="decimal"/>
      <w:lvlText w:val="%1"/>
      <w:lvlJc w:val="left"/>
      <w:pPr>
        <w:ind w:left="673" w:hanging="567"/>
      </w:pPr>
      <w:rPr>
        <w:rFonts w:hint="default"/>
      </w:rPr>
    </w:lvl>
    <w:lvl w:ilvl="1">
      <w:start w:val="3"/>
      <w:numFmt w:val="decimal"/>
      <w:lvlText w:val="%1.%2"/>
      <w:lvlJc w:val="left"/>
      <w:pPr>
        <w:ind w:left="108" w:hanging="567"/>
      </w:pPr>
      <w:rPr>
        <w:rFonts w:ascii="Times New Roman" w:eastAsia="Times New Roman" w:hAnsi="Times New Roman" w:cs="Times New Roman" w:hint="default"/>
        <w:b/>
        <w:bCs/>
        <w:w w:val="100"/>
        <w:sz w:val="22"/>
        <w:szCs w:val="22"/>
      </w:rPr>
    </w:lvl>
    <w:lvl w:ilvl="2">
      <w:start w:val="1"/>
      <w:numFmt w:val="bullet"/>
      <w:lvlText w:val="•"/>
      <w:lvlJc w:val="left"/>
      <w:pPr>
        <w:ind w:left="828" w:hanging="361"/>
      </w:pPr>
      <w:rPr>
        <w:rFonts w:ascii="Arial" w:hAnsi="Arial" w:hint="default"/>
        <w:b w:val="0"/>
        <w:i w:val="0"/>
        <w:caps w:val="0"/>
        <w:w w:val="100"/>
        <w:sz w:val="32"/>
        <w:u w:val="none"/>
        <w:vertAlign w:val="baseline"/>
      </w:rPr>
    </w:lvl>
    <w:lvl w:ilvl="3">
      <w:numFmt w:val="bullet"/>
      <w:lvlText w:val="-"/>
      <w:lvlJc w:val="left"/>
      <w:pPr>
        <w:ind w:left="1190" w:hanging="363"/>
      </w:pPr>
      <w:rPr>
        <w:rFonts w:ascii="Times New Roman" w:eastAsia="Times New Roman" w:hAnsi="Times New Roman" w:cs="Times New Roman" w:hint="default"/>
        <w:w w:val="100"/>
        <w:sz w:val="22"/>
        <w:szCs w:val="22"/>
      </w:rPr>
    </w:lvl>
    <w:lvl w:ilvl="4">
      <w:numFmt w:val="bullet"/>
      <w:lvlText w:val="•"/>
      <w:lvlJc w:val="left"/>
      <w:pPr>
        <w:ind w:left="2400" w:hanging="363"/>
      </w:pPr>
      <w:rPr>
        <w:rFonts w:hint="default"/>
      </w:rPr>
    </w:lvl>
    <w:lvl w:ilvl="5">
      <w:numFmt w:val="bullet"/>
      <w:lvlText w:val="•"/>
      <w:lvlJc w:val="left"/>
      <w:pPr>
        <w:ind w:left="3601" w:hanging="363"/>
      </w:pPr>
      <w:rPr>
        <w:rFonts w:hint="default"/>
      </w:rPr>
    </w:lvl>
    <w:lvl w:ilvl="6">
      <w:numFmt w:val="bullet"/>
      <w:lvlText w:val="•"/>
      <w:lvlJc w:val="left"/>
      <w:pPr>
        <w:ind w:left="4802" w:hanging="363"/>
      </w:pPr>
      <w:rPr>
        <w:rFonts w:hint="default"/>
      </w:rPr>
    </w:lvl>
    <w:lvl w:ilvl="7">
      <w:numFmt w:val="bullet"/>
      <w:lvlText w:val="•"/>
      <w:lvlJc w:val="left"/>
      <w:pPr>
        <w:ind w:left="6003" w:hanging="363"/>
      </w:pPr>
      <w:rPr>
        <w:rFonts w:hint="default"/>
      </w:rPr>
    </w:lvl>
    <w:lvl w:ilvl="8">
      <w:numFmt w:val="bullet"/>
      <w:lvlText w:val="•"/>
      <w:lvlJc w:val="left"/>
      <w:pPr>
        <w:ind w:left="7204" w:hanging="363"/>
      </w:pPr>
      <w:rPr>
        <w:rFonts w:hint="default"/>
      </w:rPr>
    </w:lvl>
  </w:abstractNum>
  <w:abstractNum w:abstractNumId="33" w15:restartNumberingAfterBreak="0">
    <w:nsid w:val="7D9630A8"/>
    <w:multiLevelType w:val="hybridMultilevel"/>
    <w:tmpl w:val="AA44A66A"/>
    <w:lvl w:ilvl="0" w:tplc="DE48F26E">
      <w:numFmt w:val="bullet"/>
      <w:lvlText w:val="–"/>
      <w:lvlJc w:val="left"/>
      <w:pPr>
        <w:ind w:left="468" w:hanging="567"/>
      </w:pPr>
      <w:rPr>
        <w:rFonts w:ascii="Calibri" w:eastAsia="Calibri" w:hAnsi="Calibri" w:cs="Calibri" w:hint="default"/>
        <w:w w:val="100"/>
        <w:sz w:val="22"/>
        <w:szCs w:val="22"/>
      </w:rPr>
    </w:lvl>
    <w:lvl w:ilvl="1" w:tplc="2A38F630">
      <w:numFmt w:val="bullet"/>
      <w:lvlText w:val="•"/>
      <w:lvlJc w:val="left"/>
      <w:pPr>
        <w:ind w:left="1384" w:hanging="567"/>
      </w:pPr>
      <w:rPr>
        <w:rFonts w:hint="default"/>
      </w:rPr>
    </w:lvl>
    <w:lvl w:ilvl="2" w:tplc="2B0EFB94">
      <w:numFmt w:val="bullet"/>
      <w:lvlText w:val="•"/>
      <w:lvlJc w:val="left"/>
      <w:pPr>
        <w:ind w:left="2309" w:hanging="567"/>
      </w:pPr>
      <w:rPr>
        <w:rFonts w:hint="default"/>
      </w:rPr>
    </w:lvl>
    <w:lvl w:ilvl="3" w:tplc="FABCA15A">
      <w:numFmt w:val="bullet"/>
      <w:lvlText w:val="•"/>
      <w:lvlJc w:val="left"/>
      <w:pPr>
        <w:ind w:left="3233" w:hanging="567"/>
      </w:pPr>
      <w:rPr>
        <w:rFonts w:hint="default"/>
      </w:rPr>
    </w:lvl>
    <w:lvl w:ilvl="4" w:tplc="8A4CFCA6">
      <w:numFmt w:val="bullet"/>
      <w:lvlText w:val="•"/>
      <w:lvlJc w:val="left"/>
      <w:pPr>
        <w:ind w:left="4158" w:hanging="567"/>
      </w:pPr>
      <w:rPr>
        <w:rFonts w:hint="default"/>
      </w:rPr>
    </w:lvl>
    <w:lvl w:ilvl="5" w:tplc="26887BF2">
      <w:numFmt w:val="bullet"/>
      <w:lvlText w:val="•"/>
      <w:lvlJc w:val="left"/>
      <w:pPr>
        <w:ind w:left="5083" w:hanging="567"/>
      </w:pPr>
      <w:rPr>
        <w:rFonts w:hint="default"/>
      </w:rPr>
    </w:lvl>
    <w:lvl w:ilvl="6" w:tplc="8EB4137E">
      <w:numFmt w:val="bullet"/>
      <w:lvlText w:val="•"/>
      <w:lvlJc w:val="left"/>
      <w:pPr>
        <w:ind w:left="6007" w:hanging="567"/>
      </w:pPr>
      <w:rPr>
        <w:rFonts w:hint="default"/>
      </w:rPr>
    </w:lvl>
    <w:lvl w:ilvl="7" w:tplc="32E60618">
      <w:numFmt w:val="bullet"/>
      <w:lvlText w:val="•"/>
      <w:lvlJc w:val="left"/>
      <w:pPr>
        <w:ind w:left="6932" w:hanging="567"/>
      </w:pPr>
      <w:rPr>
        <w:rFonts w:hint="default"/>
      </w:rPr>
    </w:lvl>
    <w:lvl w:ilvl="8" w:tplc="13180608">
      <w:numFmt w:val="bullet"/>
      <w:lvlText w:val="•"/>
      <w:lvlJc w:val="left"/>
      <w:pPr>
        <w:ind w:left="7857" w:hanging="567"/>
      </w:pPr>
      <w:rPr>
        <w:rFonts w:hint="default"/>
      </w:rPr>
    </w:lvl>
  </w:abstractNum>
  <w:num w:numId="1">
    <w:abstractNumId w:val="11"/>
  </w:num>
  <w:num w:numId="2">
    <w:abstractNumId w:val="9"/>
  </w:num>
  <w:num w:numId="3">
    <w:abstractNumId w:val="3"/>
  </w:num>
  <w:num w:numId="4">
    <w:abstractNumId w:val="33"/>
  </w:num>
  <w:num w:numId="5">
    <w:abstractNumId w:val="26"/>
  </w:num>
  <w:num w:numId="6">
    <w:abstractNumId w:val="31"/>
  </w:num>
  <w:num w:numId="7">
    <w:abstractNumId w:val="1"/>
  </w:num>
  <w:num w:numId="8">
    <w:abstractNumId w:val="30"/>
  </w:num>
  <w:num w:numId="9">
    <w:abstractNumId w:val="4"/>
  </w:num>
  <w:num w:numId="10">
    <w:abstractNumId w:val="24"/>
  </w:num>
  <w:num w:numId="11">
    <w:abstractNumId w:val="20"/>
  </w:num>
  <w:num w:numId="12">
    <w:abstractNumId w:val="12"/>
  </w:num>
  <w:num w:numId="13">
    <w:abstractNumId w:val="5"/>
  </w:num>
  <w:num w:numId="14">
    <w:abstractNumId w:val="28"/>
  </w:num>
  <w:num w:numId="15">
    <w:abstractNumId w:val="22"/>
  </w:num>
  <w:num w:numId="16">
    <w:abstractNumId w:val="14"/>
  </w:num>
  <w:num w:numId="17">
    <w:abstractNumId w:val="2"/>
  </w:num>
  <w:num w:numId="18">
    <w:abstractNumId w:val="21"/>
  </w:num>
  <w:num w:numId="19">
    <w:abstractNumId w:val="8"/>
  </w:num>
  <w:num w:numId="20">
    <w:abstractNumId w:val="6"/>
  </w:num>
  <w:num w:numId="21">
    <w:abstractNumId w:val="29"/>
  </w:num>
  <w:num w:numId="22">
    <w:abstractNumId w:val="13"/>
  </w:num>
  <w:num w:numId="23">
    <w:abstractNumId w:val="15"/>
  </w:num>
  <w:num w:numId="24">
    <w:abstractNumId w:val="27"/>
  </w:num>
  <w:num w:numId="25">
    <w:abstractNumId w:val="7"/>
  </w:num>
  <w:num w:numId="26">
    <w:abstractNumId w:val="19"/>
  </w:num>
  <w:num w:numId="27">
    <w:abstractNumId w:val="17"/>
  </w:num>
  <w:num w:numId="28">
    <w:abstractNumId w:val="0"/>
  </w:num>
  <w:num w:numId="29">
    <w:abstractNumId w:val="32"/>
  </w:num>
  <w:num w:numId="30">
    <w:abstractNumId w:val="16"/>
  </w:num>
  <w:num w:numId="31">
    <w:abstractNumId w:val="23"/>
  </w:num>
  <w:num w:numId="32">
    <w:abstractNumId w:val="18"/>
  </w:num>
  <w:num w:numId="33">
    <w:abstractNumId w:val="25"/>
  </w:num>
  <w:num w:numId="34">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567"/>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3BF"/>
    <w:rsid w:val="00001747"/>
    <w:rsid w:val="0000206F"/>
    <w:rsid w:val="0003581D"/>
    <w:rsid w:val="00041550"/>
    <w:rsid w:val="0004494D"/>
    <w:rsid w:val="00045637"/>
    <w:rsid w:val="00051373"/>
    <w:rsid w:val="000533C1"/>
    <w:rsid w:val="000559A7"/>
    <w:rsid w:val="00057EE1"/>
    <w:rsid w:val="000672F0"/>
    <w:rsid w:val="00073FA7"/>
    <w:rsid w:val="00077F9A"/>
    <w:rsid w:val="000B4A59"/>
    <w:rsid w:val="000D317B"/>
    <w:rsid w:val="000F71E2"/>
    <w:rsid w:val="00107CC8"/>
    <w:rsid w:val="001108DC"/>
    <w:rsid w:val="001112E4"/>
    <w:rsid w:val="00116458"/>
    <w:rsid w:val="00121E13"/>
    <w:rsid w:val="00122DDD"/>
    <w:rsid w:val="00124556"/>
    <w:rsid w:val="0013291C"/>
    <w:rsid w:val="00151B3A"/>
    <w:rsid w:val="001524AB"/>
    <w:rsid w:val="00153B39"/>
    <w:rsid w:val="00154868"/>
    <w:rsid w:val="00164043"/>
    <w:rsid w:val="0016451E"/>
    <w:rsid w:val="00167B1A"/>
    <w:rsid w:val="00167B86"/>
    <w:rsid w:val="0019650A"/>
    <w:rsid w:val="001A1157"/>
    <w:rsid w:val="001A379D"/>
    <w:rsid w:val="001A3CBB"/>
    <w:rsid w:val="001A4A06"/>
    <w:rsid w:val="001B001B"/>
    <w:rsid w:val="001B0CEF"/>
    <w:rsid w:val="001B6228"/>
    <w:rsid w:val="001F6FCE"/>
    <w:rsid w:val="00203171"/>
    <w:rsid w:val="0020605E"/>
    <w:rsid w:val="00207FD8"/>
    <w:rsid w:val="002106C9"/>
    <w:rsid w:val="002170B0"/>
    <w:rsid w:val="00221E2B"/>
    <w:rsid w:val="0024777B"/>
    <w:rsid w:val="00261E37"/>
    <w:rsid w:val="00270751"/>
    <w:rsid w:val="002833FF"/>
    <w:rsid w:val="002B2BEF"/>
    <w:rsid w:val="002B6203"/>
    <w:rsid w:val="002C0EFD"/>
    <w:rsid w:val="002C5AA5"/>
    <w:rsid w:val="002C6AA7"/>
    <w:rsid w:val="002D2A6D"/>
    <w:rsid w:val="002D3115"/>
    <w:rsid w:val="002D5372"/>
    <w:rsid w:val="002E2AB2"/>
    <w:rsid w:val="002E4DC6"/>
    <w:rsid w:val="0030256C"/>
    <w:rsid w:val="0031073D"/>
    <w:rsid w:val="00311AB5"/>
    <w:rsid w:val="00313145"/>
    <w:rsid w:val="0032106F"/>
    <w:rsid w:val="00325DE0"/>
    <w:rsid w:val="00331DC5"/>
    <w:rsid w:val="00332AB6"/>
    <w:rsid w:val="003424D6"/>
    <w:rsid w:val="00343AFA"/>
    <w:rsid w:val="00360D35"/>
    <w:rsid w:val="00367D7A"/>
    <w:rsid w:val="00390E75"/>
    <w:rsid w:val="0039112B"/>
    <w:rsid w:val="003A147D"/>
    <w:rsid w:val="003A3C26"/>
    <w:rsid w:val="003B0484"/>
    <w:rsid w:val="003E0C5C"/>
    <w:rsid w:val="003E31F1"/>
    <w:rsid w:val="003E6069"/>
    <w:rsid w:val="003F61D5"/>
    <w:rsid w:val="00411B0C"/>
    <w:rsid w:val="00424393"/>
    <w:rsid w:val="00426193"/>
    <w:rsid w:val="00431697"/>
    <w:rsid w:val="004539B5"/>
    <w:rsid w:val="004543AB"/>
    <w:rsid w:val="00456210"/>
    <w:rsid w:val="00466AA6"/>
    <w:rsid w:val="004678CF"/>
    <w:rsid w:val="0047783C"/>
    <w:rsid w:val="004871C7"/>
    <w:rsid w:val="004C5AD2"/>
    <w:rsid w:val="004D097D"/>
    <w:rsid w:val="004E2535"/>
    <w:rsid w:val="004F10C2"/>
    <w:rsid w:val="005018E0"/>
    <w:rsid w:val="00504EAD"/>
    <w:rsid w:val="0051091F"/>
    <w:rsid w:val="00516DBF"/>
    <w:rsid w:val="005342E2"/>
    <w:rsid w:val="00544B35"/>
    <w:rsid w:val="00545340"/>
    <w:rsid w:val="00547554"/>
    <w:rsid w:val="00556766"/>
    <w:rsid w:val="00587C4F"/>
    <w:rsid w:val="005A3ED9"/>
    <w:rsid w:val="005C44BD"/>
    <w:rsid w:val="005D0829"/>
    <w:rsid w:val="005F0E88"/>
    <w:rsid w:val="005F7CA6"/>
    <w:rsid w:val="00600FE2"/>
    <w:rsid w:val="00612F17"/>
    <w:rsid w:val="006157FD"/>
    <w:rsid w:val="0062235E"/>
    <w:rsid w:val="00626B90"/>
    <w:rsid w:val="00637DFC"/>
    <w:rsid w:val="00651D7F"/>
    <w:rsid w:val="00656C0A"/>
    <w:rsid w:val="006649FA"/>
    <w:rsid w:val="006908AF"/>
    <w:rsid w:val="00691302"/>
    <w:rsid w:val="006A3BDF"/>
    <w:rsid w:val="006A5319"/>
    <w:rsid w:val="006B0DBC"/>
    <w:rsid w:val="006B2313"/>
    <w:rsid w:val="006B7E64"/>
    <w:rsid w:val="006D63DA"/>
    <w:rsid w:val="007000F9"/>
    <w:rsid w:val="00715E10"/>
    <w:rsid w:val="00716045"/>
    <w:rsid w:val="00723473"/>
    <w:rsid w:val="00725231"/>
    <w:rsid w:val="0073536D"/>
    <w:rsid w:val="00736DC1"/>
    <w:rsid w:val="00741011"/>
    <w:rsid w:val="00747AE4"/>
    <w:rsid w:val="00750E21"/>
    <w:rsid w:val="00750E24"/>
    <w:rsid w:val="007622AE"/>
    <w:rsid w:val="00771BC6"/>
    <w:rsid w:val="00781986"/>
    <w:rsid w:val="007947CC"/>
    <w:rsid w:val="00797D11"/>
    <w:rsid w:val="007B60ED"/>
    <w:rsid w:val="007C279F"/>
    <w:rsid w:val="007C474F"/>
    <w:rsid w:val="007D3DC0"/>
    <w:rsid w:val="007E376A"/>
    <w:rsid w:val="007F6962"/>
    <w:rsid w:val="00803985"/>
    <w:rsid w:val="0080651B"/>
    <w:rsid w:val="00812827"/>
    <w:rsid w:val="00817F95"/>
    <w:rsid w:val="00827062"/>
    <w:rsid w:val="00851485"/>
    <w:rsid w:val="00856233"/>
    <w:rsid w:val="00867BB6"/>
    <w:rsid w:val="0087230D"/>
    <w:rsid w:val="00884F85"/>
    <w:rsid w:val="00885DB8"/>
    <w:rsid w:val="0089356E"/>
    <w:rsid w:val="008B15AB"/>
    <w:rsid w:val="008B30B6"/>
    <w:rsid w:val="008B5B28"/>
    <w:rsid w:val="008C0054"/>
    <w:rsid w:val="008C14B0"/>
    <w:rsid w:val="008C38A8"/>
    <w:rsid w:val="008D15D2"/>
    <w:rsid w:val="008D47B1"/>
    <w:rsid w:val="008E5AD4"/>
    <w:rsid w:val="008F0A0F"/>
    <w:rsid w:val="008F5DDD"/>
    <w:rsid w:val="009118B1"/>
    <w:rsid w:val="009234CA"/>
    <w:rsid w:val="00924638"/>
    <w:rsid w:val="00924F11"/>
    <w:rsid w:val="00926D49"/>
    <w:rsid w:val="0093621F"/>
    <w:rsid w:val="00942126"/>
    <w:rsid w:val="00943AF0"/>
    <w:rsid w:val="0094649D"/>
    <w:rsid w:val="00955866"/>
    <w:rsid w:val="00963FC4"/>
    <w:rsid w:val="00982F34"/>
    <w:rsid w:val="00985488"/>
    <w:rsid w:val="00996298"/>
    <w:rsid w:val="009C5CD5"/>
    <w:rsid w:val="009C61D7"/>
    <w:rsid w:val="009D2896"/>
    <w:rsid w:val="00A027F6"/>
    <w:rsid w:val="00A03961"/>
    <w:rsid w:val="00A11687"/>
    <w:rsid w:val="00A20857"/>
    <w:rsid w:val="00A24D2B"/>
    <w:rsid w:val="00A3016F"/>
    <w:rsid w:val="00A332A2"/>
    <w:rsid w:val="00A56339"/>
    <w:rsid w:val="00A633D7"/>
    <w:rsid w:val="00A6403E"/>
    <w:rsid w:val="00A71341"/>
    <w:rsid w:val="00A75E88"/>
    <w:rsid w:val="00A84821"/>
    <w:rsid w:val="00AA234C"/>
    <w:rsid w:val="00AC246A"/>
    <w:rsid w:val="00AC64C9"/>
    <w:rsid w:val="00AD43D0"/>
    <w:rsid w:val="00AF3BD2"/>
    <w:rsid w:val="00B008F1"/>
    <w:rsid w:val="00B01451"/>
    <w:rsid w:val="00B01B38"/>
    <w:rsid w:val="00B16A8C"/>
    <w:rsid w:val="00B268D3"/>
    <w:rsid w:val="00B335D0"/>
    <w:rsid w:val="00B35A1A"/>
    <w:rsid w:val="00B36226"/>
    <w:rsid w:val="00B42523"/>
    <w:rsid w:val="00B47F7A"/>
    <w:rsid w:val="00B55BE2"/>
    <w:rsid w:val="00B55DCD"/>
    <w:rsid w:val="00B86EA2"/>
    <w:rsid w:val="00B96C00"/>
    <w:rsid w:val="00BB21F0"/>
    <w:rsid w:val="00BB5ACF"/>
    <w:rsid w:val="00BD0402"/>
    <w:rsid w:val="00BD5B0D"/>
    <w:rsid w:val="00BD65DC"/>
    <w:rsid w:val="00BE06D6"/>
    <w:rsid w:val="00BF10D0"/>
    <w:rsid w:val="00BF3182"/>
    <w:rsid w:val="00C03DAF"/>
    <w:rsid w:val="00C05776"/>
    <w:rsid w:val="00C0744E"/>
    <w:rsid w:val="00C115BA"/>
    <w:rsid w:val="00C11C9F"/>
    <w:rsid w:val="00C13110"/>
    <w:rsid w:val="00C20014"/>
    <w:rsid w:val="00C36627"/>
    <w:rsid w:val="00C54EE8"/>
    <w:rsid w:val="00C55CCF"/>
    <w:rsid w:val="00C65ECC"/>
    <w:rsid w:val="00C77EBA"/>
    <w:rsid w:val="00C90FA8"/>
    <w:rsid w:val="00CA3119"/>
    <w:rsid w:val="00CA7F11"/>
    <w:rsid w:val="00CC2386"/>
    <w:rsid w:val="00CC2838"/>
    <w:rsid w:val="00CD5C4E"/>
    <w:rsid w:val="00CE3F27"/>
    <w:rsid w:val="00CE6397"/>
    <w:rsid w:val="00CF2A28"/>
    <w:rsid w:val="00CF2DE8"/>
    <w:rsid w:val="00D02DA5"/>
    <w:rsid w:val="00D048C8"/>
    <w:rsid w:val="00D1722B"/>
    <w:rsid w:val="00D21F52"/>
    <w:rsid w:val="00D22CE3"/>
    <w:rsid w:val="00D243EB"/>
    <w:rsid w:val="00D30330"/>
    <w:rsid w:val="00D37CFE"/>
    <w:rsid w:val="00D42670"/>
    <w:rsid w:val="00D444D0"/>
    <w:rsid w:val="00D538A5"/>
    <w:rsid w:val="00D82EC3"/>
    <w:rsid w:val="00D92F89"/>
    <w:rsid w:val="00D97E70"/>
    <w:rsid w:val="00DA10B3"/>
    <w:rsid w:val="00DA7450"/>
    <w:rsid w:val="00DB0A8E"/>
    <w:rsid w:val="00DC0347"/>
    <w:rsid w:val="00DC4453"/>
    <w:rsid w:val="00DD3A8F"/>
    <w:rsid w:val="00DE4609"/>
    <w:rsid w:val="00DE5372"/>
    <w:rsid w:val="00DF2526"/>
    <w:rsid w:val="00DF3A37"/>
    <w:rsid w:val="00DF5142"/>
    <w:rsid w:val="00DF5E00"/>
    <w:rsid w:val="00DF6897"/>
    <w:rsid w:val="00DF73BF"/>
    <w:rsid w:val="00E056E9"/>
    <w:rsid w:val="00E276E4"/>
    <w:rsid w:val="00E316B5"/>
    <w:rsid w:val="00E41443"/>
    <w:rsid w:val="00E5033F"/>
    <w:rsid w:val="00E62CC0"/>
    <w:rsid w:val="00E72434"/>
    <w:rsid w:val="00E857F9"/>
    <w:rsid w:val="00EE39DE"/>
    <w:rsid w:val="00F166F4"/>
    <w:rsid w:val="00F24C0C"/>
    <w:rsid w:val="00F34662"/>
    <w:rsid w:val="00F3657E"/>
    <w:rsid w:val="00F56EDF"/>
    <w:rsid w:val="00F57445"/>
    <w:rsid w:val="00F609C6"/>
    <w:rsid w:val="00FB299E"/>
    <w:rsid w:val="00FC1B00"/>
    <w:rsid w:val="00FC71E1"/>
    <w:rsid w:val="00FD1674"/>
    <w:rsid w:val="00FE6C90"/>
    <w:rsid w:val="00FF3B43"/>
    <w:rsid w:val="00FF41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BD080D"/>
  <w15:docId w15:val="{937EF43C-6609-463C-99E1-C05D9B08E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uiPriority w:val="1"/>
    <w:qFormat/>
    <w:pPr>
      <w:widowControl w:val="0"/>
      <w:autoSpaceDE w:val="0"/>
      <w:autoSpaceDN w:val="0"/>
    </w:pPr>
    <w:rPr>
      <w:rFonts w:ascii="Times New Roman" w:eastAsia="Times New Roman" w:hAnsi="Times New Roman"/>
      <w:sz w:val="22"/>
      <w:szCs w:val="22"/>
      <w:lang w:val="en-US" w:eastAsia="en-US"/>
    </w:rPr>
  </w:style>
  <w:style w:type="paragraph" w:styleId="Cmsor1">
    <w:name w:val="heading 1"/>
    <w:basedOn w:val="Norml"/>
    <w:link w:val="Cmsor1Char"/>
    <w:uiPriority w:val="1"/>
    <w:qFormat/>
    <w:pPr>
      <w:ind w:left="107"/>
      <w:outlineLvl w:val="0"/>
    </w:pPr>
    <w:rPr>
      <w:b/>
      <w:bCs/>
    </w:rPr>
  </w:style>
  <w:style w:type="paragraph" w:styleId="Cmsor2">
    <w:name w:val="heading 2"/>
    <w:basedOn w:val="Norml"/>
    <w:next w:val="Norml"/>
    <w:link w:val="Cmsor2Char"/>
    <w:uiPriority w:val="9"/>
    <w:semiHidden/>
    <w:unhideWhenUsed/>
    <w:qFormat/>
    <w:rsid w:val="00885DB8"/>
    <w:pPr>
      <w:keepNext/>
      <w:keepLines/>
      <w:spacing w:before="40"/>
      <w:outlineLvl w:val="1"/>
    </w:pPr>
    <w:rPr>
      <w:rFonts w:ascii="Cambria" w:hAnsi="Cambria"/>
      <w:color w:val="365F91"/>
      <w:sz w:val="26"/>
      <w:szCs w:val="26"/>
    </w:rPr>
  </w:style>
  <w:style w:type="paragraph" w:styleId="Cmsor5">
    <w:name w:val="heading 5"/>
    <w:basedOn w:val="Norml"/>
    <w:next w:val="Norml"/>
    <w:link w:val="Cmsor5Char"/>
    <w:uiPriority w:val="9"/>
    <w:semiHidden/>
    <w:unhideWhenUsed/>
    <w:qFormat/>
    <w:rsid w:val="000533C1"/>
    <w:pPr>
      <w:keepNext/>
      <w:keepLines/>
      <w:spacing w:before="40"/>
      <w:outlineLvl w:val="4"/>
    </w:pPr>
    <w:rPr>
      <w:rFonts w:asciiTheme="majorHAnsi" w:eastAsiaTheme="majorEastAsia" w:hAnsiTheme="majorHAnsi" w:cstheme="majorBidi"/>
      <w:color w:val="2F5496"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1"/>
    <w:qFormat/>
    <w:pPr>
      <w:ind w:left="828" w:hanging="360"/>
    </w:pPr>
  </w:style>
  <w:style w:type="paragraph" w:customStyle="1" w:styleId="TableParagraph">
    <w:name w:val="Table Paragraph"/>
    <w:basedOn w:val="Norml"/>
    <w:uiPriority w:val="1"/>
    <w:qFormat/>
    <w:pPr>
      <w:ind w:left="100"/>
    </w:pPr>
  </w:style>
  <w:style w:type="character" w:customStyle="1" w:styleId="Cmsor2Char">
    <w:name w:val="Címsor 2 Char"/>
    <w:link w:val="Cmsor2"/>
    <w:rsid w:val="00885DB8"/>
    <w:rPr>
      <w:rFonts w:ascii="Cambria" w:eastAsia="Times New Roman" w:hAnsi="Cambria" w:cs="Times New Roman"/>
      <w:color w:val="365F91"/>
      <w:sz w:val="26"/>
      <w:szCs w:val="26"/>
    </w:rPr>
  </w:style>
  <w:style w:type="character" w:customStyle="1" w:styleId="Cmsor1Char">
    <w:name w:val="Címsor 1 Char"/>
    <w:link w:val="Cmsor1"/>
    <w:uiPriority w:val="1"/>
    <w:rsid w:val="001A3CBB"/>
    <w:rPr>
      <w:rFonts w:ascii="Times New Roman" w:eastAsia="Times New Roman" w:hAnsi="Times New Roman" w:cs="Times New Roman"/>
      <w:b/>
      <w:bCs/>
    </w:rPr>
  </w:style>
  <w:style w:type="paragraph" w:styleId="lfej">
    <w:name w:val="header"/>
    <w:basedOn w:val="Norml"/>
    <w:link w:val="lfejChar"/>
    <w:uiPriority w:val="99"/>
    <w:rsid w:val="008B30B6"/>
    <w:pPr>
      <w:widowControl/>
      <w:tabs>
        <w:tab w:val="left" w:pos="567"/>
        <w:tab w:val="center" w:pos="4153"/>
        <w:tab w:val="right" w:pos="8306"/>
      </w:tabs>
      <w:autoSpaceDE/>
      <w:autoSpaceDN/>
    </w:pPr>
    <w:rPr>
      <w:rFonts w:ascii="Helvetica" w:hAnsi="Helvetica"/>
      <w:sz w:val="20"/>
      <w:szCs w:val="20"/>
      <w:lang w:val="en-GB"/>
    </w:rPr>
  </w:style>
  <w:style w:type="character" w:customStyle="1" w:styleId="lfejChar">
    <w:name w:val="Élőfej Char"/>
    <w:link w:val="lfej"/>
    <w:uiPriority w:val="99"/>
    <w:rsid w:val="008B30B6"/>
    <w:rPr>
      <w:rFonts w:ascii="Helvetica" w:eastAsia="Times New Roman" w:hAnsi="Helvetica" w:cs="Times New Roman"/>
      <w:sz w:val="20"/>
      <w:szCs w:val="20"/>
      <w:lang w:val="en-GB"/>
    </w:rPr>
  </w:style>
  <w:style w:type="paragraph" w:styleId="Jegyzetszveg">
    <w:name w:val="annotation text"/>
    <w:basedOn w:val="Norml"/>
    <w:link w:val="JegyzetszvegChar"/>
    <w:uiPriority w:val="99"/>
    <w:unhideWhenUsed/>
    <w:rsid w:val="006B0DBC"/>
    <w:rPr>
      <w:sz w:val="20"/>
      <w:szCs w:val="20"/>
    </w:rPr>
  </w:style>
  <w:style w:type="character" w:customStyle="1" w:styleId="JegyzetszvegChar">
    <w:name w:val="Jegyzetszöveg Char"/>
    <w:link w:val="Jegyzetszveg"/>
    <w:uiPriority w:val="99"/>
    <w:rsid w:val="006B0DBC"/>
    <w:rPr>
      <w:rFonts w:ascii="Times New Roman" w:eastAsia="Times New Roman" w:hAnsi="Times New Roman" w:cs="Times New Roman"/>
      <w:sz w:val="20"/>
      <w:szCs w:val="20"/>
    </w:rPr>
  </w:style>
  <w:style w:type="character" w:styleId="Jegyzethivatkozs">
    <w:name w:val="annotation reference"/>
    <w:uiPriority w:val="99"/>
    <w:semiHidden/>
    <w:unhideWhenUsed/>
    <w:rsid w:val="006B0DBC"/>
    <w:rPr>
      <w:sz w:val="16"/>
      <w:szCs w:val="16"/>
    </w:rPr>
  </w:style>
  <w:style w:type="paragraph" w:styleId="Buborkszveg">
    <w:name w:val="Balloon Text"/>
    <w:basedOn w:val="Norml"/>
    <w:link w:val="BuborkszvegChar"/>
    <w:uiPriority w:val="99"/>
    <w:semiHidden/>
    <w:unhideWhenUsed/>
    <w:rsid w:val="006B0DBC"/>
    <w:rPr>
      <w:rFonts w:ascii="Tahoma" w:hAnsi="Tahoma" w:cs="Tahoma"/>
      <w:sz w:val="16"/>
      <w:szCs w:val="16"/>
    </w:rPr>
  </w:style>
  <w:style w:type="character" w:customStyle="1" w:styleId="BuborkszvegChar">
    <w:name w:val="Buborékszöveg Char"/>
    <w:link w:val="Buborkszveg"/>
    <w:uiPriority w:val="99"/>
    <w:semiHidden/>
    <w:rsid w:val="006B0DBC"/>
    <w:rPr>
      <w:rFonts w:ascii="Tahoma" w:eastAsia="Times New Roman" w:hAnsi="Tahoma" w:cs="Tahoma"/>
      <w:sz w:val="16"/>
      <w:szCs w:val="16"/>
    </w:rPr>
  </w:style>
  <w:style w:type="character" w:styleId="Hiperhivatkozs">
    <w:name w:val="Hyperlink"/>
    <w:uiPriority w:val="99"/>
    <w:unhideWhenUsed/>
    <w:rsid w:val="00424393"/>
    <w:rPr>
      <w:color w:val="0000FF"/>
      <w:u w:val="single"/>
    </w:rPr>
  </w:style>
  <w:style w:type="paragraph" w:styleId="Megjegyzstrgya">
    <w:name w:val="annotation subject"/>
    <w:basedOn w:val="Jegyzetszveg"/>
    <w:next w:val="Jegyzetszveg"/>
    <w:link w:val="MegjegyzstrgyaChar"/>
    <w:uiPriority w:val="99"/>
    <w:semiHidden/>
    <w:unhideWhenUsed/>
    <w:rsid w:val="00867BB6"/>
    <w:rPr>
      <w:b/>
      <w:bCs/>
    </w:rPr>
  </w:style>
  <w:style w:type="character" w:customStyle="1" w:styleId="MegjegyzstrgyaChar">
    <w:name w:val="Megjegyzés tárgya Char"/>
    <w:link w:val="Megjegyzstrgya"/>
    <w:uiPriority w:val="99"/>
    <w:semiHidden/>
    <w:rsid w:val="00867BB6"/>
    <w:rPr>
      <w:rFonts w:ascii="Times New Roman" w:eastAsia="Times New Roman" w:hAnsi="Times New Roman" w:cs="Times New Roman"/>
      <w:b/>
      <w:bCs/>
      <w:sz w:val="20"/>
      <w:szCs w:val="20"/>
    </w:rPr>
  </w:style>
  <w:style w:type="paragraph" w:styleId="llb">
    <w:name w:val="footer"/>
    <w:basedOn w:val="Norml"/>
    <w:link w:val="llbChar"/>
    <w:uiPriority w:val="99"/>
    <w:unhideWhenUsed/>
    <w:rsid w:val="00B01451"/>
    <w:pPr>
      <w:tabs>
        <w:tab w:val="center" w:pos="4536"/>
        <w:tab w:val="right" w:pos="9072"/>
      </w:tabs>
    </w:pPr>
  </w:style>
  <w:style w:type="character" w:customStyle="1" w:styleId="llbChar">
    <w:name w:val="Élőláb Char"/>
    <w:link w:val="llb"/>
    <w:uiPriority w:val="99"/>
    <w:rsid w:val="00B01451"/>
    <w:rPr>
      <w:rFonts w:ascii="Times New Roman" w:eastAsia="Times New Roman" w:hAnsi="Times New Roman" w:cs="Times New Roman"/>
    </w:rPr>
  </w:style>
  <w:style w:type="paragraph" w:customStyle="1" w:styleId="Default">
    <w:name w:val="Default"/>
    <w:rsid w:val="00942126"/>
    <w:pPr>
      <w:autoSpaceDE w:val="0"/>
      <w:autoSpaceDN w:val="0"/>
      <w:adjustRightInd w:val="0"/>
    </w:pPr>
    <w:rPr>
      <w:rFonts w:ascii="Times New Roman" w:hAnsi="Times New Roman"/>
      <w:color w:val="000000"/>
      <w:sz w:val="24"/>
      <w:szCs w:val="24"/>
      <w:lang w:eastAsia="en-US"/>
    </w:rPr>
  </w:style>
  <w:style w:type="paragraph" w:styleId="Vltozat">
    <w:name w:val="Revision"/>
    <w:hidden/>
    <w:uiPriority w:val="99"/>
    <w:semiHidden/>
    <w:rsid w:val="00741011"/>
    <w:rPr>
      <w:rFonts w:ascii="Times New Roman" w:eastAsia="Times New Roman" w:hAnsi="Times New Roman"/>
      <w:sz w:val="22"/>
      <w:szCs w:val="22"/>
      <w:lang w:val="en-US" w:eastAsia="en-US"/>
    </w:rPr>
  </w:style>
  <w:style w:type="paragraph" w:styleId="Felsorols">
    <w:name w:val="List Bullet"/>
    <w:basedOn w:val="Norml"/>
    <w:uiPriority w:val="99"/>
    <w:unhideWhenUsed/>
    <w:rsid w:val="00E5033F"/>
    <w:pPr>
      <w:numPr>
        <w:ilvl w:val="2"/>
        <w:numId w:val="30"/>
      </w:numPr>
      <w:contextualSpacing/>
    </w:pPr>
  </w:style>
  <w:style w:type="character" w:customStyle="1" w:styleId="shorttext">
    <w:name w:val="short_text"/>
    <w:basedOn w:val="Bekezdsalapbettpusa"/>
    <w:rsid w:val="00167B1A"/>
  </w:style>
  <w:style w:type="character" w:customStyle="1" w:styleId="ReplaceText">
    <w:name w:val="Replace Text"/>
    <w:rsid w:val="000533C1"/>
    <w:rPr>
      <w:color w:val="FF00FF"/>
    </w:rPr>
  </w:style>
  <w:style w:type="character" w:customStyle="1" w:styleId="Cmsor5Char">
    <w:name w:val="Címsor 5 Char"/>
    <w:basedOn w:val="Bekezdsalapbettpusa"/>
    <w:link w:val="Cmsor5"/>
    <w:uiPriority w:val="9"/>
    <w:semiHidden/>
    <w:rsid w:val="000533C1"/>
    <w:rPr>
      <w:rFonts w:asciiTheme="majorHAnsi" w:eastAsiaTheme="majorEastAsia" w:hAnsiTheme="majorHAnsi" w:cstheme="majorBidi"/>
      <w:color w:val="2F5496" w:themeColor="accent1" w:themeShade="BF"/>
      <w:sz w:val="22"/>
      <w:szCs w:val="22"/>
      <w:lang w:val="en-US" w:eastAsia="en-US"/>
    </w:rPr>
  </w:style>
  <w:style w:type="paragraph" w:customStyle="1" w:styleId="TblTextCenter">
    <w:name w:val="Tbl Text Center"/>
    <w:basedOn w:val="Norml"/>
    <w:link w:val="TblTextCenterCar"/>
    <w:rsid w:val="00456210"/>
    <w:pPr>
      <w:widowControl/>
      <w:autoSpaceDE/>
      <w:autoSpaceDN/>
      <w:spacing w:before="60" w:after="60"/>
      <w:jc w:val="center"/>
    </w:pPr>
    <w:rPr>
      <w:rFonts w:eastAsia="MS Gothic"/>
      <w:sz w:val="20"/>
      <w:szCs w:val="20"/>
    </w:rPr>
  </w:style>
  <w:style w:type="paragraph" w:customStyle="1" w:styleId="TblHeadingCenter">
    <w:name w:val="Tbl Heading Center"/>
    <w:basedOn w:val="Norml"/>
    <w:link w:val="TblHeadingCenterChar"/>
    <w:rsid w:val="00456210"/>
    <w:pPr>
      <w:widowControl/>
      <w:autoSpaceDE/>
      <w:autoSpaceDN/>
      <w:spacing w:before="60" w:after="60"/>
      <w:jc w:val="center"/>
    </w:pPr>
    <w:rPr>
      <w:rFonts w:eastAsia="MS Gothic" w:cs="Arial"/>
      <w:b/>
      <w:noProof/>
      <w:sz w:val="20"/>
      <w:szCs w:val="20"/>
      <w:lang w:val="de-DE"/>
    </w:rPr>
  </w:style>
  <w:style w:type="character" w:customStyle="1" w:styleId="TblTextCenterCar">
    <w:name w:val="Tbl Text Center Car"/>
    <w:link w:val="TblTextCenter"/>
    <w:rsid w:val="00456210"/>
    <w:rPr>
      <w:rFonts w:ascii="Times New Roman" w:eastAsia="MS Gothic" w:hAnsi="Times New Roman"/>
      <w:lang w:val="en-US" w:eastAsia="en-US"/>
    </w:rPr>
  </w:style>
  <w:style w:type="paragraph" w:styleId="Kpalrs">
    <w:name w:val="caption"/>
    <w:aliases w:val="Bayer Caption,Figure A. Char,Lengende"/>
    <w:basedOn w:val="Norml"/>
    <w:next w:val="Norml"/>
    <w:link w:val="KpalrsChar"/>
    <w:uiPriority w:val="99"/>
    <w:unhideWhenUsed/>
    <w:qFormat/>
    <w:rsid w:val="00456210"/>
    <w:pPr>
      <w:tabs>
        <w:tab w:val="left" w:pos="567"/>
      </w:tabs>
      <w:autoSpaceDE/>
      <w:autoSpaceDN/>
      <w:adjustRightInd w:val="0"/>
      <w:spacing w:line="260" w:lineRule="exact"/>
      <w:jc w:val="both"/>
      <w:textAlignment w:val="baseline"/>
    </w:pPr>
    <w:rPr>
      <w:b/>
      <w:bCs/>
      <w:sz w:val="20"/>
      <w:szCs w:val="20"/>
      <w:lang w:val="en-GB"/>
    </w:rPr>
  </w:style>
  <w:style w:type="paragraph" w:customStyle="1" w:styleId="TblTextLeft">
    <w:name w:val="Tbl Text Left"/>
    <w:rsid w:val="00456210"/>
    <w:pPr>
      <w:spacing w:before="60" w:after="60"/>
    </w:pPr>
    <w:rPr>
      <w:rFonts w:ascii="Arial Narrow" w:eastAsia="MS Gothic" w:hAnsi="Arial Narrow"/>
      <w:lang w:val="en-US" w:eastAsia="en-US"/>
    </w:rPr>
  </w:style>
  <w:style w:type="character" w:customStyle="1" w:styleId="TblHeadingCenterChar">
    <w:name w:val="Tbl Heading Center Char"/>
    <w:link w:val="TblHeadingCenter"/>
    <w:locked/>
    <w:rsid w:val="00456210"/>
    <w:rPr>
      <w:rFonts w:ascii="Times New Roman" w:eastAsia="MS Gothic" w:hAnsi="Times New Roman" w:cs="Arial"/>
      <w:b/>
      <w:noProof/>
      <w:lang w:val="de-DE" w:eastAsia="en-US"/>
    </w:rPr>
  </w:style>
  <w:style w:type="character" w:customStyle="1" w:styleId="KpalrsChar">
    <w:name w:val="Képaláírás Char"/>
    <w:aliases w:val="Bayer Caption Char,Figure A. Char Char,Lengende Char"/>
    <w:link w:val="Kpalrs"/>
    <w:uiPriority w:val="99"/>
    <w:locked/>
    <w:rsid w:val="00456210"/>
    <w:rPr>
      <w:rFonts w:ascii="Times New Roman" w:eastAsia="Times New Roman" w:hAnsi="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440711">
      <w:bodyDiv w:val="1"/>
      <w:marLeft w:val="0"/>
      <w:marRight w:val="0"/>
      <w:marTop w:val="0"/>
      <w:marBottom w:val="0"/>
      <w:divBdr>
        <w:top w:val="none" w:sz="0" w:space="0" w:color="auto"/>
        <w:left w:val="none" w:sz="0" w:space="0" w:color="auto"/>
        <w:bottom w:val="none" w:sz="0" w:space="0" w:color="auto"/>
        <w:right w:val="none" w:sz="0" w:space="0" w:color="auto"/>
      </w:divBdr>
    </w:div>
    <w:div w:id="809638258">
      <w:bodyDiv w:val="1"/>
      <w:marLeft w:val="0"/>
      <w:marRight w:val="0"/>
      <w:marTop w:val="0"/>
      <w:marBottom w:val="0"/>
      <w:divBdr>
        <w:top w:val="none" w:sz="0" w:space="0" w:color="auto"/>
        <w:left w:val="none" w:sz="0" w:space="0" w:color="auto"/>
        <w:bottom w:val="none" w:sz="0" w:space="0" w:color="auto"/>
        <w:right w:val="none" w:sz="0" w:space="0" w:color="auto"/>
      </w:divBdr>
    </w:div>
    <w:div w:id="1011570435">
      <w:bodyDiv w:val="1"/>
      <w:marLeft w:val="0"/>
      <w:marRight w:val="0"/>
      <w:marTop w:val="0"/>
      <w:marBottom w:val="0"/>
      <w:divBdr>
        <w:top w:val="none" w:sz="0" w:space="0" w:color="auto"/>
        <w:left w:val="none" w:sz="0" w:space="0" w:color="auto"/>
        <w:bottom w:val="none" w:sz="0" w:space="0" w:color="auto"/>
        <w:right w:val="none" w:sz="0" w:space="0" w:color="auto"/>
      </w:divBdr>
    </w:div>
    <w:div w:id="1229347079">
      <w:bodyDiv w:val="1"/>
      <w:marLeft w:val="0"/>
      <w:marRight w:val="0"/>
      <w:marTop w:val="0"/>
      <w:marBottom w:val="0"/>
      <w:divBdr>
        <w:top w:val="none" w:sz="0" w:space="0" w:color="auto"/>
        <w:left w:val="none" w:sz="0" w:space="0" w:color="auto"/>
        <w:bottom w:val="none" w:sz="0" w:space="0" w:color="auto"/>
        <w:right w:val="none" w:sz="0" w:space="0" w:color="auto"/>
      </w:divBdr>
    </w:div>
    <w:div w:id="1368796917">
      <w:bodyDiv w:val="1"/>
      <w:marLeft w:val="0"/>
      <w:marRight w:val="0"/>
      <w:marTop w:val="0"/>
      <w:marBottom w:val="0"/>
      <w:divBdr>
        <w:top w:val="none" w:sz="0" w:space="0" w:color="auto"/>
        <w:left w:val="none" w:sz="0" w:space="0" w:color="auto"/>
        <w:bottom w:val="none" w:sz="0" w:space="0" w:color="auto"/>
        <w:right w:val="none" w:sz="0" w:space="0" w:color="auto"/>
      </w:divBdr>
    </w:div>
    <w:div w:id="165433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ailymed.nlm.nih.gov/dailymed/drugInfo.cfm?setid=de6fb917-a94a-41ea-9d7d-937d4080ffcd&amp;amp;audience=consumer&amp;amp;footnote-4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dailymed.nlm.nih.gov/dailymed/drugInfo.cfm?setid=de6fb917-a94a-41ea-9d7d-937d4080ffcd&amp;amp;audience=consumer&amp;amp;footnote-3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94190549BEED489CAEEBE10B944C4E" ma:contentTypeVersion="25" ma:contentTypeDescription="Create a new document." ma:contentTypeScope="" ma:versionID="f11813e5a6014cb953ceb8098258989e">
  <xsd:schema xmlns:xsd="http://www.w3.org/2001/XMLSchema" xmlns:xs="http://www.w3.org/2001/XMLSchema" xmlns:p="http://schemas.microsoft.com/office/2006/metadata/properties" xmlns:ns2="b952dd15-0cc3-46e3-907b-6b87426d7430" targetNamespace="http://schemas.microsoft.com/office/2006/metadata/properties" ma:root="true" ma:fieldsID="c8f486b0a33c4f0d126ae4bfecb122ea" ns2:_="">
    <xsd:import namespace="b952dd15-0cc3-46e3-907b-6b87426d7430"/>
    <xsd:element name="properties">
      <xsd:complexType>
        <xsd:sequence>
          <xsd:element name="documentManagement">
            <xsd:complexType>
              <xsd:all>
                <xsd:element ref="ns2:TaxCatchAll" minOccurs="0"/>
                <xsd:element ref="ns2:TaxCatchAllLabel"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52dd15-0cc3-46e3-907b-6b87426d7430"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8c487ea8-5e15-4499-a51c-3ffa2a75685b}" ma:internalName="TaxCatchAll" ma:showField="CatchAllData" ma:web="b952dd15-0cc3-46e3-907b-6b87426d7430">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8c487ea8-5e15-4499-a51c-3ffa2a75685b}" ma:internalName="TaxCatchAllLabel" ma:readOnly="true" ma:showField="CatchAllDataLabel" ma:web="b952dd15-0cc3-46e3-907b-6b87426d7430">
      <xsd:complexType>
        <xsd:complexContent>
          <xsd:extension base="dms:MultiChoiceLookup">
            <xsd:sequence>
              <xsd:element name="Value" type="dms:Lookup" maxOccurs="unbounded" minOccurs="0" nillable="true"/>
            </xsd:sequence>
          </xsd:extension>
        </xsd:complexContent>
      </xsd:complexType>
    </xsd:element>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952dd15-0cc3-46e3-907b-6b87426d7430"/>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BA85A-23E1-4AB7-9018-4B93BEDAE7C7}">
  <ds:schemaRefs>
    <ds:schemaRef ds:uri="http://schemas.microsoft.com/sharepoint/v3/contenttype/forms"/>
  </ds:schemaRefs>
</ds:datastoreItem>
</file>

<file path=customXml/itemProps2.xml><?xml version="1.0" encoding="utf-8"?>
<ds:datastoreItem xmlns:ds="http://schemas.openxmlformats.org/officeDocument/2006/customXml" ds:itemID="{9002F665-8CF3-49FC-A98C-D47C48680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52dd15-0cc3-46e3-907b-6b87426d74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600D70-EFDB-4235-932C-EDAC7978A47C}">
  <ds:schemaRefs>
    <ds:schemaRef ds:uri="http://schemas.microsoft.com/office/infopath/2007/PartnerControls"/>
    <ds:schemaRef ds:uri="http://www.w3.org/XML/1998/namespace"/>
    <ds:schemaRef ds:uri="http://purl.org/dc/dcmitype/"/>
    <ds:schemaRef ds:uri="http://schemas.microsoft.com/office/2006/documentManagement/types"/>
    <ds:schemaRef ds:uri="http://purl.org/dc/terms/"/>
    <ds:schemaRef ds:uri="http://purl.org/dc/elements/1.1/"/>
    <ds:schemaRef ds:uri="http://schemas.microsoft.com/office/2006/metadata/properties"/>
    <ds:schemaRef ds:uri="http://schemas.openxmlformats.org/package/2006/metadata/core-properties"/>
    <ds:schemaRef ds:uri="b952dd15-0cc3-46e3-907b-6b87426d7430"/>
  </ds:schemaRefs>
</ds:datastoreItem>
</file>

<file path=customXml/itemProps4.xml><?xml version="1.0" encoding="utf-8"?>
<ds:datastoreItem xmlns:ds="http://schemas.openxmlformats.org/officeDocument/2006/customXml" ds:itemID="{68811C56-B41C-4195-A257-3DE456D2F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9855</Words>
  <Characters>68001</Characters>
  <Application>Microsoft Office Word</Application>
  <DocSecurity>0</DocSecurity>
  <Lines>566</Lines>
  <Paragraphs>155</Paragraphs>
  <ScaleCrop>false</ScaleCrop>
  <HeadingPairs>
    <vt:vector size="6" baseType="variant">
      <vt:variant>
        <vt:lpstr>Cím</vt:lpstr>
      </vt:variant>
      <vt:variant>
        <vt:i4>1</vt:i4>
      </vt:variant>
      <vt:variant>
        <vt:lpstr>Título</vt:lpstr>
      </vt:variant>
      <vt:variant>
        <vt:i4>1</vt:i4>
      </vt:variant>
      <vt:variant>
        <vt:lpstr>Title</vt:lpstr>
      </vt:variant>
      <vt:variant>
        <vt:i4>1</vt:i4>
      </vt:variant>
    </vt:vector>
  </HeadingPairs>
  <TitlesOfParts>
    <vt:vector size="3" baseType="lpstr">
      <vt:lpstr>Lovenox EMEA-H-A-30-1429</vt:lpstr>
      <vt:lpstr>Lovenox EMEA-H-A-30-1429</vt:lpstr>
      <vt:lpstr>Lovenox EMEA-H-A-30-1429</vt:lpstr>
    </vt:vector>
  </TitlesOfParts>
  <Company>Medis, d.o.o.</Company>
  <LinksUpToDate>false</LinksUpToDate>
  <CharactersWithSpaces>77701</CharactersWithSpaces>
  <SharedDoc>false</SharedDoc>
  <HLinks>
    <vt:vector size="18" baseType="variant">
      <vt:variant>
        <vt:i4>7143550</vt:i4>
      </vt:variant>
      <vt:variant>
        <vt:i4>6</vt:i4>
      </vt:variant>
      <vt:variant>
        <vt:i4>0</vt:i4>
      </vt:variant>
      <vt:variant>
        <vt:i4>5</vt:i4>
      </vt:variant>
      <vt:variant>
        <vt:lpwstr>http://dailymed.nlm.nih.gov/dailymed/drugInfo.cfm?setid=de6fb917-a94a-41ea-9d7d-937d4080ffcd&amp;amp;audience=consumer&amp;amp;footnote-40</vt:lpwstr>
      </vt:variant>
      <vt:variant>
        <vt:lpwstr/>
      </vt:variant>
      <vt:variant>
        <vt:i4>7274617</vt:i4>
      </vt:variant>
      <vt:variant>
        <vt:i4>3</vt:i4>
      </vt:variant>
      <vt:variant>
        <vt:i4>0</vt:i4>
      </vt:variant>
      <vt:variant>
        <vt:i4>5</vt:i4>
      </vt:variant>
      <vt:variant>
        <vt:lpwstr>http://dailymed.nlm.nih.gov/dailymed/drugInfo.cfm?setid=de6fb917-a94a-41ea-9d7d-937d4080ffcd&amp;amp;audience=consumer&amp;amp;footnote-32</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Lovenox EMEA-H-A-30-1429</dc:title>
  <dc:subject>EPAR</dc:subject>
  <dc:creator>CHMP</dc:creator>
  <cp:keywords>Lovenox EMEA-H-A-30-1429</cp:keywords>
  <cp:lastModifiedBy>HU_OGYEI_16.1.1</cp:lastModifiedBy>
  <cp:revision>3</cp:revision>
  <dcterms:created xsi:type="dcterms:W3CDTF">2025-05-29T15:08:00Z</dcterms:created>
  <dcterms:modified xsi:type="dcterms:W3CDTF">2025-05-29T15:08:00Z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2017-01-18T00:00:00Z</vt:filetime>
  </property>
  <property fmtid="{D5CDD505-2E9C-101B-9397-08002B2CF9AE}" pid="3" name="Creator">
    <vt:lpwstr>Acrobat PDFMaker 11 for Word</vt:lpwstr>
  </property>
  <property fmtid="{D5CDD505-2E9C-101B-9397-08002B2CF9AE}" pid="4" name="LastSaved">
    <vt:filetime>2017-03-15T00:00:00Z</vt:filetime>
  </property>
  <property fmtid="{D5CDD505-2E9C-101B-9397-08002B2CF9AE}" pid="5" name="j989daef41b9495a8fbce00462fa7651">
    <vt:lpwstr/>
  </property>
  <property fmtid="{D5CDD505-2E9C-101B-9397-08002B2CF9AE}" pid="6" name="Market">
    <vt:lpwstr/>
  </property>
  <property fmtid="{D5CDD505-2E9C-101B-9397-08002B2CF9AE}" pid="7" name="Year">
    <vt:lpwstr>610;#2017|443d1a6e-0a0c-44ff-be84-d9254c7608de</vt:lpwstr>
  </property>
  <property fmtid="{D5CDD505-2E9C-101B-9397-08002B2CF9AE}" pid="8" name="Product">
    <vt:lpwstr/>
  </property>
  <property fmtid="{D5CDD505-2E9C-101B-9397-08002B2CF9AE}" pid="9" name="ContentTypeId">
    <vt:lpwstr>0x010100F194190549BEED489CAEEBE10B944C4E</vt:lpwstr>
  </property>
  <property fmtid="{D5CDD505-2E9C-101B-9397-08002B2CF9AE}" pid="10" name="nfa878bc9a6d4a39b45b19238f9d72ba">
    <vt:lpwstr>2017|443d1a6e-0a0c-44ff-be84-d9254c7608de</vt:lpwstr>
  </property>
  <property fmtid="{D5CDD505-2E9C-101B-9397-08002B2CF9AE}" pid="11" name="k10395a1545d42c9a28bb8ddc503f409">
    <vt:lpwstr/>
  </property>
</Properties>
</file>