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4C6D" w14:textId="77777777" w:rsidR="00944C5C" w:rsidRPr="00C01E0F" w:rsidRDefault="00944C5C" w:rsidP="00944C5C">
      <w:pPr>
        <w:widowControl w:val="0"/>
        <w:spacing w:line="240" w:lineRule="auto"/>
        <w:rPr>
          <w:lang w:val="hu-HU"/>
        </w:rPr>
      </w:pPr>
      <w:bookmarkStart w:id="0" w:name="_GoBack"/>
      <w:bookmarkEnd w:id="0"/>
      <w:r w:rsidRPr="00C01E0F">
        <w:rPr>
          <w:b/>
          <w:bCs/>
          <w:lang w:val="hu-HU"/>
        </w:rPr>
        <w:t>1.</w:t>
      </w:r>
      <w:r w:rsidRPr="00C01E0F">
        <w:rPr>
          <w:b/>
          <w:bCs/>
          <w:lang w:val="hu-HU"/>
        </w:rPr>
        <w:tab/>
        <w:t>A GYÓGYSZER NEVE</w:t>
      </w:r>
    </w:p>
    <w:p w14:paraId="3848BE8D" w14:textId="77777777" w:rsidR="00944C5C" w:rsidRPr="00C01E0F" w:rsidRDefault="00944C5C" w:rsidP="00944C5C">
      <w:pPr>
        <w:widowControl w:val="0"/>
        <w:spacing w:line="240" w:lineRule="auto"/>
        <w:rPr>
          <w:lang w:val="hu-HU"/>
        </w:rPr>
      </w:pPr>
    </w:p>
    <w:p w14:paraId="59C2EF9A" w14:textId="77777777" w:rsidR="00944C5C" w:rsidRPr="00C01E0F" w:rsidRDefault="00142D15" w:rsidP="00944C5C">
      <w:pPr>
        <w:widowControl w:val="0"/>
        <w:spacing w:line="240" w:lineRule="auto"/>
        <w:rPr>
          <w:lang w:val="hu-HU"/>
        </w:rPr>
      </w:pPr>
      <w:r>
        <w:rPr>
          <w:snapToGrid w:val="0"/>
          <w:lang w:val="hu-HU"/>
        </w:rPr>
        <w:t>Busulfan Teva</w:t>
      </w:r>
      <w:r w:rsidR="00944C5C" w:rsidRPr="00C01E0F">
        <w:rPr>
          <w:snapToGrid w:val="0"/>
          <w:lang w:val="hu-HU"/>
        </w:rPr>
        <w:t xml:space="preserve"> </w:t>
      </w:r>
      <w:r w:rsidR="00944C5C" w:rsidRPr="00C01E0F">
        <w:rPr>
          <w:lang w:val="hu-HU"/>
        </w:rPr>
        <w:t>6 mg/ml koncentrátum oldatos infúzióhoz</w:t>
      </w:r>
    </w:p>
    <w:p w14:paraId="266ED29F" w14:textId="77777777" w:rsidR="00944C5C" w:rsidRPr="00C01E0F" w:rsidRDefault="00944C5C" w:rsidP="00944C5C">
      <w:pPr>
        <w:widowControl w:val="0"/>
        <w:spacing w:line="240" w:lineRule="auto"/>
        <w:rPr>
          <w:lang w:val="hu-HU"/>
        </w:rPr>
      </w:pPr>
    </w:p>
    <w:p w14:paraId="0492D1EA" w14:textId="77777777" w:rsidR="00944C5C" w:rsidRPr="00C01E0F" w:rsidRDefault="00944C5C" w:rsidP="00944C5C">
      <w:pPr>
        <w:widowControl w:val="0"/>
        <w:spacing w:line="240" w:lineRule="auto"/>
        <w:rPr>
          <w:lang w:val="hu-HU"/>
        </w:rPr>
      </w:pPr>
    </w:p>
    <w:p w14:paraId="0F8BC1AC" w14:textId="77777777" w:rsidR="00944C5C" w:rsidRPr="00C01E0F" w:rsidRDefault="00944C5C" w:rsidP="00944C5C">
      <w:pPr>
        <w:widowControl w:val="0"/>
        <w:spacing w:line="240" w:lineRule="auto"/>
        <w:rPr>
          <w:b/>
          <w:bCs/>
          <w:lang w:val="hu-HU"/>
        </w:rPr>
      </w:pPr>
      <w:r w:rsidRPr="00C01E0F">
        <w:rPr>
          <w:b/>
          <w:bCs/>
          <w:lang w:val="hu-HU"/>
        </w:rPr>
        <w:t>2.</w:t>
      </w:r>
      <w:r w:rsidRPr="00C01E0F">
        <w:rPr>
          <w:b/>
          <w:bCs/>
          <w:lang w:val="hu-HU"/>
        </w:rPr>
        <w:tab/>
        <w:t>MINŐSÉGI ÉS MENNYISÉGI ÖSSZETÉTEL</w:t>
      </w:r>
    </w:p>
    <w:p w14:paraId="7F9197C8" w14:textId="77777777" w:rsidR="00944C5C" w:rsidRPr="00C01E0F" w:rsidRDefault="00944C5C" w:rsidP="00944C5C">
      <w:pPr>
        <w:widowControl w:val="0"/>
        <w:spacing w:line="240" w:lineRule="auto"/>
        <w:rPr>
          <w:bCs/>
          <w:lang w:val="hu-HU"/>
        </w:rPr>
      </w:pPr>
    </w:p>
    <w:p w14:paraId="0F78CB9F" w14:textId="206D0BA8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6 mg buszulfán</w:t>
      </w:r>
      <w:r w:rsidR="00747450">
        <w:rPr>
          <w:rFonts w:eastAsiaTheme="minorHAnsi"/>
          <w:lang w:val="hu-HU"/>
        </w:rPr>
        <w:t>t tartalmaz</w:t>
      </w:r>
      <w:r w:rsidRPr="00C01E0F">
        <w:rPr>
          <w:rFonts w:eastAsiaTheme="minorHAnsi"/>
          <w:lang w:val="hu-HU"/>
        </w:rPr>
        <w:t xml:space="preserve"> egy milliliter koncentrátumban (60 mg 10 ml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ben)</w:t>
      </w:r>
      <w:r>
        <w:rPr>
          <w:rFonts w:eastAsiaTheme="minorHAnsi"/>
          <w:lang w:val="hu-HU"/>
        </w:rPr>
        <w:t>.</w:t>
      </w:r>
    </w:p>
    <w:p w14:paraId="28283EE5" w14:textId="77777777" w:rsidR="00944C5C" w:rsidRPr="00C01E0F" w:rsidRDefault="00944C5C" w:rsidP="00944C5C">
      <w:pPr>
        <w:widowControl w:val="0"/>
        <w:spacing w:line="240" w:lineRule="auto"/>
        <w:rPr>
          <w:b/>
          <w:bCs/>
          <w:lang w:val="hu-HU"/>
        </w:rPr>
      </w:pPr>
      <w:r w:rsidRPr="00C01E0F">
        <w:rPr>
          <w:rFonts w:eastAsiaTheme="minorHAnsi"/>
          <w:lang w:val="hu-HU"/>
        </w:rPr>
        <w:t>Hígítás után: 1 ml olda</w:t>
      </w:r>
      <w:r w:rsidR="00904CBD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0,5 mg buszulfánt tartalmaz</w:t>
      </w:r>
      <w:r>
        <w:rPr>
          <w:rFonts w:eastAsiaTheme="minorHAnsi"/>
          <w:lang w:val="hu-HU"/>
        </w:rPr>
        <w:t>.</w:t>
      </w:r>
    </w:p>
    <w:p w14:paraId="2B01B082" w14:textId="77777777" w:rsidR="00944C5C" w:rsidRPr="00C01E0F" w:rsidRDefault="00944C5C" w:rsidP="00944C5C">
      <w:pPr>
        <w:widowControl w:val="0"/>
        <w:spacing w:line="240" w:lineRule="auto"/>
        <w:rPr>
          <w:lang w:val="hu-HU"/>
        </w:rPr>
      </w:pPr>
      <w:r w:rsidRPr="00C01E0F">
        <w:rPr>
          <w:lang w:val="hu-HU"/>
        </w:rPr>
        <w:t>A segédanyagok teljes listáját lásd a 6.1 pontban.</w:t>
      </w:r>
    </w:p>
    <w:p w14:paraId="7ADD327B" w14:textId="77777777" w:rsidR="00944C5C" w:rsidRPr="00904CBD" w:rsidRDefault="00944C5C" w:rsidP="00944C5C">
      <w:pPr>
        <w:widowControl w:val="0"/>
        <w:spacing w:line="240" w:lineRule="auto"/>
        <w:rPr>
          <w:bCs/>
          <w:lang w:val="hu-HU"/>
        </w:rPr>
      </w:pPr>
    </w:p>
    <w:p w14:paraId="12E68EEC" w14:textId="77777777" w:rsidR="00944C5C" w:rsidRPr="00904CBD" w:rsidRDefault="00944C5C" w:rsidP="00944C5C">
      <w:pPr>
        <w:widowControl w:val="0"/>
        <w:spacing w:line="240" w:lineRule="auto"/>
        <w:rPr>
          <w:bCs/>
          <w:lang w:val="hu-HU"/>
        </w:rPr>
      </w:pPr>
    </w:p>
    <w:p w14:paraId="3205BF7D" w14:textId="77777777" w:rsidR="00944C5C" w:rsidRPr="00C01E0F" w:rsidRDefault="00944C5C" w:rsidP="00944C5C">
      <w:pPr>
        <w:spacing w:line="240" w:lineRule="auto"/>
        <w:ind w:left="567" w:hanging="567"/>
        <w:rPr>
          <w:b/>
          <w:bCs/>
          <w:lang w:val="hu-HU"/>
        </w:rPr>
      </w:pPr>
      <w:r w:rsidRPr="00C01E0F">
        <w:rPr>
          <w:b/>
          <w:bCs/>
          <w:lang w:val="hu-HU"/>
        </w:rPr>
        <w:t>3.</w:t>
      </w:r>
      <w:r w:rsidRPr="00C01E0F">
        <w:rPr>
          <w:b/>
          <w:bCs/>
          <w:lang w:val="hu-HU"/>
        </w:rPr>
        <w:tab/>
        <w:t>GYÓGYSZERFORMA</w:t>
      </w:r>
    </w:p>
    <w:p w14:paraId="218FEA64" w14:textId="77777777" w:rsidR="00944C5C" w:rsidRPr="00904CBD" w:rsidRDefault="00944C5C" w:rsidP="00944C5C">
      <w:pPr>
        <w:spacing w:line="240" w:lineRule="auto"/>
        <w:ind w:left="567" w:hanging="567"/>
        <w:rPr>
          <w:bCs/>
          <w:lang w:val="hu-HU"/>
        </w:rPr>
      </w:pPr>
    </w:p>
    <w:p w14:paraId="291FB8D9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Koncentrátum oldatos infúzióhoz</w:t>
      </w:r>
      <w:r w:rsidR="00904CBD">
        <w:rPr>
          <w:rFonts w:eastAsiaTheme="minorHAnsi"/>
          <w:lang w:val="hu-HU"/>
        </w:rPr>
        <w:t xml:space="preserve"> (steril koncentrátum)</w:t>
      </w:r>
      <w:r w:rsidRPr="00C01E0F">
        <w:rPr>
          <w:rFonts w:eastAsiaTheme="minorHAnsi"/>
          <w:lang w:val="hu-HU"/>
        </w:rPr>
        <w:t>.</w:t>
      </w:r>
    </w:p>
    <w:p w14:paraId="4103315A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jc w:val="both"/>
        <w:rPr>
          <w:lang w:val="hu-HU"/>
        </w:rPr>
      </w:pPr>
      <w:r w:rsidRPr="00C01E0F">
        <w:rPr>
          <w:rFonts w:eastAsiaTheme="minorHAnsi"/>
          <w:lang w:val="hu-HU"/>
        </w:rPr>
        <w:t>Tiszta, színtelen</w:t>
      </w:r>
      <w:r w:rsidR="00904CBD">
        <w:rPr>
          <w:rFonts w:eastAsiaTheme="minorHAnsi"/>
          <w:lang w:val="hu-HU"/>
        </w:rPr>
        <w:t xml:space="preserve"> </w:t>
      </w:r>
      <w:r w:rsidRPr="00191895">
        <w:rPr>
          <w:rFonts w:eastAsiaTheme="minorHAnsi"/>
          <w:lang w:val="hu-HU"/>
        </w:rPr>
        <w:t>oldat</w:t>
      </w:r>
      <w:r w:rsidRPr="009C0DC9">
        <w:rPr>
          <w:rFonts w:eastAsiaTheme="minorHAnsi"/>
          <w:lang w:val="hu-HU"/>
        </w:rPr>
        <w:t>.</w:t>
      </w:r>
    </w:p>
    <w:p w14:paraId="32891F57" w14:textId="77777777" w:rsidR="00944C5C" w:rsidRDefault="00944C5C" w:rsidP="00944C5C">
      <w:pPr>
        <w:spacing w:line="240" w:lineRule="auto"/>
        <w:rPr>
          <w:lang w:val="hu-HU"/>
        </w:rPr>
      </w:pPr>
    </w:p>
    <w:p w14:paraId="518417AF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538D6E90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</w:t>
      </w:r>
      <w:r w:rsidRPr="00C01E0F">
        <w:rPr>
          <w:b/>
          <w:bCs/>
          <w:lang w:val="hu-HU"/>
        </w:rPr>
        <w:tab/>
        <w:t>KLINIKAI JELLEMZŐK</w:t>
      </w:r>
    </w:p>
    <w:p w14:paraId="73D769EB" w14:textId="77777777" w:rsidR="00944C5C" w:rsidRPr="009A663D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2A0753E2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4.1</w:t>
      </w:r>
      <w:r w:rsidRPr="00C01E0F">
        <w:rPr>
          <w:b/>
          <w:bCs/>
          <w:lang w:val="hu-HU"/>
        </w:rPr>
        <w:tab/>
        <w:t>Terápiás javallatok</w:t>
      </w:r>
    </w:p>
    <w:p w14:paraId="7629D426" w14:textId="77777777" w:rsidR="00944C5C" w:rsidRPr="00B2522C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3DBCA7D9" w14:textId="431C1BF1" w:rsidR="00944C5C" w:rsidRPr="00C01E0F" w:rsidRDefault="00B2522C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</w:t>
      </w:r>
      <w:r w:rsidR="00E55579">
        <w:rPr>
          <w:snapToGrid w:val="0"/>
          <w:lang w:val="hu-HU"/>
        </w:rPr>
        <w:t xml:space="preserve"> </w:t>
      </w:r>
      <w:r w:rsidR="00142D15">
        <w:rPr>
          <w:snapToGrid w:val="0"/>
          <w:lang w:val="hu-HU"/>
        </w:rPr>
        <w:t>Busulfan Teva</w:t>
      </w:r>
      <w:r>
        <w:rPr>
          <w:rFonts w:eastAsiaTheme="minorHAnsi"/>
          <w:lang w:val="hu-HU"/>
        </w:rPr>
        <w:t xml:space="preserve"> és az azt követő c</w:t>
      </w:r>
      <w:r w:rsidRPr="00C01E0F">
        <w:rPr>
          <w:rFonts w:eastAsiaTheme="minorHAnsi"/>
          <w:lang w:val="hu-HU"/>
        </w:rPr>
        <w:t>iklofoszfamid (BuCy2)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 xml:space="preserve">kondicionáló kezelésként javallott felnőtt betegeknél hagyományos </w:t>
      </w:r>
      <w:r w:rsidR="00CF6F9E">
        <w:rPr>
          <w:rFonts w:eastAsiaTheme="minorHAnsi"/>
          <w:lang w:val="hu-HU"/>
        </w:rPr>
        <w:t>hemopoetikus</w:t>
      </w:r>
      <w:r w:rsidR="00A1344D" w:rsidRPr="00C01E0F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őssejt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transzplantációt (haematopoietic progenitor cell transplantation</w:t>
      </w:r>
      <w:r w:rsidR="00944C5C">
        <w:rPr>
          <w:rFonts w:eastAsiaTheme="minorHAnsi"/>
          <w:lang w:val="hu-HU"/>
        </w:rPr>
        <w:t>, HPCT</w:t>
      </w:r>
      <w:r w:rsidR="00944C5C" w:rsidRPr="00C01E0F">
        <w:rPr>
          <w:rFonts w:eastAsiaTheme="minorHAnsi"/>
          <w:lang w:val="hu-HU"/>
        </w:rPr>
        <w:t>) megelőzően, amennyiben ez a kombináció tűnik a legjobb lehetőségnek.</w:t>
      </w:r>
    </w:p>
    <w:p w14:paraId="097FF4FF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CE680DB" w14:textId="1A7E05FF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 w:rsidRPr="00C01E0F">
        <w:rPr>
          <w:snapToGrid w:val="0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fludarabin (FB) </w:t>
      </w:r>
      <w:r w:rsidR="009B7DB9" w:rsidRPr="00C01E0F">
        <w:rPr>
          <w:rFonts w:eastAsiaTheme="minorHAnsi"/>
          <w:lang w:val="hu-HU"/>
        </w:rPr>
        <w:t xml:space="preserve">kezelést követően </w:t>
      </w:r>
      <w:r w:rsidRPr="00C01E0F">
        <w:rPr>
          <w:rFonts w:eastAsiaTheme="minorHAnsi"/>
          <w:lang w:val="hu-HU"/>
        </w:rPr>
        <w:t>kondicionáló kezelésként java</w:t>
      </w:r>
      <w:r w:rsidR="009B7DB9">
        <w:rPr>
          <w:rFonts w:eastAsiaTheme="minorHAnsi"/>
          <w:lang w:val="hu-HU"/>
        </w:rPr>
        <w:t>llott</w:t>
      </w:r>
      <w:r w:rsidRPr="00C01E0F">
        <w:rPr>
          <w:rFonts w:eastAsiaTheme="minorHAnsi"/>
          <w:lang w:val="hu-HU"/>
        </w:rPr>
        <w:t xml:space="preserve"> </w:t>
      </w:r>
      <w:r w:rsidR="00CF6F9E">
        <w:rPr>
          <w:rFonts w:eastAsiaTheme="minorHAnsi"/>
          <w:lang w:val="hu-HU"/>
        </w:rPr>
        <w:t>hemopoetikus</w:t>
      </w:r>
      <w:r w:rsidR="00A1344D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(HPCT) megelőzően olyan felnőtt betegeknél, akiknél csökkentett intenzitású kondicionáló (RIC) kezelést terveznek.</w:t>
      </w:r>
    </w:p>
    <w:p w14:paraId="01E9F71A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7B95400" w14:textId="5E5C98C5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, </w:t>
      </w:r>
      <w:r w:rsidR="00726109">
        <w:rPr>
          <w:rFonts w:eastAsiaTheme="minorHAnsi"/>
          <w:lang w:val="hu-HU"/>
        </w:rPr>
        <w:t xml:space="preserve">és az azt követő </w:t>
      </w:r>
      <w:r w:rsidRPr="00C01E0F">
        <w:rPr>
          <w:rFonts w:eastAsiaTheme="minorHAnsi"/>
          <w:lang w:val="hu-HU"/>
        </w:rPr>
        <w:t>ciklofoszfamid (BuCy4)</w:t>
      </w:r>
      <w:r>
        <w:rPr>
          <w:rFonts w:eastAsiaTheme="minorHAnsi"/>
          <w:lang w:val="hu-HU"/>
        </w:rPr>
        <w:t xml:space="preserve">- </w:t>
      </w:r>
      <w:r w:rsidRPr="00C01E0F">
        <w:rPr>
          <w:rFonts w:eastAsiaTheme="minorHAnsi"/>
          <w:lang w:val="hu-HU"/>
        </w:rPr>
        <w:t>vagy melfalán (BuMel)</w:t>
      </w:r>
      <w:r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 xml:space="preserve">kezelés </w:t>
      </w:r>
      <w:r w:rsidR="00726109" w:rsidRPr="00072DB2">
        <w:rPr>
          <w:rFonts w:eastAsiaTheme="minorHAnsi"/>
          <w:lang w:val="hu-HU"/>
        </w:rPr>
        <w:t>gyermek</w:t>
      </w:r>
      <w:r w:rsidR="00726109">
        <w:rPr>
          <w:rFonts w:eastAsiaTheme="minorHAnsi"/>
          <w:lang w:val="hu-HU"/>
        </w:rPr>
        <w:t>eknél</w:t>
      </w:r>
      <w:r w:rsidR="00726109" w:rsidRPr="00072DB2">
        <w:rPr>
          <w:rFonts w:eastAsiaTheme="minorHAnsi"/>
          <w:lang w:val="hu-HU"/>
        </w:rPr>
        <w:t xml:space="preserve"> és serdülők</w:t>
      </w:r>
      <w:r w:rsidR="00726109" w:rsidRPr="00C01E0F">
        <w:rPr>
          <w:rFonts w:eastAsiaTheme="minorHAnsi"/>
          <w:lang w:val="hu-HU"/>
        </w:rPr>
        <w:t xml:space="preserve">nél </w:t>
      </w:r>
      <w:r w:rsidRPr="00C01E0F">
        <w:rPr>
          <w:rFonts w:eastAsiaTheme="minorHAnsi"/>
          <w:lang w:val="hu-HU"/>
        </w:rPr>
        <w:t>kondicionáló kezelésként java</w:t>
      </w:r>
      <w:r w:rsidR="00726109">
        <w:rPr>
          <w:rFonts w:eastAsiaTheme="minorHAnsi"/>
          <w:lang w:val="hu-HU"/>
        </w:rPr>
        <w:t>llott</w:t>
      </w:r>
      <w:r w:rsidRPr="00C01E0F">
        <w:rPr>
          <w:rFonts w:eastAsiaTheme="minorHAnsi"/>
          <w:lang w:val="hu-HU"/>
        </w:rPr>
        <w:t xml:space="preserve"> </w:t>
      </w:r>
      <w:r w:rsidR="00726109"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 xml:space="preserve">hagyományos </w:t>
      </w:r>
      <w:r w:rsidR="00CF6F9E">
        <w:rPr>
          <w:rFonts w:eastAsiaTheme="minorHAnsi"/>
          <w:lang w:val="hu-HU"/>
        </w:rPr>
        <w:t>hemopoetikus</w:t>
      </w:r>
      <w:r w:rsidR="00726109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megelőzően.</w:t>
      </w:r>
    </w:p>
    <w:p w14:paraId="6BD83647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60A72E0E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4.2</w:t>
      </w:r>
      <w:r w:rsidRPr="00C01E0F">
        <w:rPr>
          <w:b/>
          <w:bCs/>
          <w:lang w:val="hu-HU"/>
        </w:rPr>
        <w:tab/>
        <w:t>Adagolás és alkalmazás</w:t>
      </w:r>
    </w:p>
    <w:p w14:paraId="089EABC7" w14:textId="77777777" w:rsidR="00944C5C" w:rsidRPr="00726109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4A3098DB" w14:textId="2B57C821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alkalmazás</w:t>
      </w:r>
      <w:r w:rsidR="00AC3714">
        <w:rPr>
          <w:rFonts w:eastAsiaTheme="minorHAnsi"/>
          <w:lang w:val="hu-HU"/>
        </w:rPr>
        <w:t xml:space="preserve">át </w:t>
      </w:r>
      <w:r w:rsidRPr="00C01E0F">
        <w:rPr>
          <w:rFonts w:eastAsiaTheme="minorHAnsi"/>
          <w:lang w:val="hu-HU"/>
        </w:rPr>
        <w:t xml:space="preserve">a </w:t>
      </w:r>
      <w:r w:rsidR="00CF6F9E">
        <w:rPr>
          <w:rFonts w:eastAsiaTheme="minorHAnsi"/>
          <w:lang w:val="hu-HU"/>
        </w:rPr>
        <w:t>hemopoetikus</w:t>
      </w:r>
      <w:r w:rsidR="00A1344D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transzplantációt megelőző kondicionáló kezelésben </w:t>
      </w:r>
      <w:r w:rsidR="00AC3714">
        <w:rPr>
          <w:rFonts w:eastAsiaTheme="minorHAnsi"/>
          <w:lang w:val="hu-HU"/>
        </w:rPr>
        <w:t>jártas</w:t>
      </w:r>
      <w:r w:rsidRPr="00C01E0F">
        <w:rPr>
          <w:rFonts w:eastAsiaTheme="minorHAnsi"/>
          <w:lang w:val="hu-HU"/>
        </w:rPr>
        <w:t xml:space="preserve"> orvos</w:t>
      </w:r>
      <w:r w:rsidR="00AC3714">
        <w:rPr>
          <w:rFonts w:eastAsiaTheme="minorHAnsi"/>
          <w:lang w:val="hu-HU"/>
        </w:rPr>
        <w:t>nak kell</w:t>
      </w:r>
      <w:r w:rsidRPr="00C01E0F">
        <w:rPr>
          <w:rFonts w:eastAsiaTheme="minorHAnsi"/>
          <w:lang w:val="hu-HU"/>
        </w:rPr>
        <w:t xml:space="preserve"> felügyel</w:t>
      </w:r>
      <w:r w:rsidR="00AC3714">
        <w:rPr>
          <w:rFonts w:eastAsiaTheme="minorHAnsi"/>
          <w:lang w:val="hu-HU"/>
        </w:rPr>
        <w:t>nie</w:t>
      </w:r>
      <w:r w:rsidRPr="00C01E0F">
        <w:rPr>
          <w:rFonts w:eastAsiaTheme="minorHAnsi"/>
          <w:lang w:val="hu-HU"/>
        </w:rPr>
        <w:t>.</w:t>
      </w:r>
    </w:p>
    <w:p w14:paraId="4564DFC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49EA97EF" w14:textId="1F3BFA3E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a </w:t>
      </w:r>
      <w:r w:rsidR="00CF6F9E">
        <w:rPr>
          <w:rFonts w:eastAsiaTheme="minorHAnsi"/>
          <w:lang w:val="hu-HU"/>
        </w:rPr>
        <w:t>hemopoetikus</w:t>
      </w:r>
      <w:r w:rsidR="00A1344D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 (HPCT) előtt alkalmazandó.</w:t>
      </w:r>
    </w:p>
    <w:p w14:paraId="47D38B3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99052DD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Adagolás</w:t>
      </w:r>
    </w:p>
    <w:p w14:paraId="50C79D42" w14:textId="77777777" w:rsidR="00AC3714" w:rsidRPr="00C01E0F" w:rsidRDefault="00AC3714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14E8D6EE" w14:textId="77777777" w:rsidR="00944C5C" w:rsidRPr="00C01E0F" w:rsidRDefault="00142D15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>
        <w:rPr>
          <w:i/>
          <w:snapToGrid w:val="0"/>
          <w:u w:val="single"/>
          <w:lang w:val="hu-HU"/>
        </w:rPr>
        <w:t>Busulfan Teva</w:t>
      </w:r>
      <w:r w:rsidR="00944C5C" w:rsidRPr="00C01E0F">
        <w:rPr>
          <w:rFonts w:eastAsiaTheme="minorHAnsi"/>
          <w:u w:val="single"/>
          <w:lang w:val="hu-HU"/>
        </w:rPr>
        <w:t xml:space="preserve"> </w:t>
      </w:r>
      <w:r w:rsidR="00944C5C" w:rsidRPr="00C01E0F">
        <w:rPr>
          <w:rFonts w:eastAsiaTheme="minorHAnsi"/>
          <w:i/>
          <w:iCs/>
          <w:u w:val="single"/>
          <w:lang w:val="hu-HU"/>
        </w:rPr>
        <w:t>ciklofoszfamiddal vagy melfalánnal kombinálva</w:t>
      </w:r>
    </w:p>
    <w:p w14:paraId="438A15CB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2372E277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Javasolt dózis és adagolási rend:</w:t>
      </w:r>
    </w:p>
    <w:p w14:paraId="0966C148" w14:textId="19F2DB05" w:rsidR="00944C5C" w:rsidRPr="00C01E0F" w:rsidRDefault="00944C5C" w:rsidP="009A4257">
      <w:pPr>
        <w:numPr>
          <w:ilvl w:val="0"/>
          <w:numId w:val="4"/>
        </w:numPr>
        <w:tabs>
          <w:tab w:val="clear" w:pos="567"/>
        </w:tabs>
        <w:spacing w:line="240" w:lineRule="auto"/>
        <w:ind w:left="567" w:right="-2" w:hanging="567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0,8 </w:t>
      </w:r>
      <w:r w:rsidRPr="00C01E0F">
        <w:rPr>
          <w:noProof/>
          <w:szCs w:val="20"/>
          <w:lang w:val="hu-HU"/>
        </w:rPr>
        <w:t>mg</w:t>
      </w:r>
      <w:r w:rsidRPr="00C01E0F">
        <w:rPr>
          <w:rFonts w:eastAsiaTheme="minorHAnsi"/>
          <w:lang w:val="hu-HU"/>
        </w:rPr>
        <w:t>/</w:t>
      </w:r>
      <w:r w:rsidRPr="00C01E0F">
        <w:rPr>
          <w:noProof/>
          <w:lang w:val="hu-HU"/>
        </w:rPr>
        <w:t>testtömegkilogramm (ttk</w:t>
      </w:r>
      <w:r>
        <w:rPr>
          <w:noProof/>
          <w:lang w:val="hu-HU"/>
        </w:rPr>
        <w:t>g</w:t>
      </w:r>
      <w:r w:rsidRPr="00C01E0F">
        <w:rPr>
          <w:noProof/>
          <w:lang w:val="hu-HU"/>
        </w:rPr>
        <w:t>)</w:t>
      </w:r>
      <w:r w:rsidRPr="00C01E0F">
        <w:rPr>
          <w:rFonts w:eastAsiaTheme="minorHAnsi"/>
          <w:lang w:val="hu-HU"/>
        </w:rPr>
        <w:t xml:space="preserve"> buszulfán kétórás infúzióban beadva, 6 óránként</w:t>
      </w:r>
      <w:r w:rsidR="009A4257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4</w:t>
      </w:r>
      <w:r w:rsidR="009A4257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egymást követő napon, összesen 16 dózisban,</w:t>
      </w:r>
    </w:p>
    <w:p w14:paraId="461196A9" w14:textId="77777777" w:rsidR="00944C5C" w:rsidRPr="00C01E0F" w:rsidRDefault="00944C5C" w:rsidP="009A4257">
      <w:pPr>
        <w:numPr>
          <w:ilvl w:val="0"/>
          <w:numId w:val="4"/>
        </w:numPr>
        <w:tabs>
          <w:tab w:val="clear" w:pos="567"/>
        </w:tabs>
        <w:spacing w:line="240" w:lineRule="auto"/>
        <w:ind w:left="567" w:right="-2" w:hanging="567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amit 60 mg/ttkg/nap </w:t>
      </w:r>
      <w:r w:rsidRPr="00C01E0F">
        <w:rPr>
          <w:noProof/>
          <w:lang w:val="hu-HU"/>
        </w:rPr>
        <w:t>ciklofoszfamid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 követ 2 napon át, </w:t>
      </w:r>
      <w:r w:rsidR="00925580">
        <w:rPr>
          <w:rFonts w:eastAsiaTheme="minorHAnsi"/>
          <w:lang w:val="hu-HU"/>
        </w:rPr>
        <w:t xml:space="preserve">ezt </w:t>
      </w:r>
      <w:r w:rsidRPr="00C01E0F">
        <w:rPr>
          <w:rFonts w:eastAsiaTheme="minorHAnsi"/>
          <w:lang w:val="hu-HU"/>
        </w:rPr>
        <w:t xml:space="preserve">legalább 24 órával a 16. </w:t>
      </w:r>
      <w:r w:rsidR="00142D15">
        <w:rPr>
          <w:rFonts w:eastAsiaTheme="minorHAnsi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dózis</w:t>
      </w:r>
      <w:r w:rsidRPr="00C01E0F">
        <w:rPr>
          <w:rFonts w:eastAsiaTheme="minorHAnsi"/>
          <w:lang w:val="hu-HU"/>
        </w:rPr>
        <w:t xml:space="preserve"> beadása után kell megkezdeni (lásd 4.5 pont).</w:t>
      </w:r>
    </w:p>
    <w:p w14:paraId="2BCDB161" w14:textId="77777777" w:rsidR="00944C5C" w:rsidRPr="00BF6432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Cs/>
          <w:lang w:val="hu-HU"/>
        </w:rPr>
      </w:pPr>
    </w:p>
    <w:p w14:paraId="0D1AA3DE" w14:textId="7F0AC1AC" w:rsidR="00944C5C" w:rsidRPr="00C01E0F" w:rsidRDefault="00944C5C" w:rsidP="00BF6432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lastRenderedPageBreak/>
        <w:t>Gyermekek és serdülők (0</w:t>
      </w:r>
      <w:r w:rsidR="00C74AD5">
        <w:rPr>
          <w:rFonts w:eastAsiaTheme="minorHAnsi"/>
          <w:i/>
          <w:iCs/>
          <w:lang w:val="hu-HU"/>
        </w:rPr>
        <w:t xml:space="preserve"> és betöltött 18 </w:t>
      </w:r>
      <w:r w:rsidRPr="00C01E0F">
        <w:rPr>
          <w:rFonts w:eastAsiaTheme="minorHAnsi"/>
          <w:i/>
          <w:iCs/>
          <w:lang w:val="hu-HU"/>
        </w:rPr>
        <w:t> éves kor</w:t>
      </w:r>
      <w:r w:rsidR="00C74AD5">
        <w:rPr>
          <w:rFonts w:eastAsiaTheme="minorHAnsi"/>
          <w:i/>
          <w:iCs/>
          <w:lang w:val="hu-HU"/>
        </w:rPr>
        <w:t xml:space="preserve"> között</w:t>
      </w:r>
      <w:r w:rsidRPr="00C01E0F">
        <w:rPr>
          <w:rFonts w:eastAsiaTheme="minorHAnsi"/>
          <w:i/>
          <w:iCs/>
          <w:lang w:val="hu-HU"/>
        </w:rPr>
        <w:t>)</w:t>
      </w:r>
    </w:p>
    <w:p w14:paraId="520D3604" w14:textId="77777777" w:rsidR="00944C5C" w:rsidRPr="00C01E0F" w:rsidRDefault="00944C5C" w:rsidP="00BF6432">
      <w:pPr>
        <w:keepNext/>
        <w:spacing w:line="240" w:lineRule="auto"/>
        <w:rPr>
          <w:u w:val="single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ajánlott </w:t>
      </w:r>
      <w:r>
        <w:rPr>
          <w:rFonts w:eastAsiaTheme="minorHAnsi"/>
          <w:lang w:val="hu-HU"/>
        </w:rPr>
        <w:t>dózisa</w:t>
      </w:r>
      <w:r w:rsidR="00925580">
        <w:rPr>
          <w:rFonts w:eastAsiaTheme="minorHAnsi"/>
          <w:lang w:val="hu-HU"/>
        </w:rPr>
        <w:t>i a következők</w:t>
      </w:r>
      <w:r w:rsidRPr="00C01E0F">
        <w:rPr>
          <w:rFonts w:eastAsiaTheme="minorHAnsi"/>
          <w:lang w:val="hu-HU"/>
        </w:rPr>
        <w:t>:</w:t>
      </w:r>
      <w:r w:rsidRPr="00C01E0F">
        <w:rPr>
          <w:u w:val="single"/>
          <w:lang w:val="hu-HU"/>
        </w:rPr>
        <w:t xml:space="preserve"> </w:t>
      </w:r>
    </w:p>
    <w:p w14:paraId="5FDE2466" w14:textId="77777777" w:rsidR="00944C5C" w:rsidRPr="00C01E0F" w:rsidRDefault="00944C5C" w:rsidP="00BF6432">
      <w:pPr>
        <w:keepNext/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4C5C" w:rsidRPr="00C01E0F" w14:paraId="40DB0DC5" w14:textId="77777777" w:rsidTr="001F7232">
        <w:trPr>
          <w:tblHeader/>
        </w:trPr>
        <w:tc>
          <w:tcPr>
            <w:tcW w:w="2500" w:type="pct"/>
          </w:tcPr>
          <w:p w14:paraId="68273AF0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u w:val="single"/>
                <w:lang w:val="hu-HU"/>
              </w:rPr>
            </w:pPr>
            <w:r w:rsidRPr="00C01E0F">
              <w:rPr>
                <w:rFonts w:eastAsia="SimSun"/>
                <w:u w:val="single"/>
                <w:lang w:val="hu-HU"/>
              </w:rPr>
              <w:t>Aktuális testtömeg (kg)</w:t>
            </w:r>
          </w:p>
        </w:tc>
        <w:tc>
          <w:tcPr>
            <w:tcW w:w="2500" w:type="pct"/>
          </w:tcPr>
          <w:p w14:paraId="440CF9E1" w14:textId="77777777" w:rsidR="00944C5C" w:rsidRPr="00C01E0F" w:rsidRDefault="00142D15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u w:val="single"/>
                <w:lang w:val="hu-HU"/>
              </w:rPr>
            </w:pPr>
            <w:r>
              <w:rPr>
                <w:rFonts w:eastAsia="SimSun"/>
                <w:u w:val="single"/>
                <w:lang w:val="hu-HU"/>
              </w:rPr>
              <w:t>Busulfan Teva</w:t>
            </w:r>
            <w:r w:rsidR="00944C5C" w:rsidRPr="00C01E0F">
              <w:rPr>
                <w:rFonts w:eastAsia="SimSun"/>
                <w:u w:val="single"/>
                <w:lang w:val="hu-HU"/>
              </w:rPr>
              <w:t xml:space="preserve"> </w:t>
            </w:r>
            <w:r w:rsidR="00944C5C">
              <w:rPr>
                <w:rFonts w:eastAsia="SimSun"/>
                <w:u w:val="single"/>
                <w:lang w:val="hu-HU"/>
              </w:rPr>
              <w:t>dózis</w:t>
            </w:r>
            <w:r w:rsidR="00944C5C" w:rsidRPr="00C01E0F">
              <w:rPr>
                <w:rFonts w:eastAsia="SimSun"/>
                <w:u w:val="single"/>
                <w:lang w:val="hu-HU"/>
              </w:rPr>
              <w:t xml:space="preserve"> (mg/</w:t>
            </w:r>
            <w:r w:rsidR="008C219E">
              <w:rPr>
                <w:rFonts w:eastAsia="SimSun"/>
                <w:u w:val="single"/>
                <w:lang w:val="hu-HU"/>
              </w:rPr>
              <w:t>tt</w:t>
            </w:r>
            <w:r w:rsidR="00944C5C" w:rsidRPr="00C01E0F">
              <w:rPr>
                <w:rFonts w:eastAsia="SimSun"/>
                <w:u w:val="single"/>
                <w:lang w:val="hu-HU"/>
              </w:rPr>
              <w:t>kg)</w:t>
            </w:r>
          </w:p>
        </w:tc>
      </w:tr>
      <w:tr w:rsidR="00944C5C" w:rsidRPr="00C01E0F" w14:paraId="50320FF5" w14:textId="77777777" w:rsidTr="001F7232">
        <w:tc>
          <w:tcPr>
            <w:tcW w:w="2500" w:type="pct"/>
          </w:tcPr>
          <w:p w14:paraId="2EAC2106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&lt; 9</w:t>
            </w:r>
          </w:p>
        </w:tc>
        <w:tc>
          <w:tcPr>
            <w:tcW w:w="2500" w:type="pct"/>
          </w:tcPr>
          <w:p w14:paraId="1C7BB095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1,0</w:t>
            </w:r>
          </w:p>
        </w:tc>
      </w:tr>
      <w:tr w:rsidR="00944C5C" w:rsidRPr="00C01E0F" w14:paraId="793AFB86" w14:textId="77777777" w:rsidTr="001F7232">
        <w:tc>
          <w:tcPr>
            <w:tcW w:w="2500" w:type="pct"/>
          </w:tcPr>
          <w:p w14:paraId="2B9AFCF3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9</w:t>
            </w:r>
            <w:r>
              <w:rPr>
                <w:lang w:val="hu-HU"/>
              </w:rPr>
              <w:noBreakHyphen/>
            </w:r>
            <w:r w:rsidRPr="00C01E0F">
              <w:rPr>
                <w:rFonts w:eastAsia="SimSun"/>
                <w:lang w:val="hu-HU"/>
              </w:rPr>
              <w:t>&lt; 16</w:t>
            </w:r>
          </w:p>
        </w:tc>
        <w:tc>
          <w:tcPr>
            <w:tcW w:w="2500" w:type="pct"/>
          </w:tcPr>
          <w:p w14:paraId="73E6D309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1,2</w:t>
            </w:r>
          </w:p>
        </w:tc>
      </w:tr>
      <w:tr w:rsidR="00944C5C" w:rsidRPr="00C01E0F" w14:paraId="710A6257" w14:textId="77777777" w:rsidTr="001F7232">
        <w:tc>
          <w:tcPr>
            <w:tcW w:w="2500" w:type="pct"/>
          </w:tcPr>
          <w:p w14:paraId="66D03C3D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rFonts w:eastAsia="SimSun"/>
                <w:lang w:val="hu-HU"/>
              </w:rPr>
              <w:t>16</w:t>
            </w:r>
            <w:r>
              <w:rPr>
                <w:rFonts w:eastAsia="SimSun"/>
                <w:lang w:val="hu-HU"/>
              </w:rPr>
              <w:noBreakHyphen/>
            </w:r>
            <w:r w:rsidRPr="00C01E0F">
              <w:rPr>
                <w:rFonts w:eastAsia="SimSun"/>
                <w:lang w:val="hu-HU"/>
              </w:rPr>
              <w:t>23</w:t>
            </w:r>
          </w:p>
        </w:tc>
        <w:tc>
          <w:tcPr>
            <w:tcW w:w="2500" w:type="pct"/>
          </w:tcPr>
          <w:p w14:paraId="5DA3D40A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1,1</w:t>
            </w:r>
          </w:p>
        </w:tc>
      </w:tr>
      <w:tr w:rsidR="00944C5C" w:rsidRPr="00C01E0F" w14:paraId="3185D404" w14:textId="77777777" w:rsidTr="001F7232">
        <w:tc>
          <w:tcPr>
            <w:tcW w:w="2500" w:type="pct"/>
          </w:tcPr>
          <w:p w14:paraId="366B9439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rFonts w:eastAsia="SimSun"/>
                <w:lang w:val="hu-HU"/>
              </w:rPr>
              <w:t>&gt; 23</w:t>
            </w:r>
            <w:r>
              <w:rPr>
                <w:rFonts w:eastAsia="SimSun"/>
                <w:lang w:val="hu-HU"/>
              </w:rPr>
              <w:noBreakHyphen/>
            </w:r>
            <w:r w:rsidRPr="00C01E0F">
              <w:rPr>
                <w:rFonts w:eastAsia="SimSun"/>
                <w:lang w:val="hu-HU"/>
              </w:rPr>
              <w:t>34</w:t>
            </w:r>
          </w:p>
        </w:tc>
        <w:tc>
          <w:tcPr>
            <w:tcW w:w="2500" w:type="pct"/>
          </w:tcPr>
          <w:p w14:paraId="582228D8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0,95</w:t>
            </w:r>
          </w:p>
        </w:tc>
      </w:tr>
      <w:tr w:rsidR="00944C5C" w:rsidRPr="00C01E0F" w14:paraId="648B1A78" w14:textId="77777777" w:rsidTr="001F7232">
        <w:tc>
          <w:tcPr>
            <w:tcW w:w="2500" w:type="pct"/>
          </w:tcPr>
          <w:p w14:paraId="7623665B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&gt; 34</w:t>
            </w:r>
          </w:p>
        </w:tc>
        <w:tc>
          <w:tcPr>
            <w:tcW w:w="2500" w:type="pct"/>
          </w:tcPr>
          <w:p w14:paraId="471AA725" w14:textId="77777777" w:rsidR="00944C5C" w:rsidRPr="00C01E0F" w:rsidRDefault="00944C5C" w:rsidP="00BF6432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rFonts w:eastAsia="SimSun"/>
                <w:lang w:val="hu-HU"/>
              </w:rPr>
              <w:t>0,8</w:t>
            </w:r>
          </w:p>
        </w:tc>
      </w:tr>
    </w:tbl>
    <w:p w14:paraId="47835A3D" w14:textId="77777777" w:rsidR="00944C5C" w:rsidRPr="00C01E0F" w:rsidRDefault="00944C5C" w:rsidP="00BF6432">
      <w:pPr>
        <w:keepNext/>
        <w:autoSpaceDE w:val="0"/>
        <w:autoSpaceDN w:val="0"/>
        <w:adjustRightInd w:val="0"/>
        <w:spacing w:line="240" w:lineRule="auto"/>
        <w:rPr>
          <w:lang w:val="hu-HU"/>
        </w:rPr>
      </w:pPr>
    </w:p>
    <w:p w14:paraId="1529BE8A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amit:</w:t>
      </w:r>
    </w:p>
    <w:p w14:paraId="7D7F6894" w14:textId="5AB4E2A3" w:rsidR="00944C5C" w:rsidRPr="00C01E0F" w:rsidRDefault="00944C5C" w:rsidP="00925580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4 ciklus 50 mg/testtömegkilogramm (ttkg) ciklofoszfamid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 (BuCy4) vagy</w:t>
      </w:r>
    </w:p>
    <w:p w14:paraId="1BDBFBAA" w14:textId="77777777" w:rsidR="00925580" w:rsidRDefault="00944C5C" w:rsidP="00925580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140 mg/m</w:t>
      </w:r>
      <w:r w:rsidRPr="00C01E0F">
        <w:rPr>
          <w:rFonts w:eastAsiaTheme="minorHAnsi"/>
          <w:vertAlign w:val="superscript"/>
          <w:lang w:val="hu-HU"/>
        </w:rPr>
        <w:t>2</w:t>
      </w:r>
      <w:r w:rsidRPr="00C01E0F">
        <w:rPr>
          <w:rFonts w:eastAsiaTheme="minorHAnsi"/>
          <w:lang w:val="hu-HU"/>
        </w:rPr>
        <w:t xml:space="preserve"> melfalán egyszeri alkalmazása (BuMel) </w:t>
      </w:r>
    </w:p>
    <w:p w14:paraId="61527303" w14:textId="77777777" w:rsidR="00944C5C" w:rsidRPr="00C01E0F" w:rsidRDefault="00944C5C" w:rsidP="0092558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925580">
        <w:rPr>
          <w:rFonts w:eastAsiaTheme="minorHAnsi"/>
          <w:lang w:val="hu-HU"/>
        </w:rPr>
        <w:t>követ,</w:t>
      </w:r>
      <w:r w:rsidR="00925580">
        <w:rPr>
          <w:rFonts w:eastAsiaTheme="minorHAnsi"/>
          <w:lang w:val="hu-HU"/>
        </w:rPr>
        <w:t xml:space="preserve"> és </w:t>
      </w:r>
      <w:r w:rsidRPr="00C01E0F">
        <w:rPr>
          <w:rFonts w:eastAsiaTheme="minorHAnsi"/>
          <w:lang w:val="hu-HU"/>
        </w:rPr>
        <w:t>amit legalább 24 ór</w:t>
      </w:r>
      <w:r w:rsidRPr="00C01E0F">
        <w:rPr>
          <w:noProof/>
          <w:lang w:val="hu-HU"/>
        </w:rPr>
        <w:t>ával</w:t>
      </w:r>
      <w:r w:rsidRPr="00C01E0F">
        <w:rPr>
          <w:rFonts w:eastAsiaTheme="minorHAnsi"/>
          <w:lang w:val="hu-HU"/>
        </w:rPr>
        <w:t xml:space="preserve"> a 16. </w:t>
      </w:r>
      <w:r w:rsidR="00142D15">
        <w:rPr>
          <w:rFonts w:eastAsiaTheme="minorHAnsi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dózis</w:t>
      </w:r>
      <w:r w:rsidRPr="00C01E0F">
        <w:rPr>
          <w:rFonts w:eastAsiaTheme="minorHAnsi"/>
          <w:lang w:val="hu-HU"/>
        </w:rPr>
        <w:t xml:space="preserve"> beadása után kell megkezdeni (lásd 4.5 pont).</w:t>
      </w:r>
    </w:p>
    <w:p w14:paraId="3313142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DF902BE" w14:textId="4BBE0305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 6 óránként kell alkalmazni kétórás infúzióban, 4</w:t>
      </w:r>
      <w:r w:rsidR="00925580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egymást követő napon, összesen 16 dózisban, a ciklofoszfamidot vagy melfalánt és a </w:t>
      </w:r>
      <w:r w:rsidR="00CF6F9E">
        <w:rPr>
          <w:rFonts w:eastAsiaTheme="minorHAnsi"/>
          <w:lang w:val="hu-HU"/>
        </w:rPr>
        <w:t>hemopoetikus</w:t>
      </w:r>
      <w:r w:rsidR="00925580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(HPCT) megelőzően.</w:t>
      </w:r>
    </w:p>
    <w:p w14:paraId="54EB2669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5C2D7FDB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191895">
        <w:rPr>
          <w:rFonts w:eastAsiaTheme="minorHAnsi"/>
          <w:i/>
          <w:iCs/>
          <w:lang w:val="hu-HU"/>
        </w:rPr>
        <w:t>Idős</w:t>
      </w:r>
      <w:r>
        <w:rPr>
          <w:rFonts w:eastAsiaTheme="minorHAnsi"/>
          <w:i/>
          <w:iCs/>
          <w:lang w:val="hu-HU"/>
        </w:rPr>
        <w:t>ek</w:t>
      </w:r>
    </w:p>
    <w:p w14:paraId="588EDC1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Ötven évesnél idősebb betegeket (n=23) sikeresen kezeltek </w:t>
      </w:r>
      <w:r w:rsidR="00A1344D">
        <w:rPr>
          <w:snapToGrid w:val="0"/>
          <w:lang w:val="hu-HU"/>
        </w:rPr>
        <w:t>buszulfánnal,</w:t>
      </w:r>
      <w:r w:rsidR="00A1344D" w:rsidRPr="00A1344D">
        <w:rPr>
          <w:rFonts w:eastAsiaTheme="minorHAnsi"/>
          <w:lang w:val="hu-HU"/>
        </w:rPr>
        <w:t xml:space="preserve"> </w:t>
      </w:r>
      <w:r w:rsidR="00A1344D" w:rsidRPr="00C01E0F">
        <w:rPr>
          <w:rFonts w:eastAsiaTheme="minorHAnsi"/>
          <w:lang w:val="hu-HU"/>
        </w:rPr>
        <w:t>dózismódosítás nélkül</w:t>
      </w:r>
      <w:r w:rsidRPr="00C01E0F">
        <w:rPr>
          <w:rFonts w:eastAsiaTheme="minorHAnsi"/>
          <w:lang w:val="hu-HU"/>
        </w:rPr>
        <w:t xml:space="preserve">. </w:t>
      </w:r>
      <w:r w:rsidR="00A1344D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</w:t>
      </w:r>
      <w:r w:rsidR="00A1344D">
        <w:rPr>
          <w:snapToGrid w:val="0"/>
          <w:lang w:val="hu-HU"/>
        </w:rPr>
        <w:t>buszulfán</w:t>
      </w:r>
      <w:r w:rsidRPr="00C01E0F">
        <w:rPr>
          <w:rFonts w:eastAsiaTheme="minorHAnsi"/>
          <w:lang w:val="hu-HU"/>
        </w:rPr>
        <w:t xml:space="preserve"> biztonságosságáról </w:t>
      </w:r>
      <w:r w:rsidR="00A1344D">
        <w:rPr>
          <w:rFonts w:eastAsiaTheme="minorHAnsi"/>
          <w:lang w:val="hu-HU"/>
        </w:rPr>
        <w:t xml:space="preserve">azonban </w:t>
      </w:r>
      <w:r w:rsidRPr="00C01E0F">
        <w:rPr>
          <w:rFonts w:eastAsiaTheme="minorHAnsi"/>
          <w:lang w:val="hu-HU"/>
        </w:rPr>
        <w:t>60 év feletti betegek esetében csak korlátozott információ áll rendelkezésre. Idős betegeknél ugyanazt a dózist (lásd 5.2 pont) kell alkalmazni, mint a felnőtteknél (&lt; 50 év).</w:t>
      </w:r>
    </w:p>
    <w:p w14:paraId="7B9EF90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1CC59AF4" w14:textId="77777777" w:rsidR="00944C5C" w:rsidRPr="00C01E0F" w:rsidRDefault="00142D15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>
        <w:rPr>
          <w:rFonts w:eastAsiaTheme="minorHAnsi"/>
          <w:i/>
          <w:iCs/>
          <w:u w:val="single"/>
          <w:lang w:val="hu-HU"/>
        </w:rPr>
        <w:t>Busulfan Teva</w:t>
      </w:r>
      <w:r w:rsidR="00944C5C" w:rsidRPr="00C01E0F">
        <w:rPr>
          <w:rFonts w:eastAsiaTheme="minorHAnsi"/>
          <w:i/>
          <w:iCs/>
          <w:u w:val="single"/>
          <w:lang w:val="hu-HU"/>
        </w:rPr>
        <w:t xml:space="preserve"> fludarabinnal (FB)</w:t>
      </w:r>
      <w:r w:rsidR="00944C5C">
        <w:rPr>
          <w:rFonts w:eastAsiaTheme="minorHAnsi"/>
          <w:i/>
          <w:iCs/>
          <w:u w:val="single"/>
          <w:lang w:val="hu-HU"/>
        </w:rPr>
        <w:t xml:space="preserve"> kombinációban</w:t>
      </w:r>
    </w:p>
    <w:p w14:paraId="63D648B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2EAFCE8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Javasolt dózis és adagolási rend:</w:t>
      </w:r>
    </w:p>
    <w:p w14:paraId="2991C551" w14:textId="77777777" w:rsidR="00944C5C" w:rsidRPr="00C01E0F" w:rsidRDefault="00944C5C" w:rsidP="00944C5C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30 mg/m</w:t>
      </w:r>
      <w:r w:rsidRPr="00C01E0F">
        <w:rPr>
          <w:rFonts w:eastAsiaTheme="minorHAnsi"/>
          <w:vertAlign w:val="superscript"/>
          <w:lang w:val="hu-HU"/>
        </w:rPr>
        <w:t>2</w:t>
      </w:r>
      <w:r w:rsidRPr="00C01E0F">
        <w:rPr>
          <w:rFonts w:eastAsiaTheme="minorHAnsi"/>
          <w:lang w:val="hu-HU"/>
        </w:rPr>
        <w:t xml:space="preserve"> fludarabin 5</w:t>
      </w:r>
      <w:r w:rsidR="009129B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egymást követő nap</w:t>
      </w:r>
      <w:r w:rsidR="009129BF">
        <w:rPr>
          <w:rFonts w:eastAsiaTheme="minorHAnsi"/>
          <w:lang w:val="hu-HU"/>
        </w:rPr>
        <w:t>on</w:t>
      </w:r>
      <w:r w:rsidRPr="00C01E0F">
        <w:rPr>
          <w:rFonts w:eastAsiaTheme="minorHAnsi"/>
          <w:lang w:val="hu-HU"/>
        </w:rPr>
        <w:t xml:space="preserve"> vagy 40 mg/m</w:t>
      </w:r>
      <w:r w:rsidRPr="00C01E0F">
        <w:rPr>
          <w:rFonts w:eastAsiaTheme="minorHAnsi"/>
          <w:vertAlign w:val="superscript"/>
          <w:lang w:val="hu-HU"/>
        </w:rPr>
        <w:t>2</w:t>
      </w:r>
      <w:r w:rsidRPr="00C01E0F">
        <w:rPr>
          <w:rFonts w:eastAsiaTheme="minorHAnsi"/>
          <w:lang w:val="hu-HU"/>
        </w:rPr>
        <w:t xml:space="preserve"> fludarabin 4</w:t>
      </w:r>
      <w:r w:rsidR="009129B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egymást követő napo</w:t>
      </w:r>
      <w:r>
        <w:rPr>
          <w:rFonts w:eastAsiaTheme="minorHAnsi"/>
          <w:lang w:val="hu-HU"/>
        </w:rPr>
        <w:t>n</w:t>
      </w:r>
      <w:r w:rsidRPr="00C01E0F">
        <w:rPr>
          <w:rFonts w:eastAsiaTheme="minorHAnsi"/>
          <w:lang w:val="hu-HU"/>
        </w:rPr>
        <w:t>, napi egyszeri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egyórás infúzióban beadva.</w:t>
      </w:r>
    </w:p>
    <w:p w14:paraId="584B6C79" w14:textId="77777777" w:rsidR="00944C5C" w:rsidRPr="00C01E0F" w:rsidRDefault="00944C5C" w:rsidP="00944C5C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>
        <w:rPr>
          <w:rFonts w:eastAsiaTheme="minorHAnsi"/>
          <w:lang w:val="hu-HU"/>
        </w:rPr>
        <w:t xml:space="preserve">–t </w:t>
      </w:r>
      <w:r w:rsidRPr="00C01E0F">
        <w:rPr>
          <w:rFonts w:eastAsiaTheme="minorHAnsi"/>
          <w:lang w:val="hu-HU"/>
        </w:rPr>
        <w:t>3,2 mg/</w:t>
      </w:r>
      <w:r>
        <w:rPr>
          <w:rFonts w:eastAsiaTheme="minorHAnsi"/>
          <w:lang w:val="hu-HU"/>
        </w:rPr>
        <w:t>ttkg</w:t>
      </w:r>
      <w:r>
        <w:rPr>
          <w:rFonts w:eastAsiaTheme="minorHAnsi"/>
          <w:lang w:val="hu-HU"/>
        </w:rPr>
        <w:noBreakHyphen/>
        <w:t>os dózisban,</w:t>
      </w:r>
      <w:r w:rsidRPr="00C01E0F">
        <w:rPr>
          <w:rFonts w:eastAsiaTheme="minorHAnsi"/>
          <w:lang w:val="hu-HU"/>
        </w:rPr>
        <w:t xml:space="preserve"> napi egyszeri, háromórás infúzióban rögtön a fludarabin után, 2 vagy 3</w:t>
      </w:r>
      <w:r w:rsidR="009129B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egymást követő napon</w:t>
      </w:r>
      <w:r w:rsidR="009129BF">
        <w:rPr>
          <w:rFonts w:eastAsiaTheme="minorHAnsi"/>
          <w:lang w:val="hu-HU"/>
        </w:rPr>
        <w:t xml:space="preserve"> kell beadni</w:t>
      </w:r>
      <w:r w:rsidRPr="00C01E0F">
        <w:rPr>
          <w:rFonts w:eastAsiaTheme="minorHAnsi"/>
          <w:lang w:val="hu-HU"/>
        </w:rPr>
        <w:t>.</w:t>
      </w:r>
    </w:p>
    <w:p w14:paraId="608D32B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23DEE794" w14:textId="626D5776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 és serdülők (0</w:t>
      </w:r>
      <w:r w:rsidR="00321A05">
        <w:rPr>
          <w:rFonts w:eastAsiaTheme="minorHAnsi"/>
          <w:i/>
          <w:iCs/>
          <w:lang w:val="hu-HU"/>
        </w:rPr>
        <w:t xml:space="preserve"> és betöltött 18</w:t>
      </w:r>
      <w:r>
        <w:rPr>
          <w:rFonts w:eastAsiaTheme="minorHAnsi"/>
          <w:i/>
          <w:iCs/>
          <w:lang w:val="hu-HU"/>
        </w:rPr>
        <w:t> év</w:t>
      </w:r>
      <w:r w:rsidR="00321A05">
        <w:rPr>
          <w:rFonts w:eastAsiaTheme="minorHAnsi"/>
          <w:i/>
          <w:iCs/>
          <w:lang w:val="hu-HU"/>
        </w:rPr>
        <w:t xml:space="preserve"> között</w:t>
      </w:r>
      <w:r w:rsidRPr="00C01E0F">
        <w:rPr>
          <w:rFonts w:eastAsiaTheme="minorHAnsi"/>
          <w:i/>
          <w:iCs/>
          <w:lang w:val="hu-HU"/>
        </w:rPr>
        <w:t>)</w:t>
      </w:r>
    </w:p>
    <w:p w14:paraId="3966D77B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 FB biztonságosságát és hatásosságát gyermekek esetében nem igazolták.</w:t>
      </w:r>
    </w:p>
    <w:p w14:paraId="396564CC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1D8BB2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Idős</w:t>
      </w:r>
      <w:r>
        <w:rPr>
          <w:rFonts w:eastAsiaTheme="minorHAnsi"/>
          <w:i/>
          <w:iCs/>
          <w:lang w:val="hu-HU"/>
        </w:rPr>
        <w:t>ek</w:t>
      </w:r>
    </w:p>
    <w:p w14:paraId="7290A739" w14:textId="734D7684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FB </w:t>
      </w:r>
      <w:r w:rsidR="009129BF">
        <w:rPr>
          <w:rFonts w:eastAsiaTheme="minorHAnsi"/>
          <w:lang w:val="hu-HU"/>
        </w:rPr>
        <w:t xml:space="preserve">adagolási </w:t>
      </w:r>
      <w:r w:rsidRPr="00C01E0F">
        <w:rPr>
          <w:rFonts w:eastAsiaTheme="minorHAnsi"/>
          <w:lang w:val="hu-HU"/>
        </w:rPr>
        <w:t xml:space="preserve">séma alkalmazását kifejezetten </w:t>
      </w:r>
      <w:r w:rsidR="00FD5B8F">
        <w:rPr>
          <w:rFonts w:eastAsiaTheme="minorHAnsi"/>
          <w:lang w:val="hu-HU"/>
        </w:rPr>
        <w:t xml:space="preserve">az </w:t>
      </w:r>
      <w:r w:rsidRPr="00C01E0F">
        <w:rPr>
          <w:rFonts w:eastAsiaTheme="minorHAnsi"/>
          <w:lang w:val="hu-HU"/>
        </w:rPr>
        <w:t>idős beteg</w:t>
      </w:r>
      <w:r w:rsidR="00FD5B8F">
        <w:rPr>
          <w:rFonts w:eastAsiaTheme="minorHAnsi"/>
          <w:lang w:val="hu-HU"/>
        </w:rPr>
        <w:t>ekre vonatkozóan</w:t>
      </w:r>
      <w:r w:rsidRPr="00C01E0F">
        <w:rPr>
          <w:rFonts w:eastAsiaTheme="minorHAnsi"/>
          <w:lang w:val="hu-HU"/>
        </w:rPr>
        <w:t xml:space="preserve"> nem vizsgálták. Ugyanakkor a szakirodalomban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több mint </w:t>
      </w:r>
      <w:r w:rsidR="00D03B1B">
        <w:rPr>
          <w:rFonts w:eastAsiaTheme="minorHAnsi"/>
          <w:lang w:val="hu-HU"/>
        </w:rPr>
        <w:t>ötszáz</w:t>
      </w:r>
      <w:r w:rsidRPr="00C01E0F">
        <w:rPr>
          <w:rFonts w:eastAsiaTheme="minorHAnsi"/>
          <w:lang w:val="hu-HU"/>
        </w:rPr>
        <w:t>, 55 éves vagy annál idősebb</w:t>
      </w:r>
      <w:r>
        <w:rPr>
          <w:rFonts w:eastAsiaTheme="minorHAnsi"/>
          <w:lang w:val="hu-HU"/>
        </w:rPr>
        <w:t xml:space="preserve">, FB kondicionáló </w:t>
      </w:r>
      <w:r w:rsidR="0018007B">
        <w:rPr>
          <w:rFonts w:eastAsiaTheme="minorHAnsi"/>
          <w:lang w:val="hu-HU"/>
        </w:rPr>
        <w:t xml:space="preserve">sémával </w:t>
      </w:r>
      <w:r>
        <w:rPr>
          <w:rFonts w:eastAsiaTheme="minorHAnsi"/>
          <w:lang w:val="hu-HU"/>
        </w:rPr>
        <w:t>kezel</w:t>
      </w:r>
      <w:r w:rsidR="0018007B">
        <w:rPr>
          <w:rFonts w:eastAsiaTheme="minorHAnsi"/>
          <w:lang w:val="hu-HU"/>
        </w:rPr>
        <w:t>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betegről számoltak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be, akinél </w:t>
      </w:r>
      <w:r w:rsidR="0018007B" w:rsidRPr="00C01E0F">
        <w:rPr>
          <w:rFonts w:eastAsiaTheme="minorHAnsi"/>
          <w:lang w:val="hu-HU"/>
        </w:rPr>
        <w:t xml:space="preserve">hasonló </w:t>
      </w:r>
      <w:r w:rsidRPr="00C01E0F">
        <w:rPr>
          <w:rFonts w:eastAsiaTheme="minorHAnsi"/>
          <w:lang w:val="hu-HU"/>
        </w:rPr>
        <w:t>hatásosság</w:t>
      </w:r>
      <w:r w:rsidR="0018007B">
        <w:rPr>
          <w:rFonts w:eastAsiaTheme="minorHAnsi"/>
          <w:lang w:val="hu-HU"/>
        </w:rPr>
        <w:t xml:space="preserve">ot értek el, </w:t>
      </w:r>
      <w:r w:rsidRPr="00C01E0F">
        <w:rPr>
          <w:rFonts w:eastAsiaTheme="minorHAnsi"/>
          <w:lang w:val="hu-HU"/>
        </w:rPr>
        <w:t>mint a fiatalabb betegeknél. Dózismódosítás nem volt szükséges.</w:t>
      </w:r>
    </w:p>
    <w:p w14:paraId="326C30AB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7B93DD5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191895">
        <w:rPr>
          <w:rFonts w:eastAsiaTheme="minorHAnsi"/>
          <w:i/>
          <w:iCs/>
          <w:u w:val="single"/>
          <w:lang w:val="hu-HU"/>
        </w:rPr>
        <w:t>Elhízott betegek</w:t>
      </w:r>
    </w:p>
    <w:p w14:paraId="72A069C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0F065F8B" w14:textId="02DB71EF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Elhízott betegek</w:t>
      </w:r>
      <w:r w:rsidR="0018007B">
        <w:rPr>
          <w:rFonts w:eastAsiaTheme="minorHAnsi"/>
          <w:lang w:val="hu-HU"/>
        </w:rPr>
        <w:t>nél</w:t>
      </w:r>
      <w:r>
        <w:rPr>
          <w:rFonts w:eastAsiaTheme="minorHAnsi"/>
          <w:lang w:val="hu-HU"/>
        </w:rPr>
        <w:t xml:space="preserve"> a korrigált </w:t>
      </w:r>
      <w:r w:rsidR="0018007B">
        <w:rPr>
          <w:rFonts w:eastAsiaTheme="minorHAnsi"/>
          <w:lang w:val="hu-HU"/>
        </w:rPr>
        <w:t xml:space="preserve">ideális </w:t>
      </w:r>
      <w:r>
        <w:rPr>
          <w:rFonts w:eastAsiaTheme="minorHAnsi"/>
          <w:lang w:val="hu-HU"/>
        </w:rPr>
        <w:t>testtömeg</w:t>
      </w:r>
      <w:r w:rsidRPr="00AA353F">
        <w:rPr>
          <w:rFonts w:eastAsia="SimSun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alapján </w:t>
      </w:r>
      <w:r>
        <w:rPr>
          <w:rFonts w:eastAsiaTheme="minorHAnsi"/>
          <w:lang w:val="hu-HU"/>
        </w:rPr>
        <w:t>számított dózis</w:t>
      </w:r>
      <w:r w:rsidR="00832E7F">
        <w:rPr>
          <w:rFonts w:eastAsiaTheme="minorHAnsi"/>
          <w:lang w:val="hu-HU"/>
        </w:rPr>
        <w:t>t</w:t>
      </w:r>
      <w:r w:rsidR="00BC74DE">
        <w:rPr>
          <w:rFonts w:eastAsiaTheme="minorHAnsi"/>
          <w:lang w:val="hu-HU"/>
        </w:rPr>
        <w:t xml:space="preserve"> kell figyelembe venni</w:t>
      </w:r>
      <w:r w:rsidRPr="00C01E0F">
        <w:rPr>
          <w:rFonts w:eastAsiaTheme="minorHAnsi"/>
          <w:lang w:val="hu-HU"/>
        </w:rPr>
        <w:t>.</w:t>
      </w:r>
    </w:p>
    <w:p w14:paraId="028C1B29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3FAA83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 ideális testtömeg kiszámítása:</w:t>
      </w:r>
    </w:p>
    <w:p w14:paraId="521357C3" w14:textId="740D0A30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Férfiaknál (</w:t>
      </w:r>
      <w:r w:rsidR="00F3108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kg)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=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50</w:t>
      </w:r>
      <w:r w:rsidR="00F05F1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+</w:t>
      </w:r>
      <w:r w:rsidR="00F05F1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0,91</w:t>
      </w:r>
      <w:r w:rsidR="00F56DF3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×</w:t>
      </w:r>
      <w:r w:rsidR="00F56DF3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</w:t>
      </w:r>
      <w:r w:rsidR="001F7232" w:rsidRPr="00C01E0F">
        <w:rPr>
          <w:rFonts w:eastAsiaTheme="minorHAnsi"/>
          <w:lang w:val="hu-HU"/>
        </w:rPr>
        <w:t>cm</w:t>
      </w:r>
      <w:r w:rsidR="001F7232">
        <w:rPr>
          <w:rFonts w:eastAsiaTheme="minorHAnsi"/>
          <w:lang w:val="hu-HU"/>
        </w:rPr>
        <w:noBreakHyphen/>
      </w:r>
      <w:r w:rsidR="001F7232" w:rsidRPr="00C01E0F">
        <w:rPr>
          <w:rFonts w:eastAsiaTheme="minorHAnsi"/>
          <w:lang w:val="hu-HU"/>
        </w:rPr>
        <w:t>ben</w:t>
      </w:r>
      <w:r w:rsidR="001F7232">
        <w:rPr>
          <w:rFonts w:eastAsiaTheme="minorHAnsi"/>
          <w:lang w:val="hu-HU"/>
        </w:rPr>
        <w:t xml:space="preserve"> megadott</w:t>
      </w:r>
      <w:r w:rsidR="001F7232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testmagasság </w:t>
      </w:r>
      <w:r w:rsidR="00F56DF3">
        <w:rPr>
          <w:rFonts w:eastAsiaTheme="minorHAnsi"/>
          <w:lang w:val="hu-HU"/>
        </w:rPr>
        <w:t xml:space="preserve">− </w:t>
      </w:r>
      <w:r w:rsidRPr="00C01E0F">
        <w:rPr>
          <w:rFonts w:eastAsiaTheme="minorHAnsi"/>
          <w:lang w:val="hu-HU"/>
        </w:rPr>
        <w:t>152);</w:t>
      </w:r>
    </w:p>
    <w:p w14:paraId="4B1ABD43" w14:textId="092CD0F4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Nőknél (</w:t>
      </w:r>
      <w:r w:rsidR="00F3108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kg)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=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45</w:t>
      </w:r>
      <w:r w:rsidR="00F05F1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+</w:t>
      </w:r>
      <w:r w:rsidR="00F05F1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0,91</w:t>
      </w:r>
      <w:r w:rsidR="00F56DF3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×</w:t>
      </w:r>
      <w:r w:rsidR="00F56DF3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</w:t>
      </w:r>
      <w:r w:rsidR="001F7232" w:rsidRPr="00C01E0F">
        <w:rPr>
          <w:rFonts w:eastAsiaTheme="minorHAnsi"/>
          <w:lang w:val="hu-HU"/>
        </w:rPr>
        <w:t>cm</w:t>
      </w:r>
      <w:r w:rsidR="001F7232">
        <w:rPr>
          <w:rFonts w:eastAsiaTheme="minorHAnsi"/>
          <w:lang w:val="hu-HU"/>
        </w:rPr>
        <w:noBreakHyphen/>
      </w:r>
      <w:r w:rsidR="001F7232" w:rsidRPr="00C01E0F">
        <w:rPr>
          <w:rFonts w:eastAsiaTheme="minorHAnsi"/>
          <w:lang w:val="hu-HU"/>
        </w:rPr>
        <w:t>ben</w:t>
      </w:r>
      <w:r w:rsidR="001F7232">
        <w:rPr>
          <w:rFonts w:eastAsiaTheme="minorHAnsi"/>
          <w:lang w:val="hu-HU"/>
        </w:rPr>
        <w:t xml:space="preserve"> megadott</w:t>
      </w:r>
      <w:r w:rsidR="001F7232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testmagasság </w:t>
      </w:r>
      <w:r w:rsidR="00F56DF3">
        <w:rPr>
          <w:rFonts w:eastAsiaTheme="minorHAnsi"/>
          <w:lang w:val="hu-HU"/>
        </w:rPr>
        <w:t xml:space="preserve">− </w:t>
      </w:r>
      <w:r w:rsidRPr="00C01E0F">
        <w:rPr>
          <w:rFonts w:eastAsiaTheme="minorHAnsi"/>
          <w:lang w:val="hu-HU"/>
        </w:rPr>
        <w:t>152).</w:t>
      </w:r>
    </w:p>
    <w:p w14:paraId="5BDBA2FB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40869C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korrigált ideális testtömeget az alábbiak szerint kell kiszámítani:</w:t>
      </w:r>
    </w:p>
    <w:p w14:paraId="21CDBA2D" w14:textId="58403B03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Korrigált ideális testtömeg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=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ideális </w:t>
      </w:r>
      <w:r w:rsidRPr="001F7232">
        <w:rPr>
          <w:rFonts w:eastAsiaTheme="minorHAnsi"/>
          <w:lang w:val="hu-HU"/>
        </w:rPr>
        <w:t>testtömeg</w:t>
      </w:r>
      <w:r w:rsidR="00F05F19" w:rsidRPr="001F7232">
        <w:rPr>
          <w:rFonts w:eastAsiaTheme="minorHAnsi"/>
          <w:lang w:val="hu-HU"/>
        </w:rPr>
        <w:t xml:space="preserve"> </w:t>
      </w:r>
      <w:r w:rsidRPr="001F7232">
        <w:rPr>
          <w:rFonts w:eastAsiaTheme="minorHAnsi"/>
          <w:lang w:val="hu-HU"/>
        </w:rPr>
        <w:t>+</w:t>
      </w:r>
      <w:r w:rsidR="00F05F1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0,25</w:t>
      </w:r>
      <w:r w:rsidR="00F56DF3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×</w:t>
      </w:r>
      <w:r w:rsidR="00F56DF3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(aktuális testtömeg</w:t>
      </w:r>
      <w:r w:rsidR="00F56DF3">
        <w:rPr>
          <w:rFonts w:eastAsiaTheme="minorHAnsi"/>
          <w:lang w:val="hu-HU"/>
        </w:rPr>
        <w:t xml:space="preserve"> − </w:t>
      </w:r>
      <w:r w:rsidRPr="00C01E0F">
        <w:rPr>
          <w:rFonts w:eastAsiaTheme="minorHAnsi"/>
          <w:lang w:val="hu-HU"/>
        </w:rPr>
        <w:t>ideális testtömeg).</w:t>
      </w:r>
    </w:p>
    <w:p w14:paraId="6C6C188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09F4E3A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 és serdülők</w:t>
      </w:r>
    </w:p>
    <w:p w14:paraId="12CD7E85" w14:textId="17C13518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Amíg további adatok nem állnak rendelkezésre, ez a gyógyszer nem javasolt </w:t>
      </w:r>
      <w:r>
        <w:rPr>
          <w:rFonts w:eastAsiaTheme="minorHAnsi"/>
          <w:lang w:val="hu-HU"/>
        </w:rPr>
        <w:t xml:space="preserve">elhízott </w:t>
      </w:r>
      <w:r w:rsidRPr="00C01E0F">
        <w:rPr>
          <w:rFonts w:eastAsiaTheme="minorHAnsi"/>
          <w:lang w:val="hu-HU"/>
        </w:rPr>
        <w:t>gyermekek és serdülők számára, akiknek a testtömegindexe (testtömeg kg/testfelület m</w:t>
      </w:r>
      <w:r w:rsidRPr="00EA3FAE">
        <w:rPr>
          <w:rFonts w:eastAsiaTheme="minorHAnsi"/>
          <w:vertAlign w:val="superscript"/>
          <w:lang w:val="hu-HU"/>
        </w:rPr>
        <w:t>2</w:t>
      </w:r>
      <w:r w:rsidRPr="00C01E0F">
        <w:rPr>
          <w:rFonts w:eastAsiaTheme="minorHAnsi"/>
          <w:lang w:val="hu-HU"/>
        </w:rPr>
        <w:t>) meghaladja a 30 </w:t>
      </w:r>
      <w:r w:rsidR="00F3108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kg/m</w:t>
      </w:r>
      <w:r w:rsidRPr="00C01E0F">
        <w:rPr>
          <w:rFonts w:eastAsiaTheme="minorHAnsi"/>
          <w:vertAlign w:val="superscript"/>
          <w:lang w:val="hu-HU"/>
        </w:rPr>
        <w:t>2</w:t>
      </w:r>
      <w:r>
        <w:rPr>
          <w:rFonts w:eastAsiaTheme="minorHAnsi"/>
          <w:lang w:val="hu-HU"/>
        </w:rPr>
        <w:noBreakHyphen/>
        <w:t>t.</w:t>
      </w:r>
    </w:p>
    <w:p w14:paraId="707B5E6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47E25895" w14:textId="77777777" w:rsidR="00944C5C" w:rsidRPr="00C01E0F" w:rsidRDefault="00944C5C" w:rsidP="00944C5C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Vesekárosodásban szenvedő betegek</w:t>
      </w:r>
    </w:p>
    <w:p w14:paraId="516D3600" w14:textId="77777777" w:rsidR="00944C5C" w:rsidRPr="00C01E0F" w:rsidRDefault="00944C5C" w:rsidP="00944C5C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DA66BF">
        <w:rPr>
          <w:rFonts w:eastAsiaTheme="minorHAnsi"/>
          <w:iCs/>
          <w:lang w:val="hu-HU"/>
        </w:rPr>
        <w:t>Vesekárosodásban szenvedő betegek</w:t>
      </w:r>
      <w:r w:rsidR="00347B31">
        <w:rPr>
          <w:rFonts w:eastAsiaTheme="minorHAnsi"/>
          <w:iCs/>
          <w:lang w:val="hu-HU"/>
        </w:rPr>
        <w:t>kel</w:t>
      </w:r>
      <w:r w:rsidRPr="00C01E0F">
        <w:rPr>
          <w:rFonts w:eastAsiaTheme="minorHAnsi"/>
          <w:lang w:val="hu-HU"/>
        </w:rPr>
        <w:t xml:space="preserve"> nem végeztek klinikai vizsgálatokat, mivel azonban a buszulfán közepes mértékben választódik ki a vizelettel, </w:t>
      </w:r>
      <w:r w:rsidR="00347B31">
        <w:rPr>
          <w:rFonts w:eastAsiaTheme="minorHAnsi"/>
          <w:lang w:val="hu-HU"/>
        </w:rPr>
        <w:t>ezeknél a</w:t>
      </w:r>
      <w:r w:rsidRPr="00C01E0F">
        <w:rPr>
          <w:rFonts w:eastAsiaTheme="minorHAnsi"/>
          <w:lang w:val="hu-HU"/>
        </w:rPr>
        <w:t xml:space="preserve"> betegeknél nem javasolt</w:t>
      </w:r>
      <w:r w:rsidR="00347B31" w:rsidRPr="00347B31">
        <w:rPr>
          <w:rFonts w:eastAsiaTheme="minorHAnsi"/>
          <w:lang w:val="hu-HU"/>
        </w:rPr>
        <w:t xml:space="preserve"> </w:t>
      </w:r>
      <w:r w:rsidR="00347B31">
        <w:rPr>
          <w:rFonts w:eastAsiaTheme="minorHAnsi"/>
          <w:lang w:val="hu-HU"/>
        </w:rPr>
        <w:t xml:space="preserve">a </w:t>
      </w:r>
      <w:r w:rsidR="00347B31" w:rsidRPr="00C01E0F">
        <w:rPr>
          <w:rFonts w:eastAsiaTheme="minorHAnsi"/>
          <w:lang w:val="hu-HU"/>
        </w:rPr>
        <w:t>dózismódosítás</w:t>
      </w:r>
      <w:r w:rsidRPr="00C01E0F">
        <w:rPr>
          <w:rFonts w:eastAsiaTheme="minorHAnsi"/>
          <w:lang w:val="hu-HU"/>
        </w:rPr>
        <w:t>.</w:t>
      </w:r>
    </w:p>
    <w:p w14:paraId="65BD9116" w14:textId="77777777" w:rsidR="00944C5C" w:rsidRPr="00C01E0F" w:rsidRDefault="00347B31" w:rsidP="00944C5C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Ugyanakkor</w:t>
      </w:r>
      <w:r w:rsidR="00944C5C" w:rsidRPr="00C01E0F">
        <w:rPr>
          <w:rFonts w:eastAsiaTheme="minorHAnsi"/>
          <w:lang w:val="hu-HU"/>
        </w:rPr>
        <w:t xml:space="preserve"> elővigyázatosság javasolt (lásd 4.8 és 5.2 pont).</w:t>
      </w:r>
    </w:p>
    <w:p w14:paraId="3473F93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602BC4D6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Májkárosodásban szenvedő betegek</w:t>
      </w:r>
    </w:p>
    <w:p w14:paraId="0A2B1F2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snapToGrid w:val="0"/>
          <w:lang w:val="hu-HU"/>
        </w:rPr>
        <w:t xml:space="preserve">A </w:t>
      </w:r>
      <w:r>
        <w:rPr>
          <w:rFonts w:eastAsiaTheme="minorHAnsi"/>
          <w:lang w:val="hu-HU"/>
        </w:rPr>
        <w:t>buszulfánt</w:t>
      </w:r>
      <w:r w:rsidRPr="00C01E0F">
        <w:rPr>
          <w:rFonts w:eastAsiaTheme="minorHAnsi"/>
          <w:lang w:val="hu-HU"/>
        </w:rPr>
        <w:t xml:space="preserve"> </w:t>
      </w:r>
      <w:r w:rsidRPr="00191895">
        <w:rPr>
          <w:rFonts w:eastAsiaTheme="minorHAnsi"/>
          <w:iCs/>
          <w:lang w:val="hu-HU"/>
        </w:rPr>
        <w:t>májkárosodásban szenvedő betegek</w:t>
      </w:r>
      <w:r w:rsidR="00347B31">
        <w:rPr>
          <w:rFonts w:eastAsiaTheme="minorHAnsi"/>
          <w:iCs/>
          <w:lang w:val="hu-HU"/>
        </w:rPr>
        <w:t>nél</w:t>
      </w:r>
      <w:r>
        <w:rPr>
          <w:rFonts w:eastAsiaTheme="minorHAnsi"/>
          <w:iCs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nem </w:t>
      </w:r>
      <w:r>
        <w:rPr>
          <w:rFonts w:eastAsiaTheme="minorHAnsi"/>
          <w:lang w:val="hu-HU"/>
        </w:rPr>
        <w:t>vizsgálták</w:t>
      </w:r>
      <w:r w:rsidRPr="00C01E0F">
        <w:rPr>
          <w:rFonts w:eastAsiaTheme="minorHAnsi"/>
          <w:lang w:val="hu-HU"/>
        </w:rPr>
        <w:t>.</w:t>
      </w:r>
    </w:p>
    <w:p w14:paraId="3356299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Elővigyázatosság javasolt, különösen súlyos m</w:t>
      </w:r>
      <w:r>
        <w:rPr>
          <w:rFonts w:eastAsiaTheme="minorHAnsi"/>
          <w:lang w:val="hu-HU"/>
        </w:rPr>
        <w:t xml:space="preserve">ájkárosodásban szenvedő betegeknél </w:t>
      </w:r>
      <w:r w:rsidRPr="00C01E0F">
        <w:rPr>
          <w:rFonts w:eastAsiaTheme="minorHAnsi"/>
          <w:lang w:val="hu-HU"/>
        </w:rPr>
        <w:t>(lásd 4.4 pont).</w:t>
      </w:r>
    </w:p>
    <w:p w14:paraId="0B85DE86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9B6604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Az alkalmazás módja</w:t>
      </w:r>
    </w:p>
    <w:p w14:paraId="5498FE2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 xml:space="preserve">Óvintézkedések a gyógyszer </w:t>
      </w:r>
      <w:r w:rsidR="00347B31">
        <w:rPr>
          <w:rFonts w:eastAsiaTheme="minorHAnsi"/>
          <w:i/>
          <w:iCs/>
          <w:lang w:val="hu-HU"/>
        </w:rPr>
        <w:t>kezelése</w:t>
      </w:r>
      <w:r w:rsidRPr="00C01E0F">
        <w:rPr>
          <w:rFonts w:eastAsiaTheme="minorHAnsi"/>
          <w:i/>
          <w:iCs/>
          <w:lang w:val="hu-HU"/>
        </w:rPr>
        <w:t xml:space="preserve"> vagy alkalmazása előtt</w:t>
      </w:r>
    </w:p>
    <w:p w14:paraId="0C5A0C83" w14:textId="3324C9F1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snapToGrid w:val="0"/>
          <w:lang w:val="hu-HU"/>
        </w:rPr>
        <w:t xml:space="preserve">A </w:t>
      </w:r>
      <w:r w:rsidR="00142D15">
        <w:rPr>
          <w:snapToGrid w:val="0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 </w:t>
      </w:r>
      <w:r>
        <w:rPr>
          <w:rFonts w:eastAsiaTheme="minorHAnsi"/>
          <w:lang w:val="hu-HU"/>
        </w:rPr>
        <w:t>beadása</w:t>
      </w:r>
      <w:r w:rsidRPr="00C01E0F">
        <w:rPr>
          <w:rFonts w:eastAsiaTheme="minorHAnsi"/>
          <w:lang w:val="hu-HU"/>
        </w:rPr>
        <w:t xml:space="preserve"> előtt hígítani</w:t>
      </w:r>
      <w:r>
        <w:rPr>
          <w:rFonts w:eastAsiaTheme="minorHAnsi"/>
          <w:lang w:val="hu-HU"/>
        </w:rPr>
        <w:t xml:space="preserve"> kell</w:t>
      </w:r>
      <w:r w:rsidRPr="00C01E0F">
        <w:rPr>
          <w:rFonts w:eastAsiaTheme="minorHAnsi"/>
          <w:lang w:val="hu-HU"/>
        </w:rPr>
        <w:t>. K</w:t>
      </w:r>
      <w:r w:rsidR="00347B31">
        <w:rPr>
          <w:rFonts w:eastAsiaTheme="minorHAnsi"/>
          <w:lang w:val="hu-HU"/>
        </w:rPr>
        <w:t>örülbelül</w:t>
      </w:r>
      <w:r w:rsidRPr="00C01E0F">
        <w:rPr>
          <w:rFonts w:eastAsiaTheme="minorHAnsi"/>
          <w:lang w:val="hu-HU"/>
        </w:rPr>
        <w:t xml:space="preserve"> 0,5 mg/ml végső </w:t>
      </w:r>
      <w:r>
        <w:rPr>
          <w:rFonts w:eastAsiaTheme="minorHAnsi"/>
          <w:lang w:val="hu-HU"/>
        </w:rPr>
        <w:t>koncentrációjú</w:t>
      </w:r>
      <w:r w:rsidRPr="00C01E0F">
        <w:rPr>
          <w:rFonts w:eastAsiaTheme="minorHAnsi"/>
          <w:lang w:val="hu-HU"/>
        </w:rPr>
        <w:t xml:space="preserve"> </w:t>
      </w:r>
      <w:r w:rsidR="00285958">
        <w:rPr>
          <w:rFonts w:eastAsiaTheme="minorHAnsi"/>
          <w:lang w:val="hu-HU"/>
        </w:rPr>
        <w:t>buszulfán-</w:t>
      </w:r>
      <w:r w:rsidRPr="00C01E0F">
        <w:rPr>
          <w:rFonts w:eastAsiaTheme="minorHAnsi"/>
          <w:lang w:val="hu-HU"/>
        </w:rPr>
        <w:t xml:space="preserve">oldatot kell nyerni. A </w:t>
      </w:r>
      <w:r w:rsidR="00142D15">
        <w:rPr>
          <w:snapToGrid w:val="0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 centrális vénakanülön keresztül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intravénás infúzióban kell beadni.</w:t>
      </w:r>
    </w:p>
    <w:p w14:paraId="759EACD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35AB217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gyógyszer alkalmazás előtti hígítására vonatkozó utasításokat lásd a 6.6 pontban.</w:t>
      </w:r>
    </w:p>
    <w:p w14:paraId="296EF67F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0F32D5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noBreakHyphen/>
        <w:t>t</w:t>
      </w:r>
      <w:r w:rsidRPr="00C01E0F">
        <w:rPr>
          <w:rFonts w:eastAsiaTheme="minorHAnsi"/>
          <w:lang w:val="hu-HU"/>
        </w:rPr>
        <w:t xml:space="preserve"> nem szabad gyors intravénás, </w:t>
      </w:r>
      <w:r w:rsidRPr="00C01E0F">
        <w:rPr>
          <w:rFonts w:eastAsiaTheme="minorHAnsi"/>
          <w:i/>
          <w:lang w:val="hu-HU"/>
        </w:rPr>
        <w:t>bolus</w:t>
      </w:r>
      <w:r w:rsidRPr="00C01E0F">
        <w:rPr>
          <w:rFonts w:eastAsiaTheme="minorHAnsi"/>
          <w:lang w:val="hu-HU"/>
        </w:rPr>
        <w:t xml:space="preserve"> vagy perifériás injekcióban alkalmazni.</w:t>
      </w:r>
    </w:p>
    <w:p w14:paraId="2C1E6BB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6165B6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Minden betegnél antikonvulzív gyógyszerrel végzett premedikáció szükséges a </w:t>
      </w:r>
      <w:r>
        <w:rPr>
          <w:rFonts w:eastAsiaTheme="minorHAnsi"/>
          <w:lang w:val="hu-HU"/>
        </w:rPr>
        <w:t xml:space="preserve">nagy dózisú </w:t>
      </w:r>
      <w:r w:rsidRPr="00C01E0F">
        <w:rPr>
          <w:rFonts w:eastAsiaTheme="minorHAnsi"/>
          <w:lang w:val="hu-HU"/>
        </w:rPr>
        <w:t xml:space="preserve">buszulfán </w:t>
      </w:r>
      <w:r>
        <w:rPr>
          <w:rFonts w:eastAsiaTheme="minorHAnsi"/>
          <w:lang w:val="hu-HU"/>
        </w:rPr>
        <w:t xml:space="preserve">alkalmazása kapcsán jelentett </w:t>
      </w:r>
      <w:r w:rsidRPr="00C01E0F">
        <w:rPr>
          <w:rFonts w:eastAsiaTheme="minorHAnsi"/>
          <w:lang w:val="hu-HU"/>
        </w:rPr>
        <w:t xml:space="preserve">görcsrohamok </w:t>
      </w:r>
      <w:r>
        <w:rPr>
          <w:rFonts w:eastAsiaTheme="minorHAnsi"/>
          <w:lang w:val="hu-HU"/>
        </w:rPr>
        <w:t>kivédésére</w:t>
      </w:r>
      <w:r w:rsidRPr="00C01E0F">
        <w:rPr>
          <w:rFonts w:eastAsiaTheme="minorHAnsi"/>
          <w:lang w:val="hu-HU"/>
        </w:rPr>
        <w:t>.</w:t>
      </w:r>
    </w:p>
    <w:p w14:paraId="42BCC8FF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Az antikonvulzív </w:t>
      </w:r>
      <w:r w:rsidR="00E84A30">
        <w:rPr>
          <w:rFonts w:eastAsiaTheme="minorHAnsi"/>
          <w:lang w:val="hu-HU"/>
        </w:rPr>
        <w:t>gyógy</w:t>
      </w:r>
      <w:r>
        <w:rPr>
          <w:rFonts w:eastAsiaTheme="minorHAnsi"/>
          <w:lang w:val="hu-HU"/>
        </w:rPr>
        <w:t>szer</w:t>
      </w:r>
      <w:r w:rsidR="000F3997">
        <w:rPr>
          <w:rFonts w:eastAsiaTheme="minorHAnsi"/>
          <w:lang w:val="hu-HU"/>
        </w:rPr>
        <w:t xml:space="preserve"> alkalmazását</w:t>
      </w:r>
      <w:r w:rsidRPr="00C01E0F">
        <w:rPr>
          <w:rFonts w:eastAsiaTheme="minorHAnsi"/>
          <w:lang w:val="hu-HU"/>
        </w:rPr>
        <w:t xml:space="preserve"> a </w:t>
      </w:r>
      <w:r w:rsidR="00142D15">
        <w:rPr>
          <w:snapToGrid w:val="0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előtt 12 órával javasolt elkezdeni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és az utolsó adag </w:t>
      </w:r>
      <w:r w:rsidR="00142D15">
        <w:rPr>
          <w:snapToGrid w:val="0"/>
          <w:lang w:val="hu-HU"/>
        </w:rPr>
        <w:t>Busulfan Teva</w:t>
      </w:r>
      <w:r w:rsidRPr="00C01E0F">
        <w:rPr>
          <w:rFonts w:eastAsiaTheme="minorHAnsi"/>
          <w:lang w:val="hu-HU"/>
        </w:rPr>
        <w:t xml:space="preserve"> beadása után 24 óráig ajánlatos folytatni.</w:t>
      </w:r>
    </w:p>
    <w:p w14:paraId="5F77A4EB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BFEB3C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felnőttekkel és gyermekekkel</w:t>
      </w:r>
      <w:r>
        <w:rPr>
          <w:rFonts w:eastAsiaTheme="minorHAnsi"/>
          <w:lang w:val="hu-HU"/>
        </w:rPr>
        <w:t xml:space="preserve">, illetve </w:t>
      </w:r>
      <w:r w:rsidRPr="00F12FDE">
        <w:rPr>
          <w:rFonts w:eastAsiaTheme="minorHAnsi"/>
          <w:lang w:val="hu-HU"/>
        </w:rPr>
        <w:t>serdülőkkel</w:t>
      </w:r>
      <w:r w:rsidRPr="00C01E0F">
        <w:rPr>
          <w:rFonts w:eastAsiaTheme="minorHAnsi"/>
          <w:lang w:val="hu-HU"/>
        </w:rPr>
        <w:t xml:space="preserve"> végzett vizsgálatokban a betegek a convulsiók profilaktikus kezelésére fenitoint vagy benzodiazepineket kaptak (lásd 4.4 és 4.5 pont).</w:t>
      </w:r>
    </w:p>
    <w:p w14:paraId="4542813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3636110" w14:textId="77777777" w:rsidR="00944C5C" w:rsidRPr="00C01E0F" w:rsidRDefault="000F3997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H</w:t>
      </w:r>
      <w:r w:rsidR="00944C5C" w:rsidRPr="00C01E0F">
        <w:rPr>
          <w:rFonts w:eastAsiaTheme="minorHAnsi"/>
          <w:lang w:val="hu-HU"/>
        </w:rPr>
        <w:t xml:space="preserve">ányáscsillapítót </w:t>
      </w:r>
      <w:r w:rsidR="00944C5C">
        <w:rPr>
          <w:rFonts w:eastAsiaTheme="minorHAnsi"/>
          <w:lang w:val="hu-HU"/>
        </w:rPr>
        <w:t>a</w:t>
      </w:r>
      <w:r w:rsidR="00944C5C" w:rsidRPr="00C01E0F">
        <w:rPr>
          <w:rFonts w:eastAsiaTheme="minorHAnsi"/>
          <w:lang w:val="hu-HU"/>
        </w:rPr>
        <w:t xml:space="preserve"> </w:t>
      </w:r>
      <w:r w:rsidR="00142D15">
        <w:rPr>
          <w:snapToGrid w:val="0"/>
          <w:lang w:val="hu-HU"/>
        </w:rPr>
        <w:t>Busulfan Teva</w:t>
      </w:r>
      <w:r w:rsidR="00944C5C" w:rsidRPr="00C01E0F">
        <w:rPr>
          <w:rFonts w:eastAsiaTheme="minorHAnsi"/>
          <w:lang w:val="hu-HU"/>
        </w:rPr>
        <w:t xml:space="preserve"> </w:t>
      </w:r>
      <w:r w:rsidR="00944C5C">
        <w:rPr>
          <w:rFonts w:eastAsiaTheme="minorHAnsi"/>
          <w:lang w:val="hu-HU"/>
        </w:rPr>
        <w:t>első dózisa</w:t>
      </w:r>
      <w:r w:rsidR="00944C5C" w:rsidRPr="00C01E0F">
        <w:rPr>
          <w:rFonts w:eastAsiaTheme="minorHAnsi"/>
          <w:lang w:val="hu-HU"/>
        </w:rPr>
        <w:t xml:space="preserve"> előtt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kell </w:t>
      </w:r>
      <w:r>
        <w:rPr>
          <w:rFonts w:eastAsiaTheme="minorHAnsi"/>
          <w:lang w:val="hu-HU"/>
        </w:rPr>
        <w:t>beadni</w:t>
      </w:r>
      <w:r w:rsidR="00944C5C" w:rsidRPr="00C01E0F">
        <w:rPr>
          <w:rFonts w:eastAsiaTheme="minorHAnsi"/>
          <w:lang w:val="hu-HU"/>
        </w:rPr>
        <w:t xml:space="preserve">, majd egy állandó menetrend szerint </w:t>
      </w:r>
      <w:r w:rsidRPr="00C01E0F">
        <w:rPr>
          <w:rFonts w:eastAsiaTheme="minorHAnsi"/>
          <w:lang w:val="hu-HU"/>
        </w:rPr>
        <w:t xml:space="preserve">kell </w:t>
      </w:r>
      <w:r w:rsidR="00944C5C" w:rsidRPr="00C01E0F">
        <w:rPr>
          <w:rFonts w:eastAsiaTheme="minorHAnsi"/>
          <w:lang w:val="hu-HU"/>
        </w:rPr>
        <w:t xml:space="preserve">folytatni </w:t>
      </w:r>
      <w:r>
        <w:rPr>
          <w:rFonts w:eastAsiaTheme="minorHAnsi"/>
          <w:lang w:val="hu-HU"/>
        </w:rPr>
        <w:t xml:space="preserve">az </w:t>
      </w:r>
      <w:r w:rsidR="00944C5C">
        <w:rPr>
          <w:rFonts w:eastAsiaTheme="minorHAnsi"/>
          <w:lang w:val="hu-HU"/>
        </w:rPr>
        <w:t xml:space="preserve">alkalmazásukat </w:t>
      </w:r>
      <w:r w:rsidR="00944C5C" w:rsidRPr="00C01E0F">
        <w:rPr>
          <w:rFonts w:eastAsiaTheme="minorHAnsi"/>
          <w:lang w:val="hu-HU"/>
        </w:rPr>
        <w:t>a kezelés teljes időtartama alatt</w:t>
      </w:r>
      <w:r w:rsidR="00944C5C">
        <w:rPr>
          <w:rFonts w:eastAsiaTheme="minorHAnsi"/>
          <w:lang w:val="hu-HU"/>
        </w:rPr>
        <w:t>,</w:t>
      </w:r>
      <w:r w:rsidR="00944C5C" w:rsidRPr="00C01E0F">
        <w:rPr>
          <w:rFonts w:eastAsiaTheme="minorHAnsi"/>
          <w:lang w:val="hu-HU"/>
        </w:rPr>
        <w:t xml:space="preserve"> a helyi gyakorlatnak megfelelően.</w:t>
      </w:r>
    </w:p>
    <w:p w14:paraId="368F6CFE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37551F5F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4.3</w:t>
      </w:r>
      <w:r w:rsidRPr="00C01E0F">
        <w:rPr>
          <w:b/>
          <w:bCs/>
          <w:lang w:val="hu-HU"/>
        </w:rPr>
        <w:tab/>
        <w:t>Ellenjavallatok</w:t>
      </w:r>
    </w:p>
    <w:p w14:paraId="57A143D8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60B4A87B" w14:textId="77777777" w:rsidR="00944C5C" w:rsidRPr="00C01E0F" w:rsidRDefault="00944C5C" w:rsidP="00944C5C">
      <w:pPr>
        <w:spacing w:line="240" w:lineRule="auto"/>
        <w:rPr>
          <w:lang w:val="hu-HU"/>
        </w:rPr>
      </w:pPr>
      <w:r w:rsidRPr="00C01E0F">
        <w:rPr>
          <w:lang w:val="hu-HU"/>
        </w:rPr>
        <w:t>A készítmény hatóanyagával vagy a 6.1 pontban felsorolt bármely segédanyagával szembeni túlérzékenység.</w:t>
      </w:r>
    </w:p>
    <w:p w14:paraId="0DB06FEC" w14:textId="42CA39E0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Terhesség (lásd 4.6 pont)</w:t>
      </w:r>
      <w:r w:rsidR="002F7035">
        <w:rPr>
          <w:rFonts w:eastAsiaTheme="minorHAnsi"/>
          <w:lang w:val="hu-HU"/>
        </w:rPr>
        <w:t>.</w:t>
      </w:r>
    </w:p>
    <w:p w14:paraId="44C2602A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6FF00445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4.4</w:t>
      </w:r>
      <w:r w:rsidRPr="00C01E0F">
        <w:rPr>
          <w:b/>
          <w:bCs/>
          <w:lang w:val="hu-HU"/>
        </w:rPr>
        <w:tab/>
        <w:t>Különleges figyelmeztetések és az alkalmazással kapcsolatos óvintézkedések</w:t>
      </w:r>
    </w:p>
    <w:p w14:paraId="65E0C32D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7AAC75C7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Az</w:t>
      </w:r>
      <w:r w:rsidRPr="00C01E0F">
        <w:rPr>
          <w:rFonts w:eastAsiaTheme="minorHAnsi"/>
          <w:lang w:val="hu-HU"/>
        </w:rPr>
        <w:t xml:space="preserve"> ajánlott dózis</w:t>
      </w:r>
      <w:r>
        <w:rPr>
          <w:rFonts w:eastAsiaTheme="minorHAnsi"/>
          <w:lang w:val="hu-HU"/>
        </w:rPr>
        <w:t>ban</w:t>
      </w:r>
      <w:r w:rsidRPr="00C01E0F">
        <w:rPr>
          <w:rFonts w:eastAsiaTheme="minorHAnsi"/>
          <w:lang w:val="hu-HU"/>
        </w:rPr>
        <w:t xml:space="preserve"> és </w:t>
      </w:r>
      <w:r>
        <w:rPr>
          <w:rFonts w:eastAsiaTheme="minorHAnsi"/>
          <w:lang w:val="hu-HU"/>
        </w:rPr>
        <w:t>adagolási rend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szerint végzett</w:t>
      </w:r>
      <w:r w:rsidRPr="00C01E0F">
        <w:rPr>
          <w:rFonts w:eastAsiaTheme="minorHAnsi"/>
          <w:lang w:val="hu-HU"/>
        </w:rPr>
        <w:t xml:space="preserve"> </w:t>
      </w:r>
      <w:r w:rsidR="008C1CBC">
        <w:rPr>
          <w:snapToGrid w:val="0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</w:t>
      </w:r>
      <w:r>
        <w:rPr>
          <w:rFonts w:eastAsiaTheme="minorHAnsi"/>
          <w:lang w:val="hu-HU"/>
        </w:rPr>
        <w:t xml:space="preserve"> következtében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minden betegnél kifejezett myelos</w:t>
      </w:r>
      <w:r w:rsidRPr="00C01E0F">
        <w:rPr>
          <w:rFonts w:eastAsiaTheme="minorHAnsi"/>
          <w:lang w:val="hu-HU"/>
        </w:rPr>
        <w:t>uppress</w:t>
      </w:r>
      <w:r>
        <w:rPr>
          <w:rFonts w:eastAsiaTheme="minorHAnsi"/>
          <w:lang w:val="hu-HU"/>
        </w:rPr>
        <w:t xml:space="preserve">io lép fel. </w:t>
      </w:r>
      <w:r w:rsidR="00F75E9B">
        <w:rPr>
          <w:rFonts w:eastAsiaTheme="minorHAnsi"/>
          <w:lang w:val="hu-HU"/>
        </w:rPr>
        <w:t>Kialakulhat</w:t>
      </w:r>
      <w:r w:rsidR="00F75E9B" w:rsidRPr="00C01E0F">
        <w:rPr>
          <w:rFonts w:eastAsiaTheme="minorHAnsi"/>
          <w:lang w:val="hu-HU"/>
        </w:rPr>
        <w:t xml:space="preserve"> </w:t>
      </w:r>
      <w:r w:rsidR="00F75E9B">
        <w:rPr>
          <w:rFonts w:eastAsiaTheme="minorHAnsi"/>
          <w:lang w:val="hu-HU"/>
        </w:rPr>
        <w:t>s</w:t>
      </w:r>
      <w:r w:rsidRPr="00C01E0F">
        <w:rPr>
          <w:rFonts w:eastAsiaTheme="minorHAnsi"/>
          <w:lang w:val="hu-HU"/>
        </w:rPr>
        <w:t xml:space="preserve">úlyos granulocytopenia, thrombocytopenia, anaemia vagy ezek bármely kombinációja. A kezelés folyamán gyakori teljes vérképellenőrzés szükséges, beleértve </w:t>
      </w:r>
      <w:r>
        <w:rPr>
          <w:rFonts w:eastAsiaTheme="minorHAnsi"/>
          <w:lang w:val="hu-HU"/>
        </w:rPr>
        <w:t>a kvalitatív vérkép</w:t>
      </w:r>
      <w:r w:rsidRPr="00C01E0F">
        <w:rPr>
          <w:rFonts w:eastAsiaTheme="minorHAnsi"/>
          <w:lang w:val="hu-HU"/>
        </w:rPr>
        <w:t xml:space="preserve"> és a thrombocytaszám</w:t>
      </w:r>
      <w:r>
        <w:rPr>
          <w:rFonts w:eastAsiaTheme="minorHAnsi"/>
          <w:lang w:val="hu-HU"/>
        </w:rPr>
        <w:t xml:space="preserve"> meghatározását</w:t>
      </w:r>
      <w:r w:rsidRPr="00C01E0F">
        <w:rPr>
          <w:rFonts w:eastAsiaTheme="minorHAnsi"/>
          <w:lang w:val="hu-HU"/>
        </w:rPr>
        <w:t xml:space="preserve">, </w:t>
      </w:r>
      <w:r>
        <w:rPr>
          <w:rFonts w:eastAsiaTheme="minorHAnsi"/>
          <w:lang w:val="hu-HU"/>
        </w:rPr>
        <w:t xml:space="preserve">amit </w:t>
      </w:r>
      <w:r w:rsidRPr="00C01E0F">
        <w:rPr>
          <w:rFonts w:eastAsiaTheme="minorHAnsi"/>
          <w:lang w:val="hu-HU"/>
        </w:rPr>
        <w:t>a teljes normalizálódásig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folytatni kell.</w:t>
      </w:r>
    </w:p>
    <w:p w14:paraId="452F4ABB" w14:textId="6A1E8A6B" w:rsidR="00944C5C" w:rsidRPr="00181AE1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neutropeniás </w:t>
      </w:r>
      <w:r>
        <w:rPr>
          <w:rFonts w:eastAsiaTheme="minorHAnsi"/>
          <w:lang w:val="hu-HU"/>
        </w:rPr>
        <w:t>időszakban</w:t>
      </w:r>
      <w:r w:rsidRPr="00C01E0F">
        <w:rPr>
          <w:rFonts w:eastAsiaTheme="minorHAnsi"/>
          <w:lang w:val="hu-HU"/>
        </w:rPr>
        <w:t xml:space="preserve"> a fertőzések megelőzése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illetve kezelése érdekében mérlegelni kell fertőzés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(bakteriális, gomba</w:t>
      </w:r>
      <w:r>
        <w:rPr>
          <w:rFonts w:eastAsiaTheme="minorHAnsi"/>
          <w:lang w:val="hu-HU"/>
        </w:rPr>
        <w:noBreakHyphen/>
        <w:t xml:space="preserve"> </w:t>
      </w:r>
      <w:r w:rsidRPr="00C01E0F">
        <w:rPr>
          <w:rFonts w:eastAsiaTheme="minorHAnsi"/>
          <w:lang w:val="hu-HU"/>
        </w:rPr>
        <w:t>és vírus</w:t>
      </w:r>
      <w:r>
        <w:rPr>
          <w:rFonts w:eastAsiaTheme="minorHAnsi"/>
          <w:lang w:val="hu-HU"/>
        </w:rPr>
        <w:t>fertőzés</w:t>
      </w:r>
      <w:r w:rsidRPr="00C01E0F">
        <w:rPr>
          <w:rFonts w:eastAsiaTheme="minorHAnsi"/>
          <w:lang w:val="hu-HU"/>
        </w:rPr>
        <w:t xml:space="preserve">) </w:t>
      </w:r>
      <w:r>
        <w:rPr>
          <w:rFonts w:eastAsiaTheme="minorHAnsi"/>
          <w:lang w:val="hu-HU"/>
        </w:rPr>
        <w:t>elleni</w:t>
      </w:r>
      <w:r w:rsidRPr="00C01E0F">
        <w:rPr>
          <w:rFonts w:eastAsiaTheme="minorHAnsi"/>
          <w:lang w:val="hu-HU"/>
        </w:rPr>
        <w:t xml:space="preserve"> készítmények </w:t>
      </w:r>
      <w:r>
        <w:rPr>
          <w:rFonts w:eastAsiaTheme="minorHAnsi"/>
          <w:lang w:val="hu-HU"/>
        </w:rPr>
        <w:t>profilaktikus</w:t>
      </w:r>
      <w:r w:rsidRPr="00C01E0F">
        <w:rPr>
          <w:rFonts w:eastAsiaTheme="minorHAnsi"/>
          <w:lang w:val="hu-HU"/>
        </w:rPr>
        <w:t xml:space="preserve"> vagy empirikus alkalmazását. Thrombocyta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vörösvértest</w:t>
      </w:r>
      <w:r>
        <w:rPr>
          <w:rFonts w:eastAsiaTheme="minorHAnsi"/>
          <w:lang w:val="hu-HU"/>
        </w:rPr>
        <w:t xml:space="preserve">képzést </w:t>
      </w:r>
      <w:r w:rsidRPr="00C01E0F">
        <w:rPr>
          <w:rFonts w:eastAsiaTheme="minorHAnsi"/>
          <w:lang w:val="hu-HU"/>
        </w:rPr>
        <w:t>támogató kezelés, valamint növekedési faktorok, mint pl. granulocyta kolónia stimuláló faktor (G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CSF)</w:t>
      </w:r>
      <w:r>
        <w:rPr>
          <w:rFonts w:eastAsiaTheme="minorHAnsi"/>
          <w:lang w:val="hu-HU"/>
        </w:rPr>
        <w:t xml:space="preserve"> alkalmazandók, amennyiben orvosilag indokolt.</w:t>
      </w:r>
    </w:p>
    <w:p w14:paraId="4252B017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793A391F" w14:textId="2563F2F3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u w:val="single"/>
          <w:lang w:val="hu-HU"/>
        </w:rPr>
        <w:t>Felnőtteknél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a transzplantáció után</w:t>
      </w:r>
      <w:r w:rsidR="00D76AFB">
        <w:rPr>
          <w:rFonts w:eastAsiaTheme="minorHAnsi"/>
          <w:lang w:val="hu-HU"/>
        </w:rPr>
        <w:t xml:space="preserve"> átlagosan </w:t>
      </w:r>
      <w:r w:rsidRPr="00C01E0F">
        <w:rPr>
          <w:rFonts w:eastAsiaTheme="minorHAnsi"/>
          <w:lang w:val="hu-HU"/>
        </w:rPr>
        <w:t>4 nap</w:t>
      </w:r>
      <w:r>
        <w:rPr>
          <w:rFonts w:eastAsiaTheme="minorHAnsi"/>
          <w:lang w:val="hu-HU"/>
        </w:rPr>
        <w:t xml:space="preserve"> elteltével </w:t>
      </w:r>
      <w:r w:rsidRPr="00C01E0F">
        <w:rPr>
          <w:rFonts w:eastAsiaTheme="minorHAnsi"/>
          <w:lang w:val="hu-HU"/>
        </w:rPr>
        <w:t>a betegek 100%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ánál </w:t>
      </w:r>
      <w:r>
        <w:rPr>
          <w:rFonts w:eastAsiaTheme="minorHAnsi"/>
          <w:lang w:val="hu-HU"/>
        </w:rPr>
        <w:t xml:space="preserve">fordult </w:t>
      </w:r>
      <w:r w:rsidR="00C40ED1">
        <w:rPr>
          <w:rFonts w:eastAsiaTheme="minorHAnsi"/>
          <w:lang w:val="hu-HU"/>
        </w:rPr>
        <w:t xml:space="preserve">elő </w:t>
      </w:r>
      <w:r w:rsidRPr="00C01E0F">
        <w:rPr>
          <w:rFonts w:eastAsiaTheme="minorHAnsi"/>
          <w:lang w:val="hu-HU"/>
        </w:rPr>
        <w:t>0,5</w:t>
      </w:r>
      <w:r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406627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 xml:space="preserve">/l </w:t>
      </w:r>
      <w:r>
        <w:rPr>
          <w:rFonts w:eastAsiaTheme="minorHAnsi"/>
          <w:lang w:val="hu-HU"/>
        </w:rPr>
        <w:t xml:space="preserve">alatti </w:t>
      </w:r>
      <w:r w:rsidRPr="00C01E0F">
        <w:rPr>
          <w:rFonts w:eastAsiaTheme="minorHAnsi"/>
          <w:lang w:val="hu-HU"/>
        </w:rPr>
        <w:t xml:space="preserve">abszolút neutrophilszám, </w:t>
      </w:r>
      <w:r>
        <w:rPr>
          <w:rFonts w:eastAsiaTheme="minorHAnsi"/>
          <w:lang w:val="hu-HU"/>
        </w:rPr>
        <w:t xml:space="preserve">ami autológ transzplantáció után </w:t>
      </w:r>
      <w:r w:rsidR="00D76AFB">
        <w:rPr>
          <w:rFonts w:eastAsiaTheme="minorHAnsi"/>
          <w:lang w:val="hu-HU"/>
        </w:rPr>
        <w:t xml:space="preserve">átlagosan </w:t>
      </w:r>
      <w:r w:rsidRPr="00C01E0F">
        <w:rPr>
          <w:rFonts w:eastAsiaTheme="minorHAnsi"/>
          <w:lang w:val="hu-HU"/>
        </w:rPr>
        <w:t xml:space="preserve">10, </w:t>
      </w:r>
      <w:r>
        <w:rPr>
          <w:rFonts w:eastAsiaTheme="minorHAnsi"/>
          <w:lang w:val="hu-HU"/>
        </w:rPr>
        <w:t xml:space="preserve">allogén transzplantáció után pedig </w:t>
      </w:r>
      <w:r w:rsidRPr="00C01E0F">
        <w:rPr>
          <w:rFonts w:eastAsiaTheme="minorHAnsi"/>
          <w:lang w:val="hu-HU"/>
        </w:rPr>
        <w:t>13 na</w:t>
      </w:r>
      <w:r>
        <w:rPr>
          <w:rFonts w:eastAsiaTheme="minorHAnsi"/>
          <w:lang w:val="hu-HU"/>
        </w:rPr>
        <w:t xml:space="preserve">p időtartam elteltével </w:t>
      </w:r>
      <w:r w:rsidRPr="00C01E0F">
        <w:rPr>
          <w:rFonts w:eastAsiaTheme="minorHAnsi"/>
          <w:lang w:val="hu-HU"/>
        </w:rPr>
        <w:t>normalizálódott (</w:t>
      </w:r>
      <w:r w:rsidR="00D76AFB"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 xml:space="preserve">neutropeniás időszak </w:t>
      </w:r>
      <w:r w:rsidR="00D76AFB" w:rsidRPr="00C01E0F">
        <w:rPr>
          <w:rFonts w:eastAsiaTheme="minorHAnsi"/>
          <w:lang w:val="hu-HU"/>
        </w:rPr>
        <w:t xml:space="preserve">medián </w:t>
      </w:r>
      <w:r w:rsidR="00D76AFB">
        <w:rPr>
          <w:rFonts w:eastAsiaTheme="minorHAnsi"/>
          <w:lang w:val="hu-HU"/>
        </w:rPr>
        <w:t xml:space="preserve">értéke </w:t>
      </w:r>
      <w:r w:rsidRPr="00C01E0F">
        <w:rPr>
          <w:rFonts w:eastAsiaTheme="minorHAnsi"/>
          <w:lang w:val="hu-HU"/>
        </w:rPr>
        <w:t>6</w:t>
      </w:r>
      <w:r w:rsidR="00D76AFB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illetve 9 nap</w:t>
      </w:r>
      <w:r>
        <w:rPr>
          <w:rFonts w:eastAsiaTheme="minorHAnsi"/>
          <w:lang w:val="hu-HU"/>
        </w:rPr>
        <w:t>). Thrombocytopenia (&lt; </w:t>
      </w:r>
      <w:r w:rsidRPr="00C01E0F">
        <w:rPr>
          <w:rFonts w:eastAsiaTheme="minorHAnsi"/>
          <w:lang w:val="hu-HU"/>
        </w:rPr>
        <w:t>25</w:t>
      </w:r>
      <w:r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406627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>/l vagy thrombocyta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transzfúziót igénylő mértékű)</w:t>
      </w:r>
      <w:r w:rsidR="00D75FF6">
        <w:rPr>
          <w:rFonts w:eastAsiaTheme="minorHAnsi"/>
          <w:lang w:val="hu-HU"/>
        </w:rPr>
        <w:t xml:space="preserve"> </w:t>
      </w:r>
      <w:r w:rsidR="00D75FF6" w:rsidRPr="00C01E0F">
        <w:rPr>
          <w:rFonts w:eastAsiaTheme="minorHAnsi"/>
          <w:lang w:val="hu-HU"/>
        </w:rPr>
        <w:t>a betegek 98%</w:t>
      </w:r>
      <w:r w:rsidR="00D75FF6">
        <w:rPr>
          <w:rFonts w:eastAsiaTheme="minorHAnsi"/>
          <w:lang w:val="hu-HU"/>
        </w:rPr>
        <w:noBreakHyphen/>
      </w:r>
      <w:r w:rsidR="00D75FF6" w:rsidRPr="00C01E0F">
        <w:rPr>
          <w:rFonts w:eastAsiaTheme="minorHAnsi"/>
          <w:lang w:val="hu-HU"/>
        </w:rPr>
        <w:t xml:space="preserve">ánál </w:t>
      </w:r>
      <w:r w:rsidR="00D75FF6">
        <w:rPr>
          <w:rFonts w:eastAsiaTheme="minorHAnsi"/>
          <w:lang w:val="hu-HU"/>
        </w:rPr>
        <w:t>fordult elő, átlagosan</w:t>
      </w:r>
      <w:r w:rsidRPr="00C01E0F">
        <w:rPr>
          <w:rFonts w:eastAsiaTheme="minorHAnsi"/>
          <w:lang w:val="hu-HU"/>
        </w:rPr>
        <w:t xml:space="preserve"> 5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6 nap</w:t>
      </w:r>
      <w:r>
        <w:rPr>
          <w:rFonts w:eastAsiaTheme="minorHAnsi"/>
          <w:lang w:val="hu-HU"/>
        </w:rPr>
        <w:t xml:space="preserve"> elteltével. Anaemia (haemoglobin&lt;</w:t>
      </w:r>
      <w:r w:rsidR="00D75FF6">
        <w:rPr>
          <w:rFonts w:eastAsiaTheme="minorHAnsi"/>
          <w:lang w:val="hu-HU"/>
        </w:rPr>
        <w:t> </w:t>
      </w:r>
      <w:r>
        <w:rPr>
          <w:rFonts w:eastAsiaTheme="minorHAnsi"/>
          <w:lang w:val="hu-HU"/>
        </w:rPr>
        <w:t>8,0 </w:t>
      </w:r>
      <w:r w:rsidRPr="00C01E0F">
        <w:rPr>
          <w:rFonts w:eastAsiaTheme="minorHAnsi"/>
          <w:lang w:val="hu-HU"/>
        </w:rPr>
        <w:t>g/dl) a betegek 69%</w:t>
      </w:r>
      <w:r>
        <w:rPr>
          <w:rFonts w:eastAsiaTheme="minorHAnsi"/>
          <w:lang w:val="hu-HU"/>
        </w:rPr>
        <w:noBreakHyphen/>
        <w:t>ánál</w:t>
      </w:r>
      <w:r w:rsidRPr="00C01E0F">
        <w:rPr>
          <w:rFonts w:eastAsiaTheme="minorHAnsi"/>
          <w:lang w:val="hu-HU"/>
        </w:rPr>
        <w:t xml:space="preserve"> lépett fel. </w:t>
      </w:r>
    </w:p>
    <w:p w14:paraId="49AE4123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3D05C4B1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u w:val="single"/>
          <w:lang w:val="hu-HU"/>
        </w:rPr>
        <w:lastRenderedPageBreak/>
        <w:t>Gyermeknél és serdülőknél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a transzplantáció utáni </w:t>
      </w:r>
      <w:r w:rsidR="00D75FF6">
        <w:rPr>
          <w:rFonts w:eastAsiaTheme="minorHAnsi"/>
          <w:lang w:val="hu-HU"/>
        </w:rPr>
        <w:t xml:space="preserve">átlagosan </w:t>
      </w:r>
      <w:r>
        <w:rPr>
          <w:rFonts w:eastAsiaTheme="minorHAnsi"/>
          <w:lang w:val="hu-HU"/>
        </w:rPr>
        <w:t>3</w:t>
      </w:r>
      <w:r w:rsidRPr="00C01E0F">
        <w:rPr>
          <w:rFonts w:eastAsiaTheme="minorHAnsi"/>
          <w:lang w:val="hu-HU"/>
        </w:rPr>
        <w:t> nap</w:t>
      </w:r>
      <w:r>
        <w:rPr>
          <w:rFonts w:eastAsiaTheme="minorHAnsi"/>
          <w:lang w:val="hu-HU"/>
        </w:rPr>
        <w:t xml:space="preserve"> elteltével </w:t>
      </w:r>
      <w:r w:rsidRPr="00C01E0F">
        <w:rPr>
          <w:rFonts w:eastAsiaTheme="minorHAnsi"/>
          <w:lang w:val="hu-HU"/>
        </w:rPr>
        <w:t>a betegek 100%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ánál </w:t>
      </w:r>
      <w:r>
        <w:rPr>
          <w:rFonts w:eastAsiaTheme="minorHAnsi"/>
          <w:lang w:val="hu-HU"/>
        </w:rPr>
        <w:t xml:space="preserve">fordult </w:t>
      </w:r>
      <w:r w:rsidR="000B539D">
        <w:rPr>
          <w:rFonts w:eastAsiaTheme="minorHAnsi"/>
          <w:lang w:val="hu-HU"/>
        </w:rPr>
        <w:t xml:space="preserve">elő </w:t>
      </w:r>
      <w:r w:rsidRPr="00C01E0F">
        <w:rPr>
          <w:rFonts w:eastAsiaTheme="minorHAnsi"/>
          <w:lang w:val="hu-HU"/>
        </w:rPr>
        <w:t>0,5</w:t>
      </w:r>
      <w:r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406627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 xml:space="preserve">/l </w:t>
      </w:r>
      <w:r>
        <w:rPr>
          <w:rFonts w:eastAsiaTheme="minorHAnsi"/>
          <w:lang w:val="hu-HU"/>
        </w:rPr>
        <w:t xml:space="preserve">alatti </w:t>
      </w:r>
      <w:r w:rsidRPr="00C01E0F">
        <w:rPr>
          <w:rFonts w:eastAsiaTheme="minorHAnsi"/>
          <w:lang w:val="hu-HU"/>
        </w:rPr>
        <w:t xml:space="preserve">abszolút neutrophilszám, </w:t>
      </w:r>
      <w:r>
        <w:rPr>
          <w:rFonts w:eastAsiaTheme="minorHAnsi"/>
          <w:lang w:val="hu-HU"/>
        </w:rPr>
        <w:t>ami</w:t>
      </w:r>
      <w:r w:rsidRPr="00C01E0F">
        <w:rPr>
          <w:rFonts w:eastAsiaTheme="minorHAnsi"/>
          <w:lang w:val="hu-HU"/>
        </w:rPr>
        <w:t xml:space="preserve"> autológ transzplantáció</w:t>
      </w:r>
      <w:r>
        <w:rPr>
          <w:rFonts w:eastAsiaTheme="minorHAnsi"/>
          <w:lang w:val="hu-HU"/>
        </w:rPr>
        <w:t xml:space="preserve"> esetén 5 napig, míg </w:t>
      </w:r>
      <w:r w:rsidRPr="00C01E0F">
        <w:rPr>
          <w:rFonts w:eastAsiaTheme="minorHAnsi"/>
          <w:lang w:val="hu-HU"/>
        </w:rPr>
        <w:t>allogén transzplantációt követően 18,5 nap</w:t>
      </w:r>
      <w:r>
        <w:rPr>
          <w:rFonts w:eastAsiaTheme="minorHAnsi"/>
          <w:lang w:val="hu-HU"/>
        </w:rPr>
        <w:t xml:space="preserve">ig tartott. </w:t>
      </w:r>
      <w:r w:rsidRPr="00C01E0F">
        <w:rPr>
          <w:rFonts w:eastAsiaTheme="minorHAnsi"/>
          <w:lang w:val="hu-HU"/>
        </w:rPr>
        <w:t>G</w:t>
      </w:r>
      <w:r>
        <w:rPr>
          <w:rFonts w:eastAsiaTheme="minorHAnsi"/>
          <w:lang w:val="hu-HU"/>
        </w:rPr>
        <w:t>yermekeknél thrombocytopenia (&lt; </w:t>
      </w:r>
      <w:r w:rsidRPr="00C01E0F">
        <w:rPr>
          <w:rFonts w:eastAsiaTheme="minorHAnsi"/>
          <w:lang w:val="hu-HU"/>
        </w:rPr>
        <w:t>25</w:t>
      </w:r>
      <w:r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8F61E5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>/l vagy thrombocyta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transzfúziót igénylő mértékű) a betegek 100%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ánál </w:t>
      </w:r>
      <w:r>
        <w:rPr>
          <w:rFonts w:eastAsiaTheme="minorHAnsi"/>
          <w:lang w:val="hu-HU"/>
        </w:rPr>
        <w:t>fordult elő</w:t>
      </w:r>
      <w:r w:rsidRPr="00C01E0F">
        <w:rPr>
          <w:rFonts w:eastAsiaTheme="minorHAnsi"/>
          <w:lang w:val="hu-HU"/>
        </w:rPr>
        <w:t>. Anaemia (haemoglobin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&lt;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8,0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g/dl) a betegek 100%</w:t>
      </w:r>
      <w:r>
        <w:rPr>
          <w:rFonts w:eastAsiaTheme="minorHAnsi"/>
          <w:lang w:val="hu-HU"/>
        </w:rPr>
        <w:noBreakHyphen/>
        <w:t>ánál lépett fel.</w:t>
      </w:r>
    </w:p>
    <w:p w14:paraId="21578023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4DB7D48" w14:textId="7FD6525F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9 </w:t>
      </w:r>
      <w:r w:rsidR="00F3108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 xml:space="preserve">kg alatti </w:t>
      </w:r>
      <w:r>
        <w:rPr>
          <w:rFonts w:eastAsiaTheme="minorHAnsi"/>
          <w:lang w:val="hu-HU"/>
        </w:rPr>
        <w:t xml:space="preserve">testtömegű </w:t>
      </w:r>
      <w:r w:rsidRPr="00C01E0F">
        <w:rPr>
          <w:rFonts w:eastAsiaTheme="minorHAnsi"/>
          <w:lang w:val="hu-HU"/>
        </w:rPr>
        <w:t xml:space="preserve">gyermeknél </w:t>
      </w:r>
      <w:r>
        <w:rPr>
          <w:rFonts w:eastAsiaTheme="minorHAnsi"/>
          <w:lang w:val="hu-HU"/>
        </w:rPr>
        <w:t>egyedi esetekben indokolt lehet a</w:t>
      </w:r>
      <w:r w:rsidRPr="00C01E0F">
        <w:rPr>
          <w:rFonts w:eastAsiaTheme="minorHAnsi"/>
          <w:lang w:val="hu-HU"/>
        </w:rPr>
        <w:t xml:space="preserve"> terápiás gyógyszer</w:t>
      </w:r>
      <w:r>
        <w:rPr>
          <w:rFonts w:eastAsiaTheme="minorHAnsi"/>
          <w:lang w:val="hu-HU"/>
        </w:rPr>
        <w:t xml:space="preserve">szint </w:t>
      </w:r>
      <w:r w:rsidRPr="00C01E0F">
        <w:rPr>
          <w:rFonts w:eastAsiaTheme="minorHAnsi"/>
          <w:lang w:val="hu-HU"/>
        </w:rPr>
        <w:t>monitorozás</w:t>
      </w:r>
      <w:r>
        <w:rPr>
          <w:rFonts w:eastAsiaTheme="minorHAnsi"/>
          <w:lang w:val="hu-HU"/>
        </w:rPr>
        <w:t xml:space="preserve">a, különösen </w:t>
      </w:r>
      <w:r w:rsidRPr="00C01E0F">
        <w:rPr>
          <w:rFonts w:eastAsiaTheme="minorHAnsi"/>
          <w:lang w:val="hu-HU"/>
        </w:rPr>
        <w:t>nagyon fiatal gyermekek és újszülöttek esetében (lásd 5.2 pont).</w:t>
      </w:r>
    </w:p>
    <w:p w14:paraId="6362005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Fanconi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an</w:t>
      </w:r>
      <w:r>
        <w:rPr>
          <w:rFonts w:eastAsiaTheme="minorHAnsi"/>
          <w:lang w:val="hu-HU"/>
        </w:rPr>
        <w:t>ae</w:t>
      </w:r>
      <w:r w:rsidRPr="00C01E0F">
        <w:rPr>
          <w:rFonts w:eastAsiaTheme="minorHAnsi"/>
          <w:lang w:val="hu-HU"/>
        </w:rPr>
        <w:t xml:space="preserve">miás sejtek túlérzékenyek a keresztkapcsolt hatóanyagokra. </w:t>
      </w:r>
      <w:r w:rsidR="00D75FF6">
        <w:rPr>
          <w:rFonts w:eastAsiaTheme="minorHAnsi"/>
          <w:lang w:val="hu-HU"/>
        </w:rPr>
        <w:t>Hemopoetikus</w:t>
      </w:r>
      <w:r w:rsidRPr="00C01E0F">
        <w:rPr>
          <w:rFonts w:eastAsiaTheme="minorHAnsi"/>
          <w:lang w:val="hu-HU"/>
        </w:rPr>
        <w:t xml:space="preserve"> 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 (</w:t>
      </w:r>
      <w:r>
        <w:rPr>
          <w:rFonts w:eastAsiaTheme="minorHAnsi"/>
          <w:lang w:val="hu-HU"/>
        </w:rPr>
        <w:t>H</w:t>
      </w:r>
      <w:r w:rsidR="00172C3B">
        <w:rPr>
          <w:rFonts w:eastAsiaTheme="minorHAnsi"/>
          <w:lang w:val="hu-HU"/>
        </w:rPr>
        <w:t>S</w:t>
      </w:r>
      <w:r>
        <w:rPr>
          <w:rFonts w:eastAsiaTheme="minorHAnsi"/>
          <w:lang w:val="hu-HU"/>
        </w:rPr>
        <w:t>CT</w:t>
      </w:r>
      <w:r w:rsidRPr="00C01E0F">
        <w:rPr>
          <w:rFonts w:eastAsiaTheme="minorHAnsi"/>
          <w:lang w:val="hu-HU"/>
        </w:rPr>
        <w:t>) előtt álló</w:t>
      </w:r>
      <w:r>
        <w:rPr>
          <w:rFonts w:eastAsiaTheme="minorHAnsi"/>
          <w:lang w:val="hu-HU"/>
        </w:rPr>
        <w:t xml:space="preserve">, </w:t>
      </w:r>
      <w:r w:rsidRPr="00C01E0F">
        <w:rPr>
          <w:rFonts w:eastAsiaTheme="minorHAnsi"/>
          <w:lang w:val="hu-HU"/>
        </w:rPr>
        <w:t>Fanconi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an</w:t>
      </w:r>
      <w:r>
        <w:rPr>
          <w:rFonts w:eastAsiaTheme="minorHAnsi"/>
          <w:lang w:val="hu-HU"/>
        </w:rPr>
        <w:t xml:space="preserve">aemiában szenvedő </w:t>
      </w:r>
      <w:r w:rsidRPr="00C01E0F">
        <w:rPr>
          <w:rFonts w:eastAsiaTheme="minorHAnsi"/>
          <w:lang w:val="hu-HU"/>
        </w:rPr>
        <w:t xml:space="preserve">gyermekeknél </w:t>
      </w:r>
      <w:r>
        <w:rPr>
          <w:rFonts w:eastAsiaTheme="minorHAnsi"/>
          <w:lang w:val="hu-HU"/>
        </w:rPr>
        <w:t xml:space="preserve">a buszulfán kondicionáló kezelési protokoll részeként történő alkalmazásával </w:t>
      </w:r>
      <w:r w:rsidRPr="00C01E0F">
        <w:rPr>
          <w:rFonts w:eastAsiaTheme="minorHAnsi"/>
          <w:lang w:val="hu-HU"/>
        </w:rPr>
        <w:t>kapcsolatban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korlátozott klinikai tapasztalat áll rendelkezésre. </w:t>
      </w:r>
      <w:r>
        <w:rPr>
          <w:rFonts w:eastAsiaTheme="minorHAnsi"/>
          <w:lang w:val="hu-HU"/>
        </w:rPr>
        <w:t>E</w:t>
      </w:r>
      <w:r w:rsidRPr="00C01E0F">
        <w:rPr>
          <w:rFonts w:eastAsiaTheme="minorHAnsi"/>
          <w:lang w:val="hu-HU"/>
        </w:rPr>
        <w:t xml:space="preserve">zért ilyen típusú betegeknél 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noBreakHyphen/>
        <w:t>t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fokozott óvatossággal</w:t>
      </w:r>
      <w:r w:rsidRPr="00C01E0F">
        <w:rPr>
          <w:rFonts w:eastAsiaTheme="minorHAnsi"/>
          <w:lang w:val="hu-HU"/>
        </w:rPr>
        <w:t xml:space="preserve"> kell alkalmazni.</w:t>
      </w:r>
    </w:p>
    <w:p w14:paraId="41B39A2A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22E1C9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Májkárosodás</w:t>
      </w:r>
    </w:p>
    <w:p w14:paraId="5E0AC25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b</w:t>
      </w:r>
      <w:r w:rsidRPr="00C01E0F">
        <w:rPr>
          <w:rFonts w:eastAsiaTheme="minorHAnsi"/>
          <w:lang w:val="hu-HU"/>
        </w:rPr>
        <w:t>uszulfán</w:t>
      </w:r>
      <w:r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</w:t>
      </w:r>
      <w:r w:rsidRPr="00191895">
        <w:rPr>
          <w:rFonts w:eastAsia="TimesNewRomanPSMT"/>
          <w:lang w:val="hu-HU"/>
        </w:rPr>
        <w:t>m</w:t>
      </w:r>
      <w:r w:rsidR="00172C3B">
        <w:rPr>
          <w:rFonts w:eastAsia="TimesNewRomanPSMT"/>
          <w:lang w:val="hu-HU"/>
        </w:rPr>
        <w:t>ájkárosodásban szenvedő</w:t>
      </w:r>
      <w:r w:rsidDel="0084245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betegeknél nem </w:t>
      </w:r>
      <w:r>
        <w:rPr>
          <w:rFonts w:eastAsiaTheme="minorHAnsi"/>
          <w:lang w:val="hu-HU"/>
        </w:rPr>
        <w:t>vizsgálták</w:t>
      </w:r>
      <w:r w:rsidRPr="00C01E0F">
        <w:rPr>
          <w:rFonts w:eastAsiaTheme="minorHAnsi"/>
          <w:lang w:val="hu-HU"/>
        </w:rPr>
        <w:t xml:space="preserve">. Mivel a buszulfán </w:t>
      </w:r>
      <w:r>
        <w:rPr>
          <w:rFonts w:eastAsiaTheme="minorHAnsi"/>
          <w:lang w:val="hu-HU"/>
        </w:rPr>
        <w:t>elsősorban</w:t>
      </w:r>
      <w:r w:rsidRPr="00C01E0F">
        <w:rPr>
          <w:rFonts w:eastAsiaTheme="minorHAnsi"/>
          <w:lang w:val="hu-HU"/>
        </w:rPr>
        <w:t xml:space="preserve"> a májon keresztül metabolizálódik, elővigyázatosság szükséges, ha a </w:t>
      </w:r>
      <w:r w:rsidR="000F3605">
        <w:rPr>
          <w:rFonts w:eastAsiaTheme="minorHAnsi"/>
          <w:lang w:val="hu-HU"/>
        </w:rPr>
        <w:t>Busulfan Teva</w:t>
      </w:r>
      <w:r w:rsidR="000F3605">
        <w:rPr>
          <w:rFonts w:eastAsiaTheme="minorHAnsi"/>
          <w:lang w:val="hu-HU"/>
        </w:rPr>
        <w:noBreakHyphen/>
        <w:t>t meglévő</w:t>
      </w:r>
      <w:r w:rsidRPr="00C01E0F">
        <w:rPr>
          <w:rFonts w:eastAsiaTheme="minorHAnsi"/>
          <w:lang w:val="hu-HU"/>
        </w:rPr>
        <w:t xml:space="preserve"> májkárosodásban</w:t>
      </w:r>
      <w:r w:rsidR="00E24BDD" w:rsidRPr="00E24BDD">
        <w:rPr>
          <w:rFonts w:eastAsiaTheme="minorHAnsi"/>
          <w:lang w:val="hu-HU"/>
        </w:rPr>
        <w:t xml:space="preserve"> </w:t>
      </w:r>
      <w:r w:rsidR="00E24BDD">
        <w:rPr>
          <w:rFonts w:eastAsiaTheme="minorHAnsi"/>
          <w:lang w:val="hu-HU"/>
        </w:rPr>
        <w:t xml:space="preserve">szenvedő betegeknél </w:t>
      </w:r>
      <w:r w:rsidR="00E24BDD" w:rsidRPr="00C01E0F">
        <w:rPr>
          <w:rFonts w:eastAsiaTheme="minorHAnsi"/>
          <w:lang w:val="hu-HU"/>
        </w:rPr>
        <w:t>alkalmazzák</w:t>
      </w:r>
      <w:r w:rsidRPr="00C01E0F">
        <w:rPr>
          <w:rFonts w:eastAsiaTheme="minorHAnsi"/>
          <w:lang w:val="hu-HU"/>
        </w:rPr>
        <w:t>, különösen</w:t>
      </w:r>
      <w:r w:rsidR="00426002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</w:t>
      </w:r>
      <w:r w:rsidR="00E24BDD">
        <w:rPr>
          <w:rFonts w:eastAsiaTheme="minorHAnsi"/>
          <w:lang w:val="hu-HU"/>
        </w:rPr>
        <w:t xml:space="preserve">ha ez </w:t>
      </w:r>
      <w:r w:rsidRPr="00C01E0F">
        <w:rPr>
          <w:rFonts w:eastAsiaTheme="minorHAnsi"/>
          <w:lang w:val="hu-HU"/>
        </w:rPr>
        <w:t>súlyos m</w:t>
      </w:r>
      <w:r>
        <w:rPr>
          <w:rFonts w:eastAsiaTheme="minorHAnsi"/>
          <w:lang w:val="hu-HU"/>
        </w:rPr>
        <w:t>ájkárosodás</w:t>
      </w:r>
      <w:r w:rsidRPr="00C01E0F">
        <w:rPr>
          <w:rFonts w:eastAsiaTheme="minorHAnsi"/>
          <w:lang w:val="hu-HU"/>
        </w:rPr>
        <w:t xml:space="preserve">. </w:t>
      </w:r>
      <w:r>
        <w:rPr>
          <w:rFonts w:eastAsiaTheme="minorHAnsi"/>
          <w:lang w:val="hu-HU"/>
        </w:rPr>
        <w:t>Ilyen</w:t>
      </w:r>
      <w:r w:rsidRPr="00C01E0F">
        <w:rPr>
          <w:rFonts w:eastAsiaTheme="minorHAnsi"/>
          <w:lang w:val="hu-HU"/>
        </w:rPr>
        <w:t xml:space="preserve"> betegek kezelés</w:t>
      </w:r>
      <w:r>
        <w:rPr>
          <w:rFonts w:eastAsiaTheme="minorHAnsi"/>
          <w:lang w:val="hu-HU"/>
        </w:rPr>
        <w:t xml:space="preserve">ekor javasolt </w:t>
      </w:r>
      <w:r w:rsidRPr="00C01E0F">
        <w:rPr>
          <w:rFonts w:eastAsiaTheme="minorHAnsi"/>
          <w:lang w:val="hu-HU"/>
        </w:rPr>
        <w:t>a transzplantációt követően 28 napig rendszeresen ellenőriz</w:t>
      </w:r>
      <w:r>
        <w:rPr>
          <w:rFonts w:eastAsiaTheme="minorHAnsi"/>
          <w:lang w:val="hu-HU"/>
        </w:rPr>
        <w:t xml:space="preserve">ni </w:t>
      </w:r>
      <w:r w:rsidRPr="00C01E0F">
        <w:rPr>
          <w:rFonts w:eastAsiaTheme="minorHAnsi"/>
          <w:lang w:val="hu-HU"/>
        </w:rPr>
        <w:t>a szérum transzamináz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, alkalikus foszfatáz</w:t>
      </w:r>
      <w:r>
        <w:rPr>
          <w:rFonts w:eastAsiaTheme="minorHAnsi"/>
          <w:lang w:val="hu-HU"/>
        </w:rPr>
        <w:noBreakHyphen/>
        <w:t xml:space="preserve"> és bilirubin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értékeket</w:t>
      </w:r>
      <w:r w:rsidRPr="001C4DCC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a májtoxicitás korai felfedezése érdekében.</w:t>
      </w:r>
    </w:p>
    <w:p w14:paraId="5DCD568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97D15E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 során súlyos szövődményként </w:t>
      </w:r>
      <w:r>
        <w:rPr>
          <w:rFonts w:eastAsiaTheme="minorHAnsi"/>
          <w:lang w:val="hu-HU"/>
        </w:rPr>
        <w:t>fel</w:t>
      </w:r>
      <w:r w:rsidRPr="00C01E0F">
        <w:rPr>
          <w:rFonts w:eastAsiaTheme="minorHAnsi"/>
          <w:lang w:val="hu-HU"/>
        </w:rPr>
        <w:t xml:space="preserve">léphet </w:t>
      </w:r>
      <w:r>
        <w:rPr>
          <w:rFonts w:eastAsiaTheme="minorHAnsi"/>
          <w:lang w:val="hu-HU"/>
        </w:rPr>
        <w:t>venoocclusiv májbetegség</w:t>
      </w:r>
      <w:r w:rsidRPr="00C01E0F">
        <w:rPr>
          <w:rFonts w:eastAsiaTheme="minorHAnsi"/>
          <w:lang w:val="hu-HU"/>
        </w:rPr>
        <w:t xml:space="preserve">. </w:t>
      </w:r>
      <w:r w:rsidR="00E24BDD">
        <w:rPr>
          <w:rFonts w:eastAsiaTheme="minorHAnsi"/>
          <w:lang w:val="hu-HU"/>
        </w:rPr>
        <w:t>Fokozott a kockázat a</w:t>
      </w:r>
      <w:r>
        <w:rPr>
          <w:rFonts w:eastAsiaTheme="minorHAnsi"/>
          <w:lang w:val="hu-HU"/>
        </w:rPr>
        <w:t>zoknál a betegeknél, akik korábban sugárterápiában részesültek</w:t>
      </w:r>
      <w:r w:rsidRPr="00C01E0F">
        <w:rPr>
          <w:rFonts w:eastAsiaTheme="minorHAnsi"/>
          <w:lang w:val="hu-HU"/>
        </w:rPr>
        <w:t>, három vagy több kemoterápiás ciklus</w:t>
      </w:r>
      <w:r>
        <w:rPr>
          <w:rFonts w:eastAsiaTheme="minorHAnsi"/>
          <w:lang w:val="hu-HU"/>
        </w:rPr>
        <w:t>t kaptak</w:t>
      </w:r>
      <w:r w:rsidRPr="00C01E0F">
        <w:rPr>
          <w:rFonts w:eastAsiaTheme="minorHAnsi"/>
          <w:lang w:val="hu-HU"/>
        </w:rPr>
        <w:t>, vagy 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transzplantáción </w:t>
      </w:r>
      <w:r>
        <w:rPr>
          <w:rFonts w:eastAsiaTheme="minorHAnsi"/>
          <w:lang w:val="hu-HU"/>
        </w:rPr>
        <w:t xml:space="preserve">estek át </w:t>
      </w:r>
      <w:r w:rsidRPr="00C01E0F">
        <w:rPr>
          <w:rFonts w:eastAsiaTheme="minorHAnsi"/>
          <w:lang w:val="hu-HU"/>
        </w:rPr>
        <w:t>(lásd 4.8 pont).</w:t>
      </w:r>
    </w:p>
    <w:p w14:paraId="3EBDA30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C24C75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buszulfán </w:t>
      </w:r>
      <w:r>
        <w:rPr>
          <w:rFonts w:eastAsiaTheme="minorHAnsi"/>
          <w:lang w:val="hu-HU"/>
        </w:rPr>
        <w:t>metabolizmusá</w:t>
      </w:r>
      <w:r w:rsidR="00E24BDD">
        <w:rPr>
          <w:rFonts w:eastAsiaTheme="minorHAnsi"/>
          <w:lang w:val="hu-HU"/>
        </w:rPr>
        <w:t xml:space="preserve">nak </w:t>
      </w:r>
      <w:r>
        <w:rPr>
          <w:rFonts w:eastAsiaTheme="minorHAnsi"/>
          <w:lang w:val="hu-HU"/>
        </w:rPr>
        <w:t>esetleges csökkenés</w:t>
      </w:r>
      <w:r w:rsidR="00E24BDD">
        <w:rPr>
          <w:rFonts w:eastAsiaTheme="minorHAnsi"/>
          <w:lang w:val="hu-HU"/>
        </w:rPr>
        <w:t>e</w:t>
      </w:r>
      <w:r>
        <w:rPr>
          <w:rFonts w:eastAsiaTheme="minorHAnsi"/>
          <w:lang w:val="hu-HU"/>
        </w:rPr>
        <w:t xml:space="preserve"> miatt k</w:t>
      </w:r>
      <w:r w:rsidRPr="00C01E0F">
        <w:rPr>
          <w:rFonts w:eastAsiaTheme="minorHAnsi"/>
          <w:lang w:val="hu-HU"/>
        </w:rPr>
        <w:t>ülönös óvatosság szükséges</w:t>
      </w:r>
      <w:r>
        <w:rPr>
          <w:rFonts w:eastAsiaTheme="minorHAnsi"/>
          <w:lang w:val="hu-HU"/>
        </w:rPr>
        <w:t xml:space="preserve">, </w:t>
      </w:r>
      <w:r w:rsidR="003C579E">
        <w:rPr>
          <w:rFonts w:eastAsiaTheme="minorHAnsi"/>
          <w:lang w:val="hu-HU"/>
        </w:rPr>
        <w:t>ha</w:t>
      </w:r>
      <w:r>
        <w:rPr>
          <w:rFonts w:eastAsiaTheme="minorHAnsi"/>
          <w:lang w:val="hu-HU"/>
        </w:rPr>
        <w:t xml:space="preserve"> 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t xml:space="preserve"> előtt (kevesebb, mint 72 órával előtte) vagy azzal egyidejűleg paracetamolt alkalmaznak </w:t>
      </w:r>
      <w:r w:rsidRPr="00C01E0F">
        <w:rPr>
          <w:rFonts w:eastAsiaTheme="minorHAnsi"/>
          <w:lang w:val="hu-HU"/>
        </w:rPr>
        <w:t>(lásd 4.5 pont).</w:t>
      </w:r>
    </w:p>
    <w:p w14:paraId="79FF64F6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5D118D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klinikai vizsgálatok</w:t>
      </w:r>
      <w:r>
        <w:rPr>
          <w:rFonts w:eastAsiaTheme="minorHAnsi"/>
          <w:lang w:val="hu-HU"/>
        </w:rPr>
        <w:t xml:space="preserve"> dokumentációja szerint egyetlen </w:t>
      </w:r>
      <w:r w:rsidRPr="00C01E0F">
        <w:rPr>
          <w:rFonts w:eastAsiaTheme="minorHAnsi"/>
          <w:lang w:val="hu-HU"/>
        </w:rPr>
        <w:t>kezelt beteg</w:t>
      </w:r>
      <w:r>
        <w:rPr>
          <w:rFonts w:eastAsiaTheme="minorHAnsi"/>
          <w:lang w:val="hu-HU"/>
        </w:rPr>
        <w:t xml:space="preserve">nél sem tapasztaltak buszulfán </w:t>
      </w:r>
      <w:r w:rsidR="003C579E">
        <w:rPr>
          <w:rFonts w:eastAsiaTheme="minorHAnsi"/>
          <w:lang w:val="hu-HU"/>
        </w:rPr>
        <w:t xml:space="preserve">által </w:t>
      </w:r>
      <w:r>
        <w:rPr>
          <w:rFonts w:eastAsiaTheme="minorHAnsi"/>
          <w:lang w:val="hu-HU"/>
        </w:rPr>
        <w:t>okoz</w:t>
      </w:r>
      <w:r w:rsidR="003C579E">
        <w:rPr>
          <w:rFonts w:eastAsiaTheme="minorHAnsi"/>
          <w:lang w:val="hu-HU"/>
        </w:rPr>
        <w:t>ott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szívtamponád</w:t>
      </w:r>
      <w:r>
        <w:rPr>
          <w:rFonts w:eastAsiaTheme="minorHAnsi"/>
          <w:lang w:val="hu-HU"/>
        </w:rPr>
        <w:t>ot</w:t>
      </w:r>
      <w:r w:rsidRPr="00C01E0F">
        <w:rPr>
          <w:rFonts w:eastAsiaTheme="minorHAnsi"/>
          <w:lang w:val="hu-HU"/>
        </w:rPr>
        <w:t xml:space="preserve"> vagy egyéb specifikus szívtoxicitás</w:t>
      </w:r>
      <w:r>
        <w:rPr>
          <w:rFonts w:eastAsiaTheme="minorHAnsi"/>
          <w:lang w:val="hu-HU"/>
        </w:rPr>
        <w:t xml:space="preserve">t. </w:t>
      </w:r>
      <w:r w:rsidRPr="00C01E0F">
        <w:rPr>
          <w:rFonts w:eastAsiaTheme="minorHAnsi"/>
          <w:lang w:val="hu-HU"/>
        </w:rPr>
        <w:t xml:space="preserve">Ennek ellenére a </w:t>
      </w:r>
      <w:r w:rsidR="003C579E">
        <w:rPr>
          <w:rFonts w:eastAsiaTheme="minorHAnsi"/>
          <w:lang w:val="hu-HU"/>
        </w:rPr>
        <w:t>Busulfan Teva</w:t>
      </w:r>
      <w:r w:rsidR="003C579E">
        <w:rPr>
          <w:rFonts w:eastAsiaTheme="minorHAnsi"/>
          <w:lang w:val="hu-HU"/>
        </w:rPr>
        <w:noBreakHyphen/>
        <w:t xml:space="preserve">val </w:t>
      </w:r>
      <w:r w:rsidRPr="00C01E0F">
        <w:rPr>
          <w:rFonts w:eastAsiaTheme="minorHAnsi"/>
          <w:lang w:val="hu-HU"/>
        </w:rPr>
        <w:t xml:space="preserve">kezelt betegek szívműködését rendszeresen monitorozni kell (lásd 4.8 pont). </w:t>
      </w:r>
    </w:p>
    <w:p w14:paraId="51B2EA76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7D9A275" w14:textId="7E9F6D2A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buszulfánnal végzett </w:t>
      </w:r>
      <w:r w:rsidRPr="00C01E0F">
        <w:rPr>
          <w:rFonts w:eastAsiaTheme="minorHAnsi"/>
          <w:lang w:val="hu-HU"/>
        </w:rPr>
        <w:t xml:space="preserve">vizsgálatokban egy betegnél akut </w:t>
      </w:r>
      <w:r w:rsidR="008D589C">
        <w:rPr>
          <w:rFonts w:eastAsiaTheme="minorHAnsi"/>
          <w:lang w:val="hu-HU"/>
        </w:rPr>
        <w:t>respiratorikus</w:t>
      </w:r>
      <w:r w:rsidRPr="00C01E0F">
        <w:rPr>
          <w:rFonts w:eastAsiaTheme="minorHAnsi"/>
          <w:lang w:val="hu-HU"/>
        </w:rPr>
        <w:t xml:space="preserve"> distressz szindróma, majd interstiti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lis tüdőfibrózissal </w:t>
      </w:r>
      <w:r>
        <w:rPr>
          <w:rFonts w:eastAsiaTheme="minorHAnsi"/>
          <w:lang w:val="hu-HU"/>
        </w:rPr>
        <w:t>társuló l</w:t>
      </w:r>
      <w:r w:rsidRPr="00C01E0F">
        <w:rPr>
          <w:rFonts w:eastAsiaTheme="minorHAnsi"/>
          <w:lang w:val="hu-HU"/>
        </w:rPr>
        <w:t>égzési elégtelenség</w:t>
      </w:r>
      <w:r>
        <w:rPr>
          <w:rFonts w:eastAsiaTheme="minorHAnsi"/>
          <w:lang w:val="hu-HU"/>
        </w:rPr>
        <w:t xml:space="preserve"> lépett fel</w:t>
      </w:r>
      <w:r w:rsidRPr="00C01E0F">
        <w:rPr>
          <w:rFonts w:eastAsiaTheme="minorHAnsi"/>
          <w:lang w:val="hu-HU"/>
        </w:rPr>
        <w:t>, mely</w:t>
      </w:r>
      <w:r>
        <w:rPr>
          <w:rFonts w:eastAsiaTheme="minorHAnsi"/>
          <w:lang w:val="hu-HU"/>
        </w:rPr>
        <w:t>nek</w:t>
      </w:r>
      <w:r w:rsidRPr="00C01E0F">
        <w:rPr>
          <w:rFonts w:eastAsiaTheme="minorHAnsi"/>
          <w:lang w:val="hu-HU"/>
        </w:rPr>
        <w:t xml:space="preserve"> következtében a beteg meghalt, de </w:t>
      </w:r>
      <w:r>
        <w:rPr>
          <w:rFonts w:eastAsiaTheme="minorHAnsi"/>
          <w:lang w:val="hu-HU"/>
        </w:rPr>
        <w:t>egyértelmű</w:t>
      </w:r>
      <w:r w:rsidRPr="00C01E0F">
        <w:rPr>
          <w:rFonts w:eastAsiaTheme="minorHAnsi"/>
          <w:lang w:val="hu-HU"/>
        </w:rPr>
        <w:t xml:space="preserve"> etiológiát nem sikerült azonosítani. Ezen kívül, a buszulfán olyan pulmonalis </w:t>
      </w:r>
      <w:r w:rsidR="008D589C">
        <w:rPr>
          <w:rFonts w:eastAsiaTheme="minorHAnsi"/>
          <w:lang w:val="hu-HU"/>
        </w:rPr>
        <w:t>toxicitást</w:t>
      </w:r>
      <w:r w:rsidRPr="00C01E0F">
        <w:rPr>
          <w:rFonts w:eastAsiaTheme="minorHAnsi"/>
          <w:lang w:val="hu-HU"/>
        </w:rPr>
        <w:t xml:space="preserve"> okozhat, amely hozzáadódhat más citotoxikus szerek hatás</w:t>
      </w:r>
      <w:r>
        <w:rPr>
          <w:rFonts w:eastAsiaTheme="minorHAnsi"/>
          <w:lang w:val="hu-HU"/>
        </w:rPr>
        <w:t>ai</w:t>
      </w:r>
      <w:r w:rsidRPr="00C01E0F">
        <w:rPr>
          <w:rFonts w:eastAsiaTheme="minorHAnsi"/>
          <w:lang w:val="hu-HU"/>
        </w:rPr>
        <w:t xml:space="preserve">hoz. </w:t>
      </w:r>
      <w:r>
        <w:rPr>
          <w:rFonts w:eastAsiaTheme="minorHAnsi"/>
          <w:lang w:val="hu-HU"/>
        </w:rPr>
        <w:t>Ezért</w:t>
      </w:r>
      <w:r w:rsidRPr="00C01E0F">
        <w:rPr>
          <w:rFonts w:eastAsiaTheme="minorHAnsi"/>
          <w:lang w:val="hu-HU"/>
        </w:rPr>
        <w:t xml:space="preserve"> különös figyelmet kell fordítani </w:t>
      </w:r>
      <w:r w:rsidR="00F52AAB" w:rsidRPr="00C01E0F">
        <w:rPr>
          <w:rFonts w:eastAsiaTheme="minorHAnsi"/>
          <w:lang w:val="hu-HU"/>
        </w:rPr>
        <w:t xml:space="preserve">erre </w:t>
      </w:r>
      <w:r w:rsidRPr="00C01E0F">
        <w:rPr>
          <w:rFonts w:eastAsiaTheme="minorHAnsi"/>
          <w:lang w:val="hu-HU"/>
        </w:rPr>
        <w:t>a tüdő</w:t>
      </w:r>
      <w:r w:rsidR="00E57E3E">
        <w:rPr>
          <w:rFonts w:eastAsiaTheme="minorHAnsi"/>
          <w:lang w:val="hu-HU"/>
        </w:rPr>
        <w:t>problémára</w:t>
      </w:r>
      <w:r>
        <w:rPr>
          <w:rFonts w:eastAsiaTheme="minorHAnsi"/>
          <w:lang w:val="hu-HU"/>
        </w:rPr>
        <w:t xml:space="preserve"> azoknál a betegeknél, akik </w:t>
      </w:r>
      <w:r w:rsidRPr="00C01E0F">
        <w:rPr>
          <w:rFonts w:eastAsiaTheme="minorHAnsi"/>
          <w:lang w:val="hu-HU"/>
        </w:rPr>
        <w:t>korábban mediastinalis vag</w:t>
      </w:r>
      <w:r>
        <w:rPr>
          <w:rFonts w:eastAsiaTheme="minorHAnsi"/>
          <w:lang w:val="hu-HU"/>
        </w:rPr>
        <w:t xml:space="preserve">y pulmonalis besugárzást kaptak </w:t>
      </w:r>
      <w:r w:rsidRPr="00C01E0F">
        <w:rPr>
          <w:rFonts w:eastAsiaTheme="minorHAnsi"/>
          <w:lang w:val="hu-HU"/>
        </w:rPr>
        <w:t>(lásd 4.8 pont).</w:t>
      </w:r>
    </w:p>
    <w:p w14:paraId="533A4A6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E46355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634DBD">
        <w:rPr>
          <w:rFonts w:eastAsiaTheme="minorHAnsi"/>
          <w:lang w:val="hu-HU"/>
        </w:rPr>
        <w:t xml:space="preserve">A </w:t>
      </w:r>
      <w:r w:rsidR="00142D15">
        <w:rPr>
          <w:rFonts w:eastAsiaTheme="minorHAnsi"/>
          <w:lang w:val="hu-HU"/>
        </w:rPr>
        <w:t>Busulfan Teva</w:t>
      </w:r>
      <w:r w:rsidRPr="00634DBD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kezelés során megfontolandó a</w:t>
      </w:r>
      <w:r w:rsidRPr="00C01E0F">
        <w:rPr>
          <w:rFonts w:eastAsiaTheme="minorHAnsi"/>
          <w:lang w:val="hu-HU"/>
        </w:rPr>
        <w:t xml:space="preserve"> ves</w:t>
      </w:r>
      <w:r>
        <w:rPr>
          <w:rFonts w:eastAsiaTheme="minorHAnsi"/>
          <w:lang w:val="hu-HU"/>
        </w:rPr>
        <w:t xml:space="preserve">eműködés időszakos ellenőrzése </w:t>
      </w:r>
      <w:r w:rsidRPr="00C01E0F">
        <w:rPr>
          <w:rFonts w:eastAsiaTheme="minorHAnsi"/>
          <w:lang w:val="hu-HU"/>
        </w:rPr>
        <w:t>(lásd 4.8 pont).</w:t>
      </w:r>
    </w:p>
    <w:p w14:paraId="6678A969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E080F84" w14:textId="1830052E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Nagy</w:t>
      </w:r>
      <w:r w:rsidR="00EB43C1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dózisú buszulfán</w:t>
      </w:r>
      <w:r>
        <w:rPr>
          <w:rFonts w:eastAsiaTheme="minorHAnsi"/>
          <w:lang w:val="hu-HU"/>
        </w:rPr>
        <w:noBreakHyphen/>
        <w:t>kezelés kapcsán</w:t>
      </w:r>
      <w:r w:rsidRPr="00C01E0F">
        <w:rPr>
          <w:rFonts w:eastAsiaTheme="minorHAnsi"/>
          <w:lang w:val="hu-HU"/>
        </w:rPr>
        <w:t xml:space="preserve"> görcsrohamokról számoltak be. Különös elővigyázatosság szükséges, ha 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ajánlott dózisát olyan betegeknek adják, akiknek kórelőzményében görcsrohamok szerepelnek. Eze</w:t>
      </w:r>
      <w:r>
        <w:rPr>
          <w:rFonts w:eastAsiaTheme="minorHAnsi"/>
          <w:lang w:val="hu-HU"/>
        </w:rPr>
        <w:t>k</w:t>
      </w:r>
      <w:r w:rsidR="00E57E3E">
        <w:rPr>
          <w:rFonts w:eastAsiaTheme="minorHAnsi"/>
          <w:lang w:val="hu-HU"/>
        </w:rPr>
        <w:t>nek</w:t>
      </w:r>
      <w:r>
        <w:rPr>
          <w:rFonts w:eastAsiaTheme="minorHAnsi"/>
          <w:lang w:val="hu-HU"/>
        </w:rPr>
        <w:t xml:space="preserve"> a</w:t>
      </w:r>
      <w:r w:rsidRPr="00C01E0F">
        <w:rPr>
          <w:rFonts w:eastAsiaTheme="minorHAnsi"/>
          <w:lang w:val="hu-HU"/>
        </w:rPr>
        <w:t xml:space="preserve"> betegek</w:t>
      </w:r>
      <w:r w:rsidR="00E57E3E">
        <w:rPr>
          <w:rFonts w:eastAsiaTheme="minorHAnsi"/>
          <w:lang w:val="hu-HU"/>
        </w:rPr>
        <w:t>nek</w:t>
      </w:r>
      <w:r w:rsidRPr="00C01E0F">
        <w:rPr>
          <w:rFonts w:eastAsiaTheme="minorHAnsi"/>
          <w:lang w:val="hu-HU"/>
        </w:rPr>
        <w:t xml:space="preserve"> megfelelő </w:t>
      </w:r>
      <w:r>
        <w:rPr>
          <w:rFonts w:eastAsiaTheme="minorHAnsi"/>
          <w:lang w:val="hu-HU"/>
        </w:rPr>
        <w:t>antikonvulzív</w:t>
      </w:r>
      <w:r w:rsidRPr="00C01E0F">
        <w:rPr>
          <w:rFonts w:eastAsiaTheme="minorHAnsi"/>
          <w:lang w:val="hu-HU"/>
        </w:rPr>
        <w:t xml:space="preserve"> profilaxis</w:t>
      </w:r>
      <w:r w:rsidR="00E57E3E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kell </w:t>
      </w:r>
      <w:r w:rsidR="00E57E3E">
        <w:rPr>
          <w:rFonts w:eastAsiaTheme="minorHAnsi"/>
          <w:lang w:val="hu-HU"/>
        </w:rPr>
        <w:t>kapniuk</w:t>
      </w:r>
      <w:r w:rsidRPr="00C01E0F">
        <w:rPr>
          <w:rFonts w:eastAsiaTheme="minorHAnsi"/>
          <w:lang w:val="hu-HU"/>
        </w:rPr>
        <w:t xml:space="preserve">. </w:t>
      </w:r>
      <w:r>
        <w:rPr>
          <w:rFonts w:eastAsiaTheme="minorHAnsi"/>
          <w:lang w:val="hu-HU"/>
        </w:rPr>
        <w:t>A f</w:t>
      </w:r>
      <w:r w:rsidRPr="00C01E0F">
        <w:rPr>
          <w:rFonts w:eastAsiaTheme="minorHAnsi"/>
          <w:lang w:val="hu-HU"/>
        </w:rPr>
        <w:t xml:space="preserve">elnőttekkel és gyermekekkel </w:t>
      </w:r>
      <w:r>
        <w:rPr>
          <w:rFonts w:eastAsiaTheme="minorHAnsi"/>
          <w:lang w:val="hu-HU"/>
        </w:rPr>
        <w:t>végzett</w:t>
      </w:r>
      <w:r w:rsidRPr="00C01E0F">
        <w:rPr>
          <w:rFonts w:eastAsiaTheme="minorHAnsi"/>
          <w:lang w:val="hu-HU"/>
        </w:rPr>
        <w:t xml:space="preserve"> vizsgálatok</w:t>
      </w:r>
      <w:r w:rsidR="008D589C">
        <w:rPr>
          <w:rFonts w:eastAsiaTheme="minorHAnsi"/>
          <w:lang w:val="hu-HU"/>
        </w:rPr>
        <w:t>ban</w:t>
      </w:r>
      <w:r>
        <w:rPr>
          <w:rFonts w:eastAsiaTheme="minorHAnsi"/>
          <w:lang w:val="hu-HU"/>
        </w:rPr>
        <w:t xml:space="preserve"> a</w:t>
      </w:r>
      <w:r w:rsidRPr="00C01E0F">
        <w:rPr>
          <w:rFonts w:eastAsiaTheme="minorHAnsi"/>
          <w:lang w:val="hu-HU"/>
        </w:rPr>
        <w:t xml:space="preserve"> buszulfán</w:t>
      </w:r>
      <w:r w:rsidR="00E57E3E">
        <w:rPr>
          <w:rFonts w:eastAsiaTheme="minorHAnsi"/>
          <w:lang w:val="hu-HU"/>
        </w:rPr>
        <w:t>ra vonatkozó</w:t>
      </w:r>
      <w:r>
        <w:rPr>
          <w:rFonts w:eastAsiaTheme="minorHAnsi"/>
          <w:lang w:val="hu-HU"/>
        </w:rPr>
        <w:t xml:space="preserve"> adatokat </w:t>
      </w:r>
      <w:r w:rsidRPr="00C01E0F">
        <w:rPr>
          <w:rFonts w:eastAsiaTheme="minorHAnsi"/>
          <w:lang w:val="hu-HU"/>
        </w:rPr>
        <w:t>fenitoin</w:t>
      </w:r>
      <w:r>
        <w:rPr>
          <w:rFonts w:eastAsiaTheme="minorHAnsi"/>
          <w:lang w:val="hu-HU"/>
        </w:rPr>
        <w:t xml:space="preserve"> vagy benzodiazepinek </w:t>
      </w:r>
      <w:r w:rsidR="008D589C">
        <w:rPr>
          <w:rFonts w:eastAsiaTheme="minorHAnsi"/>
          <w:lang w:val="hu-HU"/>
        </w:rPr>
        <w:t>antikonvulzív</w:t>
      </w:r>
      <w:r w:rsidR="008D589C" w:rsidRPr="00C01E0F">
        <w:rPr>
          <w:rFonts w:eastAsiaTheme="minorHAnsi"/>
          <w:lang w:val="hu-HU"/>
        </w:rPr>
        <w:t xml:space="preserve"> profilaxisként </w:t>
      </w:r>
      <w:r w:rsidR="008D589C">
        <w:rPr>
          <w:rFonts w:eastAsiaTheme="minorHAnsi"/>
          <w:lang w:val="hu-HU"/>
        </w:rPr>
        <w:t xml:space="preserve">adott egyidejű </w:t>
      </w:r>
      <w:r>
        <w:rPr>
          <w:rFonts w:eastAsiaTheme="minorHAnsi"/>
          <w:lang w:val="hu-HU"/>
        </w:rPr>
        <w:t xml:space="preserve">alkalmazása mellett kapták. Ezen antikonvulzív </w:t>
      </w:r>
      <w:r w:rsidR="008D589C">
        <w:rPr>
          <w:rFonts w:eastAsiaTheme="minorHAnsi"/>
          <w:lang w:val="hu-HU"/>
        </w:rPr>
        <w:t>gyógy</w:t>
      </w:r>
      <w:r>
        <w:rPr>
          <w:rFonts w:eastAsiaTheme="minorHAnsi"/>
          <w:lang w:val="hu-HU"/>
        </w:rPr>
        <w:t xml:space="preserve">szereknek </w:t>
      </w:r>
      <w:r w:rsidRPr="00C01E0F">
        <w:rPr>
          <w:rFonts w:eastAsiaTheme="minorHAnsi"/>
          <w:lang w:val="hu-HU"/>
        </w:rPr>
        <w:t xml:space="preserve">a buszulfán farmakokinetikájára kifejtett hatását egy </w:t>
      </w:r>
      <w:r w:rsidR="00DC6692">
        <w:rPr>
          <w:rFonts w:eastAsiaTheme="minorHAnsi"/>
          <w:lang w:val="hu-HU"/>
        </w:rPr>
        <w:t xml:space="preserve">II. </w:t>
      </w:r>
      <w:r w:rsidRPr="00C01E0F">
        <w:rPr>
          <w:rFonts w:eastAsiaTheme="minorHAnsi"/>
          <w:lang w:val="hu-HU"/>
        </w:rPr>
        <w:t>fázis</w:t>
      </w:r>
      <w:r w:rsidR="00DC6692">
        <w:rPr>
          <w:rFonts w:eastAsiaTheme="minorHAnsi"/>
          <w:lang w:val="hu-HU"/>
        </w:rPr>
        <w:t>ú</w:t>
      </w:r>
      <w:r w:rsidRPr="00C01E0F">
        <w:rPr>
          <w:rFonts w:eastAsiaTheme="minorHAnsi"/>
          <w:lang w:val="hu-HU"/>
        </w:rPr>
        <w:t xml:space="preserve"> vizsgálatban </w:t>
      </w:r>
      <w:r w:rsidR="00B92852">
        <w:rPr>
          <w:rFonts w:eastAsiaTheme="minorHAnsi"/>
          <w:lang w:val="hu-HU"/>
        </w:rPr>
        <w:t>értékelték</w:t>
      </w:r>
      <w:r w:rsidRPr="00C01E0F">
        <w:rPr>
          <w:rFonts w:eastAsiaTheme="minorHAnsi"/>
          <w:lang w:val="hu-HU"/>
        </w:rPr>
        <w:t xml:space="preserve"> (lásd 4.5 pont).</w:t>
      </w:r>
    </w:p>
    <w:p w14:paraId="564803C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3C5FEC7" w14:textId="392D7387" w:rsidR="00944C5C" w:rsidRPr="00C01E0F" w:rsidRDefault="005822FA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>
        <w:rPr>
          <w:rFonts w:eastAsiaTheme="minorHAnsi"/>
          <w:lang w:val="hu-HU"/>
        </w:rPr>
        <w:t>A beteget tájékoztatni kell</w:t>
      </w:r>
      <w:r w:rsidR="00EB43C1">
        <w:rPr>
          <w:rFonts w:eastAsiaTheme="minorHAnsi"/>
          <w:lang w:val="hu-HU"/>
        </w:rPr>
        <w:t>, hogy fennáll e</w:t>
      </w:r>
      <w:r w:rsidR="00426002">
        <w:rPr>
          <w:rFonts w:eastAsiaTheme="minorHAnsi"/>
          <w:lang w:val="hu-HU"/>
        </w:rPr>
        <w:t>gy második</w:t>
      </w:r>
      <w:r w:rsidR="00944C5C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rosszindulatú daganat kialakulásának fokozott kockázat</w:t>
      </w:r>
      <w:r w:rsidR="00EB43C1">
        <w:rPr>
          <w:rFonts w:eastAsiaTheme="minorHAnsi"/>
          <w:lang w:val="hu-HU"/>
        </w:rPr>
        <w:t>a</w:t>
      </w:r>
      <w:r w:rsidR="00944C5C" w:rsidRPr="00C01E0F">
        <w:rPr>
          <w:rFonts w:eastAsiaTheme="minorHAnsi"/>
          <w:lang w:val="hu-HU"/>
        </w:rPr>
        <w:t>. Humán adatok alapján a Nemzetközi Rákkutatási Ügynökség (</w:t>
      </w:r>
      <w:r w:rsidR="00426002" w:rsidRPr="00E84A6C">
        <w:t>Agency for Research on Cancer</w:t>
      </w:r>
      <w:r w:rsidR="00426002">
        <w:t>/</w:t>
      </w:r>
      <w:r w:rsidR="00944C5C" w:rsidRPr="00C01E0F">
        <w:rPr>
          <w:rFonts w:eastAsiaTheme="minorHAnsi"/>
          <w:lang w:val="hu-HU"/>
        </w:rPr>
        <w:t>IARC) humán karcinogén szerként tartja nyilván</w:t>
      </w:r>
      <w:r w:rsidR="00944C5C" w:rsidRPr="00747727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a buszulfánt. Az Egészségügyi Világszervezet (</w:t>
      </w:r>
      <w:r w:rsidR="00426002" w:rsidRPr="00E84A6C">
        <w:t>World Health Organisation</w:t>
      </w:r>
      <w:r w:rsidR="00426002">
        <w:t>/</w:t>
      </w:r>
      <w:r w:rsidR="00944C5C" w:rsidRPr="00C01E0F">
        <w:rPr>
          <w:rFonts w:eastAsiaTheme="minorHAnsi"/>
          <w:lang w:val="hu-HU"/>
        </w:rPr>
        <w:t>WHO) oki összefüg</w:t>
      </w:r>
      <w:r w:rsidR="00944C5C">
        <w:rPr>
          <w:rFonts w:eastAsiaTheme="minorHAnsi"/>
          <w:lang w:val="hu-HU"/>
        </w:rPr>
        <w:t>gést állapított meg a buszulfán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 xml:space="preserve">kezelés és </w:t>
      </w:r>
      <w:r w:rsidR="00944C5C">
        <w:rPr>
          <w:rFonts w:eastAsiaTheme="minorHAnsi"/>
          <w:lang w:val="hu-HU"/>
        </w:rPr>
        <w:t xml:space="preserve">a </w:t>
      </w:r>
      <w:r w:rsidR="00944C5C" w:rsidRPr="00C01E0F">
        <w:rPr>
          <w:rFonts w:eastAsiaTheme="minorHAnsi"/>
          <w:lang w:val="hu-HU"/>
        </w:rPr>
        <w:t>rosszindulatú daganat</w:t>
      </w:r>
      <w:r w:rsidR="00944C5C">
        <w:rPr>
          <w:rFonts w:eastAsiaTheme="minorHAnsi"/>
          <w:lang w:val="hu-HU"/>
        </w:rPr>
        <w:t>ok</w:t>
      </w:r>
      <w:r w:rsidR="00944C5C" w:rsidRPr="00C01E0F">
        <w:rPr>
          <w:rFonts w:eastAsiaTheme="minorHAnsi"/>
          <w:lang w:val="hu-HU"/>
        </w:rPr>
        <w:t xml:space="preserve"> kialakulása között. Buszulfánnal kezelt leukaemiás betegeknél </w:t>
      </w:r>
      <w:r w:rsidR="00944C5C">
        <w:rPr>
          <w:rFonts w:eastAsiaTheme="minorHAnsi"/>
          <w:lang w:val="hu-HU"/>
        </w:rPr>
        <w:t>számos</w:t>
      </w:r>
      <w:r w:rsidR="00944C5C" w:rsidRPr="00C01E0F">
        <w:rPr>
          <w:rFonts w:eastAsiaTheme="minorHAnsi"/>
          <w:lang w:val="hu-HU"/>
        </w:rPr>
        <w:t xml:space="preserve"> különböző sejtrendellenesség alakult ki, </w:t>
      </w:r>
      <w:r w:rsidR="00944C5C">
        <w:rPr>
          <w:rFonts w:eastAsiaTheme="minorHAnsi"/>
          <w:lang w:val="hu-HU"/>
        </w:rPr>
        <w:t>és néhányuknál</w:t>
      </w:r>
      <w:r w:rsidR="00944C5C" w:rsidRPr="00C01E0F">
        <w:rPr>
          <w:rFonts w:eastAsiaTheme="minorHAnsi"/>
          <w:lang w:val="hu-HU"/>
        </w:rPr>
        <w:t xml:space="preserve"> carcinomák </w:t>
      </w:r>
      <w:r w:rsidR="00944C5C">
        <w:rPr>
          <w:rFonts w:eastAsiaTheme="minorHAnsi"/>
          <w:lang w:val="hu-HU"/>
        </w:rPr>
        <w:t>léptek fel</w:t>
      </w:r>
      <w:r w:rsidR="00944C5C" w:rsidRPr="00C01E0F">
        <w:rPr>
          <w:rFonts w:eastAsiaTheme="minorHAnsi"/>
          <w:lang w:val="hu-HU"/>
        </w:rPr>
        <w:t>. A buszulfán</w:t>
      </w:r>
      <w:r w:rsidR="00944C5C">
        <w:rPr>
          <w:rFonts w:eastAsiaTheme="minorHAnsi"/>
          <w:lang w:val="hu-HU"/>
        </w:rPr>
        <w:t xml:space="preserve"> vélhetően leukaemiát kiváltó vegyület</w:t>
      </w:r>
      <w:r w:rsidR="00944C5C" w:rsidRPr="00C01E0F">
        <w:rPr>
          <w:rFonts w:eastAsiaTheme="minorHAnsi"/>
          <w:lang w:val="hu-HU"/>
        </w:rPr>
        <w:t>.</w:t>
      </w:r>
    </w:p>
    <w:p w14:paraId="7DCBDA1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107A1D8A" w14:textId="77777777" w:rsidR="00944C5C" w:rsidRPr="00C01E0F" w:rsidRDefault="00944C5C" w:rsidP="00315C72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Termékenység</w:t>
      </w:r>
    </w:p>
    <w:p w14:paraId="37CBFCBE" w14:textId="77777777" w:rsidR="00944C5C" w:rsidRPr="00E832D5" w:rsidRDefault="00944C5C" w:rsidP="00315C72">
      <w:pPr>
        <w:keepNext/>
        <w:tabs>
          <w:tab w:val="clear" w:pos="567"/>
        </w:tabs>
        <w:spacing w:line="240" w:lineRule="auto"/>
        <w:outlineLvl w:val="0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károsíthatja a termékenységet. </w:t>
      </w:r>
      <w:r w:rsidR="00B075F0">
        <w:rPr>
          <w:rFonts w:eastAsiaTheme="minorHAnsi"/>
          <w:lang w:val="hu-HU"/>
        </w:rPr>
        <w:t xml:space="preserve">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="00FE421F">
        <w:rPr>
          <w:rFonts w:eastAsiaTheme="minorHAnsi"/>
          <w:lang w:val="hu-HU"/>
        </w:rPr>
        <w:t xml:space="preserve">val </w:t>
      </w:r>
      <w:r w:rsidRPr="00C01E0F">
        <w:rPr>
          <w:rFonts w:eastAsiaTheme="minorHAnsi"/>
          <w:lang w:val="hu-HU"/>
        </w:rPr>
        <w:t>kezel</w:t>
      </w:r>
      <w:r w:rsidR="00B075F0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férfiaknak </w:t>
      </w:r>
      <w:r>
        <w:rPr>
          <w:rFonts w:eastAsiaTheme="minorHAnsi"/>
          <w:lang w:val="hu-HU"/>
        </w:rPr>
        <w:t>javasolt elkerülni</w:t>
      </w:r>
      <w:r w:rsidR="00B075F0">
        <w:rPr>
          <w:rFonts w:eastAsiaTheme="minorHAnsi"/>
          <w:lang w:val="hu-HU"/>
        </w:rPr>
        <w:t>ük</w:t>
      </w:r>
      <w:r>
        <w:rPr>
          <w:rFonts w:eastAsiaTheme="minorHAnsi"/>
          <w:lang w:val="hu-HU"/>
        </w:rPr>
        <w:t xml:space="preserve"> a gyermeknemzést </w:t>
      </w:r>
      <w:r w:rsidRPr="00C01E0F">
        <w:rPr>
          <w:rFonts w:eastAsiaTheme="minorHAnsi"/>
          <w:lang w:val="hu-HU"/>
        </w:rPr>
        <w:t xml:space="preserve">a kezelés alatt és az azt követő </w:t>
      </w:r>
      <w:r>
        <w:rPr>
          <w:rFonts w:eastAsiaTheme="minorHAnsi"/>
          <w:lang w:val="hu-HU"/>
        </w:rPr>
        <w:t>6 </w:t>
      </w:r>
      <w:r w:rsidRPr="00C01E0F">
        <w:rPr>
          <w:rFonts w:eastAsiaTheme="minorHAnsi"/>
          <w:lang w:val="hu-HU"/>
        </w:rPr>
        <w:t>hónapban</w:t>
      </w:r>
      <w:r>
        <w:rPr>
          <w:rFonts w:eastAsiaTheme="minorHAnsi"/>
          <w:lang w:val="hu-HU"/>
        </w:rPr>
        <w:t xml:space="preserve">, és 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terápia okozta visszafordíthatatlan meddőség </w:t>
      </w:r>
      <w:r>
        <w:rPr>
          <w:rFonts w:eastAsiaTheme="minorHAnsi"/>
          <w:lang w:val="hu-HU"/>
        </w:rPr>
        <w:t xml:space="preserve">lehetősége miatt ajánlott tanácsadást felkeresni a sperma </w:t>
      </w:r>
      <w:r w:rsidRPr="00C01E0F">
        <w:rPr>
          <w:rFonts w:eastAsiaTheme="minorHAnsi"/>
          <w:lang w:val="hu-HU"/>
        </w:rPr>
        <w:t>kezelés előtt</w:t>
      </w:r>
      <w:r>
        <w:rPr>
          <w:rFonts w:eastAsiaTheme="minorHAnsi"/>
          <w:lang w:val="hu-HU"/>
        </w:rPr>
        <w:t>i kriokonzerválását illetően</w:t>
      </w:r>
      <w:r w:rsidRPr="00C01E0F">
        <w:rPr>
          <w:rFonts w:eastAsiaTheme="minorHAnsi"/>
          <w:lang w:val="hu-HU"/>
        </w:rPr>
        <w:t>. Premenopau</w:t>
      </w:r>
      <w:r>
        <w:rPr>
          <w:rFonts w:eastAsiaTheme="minorHAnsi"/>
          <w:lang w:val="hu-HU"/>
        </w:rPr>
        <w:t>sában lévő</w:t>
      </w:r>
      <w:r w:rsidRPr="00C01E0F">
        <w:rPr>
          <w:rFonts w:eastAsiaTheme="minorHAnsi"/>
          <w:lang w:val="hu-HU"/>
        </w:rPr>
        <w:t xml:space="preserve"> betegeknél gyakran előfordul a petefészkek </w:t>
      </w:r>
      <w:r>
        <w:rPr>
          <w:rFonts w:eastAsiaTheme="minorHAnsi"/>
          <w:lang w:val="hu-HU"/>
        </w:rPr>
        <w:t>suppressiója</w:t>
      </w:r>
      <w:r w:rsidRPr="00C01E0F">
        <w:rPr>
          <w:rFonts w:eastAsiaTheme="minorHAnsi"/>
          <w:lang w:val="hu-HU"/>
        </w:rPr>
        <w:t xml:space="preserve"> és menopauzás tünetekkel kísért amenorrhea. Egy serdülőkornál fiat</w:t>
      </w:r>
      <w:r>
        <w:rPr>
          <w:rFonts w:eastAsiaTheme="minorHAnsi"/>
          <w:lang w:val="hu-HU"/>
        </w:rPr>
        <w:t>alabb lány esetében a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 megakadályozta a pubertás</w:t>
      </w:r>
      <w:r>
        <w:rPr>
          <w:rFonts w:eastAsiaTheme="minorHAnsi"/>
          <w:lang w:val="hu-HU"/>
        </w:rPr>
        <w:t xml:space="preserve"> kialakulását</w:t>
      </w:r>
      <w:r w:rsidRPr="00C01E0F">
        <w:rPr>
          <w:rFonts w:eastAsiaTheme="minorHAnsi"/>
          <w:lang w:val="hu-HU"/>
        </w:rPr>
        <w:t xml:space="preserve"> a petefészkek elégtelen működése miatt. Férfibetegeknél beszámoltak impotenciáról</w:t>
      </w:r>
      <w:r>
        <w:rPr>
          <w:rFonts w:eastAsiaTheme="minorHAnsi"/>
          <w:lang w:val="hu-HU"/>
        </w:rPr>
        <w:t xml:space="preserve">, sterilitásról, azoospermiáról, </w:t>
      </w:r>
      <w:r w:rsidRPr="00C01E0F">
        <w:rPr>
          <w:rFonts w:eastAsiaTheme="minorHAnsi"/>
          <w:lang w:val="hu-HU"/>
        </w:rPr>
        <w:t xml:space="preserve">valamint hereatrófiáról. A dimetilacetamid (DMA) oldószer szintén károsíthatja a termékenységet. A DMA hím és </w:t>
      </w:r>
      <w:r>
        <w:rPr>
          <w:rFonts w:eastAsiaTheme="minorHAnsi"/>
          <w:lang w:val="hu-HU"/>
        </w:rPr>
        <w:t>nőstény</w:t>
      </w:r>
      <w:r w:rsidRPr="00C01E0F">
        <w:rPr>
          <w:rFonts w:eastAsiaTheme="minorHAnsi"/>
          <w:lang w:val="hu-HU"/>
        </w:rPr>
        <w:t xml:space="preserve"> rágcsálóknál csökkentette a termékenységet (lásd 4.6 és 5.3 pont). </w:t>
      </w:r>
    </w:p>
    <w:p w14:paraId="27ABD50C" w14:textId="77777777" w:rsidR="00944C5C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061906E7" w14:textId="497D4DAD" w:rsidR="00B86A5B" w:rsidRDefault="00B86A5B" w:rsidP="00B86A5B">
      <w:pPr>
        <w:tabs>
          <w:tab w:val="clear" w:pos="567"/>
        </w:tabs>
        <w:spacing w:line="240" w:lineRule="auto"/>
        <w:outlineLvl w:val="0"/>
        <w:rPr>
          <w:bCs/>
          <w:lang w:val="hu-HU"/>
        </w:rPr>
      </w:pPr>
      <w:r w:rsidRPr="00B86A5B">
        <w:rPr>
          <w:bCs/>
          <w:lang w:val="hu-HU"/>
        </w:rPr>
        <w:t xml:space="preserve">Nagy dózisú kondicionáló kezelések során, amelyekben a buszulfánt más kondicionáló kezeléssel kombinálva alkalmazták, a </w:t>
      </w:r>
      <w:r w:rsidR="00CF6F9E">
        <w:rPr>
          <w:bCs/>
          <w:lang w:val="hu-HU"/>
        </w:rPr>
        <w:t>hemopoetikus</w:t>
      </w:r>
      <w:r w:rsidRPr="00B86A5B">
        <w:rPr>
          <w:bCs/>
          <w:lang w:val="hu-HU"/>
        </w:rPr>
        <w:t xml:space="preserve"> sejt-transzplantáció (HCT) után thromboticus microangiopathia eseteiről számoltak be, amelyek között </w:t>
      </w:r>
      <w:r>
        <w:rPr>
          <w:bCs/>
          <w:lang w:val="hu-HU"/>
        </w:rPr>
        <w:t>fatális kimenetelűek</w:t>
      </w:r>
      <w:r w:rsidRPr="00B86A5B">
        <w:rPr>
          <w:bCs/>
          <w:lang w:val="hu-HU"/>
        </w:rPr>
        <w:t xml:space="preserve"> is előfordultak</w:t>
      </w:r>
      <w:r>
        <w:rPr>
          <w:bCs/>
          <w:lang w:val="hu-HU"/>
        </w:rPr>
        <w:t>.</w:t>
      </w:r>
    </w:p>
    <w:p w14:paraId="092A81B8" w14:textId="77777777" w:rsidR="00B86A5B" w:rsidRPr="00B86A5B" w:rsidRDefault="00B86A5B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3EBF335B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4.5</w:t>
      </w:r>
      <w:r w:rsidRPr="00C01E0F">
        <w:rPr>
          <w:b/>
          <w:bCs/>
          <w:lang w:val="hu-HU"/>
        </w:rPr>
        <w:tab/>
        <w:t>Gyógyszerkölcsönhatások és egyéb interakciók</w:t>
      </w:r>
    </w:p>
    <w:p w14:paraId="4821F6C9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5A0556DB" w14:textId="3AE4A2AA" w:rsidR="00944C5C" w:rsidRPr="00E92ED5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intravénás buszulfán és itrakonazol </w:t>
      </w:r>
      <w:r w:rsidR="00521A7F">
        <w:rPr>
          <w:rFonts w:eastAsiaTheme="minorHAnsi"/>
          <w:lang w:val="hu-HU"/>
        </w:rPr>
        <w:t xml:space="preserve">vagy metronidazol </w:t>
      </w:r>
      <w:r>
        <w:rPr>
          <w:rFonts w:eastAsiaTheme="minorHAnsi"/>
          <w:lang w:val="hu-HU"/>
        </w:rPr>
        <w:t xml:space="preserve">közötti </w:t>
      </w:r>
      <w:r w:rsidRPr="00C01E0F">
        <w:rPr>
          <w:rFonts w:eastAsiaTheme="minorHAnsi"/>
          <w:lang w:val="hu-HU"/>
        </w:rPr>
        <w:t xml:space="preserve">gyógyszerkölcsönhatás </w:t>
      </w:r>
      <w:r>
        <w:rPr>
          <w:rFonts w:eastAsiaTheme="minorHAnsi"/>
          <w:lang w:val="hu-HU"/>
        </w:rPr>
        <w:t xml:space="preserve">felmérésére </w:t>
      </w:r>
      <w:r w:rsidR="003A6819" w:rsidRPr="00C01E0F">
        <w:rPr>
          <w:rFonts w:eastAsiaTheme="minorHAnsi"/>
          <w:lang w:val="hu-HU"/>
        </w:rPr>
        <w:t xml:space="preserve">nem </w:t>
      </w:r>
      <w:r w:rsidR="003A6819">
        <w:rPr>
          <w:rFonts w:eastAsiaTheme="minorHAnsi"/>
          <w:lang w:val="hu-HU"/>
        </w:rPr>
        <w:t xml:space="preserve">végeztek </w:t>
      </w:r>
      <w:r>
        <w:rPr>
          <w:rFonts w:eastAsiaTheme="minorHAnsi"/>
          <w:lang w:val="hu-HU"/>
        </w:rPr>
        <w:t>specifikus</w:t>
      </w:r>
      <w:r w:rsidRPr="00431B54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klinikai vizsgálatot. A felnőttek</w:t>
      </w:r>
      <w:r>
        <w:rPr>
          <w:rFonts w:eastAsiaTheme="minorHAnsi"/>
          <w:lang w:val="hu-HU"/>
        </w:rPr>
        <w:t xml:space="preserve">kel kapcsolatban </w:t>
      </w:r>
      <w:r w:rsidR="003A6819">
        <w:rPr>
          <w:rFonts w:eastAsiaTheme="minorHAnsi"/>
          <w:lang w:val="hu-HU"/>
        </w:rPr>
        <w:t>publikált</w:t>
      </w:r>
      <w:r>
        <w:rPr>
          <w:rFonts w:eastAsiaTheme="minorHAnsi"/>
          <w:lang w:val="hu-HU"/>
        </w:rPr>
        <w:t xml:space="preserve"> adatok szerint </w:t>
      </w:r>
      <w:r w:rsidRPr="00C01E0F">
        <w:rPr>
          <w:rFonts w:eastAsiaTheme="minorHAnsi"/>
          <w:lang w:val="hu-HU"/>
        </w:rPr>
        <w:t xml:space="preserve">nagydózisú buszulfánt kapó betegeknél </w:t>
      </w:r>
      <w:r w:rsidR="003A6819">
        <w:rPr>
          <w:rFonts w:eastAsiaTheme="minorHAnsi"/>
          <w:lang w:val="hu-HU"/>
        </w:rPr>
        <w:t xml:space="preserve">az </w:t>
      </w:r>
      <w:r w:rsidRPr="00C01E0F">
        <w:rPr>
          <w:rFonts w:eastAsiaTheme="minorHAnsi"/>
          <w:lang w:val="hu-HU"/>
        </w:rPr>
        <w:t>itrakonazol alkalmazása a buszulfán</w:t>
      </w:r>
      <w:r w:rsidR="003A6819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>clearance</w:t>
      </w:r>
      <w:r>
        <w:rPr>
          <w:rFonts w:eastAsiaTheme="minorHAnsi"/>
          <w:lang w:val="hu-HU"/>
        </w:rPr>
        <w:t xml:space="preserve"> csökkenését eredményezheti. </w:t>
      </w:r>
      <w:r w:rsidR="003A6819">
        <w:rPr>
          <w:rFonts w:eastAsiaTheme="minorHAnsi"/>
          <w:lang w:val="hu-HU"/>
        </w:rPr>
        <w:t>Olyan,</w:t>
      </w:r>
      <w:r w:rsidR="003A6819" w:rsidRPr="003A6819">
        <w:rPr>
          <w:rFonts w:eastAsiaTheme="minorHAnsi"/>
          <w:lang w:val="hu-HU"/>
        </w:rPr>
        <w:t xml:space="preserve"> publikált esetjelentések is vannak, </w:t>
      </w:r>
      <w:r w:rsidR="003A6819">
        <w:rPr>
          <w:rFonts w:eastAsiaTheme="minorHAnsi"/>
          <w:lang w:val="hu-HU"/>
        </w:rPr>
        <w:t xml:space="preserve">melyek szerint </w:t>
      </w:r>
      <w:r w:rsidR="003A6819" w:rsidRPr="003A6819">
        <w:rPr>
          <w:rFonts w:eastAsiaTheme="minorHAnsi"/>
          <w:lang w:val="hu-HU"/>
        </w:rPr>
        <w:t>metronidazol alkalmazása után megemelkedett a buszulfán plazmaszintje. A buszulfánnal és itrakonazollal vagy metronidazollal egyidejűleg kezelt betegeket szigorúan monitorozni kell a buszulfán-toxicitás jelei szempontjából.</w:t>
      </w:r>
    </w:p>
    <w:p w14:paraId="19E20799" w14:textId="77777777" w:rsidR="00944C5C" w:rsidRDefault="00B86A5B" w:rsidP="00944C5C">
      <w:pPr>
        <w:spacing w:line="240" w:lineRule="auto"/>
        <w:rPr>
          <w:rFonts w:eastAsiaTheme="minorHAnsi"/>
          <w:lang w:val="hu-HU"/>
        </w:rPr>
      </w:pPr>
      <w:r w:rsidRPr="00B86A5B">
        <w:rPr>
          <w:rFonts w:eastAsiaTheme="minorHAnsi"/>
          <w:lang w:val="hu-HU"/>
        </w:rPr>
        <w:t>Buszulfán és flukonazol (gombaellenes szer) kombinációja esetén nem figyeltek meg gyógyszerkölcsönhatást.</w:t>
      </w:r>
    </w:p>
    <w:p w14:paraId="0F4A2B9D" w14:textId="77777777" w:rsidR="00B86A5B" w:rsidRPr="00A6060C" w:rsidRDefault="00B86A5B" w:rsidP="00944C5C">
      <w:pPr>
        <w:spacing w:line="240" w:lineRule="auto"/>
        <w:rPr>
          <w:rFonts w:eastAsiaTheme="minorHAnsi"/>
          <w:lang w:val="hu-HU"/>
        </w:rPr>
      </w:pPr>
    </w:p>
    <w:p w14:paraId="2B77CDE6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F</w:t>
      </w:r>
      <w:r w:rsidRPr="00C01E0F">
        <w:rPr>
          <w:rFonts w:eastAsiaTheme="minorHAnsi"/>
          <w:lang w:val="hu-HU"/>
        </w:rPr>
        <w:t>elnőttek</w:t>
      </w:r>
      <w:r w:rsidR="00EB43C1">
        <w:rPr>
          <w:rFonts w:eastAsiaTheme="minorHAnsi"/>
          <w:lang w:val="hu-HU"/>
        </w:rPr>
        <w:t>kel</w:t>
      </w:r>
      <w:r w:rsidRPr="00C01E0F">
        <w:rPr>
          <w:rFonts w:eastAsiaTheme="minorHAnsi"/>
          <w:lang w:val="hu-HU"/>
        </w:rPr>
        <w:t xml:space="preserve"> végzett</w:t>
      </w:r>
      <w:r w:rsidR="00EB43C1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publikált </w:t>
      </w:r>
      <w:r w:rsidRPr="00C01E0F">
        <w:rPr>
          <w:rFonts w:eastAsiaTheme="minorHAnsi"/>
          <w:lang w:val="hu-HU"/>
        </w:rPr>
        <w:t>vizsgálatok szerint a ketobemidon (analgetikum) alkalmazása a buszulfán magas plazmaszintjeivel</w:t>
      </w:r>
      <w:r>
        <w:rPr>
          <w:rFonts w:eastAsiaTheme="minorHAnsi"/>
          <w:lang w:val="hu-HU"/>
        </w:rPr>
        <w:t xml:space="preserve"> járhat</w:t>
      </w:r>
      <w:r w:rsidRPr="00C01E0F">
        <w:rPr>
          <w:rFonts w:eastAsiaTheme="minorHAnsi"/>
          <w:lang w:val="hu-HU"/>
        </w:rPr>
        <w:t xml:space="preserve">. </w:t>
      </w:r>
      <w:r>
        <w:rPr>
          <w:rFonts w:eastAsiaTheme="minorHAnsi"/>
          <w:lang w:val="hu-HU"/>
        </w:rPr>
        <w:t xml:space="preserve">Ezért </w:t>
      </w:r>
      <w:r w:rsidR="0092614E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két vegyület </w:t>
      </w:r>
      <w:r>
        <w:rPr>
          <w:rFonts w:eastAsiaTheme="minorHAnsi"/>
          <w:lang w:val="hu-HU"/>
        </w:rPr>
        <w:t>együttes alkalmazása</w:t>
      </w:r>
      <w:r w:rsidRPr="00C01E0F">
        <w:rPr>
          <w:rFonts w:eastAsiaTheme="minorHAnsi"/>
          <w:lang w:val="hu-HU"/>
        </w:rPr>
        <w:t xml:space="preserve"> esetén különös </w:t>
      </w:r>
      <w:r w:rsidR="0092614E">
        <w:rPr>
          <w:rFonts w:eastAsiaTheme="minorHAnsi"/>
          <w:lang w:val="hu-HU"/>
        </w:rPr>
        <w:t>elővigyázatosság</w:t>
      </w:r>
      <w:r w:rsidRPr="00C01E0F">
        <w:rPr>
          <w:rFonts w:eastAsiaTheme="minorHAnsi"/>
          <w:lang w:val="hu-HU"/>
        </w:rPr>
        <w:t xml:space="preserve"> szükséges.</w:t>
      </w:r>
    </w:p>
    <w:p w14:paraId="2E22BC4F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59EEEAE" w14:textId="3E89B8C1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Felnőtteknél a BuCy2 séma alkalmazásakor arról számoltak be, hogy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 xml:space="preserve">buszulfán utolsó </w:t>
      </w:r>
      <w:r w:rsidR="00356152" w:rsidRPr="001C515A">
        <w:rPr>
          <w:rFonts w:eastAsiaTheme="minorHAnsi"/>
          <w:i/>
          <w:lang w:val="hu-HU"/>
        </w:rPr>
        <w:t>per os</w:t>
      </w:r>
      <w:r w:rsidRPr="00C01E0F">
        <w:rPr>
          <w:rFonts w:eastAsiaTheme="minorHAnsi"/>
          <w:lang w:val="hu-HU"/>
        </w:rPr>
        <w:t xml:space="preserve"> beadás</w:t>
      </w:r>
      <w:r>
        <w:rPr>
          <w:rFonts w:eastAsiaTheme="minorHAnsi"/>
          <w:lang w:val="hu-HU"/>
        </w:rPr>
        <w:t>a és az első ciklofoszfamid</w:t>
      </w:r>
      <w:r w:rsidR="00B819AE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dózis között eltelt időtartam befolyásolhatj</w:t>
      </w:r>
      <w:r>
        <w:rPr>
          <w:rFonts w:eastAsiaTheme="minorHAnsi"/>
          <w:lang w:val="hu-HU"/>
        </w:rPr>
        <w:t>a a toxicitás kialakulását. Azoknál a</w:t>
      </w:r>
      <w:r w:rsidRPr="00C01E0F">
        <w:rPr>
          <w:rFonts w:eastAsiaTheme="minorHAnsi"/>
          <w:lang w:val="hu-HU"/>
        </w:rPr>
        <w:t xml:space="preserve"> betegeknél, aki</w:t>
      </w:r>
      <w:r>
        <w:rPr>
          <w:rFonts w:eastAsiaTheme="minorHAnsi"/>
          <w:lang w:val="hu-HU"/>
        </w:rPr>
        <w:t>knél az utolsó</w:t>
      </w:r>
      <w:r w:rsidRPr="001C515A">
        <w:rPr>
          <w:rFonts w:eastAsiaTheme="minorHAnsi"/>
          <w:i/>
          <w:lang w:val="hu-HU"/>
        </w:rPr>
        <w:t xml:space="preserve"> </w:t>
      </w:r>
      <w:r w:rsidR="00B17923" w:rsidRPr="001C515A">
        <w:rPr>
          <w:rFonts w:eastAsiaTheme="minorHAnsi"/>
          <w:i/>
          <w:lang w:val="hu-HU"/>
        </w:rPr>
        <w:t>per os</w:t>
      </w:r>
      <w:r>
        <w:rPr>
          <w:rFonts w:eastAsiaTheme="minorHAnsi"/>
          <w:lang w:val="hu-HU"/>
        </w:rPr>
        <w:t xml:space="preserve"> buszulfán</w:t>
      </w:r>
      <w:r w:rsidR="00B819AE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dózis és az első ciklofoszfamid</w:t>
      </w:r>
      <w:r w:rsidR="00B819AE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adag között több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mint 24 óra telt el, alacsonyabb volt a </w:t>
      </w:r>
      <w:r>
        <w:rPr>
          <w:rFonts w:eastAsiaTheme="minorHAnsi"/>
          <w:lang w:val="hu-HU"/>
        </w:rPr>
        <w:t>venoocclusiv májbetegség</w:t>
      </w:r>
      <w:r w:rsidRPr="00C01E0F">
        <w:rPr>
          <w:rFonts w:eastAsiaTheme="minorHAnsi"/>
          <w:lang w:val="hu-HU"/>
        </w:rPr>
        <w:t xml:space="preserve"> (Hepatic Veno Occlusive Disease</w:t>
      </w:r>
      <w:r w:rsidR="0092614E">
        <w:rPr>
          <w:rFonts w:eastAsiaTheme="minorHAnsi"/>
          <w:lang w:val="hu-HU"/>
        </w:rPr>
        <w:t>/</w:t>
      </w:r>
      <w:r>
        <w:rPr>
          <w:rFonts w:eastAsiaTheme="minorHAnsi"/>
          <w:lang w:val="hu-HU"/>
        </w:rPr>
        <w:t>HVOD</w:t>
      </w:r>
      <w:r w:rsidRPr="00C01E0F">
        <w:rPr>
          <w:rFonts w:eastAsiaTheme="minorHAnsi"/>
          <w:lang w:val="hu-HU"/>
        </w:rPr>
        <w:t xml:space="preserve">) és a </w:t>
      </w:r>
      <w:r>
        <w:rPr>
          <w:rFonts w:eastAsiaTheme="minorHAnsi"/>
          <w:lang w:val="hu-HU"/>
        </w:rPr>
        <w:t xml:space="preserve">kezelési séma okozta </w:t>
      </w:r>
      <w:r w:rsidRPr="00C01E0F">
        <w:rPr>
          <w:rFonts w:eastAsiaTheme="minorHAnsi"/>
          <w:lang w:val="hu-HU"/>
        </w:rPr>
        <w:t>egyéb toxicitás előfordulása.</w:t>
      </w:r>
    </w:p>
    <w:p w14:paraId="3D3743BB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C2E3175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Nincs közös anyagcsere</w:t>
      </w:r>
      <w:r w:rsidRPr="00C01E0F">
        <w:rPr>
          <w:rFonts w:eastAsiaTheme="minorHAnsi"/>
          <w:lang w:val="hu-HU"/>
        </w:rPr>
        <w:t>út a buszulfán és fludarabin között.</w:t>
      </w:r>
    </w:p>
    <w:p w14:paraId="632C04C8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Felnőtteknél az FB </w:t>
      </w:r>
      <w:r w:rsidR="0092614E">
        <w:rPr>
          <w:rFonts w:eastAsiaTheme="minorHAnsi"/>
          <w:lang w:val="hu-HU"/>
        </w:rPr>
        <w:t xml:space="preserve">kezelési </w:t>
      </w:r>
      <w:r w:rsidRPr="00C01E0F">
        <w:rPr>
          <w:rFonts w:eastAsiaTheme="minorHAnsi"/>
          <w:lang w:val="hu-HU"/>
        </w:rPr>
        <w:t>sém</w:t>
      </w:r>
      <w:r w:rsidR="00BD3C2D">
        <w:rPr>
          <w:rFonts w:eastAsiaTheme="minorHAnsi"/>
          <w:lang w:val="hu-HU"/>
        </w:rPr>
        <w:t>át</w:t>
      </w:r>
      <w:r w:rsidRPr="00C01E0F">
        <w:rPr>
          <w:rFonts w:eastAsiaTheme="minorHAnsi"/>
          <w:lang w:val="hu-HU"/>
        </w:rPr>
        <w:t xml:space="preserve"> alkalmaz</w:t>
      </w:r>
      <w:r w:rsidR="00BD3C2D">
        <w:rPr>
          <w:rFonts w:eastAsiaTheme="minorHAnsi"/>
          <w:lang w:val="hu-HU"/>
        </w:rPr>
        <w:t>ó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vizsgálatokról szóló publikációk</w:t>
      </w:r>
      <w:r w:rsidRPr="00C01E0F">
        <w:rPr>
          <w:rFonts w:eastAsiaTheme="minorHAnsi"/>
          <w:lang w:val="hu-HU"/>
        </w:rPr>
        <w:t xml:space="preserve"> nem számoltak be semmilyen kölcsönös</w:t>
      </w:r>
      <w:r w:rsidRPr="00813ED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gyógyszerkölcsönhatásról az intravénás buszulfán és </w:t>
      </w:r>
      <w:r>
        <w:rPr>
          <w:rFonts w:eastAsiaTheme="minorHAnsi"/>
          <w:lang w:val="hu-HU"/>
        </w:rPr>
        <w:t>a fludarabin között</w:t>
      </w:r>
      <w:r w:rsidRPr="00C01E0F">
        <w:rPr>
          <w:rFonts w:eastAsiaTheme="minorHAnsi"/>
          <w:lang w:val="hu-HU"/>
        </w:rPr>
        <w:t>.</w:t>
      </w:r>
    </w:p>
    <w:p w14:paraId="2AC05E19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30E6BF12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Gyermekeknél </w:t>
      </w:r>
      <w:r>
        <w:rPr>
          <w:rFonts w:eastAsiaTheme="minorHAnsi"/>
          <w:lang w:val="hu-HU"/>
        </w:rPr>
        <w:t xml:space="preserve">és serdülőknél </w:t>
      </w:r>
      <w:r w:rsidRPr="00C01E0F">
        <w:rPr>
          <w:rFonts w:eastAsiaTheme="minorHAnsi"/>
          <w:lang w:val="hu-HU"/>
        </w:rPr>
        <w:t xml:space="preserve">a BuMel séma alkalmazásakor arról számoltak be, hogy a toxicitás kialakulását befolyásolhatja, ha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buszulfán utolsó orális beadás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és az első melfa</w:t>
      </w:r>
      <w:r>
        <w:rPr>
          <w:rFonts w:eastAsiaTheme="minorHAnsi"/>
          <w:lang w:val="hu-HU"/>
        </w:rPr>
        <w:t>lán</w:t>
      </w:r>
      <w:r w:rsidR="00BD3C2D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dózis között kevesebb, mint 24 óra telik el.</w:t>
      </w:r>
    </w:p>
    <w:p w14:paraId="1F3CF526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09583F5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paracetamol</w:t>
      </w:r>
      <w:r w:rsidR="00BD3C2D">
        <w:rPr>
          <w:rFonts w:eastAsiaTheme="minorHAnsi"/>
          <w:lang w:val="hu-HU"/>
        </w:rPr>
        <w:t xml:space="preserve"> a </w:t>
      </w:r>
      <w:r>
        <w:rPr>
          <w:rFonts w:eastAsiaTheme="minorHAnsi"/>
          <w:lang w:val="hu-HU"/>
        </w:rPr>
        <w:t>leír</w:t>
      </w:r>
      <w:r w:rsidR="00BD3C2D">
        <w:rPr>
          <w:rFonts w:eastAsiaTheme="minorHAnsi"/>
          <w:lang w:val="hu-HU"/>
        </w:rPr>
        <w:t>ások szerint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csökkenti a vér és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 xml:space="preserve">szövetek glutationszintjét, ezért kombinációban </w:t>
      </w:r>
      <w:r>
        <w:rPr>
          <w:rFonts w:eastAsiaTheme="minorHAnsi"/>
          <w:lang w:val="hu-HU"/>
        </w:rPr>
        <w:t xml:space="preserve">alkalmazva </w:t>
      </w:r>
      <w:r w:rsidRPr="00C01E0F">
        <w:rPr>
          <w:rFonts w:eastAsiaTheme="minorHAnsi"/>
          <w:lang w:val="hu-HU"/>
        </w:rPr>
        <w:t>csökkentheti a buszulfán clearance</w:t>
      </w:r>
      <w:r>
        <w:rPr>
          <w:rFonts w:eastAsiaTheme="minorHAnsi"/>
          <w:lang w:val="hu-HU"/>
        </w:rPr>
        <w:noBreakHyphen/>
        <w:t>é</w:t>
      </w:r>
      <w:r w:rsidRPr="00C01E0F">
        <w:rPr>
          <w:rFonts w:eastAsiaTheme="minorHAnsi"/>
          <w:lang w:val="hu-HU"/>
        </w:rPr>
        <w:t>t (lásd 4.4 pont).</w:t>
      </w:r>
    </w:p>
    <w:p w14:paraId="02F3F69E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6448D01B" w14:textId="77777777" w:rsidR="00466D16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intravénás buszulfánnal végzett klinikai vizsgálatokban </w:t>
      </w:r>
      <w:r>
        <w:rPr>
          <w:rFonts w:eastAsiaTheme="minorHAnsi"/>
          <w:lang w:val="hu-HU"/>
        </w:rPr>
        <w:t>ré</w:t>
      </w:r>
      <w:r w:rsidRPr="00C01E0F">
        <w:rPr>
          <w:rFonts w:eastAsiaTheme="minorHAnsi"/>
          <w:lang w:val="hu-HU"/>
        </w:rPr>
        <w:t>szt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vevő</w:t>
      </w:r>
      <w:r>
        <w:rPr>
          <w:rFonts w:eastAsiaTheme="minorHAnsi"/>
          <w:lang w:val="hu-HU"/>
        </w:rPr>
        <w:t xml:space="preserve"> betegeknél </w:t>
      </w:r>
      <w:r w:rsidRPr="00C01E0F">
        <w:rPr>
          <w:rFonts w:eastAsiaTheme="minorHAnsi"/>
          <w:lang w:val="hu-HU"/>
        </w:rPr>
        <w:t xml:space="preserve">vagy fenitoint vagy benzodiazepineket </w:t>
      </w:r>
      <w:r>
        <w:rPr>
          <w:rFonts w:eastAsiaTheme="minorHAnsi"/>
          <w:lang w:val="hu-HU"/>
        </w:rPr>
        <w:t xml:space="preserve">alkalmaztak a </w:t>
      </w:r>
      <w:r w:rsidRPr="00C01E0F">
        <w:rPr>
          <w:rFonts w:eastAsiaTheme="minorHAnsi"/>
          <w:lang w:val="hu-HU"/>
        </w:rPr>
        <w:t>görcsrohamok megelőzésére (lásd 4.2 és 4.4 pont).</w:t>
      </w:r>
      <w:r>
        <w:rPr>
          <w:rFonts w:eastAsiaTheme="minorHAnsi"/>
          <w:lang w:val="hu-HU"/>
        </w:rPr>
        <w:t xml:space="preserve"> </w:t>
      </w:r>
    </w:p>
    <w:p w14:paraId="586496CD" w14:textId="77777777" w:rsidR="002E04E7" w:rsidRDefault="00466D16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Azoknál a </w:t>
      </w:r>
      <w:r w:rsidRPr="00C01E0F">
        <w:rPr>
          <w:rFonts w:eastAsiaTheme="minorHAnsi"/>
          <w:lang w:val="hu-HU"/>
        </w:rPr>
        <w:t>betegeknél</w:t>
      </w:r>
      <w:r>
        <w:rPr>
          <w:rFonts w:eastAsiaTheme="minorHAnsi"/>
          <w:lang w:val="hu-HU"/>
        </w:rPr>
        <w:t>, akik n</w:t>
      </w:r>
      <w:r w:rsidR="00944C5C" w:rsidRPr="00C01E0F">
        <w:rPr>
          <w:rFonts w:eastAsiaTheme="minorHAnsi"/>
          <w:lang w:val="hu-HU"/>
        </w:rPr>
        <w:t>agy</w:t>
      </w:r>
      <w:r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dózisú or</w:t>
      </w:r>
      <w:r>
        <w:rPr>
          <w:rFonts w:eastAsiaTheme="minorHAnsi"/>
          <w:lang w:val="hu-HU"/>
        </w:rPr>
        <w:t>á</w:t>
      </w:r>
      <w:r w:rsidR="00944C5C" w:rsidRPr="00C01E0F">
        <w:rPr>
          <w:rFonts w:eastAsiaTheme="minorHAnsi"/>
          <w:lang w:val="hu-HU"/>
        </w:rPr>
        <w:t>lis buszulfánt kap</w:t>
      </w:r>
      <w:r>
        <w:rPr>
          <w:rFonts w:eastAsiaTheme="minorHAnsi"/>
          <w:lang w:val="hu-HU"/>
        </w:rPr>
        <w:t xml:space="preserve">nak, </w:t>
      </w:r>
      <w:r w:rsidR="00944C5C" w:rsidRPr="00C01E0F">
        <w:rPr>
          <w:rFonts w:eastAsiaTheme="minorHAnsi"/>
          <w:lang w:val="hu-HU"/>
        </w:rPr>
        <w:t>fenitoin párhuzamos szisztémás alkalmazásakor a glutation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S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transzferáz indukciója miatti buszulfán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 xml:space="preserve">clearance fokozódásról számoltak be, ugyanakkor nem </w:t>
      </w:r>
      <w:r w:rsidR="002E04E7">
        <w:rPr>
          <w:rFonts w:eastAsiaTheme="minorHAnsi"/>
          <w:lang w:val="hu-HU"/>
        </w:rPr>
        <w:t>jelentettek</w:t>
      </w:r>
      <w:r w:rsidR="00944C5C" w:rsidRPr="00C01E0F">
        <w:rPr>
          <w:rFonts w:eastAsiaTheme="minorHAnsi"/>
          <w:lang w:val="hu-HU"/>
        </w:rPr>
        <w:t xml:space="preserve"> gyógyszerkölcsönhatást, amikor nagy</w:t>
      </w:r>
      <w:r w:rsidR="002E04E7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dózisú buszulfánnal együtt benzodiazepineket, mint pl. diazepámot, klonazepámot vagy lorazepámot alkalma</w:t>
      </w:r>
      <w:r w:rsidR="00944C5C">
        <w:rPr>
          <w:rFonts w:eastAsiaTheme="minorHAnsi"/>
          <w:lang w:val="hu-HU"/>
        </w:rPr>
        <w:t>ztak görcsrohamok megelőzésére a nagy</w:t>
      </w:r>
      <w:r w:rsidR="002E04E7">
        <w:rPr>
          <w:rFonts w:eastAsiaTheme="minorHAnsi"/>
          <w:lang w:val="hu-HU"/>
        </w:rPr>
        <w:t xml:space="preserve"> </w:t>
      </w:r>
      <w:r w:rsidR="00944C5C">
        <w:rPr>
          <w:rFonts w:eastAsiaTheme="minorHAnsi"/>
          <w:lang w:val="hu-HU"/>
        </w:rPr>
        <w:t>dózisú buszulfán</w:t>
      </w:r>
      <w:r w:rsidR="00944C5C">
        <w:rPr>
          <w:rFonts w:eastAsiaTheme="minorHAnsi"/>
          <w:lang w:val="hu-HU"/>
        </w:rPr>
        <w:noBreakHyphen/>
        <w:t>kezelés mellett.</w:t>
      </w:r>
      <w:r w:rsidR="002E04E7">
        <w:rPr>
          <w:rFonts w:eastAsiaTheme="minorHAnsi"/>
          <w:lang w:val="hu-HU"/>
        </w:rPr>
        <w:t xml:space="preserve"> </w:t>
      </w:r>
    </w:p>
    <w:p w14:paraId="25FA12C9" w14:textId="3DC0325A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b</w:t>
      </w:r>
      <w:r w:rsidRPr="00C01E0F">
        <w:rPr>
          <w:rFonts w:eastAsiaTheme="minorHAnsi"/>
          <w:lang w:val="hu-HU"/>
        </w:rPr>
        <w:t xml:space="preserve">uszulfánnal </w:t>
      </w:r>
      <w:r>
        <w:rPr>
          <w:rFonts w:eastAsiaTheme="minorHAnsi"/>
          <w:lang w:val="hu-HU"/>
        </w:rPr>
        <w:t>kapcsolat</w:t>
      </w:r>
      <w:r w:rsidR="002E04E7">
        <w:rPr>
          <w:rFonts w:eastAsiaTheme="minorHAnsi"/>
          <w:lang w:val="hu-HU"/>
        </w:rPr>
        <w:t xml:space="preserve">os adatok </w:t>
      </w:r>
      <w:r w:rsidRPr="00C01E0F">
        <w:rPr>
          <w:rFonts w:eastAsiaTheme="minorHAnsi"/>
          <w:lang w:val="hu-HU"/>
        </w:rPr>
        <w:t xml:space="preserve">nem </w:t>
      </w:r>
      <w:r w:rsidR="00EA2AF8">
        <w:rPr>
          <w:rFonts w:eastAsiaTheme="minorHAnsi"/>
          <w:lang w:val="hu-HU"/>
        </w:rPr>
        <w:t>igazolták</w:t>
      </w:r>
      <w:r w:rsidRPr="00C01E0F">
        <w:rPr>
          <w:rFonts w:eastAsiaTheme="minorHAnsi"/>
          <w:lang w:val="hu-HU"/>
        </w:rPr>
        <w:t xml:space="preserve"> a fenitoin indukciós hatásá</w:t>
      </w:r>
      <w:r w:rsidR="00EA2AF8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. A </w:t>
      </w:r>
      <w:r>
        <w:rPr>
          <w:rFonts w:eastAsiaTheme="minorHAnsi"/>
          <w:lang w:val="hu-HU"/>
        </w:rPr>
        <w:t>profilaktikus antikonvulzív</w:t>
      </w:r>
      <w:r w:rsidRPr="00C01E0F">
        <w:rPr>
          <w:rFonts w:eastAsiaTheme="minorHAnsi"/>
          <w:lang w:val="hu-HU"/>
        </w:rPr>
        <w:t xml:space="preserve"> kez</w:t>
      </w:r>
      <w:r>
        <w:rPr>
          <w:rFonts w:eastAsiaTheme="minorHAnsi"/>
          <w:lang w:val="hu-HU"/>
        </w:rPr>
        <w:t>elésnek az intravénás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 farmakokinetikájára gyakorolt hatását egy </w:t>
      </w:r>
      <w:r w:rsidR="00DC6692">
        <w:rPr>
          <w:rFonts w:eastAsiaTheme="minorHAnsi"/>
          <w:lang w:val="hu-HU"/>
        </w:rPr>
        <w:lastRenderedPageBreak/>
        <w:t xml:space="preserve">II. </w:t>
      </w:r>
      <w:r w:rsidRPr="00C01E0F">
        <w:rPr>
          <w:rFonts w:eastAsiaTheme="minorHAnsi"/>
          <w:lang w:val="hu-HU"/>
        </w:rPr>
        <w:t>fázis</w:t>
      </w:r>
      <w:r w:rsidR="00DC6692">
        <w:rPr>
          <w:rFonts w:eastAsiaTheme="minorHAnsi"/>
          <w:lang w:val="hu-HU"/>
        </w:rPr>
        <w:t>ú</w:t>
      </w:r>
      <w:r w:rsidRPr="00C01E0F">
        <w:rPr>
          <w:rFonts w:eastAsiaTheme="minorHAnsi"/>
          <w:lang w:val="hu-HU"/>
        </w:rPr>
        <w:t xml:space="preserve"> vizsgálatban é</w:t>
      </w:r>
      <w:r>
        <w:rPr>
          <w:rFonts w:eastAsiaTheme="minorHAnsi"/>
          <w:lang w:val="hu-HU"/>
        </w:rPr>
        <w:t>rtékelték. E</w:t>
      </w:r>
      <w:r w:rsidR="00EA2AF8">
        <w:rPr>
          <w:rFonts w:eastAsiaTheme="minorHAnsi"/>
          <w:lang w:val="hu-HU"/>
        </w:rPr>
        <w:t xml:space="preserve">bben a </w:t>
      </w:r>
      <w:r>
        <w:rPr>
          <w:rFonts w:eastAsiaTheme="minorHAnsi"/>
          <w:lang w:val="hu-HU"/>
        </w:rPr>
        <w:t>vizsgálat</w:t>
      </w:r>
      <w:r w:rsidR="00EA2AF8">
        <w:rPr>
          <w:rFonts w:eastAsiaTheme="minorHAnsi"/>
          <w:lang w:val="hu-HU"/>
        </w:rPr>
        <w:t>ban</w:t>
      </w:r>
      <w:r>
        <w:rPr>
          <w:rFonts w:eastAsiaTheme="minorHAnsi"/>
          <w:lang w:val="hu-HU"/>
        </w:rPr>
        <w:t xml:space="preserve"> 24 </w:t>
      </w:r>
      <w:r w:rsidRPr="00C01E0F">
        <w:rPr>
          <w:rFonts w:eastAsiaTheme="minorHAnsi"/>
          <w:lang w:val="hu-HU"/>
        </w:rPr>
        <w:t>felnőtt beteg kapott klonazepámot (0,025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0,03 mg/</w:t>
      </w:r>
      <w:r w:rsidR="00F3108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 xml:space="preserve">kg/nap, iv. folyamatos infúzióban) antikonvulzív kezelésként, és a betegek </w:t>
      </w:r>
      <w:r>
        <w:rPr>
          <w:rFonts w:eastAsiaTheme="minorHAnsi"/>
          <w:lang w:val="hu-HU"/>
        </w:rPr>
        <w:t>farmakokinetikai adatait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fenitoinnal kezelt betegektől származó </w:t>
      </w:r>
      <w:r w:rsidR="00B17923">
        <w:rPr>
          <w:rFonts w:eastAsiaTheme="minorHAnsi"/>
          <w:lang w:val="hu-HU"/>
        </w:rPr>
        <w:t>korábbi</w:t>
      </w:r>
      <w:r>
        <w:rPr>
          <w:rFonts w:eastAsiaTheme="minorHAnsi"/>
          <w:lang w:val="hu-HU"/>
        </w:rPr>
        <w:t xml:space="preserve"> adatokkal hasonlították össze</w:t>
      </w:r>
      <w:r w:rsidRPr="00C01E0F">
        <w:rPr>
          <w:rFonts w:eastAsiaTheme="minorHAnsi"/>
          <w:lang w:val="hu-HU"/>
        </w:rPr>
        <w:t>. Az adatok populációs farmakokinetikai módszerrel végzett elemzése nem mutatott különbséget az intravénás buszulfán clearance</w:t>
      </w:r>
      <w:r>
        <w:rPr>
          <w:rFonts w:eastAsiaTheme="minorHAnsi"/>
          <w:lang w:val="hu-HU"/>
        </w:rPr>
        <w:noBreakHyphen/>
        <w:t>e</w:t>
      </w:r>
      <w:r w:rsidRPr="00C01E0F">
        <w:rPr>
          <w:rFonts w:eastAsiaTheme="minorHAnsi"/>
          <w:lang w:val="hu-HU"/>
        </w:rPr>
        <w:t xml:space="preserve"> tekintetében a fenitoin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a klonazepám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alapú kezelések között</w:t>
      </w:r>
      <w:r>
        <w:rPr>
          <w:rFonts w:eastAsiaTheme="minorHAnsi"/>
          <w:lang w:val="hu-HU"/>
        </w:rPr>
        <w:t xml:space="preserve">, ebből következően az antikonvulzív profilaxis </w:t>
      </w:r>
      <w:r w:rsidRPr="00C01E0F">
        <w:rPr>
          <w:rFonts w:eastAsiaTheme="minorHAnsi"/>
          <w:lang w:val="hu-HU"/>
        </w:rPr>
        <w:t xml:space="preserve">típusától függetlenül hasonló </w:t>
      </w:r>
      <w:r>
        <w:rPr>
          <w:rFonts w:eastAsiaTheme="minorHAnsi"/>
          <w:lang w:val="hu-HU"/>
        </w:rPr>
        <w:t>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plazma</w:t>
      </w:r>
      <w:r>
        <w:rPr>
          <w:rFonts w:eastAsiaTheme="minorHAnsi"/>
          <w:lang w:val="hu-HU"/>
        </w:rPr>
        <w:t xml:space="preserve">expozíciós értékeket </w:t>
      </w:r>
      <w:r w:rsidRPr="00C01E0F">
        <w:rPr>
          <w:rFonts w:eastAsiaTheme="minorHAnsi"/>
          <w:lang w:val="hu-HU"/>
        </w:rPr>
        <w:t>értek el.</w:t>
      </w:r>
    </w:p>
    <w:p w14:paraId="05AF7A78" w14:textId="35B5344B" w:rsidR="00944C5C" w:rsidRDefault="00944C5C" w:rsidP="00944C5C">
      <w:pPr>
        <w:spacing w:line="240" w:lineRule="auto"/>
        <w:rPr>
          <w:rFonts w:eastAsiaTheme="minorHAnsi"/>
          <w:lang w:val="hu-HU"/>
        </w:rPr>
      </w:pPr>
    </w:p>
    <w:p w14:paraId="03A3E4D6" w14:textId="0DEEF05D" w:rsidR="00922983" w:rsidRDefault="00922983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buszulfán expozíciójának növekedését figyelték meg a buszulfán és deferaszirox egyidejű alkalmazásakor. A kölcsönhatás mechanizmusa még nem teljesen tisztázott. A jelenleg vagy nemrég deferasziroxszal kezelt betegeknél javasolt rendszeresen ellenőrizni a buszulfán plazmaexpozícióját, és szükség esetén módosítani a buszulfán dózisát.</w:t>
      </w:r>
    </w:p>
    <w:p w14:paraId="2287D489" w14:textId="77777777" w:rsidR="00922983" w:rsidRPr="00C01E0F" w:rsidRDefault="00922983" w:rsidP="00944C5C">
      <w:pPr>
        <w:spacing w:line="240" w:lineRule="auto"/>
        <w:rPr>
          <w:rFonts w:eastAsiaTheme="minorHAnsi"/>
          <w:lang w:val="hu-HU"/>
        </w:rPr>
      </w:pPr>
    </w:p>
    <w:p w14:paraId="37FA1214" w14:textId="077E4FDE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Nem mutattak ki kölcsönhatást</w:t>
      </w:r>
      <w:r w:rsidR="00F212AF">
        <w:rPr>
          <w:rFonts w:eastAsiaTheme="minorHAnsi"/>
          <w:lang w:val="hu-HU"/>
        </w:rPr>
        <w:t xml:space="preserve">, amikor </w:t>
      </w:r>
      <w:r w:rsidRPr="00C01E0F">
        <w:rPr>
          <w:rFonts w:eastAsiaTheme="minorHAnsi"/>
          <w:lang w:val="hu-HU"/>
        </w:rPr>
        <w:t>a buszulfán</w:t>
      </w:r>
      <w:r w:rsidR="00F212AF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5HT</w:t>
      </w:r>
      <w:r w:rsidRPr="00631D3A">
        <w:rPr>
          <w:rFonts w:eastAsiaTheme="minorHAnsi"/>
          <w:vertAlign w:val="subscript"/>
          <w:lang w:val="hu-HU"/>
        </w:rPr>
        <w:t>3</w:t>
      </w:r>
      <w:r w:rsidRPr="00C01E0F">
        <w:rPr>
          <w:rFonts w:eastAsiaTheme="minorHAnsi"/>
          <w:lang w:val="hu-HU"/>
        </w:rPr>
        <w:t xml:space="preserve"> </w:t>
      </w:r>
      <w:r w:rsidR="00F212AF">
        <w:rPr>
          <w:rFonts w:eastAsiaTheme="minorHAnsi"/>
          <w:lang w:val="hu-HU"/>
        </w:rPr>
        <w:t>antiemetikumokkal</w:t>
      </w:r>
      <w:r w:rsidRPr="00C01E0F">
        <w:rPr>
          <w:rFonts w:eastAsiaTheme="minorHAnsi"/>
          <w:lang w:val="hu-HU"/>
        </w:rPr>
        <w:t>, mint pl. ondanszetronnal vagy graniszetronnal kombinált</w:t>
      </w:r>
      <w:r w:rsidR="00B17923">
        <w:rPr>
          <w:rFonts w:eastAsiaTheme="minorHAnsi"/>
          <w:lang w:val="hu-HU"/>
        </w:rPr>
        <w:t>an</w:t>
      </w:r>
      <w:r w:rsidRPr="00C01E0F">
        <w:rPr>
          <w:rFonts w:eastAsiaTheme="minorHAnsi"/>
          <w:lang w:val="hu-HU"/>
        </w:rPr>
        <w:t xml:space="preserve"> alkalmaz</w:t>
      </w:r>
      <w:r w:rsidR="00B17923">
        <w:rPr>
          <w:rFonts w:eastAsiaTheme="minorHAnsi"/>
          <w:lang w:val="hu-HU"/>
        </w:rPr>
        <w:t>ták</w:t>
      </w:r>
      <w:r w:rsidRPr="00C01E0F">
        <w:rPr>
          <w:rFonts w:eastAsiaTheme="minorHAnsi"/>
          <w:lang w:val="hu-HU"/>
        </w:rPr>
        <w:t>.</w:t>
      </w:r>
    </w:p>
    <w:p w14:paraId="0F9463DB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4AC79330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4.6</w:t>
      </w:r>
      <w:r w:rsidRPr="00C01E0F">
        <w:rPr>
          <w:b/>
          <w:bCs/>
          <w:lang w:val="hu-HU"/>
        </w:rPr>
        <w:tab/>
        <w:t>Termékenység, terhesség és szoptatás</w:t>
      </w:r>
    </w:p>
    <w:p w14:paraId="65666EFA" w14:textId="77777777" w:rsidR="00944C5C" w:rsidRPr="00C01E0F" w:rsidRDefault="00944C5C" w:rsidP="00944C5C">
      <w:pPr>
        <w:spacing w:line="240" w:lineRule="auto"/>
        <w:rPr>
          <w:iCs/>
          <w:lang w:val="hu-HU"/>
        </w:rPr>
      </w:pPr>
    </w:p>
    <w:p w14:paraId="25BC6528" w14:textId="77777777" w:rsidR="00944C5C" w:rsidRPr="00C01E0F" w:rsidRDefault="00944C5C" w:rsidP="00944C5C">
      <w:pPr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Terhesség</w:t>
      </w:r>
    </w:p>
    <w:p w14:paraId="47817E6E" w14:textId="4C77B6D6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CF6F9E">
        <w:rPr>
          <w:rFonts w:eastAsiaTheme="minorHAnsi"/>
          <w:lang w:val="hu-HU"/>
        </w:rPr>
        <w:t>hemopoetikus</w:t>
      </w:r>
      <w:r w:rsidRPr="00C01E0F">
        <w:rPr>
          <w:rFonts w:eastAsiaTheme="minorHAnsi"/>
          <w:lang w:val="hu-HU"/>
        </w:rPr>
        <w:t xml:space="preserve"> 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 (HPCT) ellenjavallt terhes nőknél; ezért 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terhesség </w:t>
      </w:r>
      <w:r>
        <w:rPr>
          <w:rFonts w:eastAsiaTheme="minorHAnsi"/>
          <w:lang w:val="hu-HU"/>
        </w:rPr>
        <w:t>alatt</w:t>
      </w:r>
      <w:r w:rsidRPr="00C01E0F">
        <w:rPr>
          <w:rFonts w:eastAsiaTheme="minorHAnsi"/>
          <w:lang w:val="hu-HU"/>
        </w:rPr>
        <w:t xml:space="preserve"> ellenjavallt. Állatkísérletek</w:t>
      </w:r>
      <w:r w:rsidR="00E35D60">
        <w:rPr>
          <w:rFonts w:eastAsiaTheme="minorHAnsi"/>
          <w:lang w:val="hu-HU"/>
        </w:rPr>
        <w:t>ben</w:t>
      </w:r>
      <w:r w:rsidRPr="00C01E0F">
        <w:rPr>
          <w:rFonts w:eastAsiaTheme="minorHAnsi"/>
          <w:lang w:val="hu-HU"/>
        </w:rPr>
        <w:t xml:space="preserve"> reproduktív toxicitást igazoltak (embriof</w:t>
      </w:r>
      <w:r w:rsidR="00B17923">
        <w:rPr>
          <w:rFonts w:eastAsiaTheme="minorHAnsi"/>
          <w:lang w:val="hu-HU"/>
        </w:rPr>
        <w:t>oe</w:t>
      </w:r>
      <w:r w:rsidRPr="00C01E0F">
        <w:rPr>
          <w:rFonts w:eastAsiaTheme="minorHAnsi"/>
          <w:lang w:val="hu-HU"/>
        </w:rPr>
        <w:t>tális letalitást és malformációkat) (lásd 5.3 pont).</w:t>
      </w:r>
    </w:p>
    <w:p w14:paraId="4DDC2611" w14:textId="27AE1C2A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vagy DMA terhes nőknél történő alkalmazása tekintetében </w:t>
      </w:r>
      <w:r w:rsidR="00F067FA">
        <w:rPr>
          <w:rFonts w:eastAsiaTheme="minorHAnsi"/>
          <w:lang w:val="hu-HU"/>
        </w:rPr>
        <w:t>nincs információ</w:t>
      </w:r>
      <w:r w:rsidRPr="00C01E0F">
        <w:rPr>
          <w:rFonts w:eastAsiaTheme="minorHAnsi"/>
          <w:lang w:val="hu-HU"/>
        </w:rPr>
        <w:t xml:space="preserve"> vagy korlátozott mennyiségű információ áll rendelkezésre. Alacsony</w:t>
      </w:r>
      <w:r w:rsidR="00F067F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dózisú orális buszulfánnal kapcsolatban néhány esetben veleszületett rendellenességekről számoltak be, de ez nem </w:t>
      </w:r>
      <w:r w:rsidR="006A7CD1">
        <w:rPr>
          <w:rFonts w:eastAsiaTheme="minorHAnsi"/>
          <w:lang w:val="hu-HU"/>
        </w:rPr>
        <w:t>biztos, hogy</w:t>
      </w:r>
      <w:r w:rsidRPr="00C01E0F">
        <w:rPr>
          <w:rFonts w:eastAsiaTheme="minorHAnsi"/>
          <w:lang w:val="hu-HU"/>
        </w:rPr>
        <w:t xml:space="preserve"> a hatóanyag következménye</w:t>
      </w:r>
      <w:r w:rsidR="00F067FA">
        <w:rPr>
          <w:rFonts w:eastAsiaTheme="minorHAnsi"/>
          <w:lang w:val="hu-HU"/>
        </w:rPr>
        <w:t>, továbbá</w:t>
      </w:r>
      <w:r w:rsidRPr="00C01E0F">
        <w:rPr>
          <w:rFonts w:eastAsiaTheme="minorHAnsi"/>
          <w:lang w:val="hu-HU"/>
        </w:rPr>
        <w:t xml:space="preserve"> a harmadik trimeszterben a gyógyszerexpozíció a méhen belüli növekedés károsodását okozhatja.</w:t>
      </w:r>
    </w:p>
    <w:p w14:paraId="11AD276E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3ACE64DA" w14:textId="77777777" w:rsidR="00944C5C" w:rsidRPr="00F067FA" w:rsidRDefault="00944C5C" w:rsidP="00944C5C">
      <w:pPr>
        <w:spacing w:line="240" w:lineRule="auto"/>
        <w:rPr>
          <w:rFonts w:eastAsiaTheme="minorHAnsi"/>
          <w:u w:val="single"/>
          <w:lang w:val="hu-HU"/>
        </w:rPr>
      </w:pPr>
      <w:r w:rsidRPr="00F067FA">
        <w:rPr>
          <w:rFonts w:eastAsiaTheme="minorHAnsi"/>
          <w:u w:val="single"/>
          <w:lang w:val="hu-HU"/>
        </w:rPr>
        <w:t>Fogamzóképes korban lévő nők</w:t>
      </w:r>
    </w:p>
    <w:p w14:paraId="1AFFDA63" w14:textId="77777777" w:rsidR="00944C5C" w:rsidRPr="00C01E0F" w:rsidRDefault="00F067FA" w:rsidP="00944C5C">
      <w:pPr>
        <w:spacing w:line="240" w:lineRule="auto"/>
        <w:rPr>
          <w:u w:val="single"/>
          <w:lang w:val="hu-HU"/>
        </w:rPr>
      </w:pPr>
      <w:r>
        <w:rPr>
          <w:rFonts w:eastAsiaTheme="minorHAnsi"/>
          <w:lang w:val="hu-HU"/>
        </w:rPr>
        <w:t>A f</w:t>
      </w:r>
      <w:r w:rsidR="00944C5C" w:rsidRPr="00C01E0F">
        <w:rPr>
          <w:rFonts w:eastAsiaTheme="minorHAnsi"/>
          <w:lang w:val="hu-HU"/>
        </w:rPr>
        <w:t xml:space="preserve">ogamzóképes korban lévő nőknek hatékony fogamzásgátlást kell alkalmazniuk a kezelés alatt és </w:t>
      </w:r>
      <w:r>
        <w:rPr>
          <w:rFonts w:eastAsiaTheme="minorHAnsi"/>
          <w:lang w:val="hu-HU"/>
        </w:rPr>
        <w:t xml:space="preserve">lealább még </w:t>
      </w:r>
      <w:r w:rsidR="00944C5C" w:rsidRPr="00C01E0F">
        <w:rPr>
          <w:rFonts w:eastAsiaTheme="minorHAnsi"/>
          <w:lang w:val="hu-HU"/>
        </w:rPr>
        <w:t>6</w:t>
      </w:r>
      <w:r w:rsidR="00944C5C">
        <w:rPr>
          <w:rFonts w:eastAsiaTheme="minorHAnsi"/>
          <w:lang w:val="hu-HU"/>
        </w:rPr>
        <w:t> </w:t>
      </w:r>
      <w:r w:rsidR="00944C5C" w:rsidRPr="00C01E0F">
        <w:rPr>
          <w:rFonts w:eastAsiaTheme="minorHAnsi"/>
          <w:lang w:val="hu-HU"/>
        </w:rPr>
        <w:t>hónapig azt követően.</w:t>
      </w:r>
      <w:r w:rsidR="00944C5C" w:rsidRPr="00C01E0F">
        <w:rPr>
          <w:u w:val="single"/>
          <w:lang w:val="hu-HU"/>
        </w:rPr>
        <w:t xml:space="preserve"> </w:t>
      </w:r>
    </w:p>
    <w:p w14:paraId="6469BD9D" w14:textId="77777777" w:rsidR="00944C5C" w:rsidRPr="00C01E0F" w:rsidRDefault="00944C5C" w:rsidP="00944C5C">
      <w:pPr>
        <w:spacing w:line="240" w:lineRule="auto"/>
        <w:rPr>
          <w:u w:val="single"/>
          <w:lang w:val="hu-HU"/>
        </w:rPr>
      </w:pPr>
    </w:p>
    <w:p w14:paraId="479C0BF9" w14:textId="77777777" w:rsidR="00944C5C" w:rsidRPr="00C01E0F" w:rsidRDefault="00944C5C" w:rsidP="00944C5C">
      <w:pPr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Szoptatás</w:t>
      </w:r>
    </w:p>
    <w:p w14:paraId="4884246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u w:val="single"/>
          <w:lang w:val="hu-HU"/>
        </w:rPr>
      </w:pPr>
      <w:r w:rsidRPr="00C01E0F">
        <w:rPr>
          <w:rFonts w:eastAsiaTheme="minorHAnsi"/>
          <w:lang w:val="hu-HU"/>
        </w:rPr>
        <w:t xml:space="preserve">Nem ismert, hogy a buszulfán </w:t>
      </w:r>
      <w:r w:rsidR="00F067FA">
        <w:rPr>
          <w:rFonts w:eastAsiaTheme="minorHAnsi"/>
          <w:lang w:val="hu-HU"/>
        </w:rPr>
        <w:t>és</w:t>
      </w:r>
      <w:r w:rsidRPr="00C01E0F">
        <w:rPr>
          <w:rFonts w:eastAsiaTheme="minorHAnsi"/>
          <w:lang w:val="hu-HU"/>
        </w:rPr>
        <w:t xml:space="preserve"> a DMA kiválasztód</w:t>
      </w:r>
      <w:r w:rsidR="00F067FA">
        <w:rPr>
          <w:rFonts w:eastAsiaTheme="minorHAnsi"/>
          <w:lang w:val="hu-HU"/>
        </w:rPr>
        <w:t>nak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 a humán anyatejbe. A buszulfánnal végzett humán </w:t>
      </w:r>
      <w:r>
        <w:rPr>
          <w:rFonts w:eastAsiaTheme="minorHAnsi"/>
          <w:lang w:val="hu-HU"/>
        </w:rPr>
        <w:t xml:space="preserve">vizsgálatokban </w:t>
      </w:r>
      <w:r w:rsidRPr="00C01E0F">
        <w:rPr>
          <w:rFonts w:eastAsiaTheme="minorHAnsi"/>
          <w:lang w:val="hu-HU"/>
        </w:rPr>
        <w:t xml:space="preserve">és </w:t>
      </w:r>
      <w:r>
        <w:rPr>
          <w:rFonts w:eastAsiaTheme="minorHAnsi"/>
          <w:lang w:val="hu-HU"/>
        </w:rPr>
        <w:t>állatkísérletekben</w:t>
      </w:r>
      <w:r w:rsidRPr="00C01E0F">
        <w:rPr>
          <w:rFonts w:eastAsiaTheme="minorHAnsi"/>
          <w:lang w:val="hu-HU"/>
        </w:rPr>
        <w:t xml:space="preserve"> tapasztalt </w:t>
      </w:r>
      <w:r>
        <w:rPr>
          <w:rFonts w:eastAsiaTheme="minorHAnsi"/>
          <w:lang w:val="hu-HU"/>
        </w:rPr>
        <w:t>lehetséges</w:t>
      </w:r>
      <w:r w:rsidRPr="00C01E0F">
        <w:rPr>
          <w:rFonts w:eastAsiaTheme="minorHAnsi"/>
          <w:lang w:val="hu-HU"/>
        </w:rPr>
        <w:t xml:space="preserve"> dagan</w:t>
      </w:r>
      <w:r>
        <w:rPr>
          <w:rFonts w:eastAsiaTheme="minorHAnsi"/>
          <w:lang w:val="hu-HU"/>
        </w:rPr>
        <w:t>atkeltő hatás miatt a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</w:t>
      </w:r>
      <w:r w:rsidR="00A067A5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alatt a szoptatást </w:t>
      </w:r>
      <w:r>
        <w:rPr>
          <w:rFonts w:eastAsiaTheme="minorHAnsi"/>
          <w:lang w:val="hu-HU"/>
        </w:rPr>
        <w:t>abba kell hagyni</w:t>
      </w:r>
      <w:r w:rsidRPr="00C01E0F">
        <w:rPr>
          <w:rFonts w:eastAsiaTheme="minorHAnsi"/>
          <w:lang w:val="hu-HU"/>
        </w:rPr>
        <w:t>.</w:t>
      </w:r>
    </w:p>
    <w:p w14:paraId="107642B1" w14:textId="77777777" w:rsidR="00944C5C" w:rsidRPr="00C01E0F" w:rsidRDefault="00944C5C" w:rsidP="00944C5C">
      <w:pPr>
        <w:spacing w:line="240" w:lineRule="auto"/>
        <w:rPr>
          <w:u w:val="single"/>
          <w:lang w:val="hu-HU"/>
        </w:rPr>
      </w:pPr>
    </w:p>
    <w:p w14:paraId="23E932A8" w14:textId="77777777" w:rsidR="00944C5C" w:rsidRPr="00C01E0F" w:rsidRDefault="00944C5C" w:rsidP="00944C5C">
      <w:pPr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Termékenység</w:t>
      </w:r>
    </w:p>
    <w:p w14:paraId="44490CE8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és a DMA csökkentheti a nők és férfiak termékenységét. </w:t>
      </w:r>
      <w:r>
        <w:rPr>
          <w:rFonts w:eastAsiaTheme="minorHAnsi"/>
          <w:lang w:val="hu-HU"/>
        </w:rPr>
        <w:t xml:space="preserve">Ezért javasolt elkerülni a gyermeknemzést </w:t>
      </w:r>
      <w:r w:rsidRPr="00C01E0F">
        <w:rPr>
          <w:rFonts w:eastAsiaTheme="minorHAnsi"/>
          <w:lang w:val="hu-HU"/>
        </w:rPr>
        <w:t xml:space="preserve">a kezelés alatt és az azt követő </w:t>
      </w:r>
      <w:r>
        <w:rPr>
          <w:rFonts w:eastAsiaTheme="minorHAnsi"/>
          <w:lang w:val="hu-HU"/>
        </w:rPr>
        <w:t>6 </w:t>
      </w:r>
      <w:r w:rsidRPr="00C01E0F">
        <w:rPr>
          <w:rFonts w:eastAsiaTheme="minorHAnsi"/>
          <w:lang w:val="hu-HU"/>
        </w:rPr>
        <w:t>hónapban</w:t>
      </w:r>
      <w:r>
        <w:rPr>
          <w:rFonts w:eastAsiaTheme="minorHAnsi"/>
          <w:lang w:val="hu-HU"/>
        </w:rPr>
        <w:t xml:space="preserve">, </w:t>
      </w:r>
      <w:r w:rsidR="00F067FA">
        <w:rPr>
          <w:rFonts w:eastAsiaTheme="minorHAnsi"/>
          <w:lang w:val="hu-HU"/>
        </w:rPr>
        <w:t>valamint</w:t>
      </w:r>
      <w:r>
        <w:rPr>
          <w:rFonts w:eastAsiaTheme="minorHAnsi"/>
          <w:lang w:val="hu-HU"/>
        </w:rPr>
        <w:t xml:space="preserve"> a </w:t>
      </w:r>
      <w:r w:rsidRPr="00C01E0F">
        <w:rPr>
          <w:rFonts w:eastAsiaTheme="minorHAnsi"/>
          <w:lang w:val="hu-HU"/>
        </w:rPr>
        <w:t xml:space="preserve">visszafordíthatatlan meddőség </w:t>
      </w:r>
      <w:r>
        <w:rPr>
          <w:rFonts w:eastAsiaTheme="minorHAnsi"/>
          <w:lang w:val="hu-HU"/>
        </w:rPr>
        <w:t>lehetősége miatt ajánlott tanács</w:t>
      </w:r>
      <w:r w:rsidR="00F067FA">
        <w:rPr>
          <w:rFonts w:eastAsiaTheme="minorHAnsi"/>
          <w:lang w:val="hu-HU"/>
        </w:rPr>
        <w:t>ot kérni</w:t>
      </w:r>
      <w:r>
        <w:rPr>
          <w:rFonts w:eastAsiaTheme="minorHAnsi"/>
          <w:lang w:val="hu-HU"/>
        </w:rPr>
        <w:t xml:space="preserve"> a sperma </w:t>
      </w:r>
      <w:r w:rsidRPr="00C01E0F">
        <w:rPr>
          <w:rFonts w:eastAsiaTheme="minorHAnsi"/>
          <w:lang w:val="hu-HU"/>
        </w:rPr>
        <w:t>kezelés előtt</w:t>
      </w:r>
      <w:r>
        <w:rPr>
          <w:rFonts w:eastAsiaTheme="minorHAnsi"/>
          <w:lang w:val="hu-HU"/>
        </w:rPr>
        <w:t>i kriokonzerválását illetően (</w:t>
      </w:r>
      <w:r w:rsidRPr="00C01E0F">
        <w:rPr>
          <w:rFonts w:eastAsiaTheme="minorHAnsi"/>
          <w:lang w:val="hu-HU"/>
        </w:rPr>
        <w:t>lásd 4.4 pont).</w:t>
      </w:r>
    </w:p>
    <w:p w14:paraId="4180EAC3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09BB0373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4.7</w:t>
      </w:r>
      <w:r w:rsidRPr="00C01E0F">
        <w:rPr>
          <w:b/>
          <w:bCs/>
          <w:lang w:val="hu-HU"/>
        </w:rPr>
        <w:tab/>
        <w:t>A készítmény hatásai a gépjárművezetéshez és a gépek kezeléséhez szükséges képességekre</w:t>
      </w:r>
    </w:p>
    <w:p w14:paraId="668006A0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588B1CA3" w14:textId="77777777" w:rsidR="00944C5C" w:rsidRPr="00C01E0F" w:rsidRDefault="00944C5C" w:rsidP="00944C5C">
      <w:pPr>
        <w:spacing w:line="240" w:lineRule="auto"/>
        <w:rPr>
          <w:lang w:val="hu-HU"/>
        </w:rPr>
      </w:pPr>
      <w:r w:rsidRPr="00C01E0F">
        <w:rPr>
          <w:lang w:val="hu-HU"/>
        </w:rPr>
        <w:t>Nem értelmezhető.</w:t>
      </w:r>
    </w:p>
    <w:p w14:paraId="6BD6845C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1FA0B3E3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4.8</w:t>
      </w:r>
      <w:r w:rsidRPr="00C01E0F">
        <w:rPr>
          <w:b/>
          <w:bCs/>
          <w:lang w:val="hu-HU"/>
        </w:rPr>
        <w:tab/>
        <w:t>Nemkívánatos hatások, mellékhatások</w:t>
      </w:r>
    </w:p>
    <w:p w14:paraId="7321C5AE" w14:textId="77777777" w:rsidR="00944C5C" w:rsidRPr="00C01E0F" w:rsidRDefault="00944C5C" w:rsidP="00944C5C">
      <w:pPr>
        <w:spacing w:line="240" w:lineRule="auto"/>
        <w:rPr>
          <w:i/>
          <w:iCs/>
          <w:lang w:val="hu-HU"/>
        </w:rPr>
      </w:pPr>
    </w:p>
    <w:p w14:paraId="71A9A99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 biztonságossági profil összefoglalása</w:t>
      </w:r>
    </w:p>
    <w:p w14:paraId="14DB9F4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487970A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Buszulfán ciklofoszfamiddal vagy melfalánnal kombinálva</w:t>
      </w:r>
    </w:p>
    <w:p w14:paraId="75E2BF87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16DAA597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mellékhatásokra vonatkozó információk a buszulfánnal végzett két klinikai vizsgálatból (n=103) származnak.</w:t>
      </w:r>
    </w:p>
    <w:p w14:paraId="5D0F5BF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hematológiai, máj</w:t>
      </w:r>
      <w:r>
        <w:rPr>
          <w:rFonts w:eastAsiaTheme="minorHAnsi"/>
          <w:lang w:val="hu-HU"/>
        </w:rPr>
        <w:t>at érintő</w:t>
      </w:r>
      <w:r w:rsidRPr="00C01E0F">
        <w:rPr>
          <w:rFonts w:eastAsiaTheme="minorHAnsi"/>
          <w:lang w:val="hu-HU"/>
        </w:rPr>
        <w:t xml:space="preserve"> és légzőrendszeri súlyos toxicitásokat a kondicionáló kezelés és a transzplantáció várható következmény</w:t>
      </w:r>
      <w:r>
        <w:rPr>
          <w:rFonts w:eastAsiaTheme="minorHAnsi"/>
          <w:lang w:val="hu-HU"/>
        </w:rPr>
        <w:t>ének tekintették</w:t>
      </w:r>
      <w:r w:rsidRPr="00C01E0F">
        <w:rPr>
          <w:rFonts w:eastAsiaTheme="minorHAnsi"/>
          <w:lang w:val="hu-HU"/>
        </w:rPr>
        <w:t xml:space="preserve">. Ezek közé tartozik a fertőzés, valamint a </w:t>
      </w:r>
      <w:r w:rsidRPr="00C01E0F">
        <w:rPr>
          <w:rFonts w:eastAsiaTheme="minorHAnsi"/>
          <w:lang w:val="hu-HU"/>
        </w:rPr>
        <w:lastRenderedPageBreak/>
        <w:t>transzplantátum és a gazdaszervezet összeférhetetlensége (graft versus host disease</w:t>
      </w:r>
      <w:r w:rsidR="00A65058">
        <w:rPr>
          <w:rFonts w:eastAsiaTheme="minorHAnsi"/>
          <w:lang w:val="hu-HU"/>
        </w:rPr>
        <w:t>/</w:t>
      </w:r>
      <w:r w:rsidRPr="00C01E0F">
        <w:rPr>
          <w:rFonts w:eastAsiaTheme="minorHAnsi"/>
          <w:lang w:val="hu-HU"/>
        </w:rPr>
        <w:t xml:space="preserve">GVHD), amelyek bár nem állnak </w:t>
      </w:r>
      <w:r w:rsidR="00A86FB8">
        <w:rPr>
          <w:rFonts w:eastAsiaTheme="minorHAnsi"/>
          <w:lang w:val="hu-HU"/>
        </w:rPr>
        <w:t xml:space="preserve">vele </w:t>
      </w:r>
      <w:r w:rsidRPr="00C01E0F">
        <w:rPr>
          <w:rFonts w:eastAsiaTheme="minorHAnsi"/>
          <w:lang w:val="hu-HU"/>
        </w:rPr>
        <w:t>közvetlen összefüggésben, mégis fő okai a morbiditásnak és mortalitásnak, különösen allogén HPCT</w:t>
      </w:r>
      <w:r>
        <w:rPr>
          <w:rFonts w:eastAsiaTheme="minorHAnsi"/>
          <w:lang w:val="hu-HU"/>
        </w:rPr>
        <w:t xml:space="preserve"> esetén</w:t>
      </w:r>
      <w:r w:rsidRPr="00C01E0F">
        <w:rPr>
          <w:rFonts w:eastAsiaTheme="minorHAnsi"/>
          <w:lang w:val="hu-HU"/>
        </w:rPr>
        <w:t>.</w:t>
      </w:r>
    </w:p>
    <w:p w14:paraId="3147B87F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77DA898" w14:textId="77777777" w:rsidR="00944C5C" w:rsidRPr="00C01E0F" w:rsidRDefault="00944C5C" w:rsidP="00A65058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Vérképzőszervi és nyirokrendszeri betegségek</w:t>
      </w:r>
      <w:r>
        <w:rPr>
          <w:rFonts w:eastAsiaTheme="minorHAnsi"/>
          <w:i/>
          <w:iCs/>
          <w:lang w:val="hu-HU"/>
        </w:rPr>
        <w:t>:</w:t>
      </w:r>
    </w:p>
    <w:p w14:paraId="1AB99B80" w14:textId="5D7B4ABA" w:rsidR="00944C5C" w:rsidRPr="00C01E0F" w:rsidRDefault="00944C5C" w:rsidP="00A65058">
      <w:pPr>
        <w:keepNext/>
        <w:suppressLineNumbers/>
        <w:autoSpaceDE w:val="0"/>
        <w:autoSpaceDN w:val="0"/>
        <w:adjustRightInd w:val="0"/>
        <w:spacing w:line="240" w:lineRule="auto"/>
        <w:rPr>
          <w:i/>
          <w:iCs/>
          <w:lang w:val="hu-HU"/>
        </w:rPr>
      </w:pPr>
      <w:r w:rsidRPr="00C01E0F">
        <w:rPr>
          <w:rFonts w:eastAsiaTheme="minorHAnsi"/>
          <w:lang w:val="hu-HU"/>
        </w:rPr>
        <w:t>A myelos</w:t>
      </w:r>
      <w:r>
        <w:rPr>
          <w:rFonts w:eastAsiaTheme="minorHAnsi"/>
          <w:lang w:val="hu-HU"/>
        </w:rPr>
        <w:t xml:space="preserve">uppressio </w:t>
      </w:r>
      <w:r w:rsidRPr="00C01E0F">
        <w:rPr>
          <w:rFonts w:eastAsiaTheme="minorHAnsi"/>
          <w:lang w:val="hu-HU"/>
        </w:rPr>
        <w:t>és immunszuppresszió a kondicionáló kezelési séma kívánatos terápiás hatásai voltak. Ezért minden betegnél kifejezett cytopenia volt tapasztalható: leukopenia 96%</w:t>
      </w:r>
      <w:r>
        <w:rPr>
          <w:rFonts w:eastAsiaTheme="minorHAnsi"/>
          <w:lang w:val="hu-HU"/>
        </w:rPr>
        <w:noBreakHyphen/>
        <w:t>ban</w:t>
      </w:r>
      <w:r w:rsidRPr="00C01E0F">
        <w:rPr>
          <w:rFonts w:eastAsiaTheme="minorHAnsi"/>
          <w:lang w:val="hu-HU"/>
        </w:rPr>
        <w:t>, thrombocytopenia 94%</w:t>
      </w:r>
      <w:r>
        <w:rPr>
          <w:rFonts w:eastAsiaTheme="minorHAnsi"/>
          <w:lang w:val="hu-HU"/>
        </w:rPr>
        <w:noBreakHyphen/>
        <w:t>ban</w:t>
      </w:r>
      <w:r w:rsidRPr="00C01E0F">
        <w:rPr>
          <w:rFonts w:eastAsiaTheme="minorHAnsi"/>
          <w:lang w:val="hu-HU"/>
        </w:rPr>
        <w:t>, valamint anaemia 88%</w:t>
      </w:r>
      <w:r>
        <w:rPr>
          <w:rFonts w:eastAsiaTheme="minorHAnsi"/>
          <w:lang w:val="hu-HU"/>
        </w:rPr>
        <w:noBreakHyphen/>
        <w:t>ban</w:t>
      </w:r>
      <w:r w:rsidRPr="00C01E0F">
        <w:rPr>
          <w:rFonts w:eastAsiaTheme="minorHAnsi"/>
          <w:lang w:val="hu-HU"/>
        </w:rPr>
        <w:t xml:space="preserve">. 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neutropenia kialakulásáig </w:t>
      </w:r>
      <w:r w:rsidR="008F1FCB">
        <w:rPr>
          <w:rFonts w:eastAsiaTheme="minorHAnsi"/>
          <w:lang w:val="hu-HU"/>
        </w:rPr>
        <w:t xml:space="preserve">átlagosan </w:t>
      </w:r>
      <w:r w:rsidRPr="00C01E0F">
        <w:rPr>
          <w:rFonts w:eastAsiaTheme="minorHAnsi"/>
          <w:lang w:val="hu-HU"/>
        </w:rPr>
        <w:t xml:space="preserve">eltelt időtartam 4 nap volt </w:t>
      </w:r>
      <w:r>
        <w:rPr>
          <w:rFonts w:eastAsiaTheme="minorHAnsi"/>
          <w:lang w:val="hu-HU"/>
        </w:rPr>
        <w:t>m</w:t>
      </w:r>
      <w:r w:rsidRPr="00C01E0F">
        <w:rPr>
          <w:rFonts w:eastAsiaTheme="minorHAnsi"/>
          <w:lang w:val="hu-HU"/>
        </w:rPr>
        <w:t xml:space="preserve">ind az autológ, mind az allogén transzplantációs betegeknél. A neutropenia </w:t>
      </w:r>
      <w:r w:rsidR="008F1FCB">
        <w:rPr>
          <w:rFonts w:eastAsiaTheme="minorHAnsi"/>
          <w:lang w:val="hu-HU"/>
        </w:rPr>
        <w:t>átlagos</w:t>
      </w:r>
      <w:r w:rsidRPr="00C01E0F">
        <w:rPr>
          <w:rFonts w:eastAsiaTheme="minorHAnsi"/>
          <w:lang w:val="hu-HU"/>
        </w:rPr>
        <w:t xml:space="preserve"> időtartama 6 nap volt az autológ, illetve 9 nap az allogén transzplantációs betegeknél.</w:t>
      </w:r>
    </w:p>
    <w:p w14:paraId="5D8F2D87" w14:textId="77777777" w:rsidR="00944C5C" w:rsidRPr="00A65058" w:rsidRDefault="00944C5C" w:rsidP="00A65058">
      <w:pPr>
        <w:widowControl w:val="0"/>
        <w:autoSpaceDE w:val="0"/>
        <w:autoSpaceDN w:val="0"/>
        <w:adjustRightInd w:val="0"/>
        <w:spacing w:line="240" w:lineRule="auto"/>
        <w:rPr>
          <w:iCs/>
          <w:lang w:val="hu-HU"/>
        </w:rPr>
      </w:pPr>
    </w:p>
    <w:p w14:paraId="58D27E71" w14:textId="77777777" w:rsidR="00944C5C" w:rsidRPr="00C01E0F" w:rsidRDefault="00944C5C" w:rsidP="00A65058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Immunrendszeri betegségek</w:t>
      </w:r>
      <w:r>
        <w:rPr>
          <w:rFonts w:eastAsiaTheme="minorHAnsi"/>
          <w:i/>
          <w:iCs/>
          <w:lang w:val="hu-HU"/>
        </w:rPr>
        <w:t>:</w:t>
      </w:r>
    </w:p>
    <w:p w14:paraId="1E498C32" w14:textId="77777777" w:rsidR="00944C5C" w:rsidRPr="00C01E0F" w:rsidRDefault="00944C5C" w:rsidP="00A6505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akut </w:t>
      </w:r>
      <w:r>
        <w:rPr>
          <w:rFonts w:eastAsiaTheme="minorHAnsi"/>
          <w:lang w:val="hu-HU"/>
        </w:rPr>
        <w:t>graft versus host</w:t>
      </w:r>
      <w:r w:rsidRPr="00C01E0F">
        <w:rPr>
          <w:rFonts w:eastAsiaTheme="minorHAnsi"/>
          <w:lang w:val="hu-HU"/>
        </w:rPr>
        <w:t xml:space="preserve"> betegség (a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GVHD) előfordulási adatai az OMC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 (allogén) (n=61) vizsg</w:t>
      </w:r>
      <w:r>
        <w:rPr>
          <w:rFonts w:eastAsiaTheme="minorHAnsi"/>
          <w:lang w:val="hu-HU"/>
        </w:rPr>
        <w:t>álatból származtak. Összesen 11 </w:t>
      </w:r>
      <w:r w:rsidRPr="00C01E0F">
        <w:rPr>
          <w:rFonts w:eastAsiaTheme="minorHAnsi"/>
          <w:lang w:val="hu-HU"/>
        </w:rPr>
        <w:t>betegnél (18%) fordult elő 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GVHD. Az I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II. fokú 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 incidenciája 13% (8/61), míg a III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IV. fok</w:t>
      </w:r>
      <w:r>
        <w:rPr>
          <w:rFonts w:eastAsiaTheme="minorHAnsi"/>
          <w:lang w:val="hu-HU"/>
        </w:rPr>
        <w:t>ú a</w:t>
      </w:r>
      <w:r>
        <w:rPr>
          <w:rFonts w:eastAsiaTheme="minorHAnsi"/>
          <w:lang w:val="hu-HU"/>
        </w:rPr>
        <w:noBreakHyphen/>
        <w:t>GVHD</w:t>
      </w:r>
      <w:r w:rsidRPr="00C01E0F">
        <w:rPr>
          <w:rFonts w:eastAsiaTheme="minorHAnsi"/>
          <w:lang w:val="hu-HU"/>
        </w:rPr>
        <w:t xml:space="preserve"> incidenciája 5% (3/61) volt. Az akut GVHD</w:t>
      </w:r>
      <w:r>
        <w:rPr>
          <w:rFonts w:eastAsiaTheme="minorHAnsi"/>
          <w:lang w:val="hu-HU"/>
        </w:rPr>
        <w:noBreakHyphen/>
        <w:t>t 3 </w:t>
      </w:r>
      <w:r w:rsidRPr="00C01E0F">
        <w:rPr>
          <w:rFonts w:eastAsiaTheme="minorHAnsi"/>
          <w:lang w:val="hu-HU"/>
        </w:rPr>
        <w:t xml:space="preserve">betegnél </w:t>
      </w:r>
      <w:r>
        <w:rPr>
          <w:rFonts w:eastAsiaTheme="minorHAnsi"/>
          <w:lang w:val="hu-HU"/>
        </w:rPr>
        <w:t>értékelték</w:t>
      </w:r>
      <w:r w:rsidRPr="00C01E0F">
        <w:rPr>
          <w:rFonts w:eastAsiaTheme="minorHAnsi"/>
          <w:lang w:val="hu-HU"/>
        </w:rPr>
        <w:t xml:space="preserve"> súlyosnak. Krónikus GVH</w:t>
      </w:r>
      <w:r>
        <w:rPr>
          <w:rFonts w:eastAsiaTheme="minorHAnsi"/>
          <w:lang w:val="hu-HU"/>
        </w:rPr>
        <w:t>D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 (c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GVHD) jelentettek, ha </w:t>
      </w:r>
      <w:r>
        <w:rPr>
          <w:rFonts w:eastAsiaTheme="minorHAnsi"/>
          <w:lang w:val="hu-HU"/>
        </w:rPr>
        <w:t>az eset</w:t>
      </w:r>
      <w:r w:rsidRPr="00C01E0F">
        <w:rPr>
          <w:rFonts w:eastAsiaTheme="minorHAnsi"/>
          <w:lang w:val="hu-HU"/>
        </w:rPr>
        <w:t xml:space="preserve"> súlyos volt, illetve halálhoz vezetett. Halálozási okként 3</w:t>
      </w:r>
      <w:r w:rsidR="00BA0A22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betegnél jelentették.</w:t>
      </w:r>
    </w:p>
    <w:p w14:paraId="06941729" w14:textId="77777777" w:rsidR="00944C5C" w:rsidRPr="00C01E0F" w:rsidRDefault="00944C5C" w:rsidP="00A6505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A492DD3" w14:textId="77777777" w:rsidR="00944C5C" w:rsidRPr="00C01E0F" w:rsidRDefault="00944C5C" w:rsidP="00A65058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Fertőző betegségek és parazitafertőzések</w:t>
      </w:r>
      <w:r>
        <w:rPr>
          <w:rFonts w:eastAsiaTheme="minorHAnsi"/>
          <w:i/>
          <w:iCs/>
          <w:lang w:val="hu-HU"/>
        </w:rPr>
        <w:t>:</w:t>
      </w:r>
    </w:p>
    <w:p w14:paraId="646FDEC0" w14:textId="77777777" w:rsidR="00944C5C" w:rsidRPr="00C01E0F" w:rsidRDefault="00944C5C" w:rsidP="00A65058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>A betegek 39%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ánál (40/103) fordult elő egy vagy több fertőzés, melyek 83%</w:t>
      </w:r>
      <w:r>
        <w:rPr>
          <w:rFonts w:eastAsiaTheme="minorHAnsi"/>
          <w:lang w:val="hu-HU"/>
        </w:rPr>
        <w:noBreakHyphen/>
        <w:t>át</w:t>
      </w:r>
      <w:r w:rsidRPr="00C01E0F">
        <w:rPr>
          <w:rFonts w:eastAsiaTheme="minorHAnsi"/>
          <w:lang w:val="hu-HU"/>
        </w:rPr>
        <w:t xml:space="preserve"> (33/40) enyhe vagy közepes fokú</w:t>
      </w:r>
      <w:r>
        <w:rPr>
          <w:rFonts w:eastAsiaTheme="minorHAnsi"/>
          <w:lang w:val="hu-HU"/>
        </w:rPr>
        <w:t>nak értékelték</w:t>
      </w:r>
      <w:r w:rsidRPr="00C01E0F">
        <w:rPr>
          <w:rFonts w:eastAsiaTheme="minorHAnsi"/>
          <w:lang w:val="hu-HU"/>
        </w:rPr>
        <w:t>. Pneumonia a betegek 1%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ánál végzetes (1/103), 3%</w:t>
      </w:r>
      <w:r>
        <w:rPr>
          <w:rFonts w:eastAsiaTheme="minorHAnsi"/>
          <w:lang w:val="hu-HU"/>
        </w:rPr>
        <w:noBreakHyphen/>
        <w:t>ánál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életveszélyes volt. Egyéb súlyosnak minősített fertőzés a betegek 3%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ánál jelentkezett. A betegek 87%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ánál számoltak be lázról, ami 84%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ban enyhe/közepes, 3%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ban súlyos volt. A betegek 47%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a tapasztalt hidegrázást, ebből 46% volt enyhe/közepes, 1% pedig súlyos. </w:t>
      </w:r>
    </w:p>
    <w:p w14:paraId="32C1698E" w14:textId="77777777" w:rsidR="00944C5C" w:rsidRPr="00BA0A22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Cs/>
          <w:lang w:val="hu-HU"/>
        </w:rPr>
      </w:pPr>
    </w:p>
    <w:p w14:paraId="40FB457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Máj</w:t>
      </w:r>
      <w:r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>,</w:t>
      </w:r>
      <w:r w:rsidR="00BA0A22">
        <w:rPr>
          <w:rFonts w:eastAsiaTheme="minorHAnsi"/>
          <w:i/>
          <w:iCs/>
          <w:lang w:val="hu-HU"/>
        </w:rPr>
        <w:t xml:space="preserve"> és</w:t>
      </w:r>
      <w:r w:rsidRPr="00C01E0F">
        <w:rPr>
          <w:rFonts w:eastAsiaTheme="minorHAnsi"/>
          <w:i/>
          <w:iCs/>
          <w:lang w:val="hu-HU"/>
        </w:rPr>
        <w:t xml:space="preserve"> epebetegségek</w:t>
      </w:r>
      <w:r>
        <w:rPr>
          <w:rFonts w:eastAsiaTheme="minorHAnsi"/>
          <w:i/>
          <w:iCs/>
          <w:lang w:val="hu-HU"/>
        </w:rPr>
        <w:t>:</w:t>
      </w:r>
    </w:p>
    <w:p w14:paraId="02A436F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>A súlyos mellékhatások 15%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ában májtoxicitás szerepelt. A </w:t>
      </w:r>
      <w:r>
        <w:rPr>
          <w:rFonts w:eastAsiaTheme="minorHAnsi"/>
          <w:lang w:val="hu-HU"/>
        </w:rPr>
        <w:t xml:space="preserve">venoocclusiv májbetegség </w:t>
      </w:r>
      <w:r w:rsidRPr="00C01E0F">
        <w:rPr>
          <w:rFonts w:eastAsiaTheme="minorHAnsi"/>
          <w:lang w:val="hu-HU"/>
        </w:rPr>
        <w:t>(HVOD) a kondicionáló kezelés transzplantációt követő ismert lehetséges szö</w:t>
      </w:r>
      <w:r>
        <w:rPr>
          <w:rFonts w:eastAsiaTheme="minorHAnsi"/>
          <w:lang w:val="hu-HU"/>
        </w:rPr>
        <w:t>vődménye. 103 </w:t>
      </w:r>
      <w:r w:rsidRPr="00C01E0F">
        <w:rPr>
          <w:rFonts w:eastAsiaTheme="minorHAnsi"/>
          <w:lang w:val="hu-HU"/>
        </w:rPr>
        <w:t>beteg közül 6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nál (6%) fordult elő HVOD. HVOD az allogén transzplantációs betegek 8,2%</w:t>
      </w:r>
      <w:r>
        <w:rPr>
          <w:rFonts w:eastAsiaTheme="minorHAnsi"/>
          <w:lang w:val="hu-HU"/>
        </w:rPr>
        <w:noBreakHyphen/>
        <w:t>ánál (5/61) (2 </w:t>
      </w:r>
      <w:r w:rsidRPr="00C01E0F">
        <w:rPr>
          <w:rFonts w:eastAsiaTheme="minorHAnsi"/>
          <w:lang w:val="hu-HU"/>
        </w:rPr>
        <w:t xml:space="preserve">betegnél végzetes), </w:t>
      </w:r>
      <w:r>
        <w:rPr>
          <w:rFonts w:eastAsiaTheme="minorHAnsi"/>
          <w:lang w:val="hu-HU"/>
        </w:rPr>
        <w:t xml:space="preserve">míg </w:t>
      </w:r>
      <w:r w:rsidRPr="00C01E0F">
        <w:rPr>
          <w:rFonts w:eastAsiaTheme="minorHAnsi"/>
          <w:lang w:val="hu-HU"/>
        </w:rPr>
        <w:t>az autológ transzplantációs betegek 2,5%</w:t>
      </w:r>
      <w:r>
        <w:rPr>
          <w:rFonts w:eastAsiaTheme="minorHAnsi"/>
          <w:lang w:val="hu-HU"/>
        </w:rPr>
        <w:noBreakHyphen/>
        <w:t xml:space="preserve">ánál </w:t>
      </w:r>
      <w:r w:rsidRPr="00C01E0F">
        <w:rPr>
          <w:rFonts w:eastAsiaTheme="minorHAnsi"/>
          <w:lang w:val="hu-HU"/>
        </w:rPr>
        <w:t>(1/42) lépett fel. Emelkedett bilirubin (n=3), valamint emelkedett AS</w:t>
      </w:r>
      <w:r w:rsidR="00BA0A22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>T (n=1) értéket is megfigyeltek. A súlyos szérum hepatotoxicitás</w:t>
      </w:r>
      <w:r>
        <w:rPr>
          <w:rFonts w:eastAsiaTheme="minorHAnsi"/>
          <w:lang w:val="hu-HU"/>
        </w:rPr>
        <w:t xml:space="preserve">t mutató fenti </w:t>
      </w:r>
      <w:r w:rsidR="00BA0A22">
        <w:rPr>
          <w:rFonts w:eastAsiaTheme="minorHAnsi"/>
          <w:lang w:val="hu-HU"/>
        </w:rPr>
        <w:t xml:space="preserve">négy </w:t>
      </w:r>
      <w:r w:rsidRPr="00C01E0F">
        <w:rPr>
          <w:rFonts w:eastAsiaTheme="minorHAnsi"/>
          <w:lang w:val="hu-HU"/>
        </w:rPr>
        <w:t>beteg közül kettőnek volt diagnosztizált HVOD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je. </w:t>
      </w:r>
    </w:p>
    <w:p w14:paraId="70DCF0E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6711B11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Légzőrendszeri, mellkasi és mediastinalis betegségek</w:t>
      </w:r>
      <w:r>
        <w:rPr>
          <w:rFonts w:eastAsiaTheme="minorHAnsi"/>
          <w:i/>
          <w:lang w:val="hu-HU"/>
        </w:rPr>
        <w:t>:</w:t>
      </w:r>
    </w:p>
    <w:p w14:paraId="2CC3CFE5" w14:textId="5DEEA8BF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buszulfán</w:t>
      </w:r>
      <w:r>
        <w:rPr>
          <w:rFonts w:eastAsiaTheme="minorHAnsi"/>
          <w:lang w:val="hu-HU"/>
        </w:rPr>
        <w:t>nal végzett</w:t>
      </w:r>
      <w:r w:rsidRPr="00C01E0F">
        <w:rPr>
          <w:rFonts w:eastAsiaTheme="minorHAnsi"/>
          <w:lang w:val="hu-HU"/>
        </w:rPr>
        <w:t xml:space="preserve"> vizsgálatokban egy betegnél </w:t>
      </w:r>
      <w:r>
        <w:rPr>
          <w:rFonts w:eastAsiaTheme="minorHAnsi"/>
          <w:lang w:val="hu-HU"/>
        </w:rPr>
        <w:t>tapasztaltak</w:t>
      </w:r>
      <w:r w:rsidRPr="00C01E0F">
        <w:rPr>
          <w:rFonts w:eastAsiaTheme="minorHAnsi"/>
          <w:lang w:val="hu-HU"/>
        </w:rPr>
        <w:t xml:space="preserve"> akut </w:t>
      </w:r>
      <w:r w:rsidR="007E0FF8">
        <w:rPr>
          <w:rFonts w:eastAsiaTheme="minorHAnsi"/>
          <w:lang w:val="hu-HU"/>
        </w:rPr>
        <w:t>respiratorikus</w:t>
      </w:r>
      <w:r w:rsidRPr="00C01E0F">
        <w:rPr>
          <w:rFonts w:eastAsiaTheme="minorHAnsi"/>
          <w:lang w:val="hu-HU"/>
        </w:rPr>
        <w:t xml:space="preserve"> distressz szindrómát</w:t>
      </w:r>
      <w:r>
        <w:rPr>
          <w:rFonts w:eastAsiaTheme="minorHAnsi"/>
          <w:lang w:val="hu-HU"/>
        </w:rPr>
        <w:t>, amelyet</w:t>
      </w:r>
      <w:r w:rsidRPr="00C01E0F">
        <w:rPr>
          <w:rFonts w:eastAsiaTheme="minorHAnsi"/>
          <w:lang w:val="hu-HU"/>
        </w:rPr>
        <w:t xml:space="preserve"> végzetes kimenetelű légzési elégtelenséggel társuló interstiti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lis </w:t>
      </w:r>
      <w:r>
        <w:rPr>
          <w:rFonts w:eastAsiaTheme="minorHAnsi"/>
          <w:lang w:val="hu-HU"/>
        </w:rPr>
        <w:t>tüdő</w:t>
      </w:r>
      <w:r w:rsidRPr="00C01E0F">
        <w:rPr>
          <w:rFonts w:eastAsiaTheme="minorHAnsi"/>
          <w:lang w:val="hu-HU"/>
        </w:rPr>
        <w:t>f</w:t>
      </w:r>
      <w:r>
        <w:rPr>
          <w:rFonts w:eastAsiaTheme="minorHAnsi"/>
          <w:lang w:val="hu-HU"/>
        </w:rPr>
        <w:t>ibrózis követett</w:t>
      </w:r>
      <w:r w:rsidRPr="00C01E0F">
        <w:rPr>
          <w:rFonts w:eastAsiaTheme="minorHAnsi"/>
          <w:lang w:val="hu-HU"/>
        </w:rPr>
        <w:t>.</w:t>
      </w:r>
    </w:p>
    <w:p w14:paraId="6F0B466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1E99B35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</w:t>
      </w:r>
      <w:r>
        <w:rPr>
          <w:rFonts w:eastAsiaTheme="minorHAnsi"/>
          <w:i/>
          <w:iCs/>
          <w:lang w:val="hu-HU"/>
        </w:rPr>
        <w:t xml:space="preserve"> és serdülők</w:t>
      </w:r>
    </w:p>
    <w:p w14:paraId="0980FDAD" w14:textId="63DB10BE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mellékhatásokra vonatkozó információk a</w:t>
      </w:r>
      <w:r>
        <w:rPr>
          <w:rFonts w:eastAsiaTheme="minorHAnsi"/>
          <w:lang w:val="hu-HU"/>
        </w:rPr>
        <w:t xml:space="preserve"> gyermekek és serdülők bevonásával,</w:t>
      </w:r>
      <w:r w:rsidRPr="00C01E0F">
        <w:rPr>
          <w:rFonts w:eastAsiaTheme="minorHAnsi"/>
          <w:lang w:val="hu-HU"/>
        </w:rPr>
        <w:t xml:space="preserve"> buszulfánnal végzett klinikai vizsgálatból (n=55) származnak. A </w:t>
      </w:r>
      <w:r>
        <w:rPr>
          <w:rFonts w:eastAsiaTheme="minorHAnsi"/>
          <w:lang w:val="hu-HU"/>
        </w:rPr>
        <w:t xml:space="preserve">májat </w:t>
      </w:r>
      <w:r w:rsidRPr="00C01E0F">
        <w:rPr>
          <w:rFonts w:eastAsiaTheme="minorHAnsi"/>
          <w:lang w:val="hu-HU"/>
        </w:rPr>
        <w:t xml:space="preserve">és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légzőrendszer</w:t>
      </w:r>
      <w:r w:rsidR="007E0FF8">
        <w:rPr>
          <w:rFonts w:eastAsiaTheme="minorHAnsi"/>
          <w:lang w:val="hu-HU"/>
        </w:rPr>
        <w:t>t érintő</w:t>
      </w:r>
      <w:r w:rsidRPr="00C01E0F">
        <w:rPr>
          <w:rFonts w:eastAsiaTheme="minorHAnsi"/>
          <w:lang w:val="hu-HU"/>
        </w:rPr>
        <w:t xml:space="preserve"> súlyos toxicitásokat a kondicionáló kezelés és a transzplantáció várható következmény</w:t>
      </w:r>
      <w:r>
        <w:rPr>
          <w:rFonts w:eastAsiaTheme="minorHAnsi"/>
          <w:lang w:val="hu-HU"/>
        </w:rPr>
        <w:t>ének tekintették</w:t>
      </w:r>
      <w:r w:rsidRPr="00C01E0F">
        <w:rPr>
          <w:rFonts w:eastAsiaTheme="minorHAnsi"/>
          <w:lang w:val="hu-HU"/>
        </w:rPr>
        <w:t>.</w:t>
      </w:r>
    </w:p>
    <w:p w14:paraId="349081C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26CEB3E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Immunrendszeri betegségek</w:t>
      </w:r>
      <w:r>
        <w:rPr>
          <w:rFonts w:eastAsiaTheme="minorHAnsi"/>
          <w:i/>
          <w:lang w:val="hu-HU"/>
        </w:rPr>
        <w:t>:</w:t>
      </w:r>
    </w:p>
    <w:p w14:paraId="62D7DF1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akut </w:t>
      </w:r>
      <w:r>
        <w:rPr>
          <w:rFonts w:eastAsiaTheme="minorHAnsi"/>
          <w:lang w:val="hu-HU"/>
        </w:rPr>
        <w:t>graft versus host</w:t>
      </w:r>
      <w:r w:rsidRPr="00C01E0F">
        <w:rPr>
          <w:rFonts w:eastAsiaTheme="minorHAnsi"/>
          <w:lang w:val="hu-HU"/>
        </w:rPr>
        <w:t xml:space="preserve"> betegség (a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GVHD) előfordulási </w:t>
      </w:r>
      <w:r>
        <w:rPr>
          <w:rFonts w:eastAsiaTheme="minorHAnsi"/>
          <w:lang w:val="hu-HU"/>
        </w:rPr>
        <w:t>gyakoriságát</w:t>
      </w:r>
      <w:r w:rsidRPr="00C01E0F">
        <w:rPr>
          <w:rFonts w:eastAsiaTheme="minorHAnsi"/>
          <w:lang w:val="hu-HU"/>
        </w:rPr>
        <w:t xml:space="preserve"> az allogén</w:t>
      </w:r>
      <w:r>
        <w:rPr>
          <w:rFonts w:eastAsiaTheme="minorHAnsi"/>
          <w:lang w:val="hu-HU"/>
        </w:rPr>
        <w:t xml:space="preserve"> transzplantáción áteső</w:t>
      </w:r>
      <w:r w:rsidRPr="00C01E0F">
        <w:rPr>
          <w:rFonts w:eastAsiaTheme="minorHAnsi"/>
          <w:lang w:val="hu-HU"/>
        </w:rPr>
        <w:t xml:space="preserve"> betegek (n=28) </w:t>
      </w:r>
      <w:r>
        <w:rPr>
          <w:rFonts w:eastAsiaTheme="minorHAnsi"/>
          <w:lang w:val="hu-HU"/>
        </w:rPr>
        <w:t>adatai alapján határozták meg. Összesen 14 </w:t>
      </w:r>
      <w:r w:rsidRPr="00C01E0F">
        <w:rPr>
          <w:rFonts w:eastAsiaTheme="minorHAnsi"/>
          <w:lang w:val="hu-HU"/>
        </w:rPr>
        <w:t>betegnél (50%) fordult elő 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GVHD. Az I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II. fokú 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 incidenciája 46,4% (13/28), míg a III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IV. fok</w:t>
      </w:r>
      <w:r>
        <w:rPr>
          <w:rFonts w:eastAsiaTheme="minorHAnsi"/>
          <w:lang w:val="hu-HU"/>
        </w:rPr>
        <w:t>ú</w:t>
      </w:r>
      <w:r w:rsidRPr="00C01E0F">
        <w:rPr>
          <w:rFonts w:eastAsiaTheme="minorHAnsi"/>
          <w:lang w:val="hu-HU"/>
        </w:rPr>
        <w:t xml:space="preserve"> incidenciája 3,6% (1/28) volt. Krónikus GVHD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 csak akkor jelente</w:t>
      </w:r>
      <w:r>
        <w:rPr>
          <w:rFonts w:eastAsiaTheme="minorHAnsi"/>
          <w:lang w:val="hu-HU"/>
        </w:rPr>
        <w:t>ttek, ha ez volt a halál oka: 1 beteg halt meg 13 </w:t>
      </w:r>
      <w:r w:rsidRPr="00C01E0F">
        <w:rPr>
          <w:rFonts w:eastAsiaTheme="minorHAnsi"/>
          <w:lang w:val="hu-HU"/>
        </w:rPr>
        <w:t>hónappal a transzplantációt követően.</w:t>
      </w:r>
    </w:p>
    <w:p w14:paraId="0E961DBF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FFFD83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Fertőző betegségek és parazitafertőzések</w:t>
      </w:r>
      <w:r>
        <w:rPr>
          <w:rFonts w:eastAsiaTheme="minorHAnsi"/>
          <w:i/>
          <w:lang w:val="hu-HU"/>
        </w:rPr>
        <w:t>:</w:t>
      </w:r>
    </w:p>
    <w:p w14:paraId="0515A54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Fertőzés</w:t>
      </w:r>
      <w:r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(dokumentált vagy nem dokumentált lázas neutrop</w:t>
      </w:r>
      <w:r>
        <w:rPr>
          <w:rFonts w:eastAsiaTheme="minorHAnsi"/>
          <w:lang w:val="hu-HU"/>
        </w:rPr>
        <w:t>e</w:t>
      </w:r>
      <w:r w:rsidRPr="00C01E0F">
        <w:rPr>
          <w:rFonts w:eastAsiaTheme="minorHAnsi"/>
          <w:lang w:val="hu-HU"/>
        </w:rPr>
        <w:t>nia) a betegek 89%</w:t>
      </w:r>
      <w:r>
        <w:rPr>
          <w:rFonts w:eastAsiaTheme="minorHAnsi"/>
          <w:lang w:val="hu-HU"/>
        </w:rPr>
        <w:noBreakHyphen/>
        <w:t>ánál</w:t>
      </w:r>
      <w:r w:rsidRPr="00C01E0F">
        <w:rPr>
          <w:rFonts w:eastAsiaTheme="minorHAnsi"/>
          <w:lang w:val="hu-HU"/>
        </w:rPr>
        <w:t xml:space="preserve"> (49/55) </w:t>
      </w:r>
      <w:r>
        <w:rPr>
          <w:rFonts w:eastAsiaTheme="minorHAnsi"/>
          <w:lang w:val="hu-HU"/>
        </w:rPr>
        <w:t>tapasztaltak</w:t>
      </w:r>
      <w:r w:rsidRPr="00C01E0F">
        <w:rPr>
          <w:rFonts w:eastAsiaTheme="minorHAnsi"/>
          <w:lang w:val="hu-HU"/>
        </w:rPr>
        <w:t>. Enyhe/közepes lázról a betegek 76%</w:t>
      </w:r>
      <w:r>
        <w:rPr>
          <w:rFonts w:eastAsiaTheme="minorHAnsi"/>
          <w:lang w:val="hu-HU"/>
        </w:rPr>
        <w:noBreakHyphen/>
        <w:t>á</w:t>
      </w:r>
      <w:r w:rsidRPr="00C01E0F">
        <w:rPr>
          <w:rFonts w:eastAsiaTheme="minorHAnsi"/>
          <w:lang w:val="hu-HU"/>
        </w:rPr>
        <w:t>nál számoltak be.</w:t>
      </w:r>
    </w:p>
    <w:p w14:paraId="2A7311C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B7CD4FC" w14:textId="353A2B10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Máj</w:t>
      </w:r>
      <w:r>
        <w:rPr>
          <w:rFonts w:eastAsiaTheme="minorHAnsi"/>
          <w:i/>
          <w:lang w:val="hu-HU"/>
        </w:rPr>
        <w:noBreakHyphen/>
      </w:r>
      <w:r w:rsidRPr="00C01E0F">
        <w:rPr>
          <w:rFonts w:eastAsiaTheme="minorHAnsi"/>
          <w:i/>
          <w:lang w:val="hu-HU"/>
        </w:rPr>
        <w:t>,</w:t>
      </w:r>
      <w:r w:rsidR="004A15D8">
        <w:rPr>
          <w:rFonts w:eastAsiaTheme="minorHAnsi"/>
          <w:i/>
          <w:lang w:val="hu-HU"/>
        </w:rPr>
        <w:t xml:space="preserve"> és</w:t>
      </w:r>
      <w:r w:rsidRPr="00C01E0F">
        <w:rPr>
          <w:rFonts w:eastAsiaTheme="minorHAnsi"/>
          <w:i/>
          <w:lang w:val="hu-HU"/>
        </w:rPr>
        <w:t xml:space="preserve"> epebetegségek</w:t>
      </w:r>
      <w:r>
        <w:rPr>
          <w:rFonts w:eastAsiaTheme="minorHAnsi"/>
          <w:i/>
          <w:lang w:val="hu-HU"/>
        </w:rPr>
        <w:t>:</w:t>
      </w:r>
    </w:p>
    <w:p w14:paraId="1F03800C" w14:textId="0CC06881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3.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fokú transzamináz</w:t>
      </w:r>
      <w:r>
        <w:rPr>
          <w:rFonts w:eastAsiaTheme="minorHAnsi"/>
          <w:lang w:val="hu-HU"/>
        </w:rPr>
        <w:t>szint</w:t>
      </w:r>
      <w:r w:rsidR="0095426E">
        <w:rPr>
          <w:rFonts w:eastAsiaTheme="minorHAnsi"/>
          <w:lang w:val="hu-HU"/>
        </w:rPr>
        <w:t>-</w:t>
      </w:r>
      <w:r w:rsidR="00AD1E75">
        <w:rPr>
          <w:rFonts w:eastAsiaTheme="minorHAnsi"/>
          <w:lang w:val="hu-HU"/>
        </w:rPr>
        <w:t>emelkedést</w:t>
      </w:r>
      <w:r w:rsidRPr="00C01E0F">
        <w:rPr>
          <w:rFonts w:eastAsiaTheme="minorHAnsi"/>
          <w:lang w:val="hu-HU"/>
        </w:rPr>
        <w:t xml:space="preserve"> a betegek 24%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nál jelentettek.</w:t>
      </w:r>
    </w:p>
    <w:p w14:paraId="6453FE2F" w14:textId="77777777" w:rsidR="00944C5C" w:rsidRPr="00C01E0F" w:rsidRDefault="00944C5C" w:rsidP="00187447">
      <w:pPr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>V</w:t>
      </w:r>
      <w:r>
        <w:rPr>
          <w:rFonts w:eastAsiaTheme="minorHAnsi"/>
          <w:lang w:val="hu-HU"/>
        </w:rPr>
        <w:t xml:space="preserve">enoocclusiv betegségről </w:t>
      </w:r>
      <w:r w:rsidRPr="00C01E0F">
        <w:rPr>
          <w:rFonts w:eastAsiaTheme="minorHAnsi"/>
          <w:lang w:val="hu-HU"/>
        </w:rPr>
        <w:t>(VOD) az autológ transzplantációs betegek 15%</w:t>
      </w:r>
      <w:r>
        <w:rPr>
          <w:rFonts w:eastAsiaTheme="minorHAnsi"/>
          <w:lang w:val="hu-HU"/>
        </w:rPr>
        <w:noBreakHyphen/>
        <w:t>ánál</w:t>
      </w:r>
      <w:r w:rsidRPr="00C01E0F">
        <w:rPr>
          <w:rFonts w:eastAsiaTheme="minorHAnsi"/>
          <w:lang w:val="hu-HU"/>
        </w:rPr>
        <w:t xml:space="preserve"> (4/27), </w:t>
      </w:r>
      <w:r>
        <w:rPr>
          <w:rFonts w:eastAsiaTheme="minorHAnsi"/>
          <w:lang w:val="hu-HU"/>
        </w:rPr>
        <w:t xml:space="preserve">míg </w:t>
      </w:r>
      <w:r w:rsidRPr="00C01E0F">
        <w:rPr>
          <w:rFonts w:eastAsiaTheme="minorHAnsi"/>
          <w:lang w:val="hu-HU"/>
        </w:rPr>
        <w:t>az allogén transzplantációs betegek 7%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ánál (2/28) </w:t>
      </w:r>
      <w:r>
        <w:rPr>
          <w:rFonts w:eastAsiaTheme="minorHAnsi"/>
          <w:lang w:val="hu-HU"/>
        </w:rPr>
        <w:t>számoltak be</w:t>
      </w:r>
      <w:r w:rsidRPr="00C01E0F">
        <w:rPr>
          <w:rFonts w:eastAsiaTheme="minorHAnsi"/>
          <w:lang w:val="hu-HU"/>
        </w:rPr>
        <w:t xml:space="preserve">. A </w:t>
      </w:r>
      <w:r>
        <w:rPr>
          <w:rFonts w:eastAsiaTheme="minorHAnsi"/>
          <w:lang w:val="hu-HU"/>
        </w:rPr>
        <w:t>megfigyelt VOD esetek</w:t>
      </w:r>
      <w:r w:rsidRPr="00C01E0F">
        <w:rPr>
          <w:rFonts w:eastAsiaTheme="minorHAnsi"/>
          <w:lang w:val="hu-HU"/>
        </w:rPr>
        <w:t xml:space="preserve"> nem voltak sem fatálisak, sem súlyosak, és minden esetben rendeződtek.</w:t>
      </w:r>
    </w:p>
    <w:p w14:paraId="054B4943" w14:textId="77777777" w:rsidR="00944C5C" w:rsidRPr="00C01E0F" w:rsidRDefault="00944C5C" w:rsidP="00187447">
      <w:pPr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446504E" w14:textId="77777777" w:rsidR="00944C5C" w:rsidRPr="00C01E0F" w:rsidRDefault="00944C5C" w:rsidP="00187447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Buszulfán fludarabinnal (FB)</w:t>
      </w:r>
      <w:r>
        <w:rPr>
          <w:rFonts w:eastAsiaTheme="minorHAnsi"/>
          <w:i/>
          <w:iCs/>
          <w:u w:val="single"/>
          <w:lang w:val="hu-HU"/>
        </w:rPr>
        <w:t xml:space="preserve"> </w:t>
      </w:r>
      <w:r w:rsidRPr="00C01E0F">
        <w:rPr>
          <w:rFonts w:eastAsiaTheme="minorHAnsi"/>
          <w:i/>
          <w:iCs/>
          <w:u w:val="single"/>
          <w:lang w:val="hu-HU"/>
        </w:rPr>
        <w:t>kombinálva</w:t>
      </w:r>
    </w:p>
    <w:p w14:paraId="08838653" w14:textId="77777777" w:rsidR="00944C5C" w:rsidRPr="00C01E0F" w:rsidRDefault="00944C5C" w:rsidP="00187447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38C4C44B" w14:textId="6D7730BC" w:rsidR="00944C5C" w:rsidRPr="00C01E0F" w:rsidRDefault="00944C5C" w:rsidP="00187447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és fludarabin (FB) kombináció biztonságossági profilját a RIC sémával </w:t>
      </w:r>
      <w:r>
        <w:rPr>
          <w:rFonts w:eastAsiaTheme="minorHAnsi"/>
          <w:lang w:val="hu-HU"/>
        </w:rPr>
        <w:t>végzett</w:t>
      </w:r>
      <w:r w:rsidRPr="00C01E0F">
        <w:rPr>
          <w:rFonts w:eastAsiaTheme="minorHAnsi"/>
          <w:lang w:val="hu-HU"/>
        </w:rPr>
        <w:t xml:space="preserve"> klinikai vizsgálatok publikált adataiban jelentett mellékhatások </w:t>
      </w:r>
      <w:r>
        <w:rPr>
          <w:rFonts w:eastAsiaTheme="minorHAnsi"/>
          <w:lang w:val="hu-HU"/>
        </w:rPr>
        <w:t>áttekintésével</w:t>
      </w:r>
      <w:r w:rsidRPr="00C01E0F">
        <w:rPr>
          <w:rFonts w:eastAsiaTheme="minorHAnsi"/>
          <w:lang w:val="hu-HU"/>
        </w:rPr>
        <w:t xml:space="preserve"> vizsgálták. Ezekben a </w:t>
      </w:r>
      <w:r>
        <w:rPr>
          <w:rFonts w:eastAsiaTheme="minorHAnsi"/>
          <w:lang w:val="hu-HU"/>
        </w:rPr>
        <w:t>vizsgálatokban összesen 1574 </w:t>
      </w:r>
      <w:r w:rsidRPr="00C01E0F">
        <w:rPr>
          <w:rFonts w:eastAsiaTheme="minorHAnsi"/>
          <w:lang w:val="hu-HU"/>
        </w:rPr>
        <w:t>beteg kapott FB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 csökkentett intenzitású kondicionáló (RIC) séma szerint a </w:t>
      </w:r>
      <w:r w:rsidR="00B66040">
        <w:rPr>
          <w:rFonts w:eastAsiaTheme="minorHAnsi"/>
          <w:lang w:val="hu-HU"/>
        </w:rPr>
        <w:t>hemopoetikus</w:t>
      </w:r>
      <w:r w:rsidRPr="00C01E0F">
        <w:rPr>
          <w:rFonts w:eastAsiaTheme="minorHAnsi"/>
          <w:lang w:val="hu-HU"/>
        </w:rPr>
        <w:t xml:space="preserve"> 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 előtt.</w:t>
      </w:r>
    </w:p>
    <w:p w14:paraId="6FAB362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64A60C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myelos</w:t>
      </w:r>
      <w:r w:rsidRPr="00C01E0F">
        <w:rPr>
          <w:rFonts w:eastAsiaTheme="minorHAnsi"/>
          <w:lang w:val="hu-HU"/>
        </w:rPr>
        <w:t>uppress</w:t>
      </w:r>
      <w:r>
        <w:rPr>
          <w:rFonts w:eastAsiaTheme="minorHAnsi"/>
          <w:lang w:val="hu-HU"/>
        </w:rPr>
        <w:t>io</w:t>
      </w:r>
      <w:r w:rsidRPr="00C01E0F">
        <w:rPr>
          <w:rFonts w:eastAsiaTheme="minorHAnsi"/>
          <w:lang w:val="hu-HU"/>
        </w:rPr>
        <w:t xml:space="preserve"> és immunszuppresszió a kondicionáló kezelési séma </w:t>
      </w:r>
      <w:r>
        <w:rPr>
          <w:rFonts w:eastAsiaTheme="minorHAnsi"/>
          <w:lang w:val="hu-HU"/>
        </w:rPr>
        <w:t>kívánt</w:t>
      </w:r>
      <w:r w:rsidRPr="00C01E0F">
        <w:rPr>
          <w:rFonts w:eastAsiaTheme="minorHAnsi"/>
          <w:lang w:val="hu-HU"/>
        </w:rPr>
        <w:t xml:space="preserve"> terápiás hatásai voltak, </w:t>
      </w:r>
      <w:r>
        <w:rPr>
          <w:rFonts w:eastAsiaTheme="minorHAnsi"/>
          <w:lang w:val="hu-HU"/>
        </w:rPr>
        <w:t>következésképpen ezeket nem</w:t>
      </w:r>
      <w:r w:rsidRPr="00C01E0F">
        <w:rPr>
          <w:rFonts w:eastAsiaTheme="minorHAnsi"/>
          <w:lang w:val="hu-HU"/>
        </w:rPr>
        <w:t xml:space="preserve"> tekintették mellékhatásoknak.</w:t>
      </w:r>
    </w:p>
    <w:p w14:paraId="3E6E57BA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A285A5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Fertőző betegségek és parazitafertőzések</w:t>
      </w:r>
      <w:r>
        <w:rPr>
          <w:rFonts w:eastAsiaTheme="minorHAnsi"/>
          <w:i/>
          <w:iCs/>
          <w:lang w:val="hu-HU"/>
        </w:rPr>
        <w:t>:</w:t>
      </w:r>
    </w:p>
    <w:p w14:paraId="691E2799" w14:textId="10959037" w:rsidR="00944C5C" w:rsidRPr="00C01E0F" w:rsidRDefault="00564253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f</w:t>
      </w:r>
      <w:r w:rsidR="00944C5C">
        <w:rPr>
          <w:rFonts w:eastAsiaTheme="minorHAnsi"/>
          <w:lang w:val="hu-HU"/>
        </w:rPr>
        <w:t xml:space="preserve">ertőzések </w:t>
      </w:r>
      <w:r w:rsidR="00944C5C" w:rsidRPr="00C01E0F">
        <w:rPr>
          <w:rFonts w:eastAsiaTheme="minorHAnsi"/>
          <w:lang w:val="hu-HU"/>
        </w:rPr>
        <w:t xml:space="preserve">előfordulása vagy </w:t>
      </w:r>
      <w:r>
        <w:rPr>
          <w:rFonts w:eastAsiaTheme="minorHAnsi"/>
          <w:lang w:val="hu-HU"/>
        </w:rPr>
        <w:t xml:space="preserve">az </w:t>
      </w:r>
      <w:r w:rsidR="00944C5C" w:rsidRPr="00C01E0F">
        <w:rPr>
          <w:rFonts w:eastAsiaTheme="minorHAnsi"/>
          <w:lang w:val="hu-HU"/>
        </w:rPr>
        <w:t>opportunista fertőző ágensek reaktiválódása elsősorban a kondicionáló kezelés</w:t>
      </w:r>
      <w:r w:rsidR="00944C5C">
        <w:rPr>
          <w:rFonts w:eastAsiaTheme="minorHAnsi"/>
          <w:lang w:val="hu-HU"/>
        </w:rPr>
        <w:t xml:space="preserve">ben részesülő </w:t>
      </w:r>
      <w:r w:rsidR="00944C5C" w:rsidRPr="00C01E0F">
        <w:rPr>
          <w:rFonts w:eastAsiaTheme="minorHAnsi"/>
          <w:lang w:val="hu-HU"/>
        </w:rPr>
        <w:t>beteg immunrendszerének állapotát jelzi.</w:t>
      </w:r>
    </w:p>
    <w:p w14:paraId="44E205A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>A leggyakoribb fertőző mellékhatások a citomegalovírus (CMV) reaktiváció [</w:t>
      </w:r>
      <w:r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30,7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80,0%], az Epstein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Barr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vírus (EBV) reaktiváció [</w:t>
      </w:r>
      <w:r>
        <w:rPr>
          <w:rFonts w:eastAsiaTheme="minorHAnsi"/>
          <w:lang w:val="hu-HU"/>
        </w:rPr>
        <w:t>tartomány: 2,3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61%], bakteriális fertőzések [</w:t>
      </w:r>
      <w:r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32,0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38,9%] és vírusfertőzések [</w:t>
      </w:r>
      <w:r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1,3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17,2%] voltak.</w:t>
      </w:r>
    </w:p>
    <w:p w14:paraId="2E00A9A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6A79ED9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Emésztőrendszeri betegségek és tünetek:</w:t>
      </w:r>
    </w:p>
    <w:p w14:paraId="629BDBD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hányinger és hányás legnagyobb gyakorisága 59,1%, a stomatitis legnagyobb gyakorisága </w:t>
      </w:r>
      <w:r w:rsidR="00F728BC"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11% volt.</w:t>
      </w:r>
    </w:p>
    <w:p w14:paraId="104CE2B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70A1DDF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Vese</w:t>
      </w:r>
      <w:r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 xml:space="preserve"> és húgyúti betegségek és tünetek:</w:t>
      </w:r>
    </w:p>
    <w:p w14:paraId="0CCC5C7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 xml:space="preserve">Felmerült, hogy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fludarabint tartalmazó kondicionáló sémák a fludar</w:t>
      </w:r>
      <w:r>
        <w:rPr>
          <w:rFonts w:eastAsiaTheme="minorHAnsi"/>
          <w:lang w:val="hu-HU"/>
        </w:rPr>
        <w:t>abin immunszuppresszív hatása miatt jártak együtt</w:t>
      </w:r>
      <w:r w:rsidRPr="00C01E0F">
        <w:rPr>
          <w:rFonts w:eastAsiaTheme="minorHAnsi"/>
          <w:lang w:val="hu-HU"/>
        </w:rPr>
        <w:t xml:space="preserve"> az opportunista fertőzések transzplantáció után</w:t>
      </w:r>
      <w:r>
        <w:rPr>
          <w:rFonts w:eastAsiaTheme="minorHAnsi"/>
          <w:lang w:val="hu-HU"/>
        </w:rPr>
        <w:t>i</w:t>
      </w:r>
      <w:r w:rsidRPr="00C01E0F">
        <w:rPr>
          <w:rFonts w:eastAsiaTheme="minorHAnsi"/>
          <w:lang w:val="hu-HU"/>
        </w:rPr>
        <w:t xml:space="preserve"> magasabb előfordulási gyakoriság</w:t>
      </w:r>
      <w:r>
        <w:rPr>
          <w:rFonts w:eastAsiaTheme="minorHAnsi"/>
          <w:lang w:val="hu-HU"/>
        </w:rPr>
        <w:t>ával. A</w:t>
      </w:r>
      <w:r w:rsidRPr="00C01E0F">
        <w:rPr>
          <w:rFonts w:eastAsiaTheme="minorHAnsi"/>
          <w:lang w:val="hu-HU"/>
        </w:rPr>
        <w:t xml:space="preserve"> transzplantáció után 2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héttel jelentkező késői haemorrhagiás cystitis valószínűleg vírusfertőzéssel/reaktivációval hozható összefüggésbe. Haemorrhagiás cystitist, beleértve a vírusfertőzés által kiváltott haemorrhagiás cystitist 16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18%</w:t>
      </w:r>
      <w:r>
        <w:rPr>
          <w:rFonts w:eastAsiaTheme="minorHAnsi"/>
          <w:lang w:val="hu-HU"/>
        </w:rPr>
        <w:noBreakHyphen/>
        <w:t>os</w:t>
      </w:r>
      <w:r w:rsidRPr="00C01E0F">
        <w:rPr>
          <w:rFonts w:eastAsiaTheme="minorHAnsi"/>
          <w:lang w:val="hu-HU"/>
        </w:rPr>
        <w:t xml:space="preserve"> gyakorisággal jelentettek.</w:t>
      </w:r>
    </w:p>
    <w:p w14:paraId="1704FDA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3583CC2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Máj</w:t>
      </w:r>
      <w:r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 xml:space="preserve"> és epebetegségek, illetve tünetek</w:t>
      </w:r>
      <w:r>
        <w:rPr>
          <w:rFonts w:eastAsiaTheme="minorHAnsi"/>
          <w:i/>
          <w:iCs/>
          <w:lang w:val="hu-HU"/>
        </w:rPr>
        <w:t>:</w:t>
      </w:r>
    </w:p>
    <w:p w14:paraId="1C3AED60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Vénás elzáródást (VOD) 3,9% és 15,4% közötti gyakorisággal</w:t>
      </w:r>
      <w:r w:rsidR="00F728BC" w:rsidRPr="00F728BC">
        <w:rPr>
          <w:rFonts w:eastAsiaTheme="minorHAnsi"/>
          <w:lang w:val="hu-HU"/>
        </w:rPr>
        <w:t xml:space="preserve"> </w:t>
      </w:r>
      <w:r w:rsidR="00F728BC" w:rsidRPr="00C01E0F">
        <w:rPr>
          <w:rFonts w:eastAsiaTheme="minorHAnsi"/>
          <w:lang w:val="hu-HU"/>
        </w:rPr>
        <w:t>jelentettek</w:t>
      </w:r>
      <w:r w:rsidRPr="00C01E0F">
        <w:rPr>
          <w:rFonts w:eastAsiaTheme="minorHAnsi"/>
          <w:lang w:val="hu-HU"/>
        </w:rPr>
        <w:t>.</w:t>
      </w:r>
    </w:p>
    <w:p w14:paraId="1BB1381F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8C2B23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transzplantációt követő 100. napig a </w:t>
      </w:r>
      <w:r w:rsidR="00041AC3">
        <w:rPr>
          <w:rFonts w:eastAsiaTheme="minorHAnsi"/>
          <w:lang w:val="hu-HU"/>
        </w:rPr>
        <w:t>terápiával</w:t>
      </w:r>
      <w:r w:rsidRPr="00C01E0F">
        <w:rPr>
          <w:rFonts w:eastAsiaTheme="minorHAnsi"/>
          <w:lang w:val="hu-HU"/>
        </w:rPr>
        <w:t xml:space="preserve"> összefüggő mortalitást/relapszus</w:t>
      </w:r>
      <w:r>
        <w:rPr>
          <w:rFonts w:eastAsiaTheme="minorHAnsi"/>
          <w:lang w:val="hu-HU"/>
        </w:rPr>
        <w:t xml:space="preserve"> nélküli </w:t>
      </w:r>
      <w:r w:rsidRPr="00C01E0F">
        <w:rPr>
          <w:rFonts w:eastAsiaTheme="minorHAnsi"/>
          <w:lang w:val="hu-HU"/>
        </w:rPr>
        <w:t xml:space="preserve">mortalitást (TRM/NRM) szintén a klinikai vizsgálatok publikált adataiban jelentett mellékhatások </w:t>
      </w:r>
      <w:r>
        <w:rPr>
          <w:rFonts w:eastAsiaTheme="minorHAnsi"/>
          <w:lang w:val="hu-HU"/>
        </w:rPr>
        <w:t>áttekintésével</w:t>
      </w:r>
      <w:r w:rsidRPr="00C01E0F">
        <w:rPr>
          <w:rFonts w:eastAsiaTheme="minorHAnsi"/>
          <w:lang w:val="hu-HU"/>
        </w:rPr>
        <w:t xml:space="preserve"> vizsgálták. </w:t>
      </w:r>
      <w:r>
        <w:rPr>
          <w:rFonts w:eastAsiaTheme="minorHAnsi"/>
          <w:lang w:val="hu-HU"/>
        </w:rPr>
        <w:t xml:space="preserve">Ennek során azokat a haláleseteket vették figyelembe, amelyek </w:t>
      </w:r>
      <w:r w:rsidRPr="00C01E0F">
        <w:rPr>
          <w:rFonts w:eastAsiaTheme="minorHAnsi"/>
          <w:lang w:val="hu-HU"/>
        </w:rPr>
        <w:t>a HPCT utáni másodlagos mellékhatás</w:t>
      </w:r>
      <w:r>
        <w:rPr>
          <w:rFonts w:eastAsiaTheme="minorHAnsi"/>
          <w:lang w:val="hu-HU"/>
        </w:rPr>
        <w:t>ok</w:t>
      </w:r>
      <w:r w:rsidR="001A2995">
        <w:rPr>
          <w:rFonts w:eastAsiaTheme="minorHAnsi"/>
          <w:lang w:val="hu-HU"/>
        </w:rPr>
        <w:t xml:space="preserve"> miatt következhettek be</w:t>
      </w:r>
      <w:r>
        <w:rPr>
          <w:rFonts w:eastAsiaTheme="minorHAnsi"/>
          <w:lang w:val="hu-HU"/>
        </w:rPr>
        <w:t xml:space="preserve">, és nem függenek össze a </w:t>
      </w:r>
      <w:r w:rsidRPr="00C01E0F">
        <w:rPr>
          <w:rFonts w:eastAsiaTheme="minorHAnsi"/>
          <w:lang w:val="hu-HU"/>
        </w:rPr>
        <w:t xml:space="preserve">malignus hematológiai </w:t>
      </w:r>
      <w:r>
        <w:rPr>
          <w:rFonts w:eastAsiaTheme="minorHAnsi"/>
          <w:lang w:val="hu-HU"/>
        </w:rPr>
        <w:t xml:space="preserve">alapbetegség </w:t>
      </w:r>
      <w:r w:rsidRPr="00C01E0F">
        <w:rPr>
          <w:rFonts w:eastAsiaTheme="minorHAnsi"/>
          <w:lang w:val="hu-HU"/>
        </w:rPr>
        <w:t>relapszusával/progressziójával.</w:t>
      </w:r>
    </w:p>
    <w:p w14:paraId="603C91B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jelentett </w:t>
      </w:r>
      <w:r w:rsidRPr="00C01E0F">
        <w:rPr>
          <w:rFonts w:eastAsiaTheme="minorHAnsi"/>
          <w:lang w:val="hu-HU"/>
        </w:rPr>
        <w:t>TRM/NRM</w:t>
      </w:r>
      <w:r>
        <w:rPr>
          <w:rFonts w:eastAsiaTheme="minorHAnsi"/>
          <w:lang w:val="hu-HU"/>
        </w:rPr>
        <w:t xml:space="preserve"> leggyakoribb okai a fertőzés</w:t>
      </w:r>
      <w:r w:rsidRPr="00C01E0F">
        <w:rPr>
          <w:rFonts w:eastAsiaTheme="minorHAnsi"/>
          <w:lang w:val="hu-HU"/>
        </w:rPr>
        <w:t>/szepszis, GVHD, pulmonalis kórképek és a szervi elégtelenség voltak.</w:t>
      </w:r>
    </w:p>
    <w:p w14:paraId="0EB0203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5D15B17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 mellékhatások táblázatos összefoglalása</w:t>
      </w:r>
    </w:p>
    <w:p w14:paraId="1BA04B2A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gyakorisági kategóriák meghatározása a következő: nagyon gya</w:t>
      </w:r>
      <w:r>
        <w:rPr>
          <w:rFonts w:eastAsiaTheme="minorHAnsi"/>
          <w:lang w:val="hu-HU"/>
        </w:rPr>
        <w:t>kori (≥ </w:t>
      </w:r>
      <w:r w:rsidRPr="00C01E0F">
        <w:rPr>
          <w:rFonts w:eastAsiaTheme="minorHAnsi"/>
          <w:lang w:val="hu-HU"/>
        </w:rPr>
        <w:t>1/10), gyakori (≥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1/100 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&lt;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1/10), nem gyakori (≥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1/1000 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&lt;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1/100) vagy nem ismert (a </w:t>
      </w:r>
      <w:r>
        <w:rPr>
          <w:rFonts w:eastAsiaTheme="minorHAnsi"/>
          <w:lang w:val="hu-HU"/>
        </w:rPr>
        <w:t xml:space="preserve">gyakoriság a </w:t>
      </w:r>
      <w:r w:rsidRPr="00C01E0F">
        <w:rPr>
          <w:rFonts w:eastAsiaTheme="minorHAnsi"/>
          <w:lang w:val="hu-HU"/>
        </w:rPr>
        <w:t xml:space="preserve">rendelkezésre álló adatokból nem állapítható meg). A forgalomba hozatal utáni vizsgálatokból származó mellékhatások „nem ismert” előfordulási gyakorisággal </w:t>
      </w:r>
      <w:r>
        <w:rPr>
          <w:rFonts w:eastAsiaTheme="minorHAnsi"/>
          <w:lang w:val="hu-HU"/>
        </w:rPr>
        <w:t>szerepelnek a táblázatban</w:t>
      </w:r>
      <w:r w:rsidRPr="00C01E0F">
        <w:rPr>
          <w:rFonts w:eastAsiaTheme="minorHAnsi"/>
          <w:lang w:val="hu-HU"/>
        </w:rPr>
        <w:t>.</w:t>
      </w:r>
    </w:p>
    <w:p w14:paraId="6F703A8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3F818C8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Buszulfán ciklofoszfamiddal vagy melfalánnal kombinálva</w:t>
      </w:r>
    </w:p>
    <w:p w14:paraId="67F90842" w14:textId="54CA4175" w:rsidR="00944C5C" w:rsidRPr="00C01E0F" w:rsidRDefault="00944C5C" w:rsidP="00A71CCB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</w:t>
      </w:r>
      <w:r>
        <w:rPr>
          <w:rFonts w:eastAsiaTheme="minorHAnsi"/>
          <w:lang w:val="hu-HU"/>
        </w:rPr>
        <w:t xml:space="preserve"> alábbiakban látható azoknak a mellékhatásoknak a felsorolása </w:t>
      </w:r>
      <w:r w:rsidRPr="00C01E0F">
        <w:rPr>
          <w:rFonts w:eastAsiaTheme="minorHAnsi"/>
          <w:lang w:val="hu-HU"/>
        </w:rPr>
        <w:t>szervrendszer és gyakoriság szerint csoportosítva</w:t>
      </w:r>
      <w:r>
        <w:rPr>
          <w:rFonts w:eastAsiaTheme="minorHAnsi"/>
          <w:lang w:val="hu-HU"/>
        </w:rPr>
        <w:t>, amelyeket felnőtt és gyermek</w:t>
      </w:r>
      <w:r>
        <w:rPr>
          <w:rFonts w:eastAsiaTheme="minorHAnsi"/>
          <w:lang w:val="hu-HU"/>
        </w:rPr>
        <w:noBreakHyphen/>
        <w:t xml:space="preserve">, illetve serdülőkorú betegeknél egyaránt jelentettek, és egy </w:t>
      </w:r>
      <w:r w:rsidR="00564253">
        <w:rPr>
          <w:rFonts w:eastAsiaTheme="minorHAnsi"/>
          <w:lang w:val="hu-HU"/>
        </w:rPr>
        <w:t>izolált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esetnél gyakrabban fordultak elő</w:t>
      </w:r>
      <w:r>
        <w:rPr>
          <w:rFonts w:eastAsiaTheme="minorHAnsi"/>
          <w:lang w:val="hu-HU"/>
        </w:rPr>
        <w:t>.</w:t>
      </w:r>
      <w:r w:rsidRPr="00C01E0F">
        <w:rPr>
          <w:rFonts w:eastAsiaTheme="minorHAnsi"/>
          <w:lang w:val="hu-HU"/>
        </w:rPr>
        <w:t xml:space="preserve"> Az egyes gyakorisági kategóriákon belül a mellékhatások csökkenő súlyosság szerint kerülnek megadásra.</w:t>
      </w:r>
    </w:p>
    <w:p w14:paraId="57BEB76C" w14:textId="77777777" w:rsidR="00944C5C" w:rsidRPr="00C01E0F" w:rsidRDefault="00944C5C" w:rsidP="00A71CCB">
      <w:pPr>
        <w:widowControl w:val="0"/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5"/>
        <w:gridCol w:w="1702"/>
        <w:gridCol w:w="1558"/>
        <w:gridCol w:w="1702"/>
      </w:tblGrid>
      <w:tr w:rsidR="00944C5C" w:rsidRPr="00C01E0F" w14:paraId="53871A09" w14:textId="77777777" w:rsidTr="00A71CCB">
        <w:trPr>
          <w:tblHeader/>
        </w:trPr>
        <w:tc>
          <w:tcPr>
            <w:tcW w:w="1152" w:type="pct"/>
          </w:tcPr>
          <w:p w14:paraId="4A8F9635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ind w:left="72" w:right="72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lastRenderedPageBreak/>
              <w:t>Szervrendszer</w:t>
            </w:r>
          </w:p>
        </w:tc>
        <w:tc>
          <w:tcPr>
            <w:tcW w:w="1154" w:type="pct"/>
          </w:tcPr>
          <w:p w14:paraId="01823F48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Nagyon gyakori</w:t>
            </w:r>
          </w:p>
        </w:tc>
        <w:tc>
          <w:tcPr>
            <w:tcW w:w="924" w:type="pct"/>
          </w:tcPr>
          <w:p w14:paraId="7CC26054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Gyakori</w:t>
            </w:r>
          </w:p>
        </w:tc>
        <w:tc>
          <w:tcPr>
            <w:tcW w:w="846" w:type="pct"/>
          </w:tcPr>
          <w:p w14:paraId="47F6790B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gyakori</w:t>
            </w:r>
          </w:p>
        </w:tc>
        <w:tc>
          <w:tcPr>
            <w:tcW w:w="924" w:type="pct"/>
          </w:tcPr>
          <w:p w14:paraId="558E6A0B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ismert</w:t>
            </w:r>
          </w:p>
        </w:tc>
      </w:tr>
      <w:tr w:rsidR="00944C5C" w:rsidRPr="00C01E0F" w14:paraId="3BF77B26" w14:textId="77777777" w:rsidTr="00A71CCB">
        <w:tc>
          <w:tcPr>
            <w:tcW w:w="1152" w:type="pct"/>
          </w:tcPr>
          <w:p w14:paraId="00FEB6A5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Fertőző betegségek és parazitafertőzések</w:t>
            </w:r>
          </w:p>
        </w:tc>
        <w:tc>
          <w:tcPr>
            <w:tcW w:w="1154" w:type="pct"/>
          </w:tcPr>
          <w:p w14:paraId="46B19695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Rhinitis</w:t>
            </w:r>
          </w:p>
          <w:p w14:paraId="25EAA647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Pharyngitis</w:t>
            </w:r>
          </w:p>
        </w:tc>
        <w:tc>
          <w:tcPr>
            <w:tcW w:w="924" w:type="pct"/>
          </w:tcPr>
          <w:p w14:paraId="35F9B00F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46E4071D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34F1D14E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669C509E" w14:textId="77777777" w:rsidTr="00A71CCB">
        <w:tc>
          <w:tcPr>
            <w:tcW w:w="1152" w:type="pct"/>
          </w:tcPr>
          <w:p w14:paraId="203C242B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Vérképzőszervi és nyirokrendszeri betegségek és tünetek</w:t>
            </w:r>
          </w:p>
        </w:tc>
        <w:tc>
          <w:tcPr>
            <w:tcW w:w="1154" w:type="pct"/>
          </w:tcPr>
          <w:p w14:paraId="3E444469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Neutropenia</w:t>
            </w:r>
          </w:p>
          <w:p w14:paraId="5C015239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Thrombocytopenia</w:t>
            </w:r>
          </w:p>
          <w:p w14:paraId="39BC4BFE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Lázas neutropenia</w:t>
            </w:r>
          </w:p>
          <w:p w14:paraId="07BC2FB6" w14:textId="77777777" w:rsidR="00944C5C" w:rsidRPr="00C01E0F" w:rsidRDefault="00944C5C" w:rsidP="00A71CCB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Anaemia</w:t>
            </w:r>
          </w:p>
          <w:p w14:paraId="597F03D3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Pancytopenia</w:t>
            </w:r>
          </w:p>
        </w:tc>
        <w:tc>
          <w:tcPr>
            <w:tcW w:w="924" w:type="pct"/>
          </w:tcPr>
          <w:p w14:paraId="78C2A405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5E1B4302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56E692D8" w14:textId="77777777" w:rsidR="00944C5C" w:rsidRPr="00C01E0F" w:rsidRDefault="00944C5C" w:rsidP="00A71CCB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627C0F76" w14:textId="77777777" w:rsidTr="00A71CCB">
        <w:tc>
          <w:tcPr>
            <w:tcW w:w="1152" w:type="pct"/>
          </w:tcPr>
          <w:p w14:paraId="15CDA9AC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Immunrendszeri betegségek és tünetek</w:t>
            </w:r>
          </w:p>
        </w:tc>
        <w:tc>
          <w:tcPr>
            <w:tcW w:w="1154" w:type="pct"/>
          </w:tcPr>
          <w:p w14:paraId="0DF2F10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Allergiás reakciók</w:t>
            </w:r>
          </w:p>
        </w:tc>
        <w:tc>
          <w:tcPr>
            <w:tcW w:w="924" w:type="pct"/>
          </w:tcPr>
          <w:p w14:paraId="3C1515DF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0FF4E9A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41B54746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424B0A37" w14:textId="77777777" w:rsidTr="00A71CCB">
        <w:tc>
          <w:tcPr>
            <w:tcW w:w="1152" w:type="pct"/>
          </w:tcPr>
          <w:p w14:paraId="4C6A033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Endokrin betegségek és tünetek</w:t>
            </w:r>
          </w:p>
        </w:tc>
        <w:tc>
          <w:tcPr>
            <w:tcW w:w="1154" w:type="pct"/>
          </w:tcPr>
          <w:p w14:paraId="1A09937F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7C6C2C0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5CE2E269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0714C15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Hypo</w:t>
            </w:r>
            <w:r w:rsidR="00A71CCB">
              <w:rPr>
                <w:rFonts w:eastAsia="SimSun"/>
                <w:lang w:val="hu-HU"/>
              </w:rPr>
              <w:t>-</w:t>
            </w:r>
            <w:r w:rsidRPr="00C01E0F">
              <w:rPr>
                <w:rFonts w:eastAsia="SimSun"/>
                <w:lang w:val="hu-HU"/>
              </w:rPr>
              <w:t>gonadismus**</w:t>
            </w:r>
          </w:p>
        </w:tc>
      </w:tr>
      <w:tr w:rsidR="00944C5C" w:rsidRPr="00C01E0F" w14:paraId="310F2E79" w14:textId="77777777" w:rsidTr="00A71CCB">
        <w:tc>
          <w:tcPr>
            <w:tcW w:w="1152" w:type="pct"/>
          </w:tcPr>
          <w:p w14:paraId="53D3BC5E" w14:textId="486C1AE1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Anyagcsere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táplálkozási</w:t>
            </w:r>
            <w:r w:rsidR="00853864">
              <w:rPr>
                <w:rFonts w:eastAsiaTheme="minorHAnsi"/>
                <w:lang w:val="hu-HU"/>
              </w:rPr>
              <w:t xml:space="preserve"> betegségek és tünetek</w:t>
            </w:r>
          </w:p>
        </w:tc>
        <w:tc>
          <w:tcPr>
            <w:tcW w:w="1154" w:type="pct"/>
          </w:tcPr>
          <w:p w14:paraId="7CEE3A8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Étvágytalanság</w:t>
            </w:r>
          </w:p>
          <w:p w14:paraId="5A498D0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Hyperglyk</w:t>
            </w:r>
            <w:r w:rsidRPr="00C01E0F">
              <w:rPr>
                <w:rFonts w:eastAsiaTheme="minorHAnsi"/>
                <w:lang w:val="hu-HU"/>
              </w:rPr>
              <w:t>aemia</w:t>
            </w:r>
          </w:p>
          <w:p w14:paraId="52B493A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Hypocalcaemia</w:t>
            </w:r>
          </w:p>
          <w:p w14:paraId="7491FB8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Hypokalaemia</w:t>
            </w:r>
          </w:p>
          <w:p w14:paraId="1F6C812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Hypomagnesaemia</w:t>
            </w:r>
          </w:p>
          <w:p w14:paraId="20A2A349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Hypophosphatemia</w:t>
            </w:r>
          </w:p>
        </w:tc>
        <w:tc>
          <w:tcPr>
            <w:tcW w:w="924" w:type="pct"/>
          </w:tcPr>
          <w:p w14:paraId="1A5EE843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Hyponatraemia</w:t>
            </w:r>
          </w:p>
        </w:tc>
        <w:tc>
          <w:tcPr>
            <w:tcW w:w="846" w:type="pct"/>
          </w:tcPr>
          <w:p w14:paraId="4601036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2FECF8B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3F0864F6" w14:textId="77777777" w:rsidTr="00A71CCB">
        <w:tc>
          <w:tcPr>
            <w:tcW w:w="1152" w:type="pct"/>
          </w:tcPr>
          <w:p w14:paraId="2E769A32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Pszichiátriai kórképek</w:t>
            </w:r>
          </w:p>
        </w:tc>
        <w:tc>
          <w:tcPr>
            <w:tcW w:w="1154" w:type="pct"/>
          </w:tcPr>
          <w:p w14:paraId="1706398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Szorongás</w:t>
            </w:r>
          </w:p>
          <w:p w14:paraId="64D9767C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Depresszió</w:t>
            </w:r>
          </w:p>
          <w:p w14:paraId="05A364B8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Álmatlanság</w:t>
            </w:r>
          </w:p>
        </w:tc>
        <w:tc>
          <w:tcPr>
            <w:tcW w:w="924" w:type="pct"/>
          </w:tcPr>
          <w:p w14:paraId="685B890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Zavartság</w:t>
            </w:r>
          </w:p>
        </w:tc>
        <w:tc>
          <w:tcPr>
            <w:tcW w:w="846" w:type="pct"/>
          </w:tcPr>
          <w:p w14:paraId="1AA40B5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Delírium</w:t>
            </w:r>
          </w:p>
          <w:p w14:paraId="2253B484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Idegesség</w:t>
            </w:r>
          </w:p>
          <w:p w14:paraId="0040F05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Hallucináció</w:t>
            </w:r>
          </w:p>
          <w:p w14:paraId="5651F367" w14:textId="6E3DF72C" w:rsidR="00944C5C" w:rsidRPr="00C01E0F" w:rsidRDefault="00564253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Agitatio</w:t>
            </w:r>
          </w:p>
        </w:tc>
        <w:tc>
          <w:tcPr>
            <w:tcW w:w="924" w:type="pct"/>
          </w:tcPr>
          <w:p w14:paraId="20F3AB89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0CD055A1" w14:textId="77777777" w:rsidTr="00A71CCB">
        <w:tc>
          <w:tcPr>
            <w:tcW w:w="1152" w:type="pct"/>
          </w:tcPr>
          <w:p w14:paraId="4016021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Idegrendszeri betegségek és tünetek</w:t>
            </w:r>
          </w:p>
        </w:tc>
        <w:tc>
          <w:tcPr>
            <w:tcW w:w="1154" w:type="pct"/>
          </w:tcPr>
          <w:p w14:paraId="275A11B5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Fejfájás</w:t>
            </w:r>
          </w:p>
          <w:p w14:paraId="456603D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Szédülés</w:t>
            </w:r>
          </w:p>
        </w:tc>
        <w:tc>
          <w:tcPr>
            <w:tcW w:w="924" w:type="pct"/>
          </w:tcPr>
          <w:p w14:paraId="75ADA2E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214F24F4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Görcsroham</w:t>
            </w:r>
          </w:p>
          <w:p w14:paraId="74495E8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Encephalo</w:t>
            </w:r>
            <w:r w:rsidR="00BC2567">
              <w:rPr>
                <w:rFonts w:eastAsiaTheme="minorHAnsi"/>
                <w:lang w:val="hu-HU"/>
              </w:rPr>
              <w:t>-</w:t>
            </w:r>
            <w:r w:rsidRPr="00C01E0F">
              <w:rPr>
                <w:rFonts w:eastAsiaTheme="minorHAnsi"/>
                <w:lang w:val="hu-HU"/>
              </w:rPr>
              <w:t>pathia</w:t>
            </w:r>
          </w:p>
          <w:p w14:paraId="3DBD7D7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Agyvérzés</w:t>
            </w:r>
          </w:p>
        </w:tc>
        <w:tc>
          <w:tcPr>
            <w:tcW w:w="924" w:type="pct"/>
          </w:tcPr>
          <w:p w14:paraId="29827507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477CB2DB" w14:textId="77777777" w:rsidTr="00A71CCB">
        <w:tc>
          <w:tcPr>
            <w:tcW w:w="1152" w:type="pct"/>
          </w:tcPr>
          <w:p w14:paraId="2F71AAE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Szembetegségek és szemészeti tünetek</w:t>
            </w:r>
          </w:p>
        </w:tc>
        <w:tc>
          <w:tcPr>
            <w:tcW w:w="1154" w:type="pct"/>
          </w:tcPr>
          <w:p w14:paraId="36B70ABC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27239076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1A69C14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6627B1E7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Szürkehályog</w:t>
            </w:r>
          </w:p>
          <w:p w14:paraId="1BE0DC36" w14:textId="77777777" w:rsidR="00944C5C" w:rsidRPr="00C01E0F" w:rsidRDefault="00BC2567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S</w:t>
            </w:r>
            <w:r w:rsidR="00944C5C" w:rsidRPr="00C01E0F">
              <w:rPr>
                <w:rFonts w:eastAsiaTheme="minorHAnsi"/>
                <w:lang w:val="hu-HU"/>
              </w:rPr>
              <w:t>zaruhártya elvékonyodás</w:t>
            </w:r>
          </w:p>
          <w:p w14:paraId="1C6CCFAC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Szemlencse</w:t>
            </w:r>
          </w:p>
          <w:p w14:paraId="1567BAF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betegségek***</w:t>
            </w:r>
          </w:p>
        </w:tc>
      </w:tr>
      <w:tr w:rsidR="00944C5C" w:rsidRPr="00C01E0F" w14:paraId="4A81685C" w14:textId="77777777" w:rsidTr="00A71CCB">
        <w:tc>
          <w:tcPr>
            <w:tcW w:w="1152" w:type="pct"/>
          </w:tcPr>
          <w:p w14:paraId="15E65194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Szívbetegségek és a szívvel kapcsolatos tünetek</w:t>
            </w:r>
          </w:p>
        </w:tc>
        <w:tc>
          <w:tcPr>
            <w:tcW w:w="1154" w:type="pct"/>
          </w:tcPr>
          <w:p w14:paraId="3FD46253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Tachycardia</w:t>
            </w:r>
          </w:p>
        </w:tc>
        <w:tc>
          <w:tcPr>
            <w:tcW w:w="924" w:type="pct"/>
          </w:tcPr>
          <w:p w14:paraId="51CCCF89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Arrhythmia</w:t>
            </w:r>
          </w:p>
          <w:p w14:paraId="39429C4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Pitvarfibrilláció</w:t>
            </w:r>
          </w:p>
          <w:p w14:paraId="4B712927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Cardiomegalia</w:t>
            </w:r>
          </w:p>
          <w:p w14:paraId="4F449835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Pericardialis folyadékgyülem</w:t>
            </w:r>
          </w:p>
          <w:p w14:paraId="158FF75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Pericarditis</w:t>
            </w:r>
          </w:p>
        </w:tc>
        <w:tc>
          <w:tcPr>
            <w:tcW w:w="846" w:type="pct"/>
          </w:tcPr>
          <w:p w14:paraId="4F1035B2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Ventricularis extraszisztolék</w:t>
            </w:r>
          </w:p>
          <w:p w14:paraId="3BE8C1E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Bradycardia</w:t>
            </w:r>
          </w:p>
        </w:tc>
        <w:tc>
          <w:tcPr>
            <w:tcW w:w="924" w:type="pct"/>
          </w:tcPr>
          <w:p w14:paraId="6B62DB3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71861EAC" w14:textId="77777777" w:rsidTr="00A71CCB">
        <w:tc>
          <w:tcPr>
            <w:tcW w:w="1152" w:type="pct"/>
          </w:tcPr>
          <w:p w14:paraId="618D6A0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Érbetegségek és tünetek</w:t>
            </w:r>
          </w:p>
        </w:tc>
        <w:tc>
          <w:tcPr>
            <w:tcW w:w="1154" w:type="pct"/>
          </w:tcPr>
          <w:p w14:paraId="092ABD1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Hypertonia</w:t>
            </w:r>
          </w:p>
          <w:p w14:paraId="47A49D3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Hypotonia</w:t>
            </w:r>
          </w:p>
          <w:p w14:paraId="1130A8A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Thrombosis</w:t>
            </w:r>
          </w:p>
          <w:p w14:paraId="12C35F7F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Vasodilatatio</w:t>
            </w:r>
          </w:p>
        </w:tc>
        <w:tc>
          <w:tcPr>
            <w:tcW w:w="924" w:type="pct"/>
          </w:tcPr>
          <w:p w14:paraId="6C334787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064BEF52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Arteria femoralis thrombosis</w:t>
            </w:r>
            <w:r w:rsidR="00BC2567">
              <w:rPr>
                <w:rFonts w:eastAsiaTheme="minorHAnsi"/>
                <w:lang w:val="hu-HU"/>
              </w:rPr>
              <w:t>a</w:t>
            </w:r>
          </w:p>
          <w:p w14:paraId="2A28D835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Kapillaris szivárgás szindróma</w:t>
            </w:r>
          </w:p>
        </w:tc>
        <w:tc>
          <w:tcPr>
            <w:tcW w:w="924" w:type="pct"/>
          </w:tcPr>
          <w:p w14:paraId="7BFB44AA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4A093D67" w14:textId="77777777" w:rsidTr="00A71CCB">
        <w:tc>
          <w:tcPr>
            <w:tcW w:w="1152" w:type="pct"/>
          </w:tcPr>
          <w:p w14:paraId="4153A27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Légzőrendszeri, mellkasi és mediastinalis betegségek és tünetek</w:t>
            </w:r>
          </w:p>
        </w:tc>
        <w:tc>
          <w:tcPr>
            <w:tcW w:w="1154" w:type="pct"/>
          </w:tcPr>
          <w:p w14:paraId="408DBF4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Dyspnoe</w:t>
            </w:r>
          </w:p>
          <w:p w14:paraId="18EFB1C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Epistaxis</w:t>
            </w:r>
          </w:p>
          <w:p w14:paraId="3E84E95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Köhögés</w:t>
            </w:r>
          </w:p>
          <w:p w14:paraId="0BF90068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Csuklás</w:t>
            </w:r>
          </w:p>
        </w:tc>
        <w:tc>
          <w:tcPr>
            <w:tcW w:w="924" w:type="pct"/>
          </w:tcPr>
          <w:p w14:paraId="6A916008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Hyperventilatio</w:t>
            </w:r>
          </w:p>
          <w:p w14:paraId="661E1355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Légzési elégtelenség</w:t>
            </w:r>
          </w:p>
          <w:p w14:paraId="2AD88A75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Alveolaris vérzések</w:t>
            </w:r>
          </w:p>
          <w:p w14:paraId="50447788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Asthma</w:t>
            </w:r>
          </w:p>
          <w:p w14:paraId="6DAA6BC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Atelectasia</w:t>
            </w:r>
          </w:p>
          <w:p w14:paraId="3DF4B2A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Pleur</w:t>
            </w:r>
            <w:r w:rsidR="00BC2567">
              <w:rPr>
                <w:rFonts w:eastAsiaTheme="minorHAnsi"/>
                <w:lang w:val="hu-HU"/>
              </w:rPr>
              <w:t>á</w:t>
            </w:r>
            <w:r w:rsidRPr="00C01E0F">
              <w:rPr>
                <w:rFonts w:eastAsiaTheme="minorHAnsi"/>
                <w:lang w:val="hu-HU"/>
              </w:rPr>
              <w:t>lis folyadékgyülem</w:t>
            </w:r>
          </w:p>
        </w:tc>
        <w:tc>
          <w:tcPr>
            <w:tcW w:w="846" w:type="pct"/>
          </w:tcPr>
          <w:p w14:paraId="6F76FEC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Hypoxia</w:t>
            </w:r>
          </w:p>
        </w:tc>
        <w:tc>
          <w:tcPr>
            <w:tcW w:w="924" w:type="pct"/>
          </w:tcPr>
          <w:p w14:paraId="4319A62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Interstitialis tüdőbetegség</w:t>
            </w:r>
            <w:r w:rsidRPr="00C01E0F">
              <w:rPr>
                <w:rFonts w:eastAsia="SimSun"/>
                <w:lang w:val="hu-HU"/>
              </w:rPr>
              <w:t>**</w:t>
            </w:r>
          </w:p>
        </w:tc>
      </w:tr>
      <w:tr w:rsidR="00944C5C" w:rsidRPr="00C01E0F" w14:paraId="1CA04308" w14:textId="77777777" w:rsidTr="00A71CCB">
        <w:tc>
          <w:tcPr>
            <w:tcW w:w="1152" w:type="pct"/>
          </w:tcPr>
          <w:p w14:paraId="5F857A9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Emésztőrendszeri betegségek és tünetek</w:t>
            </w:r>
          </w:p>
        </w:tc>
        <w:tc>
          <w:tcPr>
            <w:tcW w:w="1154" w:type="pct"/>
          </w:tcPr>
          <w:p w14:paraId="1EBC314C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Stomatitis</w:t>
            </w:r>
          </w:p>
          <w:p w14:paraId="34BBE68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Hasmenés</w:t>
            </w:r>
          </w:p>
          <w:p w14:paraId="2788CD6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Hasi fájdalom</w:t>
            </w:r>
          </w:p>
          <w:p w14:paraId="463C868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Hányinger</w:t>
            </w:r>
          </w:p>
          <w:p w14:paraId="1B0236B9" w14:textId="77777777" w:rsidR="00944C5C" w:rsidRPr="00BC2567" w:rsidRDefault="00944C5C" w:rsidP="00BC2567">
            <w:pPr>
              <w:pStyle w:val="Nincstrkz"/>
              <w:rPr>
                <w:rFonts w:eastAsiaTheme="minorHAnsi"/>
                <w:lang w:val="hu-HU"/>
              </w:rPr>
            </w:pPr>
            <w:r w:rsidRPr="00BC2567">
              <w:rPr>
                <w:rFonts w:eastAsiaTheme="minorHAnsi"/>
                <w:lang w:val="hu-HU"/>
              </w:rPr>
              <w:lastRenderedPageBreak/>
              <w:t>Hányás</w:t>
            </w:r>
          </w:p>
          <w:p w14:paraId="3EFA21D6" w14:textId="77777777" w:rsidR="00944C5C" w:rsidRPr="00BC2567" w:rsidRDefault="00944C5C" w:rsidP="00BC2567">
            <w:pPr>
              <w:pStyle w:val="Nincstrkz"/>
              <w:rPr>
                <w:rFonts w:eastAsiaTheme="minorHAnsi"/>
                <w:lang w:val="hu-HU"/>
              </w:rPr>
            </w:pPr>
            <w:r w:rsidRPr="00BC2567">
              <w:rPr>
                <w:rFonts w:eastAsiaTheme="minorHAnsi"/>
                <w:lang w:val="hu-HU"/>
              </w:rPr>
              <w:t>Dyspepsia</w:t>
            </w:r>
          </w:p>
          <w:p w14:paraId="1CF0E549" w14:textId="77777777" w:rsidR="00944C5C" w:rsidRPr="00BC2567" w:rsidRDefault="00944C5C" w:rsidP="00BC2567">
            <w:pPr>
              <w:pStyle w:val="Nincstrkz"/>
              <w:rPr>
                <w:rFonts w:eastAsiaTheme="minorHAnsi"/>
                <w:lang w:val="hu-HU"/>
              </w:rPr>
            </w:pPr>
            <w:r w:rsidRPr="00BC2567">
              <w:rPr>
                <w:rFonts w:eastAsiaTheme="minorHAnsi"/>
                <w:lang w:val="hu-HU"/>
              </w:rPr>
              <w:t>Ascites</w:t>
            </w:r>
          </w:p>
          <w:p w14:paraId="6098F37D" w14:textId="77777777" w:rsidR="00944C5C" w:rsidRPr="00BC2567" w:rsidRDefault="00944C5C" w:rsidP="00BC2567">
            <w:pPr>
              <w:pStyle w:val="Nincstrkz"/>
              <w:rPr>
                <w:rFonts w:eastAsiaTheme="minorHAnsi"/>
                <w:lang w:val="hu-HU"/>
              </w:rPr>
            </w:pPr>
            <w:r w:rsidRPr="00BC2567">
              <w:rPr>
                <w:rFonts w:eastAsiaTheme="minorHAnsi"/>
                <w:lang w:val="hu-HU"/>
              </w:rPr>
              <w:t>Székrekedés</w:t>
            </w:r>
          </w:p>
          <w:p w14:paraId="66C1F7AC" w14:textId="77777777" w:rsidR="00944C5C" w:rsidRPr="00C01E0F" w:rsidRDefault="00944C5C" w:rsidP="00BC2567">
            <w:pPr>
              <w:pStyle w:val="Nincstrkz"/>
              <w:rPr>
                <w:rFonts w:eastAsia="SimSun"/>
                <w:lang w:val="hu-HU"/>
              </w:rPr>
            </w:pPr>
            <w:r w:rsidRPr="00BC2567">
              <w:rPr>
                <w:rFonts w:eastAsiaTheme="minorHAnsi"/>
                <w:lang w:val="hu-HU"/>
              </w:rPr>
              <w:t>Anus discomfort</w:t>
            </w:r>
          </w:p>
        </w:tc>
        <w:tc>
          <w:tcPr>
            <w:tcW w:w="924" w:type="pct"/>
          </w:tcPr>
          <w:p w14:paraId="3A476597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lastRenderedPageBreak/>
              <w:t>Haematemesis</w:t>
            </w:r>
          </w:p>
          <w:p w14:paraId="60111F1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Ileus</w:t>
            </w:r>
          </w:p>
          <w:p w14:paraId="0BE33311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Oesophagitis</w:t>
            </w:r>
          </w:p>
        </w:tc>
        <w:tc>
          <w:tcPr>
            <w:tcW w:w="846" w:type="pct"/>
          </w:tcPr>
          <w:p w14:paraId="262AC80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Gastrointes</w:t>
            </w:r>
            <w:r w:rsidR="00BC2567">
              <w:rPr>
                <w:rFonts w:eastAsiaTheme="minorHAnsi"/>
                <w:lang w:val="hu-HU"/>
              </w:rPr>
              <w:t>-</w:t>
            </w:r>
            <w:r w:rsidRPr="00C01E0F">
              <w:rPr>
                <w:rFonts w:eastAsiaTheme="minorHAnsi"/>
                <w:lang w:val="hu-HU"/>
              </w:rPr>
              <w:t>tinalis vérzés</w:t>
            </w:r>
          </w:p>
        </w:tc>
        <w:tc>
          <w:tcPr>
            <w:tcW w:w="924" w:type="pct"/>
          </w:tcPr>
          <w:p w14:paraId="52478403" w14:textId="77777777" w:rsidR="00944C5C" w:rsidRPr="00181AE1" w:rsidRDefault="00944C5C" w:rsidP="001F7232">
            <w:pPr>
              <w:suppressLineNumbers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eastAsia="SimSun"/>
                <w:lang w:val="hu-HU"/>
              </w:rPr>
            </w:pPr>
          </w:p>
        </w:tc>
      </w:tr>
      <w:tr w:rsidR="00944C5C" w:rsidRPr="00C01E0F" w14:paraId="71D5DCC6" w14:textId="77777777" w:rsidTr="00A71CCB">
        <w:tc>
          <w:tcPr>
            <w:tcW w:w="1152" w:type="pct"/>
          </w:tcPr>
          <w:p w14:paraId="4B38388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Máj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epebetegségek, illetve tünetek</w:t>
            </w:r>
          </w:p>
        </w:tc>
        <w:tc>
          <w:tcPr>
            <w:tcW w:w="1154" w:type="pct"/>
          </w:tcPr>
          <w:p w14:paraId="46DCD2A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Hepatomegalia</w:t>
            </w:r>
          </w:p>
          <w:p w14:paraId="208B35EE" w14:textId="5A4052BC" w:rsidR="00944C5C" w:rsidRPr="00C01E0F" w:rsidRDefault="00564253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Icterus</w:t>
            </w:r>
          </w:p>
        </w:tc>
        <w:tc>
          <w:tcPr>
            <w:tcW w:w="924" w:type="pct"/>
          </w:tcPr>
          <w:p w14:paraId="17A0A15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Venoocclusiv májbetegség</w:t>
            </w:r>
            <w:r w:rsidRPr="00C01E0F">
              <w:rPr>
                <w:rFonts w:eastAsiaTheme="minorHAnsi"/>
                <w:lang w:val="hu-HU"/>
              </w:rPr>
              <w:t>*</w:t>
            </w:r>
          </w:p>
        </w:tc>
        <w:tc>
          <w:tcPr>
            <w:tcW w:w="846" w:type="pct"/>
          </w:tcPr>
          <w:p w14:paraId="085A2ABA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0625C3D1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681618E9" w14:textId="77777777" w:rsidTr="00A71CCB">
        <w:tc>
          <w:tcPr>
            <w:tcW w:w="1152" w:type="pct"/>
          </w:tcPr>
          <w:p w14:paraId="34838C72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A b</w:t>
            </w:r>
            <w:r>
              <w:rPr>
                <w:rFonts w:ascii="TimesNewRomanPSMT" w:eastAsia="TimesNewRomanPSMT" w:cs="TimesNewRomanPSMT" w:hint="eastAsia"/>
                <w:lang w:val="hu-HU"/>
              </w:rPr>
              <w:t>ő</w:t>
            </w:r>
            <w:r>
              <w:rPr>
                <w:rFonts w:eastAsiaTheme="minorHAnsi"/>
                <w:lang w:val="hu-HU"/>
              </w:rPr>
              <w:t>r és a b</w:t>
            </w:r>
            <w:r>
              <w:rPr>
                <w:rFonts w:ascii="TimesNewRomanPSMT" w:eastAsia="TimesNewRomanPSMT" w:cs="TimesNewRomanPSMT" w:hint="eastAsia"/>
                <w:lang w:val="hu-HU"/>
              </w:rPr>
              <w:t>ő</w:t>
            </w:r>
            <w:r>
              <w:rPr>
                <w:rFonts w:eastAsiaTheme="minorHAnsi"/>
                <w:lang w:val="hu-HU"/>
              </w:rPr>
              <w:t>r alatti szövet betegségei és tünetei</w:t>
            </w:r>
          </w:p>
        </w:tc>
        <w:tc>
          <w:tcPr>
            <w:tcW w:w="1154" w:type="pct"/>
          </w:tcPr>
          <w:p w14:paraId="35AFB646" w14:textId="70B2EAF5" w:rsidR="00944C5C" w:rsidRPr="00C01E0F" w:rsidRDefault="00BC2567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B</w:t>
            </w:r>
            <w:r w:rsidR="00564253">
              <w:rPr>
                <w:rFonts w:eastAsiaTheme="minorHAnsi"/>
                <w:lang w:val="hu-HU"/>
              </w:rPr>
              <w:t>ő</w:t>
            </w:r>
            <w:r>
              <w:rPr>
                <w:rFonts w:eastAsiaTheme="minorHAnsi"/>
                <w:lang w:val="hu-HU"/>
              </w:rPr>
              <w:t>rk</w:t>
            </w:r>
            <w:r w:rsidR="00944C5C" w:rsidRPr="00C01E0F">
              <w:rPr>
                <w:rFonts w:eastAsiaTheme="minorHAnsi"/>
                <w:lang w:val="hu-HU"/>
              </w:rPr>
              <w:t>iütés</w:t>
            </w:r>
          </w:p>
          <w:p w14:paraId="30F0727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Pruritus</w:t>
            </w:r>
          </w:p>
          <w:p w14:paraId="13654E87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Alopecia</w:t>
            </w:r>
          </w:p>
        </w:tc>
        <w:tc>
          <w:tcPr>
            <w:tcW w:w="924" w:type="pct"/>
          </w:tcPr>
          <w:p w14:paraId="30824319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Bőrhámlás</w:t>
            </w:r>
          </w:p>
          <w:p w14:paraId="1054D67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Erythema</w:t>
            </w:r>
          </w:p>
          <w:p w14:paraId="21B3AE6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Pigmentációs zavar</w:t>
            </w:r>
          </w:p>
        </w:tc>
        <w:tc>
          <w:tcPr>
            <w:tcW w:w="846" w:type="pct"/>
          </w:tcPr>
          <w:p w14:paraId="05358659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716FC64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162A49BA" w14:textId="77777777" w:rsidTr="00A71CCB">
        <w:tc>
          <w:tcPr>
            <w:tcW w:w="1152" w:type="pct"/>
          </w:tcPr>
          <w:p w14:paraId="32C68660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csont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izomrendszer, valamint a kötőszövet betegségei és tünetei</w:t>
            </w:r>
          </w:p>
        </w:tc>
        <w:tc>
          <w:tcPr>
            <w:tcW w:w="1154" w:type="pct"/>
          </w:tcPr>
          <w:p w14:paraId="051DE1A7" w14:textId="77777777" w:rsidR="00944C5C" w:rsidRPr="00BC2567" w:rsidRDefault="00944C5C" w:rsidP="00BC2567">
            <w:pPr>
              <w:pStyle w:val="Nincstrkz"/>
              <w:rPr>
                <w:rFonts w:eastAsiaTheme="minorHAnsi"/>
              </w:rPr>
            </w:pPr>
            <w:r w:rsidRPr="00BC2567">
              <w:rPr>
                <w:rFonts w:eastAsiaTheme="minorHAnsi"/>
              </w:rPr>
              <w:t>Myalgia</w:t>
            </w:r>
          </w:p>
          <w:p w14:paraId="66666FCC" w14:textId="77777777" w:rsidR="00944C5C" w:rsidRPr="00BC2567" w:rsidRDefault="00944C5C" w:rsidP="00BC2567">
            <w:pPr>
              <w:pStyle w:val="Nincstrkz"/>
              <w:rPr>
                <w:rFonts w:eastAsiaTheme="minorHAnsi"/>
              </w:rPr>
            </w:pPr>
            <w:r w:rsidRPr="00BC2567">
              <w:rPr>
                <w:rFonts w:eastAsiaTheme="minorHAnsi"/>
              </w:rPr>
              <w:t>Hátfájás</w:t>
            </w:r>
          </w:p>
          <w:p w14:paraId="02DBE4CB" w14:textId="77777777" w:rsidR="00944C5C" w:rsidRPr="00C01E0F" w:rsidRDefault="00944C5C" w:rsidP="00BC2567">
            <w:pPr>
              <w:pStyle w:val="Nincstrkz"/>
              <w:rPr>
                <w:rFonts w:eastAsia="SimSun"/>
                <w:lang w:val="hu-HU"/>
              </w:rPr>
            </w:pPr>
            <w:r w:rsidRPr="00BC2567">
              <w:rPr>
                <w:rFonts w:eastAsiaTheme="minorHAnsi"/>
              </w:rPr>
              <w:t>Arthralgia</w:t>
            </w:r>
          </w:p>
        </w:tc>
        <w:tc>
          <w:tcPr>
            <w:tcW w:w="924" w:type="pct"/>
          </w:tcPr>
          <w:p w14:paraId="48E4E0A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0F8AC37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59791BBF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5D6557C3" w14:textId="77777777" w:rsidTr="00A71CCB">
        <w:tc>
          <w:tcPr>
            <w:tcW w:w="1152" w:type="pct"/>
          </w:tcPr>
          <w:p w14:paraId="6F5B2827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Vese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húgyúti betegségek és tünetek</w:t>
            </w:r>
          </w:p>
        </w:tc>
        <w:tc>
          <w:tcPr>
            <w:tcW w:w="1154" w:type="pct"/>
          </w:tcPr>
          <w:p w14:paraId="17205A3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Dysuria</w:t>
            </w:r>
          </w:p>
          <w:p w14:paraId="4F3238D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Oligurea</w:t>
            </w:r>
          </w:p>
        </w:tc>
        <w:tc>
          <w:tcPr>
            <w:tcW w:w="924" w:type="pct"/>
          </w:tcPr>
          <w:p w14:paraId="54BC4F4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Haematuria</w:t>
            </w:r>
          </w:p>
          <w:p w14:paraId="573B0EB8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Köz</w:t>
            </w:r>
            <w:r w:rsidR="00BC2567">
              <w:rPr>
                <w:rFonts w:eastAsiaTheme="minorHAnsi"/>
                <w:lang w:val="hu-HU"/>
              </w:rPr>
              <w:t xml:space="preserve">epesen </w:t>
            </w:r>
            <w:r w:rsidRPr="00C01E0F">
              <w:rPr>
                <w:rFonts w:eastAsiaTheme="minorHAnsi"/>
                <w:lang w:val="hu-HU"/>
              </w:rPr>
              <w:t>súlyos veseelégtelenség</w:t>
            </w:r>
          </w:p>
        </w:tc>
        <w:tc>
          <w:tcPr>
            <w:tcW w:w="846" w:type="pct"/>
          </w:tcPr>
          <w:p w14:paraId="0FB0893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028C5A00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3EFFC5D7" w14:textId="77777777" w:rsidTr="00A71CCB">
        <w:tc>
          <w:tcPr>
            <w:tcW w:w="1152" w:type="pct"/>
          </w:tcPr>
          <w:p w14:paraId="13E4C2A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nemi szervekkel és az emlőkkel kapcsolatos betegségek és tünetek</w:t>
            </w:r>
          </w:p>
        </w:tc>
        <w:tc>
          <w:tcPr>
            <w:tcW w:w="1154" w:type="pct"/>
          </w:tcPr>
          <w:p w14:paraId="4A0CB0A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63E2AA2C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09A74536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7116D95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Korai menopauza</w:t>
            </w:r>
          </w:p>
          <w:p w14:paraId="149BFB2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Petefészek</w:t>
            </w:r>
            <w:r w:rsidR="00023EC7">
              <w:rPr>
                <w:rFonts w:eastAsiaTheme="minorHAnsi"/>
                <w:lang w:val="hu-HU"/>
              </w:rPr>
              <w:t>-</w:t>
            </w:r>
            <w:r w:rsidRPr="00C01E0F">
              <w:rPr>
                <w:rFonts w:eastAsiaTheme="minorHAnsi"/>
                <w:lang w:val="hu-HU"/>
              </w:rPr>
              <w:t>elégtelenség**</w:t>
            </w:r>
          </w:p>
        </w:tc>
      </w:tr>
      <w:tr w:rsidR="00944C5C" w:rsidRPr="00C01E0F" w14:paraId="537C7561" w14:textId="77777777" w:rsidTr="00A71CCB">
        <w:tc>
          <w:tcPr>
            <w:tcW w:w="1152" w:type="pct"/>
          </w:tcPr>
          <w:p w14:paraId="7555906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Általános tünetek, az alkalmazás helyén fellépő reakciók</w:t>
            </w:r>
          </w:p>
        </w:tc>
        <w:tc>
          <w:tcPr>
            <w:tcW w:w="1154" w:type="pct"/>
          </w:tcPr>
          <w:p w14:paraId="6E92EF87" w14:textId="77777777" w:rsidR="00944C5C" w:rsidRPr="002D5A79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en-US"/>
              </w:rPr>
            </w:pPr>
            <w:r w:rsidRPr="002D5A79">
              <w:rPr>
                <w:rFonts w:eastAsia="SimSun"/>
                <w:lang w:val="en-US"/>
              </w:rPr>
              <w:t>Asthenia</w:t>
            </w:r>
          </w:p>
          <w:p w14:paraId="15FBFBF7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Hidegrázás</w:t>
            </w:r>
          </w:p>
          <w:p w14:paraId="7EFDF82F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Láz</w:t>
            </w:r>
          </w:p>
          <w:p w14:paraId="702731E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Mellkasi fájdalom</w:t>
            </w:r>
          </w:p>
          <w:p w14:paraId="2AB1B366" w14:textId="5E4AD0D6" w:rsidR="00944C5C" w:rsidRPr="00C01E0F" w:rsidRDefault="00853864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Oe</w:t>
            </w:r>
            <w:r w:rsidR="00023EC7">
              <w:rPr>
                <w:rFonts w:eastAsiaTheme="minorHAnsi"/>
                <w:lang w:val="hu-HU"/>
              </w:rPr>
              <w:t>d</w:t>
            </w:r>
            <w:r>
              <w:rPr>
                <w:rFonts w:eastAsiaTheme="minorHAnsi"/>
                <w:lang w:val="hu-HU"/>
              </w:rPr>
              <w:t>e</w:t>
            </w:r>
            <w:r w:rsidR="00023EC7">
              <w:rPr>
                <w:rFonts w:eastAsiaTheme="minorHAnsi"/>
                <w:lang w:val="hu-HU"/>
              </w:rPr>
              <w:t>ma</w:t>
            </w:r>
          </w:p>
          <w:p w14:paraId="7E3C131D" w14:textId="1D21CC95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G</w:t>
            </w:r>
            <w:r w:rsidRPr="00C01E0F">
              <w:rPr>
                <w:rFonts w:eastAsiaTheme="minorHAnsi"/>
                <w:lang w:val="hu-HU"/>
              </w:rPr>
              <w:t xml:space="preserve">eneralizált </w:t>
            </w:r>
            <w:r w:rsidR="00853864">
              <w:rPr>
                <w:rFonts w:eastAsiaTheme="minorHAnsi"/>
                <w:lang w:val="hu-HU"/>
              </w:rPr>
              <w:t>oe</w:t>
            </w:r>
            <w:r w:rsidR="00023EC7">
              <w:rPr>
                <w:rFonts w:eastAsiaTheme="minorHAnsi"/>
                <w:lang w:val="hu-HU"/>
              </w:rPr>
              <w:t>d</w:t>
            </w:r>
            <w:r w:rsidR="00853864">
              <w:rPr>
                <w:rFonts w:eastAsiaTheme="minorHAnsi"/>
                <w:lang w:val="hu-HU"/>
              </w:rPr>
              <w:t>e</w:t>
            </w:r>
            <w:r w:rsidR="00023EC7">
              <w:rPr>
                <w:rFonts w:eastAsiaTheme="minorHAnsi"/>
                <w:lang w:val="hu-HU"/>
              </w:rPr>
              <w:t>ma</w:t>
            </w:r>
          </w:p>
          <w:p w14:paraId="61B62F2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Fájdalom</w:t>
            </w:r>
          </w:p>
          <w:p w14:paraId="253CC411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Fájdalom vagy gyulladás az injekció helyén</w:t>
            </w:r>
          </w:p>
          <w:p w14:paraId="273A772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Nyálkahártya</w:t>
            </w:r>
            <w:r w:rsidR="00023EC7">
              <w:rPr>
                <w:rFonts w:eastAsiaTheme="minorHAnsi"/>
                <w:lang w:val="hu-HU"/>
              </w:rPr>
              <w:t>-</w:t>
            </w:r>
            <w:r w:rsidRPr="00C01E0F">
              <w:rPr>
                <w:rFonts w:eastAsiaTheme="minorHAnsi"/>
                <w:lang w:val="hu-HU"/>
              </w:rPr>
              <w:t>gyulladás</w:t>
            </w:r>
          </w:p>
        </w:tc>
        <w:tc>
          <w:tcPr>
            <w:tcW w:w="924" w:type="pct"/>
          </w:tcPr>
          <w:p w14:paraId="08FAB94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846" w:type="pct"/>
          </w:tcPr>
          <w:p w14:paraId="15A216DC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0653AF6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944C5C" w:rsidRPr="00C01E0F" w14:paraId="543C1625" w14:textId="77777777" w:rsidTr="00A71CCB">
        <w:tc>
          <w:tcPr>
            <w:tcW w:w="1152" w:type="pct"/>
          </w:tcPr>
          <w:p w14:paraId="68AFF33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Laboratóriumi és egyéb vizsgálatok eredményei</w:t>
            </w:r>
          </w:p>
        </w:tc>
        <w:tc>
          <w:tcPr>
            <w:tcW w:w="1154" w:type="pct"/>
          </w:tcPr>
          <w:p w14:paraId="41124AD0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</w:t>
            </w:r>
          </w:p>
          <w:p w14:paraId="75CCF27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transzamináz</w:t>
            </w:r>
            <w:r>
              <w:rPr>
                <w:rFonts w:eastAsiaTheme="minorHAnsi"/>
                <w:lang w:val="hu-HU"/>
              </w:rPr>
              <w:t>szintek</w:t>
            </w:r>
          </w:p>
          <w:p w14:paraId="527F98F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bilirubin</w:t>
            </w:r>
          </w:p>
          <w:p w14:paraId="041B7FB8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GGT</w:t>
            </w:r>
          </w:p>
          <w:p w14:paraId="2DFF565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alkalikus</w:t>
            </w:r>
            <w:r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foszfatáz</w:t>
            </w:r>
          </w:p>
          <w:p w14:paraId="37A1012E" w14:textId="34B239EF" w:rsidR="00944C5C" w:rsidRPr="00C01E0F" w:rsidRDefault="00023EC7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Testtömeg-</w:t>
            </w:r>
            <w:r w:rsidR="00853864">
              <w:rPr>
                <w:rFonts w:eastAsiaTheme="minorHAnsi"/>
                <w:lang w:val="hu-HU"/>
              </w:rPr>
              <w:t>növekedés</w:t>
            </w:r>
          </w:p>
          <w:p w14:paraId="36B721E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Kóros légzési</w:t>
            </w:r>
            <w:r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hangok</w:t>
            </w:r>
          </w:p>
          <w:p w14:paraId="2A9D16E7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kreatinin</w:t>
            </w:r>
            <w:r>
              <w:rPr>
                <w:rFonts w:eastAsiaTheme="minorHAnsi"/>
                <w:lang w:val="hu-HU"/>
              </w:rPr>
              <w:t>szint</w:t>
            </w:r>
          </w:p>
        </w:tc>
        <w:tc>
          <w:tcPr>
            <w:tcW w:w="924" w:type="pct"/>
          </w:tcPr>
          <w:p w14:paraId="67847049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Emelkedett </w:t>
            </w:r>
            <w:r>
              <w:rPr>
                <w:rFonts w:eastAsiaTheme="minorHAnsi"/>
                <w:lang w:val="hu-HU"/>
              </w:rPr>
              <w:t xml:space="preserve">vér </w:t>
            </w:r>
            <w:r w:rsidRPr="00C01E0F">
              <w:rPr>
                <w:rFonts w:eastAsiaTheme="minorHAnsi"/>
                <w:lang w:val="hu-HU"/>
              </w:rPr>
              <w:t>karbamid</w:t>
            </w:r>
            <w:r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nitrogén</w:t>
            </w:r>
            <w:r>
              <w:rPr>
                <w:rFonts w:eastAsiaTheme="minorHAnsi"/>
                <w:lang w:val="hu-HU"/>
              </w:rPr>
              <w:t xml:space="preserve"> szint</w:t>
            </w:r>
          </w:p>
          <w:p w14:paraId="5ED48E96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Csökkent ejekciós frakció</w:t>
            </w:r>
          </w:p>
        </w:tc>
        <w:tc>
          <w:tcPr>
            <w:tcW w:w="846" w:type="pct"/>
          </w:tcPr>
          <w:p w14:paraId="1B6F0A2E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24" w:type="pct"/>
          </w:tcPr>
          <w:p w14:paraId="0DE63997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</w:tbl>
    <w:p w14:paraId="202A5D70" w14:textId="77777777" w:rsidR="00944C5C" w:rsidRPr="00C01E0F" w:rsidRDefault="00944C5C" w:rsidP="00944C5C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 </w:t>
      </w:r>
      <w:r>
        <w:rPr>
          <w:rFonts w:eastAsiaTheme="minorHAnsi"/>
          <w:sz w:val="22"/>
          <w:szCs w:val="22"/>
          <w:lang w:val="hu-HU"/>
        </w:rPr>
        <w:t xml:space="preserve">a </w:t>
      </w:r>
      <w:r w:rsidRPr="00C01E0F">
        <w:rPr>
          <w:rFonts w:eastAsiaTheme="minorHAnsi"/>
          <w:sz w:val="22"/>
          <w:szCs w:val="22"/>
          <w:lang w:val="hu-HU"/>
        </w:rPr>
        <w:t xml:space="preserve">venoocclusiv </w:t>
      </w:r>
      <w:r>
        <w:rPr>
          <w:rFonts w:eastAsiaTheme="minorHAnsi"/>
          <w:sz w:val="22"/>
          <w:szCs w:val="22"/>
          <w:lang w:val="hu-HU"/>
        </w:rPr>
        <w:t>májbetegség</w:t>
      </w:r>
      <w:r w:rsidRPr="00C01E0F">
        <w:rPr>
          <w:rFonts w:eastAsiaTheme="minorHAnsi"/>
          <w:sz w:val="22"/>
          <w:szCs w:val="22"/>
          <w:lang w:val="hu-HU"/>
        </w:rPr>
        <w:t xml:space="preserve"> gyakoribb </w:t>
      </w:r>
      <w:r>
        <w:rPr>
          <w:rFonts w:eastAsiaTheme="minorHAnsi"/>
          <w:sz w:val="22"/>
          <w:szCs w:val="22"/>
          <w:lang w:val="hu-HU"/>
        </w:rPr>
        <w:t>gyermekeknél és serdülőknél</w:t>
      </w:r>
    </w:p>
    <w:p w14:paraId="144F5CEB" w14:textId="77777777" w:rsidR="00944C5C" w:rsidRPr="00C01E0F" w:rsidRDefault="00944C5C" w:rsidP="00944C5C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** </w:t>
      </w:r>
      <w:r w:rsidR="00D32CB1">
        <w:rPr>
          <w:color w:val="auto"/>
          <w:sz w:val="22"/>
          <w:szCs w:val="22"/>
          <w:lang w:val="hu-HU"/>
        </w:rPr>
        <w:t xml:space="preserve">a </w:t>
      </w:r>
      <w:r w:rsidRPr="00C01E0F">
        <w:rPr>
          <w:rFonts w:eastAsiaTheme="minorHAnsi"/>
          <w:sz w:val="22"/>
          <w:szCs w:val="22"/>
          <w:lang w:val="hu-HU"/>
        </w:rPr>
        <w:t>forgalomba hozatal után jelent</w:t>
      </w:r>
      <w:r w:rsidR="000E5C17">
        <w:rPr>
          <w:rFonts w:eastAsiaTheme="minorHAnsi"/>
          <w:sz w:val="22"/>
          <w:szCs w:val="22"/>
          <w:lang w:val="hu-HU"/>
        </w:rPr>
        <w:t>ették,</w:t>
      </w:r>
      <w:r w:rsidRPr="00C01E0F">
        <w:rPr>
          <w:rFonts w:eastAsiaTheme="minorHAnsi"/>
          <w:sz w:val="22"/>
          <w:szCs w:val="22"/>
          <w:lang w:val="hu-HU"/>
        </w:rPr>
        <w:t xml:space="preserve"> iv. buszulfánnal</w:t>
      </w:r>
      <w:r>
        <w:rPr>
          <w:rFonts w:eastAsiaTheme="minorHAnsi"/>
          <w:sz w:val="22"/>
          <w:szCs w:val="22"/>
          <w:lang w:val="hu-HU"/>
        </w:rPr>
        <w:t xml:space="preserve"> kapcsolatban</w:t>
      </w:r>
    </w:p>
    <w:p w14:paraId="43AC64EF" w14:textId="77777777" w:rsidR="00944C5C" w:rsidRPr="00C01E0F" w:rsidRDefault="00944C5C" w:rsidP="00944C5C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*** </w:t>
      </w:r>
      <w:r w:rsidR="000E5C17">
        <w:rPr>
          <w:color w:val="auto"/>
          <w:sz w:val="22"/>
          <w:szCs w:val="22"/>
          <w:lang w:val="hu-HU"/>
        </w:rPr>
        <w:t xml:space="preserve">a </w:t>
      </w:r>
      <w:r w:rsidR="000E5C17" w:rsidRPr="00C01E0F">
        <w:rPr>
          <w:rFonts w:eastAsiaTheme="minorHAnsi"/>
          <w:sz w:val="22"/>
          <w:szCs w:val="22"/>
          <w:lang w:val="hu-HU"/>
        </w:rPr>
        <w:t>forgalomba hozatal után jelent</w:t>
      </w:r>
      <w:r w:rsidR="000E5C17">
        <w:rPr>
          <w:rFonts w:eastAsiaTheme="minorHAnsi"/>
          <w:sz w:val="22"/>
          <w:szCs w:val="22"/>
          <w:lang w:val="hu-HU"/>
        </w:rPr>
        <w:t>ették</w:t>
      </w:r>
      <w:r w:rsidR="000E5C17" w:rsidRPr="00C01E0F">
        <w:rPr>
          <w:rFonts w:eastAsiaTheme="minorHAnsi"/>
          <w:sz w:val="22"/>
          <w:szCs w:val="22"/>
          <w:lang w:val="hu-HU"/>
        </w:rPr>
        <w:t xml:space="preserve"> </w:t>
      </w:r>
      <w:r w:rsidRPr="00C01E0F">
        <w:rPr>
          <w:rFonts w:eastAsiaTheme="minorHAnsi"/>
          <w:sz w:val="22"/>
          <w:szCs w:val="22"/>
          <w:lang w:val="hu-HU"/>
        </w:rPr>
        <w:t>orális buszulfánnal</w:t>
      </w:r>
      <w:r>
        <w:rPr>
          <w:rFonts w:eastAsiaTheme="minorHAnsi"/>
          <w:sz w:val="22"/>
          <w:szCs w:val="22"/>
          <w:lang w:val="hu-HU"/>
        </w:rPr>
        <w:t xml:space="preserve"> kapcsolatban</w:t>
      </w:r>
    </w:p>
    <w:p w14:paraId="47A8FC3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38DFB5B3" w14:textId="77777777" w:rsidR="00944C5C" w:rsidRPr="00C01E0F" w:rsidRDefault="00944C5C" w:rsidP="000E5C17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Buszulfán fludarabinnal (FB)</w:t>
      </w:r>
      <w:r w:rsidRPr="0017787D">
        <w:rPr>
          <w:rFonts w:eastAsiaTheme="minorHAnsi"/>
          <w:i/>
          <w:iCs/>
          <w:u w:val="single"/>
          <w:lang w:val="hu-HU"/>
        </w:rPr>
        <w:t xml:space="preserve"> </w:t>
      </w:r>
      <w:r w:rsidRPr="00C01E0F">
        <w:rPr>
          <w:rFonts w:eastAsiaTheme="minorHAnsi"/>
          <w:i/>
          <w:iCs/>
          <w:u w:val="single"/>
          <w:lang w:val="hu-HU"/>
        </w:rPr>
        <w:t>kombinálva</w:t>
      </w:r>
    </w:p>
    <w:p w14:paraId="794A5BF5" w14:textId="1AECB217" w:rsidR="00944C5C" w:rsidRPr="00C01E0F" w:rsidRDefault="00944C5C" w:rsidP="000E5C17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következő táblázatban szereplő </w:t>
      </w:r>
      <w:r w:rsidR="000E5C17">
        <w:rPr>
          <w:rFonts w:eastAsiaTheme="minorHAnsi"/>
          <w:lang w:val="hu-HU"/>
        </w:rPr>
        <w:t>minden egyes</w:t>
      </w:r>
      <w:r w:rsidRPr="00C01E0F">
        <w:rPr>
          <w:rFonts w:eastAsiaTheme="minorHAnsi"/>
          <w:lang w:val="hu-HU"/>
        </w:rPr>
        <w:t xml:space="preserve"> mellékhatás gyakoriságának meghatározása az olyan publikált klinikai vizsgálatokban megfigyelt legnagyobb előfordulási gyakoriságuk alapján történt, </w:t>
      </w:r>
      <w:r>
        <w:rPr>
          <w:rFonts w:eastAsiaTheme="minorHAnsi"/>
          <w:lang w:val="hu-HU"/>
        </w:rPr>
        <w:lastRenderedPageBreak/>
        <w:t>amelyekben</w:t>
      </w:r>
      <w:r w:rsidRPr="00C01E0F">
        <w:rPr>
          <w:rFonts w:eastAsiaTheme="minorHAnsi"/>
          <w:lang w:val="hu-HU"/>
        </w:rPr>
        <w:t xml:space="preserve"> RIC sémát alkalmaztak, és a beteget egyértelműen azonosíthatóan FB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vel kezelték, bármi is volt a buszulfán adagolási rendje és a végpontok. Azokat a mellékhatásokat, amelyek</w:t>
      </w:r>
      <w:r>
        <w:rPr>
          <w:rFonts w:eastAsiaTheme="minorHAnsi"/>
          <w:lang w:val="hu-HU"/>
        </w:rPr>
        <w:t>et</w:t>
      </w:r>
      <w:r w:rsidRPr="00C01E0F">
        <w:rPr>
          <w:rFonts w:eastAsiaTheme="minorHAnsi"/>
          <w:lang w:val="hu-HU"/>
        </w:rPr>
        <w:t xml:space="preserve"> egy </w:t>
      </w:r>
      <w:r w:rsidR="00F92A40">
        <w:rPr>
          <w:rFonts w:eastAsiaTheme="minorHAnsi"/>
          <w:lang w:val="hu-HU"/>
        </w:rPr>
        <w:t>izolált</w:t>
      </w:r>
      <w:r w:rsidRPr="00C01E0F">
        <w:rPr>
          <w:rFonts w:eastAsiaTheme="minorHAnsi"/>
          <w:lang w:val="hu-HU"/>
        </w:rPr>
        <w:t xml:space="preserve"> esetnél gyakrabban </w:t>
      </w:r>
      <w:r>
        <w:rPr>
          <w:rFonts w:eastAsiaTheme="minorHAnsi"/>
          <w:lang w:val="hu-HU"/>
        </w:rPr>
        <w:t xml:space="preserve">jelentettek, </w:t>
      </w:r>
      <w:r w:rsidRPr="00C01E0F">
        <w:rPr>
          <w:rFonts w:eastAsiaTheme="minorHAnsi"/>
          <w:lang w:val="hu-HU"/>
        </w:rPr>
        <w:t>az alábbi táblázat tartalmazza szervrendszer és gyakoriság szerint csoportosítva.</w:t>
      </w:r>
    </w:p>
    <w:p w14:paraId="34B6AE3B" w14:textId="77777777" w:rsidR="00944C5C" w:rsidRPr="00C01E0F" w:rsidRDefault="00944C5C" w:rsidP="000E5C17">
      <w:pPr>
        <w:keepNext/>
        <w:autoSpaceDE w:val="0"/>
        <w:autoSpaceDN w:val="0"/>
        <w:adjustRightInd w:val="0"/>
        <w:spacing w:line="240" w:lineRule="auto"/>
        <w:jc w:val="both"/>
        <w:rPr>
          <w:rFonts w:eastAsia="SimSun"/>
          <w:lang w:val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830"/>
        <w:gridCol w:w="2422"/>
      </w:tblGrid>
      <w:tr w:rsidR="00944C5C" w:rsidRPr="00C01E0F" w14:paraId="17F39562" w14:textId="77777777" w:rsidTr="000E5C17">
        <w:trPr>
          <w:tblHeader/>
        </w:trPr>
        <w:tc>
          <w:tcPr>
            <w:tcW w:w="2547" w:type="dxa"/>
          </w:tcPr>
          <w:p w14:paraId="5F46DA62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Szervrendszer</w:t>
            </w:r>
          </w:p>
        </w:tc>
        <w:tc>
          <w:tcPr>
            <w:tcW w:w="2410" w:type="dxa"/>
          </w:tcPr>
          <w:p w14:paraId="3C34D059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Nagyon gyakori</w:t>
            </w:r>
          </w:p>
        </w:tc>
        <w:tc>
          <w:tcPr>
            <w:tcW w:w="1830" w:type="dxa"/>
          </w:tcPr>
          <w:p w14:paraId="5129ABA4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Gyakori</w:t>
            </w:r>
          </w:p>
        </w:tc>
        <w:tc>
          <w:tcPr>
            <w:tcW w:w="2422" w:type="dxa"/>
          </w:tcPr>
          <w:p w14:paraId="46AA8D17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ismert</w:t>
            </w:r>
            <w:r w:rsidRPr="00C01E0F">
              <w:rPr>
                <w:rFonts w:eastAsia="SimSun"/>
                <w:lang w:val="hu-HU"/>
              </w:rPr>
              <w:t>*</w:t>
            </w:r>
          </w:p>
        </w:tc>
      </w:tr>
      <w:tr w:rsidR="00944C5C" w:rsidRPr="00C01E0F" w14:paraId="4C502C0E" w14:textId="77777777" w:rsidTr="000E5C17">
        <w:tc>
          <w:tcPr>
            <w:tcW w:w="2547" w:type="dxa"/>
          </w:tcPr>
          <w:p w14:paraId="76B684E6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Fertőző betegségek és parazitafertőzések</w:t>
            </w:r>
          </w:p>
        </w:tc>
        <w:tc>
          <w:tcPr>
            <w:tcW w:w="2410" w:type="dxa"/>
          </w:tcPr>
          <w:p w14:paraId="53156384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Vírusfertőzés</w:t>
            </w:r>
          </w:p>
          <w:p w14:paraId="76979172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CMV reaktiválódás</w:t>
            </w:r>
          </w:p>
          <w:p w14:paraId="2FB3C218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EBV reaktiválódás</w:t>
            </w:r>
          </w:p>
          <w:p w14:paraId="1E29D9FA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Bakteriális fertőzés</w:t>
            </w:r>
          </w:p>
        </w:tc>
        <w:tc>
          <w:tcPr>
            <w:tcW w:w="1830" w:type="dxa"/>
          </w:tcPr>
          <w:p w14:paraId="469C1BB2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Invazív gombás</w:t>
            </w:r>
            <w:r w:rsidR="00440A5A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fertőzés</w:t>
            </w:r>
          </w:p>
          <w:p w14:paraId="6DDF4744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Tüdőfertőzés</w:t>
            </w:r>
          </w:p>
        </w:tc>
        <w:tc>
          <w:tcPr>
            <w:tcW w:w="2422" w:type="dxa"/>
          </w:tcPr>
          <w:p w14:paraId="29BDE01C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Agytályog</w:t>
            </w:r>
          </w:p>
          <w:p w14:paraId="744B54EE" w14:textId="77777777" w:rsidR="00944C5C" w:rsidRPr="00C01E0F" w:rsidRDefault="00944C5C" w:rsidP="000E5C17">
            <w:pPr>
              <w:keepNext/>
              <w:suppressLineNumbers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Cellulitis</w:t>
            </w:r>
          </w:p>
          <w:p w14:paraId="09062899" w14:textId="77777777" w:rsidR="00944C5C" w:rsidRPr="00C01E0F" w:rsidRDefault="00944C5C" w:rsidP="000E5C17">
            <w:pPr>
              <w:keepNext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Sepsis</w:t>
            </w:r>
          </w:p>
        </w:tc>
      </w:tr>
      <w:tr w:rsidR="00944C5C" w:rsidRPr="00C01E0F" w14:paraId="450C57E4" w14:textId="77777777" w:rsidTr="000E5C17">
        <w:tc>
          <w:tcPr>
            <w:tcW w:w="2547" w:type="dxa"/>
          </w:tcPr>
          <w:p w14:paraId="3AB6F0F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Vérképzőszervi és nyirokrendszeri</w:t>
            </w:r>
          </w:p>
          <w:p w14:paraId="17466848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410" w:type="dxa"/>
          </w:tcPr>
          <w:p w14:paraId="031B490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48CC83B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68E57026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Lázas neutropenia</w:t>
            </w:r>
          </w:p>
        </w:tc>
      </w:tr>
      <w:tr w:rsidR="00944C5C" w:rsidRPr="00C01E0F" w14:paraId="13F184D3" w14:textId="77777777" w:rsidTr="000E5C17">
        <w:tc>
          <w:tcPr>
            <w:tcW w:w="2547" w:type="dxa"/>
          </w:tcPr>
          <w:p w14:paraId="0594A9DC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Anyagcsere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táplálkozási betegségek</w:t>
            </w:r>
            <w:r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és tünetek</w:t>
            </w:r>
          </w:p>
        </w:tc>
        <w:tc>
          <w:tcPr>
            <w:tcW w:w="2410" w:type="dxa"/>
          </w:tcPr>
          <w:p w14:paraId="33452335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Hypoalbuminaemia</w:t>
            </w:r>
          </w:p>
          <w:p w14:paraId="7E646A43" w14:textId="2F9833FE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Ele</w:t>
            </w:r>
            <w:r w:rsidR="00DC6692">
              <w:rPr>
                <w:rFonts w:eastAsiaTheme="minorHAnsi"/>
                <w:lang w:val="hu-HU"/>
              </w:rPr>
              <w:t>k</w:t>
            </w:r>
            <w:r w:rsidRPr="00C01E0F">
              <w:rPr>
                <w:rFonts w:eastAsiaTheme="minorHAnsi"/>
                <w:lang w:val="hu-HU"/>
              </w:rPr>
              <w:t>trolitzavar</w:t>
            </w:r>
          </w:p>
          <w:p w14:paraId="6D4D8D8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Hypergly</w:t>
            </w:r>
            <w:r>
              <w:rPr>
                <w:rFonts w:eastAsia="SimSun"/>
                <w:lang w:val="hu-HU"/>
              </w:rPr>
              <w:t>k</w:t>
            </w:r>
            <w:r w:rsidRPr="00C01E0F">
              <w:rPr>
                <w:rFonts w:eastAsia="SimSun"/>
                <w:lang w:val="hu-HU"/>
              </w:rPr>
              <w:t>aemia</w:t>
            </w:r>
          </w:p>
        </w:tc>
        <w:tc>
          <w:tcPr>
            <w:tcW w:w="1830" w:type="dxa"/>
          </w:tcPr>
          <w:p w14:paraId="533AE07C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14C2E5A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="SimSun"/>
                <w:lang w:val="hu-HU"/>
              </w:rPr>
              <w:t>Étvágytalanság</w:t>
            </w:r>
          </w:p>
        </w:tc>
      </w:tr>
      <w:tr w:rsidR="00944C5C" w:rsidRPr="00C01E0F" w14:paraId="71CB4828" w14:textId="77777777" w:rsidTr="000E5C17">
        <w:tc>
          <w:tcPr>
            <w:tcW w:w="2547" w:type="dxa"/>
          </w:tcPr>
          <w:p w14:paraId="338152DE" w14:textId="77777777" w:rsidR="00944C5C" w:rsidRPr="00C01E0F" w:rsidRDefault="00944C5C" w:rsidP="000E5C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Pszichiátriai kórképek</w:t>
            </w:r>
          </w:p>
        </w:tc>
        <w:tc>
          <w:tcPr>
            <w:tcW w:w="2410" w:type="dxa"/>
          </w:tcPr>
          <w:p w14:paraId="0354DBAE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697C4B3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605DA4B7" w14:textId="0578E437" w:rsidR="00944C5C" w:rsidRPr="00C01E0F" w:rsidRDefault="00F92A40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Agitatio</w:t>
            </w:r>
          </w:p>
          <w:p w14:paraId="0384F260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Zavart </w:t>
            </w:r>
            <w:r>
              <w:rPr>
                <w:rFonts w:eastAsiaTheme="minorHAnsi"/>
                <w:lang w:val="hu-HU"/>
              </w:rPr>
              <w:t>tudat</w:t>
            </w:r>
            <w:r w:rsidRPr="00C01E0F">
              <w:rPr>
                <w:rFonts w:eastAsiaTheme="minorHAnsi"/>
                <w:lang w:val="hu-HU"/>
              </w:rPr>
              <w:t>állapot</w:t>
            </w:r>
          </w:p>
          <w:p w14:paraId="1E5303F3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Hallucináció</w:t>
            </w:r>
          </w:p>
        </w:tc>
      </w:tr>
      <w:tr w:rsidR="00944C5C" w:rsidRPr="00C01E0F" w14:paraId="2710DB61" w14:textId="77777777" w:rsidTr="000E5C17">
        <w:tc>
          <w:tcPr>
            <w:tcW w:w="2547" w:type="dxa"/>
          </w:tcPr>
          <w:p w14:paraId="1E9C204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Idegrendszeri betegségek és tünetek</w:t>
            </w:r>
          </w:p>
        </w:tc>
        <w:tc>
          <w:tcPr>
            <w:tcW w:w="2410" w:type="dxa"/>
          </w:tcPr>
          <w:p w14:paraId="668F972A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2DA70FC2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Fejfájás</w:t>
            </w:r>
          </w:p>
          <w:p w14:paraId="7D1455B9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Idegrendszeri</w:t>
            </w:r>
            <w:r w:rsidR="00440A5A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betegségek [</w:t>
            </w:r>
            <w:r>
              <w:rPr>
                <w:rFonts w:eastAsiaTheme="minorHAnsi"/>
                <w:lang w:val="hu-HU"/>
              </w:rPr>
              <w:t>máshová</w:t>
            </w:r>
          </w:p>
          <w:p w14:paraId="102988A8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besorolt]</w:t>
            </w:r>
          </w:p>
        </w:tc>
        <w:tc>
          <w:tcPr>
            <w:tcW w:w="2422" w:type="dxa"/>
          </w:tcPr>
          <w:p w14:paraId="246C3E9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Agyvérzés</w:t>
            </w:r>
          </w:p>
          <w:p w14:paraId="67AB05F8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Encephalopathia</w:t>
            </w:r>
          </w:p>
        </w:tc>
      </w:tr>
      <w:tr w:rsidR="00944C5C" w:rsidRPr="00C01E0F" w14:paraId="201D1439" w14:textId="77777777" w:rsidTr="000E5C17">
        <w:tc>
          <w:tcPr>
            <w:tcW w:w="2547" w:type="dxa"/>
          </w:tcPr>
          <w:p w14:paraId="4CBCDB60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Szívbetegségek és a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szívvel kapcsolatos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tünetek</w:t>
            </w:r>
          </w:p>
        </w:tc>
        <w:tc>
          <w:tcPr>
            <w:tcW w:w="2410" w:type="dxa"/>
          </w:tcPr>
          <w:p w14:paraId="0438C221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107C0DB6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0226A88E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Pitvarfibrilláció</w:t>
            </w:r>
          </w:p>
        </w:tc>
      </w:tr>
      <w:tr w:rsidR="00944C5C" w:rsidRPr="00C01E0F" w14:paraId="435592A4" w14:textId="77777777" w:rsidTr="000E5C17">
        <w:tc>
          <w:tcPr>
            <w:tcW w:w="2547" w:type="dxa"/>
          </w:tcPr>
          <w:p w14:paraId="169D90E0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Érbetegségek és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tünetek</w:t>
            </w:r>
          </w:p>
        </w:tc>
        <w:tc>
          <w:tcPr>
            <w:tcW w:w="2410" w:type="dxa"/>
          </w:tcPr>
          <w:p w14:paraId="35CB9467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5E0901A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Hypertonia</w:t>
            </w:r>
          </w:p>
        </w:tc>
        <w:tc>
          <w:tcPr>
            <w:tcW w:w="2422" w:type="dxa"/>
          </w:tcPr>
          <w:p w14:paraId="1A90E2B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</w:tr>
      <w:tr w:rsidR="00944C5C" w:rsidRPr="00C01E0F" w14:paraId="1C4ACE9D" w14:textId="77777777" w:rsidTr="000E5C17">
        <w:tc>
          <w:tcPr>
            <w:tcW w:w="2547" w:type="dxa"/>
          </w:tcPr>
          <w:p w14:paraId="44E77E76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Légzőrendszeri,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mellkasi és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mediastinalis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410" w:type="dxa"/>
          </w:tcPr>
          <w:p w14:paraId="7FEB496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006B309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Tüdővérzés</w:t>
            </w:r>
          </w:p>
        </w:tc>
        <w:tc>
          <w:tcPr>
            <w:tcW w:w="2422" w:type="dxa"/>
          </w:tcPr>
          <w:p w14:paraId="2B349BD4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Légzési elégtelenség</w:t>
            </w:r>
          </w:p>
        </w:tc>
      </w:tr>
      <w:tr w:rsidR="00944C5C" w:rsidRPr="00C01E0F" w14:paraId="1E2102E3" w14:textId="77777777" w:rsidTr="000E5C17">
        <w:tc>
          <w:tcPr>
            <w:tcW w:w="2547" w:type="dxa"/>
          </w:tcPr>
          <w:p w14:paraId="7CE51DA8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Emésztőrendszeri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410" w:type="dxa"/>
          </w:tcPr>
          <w:p w14:paraId="7CAFBC90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Hányinger</w:t>
            </w:r>
          </w:p>
          <w:p w14:paraId="7CE1D293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Hányás</w:t>
            </w:r>
          </w:p>
          <w:p w14:paraId="7E5851C0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Hasmenés</w:t>
            </w:r>
          </w:p>
          <w:p w14:paraId="1D4538CD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Stomatitis</w:t>
            </w:r>
          </w:p>
        </w:tc>
        <w:tc>
          <w:tcPr>
            <w:tcW w:w="1830" w:type="dxa"/>
          </w:tcPr>
          <w:p w14:paraId="03A0C24E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494AD5CB" w14:textId="77777777" w:rsidR="00944C5C" w:rsidRPr="001A12E0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eastAsiaTheme="minorHAnsi"/>
                <w:lang w:val="hu-HU"/>
              </w:rPr>
            </w:pPr>
            <w:r w:rsidRPr="001A12E0">
              <w:rPr>
                <w:rFonts w:eastAsiaTheme="minorHAnsi"/>
                <w:lang w:val="hu-HU"/>
              </w:rPr>
              <w:t>Gastrointestinalis vérzés</w:t>
            </w:r>
          </w:p>
          <w:p w14:paraId="56F8B412" w14:textId="1004E867" w:rsidR="00F92A40" w:rsidRPr="001A12E0" w:rsidRDefault="001A12E0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eastAsia="SimSun"/>
                <w:lang w:val="hu-HU"/>
              </w:rPr>
            </w:pPr>
            <w:r w:rsidRPr="001A12E0">
              <w:rPr>
                <w:rFonts w:eastAsiaTheme="minorHAnsi"/>
                <w:lang w:val="hu-HU"/>
              </w:rPr>
              <w:t>Fog-hypoplasia</w:t>
            </w:r>
            <w:r w:rsidRPr="009E01C5">
              <w:t>*</w:t>
            </w:r>
          </w:p>
        </w:tc>
      </w:tr>
      <w:tr w:rsidR="00944C5C" w:rsidRPr="00C01E0F" w14:paraId="3E0A38C3" w14:textId="77777777" w:rsidTr="000E5C17">
        <w:tc>
          <w:tcPr>
            <w:tcW w:w="2547" w:type="dxa"/>
          </w:tcPr>
          <w:p w14:paraId="73788AF7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Máj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epebetegségek,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illetve tünetek</w:t>
            </w:r>
          </w:p>
        </w:tc>
        <w:tc>
          <w:tcPr>
            <w:tcW w:w="2410" w:type="dxa"/>
          </w:tcPr>
          <w:p w14:paraId="72781106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V</w:t>
            </w:r>
            <w:r w:rsidRPr="00C01E0F">
              <w:rPr>
                <w:rFonts w:eastAsiaTheme="minorHAnsi"/>
                <w:lang w:val="hu-HU"/>
              </w:rPr>
              <w:t xml:space="preserve">enoocclusiv </w:t>
            </w:r>
            <w:r>
              <w:rPr>
                <w:rFonts w:eastAsiaTheme="minorHAnsi"/>
                <w:lang w:val="hu-HU"/>
              </w:rPr>
              <w:t>májbetegség</w:t>
            </w:r>
          </w:p>
        </w:tc>
        <w:tc>
          <w:tcPr>
            <w:tcW w:w="1830" w:type="dxa"/>
          </w:tcPr>
          <w:p w14:paraId="0332179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33BF611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Icterus</w:t>
            </w:r>
          </w:p>
          <w:p w14:paraId="4FFD2892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Májbetegségek</w:t>
            </w:r>
          </w:p>
        </w:tc>
      </w:tr>
      <w:tr w:rsidR="00944C5C" w:rsidRPr="00C01E0F" w14:paraId="3DF9D2F0" w14:textId="77777777" w:rsidTr="000E5C17">
        <w:tc>
          <w:tcPr>
            <w:tcW w:w="2547" w:type="dxa"/>
          </w:tcPr>
          <w:p w14:paraId="293074DF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bőr és a bőr alatti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szövet betegségei és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tünetei</w:t>
            </w:r>
          </w:p>
        </w:tc>
        <w:tc>
          <w:tcPr>
            <w:tcW w:w="2410" w:type="dxa"/>
          </w:tcPr>
          <w:p w14:paraId="4300554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1830" w:type="dxa"/>
          </w:tcPr>
          <w:p w14:paraId="7ED5069E" w14:textId="77777777" w:rsidR="00944C5C" w:rsidRPr="00C01E0F" w:rsidRDefault="00440A5A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Bőrk</w:t>
            </w:r>
            <w:r w:rsidR="00944C5C" w:rsidRPr="00C01E0F">
              <w:rPr>
                <w:rFonts w:eastAsiaTheme="minorHAnsi"/>
                <w:lang w:val="hu-HU"/>
              </w:rPr>
              <w:t>iütés</w:t>
            </w:r>
          </w:p>
        </w:tc>
        <w:tc>
          <w:tcPr>
            <w:tcW w:w="2422" w:type="dxa"/>
          </w:tcPr>
          <w:p w14:paraId="4D6BDC93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</w:tr>
      <w:tr w:rsidR="00944C5C" w:rsidRPr="00C01E0F" w14:paraId="43597F0A" w14:textId="77777777" w:rsidTr="000E5C17">
        <w:tc>
          <w:tcPr>
            <w:tcW w:w="2547" w:type="dxa"/>
          </w:tcPr>
          <w:p w14:paraId="341E0B5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Vese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húgyúti</w:t>
            </w:r>
          </w:p>
          <w:p w14:paraId="7FA6E83E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410" w:type="dxa"/>
          </w:tcPr>
          <w:p w14:paraId="41287D39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Haemorrhagiás cystitis**</w:t>
            </w:r>
          </w:p>
        </w:tc>
        <w:tc>
          <w:tcPr>
            <w:tcW w:w="1830" w:type="dxa"/>
          </w:tcPr>
          <w:p w14:paraId="4958C05C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Vesebetegség</w:t>
            </w:r>
          </w:p>
        </w:tc>
        <w:tc>
          <w:tcPr>
            <w:tcW w:w="2422" w:type="dxa"/>
          </w:tcPr>
          <w:p w14:paraId="6CD85C4A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Oliguria</w:t>
            </w:r>
          </w:p>
        </w:tc>
      </w:tr>
      <w:tr w:rsidR="00944C5C" w:rsidRPr="00C01E0F" w14:paraId="3681FE85" w14:textId="77777777" w:rsidTr="000E5C17">
        <w:tc>
          <w:tcPr>
            <w:tcW w:w="2547" w:type="dxa"/>
          </w:tcPr>
          <w:p w14:paraId="5B6B7BB9" w14:textId="77777777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Általános tünetek, az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alkalmazás helyén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fellépő reakciók</w:t>
            </w:r>
          </w:p>
        </w:tc>
        <w:tc>
          <w:tcPr>
            <w:tcW w:w="2410" w:type="dxa"/>
          </w:tcPr>
          <w:p w14:paraId="457640EC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Nyálkahártya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>gyulladás</w:t>
            </w:r>
          </w:p>
        </w:tc>
        <w:tc>
          <w:tcPr>
            <w:tcW w:w="1830" w:type="dxa"/>
          </w:tcPr>
          <w:p w14:paraId="64A579F8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422" w:type="dxa"/>
          </w:tcPr>
          <w:p w14:paraId="3B450FF0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Gyengeség</w:t>
            </w:r>
          </w:p>
          <w:p w14:paraId="638132C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Oedema</w:t>
            </w:r>
          </w:p>
          <w:p w14:paraId="6E866FF5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Fájdalom</w:t>
            </w:r>
          </w:p>
        </w:tc>
      </w:tr>
      <w:tr w:rsidR="00944C5C" w:rsidRPr="00C01E0F" w14:paraId="48F9C2FC" w14:textId="77777777" w:rsidTr="000E5C17">
        <w:tc>
          <w:tcPr>
            <w:tcW w:w="2547" w:type="dxa"/>
          </w:tcPr>
          <w:p w14:paraId="340DF92D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Laboratóriumi és egyéb vizsgálatok eredményei</w:t>
            </w:r>
          </w:p>
        </w:tc>
        <w:tc>
          <w:tcPr>
            <w:tcW w:w="2410" w:type="dxa"/>
          </w:tcPr>
          <w:p w14:paraId="171D0A6B" w14:textId="7D0F620C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transzamináz</w:t>
            </w:r>
            <w:r w:rsidR="00DC6692">
              <w:rPr>
                <w:rFonts w:eastAsiaTheme="minorHAnsi"/>
                <w:lang w:val="hu-HU"/>
              </w:rPr>
              <w:t>szint</w:t>
            </w:r>
          </w:p>
          <w:p w14:paraId="502560E5" w14:textId="426123E5" w:rsidR="00944C5C" w:rsidRPr="00C01E0F" w:rsidRDefault="00944C5C" w:rsidP="005C219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bilirubinszint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Emelkedet</w:t>
            </w:r>
            <w:r w:rsidR="000E5C17">
              <w:rPr>
                <w:rFonts w:eastAsiaTheme="minorHAnsi"/>
                <w:lang w:val="hu-HU"/>
              </w:rPr>
              <w:t xml:space="preserve">t </w:t>
            </w:r>
            <w:r w:rsidRPr="00C01E0F">
              <w:rPr>
                <w:rFonts w:eastAsiaTheme="minorHAnsi"/>
                <w:lang w:val="hu-HU"/>
              </w:rPr>
              <w:t>alkalikus foszfatáz</w:t>
            </w:r>
            <w:r w:rsidR="00DC6692">
              <w:rPr>
                <w:rFonts w:eastAsiaTheme="minorHAnsi"/>
                <w:lang w:val="hu-HU"/>
              </w:rPr>
              <w:t>szint</w:t>
            </w:r>
          </w:p>
        </w:tc>
        <w:tc>
          <w:tcPr>
            <w:tcW w:w="1830" w:type="dxa"/>
          </w:tcPr>
          <w:p w14:paraId="4503099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kreatinin</w:t>
            </w:r>
          </w:p>
        </w:tc>
        <w:tc>
          <w:tcPr>
            <w:tcW w:w="2422" w:type="dxa"/>
          </w:tcPr>
          <w:p w14:paraId="2094660A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vér emelkedett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laktát</w:t>
            </w:r>
            <w:r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>dehidrogenáz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szintje</w:t>
            </w:r>
          </w:p>
          <w:p w14:paraId="781B423B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vér emelkedett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húgysavszintje</w:t>
            </w:r>
          </w:p>
          <w:p w14:paraId="48C8BEE7" w14:textId="77777777" w:rsidR="00944C5C" w:rsidRPr="00C01E0F" w:rsidRDefault="00944C5C" w:rsidP="001F72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vér emelkedett</w:t>
            </w:r>
            <w:r w:rsidR="005C219B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karbamidszintje</w:t>
            </w:r>
          </w:p>
          <w:p w14:paraId="58508C4B" w14:textId="77777777" w:rsidR="00944C5C" w:rsidRPr="00C01E0F" w:rsidRDefault="00944C5C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GGT</w:t>
            </w:r>
            <w:r>
              <w:rPr>
                <w:rFonts w:eastAsiaTheme="minorHAnsi"/>
                <w:lang w:val="hu-HU"/>
              </w:rPr>
              <w:noBreakHyphen/>
              <w:t>szint</w:t>
            </w:r>
          </w:p>
          <w:p w14:paraId="2522F410" w14:textId="52317133" w:rsidR="00944C5C" w:rsidRPr="00C01E0F" w:rsidRDefault="005C219B" w:rsidP="001F7232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Testtömeg-</w:t>
            </w:r>
            <w:r w:rsidR="00DC6692">
              <w:rPr>
                <w:rFonts w:eastAsiaTheme="minorHAnsi"/>
                <w:lang w:val="hu-HU"/>
              </w:rPr>
              <w:t>növekedés</w:t>
            </w:r>
          </w:p>
        </w:tc>
      </w:tr>
    </w:tbl>
    <w:p w14:paraId="30BA07BA" w14:textId="77777777" w:rsidR="00944C5C" w:rsidRPr="00C01E0F" w:rsidRDefault="00944C5C" w:rsidP="00944C5C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 </w:t>
      </w:r>
      <w:r w:rsidR="005C219B">
        <w:rPr>
          <w:color w:val="auto"/>
          <w:sz w:val="22"/>
          <w:szCs w:val="22"/>
          <w:lang w:val="hu-HU"/>
        </w:rPr>
        <w:t xml:space="preserve">a </w:t>
      </w:r>
      <w:r w:rsidRPr="00C01E0F">
        <w:rPr>
          <w:rFonts w:eastAsiaTheme="minorHAnsi"/>
          <w:sz w:val="22"/>
          <w:szCs w:val="22"/>
          <w:lang w:val="hu-HU"/>
        </w:rPr>
        <w:t>forgalomba hozatal után jelent</w:t>
      </w:r>
      <w:r w:rsidR="005C219B">
        <w:rPr>
          <w:rFonts w:eastAsiaTheme="minorHAnsi"/>
          <w:sz w:val="22"/>
          <w:szCs w:val="22"/>
          <w:lang w:val="hu-HU"/>
        </w:rPr>
        <w:t>ették</w:t>
      </w:r>
    </w:p>
    <w:p w14:paraId="6BC73DAA" w14:textId="77777777" w:rsidR="00944C5C" w:rsidRPr="00C01E0F" w:rsidRDefault="00944C5C" w:rsidP="00944C5C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** </w:t>
      </w:r>
      <w:r w:rsidRPr="00C01E0F">
        <w:rPr>
          <w:rFonts w:eastAsiaTheme="minorHAnsi"/>
          <w:sz w:val="22"/>
          <w:szCs w:val="22"/>
          <w:lang w:val="hu-HU"/>
        </w:rPr>
        <w:t>beleértve a vírusfertőzés által okozott haemorrhagiás cystitist</w:t>
      </w:r>
    </w:p>
    <w:p w14:paraId="55958D74" w14:textId="77777777" w:rsidR="00944C5C" w:rsidRPr="00C01E0F" w:rsidRDefault="00944C5C" w:rsidP="00944C5C">
      <w:pPr>
        <w:spacing w:line="240" w:lineRule="auto"/>
        <w:rPr>
          <w:u w:val="single"/>
          <w:lang w:val="hu-HU"/>
        </w:rPr>
      </w:pPr>
    </w:p>
    <w:p w14:paraId="65608E27" w14:textId="77777777" w:rsidR="00C52021" w:rsidRPr="00CF4DC9" w:rsidRDefault="00C52021" w:rsidP="00387FBD">
      <w:pPr>
        <w:keepNext/>
        <w:spacing w:line="240" w:lineRule="auto"/>
        <w:rPr>
          <w:u w:val="single"/>
          <w:lang w:val="hu-HU"/>
        </w:rPr>
      </w:pPr>
      <w:r w:rsidRPr="00CF4DC9">
        <w:rPr>
          <w:u w:val="single"/>
          <w:lang w:val="hu-HU"/>
        </w:rPr>
        <w:t>Feltételezett mellékhatások bejelentése</w:t>
      </w:r>
    </w:p>
    <w:p w14:paraId="443A6767" w14:textId="77777777" w:rsidR="00944C5C" w:rsidRPr="00C01E0F" w:rsidRDefault="00C52021" w:rsidP="00387FBD">
      <w:pPr>
        <w:keepNext/>
        <w:spacing w:line="240" w:lineRule="auto"/>
        <w:rPr>
          <w:lang w:val="hu-HU"/>
        </w:rPr>
      </w:pPr>
      <w:r w:rsidRPr="00D0750E">
        <w:rPr>
          <w:lang w:val="hu-HU"/>
        </w:rPr>
        <w:t>A gyógyszer engedélyezését követően lényeges a feltételezett mellékhatások bejelentése, mert ez fontos eszköze annak, hogy a gyógyszer</w:t>
      </w:r>
      <w:r>
        <w:rPr>
          <w:lang w:val="hu-HU"/>
        </w:rPr>
        <w:t xml:space="preserve"> </w:t>
      </w:r>
      <w:r w:rsidRPr="00D0750E">
        <w:rPr>
          <w:lang w:val="hu-HU"/>
        </w:rPr>
        <w:t>előny/kockázat profilját folyamatosan figyelemmel lehessen kísérni. Az egészségügyi szakembereket kérjük,</w:t>
      </w:r>
      <w:r>
        <w:rPr>
          <w:lang w:val="hu-HU"/>
        </w:rPr>
        <w:t xml:space="preserve"> </w:t>
      </w:r>
      <w:r w:rsidRPr="00D0750E">
        <w:rPr>
          <w:lang w:val="hu-HU"/>
        </w:rPr>
        <w:t xml:space="preserve">hogy jelentsék be a feltételezett mellékhatásokat a hatóság részére az </w:t>
      </w:r>
      <w:hyperlink r:id="rId8" w:history="1">
        <w:r w:rsidRPr="00836C13">
          <w:rPr>
            <w:rStyle w:val="Hiperhivatkozs"/>
            <w:highlight w:val="lightGray"/>
            <w:lang w:val="hu-HU"/>
          </w:rPr>
          <w:t>V. függelékben</w:t>
        </w:r>
      </w:hyperlink>
      <w:r w:rsidRPr="00B33DC3">
        <w:rPr>
          <w:highlight w:val="lightGray"/>
          <w:lang w:val="hu-HU"/>
        </w:rPr>
        <w:t xml:space="preserve"> található elérhetőségek valamelyikén keresztül</w:t>
      </w:r>
      <w:r>
        <w:rPr>
          <w:lang w:val="hu-HU"/>
        </w:rPr>
        <w:t>.</w:t>
      </w:r>
    </w:p>
    <w:p w14:paraId="0F9DB037" w14:textId="77777777" w:rsidR="00944C5C" w:rsidRPr="0049318A" w:rsidRDefault="00944C5C" w:rsidP="00944C5C">
      <w:pPr>
        <w:spacing w:line="240" w:lineRule="auto"/>
        <w:rPr>
          <w:bCs/>
          <w:noProof/>
          <w:lang w:val="hu-HU"/>
        </w:rPr>
      </w:pPr>
    </w:p>
    <w:p w14:paraId="2F7DE0A2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4.9</w:t>
      </w:r>
      <w:r w:rsidRPr="00C01E0F">
        <w:rPr>
          <w:b/>
          <w:bCs/>
          <w:lang w:val="hu-HU"/>
        </w:rPr>
        <w:tab/>
        <w:t>Túladagolás</w:t>
      </w:r>
    </w:p>
    <w:p w14:paraId="0B1F789A" w14:textId="77777777" w:rsidR="00944C5C" w:rsidRPr="0049318A" w:rsidRDefault="00944C5C" w:rsidP="0049318A">
      <w:pPr>
        <w:widowControl w:val="0"/>
        <w:spacing w:line="240" w:lineRule="auto"/>
        <w:ind w:left="567" w:hanging="567"/>
        <w:outlineLvl w:val="0"/>
        <w:rPr>
          <w:bCs/>
          <w:lang w:val="hu-HU"/>
        </w:rPr>
      </w:pPr>
    </w:p>
    <w:p w14:paraId="516265F0" w14:textId="77777777" w:rsidR="00944C5C" w:rsidRPr="00C01E0F" w:rsidRDefault="00944C5C" w:rsidP="0049318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legfőbb toxikus hatás a kifejezett myeloablatio és pancytopenia, de a központi idegrendszer, a máj, 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tüdő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valamint a </w:t>
      </w:r>
      <w:r w:rsidRPr="009853A8">
        <w:rPr>
          <w:lang w:val="hu-HU"/>
        </w:rPr>
        <w:t>gastrointestinalis</w:t>
      </w:r>
      <w:r w:rsidRPr="00C01E0F">
        <w:rPr>
          <w:rFonts w:eastAsiaTheme="minorHAnsi"/>
          <w:lang w:val="hu-HU"/>
        </w:rPr>
        <w:t xml:space="preserve"> traktus is érintett lehet.</w:t>
      </w:r>
    </w:p>
    <w:p w14:paraId="46ED98A8" w14:textId="77777777" w:rsidR="00944C5C" w:rsidRPr="00C01E0F" w:rsidRDefault="00944C5C" w:rsidP="0049318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4063129" w14:textId="6B41DFBF" w:rsidR="00944C5C" w:rsidRDefault="00944C5C" w:rsidP="0049318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Pr="009853A8">
        <w:rPr>
          <w:lang w:val="hu-HU"/>
        </w:rPr>
        <w:t>buszulfánnak</w:t>
      </w:r>
      <w:r w:rsidRPr="00C01E0F">
        <w:rPr>
          <w:rFonts w:eastAsiaTheme="minorHAnsi"/>
          <w:lang w:val="hu-HU"/>
        </w:rPr>
        <w:t xml:space="preserve"> a </w:t>
      </w:r>
      <w:r w:rsidR="00CF6F9E">
        <w:rPr>
          <w:rFonts w:eastAsiaTheme="minorHAnsi"/>
          <w:lang w:val="hu-HU"/>
        </w:rPr>
        <w:t>hemopoetikus</w:t>
      </w:r>
      <w:r w:rsidRPr="00C01E0F">
        <w:rPr>
          <w:rFonts w:eastAsiaTheme="minorHAnsi"/>
          <w:lang w:val="hu-HU"/>
        </w:rPr>
        <w:t xml:space="preserve"> 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</w:t>
      </w:r>
      <w:r>
        <w:rPr>
          <w:rFonts w:eastAsiaTheme="minorHAnsi"/>
          <w:lang w:val="hu-HU"/>
        </w:rPr>
        <w:t xml:space="preserve">n kívül </w:t>
      </w:r>
      <w:r w:rsidRPr="00C01E0F">
        <w:rPr>
          <w:rFonts w:eastAsiaTheme="minorHAnsi"/>
          <w:lang w:val="hu-HU"/>
        </w:rPr>
        <w:t>n</w:t>
      </w:r>
      <w:r>
        <w:rPr>
          <w:rFonts w:eastAsiaTheme="minorHAnsi"/>
          <w:lang w:val="hu-HU"/>
        </w:rPr>
        <w:t>incs más ismert antidotuma</w:t>
      </w:r>
      <w:r w:rsidRPr="00C01E0F">
        <w:rPr>
          <w:rFonts w:eastAsiaTheme="minorHAnsi"/>
          <w:lang w:val="hu-HU"/>
        </w:rPr>
        <w:t>.</w:t>
      </w:r>
      <w:r>
        <w:rPr>
          <w:rFonts w:eastAsiaTheme="minorHAnsi"/>
          <w:lang w:val="hu-HU"/>
        </w:rPr>
        <w:t xml:space="preserve"> </w:t>
      </w:r>
      <w:r w:rsidR="00CF6F9E">
        <w:rPr>
          <w:rFonts w:eastAsiaTheme="minorHAnsi"/>
          <w:lang w:val="hu-HU"/>
        </w:rPr>
        <w:t>Hemopoetikus</w:t>
      </w:r>
      <w:r w:rsidRPr="00C01E0F">
        <w:rPr>
          <w:rFonts w:eastAsiaTheme="minorHAnsi"/>
          <w:lang w:val="hu-HU"/>
        </w:rPr>
        <w:t xml:space="preserve"> őssejt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 hiányában 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ajánlott adagja buszulfán túladagolást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jelent</w:t>
      </w:r>
      <w:r w:rsidR="009D2850">
        <w:rPr>
          <w:rFonts w:eastAsiaTheme="minorHAnsi"/>
          <w:lang w:val="hu-HU"/>
        </w:rPr>
        <w:t>ene</w:t>
      </w:r>
      <w:r w:rsidRPr="00C01E0F">
        <w:rPr>
          <w:rFonts w:eastAsiaTheme="minorHAnsi"/>
          <w:lang w:val="hu-HU"/>
        </w:rPr>
        <w:t xml:space="preserve">. A hematológiai státusz szoros </w:t>
      </w:r>
      <w:r w:rsidR="00CC5FA5">
        <w:rPr>
          <w:rFonts w:eastAsiaTheme="minorHAnsi"/>
          <w:lang w:val="hu-HU"/>
        </w:rPr>
        <w:t>monitorozása</w:t>
      </w:r>
      <w:r w:rsidRPr="00C01E0F">
        <w:rPr>
          <w:rFonts w:eastAsiaTheme="minorHAnsi"/>
          <w:lang w:val="hu-HU"/>
        </w:rPr>
        <w:t xml:space="preserve"> szükséges, és ha orvosilag indokolt,</w:t>
      </w:r>
      <w:r>
        <w:rPr>
          <w:rFonts w:eastAsiaTheme="minorHAnsi"/>
          <w:lang w:val="hu-HU"/>
        </w:rPr>
        <w:t xml:space="preserve"> intenzív</w:t>
      </w:r>
      <w:r w:rsidRPr="00C01E0F">
        <w:rPr>
          <w:rFonts w:eastAsiaTheme="minorHAnsi"/>
          <w:lang w:val="hu-HU"/>
        </w:rPr>
        <w:t xml:space="preserve"> szupportív terápia bevezetése szükséges.</w:t>
      </w:r>
    </w:p>
    <w:p w14:paraId="1C98BA5A" w14:textId="77777777" w:rsidR="00944C5C" w:rsidRDefault="00944C5C" w:rsidP="0049318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Két </w:t>
      </w:r>
      <w:r w:rsidRPr="009853A8">
        <w:rPr>
          <w:lang w:val="hu-HU"/>
        </w:rPr>
        <w:t>beszámoló</w:t>
      </w:r>
      <w:r w:rsidRPr="00C01E0F">
        <w:rPr>
          <w:rFonts w:eastAsiaTheme="minorHAnsi"/>
          <w:lang w:val="hu-HU"/>
        </w:rPr>
        <w:t xml:space="preserve"> szerint a buszulfán dializálható, így a dialízis túladagolás esetén megfontolandó. Mivel</w:t>
      </w:r>
      <w:r>
        <w:rPr>
          <w:rFonts w:eastAsiaTheme="minorHAnsi"/>
          <w:lang w:val="hu-HU"/>
        </w:rPr>
        <w:t xml:space="preserve"> a buszulfán a glutation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konjugációval metabolizálódik, glutation alkalmazását mérlegelni lehet.</w:t>
      </w:r>
    </w:p>
    <w:p w14:paraId="2A31DAF9" w14:textId="77777777" w:rsidR="00944C5C" w:rsidRPr="00C01E0F" w:rsidRDefault="00944C5C" w:rsidP="0049318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5AA58D9" w14:textId="77777777" w:rsidR="00944C5C" w:rsidRPr="009D2850" w:rsidRDefault="00944C5C" w:rsidP="0049318A">
      <w:pPr>
        <w:widowControl w:val="0"/>
        <w:autoSpaceDE w:val="0"/>
        <w:autoSpaceDN w:val="0"/>
        <w:adjustRightInd w:val="0"/>
        <w:spacing w:line="240" w:lineRule="auto"/>
        <w:rPr>
          <w:bCs/>
          <w:lang w:val="hu-HU"/>
        </w:rPr>
      </w:pPr>
      <w:r w:rsidRPr="00C01E0F">
        <w:rPr>
          <w:rFonts w:eastAsiaTheme="minorHAnsi"/>
          <w:lang w:val="hu-HU"/>
        </w:rPr>
        <w:t xml:space="preserve">Tekintetbe </w:t>
      </w:r>
      <w:r w:rsidRPr="00B625E5">
        <w:rPr>
          <w:lang w:val="hu-HU"/>
        </w:rPr>
        <w:t>kell</w:t>
      </w:r>
      <w:r w:rsidRPr="00C01E0F">
        <w:rPr>
          <w:rFonts w:eastAsiaTheme="minorHAnsi"/>
          <w:lang w:val="hu-HU"/>
        </w:rPr>
        <w:t xml:space="preserve"> venni, hogy </w:t>
      </w:r>
      <w:r w:rsidR="009D2850">
        <w:rPr>
          <w:rFonts w:eastAsiaTheme="minorHAnsi"/>
          <w:lang w:val="hu-HU"/>
        </w:rPr>
        <w:t>a buszulfán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túladagolás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a dimetilacetamid (DMA) expozíciót is növeli.</w:t>
      </w:r>
      <w:r>
        <w:rPr>
          <w:rFonts w:eastAsiaTheme="minorHAnsi"/>
          <w:lang w:val="hu-HU"/>
        </w:rPr>
        <w:t xml:space="preserve"> Emberben a fő</w:t>
      </w:r>
      <w:r w:rsidRPr="00C01E0F">
        <w:rPr>
          <w:rFonts w:eastAsiaTheme="minorHAnsi"/>
          <w:lang w:val="hu-HU"/>
        </w:rPr>
        <w:t xml:space="preserve"> toxikus hatások a hepatotoxicitás és a központi idegrendszeri </w:t>
      </w:r>
      <w:r w:rsidR="009D2850">
        <w:rPr>
          <w:rFonts w:eastAsiaTheme="minorHAnsi"/>
          <w:lang w:val="hu-HU"/>
        </w:rPr>
        <w:t xml:space="preserve">(CNS) </w:t>
      </w:r>
      <w:r w:rsidRPr="00C01E0F">
        <w:rPr>
          <w:rFonts w:eastAsiaTheme="minorHAnsi"/>
          <w:lang w:val="hu-HU"/>
        </w:rPr>
        <w:t>hatások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voltak. A központi idegrendszeri elváltozások megelőzik az összes egyéb súlyosabb mellékhatást. 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DMA túladagolásnak nincs specifikus antidotuma. Túladagolás esetén az ellátás általános </w:t>
      </w:r>
      <w:r>
        <w:rPr>
          <w:rFonts w:eastAsiaTheme="minorHAnsi"/>
          <w:lang w:val="hu-HU"/>
        </w:rPr>
        <w:t xml:space="preserve">szupportív </w:t>
      </w:r>
      <w:r w:rsidRPr="00C01E0F">
        <w:rPr>
          <w:rFonts w:eastAsiaTheme="minorHAnsi"/>
          <w:lang w:val="hu-HU"/>
        </w:rPr>
        <w:t>kezelésből áll.</w:t>
      </w:r>
    </w:p>
    <w:p w14:paraId="031F673C" w14:textId="77777777" w:rsidR="00944C5C" w:rsidRPr="009D2850" w:rsidRDefault="00944C5C" w:rsidP="00944C5C">
      <w:pPr>
        <w:tabs>
          <w:tab w:val="clear" w:pos="567"/>
        </w:tabs>
        <w:spacing w:line="240" w:lineRule="auto"/>
        <w:outlineLvl w:val="0"/>
        <w:rPr>
          <w:bCs/>
          <w:lang w:val="hu-HU"/>
        </w:rPr>
      </w:pPr>
    </w:p>
    <w:p w14:paraId="66C81993" w14:textId="77777777" w:rsidR="00944C5C" w:rsidRPr="009D2850" w:rsidRDefault="00944C5C" w:rsidP="00944C5C">
      <w:pPr>
        <w:tabs>
          <w:tab w:val="clear" w:pos="567"/>
        </w:tabs>
        <w:spacing w:line="240" w:lineRule="auto"/>
        <w:outlineLvl w:val="0"/>
        <w:rPr>
          <w:bCs/>
          <w:lang w:val="hu-HU"/>
        </w:rPr>
      </w:pPr>
    </w:p>
    <w:p w14:paraId="2589FFC3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</w:t>
      </w:r>
      <w:r w:rsidRPr="00C01E0F">
        <w:rPr>
          <w:b/>
          <w:bCs/>
          <w:lang w:val="hu-HU"/>
        </w:rPr>
        <w:tab/>
        <w:t>FARMAKOLÓGIAI TULAJDONSÁGOK</w:t>
      </w:r>
    </w:p>
    <w:p w14:paraId="3A25A0C6" w14:textId="77777777" w:rsidR="00944C5C" w:rsidRPr="009D2850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5095A9F7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5.1</w:t>
      </w:r>
      <w:r w:rsidRPr="00C01E0F">
        <w:rPr>
          <w:b/>
          <w:bCs/>
          <w:lang w:val="hu-HU"/>
        </w:rPr>
        <w:tab/>
        <w:t>Farmakodinámiás tulajdonságok</w:t>
      </w:r>
    </w:p>
    <w:p w14:paraId="18A64100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3D184F6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Farmakoterápiás csoport: </w:t>
      </w:r>
      <w:r w:rsidRPr="00C01E0F">
        <w:rPr>
          <w:rFonts w:eastAsiaTheme="minorHAnsi"/>
          <w:lang w:val="hu-HU"/>
        </w:rPr>
        <w:t>alkil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szulfonátok, ATC kód: L01AB01</w:t>
      </w:r>
    </w:p>
    <w:p w14:paraId="68ABEBCD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2682043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Hatásmechanizmus</w:t>
      </w:r>
    </w:p>
    <w:p w14:paraId="64E7BB2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</w:t>
      </w:r>
      <w:r>
        <w:rPr>
          <w:rFonts w:eastAsiaTheme="minorHAnsi"/>
          <w:lang w:val="hu-HU"/>
        </w:rPr>
        <w:t>erős</w:t>
      </w:r>
      <w:r w:rsidRPr="00C01E0F">
        <w:rPr>
          <w:rFonts w:eastAsiaTheme="minorHAnsi"/>
          <w:lang w:val="hu-HU"/>
        </w:rPr>
        <w:t xml:space="preserve"> citotoxikus és kétfunkciós alkilezőszer. Vizes közegben a metánszulfonát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csoportok felszabadulása karbónium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ionokat eredményez, melyek </w:t>
      </w:r>
      <w:r>
        <w:rPr>
          <w:rFonts w:eastAsiaTheme="minorHAnsi"/>
          <w:lang w:val="hu-HU"/>
        </w:rPr>
        <w:t xml:space="preserve">képesek alkilálni </w:t>
      </w:r>
      <w:r w:rsidRPr="00C01E0F">
        <w:rPr>
          <w:rFonts w:eastAsiaTheme="minorHAnsi"/>
          <w:lang w:val="hu-HU"/>
        </w:rPr>
        <w:t>a DNS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t, amit 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citotoxikus hatás f</w:t>
      </w:r>
      <w:r>
        <w:rPr>
          <w:rFonts w:eastAsiaTheme="minorHAnsi"/>
          <w:lang w:val="hu-HU"/>
        </w:rPr>
        <w:t>ontos biológiai mechanizmusának vélnek</w:t>
      </w:r>
      <w:r w:rsidRPr="00C01E0F">
        <w:rPr>
          <w:rFonts w:eastAsiaTheme="minorHAnsi"/>
          <w:lang w:val="hu-HU"/>
        </w:rPr>
        <w:t>.</w:t>
      </w:r>
    </w:p>
    <w:p w14:paraId="29035123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F4C6542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Klinikai hatásosság és biztonságosság</w:t>
      </w:r>
    </w:p>
    <w:p w14:paraId="30D58200" w14:textId="77777777" w:rsidR="00944C5C" w:rsidRPr="00C77131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77131">
        <w:rPr>
          <w:rFonts w:eastAsiaTheme="minorHAnsi"/>
          <w:i/>
          <w:iCs/>
          <w:u w:val="single"/>
          <w:lang w:val="hu-HU"/>
        </w:rPr>
        <w:t>Buszulfán ciklofoszfamiddal vagy melfalánnal kombinálva</w:t>
      </w:r>
    </w:p>
    <w:p w14:paraId="09E8F892" w14:textId="77777777" w:rsidR="00944C5C" w:rsidRPr="00C01E0F" w:rsidDel="00BE7FFA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49949FDA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BuCy2 sémában </w:t>
      </w:r>
      <w:r>
        <w:rPr>
          <w:rFonts w:eastAsiaTheme="minorHAnsi"/>
          <w:lang w:val="hu-HU"/>
        </w:rPr>
        <w:t xml:space="preserve">ciklofoszfamiddal </w:t>
      </w:r>
      <w:r w:rsidRPr="00C01E0F">
        <w:rPr>
          <w:rFonts w:eastAsiaTheme="minorHAnsi"/>
          <w:lang w:val="hu-HU"/>
        </w:rPr>
        <w:t>kombináció</w:t>
      </w:r>
      <w:r>
        <w:rPr>
          <w:rFonts w:eastAsiaTheme="minorHAnsi"/>
          <w:lang w:val="hu-HU"/>
        </w:rPr>
        <w:t xml:space="preserve">ban, </w:t>
      </w:r>
      <w:r w:rsidRPr="00C01E0F">
        <w:rPr>
          <w:rFonts w:eastAsiaTheme="minorHAnsi"/>
          <w:lang w:val="hu-HU"/>
        </w:rPr>
        <w:t xml:space="preserve">hagyományos allogén és/vagy autológ HPCT előtt </w:t>
      </w:r>
      <w:r>
        <w:rPr>
          <w:rFonts w:eastAsiaTheme="minorHAnsi"/>
          <w:lang w:val="hu-HU"/>
        </w:rPr>
        <w:t xml:space="preserve">alkalmazott buszulfán </w:t>
      </w:r>
      <w:r w:rsidRPr="00C01E0F">
        <w:rPr>
          <w:rFonts w:eastAsiaTheme="minorHAnsi"/>
          <w:lang w:val="hu-HU"/>
        </w:rPr>
        <w:t>biz</w:t>
      </w:r>
      <w:r>
        <w:rPr>
          <w:rFonts w:eastAsiaTheme="minorHAnsi"/>
          <w:lang w:val="hu-HU"/>
        </w:rPr>
        <w:t xml:space="preserve">tonságosságát és hatásosságát </w:t>
      </w:r>
      <w:r w:rsidRPr="00C01E0F">
        <w:rPr>
          <w:rFonts w:eastAsiaTheme="minorHAnsi"/>
          <w:lang w:val="hu-HU"/>
        </w:rPr>
        <w:t>két klinikai vizsgálat alapján dokumentálták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(OMC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 és OMC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3).</w:t>
      </w:r>
    </w:p>
    <w:p w14:paraId="65C54B7B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CED8CFE" w14:textId="57D80048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Két prospektív, egykarú, nyílt</w:t>
      </w:r>
      <w:r>
        <w:rPr>
          <w:rFonts w:eastAsiaTheme="minorHAnsi"/>
          <w:lang w:val="hu-HU"/>
        </w:rPr>
        <w:t xml:space="preserve"> elrendezésű</w:t>
      </w:r>
      <w:r w:rsidRPr="00C01E0F">
        <w:rPr>
          <w:rFonts w:eastAsiaTheme="minorHAnsi"/>
          <w:lang w:val="hu-HU"/>
        </w:rPr>
        <w:t>, nem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kontroll</w:t>
      </w:r>
      <w:r>
        <w:rPr>
          <w:rFonts w:eastAsiaTheme="minorHAnsi"/>
          <w:lang w:val="hu-HU"/>
        </w:rPr>
        <w:t xml:space="preserve">os </w:t>
      </w:r>
      <w:r w:rsidR="00DC6692">
        <w:rPr>
          <w:rFonts w:eastAsiaTheme="minorHAnsi"/>
          <w:lang w:val="hu-HU"/>
        </w:rPr>
        <w:t xml:space="preserve">II. </w:t>
      </w:r>
      <w:r>
        <w:rPr>
          <w:rFonts w:eastAsiaTheme="minorHAnsi"/>
          <w:lang w:val="hu-HU"/>
        </w:rPr>
        <w:t>fázis</w:t>
      </w:r>
      <w:r w:rsidR="00DC6692">
        <w:rPr>
          <w:rFonts w:eastAsiaTheme="minorHAnsi"/>
          <w:lang w:val="hu-HU"/>
        </w:rPr>
        <w:t>ú</w:t>
      </w:r>
      <w:r w:rsidRPr="00C01E0F">
        <w:rPr>
          <w:rFonts w:eastAsiaTheme="minorHAnsi"/>
          <w:lang w:val="hu-HU"/>
        </w:rPr>
        <w:t xml:space="preserve"> vizsgálatot végeztek hematológiai betegségben sz</w:t>
      </w:r>
      <w:r>
        <w:rPr>
          <w:rFonts w:eastAsiaTheme="minorHAnsi"/>
          <w:lang w:val="hu-HU"/>
        </w:rPr>
        <w:t xml:space="preserve">envedő betegek bevonásával, akiknek a többsége </w:t>
      </w:r>
      <w:r w:rsidRPr="00C01E0F">
        <w:rPr>
          <w:rFonts w:eastAsiaTheme="minorHAnsi"/>
          <w:lang w:val="hu-HU"/>
        </w:rPr>
        <w:t>előrehaladott stádium</w:t>
      </w:r>
      <w:r>
        <w:rPr>
          <w:rFonts w:eastAsiaTheme="minorHAnsi"/>
          <w:lang w:val="hu-HU"/>
        </w:rPr>
        <w:t>ú betegségben szenvedett</w:t>
      </w:r>
      <w:r w:rsidRPr="00C01E0F">
        <w:rPr>
          <w:rFonts w:eastAsiaTheme="minorHAnsi"/>
          <w:lang w:val="hu-HU"/>
        </w:rPr>
        <w:t>.</w:t>
      </w:r>
    </w:p>
    <w:p w14:paraId="2046C7EA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670151A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betegségek között szerepelt akut leukaemia első remisszió után, első vagy további relapszus</w:t>
      </w:r>
      <w:r w:rsidR="00B46A55">
        <w:rPr>
          <w:rFonts w:eastAsiaTheme="minorHAnsi"/>
          <w:lang w:val="hu-HU"/>
        </w:rPr>
        <w:t>ban</w:t>
      </w:r>
      <w:r w:rsidRPr="00C01E0F">
        <w:rPr>
          <w:rFonts w:eastAsiaTheme="minorHAnsi"/>
          <w:lang w:val="hu-HU"/>
        </w:rPr>
        <w:t>, magas rizikójú első remisszió, vagy az indukció sikertelensége; krónikus myeloid leuk</w:t>
      </w:r>
      <w:r w:rsidR="00B46A55">
        <w:rPr>
          <w:rFonts w:eastAsiaTheme="minorHAnsi"/>
          <w:lang w:val="hu-HU"/>
        </w:rPr>
        <w:t>ae</w:t>
      </w:r>
      <w:r w:rsidRPr="00C01E0F">
        <w:rPr>
          <w:rFonts w:eastAsiaTheme="minorHAnsi"/>
          <w:lang w:val="hu-HU"/>
        </w:rPr>
        <w:t xml:space="preserve">mia krónikus vagy előrehaladott fázisa; elsődleges refrakter vagy rezisztens </w:t>
      </w:r>
      <w:r>
        <w:rPr>
          <w:rFonts w:eastAsiaTheme="minorHAnsi"/>
          <w:lang w:val="hu-HU"/>
        </w:rPr>
        <w:t>kiújult</w:t>
      </w:r>
      <w:r w:rsidRPr="00C01E0F">
        <w:rPr>
          <w:rFonts w:eastAsiaTheme="minorHAnsi"/>
          <w:lang w:val="hu-HU"/>
        </w:rPr>
        <w:t xml:space="preserve"> Hodgkin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kór vagy non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Hodgkin lymphoma és myelodysplasiás szindróma.</w:t>
      </w:r>
    </w:p>
    <w:p w14:paraId="24E67005" w14:textId="77777777" w:rsidR="00944C5C" w:rsidRDefault="00944C5C" w:rsidP="00944C5C">
      <w:pPr>
        <w:spacing w:line="240" w:lineRule="auto"/>
        <w:rPr>
          <w:rFonts w:eastAsiaTheme="minorHAnsi"/>
          <w:lang w:val="hu-HU"/>
        </w:rPr>
      </w:pPr>
    </w:p>
    <w:p w14:paraId="37644709" w14:textId="3F1F27CB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betegek 0,8 mg/</w:t>
      </w:r>
      <w:r w:rsidR="00DC6692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 buszulfánt kaptak infúzióban 6 ór</w:t>
      </w:r>
      <w:r>
        <w:rPr>
          <w:rFonts w:eastAsiaTheme="minorHAnsi"/>
          <w:lang w:val="hu-HU"/>
        </w:rPr>
        <w:t>ánként, összesen 16 </w:t>
      </w:r>
      <w:r w:rsidRPr="00C01E0F">
        <w:rPr>
          <w:rFonts w:eastAsiaTheme="minorHAnsi"/>
          <w:lang w:val="hu-HU"/>
        </w:rPr>
        <w:t xml:space="preserve">dózisban, majd </w:t>
      </w:r>
      <w:r w:rsidR="00B46A55">
        <w:rPr>
          <w:rFonts w:eastAsiaTheme="minorHAnsi"/>
          <w:lang w:val="hu-HU"/>
        </w:rPr>
        <w:t xml:space="preserve">két </w:t>
      </w:r>
      <w:r w:rsidR="00B46A55" w:rsidRPr="00C01E0F">
        <w:rPr>
          <w:rFonts w:eastAsiaTheme="minorHAnsi"/>
          <w:lang w:val="hu-HU"/>
        </w:rPr>
        <w:t>napon át</w:t>
      </w:r>
      <w:r w:rsidR="00B46A55">
        <w:rPr>
          <w:rFonts w:eastAsiaTheme="minorHAnsi"/>
          <w:lang w:val="hu-HU"/>
        </w:rPr>
        <w:t>,</w:t>
      </w:r>
      <w:r w:rsidR="00B46A55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naponta egyszer 60 mg/</w:t>
      </w:r>
      <w:r w:rsidR="00DC6692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 ciklofoszfamidot (BuCy2 séma).</w:t>
      </w:r>
    </w:p>
    <w:p w14:paraId="1D05E83B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primer </w:t>
      </w:r>
      <w:r>
        <w:rPr>
          <w:rFonts w:eastAsiaTheme="minorHAnsi"/>
          <w:lang w:val="hu-HU"/>
        </w:rPr>
        <w:t>hatásossági</w:t>
      </w:r>
      <w:r w:rsidRPr="00C01E0F">
        <w:rPr>
          <w:rFonts w:eastAsiaTheme="minorHAnsi"/>
          <w:lang w:val="hu-HU"/>
        </w:rPr>
        <w:t xml:space="preserve"> paraméterek </w:t>
      </w:r>
      <w:r>
        <w:rPr>
          <w:rFonts w:eastAsiaTheme="minorHAnsi"/>
          <w:lang w:val="hu-HU"/>
        </w:rPr>
        <w:t>ezekben a</w:t>
      </w:r>
      <w:r w:rsidRPr="00C01E0F">
        <w:rPr>
          <w:rFonts w:eastAsiaTheme="minorHAnsi"/>
          <w:lang w:val="hu-HU"/>
        </w:rPr>
        <w:t xml:space="preserve"> vizsgálatokban a myeloablatio, a transzplantátum megtapadása, a kiújulás és a túlélés voltak.</w:t>
      </w:r>
    </w:p>
    <w:p w14:paraId="06AAEF9C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 xml:space="preserve">Mindkét vizsgálatban az összes beteg </w:t>
      </w:r>
      <w:r>
        <w:rPr>
          <w:rFonts w:eastAsiaTheme="minorHAnsi"/>
          <w:lang w:val="hu-HU"/>
        </w:rPr>
        <w:t xml:space="preserve">megkapta a 16 adagból álló buszulfán adagolási rend mind a 16 adagját. </w:t>
      </w:r>
      <w:r w:rsidRPr="00C01E0F">
        <w:rPr>
          <w:rFonts w:eastAsiaTheme="minorHAnsi"/>
          <w:lang w:val="hu-HU"/>
        </w:rPr>
        <w:t xml:space="preserve">Buszulfán </w:t>
      </w:r>
      <w:r w:rsidR="00B46A55">
        <w:rPr>
          <w:rFonts w:eastAsiaTheme="minorHAnsi"/>
          <w:lang w:val="hu-HU"/>
        </w:rPr>
        <w:t xml:space="preserve">által </w:t>
      </w:r>
      <w:r w:rsidRPr="00C01E0F">
        <w:rPr>
          <w:rFonts w:eastAsiaTheme="minorHAnsi"/>
          <w:lang w:val="hu-HU"/>
        </w:rPr>
        <w:t>okoz</w:t>
      </w:r>
      <w:r w:rsidR="00B46A55">
        <w:rPr>
          <w:rFonts w:eastAsiaTheme="minorHAnsi"/>
          <w:lang w:val="hu-HU"/>
        </w:rPr>
        <w:t>ott</w:t>
      </w:r>
      <w:r w:rsidRPr="00C01E0F">
        <w:rPr>
          <w:rFonts w:eastAsiaTheme="minorHAnsi"/>
          <w:lang w:val="hu-HU"/>
        </w:rPr>
        <w:t xml:space="preserve"> mellékhatások miatt egyetlen beteg kezelését sem kellett megszakítani.</w:t>
      </w:r>
    </w:p>
    <w:p w14:paraId="66B6F4C8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13D996F1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Minden betegnél kifejezett myelosupressio lépett fel. A 0,5</w:t>
      </w:r>
      <w:r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2B3086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>/l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 meghaladó abszolút neutrofilszám (ANC) eléréséig </w:t>
      </w:r>
      <w:r>
        <w:rPr>
          <w:rFonts w:eastAsiaTheme="minorHAnsi"/>
          <w:lang w:val="hu-HU"/>
        </w:rPr>
        <w:t xml:space="preserve">eltelt idő </w:t>
      </w:r>
      <w:r w:rsidRPr="00C01E0F">
        <w:rPr>
          <w:rFonts w:eastAsiaTheme="minorHAnsi"/>
          <w:lang w:val="hu-HU"/>
        </w:rPr>
        <w:t>allogén transzplantált betegeknél (OMC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4) 13 nap (</w:t>
      </w:r>
      <w:r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9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29 nap), autol</w:t>
      </w:r>
      <w:r w:rsidR="00B0311B">
        <w:rPr>
          <w:rFonts w:eastAsiaTheme="minorHAnsi"/>
          <w:lang w:val="hu-HU"/>
        </w:rPr>
        <w:t>ó</w:t>
      </w:r>
      <w:r w:rsidRPr="00C01E0F">
        <w:rPr>
          <w:rFonts w:eastAsiaTheme="minorHAnsi"/>
          <w:lang w:val="hu-HU"/>
        </w:rPr>
        <w:t>g traszplantált betegeknél (OMC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3) </w:t>
      </w:r>
      <w:r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10 nap (</w:t>
      </w:r>
      <w:r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8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19 nap) </w:t>
      </w:r>
      <w:r>
        <w:rPr>
          <w:rFonts w:eastAsiaTheme="minorHAnsi"/>
          <w:lang w:val="hu-HU"/>
        </w:rPr>
        <w:t>volt</w:t>
      </w:r>
      <w:r w:rsidRPr="00C01E0F">
        <w:rPr>
          <w:rFonts w:eastAsiaTheme="minorHAnsi"/>
          <w:lang w:val="hu-HU"/>
        </w:rPr>
        <w:t xml:space="preserve">. A </w:t>
      </w:r>
      <w:r>
        <w:rPr>
          <w:rFonts w:eastAsiaTheme="minorHAnsi"/>
          <w:lang w:val="hu-HU"/>
        </w:rPr>
        <w:t xml:space="preserve">graft </w:t>
      </w:r>
      <w:r w:rsidRPr="00C01E0F">
        <w:rPr>
          <w:rFonts w:eastAsiaTheme="minorHAnsi"/>
          <w:lang w:val="hu-HU"/>
        </w:rPr>
        <w:t xml:space="preserve">valamennyi értékelhető betegnél </w:t>
      </w:r>
      <w:r>
        <w:rPr>
          <w:rFonts w:eastAsiaTheme="minorHAnsi"/>
          <w:lang w:val="hu-HU"/>
        </w:rPr>
        <w:t>megtapadt</w:t>
      </w:r>
      <w:r w:rsidRPr="00C01E0F">
        <w:rPr>
          <w:rFonts w:eastAsiaTheme="minorHAnsi"/>
          <w:lang w:val="hu-HU"/>
        </w:rPr>
        <w:t xml:space="preserve">. Sem primer, sem szekunder </w:t>
      </w:r>
      <w:r>
        <w:rPr>
          <w:rFonts w:eastAsiaTheme="minorHAnsi"/>
          <w:lang w:val="hu-HU"/>
        </w:rPr>
        <w:t>graft kilökődés nem fordult elő. A</w:t>
      </w:r>
      <w:r w:rsidRPr="00C01E0F">
        <w:rPr>
          <w:rFonts w:eastAsiaTheme="minorHAnsi"/>
          <w:lang w:val="hu-HU"/>
        </w:rPr>
        <w:t xml:space="preserve">llotranszplantált betegeknél a transzplantációt követő 100 nap </w:t>
      </w:r>
      <w:r>
        <w:rPr>
          <w:rFonts w:eastAsiaTheme="minorHAnsi"/>
          <w:lang w:val="hu-HU"/>
        </w:rPr>
        <w:t>elteltével az</w:t>
      </w:r>
      <w:r w:rsidRPr="00C01E0F">
        <w:rPr>
          <w:rFonts w:eastAsiaTheme="minorHAnsi"/>
          <w:lang w:val="hu-HU"/>
        </w:rPr>
        <w:t xml:space="preserve"> össz</w:t>
      </w:r>
      <w:r w:rsidR="00B0311B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>halálozás 13% (8/61)</w:t>
      </w:r>
      <w:r>
        <w:rPr>
          <w:rFonts w:eastAsiaTheme="minorHAnsi"/>
          <w:lang w:val="hu-HU"/>
        </w:rPr>
        <w:t>, míg</w:t>
      </w:r>
      <w:r w:rsidRPr="00C01E0F">
        <w:rPr>
          <w:rFonts w:eastAsiaTheme="minorHAnsi"/>
          <w:lang w:val="hu-HU"/>
        </w:rPr>
        <w:t xml:space="preserve"> a relapszus nélküli halálozás </w:t>
      </w:r>
      <w:r>
        <w:rPr>
          <w:rFonts w:eastAsiaTheme="minorHAnsi"/>
          <w:lang w:val="hu-HU"/>
        </w:rPr>
        <w:t>10</w:t>
      </w:r>
      <w:r w:rsidRPr="00C01E0F">
        <w:rPr>
          <w:rFonts w:eastAsiaTheme="minorHAnsi"/>
          <w:lang w:val="hu-HU"/>
        </w:rPr>
        <w:t>% (6/61) volt. Ugyanezen idő alatt az autotranszplantált betegeknél nem fordult elő haláleset.</w:t>
      </w:r>
    </w:p>
    <w:p w14:paraId="1D805FD0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60E8743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</w:t>
      </w:r>
      <w:r>
        <w:rPr>
          <w:rFonts w:eastAsiaTheme="minorHAnsi"/>
          <w:i/>
          <w:iCs/>
          <w:lang w:val="hu-HU"/>
        </w:rPr>
        <w:t xml:space="preserve"> és serdülők</w:t>
      </w:r>
    </w:p>
    <w:p w14:paraId="50C06BE1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BuCy4 sémában </w:t>
      </w:r>
      <w:r>
        <w:rPr>
          <w:rFonts w:eastAsiaTheme="minorHAnsi"/>
          <w:lang w:val="hu-HU"/>
        </w:rPr>
        <w:t xml:space="preserve">ciklofoszfamiddal vagy </w:t>
      </w:r>
      <w:r w:rsidRPr="00C01E0F">
        <w:rPr>
          <w:rFonts w:eastAsiaTheme="minorHAnsi"/>
          <w:lang w:val="hu-HU"/>
        </w:rPr>
        <w:t>a BuMel sémában melfalánnal kombináció</w:t>
      </w:r>
      <w:r>
        <w:rPr>
          <w:rFonts w:eastAsiaTheme="minorHAnsi"/>
          <w:lang w:val="hu-HU"/>
        </w:rPr>
        <w:t xml:space="preserve">ban, </w:t>
      </w:r>
      <w:r w:rsidRPr="00C01E0F">
        <w:rPr>
          <w:rFonts w:eastAsiaTheme="minorHAnsi"/>
          <w:lang w:val="hu-HU"/>
        </w:rPr>
        <w:t xml:space="preserve">hagyományos allogén és/vagy autológ HPCT előtt </w:t>
      </w:r>
      <w:r>
        <w:rPr>
          <w:rFonts w:eastAsiaTheme="minorHAnsi"/>
          <w:lang w:val="hu-HU"/>
        </w:rPr>
        <w:t xml:space="preserve">alkalmazott buszulfán </w:t>
      </w:r>
      <w:r w:rsidRPr="00C01E0F">
        <w:rPr>
          <w:rFonts w:eastAsiaTheme="minorHAnsi"/>
          <w:lang w:val="hu-HU"/>
        </w:rPr>
        <w:t>biz</w:t>
      </w:r>
      <w:r>
        <w:rPr>
          <w:rFonts w:eastAsiaTheme="minorHAnsi"/>
          <w:lang w:val="hu-HU"/>
        </w:rPr>
        <w:t xml:space="preserve">tonságosságát és hatásosságát </w:t>
      </w:r>
      <w:r w:rsidRPr="00C01E0F">
        <w:rPr>
          <w:rFonts w:eastAsiaTheme="minorHAnsi"/>
          <w:lang w:val="hu-HU"/>
        </w:rPr>
        <w:t>a</w:t>
      </w:r>
      <w:r>
        <w:rPr>
          <w:rFonts w:eastAsiaTheme="minorHAnsi"/>
          <w:lang w:val="hu-HU"/>
        </w:rPr>
        <w:t>z F60002 IN 101 </w:t>
      </w:r>
      <w:r w:rsidRPr="00C01E0F">
        <w:rPr>
          <w:rFonts w:eastAsiaTheme="minorHAnsi"/>
          <w:lang w:val="hu-HU"/>
        </w:rPr>
        <w:t>G0 klinikai vizsgálat alapján dokumentálták.</w:t>
      </w:r>
    </w:p>
    <w:p w14:paraId="00F76C29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betegek a 4.2. pontban leírt </w:t>
      </w:r>
      <w:r>
        <w:rPr>
          <w:rFonts w:eastAsiaTheme="minorHAnsi"/>
          <w:lang w:val="hu-HU"/>
        </w:rPr>
        <w:t>adagolás szerint kapták a gyógyszert.</w:t>
      </w:r>
    </w:p>
    <w:p w14:paraId="2EFD1712" w14:textId="77777777" w:rsidR="000A45C0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Minden betegnél kifejeze</w:t>
      </w:r>
      <w:r>
        <w:rPr>
          <w:rFonts w:eastAsiaTheme="minorHAnsi"/>
          <w:lang w:val="hu-HU"/>
        </w:rPr>
        <w:t>tt myelosupressio lépett fel. Az 0,</w:t>
      </w:r>
      <w:r w:rsidRPr="00C01E0F">
        <w:rPr>
          <w:rFonts w:eastAsiaTheme="minorHAnsi"/>
          <w:lang w:val="hu-HU"/>
        </w:rPr>
        <w:t>5</w:t>
      </w:r>
      <w:r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2B3086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>/l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 meghaladó abszolút neutrofilszám (ANC) eléréséig </w:t>
      </w:r>
      <w:r>
        <w:rPr>
          <w:rFonts w:eastAsiaTheme="minorHAnsi"/>
          <w:lang w:val="hu-HU"/>
        </w:rPr>
        <w:t xml:space="preserve">eltelt idő </w:t>
      </w:r>
      <w:r w:rsidRPr="00C01E0F">
        <w:rPr>
          <w:rFonts w:eastAsiaTheme="minorHAnsi"/>
          <w:lang w:val="hu-HU"/>
        </w:rPr>
        <w:t>allogén transzplantált betegeknél 21 nap (</w:t>
      </w:r>
      <w:r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12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47 nap), autol</w:t>
      </w:r>
      <w:r w:rsidR="00B0311B">
        <w:rPr>
          <w:rFonts w:eastAsiaTheme="minorHAnsi"/>
          <w:lang w:val="hu-HU"/>
        </w:rPr>
        <w:t>ó</w:t>
      </w:r>
      <w:r w:rsidRPr="00C01E0F">
        <w:rPr>
          <w:rFonts w:eastAsiaTheme="minorHAnsi"/>
          <w:lang w:val="hu-HU"/>
        </w:rPr>
        <w:t xml:space="preserve">g traszplantált betegeknél </w:t>
      </w:r>
      <w:r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11 nap (</w:t>
      </w:r>
      <w:r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10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15 nap) </w:t>
      </w:r>
      <w:r>
        <w:rPr>
          <w:rFonts w:eastAsiaTheme="minorHAnsi"/>
          <w:lang w:val="hu-HU"/>
        </w:rPr>
        <w:t>volt</w:t>
      </w:r>
      <w:r w:rsidRPr="00C01E0F">
        <w:rPr>
          <w:rFonts w:eastAsiaTheme="minorHAnsi"/>
          <w:lang w:val="hu-HU"/>
        </w:rPr>
        <w:t xml:space="preserve">. A </w:t>
      </w:r>
      <w:r>
        <w:rPr>
          <w:rFonts w:eastAsiaTheme="minorHAnsi"/>
          <w:lang w:val="hu-HU"/>
        </w:rPr>
        <w:t xml:space="preserve">graft </w:t>
      </w:r>
      <w:r w:rsidRPr="00C01E0F">
        <w:rPr>
          <w:rFonts w:eastAsiaTheme="minorHAnsi"/>
          <w:lang w:val="hu-HU"/>
        </w:rPr>
        <w:t xml:space="preserve">valamennyi </w:t>
      </w:r>
      <w:r>
        <w:rPr>
          <w:rFonts w:eastAsiaTheme="minorHAnsi"/>
          <w:lang w:val="hu-HU"/>
        </w:rPr>
        <w:t>gyermeknél megtapadt</w:t>
      </w:r>
      <w:r w:rsidRPr="00C01E0F">
        <w:rPr>
          <w:rFonts w:eastAsiaTheme="minorHAnsi"/>
          <w:lang w:val="hu-HU"/>
        </w:rPr>
        <w:t>. Sem primer, sem szekunder</w:t>
      </w:r>
      <w:r>
        <w:rPr>
          <w:rFonts w:eastAsiaTheme="minorHAnsi"/>
          <w:lang w:val="hu-HU"/>
        </w:rPr>
        <w:t xml:space="preserve"> graft</w:t>
      </w:r>
      <w:r w:rsidRPr="00C01E0F">
        <w:rPr>
          <w:rFonts w:eastAsiaTheme="minorHAnsi"/>
          <w:lang w:val="hu-HU"/>
        </w:rPr>
        <w:t xml:space="preserve"> kilökődés nem fordult elő. </w:t>
      </w:r>
    </w:p>
    <w:p w14:paraId="3E6ACD8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allogén </w:t>
      </w:r>
      <w:r>
        <w:rPr>
          <w:rFonts w:eastAsiaTheme="minorHAnsi"/>
          <w:lang w:val="hu-HU"/>
        </w:rPr>
        <w:t xml:space="preserve">transzplantáción átesett </w:t>
      </w:r>
      <w:r w:rsidRPr="00C01E0F">
        <w:rPr>
          <w:rFonts w:eastAsiaTheme="minorHAnsi"/>
          <w:lang w:val="hu-HU"/>
        </w:rPr>
        <w:t>betegek 93%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a teljes </w:t>
      </w:r>
      <w:r>
        <w:rPr>
          <w:rFonts w:eastAsiaTheme="minorHAnsi"/>
          <w:lang w:val="hu-HU"/>
        </w:rPr>
        <w:t xml:space="preserve">kiméra állapotot </w:t>
      </w:r>
      <w:r w:rsidRPr="00C01E0F">
        <w:rPr>
          <w:rFonts w:eastAsiaTheme="minorHAnsi"/>
          <w:lang w:val="hu-HU"/>
        </w:rPr>
        <w:t>mutatott. A transzplantáció utáni első 100 napban és egy évben nem</w:t>
      </w:r>
      <w:r>
        <w:rPr>
          <w:rFonts w:eastAsiaTheme="minorHAnsi"/>
          <w:lang w:val="hu-HU"/>
        </w:rPr>
        <w:t xml:space="preserve"> fordult elő a kezelési séma </w:t>
      </w:r>
      <w:r w:rsidR="000A45C0">
        <w:rPr>
          <w:rFonts w:eastAsiaTheme="minorHAnsi"/>
          <w:lang w:val="hu-HU"/>
        </w:rPr>
        <w:t xml:space="preserve">által </w:t>
      </w:r>
      <w:r>
        <w:rPr>
          <w:rFonts w:eastAsiaTheme="minorHAnsi"/>
          <w:lang w:val="hu-HU"/>
        </w:rPr>
        <w:t>okoz</w:t>
      </w:r>
      <w:r w:rsidR="000A45C0">
        <w:rPr>
          <w:rFonts w:eastAsiaTheme="minorHAnsi"/>
          <w:lang w:val="hu-HU"/>
        </w:rPr>
        <w:t>ott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haláleset.</w:t>
      </w:r>
    </w:p>
    <w:p w14:paraId="225B9E0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FCA5CF1" w14:textId="77777777" w:rsidR="00944C5C" w:rsidRPr="002B3086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2B3086">
        <w:rPr>
          <w:rFonts w:eastAsiaTheme="minorHAnsi"/>
          <w:i/>
          <w:iCs/>
          <w:u w:val="single"/>
          <w:lang w:val="hu-HU"/>
        </w:rPr>
        <w:t>Buszulfán fludarabinnal (FB) kombinálva</w:t>
      </w:r>
    </w:p>
    <w:p w14:paraId="015C60B2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>
        <w:rPr>
          <w:rFonts w:eastAsiaTheme="minorHAnsi"/>
          <w:i/>
          <w:iCs/>
          <w:lang w:val="hu-HU"/>
        </w:rPr>
        <w:t>Felnőttek</w:t>
      </w:r>
    </w:p>
    <w:p w14:paraId="4FF649A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fludarabinnal (FB) kombinációban, </w:t>
      </w:r>
      <w:r w:rsidRPr="00C01E0F">
        <w:rPr>
          <w:rFonts w:eastAsiaTheme="minorHAnsi"/>
          <w:lang w:val="hu-HU"/>
        </w:rPr>
        <w:t xml:space="preserve">allogén </w:t>
      </w:r>
      <w:r>
        <w:rPr>
          <w:rFonts w:eastAsiaTheme="minorHAnsi"/>
          <w:lang w:val="hu-HU"/>
        </w:rPr>
        <w:t>HPCT előtt alkalmazott buszulfán</w:t>
      </w:r>
      <w:r w:rsidRPr="00C01E0F">
        <w:rPr>
          <w:rFonts w:eastAsiaTheme="minorHAnsi"/>
          <w:lang w:val="hu-HU"/>
        </w:rPr>
        <w:t xml:space="preserve"> biztonságosságát és hatásosságát </w:t>
      </w:r>
      <w:r>
        <w:rPr>
          <w:rFonts w:eastAsiaTheme="minorHAnsi"/>
          <w:lang w:val="hu-HU"/>
        </w:rPr>
        <w:t xml:space="preserve">a szakirodalomban </w:t>
      </w:r>
      <w:r w:rsidRPr="00C01E0F">
        <w:rPr>
          <w:rFonts w:eastAsiaTheme="minorHAnsi"/>
          <w:lang w:val="hu-HU"/>
        </w:rPr>
        <w:t>publikált</w:t>
      </w:r>
      <w:r>
        <w:rPr>
          <w:rFonts w:eastAsiaTheme="minorHAnsi"/>
          <w:lang w:val="hu-HU"/>
        </w:rPr>
        <w:t xml:space="preserve"> 7 olyan </w:t>
      </w:r>
      <w:r w:rsidRPr="00C01E0F">
        <w:rPr>
          <w:rFonts w:eastAsiaTheme="minorHAnsi"/>
          <w:lang w:val="hu-HU"/>
        </w:rPr>
        <w:t>vizsgálat</w:t>
      </w:r>
      <w:r>
        <w:rPr>
          <w:rFonts w:eastAsiaTheme="minorHAnsi"/>
          <w:lang w:val="hu-HU"/>
        </w:rPr>
        <w:t xml:space="preserve"> áttekintése alapján dokumentálták,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amelyekbe 731</w:t>
      </w:r>
      <w:r w:rsidRPr="00C01E0F">
        <w:rPr>
          <w:rFonts w:eastAsiaTheme="minorHAnsi"/>
          <w:lang w:val="hu-HU"/>
        </w:rPr>
        <w:t>, myeloid és lymphoid rosszindulatú daganatos betegségben szenvedő beteg</w:t>
      </w:r>
      <w:r>
        <w:rPr>
          <w:rFonts w:eastAsiaTheme="minorHAnsi"/>
          <w:lang w:val="hu-HU"/>
        </w:rPr>
        <w:t>et vontak be, és a beszámolók szerint napi egy intravénás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infúziót kaptak a napi négy dózis helyett.</w:t>
      </w:r>
    </w:p>
    <w:p w14:paraId="3674865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F5210B8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betegek kondicionáló kezelést kaptak, amelyben a fludarabin adását azonnal napi egyszeri dózisban 3,2 mg/</w:t>
      </w:r>
      <w:r w:rsidR="007A400D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 xml:space="preserve">kg buszulfán követte, 2 vagy 3 egymást követő napon át. A buszulfán </w:t>
      </w:r>
      <w:r>
        <w:rPr>
          <w:rFonts w:eastAsiaTheme="minorHAnsi"/>
          <w:lang w:val="hu-HU"/>
        </w:rPr>
        <w:t>betegenkénti össz</w:t>
      </w:r>
      <w:r w:rsidR="007A400D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dózisa 6,4 mg/</w:t>
      </w:r>
      <w:r w:rsidR="007A400D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 és 9,6 mg/</w:t>
      </w:r>
      <w:r w:rsidR="007A400D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 köz</w:t>
      </w:r>
      <w:r w:rsidR="007A400D">
        <w:rPr>
          <w:rFonts w:eastAsiaTheme="minorHAnsi"/>
          <w:lang w:val="hu-HU"/>
        </w:rPr>
        <w:t>ötti volt</w:t>
      </w:r>
      <w:r w:rsidRPr="00C01E0F">
        <w:rPr>
          <w:rFonts w:eastAsiaTheme="minorHAnsi"/>
          <w:lang w:val="hu-HU"/>
        </w:rPr>
        <w:t>.</w:t>
      </w:r>
    </w:p>
    <w:p w14:paraId="7A583244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FB kombináció </w:t>
      </w:r>
      <w:r>
        <w:rPr>
          <w:rFonts w:eastAsiaTheme="minorHAnsi"/>
          <w:lang w:val="hu-HU"/>
        </w:rPr>
        <w:t>kielégítő</w:t>
      </w:r>
      <w:r w:rsidRPr="00E677F2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myeloablatiót tett lehetővé</w:t>
      </w:r>
      <w:r>
        <w:rPr>
          <w:rFonts w:eastAsiaTheme="minorHAnsi"/>
          <w:lang w:val="hu-HU"/>
        </w:rPr>
        <w:t>, amely a buszulfán</w:t>
      </w:r>
      <w:r>
        <w:rPr>
          <w:rFonts w:eastAsiaTheme="minorHAnsi"/>
          <w:lang w:val="hu-HU"/>
        </w:rPr>
        <w:noBreakHyphen/>
        <w:t>infúzió alkalmazási napjai számának változtatása útján, a kondicionálás intenzitásával modulálható</w:t>
      </w:r>
      <w:r w:rsidRPr="00C01E0F">
        <w:rPr>
          <w:rFonts w:eastAsiaTheme="minorHAnsi"/>
          <w:lang w:val="hu-HU"/>
        </w:rPr>
        <w:t>. A vizsgálatok többségében a betegek 80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100%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ánál </w:t>
      </w:r>
      <w:r>
        <w:rPr>
          <w:rFonts w:eastAsiaTheme="minorHAnsi"/>
          <w:lang w:val="hu-HU"/>
        </w:rPr>
        <w:t xml:space="preserve">a graft </w:t>
      </w:r>
      <w:r w:rsidRPr="00C01E0F">
        <w:rPr>
          <w:rFonts w:eastAsiaTheme="minorHAnsi"/>
          <w:lang w:val="hu-HU"/>
        </w:rPr>
        <w:t>gyors és teljes megtapadásról számoltak be. A legtöbb publikáció teljes donor kiméra állapot kialakulásáról számolt be a 30. nap után a betegek 90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100%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ánál. A hosszú távú kimenetel megerősítette, hogy a hatásosság váratlan hatások </w:t>
      </w:r>
      <w:r>
        <w:rPr>
          <w:rFonts w:eastAsiaTheme="minorHAnsi"/>
          <w:lang w:val="hu-HU"/>
        </w:rPr>
        <w:t xml:space="preserve">fellépése </w:t>
      </w:r>
      <w:r w:rsidRPr="00C01E0F">
        <w:rPr>
          <w:rFonts w:eastAsiaTheme="minorHAnsi"/>
          <w:lang w:val="hu-HU"/>
        </w:rPr>
        <w:t xml:space="preserve">nélkül fennmaradt. </w:t>
      </w:r>
    </w:p>
    <w:p w14:paraId="248D4939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B3EE68C" w14:textId="148FA319" w:rsidR="00944C5C" w:rsidRPr="00C01E0F" w:rsidRDefault="00AC4BA1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Hozzáférhetővé</w:t>
      </w:r>
      <w:r w:rsidR="00944C5C" w:rsidRPr="00C01E0F">
        <w:rPr>
          <w:rFonts w:eastAsiaTheme="minorHAnsi"/>
          <w:lang w:val="hu-HU"/>
        </w:rPr>
        <w:t xml:space="preserve"> váltak egy </w:t>
      </w:r>
      <w:r w:rsidR="00944C5C">
        <w:rPr>
          <w:rFonts w:eastAsiaTheme="minorHAnsi"/>
          <w:lang w:val="hu-HU"/>
        </w:rPr>
        <w:t>közelmúltban</w:t>
      </w:r>
      <w:r w:rsidR="00944C5C" w:rsidRPr="00C01E0F">
        <w:rPr>
          <w:rFonts w:eastAsiaTheme="minorHAnsi"/>
          <w:lang w:val="hu-HU"/>
        </w:rPr>
        <w:t xml:space="preserve"> befejezett prospektív</w:t>
      </w:r>
      <w:r w:rsidR="00944C5C">
        <w:rPr>
          <w:rFonts w:eastAsiaTheme="minorHAnsi"/>
          <w:lang w:val="hu-HU"/>
        </w:rPr>
        <w:t xml:space="preserve">, multicentrikus, </w:t>
      </w:r>
      <w:r w:rsidR="00DC6692">
        <w:rPr>
          <w:rFonts w:eastAsiaTheme="minorHAnsi"/>
          <w:lang w:val="hu-HU"/>
        </w:rPr>
        <w:t xml:space="preserve">II. </w:t>
      </w:r>
      <w:r w:rsidR="00944C5C">
        <w:rPr>
          <w:rFonts w:eastAsiaTheme="minorHAnsi"/>
          <w:lang w:val="hu-HU"/>
        </w:rPr>
        <w:t>fázis</w:t>
      </w:r>
      <w:r w:rsidR="00DC6692">
        <w:rPr>
          <w:rFonts w:eastAsiaTheme="minorHAnsi"/>
          <w:lang w:val="hu-HU"/>
        </w:rPr>
        <w:t>ú</w:t>
      </w:r>
      <w:r w:rsidR="00944C5C" w:rsidRPr="00C01E0F">
        <w:rPr>
          <w:rFonts w:eastAsiaTheme="minorHAnsi"/>
          <w:lang w:val="hu-HU"/>
        </w:rPr>
        <w:t xml:space="preserve"> vizsgálat adatai, amelyet 80, 18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65 éves, különféle hematológiai rosszindulatú daganatos betegség</w:t>
      </w:r>
      <w:r w:rsidR="00944C5C">
        <w:rPr>
          <w:rFonts w:eastAsiaTheme="minorHAnsi"/>
          <w:lang w:val="hu-HU"/>
        </w:rPr>
        <w:t xml:space="preserve">ekkel </w:t>
      </w:r>
      <w:r w:rsidR="00944C5C" w:rsidRPr="00C01E0F">
        <w:rPr>
          <w:rFonts w:eastAsiaTheme="minorHAnsi"/>
          <w:lang w:val="hu-HU"/>
        </w:rPr>
        <w:t>diagnosztizált beteg bevonásával végeztek, akik FB (3 nap buszulfán) csökkentett intenzitású kondicionáló sém</w:t>
      </w:r>
      <w:r w:rsidR="00944C5C">
        <w:rPr>
          <w:rFonts w:eastAsiaTheme="minorHAnsi"/>
          <w:lang w:val="hu-HU"/>
        </w:rPr>
        <w:t xml:space="preserve">a alkalmazásával végzett </w:t>
      </w:r>
      <w:r w:rsidR="00944C5C" w:rsidRPr="00C01E0F">
        <w:rPr>
          <w:rFonts w:eastAsiaTheme="minorHAnsi"/>
          <w:lang w:val="hu-HU"/>
        </w:rPr>
        <w:t xml:space="preserve">allogén </w:t>
      </w:r>
      <w:r w:rsidR="00CF6F9E">
        <w:rPr>
          <w:rFonts w:eastAsiaTheme="minorHAnsi"/>
          <w:lang w:val="hu-HU"/>
        </w:rPr>
        <w:t>hemopoetikus</w:t>
      </w:r>
      <w:r>
        <w:rPr>
          <w:rFonts w:eastAsiaTheme="minorHAnsi"/>
          <w:lang w:val="hu-HU"/>
        </w:rPr>
        <w:t xml:space="preserve"> sejt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transzplantáción</w:t>
      </w:r>
      <w:r>
        <w:rPr>
          <w:rFonts w:eastAsiaTheme="minorHAnsi"/>
          <w:lang w:val="hu-HU"/>
        </w:rPr>
        <w:t xml:space="preserve"> (HCT) </w:t>
      </w:r>
      <w:r w:rsidR="00944C5C">
        <w:rPr>
          <w:rFonts w:eastAsiaTheme="minorHAnsi"/>
          <w:lang w:val="hu-HU"/>
        </w:rPr>
        <w:t>estek át</w:t>
      </w:r>
      <w:r w:rsidR="00944C5C" w:rsidRPr="00C01E0F">
        <w:rPr>
          <w:rFonts w:eastAsiaTheme="minorHAnsi"/>
          <w:lang w:val="hu-HU"/>
        </w:rPr>
        <w:t xml:space="preserve">. Ebben a vizsgálatban egy kivételével az összes betegnél </w:t>
      </w:r>
      <w:r w:rsidR="00944C5C">
        <w:rPr>
          <w:rFonts w:eastAsiaTheme="minorHAnsi"/>
          <w:lang w:val="hu-HU"/>
        </w:rPr>
        <w:t>megtapadt a graft</w:t>
      </w:r>
      <w:r w:rsidR="00944C5C" w:rsidRPr="00E677F2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az allo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HCT után</w:t>
      </w:r>
      <w:r w:rsidR="00041AC3">
        <w:rPr>
          <w:rFonts w:eastAsiaTheme="minorHAnsi"/>
          <w:lang w:val="hu-HU"/>
        </w:rPr>
        <w:t>, átlagosan</w:t>
      </w:r>
      <w:r w:rsidR="00944C5C">
        <w:rPr>
          <w:rFonts w:eastAsiaTheme="minorHAnsi"/>
          <w:lang w:val="hu-HU"/>
        </w:rPr>
        <w:t xml:space="preserve"> </w:t>
      </w:r>
      <w:r w:rsidR="00944C5C" w:rsidRPr="00C01E0F">
        <w:rPr>
          <w:rFonts w:eastAsiaTheme="minorHAnsi"/>
          <w:lang w:val="hu-HU"/>
        </w:rPr>
        <w:t>15 nap</w:t>
      </w:r>
      <w:r w:rsidR="00944C5C">
        <w:rPr>
          <w:rFonts w:eastAsiaTheme="minorHAnsi"/>
          <w:lang w:val="hu-HU"/>
        </w:rPr>
        <w:t xml:space="preserve"> elteltével</w:t>
      </w:r>
      <w:r w:rsidR="00944C5C" w:rsidRPr="00C01E0F">
        <w:rPr>
          <w:rFonts w:eastAsiaTheme="minorHAnsi"/>
          <w:lang w:val="hu-HU"/>
        </w:rPr>
        <w:t xml:space="preserve"> (</w:t>
      </w:r>
      <w:r w:rsidR="00944C5C">
        <w:rPr>
          <w:rFonts w:eastAsiaTheme="minorHAnsi"/>
          <w:lang w:val="hu-HU"/>
        </w:rPr>
        <w:t>tartomány</w:t>
      </w:r>
      <w:r w:rsidR="00944C5C" w:rsidRPr="00C01E0F">
        <w:rPr>
          <w:rFonts w:eastAsiaTheme="minorHAnsi"/>
          <w:lang w:val="hu-HU"/>
        </w:rPr>
        <w:t>: 10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23 nap)</w:t>
      </w:r>
      <w:r w:rsidR="00944C5C">
        <w:rPr>
          <w:rFonts w:eastAsiaTheme="minorHAnsi"/>
          <w:lang w:val="hu-HU"/>
        </w:rPr>
        <w:t xml:space="preserve">. A neutrophil granulocytaszám </w:t>
      </w:r>
      <w:r w:rsidR="00944C5C" w:rsidRPr="00C01E0F">
        <w:rPr>
          <w:rFonts w:eastAsiaTheme="minorHAnsi"/>
          <w:lang w:val="hu-HU"/>
        </w:rPr>
        <w:t>rendeződésének kumulatív incidenciája a 28. napon 98,8% volt (95%</w:t>
      </w:r>
      <w:r w:rsidR="00F31080">
        <w:rPr>
          <w:rFonts w:eastAsiaTheme="minorHAnsi"/>
          <w:lang w:val="hu-HU"/>
        </w:rPr>
        <w:t>-os</w:t>
      </w:r>
      <w:r w:rsidR="00944C5C" w:rsidRPr="00C01E0F">
        <w:rPr>
          <w:rFonts w:eastAsiaTheme="minorHAnsi"/>
          <w:lang w:val="hu-HU"/>
        </w:rPr>
        <w:t xml:space="preserve"> CI, 85,7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99,9%). A thrombocyt</w:t>
      </w:r>
      <w:r w:rsidR="00944C5C">
        <w:rPr>
          <w:rFonts w:eastAsiaTheme="minorHAnsi"/>
          <w:lang w:val="hu-HU"/>
        </w:rPr>
        <w:t>ák</w:t>
      </w:r>
      <w:r w:rsidR="00944C5C" w:rsidRPr="00C01E0F">
        <w:rPr>
          <w:rFonts w:eastAsiaTheme="minorHAnsi"/>
          <w:lang w:val="hu-HU"/>
        </w:rPr>
        <w:t xml:space="preserve"> megtapadás</w:t>
      </w:r>
      <w:r w:rsidR="00944C5C">
        <w:rPr>
          <w:rFonts w:eastAsiaTheme="minorHAnsi"/>
          <w:lang w:val="hu-HU"/>
        </w:rPr>
        <w:t>a</w:t>
      </w:r>
      <w:r w:rsidR="00944C5C" w:rsidRPr="00C01E0F">
        <w:rPr>
          <w:rFonts w:eastAsiaTheme="minorHAnsi"/>
          <w:lang w:val="hu-HU"/>
        </w:rPr>
        <w:t xml:space="preserve"> az allo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HCT után 9 napos (</w:t>
      </w:r>
      <w:r w:rsidR="00944C5C">
        <w:rPr>
          <w:rFonts w:eastAsiaTheme="minorHAnsi"/>
          <w:lang w:val="hu-HU"/>
        </w:rPr>
        <w:t>tartomány:</w:t>
      </w:r>
      <w:r w:rsidR="00944C5C" w:rsidRPr="00C01E0F">
        <w:rPr>
          <w:rFonts w:eastAsiaTheme="minorHAnsi"/>
          <w:lang w:val="hu-HU"/>
        </w:rPr>
        <w:t xml:space="preserve"> 1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 xml:space="preserve">16) medián </w:t>
      </w:r>
      <w:r w:rsidR="00944C5C">
        <w:rPr>
          <w:rFonts w:eastAsiaTheme="minorHAnsi"/>
          <w:lang w:val="hu-HU"/>
        </w:rPr>
        <w:t>időtartam elteltével</w:t>
      </w:r>
      <w:r w:rsidR="00944C5C" w:rsidRPr="00C01E0F">
        <w:rPr>
          <w:rFonts w:eastAsiaTheme="minorHAnsi"/>
          <w:lang w:val="hu-HU"/>
        </w:rPr>
        <w:t xml:space="preserve"> </w:t>
      </w:r>
      <w:r w:rsidR="00944C5C">
        <w:rPr>
          <w:rFonts w:eastAsiaTheme="minorHAnsi"/>
          <w:lang w:val="hu-HU"/>
        </w:rPr>
        <w:t>jelentkezett.</w:t>
      </w:r>
    </w:p>
    <w:p w14:paraId="171F76B5" w14:textId="42AE6AE4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rFonts w:eastAsiaTheme="minorHAnsi"/>
          <w:lang w:val="hu-HU"/>
        </w:rPr>
        <w:t xml:space="preserve">A 2 éves </w:t>
      </w:r>
      <w:r>
        <w:rPr>
          <w:rFonts w:eastAsiaTheme="minorHAnsi"/>
          <w:lang w:val="hu-HU"/>
        </w:rPr>
        <w:t>össz</w:t>
      </w:r>
      <w:r w:rsidR="00041AC3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>túlélés (OS) aránya 61,9% (95%</w:t>
      </w:r>
      <w:r w:rsidR="00F31080">
        <w:rPr>
          <w:rFonts w:eastAsiaTheme="minorHAnsi"/>
          <w:lang w:val="hu-HU"/>
        </w:rPr>
        <w:t>-os</w:t>
      </w:r>
      <w:r w:rsidRPr="00C01E0F">
        <w:rPr>
          <w:rFonts w:eastAsiaTheme="minorHAnsi"/>
          <w:lang w:val="hu-HU"/>
        </w:rPr>
        <w:t xml:space="preserve"> CI, 51,1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72,7%)] volt. A 2 év alatt a</w:t>
      </w:r>
      <w:r w:rsidR="00041AC3">
        <w:rPr>
          <w:rFonts w:eastAsiaTheme="minorHAnsi"/>
          <w:lang w:val="hu-HU"/>
        </w:rPr>
        <w:t xml:space="preserve"> relapszus nélküli mortalitás (</w:t>
      </w:r>
      <w:r w:rsidRPr="00C01E0F">
        <w:rPr>
          <w:rFonts w:eastAsiaTheme="minorHAnsi"/>
          <w:lang w:val="hu-HU"/>
        </w:rPr>
        <w:t>NRM</w:t>
      </w:r>
      <w:r w:rsidR="00041AC3">
        <w:rPr>
          <w:rFonts w:eastAsiaTheme="minorHAnsi"/>
          <w:lang w:val="hu-HU"/>
        </w:rPr>
        <w:t>)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kumulatív</w:t>
      </w:r>
      <w:r w:rsidRPr="00C01E0F">
        <w:rPr>
          <w:rFonts w:eastAsiaTheme="minorHAnsi"/>
          <w:lang w:val="hu-HU"/>
        </w:rPr>
        <w:t xml:space="preserve"> előfordulása 11,3% volt (95%</w:t>
      </w:r>
      <w:r w:rsidR="00F31080">
        <w:rPr>
          <w:rFonts w:eastAsiaTheme="minorHAnsi"/>
          <w:lang w:val="hu-HU"/>
        </w:rPr>
        <w:t>-os</w:t>
      </w:r>
      <w:r w:rsidRPr="00C01E0F">
        <w:rPr>
          <w:rFonts w:eastAsiaTheme="minorHAnsi"/>
          <w:lang w:val="hu-HU"/>
        </w:rPr>
        <w:t xml:space="preserve"> CI, 5,5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19,3%), és az allo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HCT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ből történő relapszus vagy progresszió 43,8% volt (95</w:t>
      </w:r>
      <w:r w:rsidR="00041AC3">
        <w:rPr>
          <w:rFonts w:eastAsiaTheme="minorHAnsi"/>
          <w:lang w:val="hu-HU"/>
        </w:rPr>
        <w:t>%</w:t>
      </w:r>
      <w:r w:rsidR="00F31080">
        <w:rPr>
          <w:rFonts w:eastAsiaTheme="minorHAnsi"/>
          <w:lang w:val="hu-HU"/>
        </w:rPr>
        <w:t>-os</w:t>
      </w:r>
      <w:r w:rsidR="008054A2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CI, 31,1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55,7%). A 2 év alatt a betegségmentes túlélés (DFS) Kaplan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Meier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féle becslése 49,9% volt (95%</w:t>
      </w:r>
      <w:r w:rsidR="00F31080">
        <w:rPr>
          <w:rFonts w:eastAsiaTheme="minorHAnsi"/>
          <w:lang w:val="hu-HU"/>
        </w:rPr>
        <w:t>-os</w:t>
      </w:r>
      <w:r w:rsidRPr="00C01E0F">
        <w:rPr>
          <w:rFonts w:eastAsiaTheme="minorHAnsi"/>
          <w:lang w:val="hu-HU"/>
        </w:rPr>
        <w:t xml:space="preserve"> CI, 32,6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72,7).</w:t>
      </w:r>
    </w:p>
    <w:p w14:paraId="2D19BC2C" w14:textId="77777777" w:rsidR="00944C5C" w:rsidRPr="00C01E0F" w:rsidRDefault="00944C5C" w:rsidP="00944C5C">
      <w:pPr>
        <w:tabs>
          <w:tab w:val="clear" w:pos="567"/>
        </w:tabs>
        <w:spacing w:line="240" w:lineRule="auto"/>
        <w:outlineLvl w:val="0"/>
        <w:rPr>
          <w:lang w:val="hu-HU"/>
        </w:rPr>
      </w:pPr>
    </w:p>
    <w:p w14:paraId="4F54A339" w14:textId="77777777" w:rsidR="00944C5C" w:rsidRPr="00C01E0F" w:rsidRDefault="00944C5C" w:rsidP="008054A2">
      <w:pPr>
        <w:keepNext/>
        <w:tabs>
          <w:tab w:val="clear" w:pos="567"/>
        </w:tabs>
        <w:spacing w:line="240" w:lineRule="auto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lastRenderedPageBreak/>
        <w:t>5.2</w:t>
      </w:r>
      <w:r w:rsidRPr="00C01E0F">
        <w:rPr>
          <w:b/>
          <w:bCs/>
          <w:lang w:val="hu-HU"/>
        </w:rPr>
        <w:tab/>
        <w:t>Farmakokinetikai tulajdonságok</w:t>
      </w:r>
    </w:p>
    <w:p w14:paraId="7D06A73B" w14:textId="77777777" w:rsidR="00944C5C" w:rsidRPr="008054A2" w:rsidRDefault="00944C5C" w:rsidP="008054A2">
      <w:pPr>
        <w:keepNext/>
        <w:spacing w:line="240" w:lineRule="auto"/>
        <w:ind w:left="567" w:hanging="567"/>
        <w:outlineLvl w:val="0"/>
        <w:rPr>
          <w:bCs/>
          <w:lang w:val="hu-HU"/>
        </w:rPr>
      </w:pPr>
    </w:p>
    <w:p w14:paraId="034A875C" w14:textId="77777777" w:rsidR="00944C5C" w:rsidRPr="00C01E0F" w:rsidRDefault="00944C5C" w:rsidP="008054A2">
      <w:pPr>
        <w:keepNext/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Vizsgálták a buszulfán farmakokinetikai tulajdonságait. A biotranszformációra és eliminációra vonatkozó</w:t>
      </w:r>
      <w:r>
        <w:rPr>
          <w:rFonts w:eastAsiaTheme="minorHAnsi"/>
          <w:lang w:val="hu-HU"/>
        </w:rPr>
        <w:t>an bemutatott</w:t>
      </w:r>
      <w:r w:rsidRPr="00C01E0F">
        <w:rPr>
          <w:rFonts w:eastAsiaTheme="minorHAnsi"/>
          <w:lang w:val="hu-HU"/>
        </w:rPr>
        <w:t xml:space="preserve"> adatok oralis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kezelésből származnak.</w:t>
      </w:r>
    </w:p>
    <w:p w14:paraId="5D3790E3" w14:textId="77777777" w:rsidR="00944C5C" w:rsidRPr="00C01E0F" w:rsidRDefault="00944C5C" w:rsidP="008054A2">
      <w:pPr>
        <w:keepNext/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37BE44B6" w14:textId="77777777" w:rsidR="00944C5C" w:rsidRPr="00C01E0F" w:rsidRDefault="00944C5C" w:rsidP="00D85D99">
      <w:pPr>
        <w:widowControl w:val="0"/>
        <w:numPr>
          <w:ilvl w:val="12"/>
          <w:numId w:val="0"/>
        </w:numPr>
        <w:spacing w:line="240" w:lineRule="auto"/>
        <w:rPr>
          <w:rFonts w:eastAsiaTheme="minorHAnsi"/>
          <w:i/>
          <w:iCs/>
          <w:u w:val="single"/>
          <w:lang w:val="hu-HU"/>
        </w:rPr>
      </w:pPr>
      <w:r>
        <w:rPr>
          <w:rFonts w:eastAsiaTheme="minorHAnsi"/>
          <w:i/>
          <w:iCs/>
          <w:u w:val="single"/>
          <w:lang w:val="hu-HU"/>
        </w:rPr>
        <w:t>Farmakokinetika felnőtteknél</w:t>
      </w:r>
    </w:p>
    <w:p w14:paraId="195EC858" w14:textId="77777777" w:rsidR="00944C5C" w:rsidRPr="00C01E0F" w:rsidRDefault="00944C5C" w:rsidP="00D85D99">
      <w:pPr>
        <w:widowControl w:val="0"/>
        <w:numPr>
          <w:ilvl w:val="12"/>
          <w:numId w:val="0"/>
        </w:numPr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Felszívódás</w:t>
      </w:r>
    </w:p>
    <w:p w14:paraId="6438A3B8" w14:textId="77777777" w:rsidR="00944C5C" w:rsidRPr="00C01E0F" w:rsidRDefault="00944C5C" w:rsidP="00D85D99">
      <w:pPr>
        <w:widowControl w:val="0"/>
        <w:numPr>
          <w:ilvl w:val="12"/>
          <w:numId w:val="0"/>
        </w:num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 intravénás buszulfán farmakokinetikáját 124</w:t>
      </w:r>
      <w:r w:rsidR="00AD0CAA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értékelhető beteg</w:t>
      </w:r>
      <w:r>
        <w:rPr>
          <w:rFonts w:eastAsiaTheme="minorHAnsi"/>
          <w:lang w:val="hu-HU"/>
        </w:rPr>
        <w:t>nél</w:t>
      </w:r>
      <w:r w:rsidRPr="00C01E0F">
        <w:rPr>
          <w:rFonts w:eastAsiaTheme="minorHAnsi"/>
          <w:lang w:val="hu-HU"/>
        </w:rPr>
        <w:t xml:space="preserve"> </w:t>
      </w:r>
      <w:r w:rsidR="00AD0CAA">
        <w:rPr>
          <w:rFonts w:eastAsiaTheme="minorHAnsi"/>
          <w:lang w:val="hu-HU"/>
        </w:rPr>
        <w:t>vizsgálták</w:t>
      </w:r>
      <w:r w:rsidRPr="00C01E0F">
        <w:rPr>
          <w:rFonts w:eastAsiaTheme="minorHAnsi"/>
          <w:lang w:val="hu-HU"/>
        </w:rPr>
        <w:t xml:space="preserve">, </w:t>
      </w:r>
      <w:r w:rsidR="00AD0CAA" w:rsidRPr="00C01E0F">
        <w:rPr>
          <w:rFonts w:eastAsiaTheme="minorHAnsi"/>
          <w:lang w:val="hu-HU"/>
        </w:rPr>
        <w:t>4 napon keresztül</w:t>
      </w:r>
      <w:r w:rsidR="00AD0CAA">
        <w:rPr>
          <w:rFonts w:eastAsiaTheme="minorHAnsi"/>
          <w:lang w:val="hu-HU"/>
        </w:rPr>
        <w:t xml:space="preserve">, </w:t>
      </w:r>
      <w:r w:rsidR="00AD0CAA" w:rsidRPr="00C01E0F">
        <w:rPr>
          <w:rFonts w:eastAsiaTheme="minorHAnsi"/>
          <w:lang w:val="hu-HU"/>
        </w:rPr>
        <w:t>összesen 16</w:t>
      </w:r>
      <w:r w:rsidR="00AD0CAA">
        <w:rPr>
          <w:rFonts w:eastAsiaTheme="minorHAnsi"/>
          <w:lang w:val="hu-HU"/>
        </w:rPr>
        <w:t> </w:t>
      </w:r>
      <w:r w:rsidR="00AD0CAA" w:rsidRPr="00C01E0F">
        <w:rPr>
          <w:rFonts w:eastAsiaTheme="minorHAnsi"/>
          <w:lang w:val="hu-HU"/>
        </w:rPr>
        <w:t>dózis</w:t>
      </w:r>
      <w:r w:rsidR="00344653">
        <w:rPr>
          <w:rFonts w:eastAsiaTheme="minorHAnsi"/>
          <w:lang w:val="hu-HU"/>
        </w:rPr>
        <w:t>ban adott</w:t>
      </w:r>
      <w:r w:rsidR="00AD0CAA" w:rsidRPr="00C01E0F">
        <w:rPr>
          <w:rFonts w:eastAsiaTheme="minorHAnsi"/>
          <w:lang w:val="hu-HU"/>
        </w:rPr>
        <w:t xml:space="preserve"> 2 órás intravénás infúziót követően</w:t>
      </w:r>
      <w:r w:rsidRPr="00C01E0F">
        <w:rPr>
          <w:rFonts w:eastAsiaTheme="minorHAnsi"/>
          <w:lang w:val="hu-HU"/>
        </w:rPr>
        <w:t>. A</w:t>
      </w:r>
      <w:r w:rsidR="0095393E">
        <w:rPr>
          <w:rFonts w:eastAsiaTheme="minorHAnsi"/>
          <w:lang w:val="hu-HU"/>
        </w:rPr>
        <w:t>z</w:t>
      </w:r>
      <w:r w:rsidRPr="00C01E0F">
        <w:rPr>
          <w:rFonts w:eastAsiaTheme="minorHAnsi"/>
          <w:lang w:val="hu-HU"/>
        </w:rPr>
        <w:t xml:space="preserve"> intravénás infúzió</w:t>
      </w:r>
      <w:r>
        <w:rPr>
          <w:rFonts w:eastAsiaTheme="minorHAnsi"/>
          <w:lang w:val="hu-HU"/>
        </w:rPr>
        <w:t>ban bead</w:t>
      </w:r>
      <w:r w:rsidR="0095393E">
        <w:rPr>
          <w:rFonts w:eastAsiaTheme="minorHAnsi"/>
          <w:lang w:val="hu-HU"/>
        </w:rPr>
        <w:t>ott</w:t>
      </w:r>
      <w:r w:rsidRPr="00C01E0F">
        <w:rPr>
          <w:rFonts w:eastAsiaTheme="minorHAnsi"/>
          <w:lang w:val="hu-HU"/>
        </w:rPr>
        <w:t xml:space="preserve"> </w:t>
      </w:r>
      <w:r w:rsidR="0095393E" w:rsidRPr="00C01E0F">
        <w:rPr>
          <w:rFonts w:eastAsiaTheme="minorHAnsi"/>
          <w:lang w:val="hu-HU"/>
        </w:rPr>
        <w:t xml:space="preserve">buszulfán </w:t>
      </w:r>
      <w:r w:rsidRPr="00C01E0F">
        <w:rPr>
          <w:rFonts w:eastAsiaTheme="minorHAnsi"/>
          <w:lang w:val="hu-HU"/>
        </w:rPr>
        <w:t xml:space="preserve">dózis azonnali és teljes biohasznosulása volt megállapítható. </w:t>
      </w:r>
      <w:r w:rsidR="00344653">
        <w:rPr>
          <w:rFonts w:eastAsiaTheme="minorHAnsi"/>
          <w:lang w:val="hu-HU"/>
        </w:rPr>
        <w:t>Hasonló expozíciókat észleltek a vérben, amikor a</w:t>
      </w:r>
      <w:r w:rsidRPr="00C01E0F">
        <w:rPr>
          <w:rFonts w:eastAsiaTheme="minorHAnsi"/>
          <w:lang w:val="hu-HU"/>
        </w:rPr>
        <w:t>z or</w:t>
      </w:r>
      <w:r w:rsidR="0095393E">
        <w:rPr>
          <w:rFonts w:eastAsiaTheme="minorHAnsi"/>
          <w:lang w:val="hu-HU"/>
        </w:rPr>
        <w:t>á</w:t>
      </w:r>
      <w:r w:rsidRPr="00C01E0F">
        <w:rPr>
          <w:rFonts w:eastAsiaTheme="minorHAnsi"/>
          <w:lang w:val="hu-HU"/>
        </w:rPr>
        <w:t>lisan 1 mg/</w:t>
      </w:r>
      <w:r w:rsidR="00344653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t xml:space="preserve">, illetve </w:t>
      </w:r>
      <w:r w:rsidRPr="00C01E0F">
        <w:rPr>
          <w:rFonts w:eastAsiaTheme="minorHAnsi"/>
          <w:lang w:val="hu-HU"/>
        </w:rPr>
        <w:t>intravénásan 0,8 mg/</w:t>
      </w:r>
      <w:r w:rsidR="00344653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buszulfánnal kezelt felnőtt betegek </w:t>
      </w:r>
      <w:r>
        <w:rPr>
          <w:rFonts w:eastAsiaTheme="minorHAnsi"/>
          <w:lang w:val="hu-HU"/>
        </w:rPr>
        <w:t xml:space="preserve">plazmakoncentrációit </w:t>
      </w:r>
      <w:r w:rsidR="00344653">
        <w:rPr>
          <w:rFonts w:eastAsiaTheme="minorHAnsi"/>
          <w:lang w:val="hu-HU"/>
        </w:rPr>
        <w:t>hasonlították össze</w:t>
      </w:r>
      <w:r>
        <w:rPr>
          <w:rFonts w:eastAsiaTheme="minorHAnsi"/>
          <w:lang w:val="hu-HU"/>
        </w:rPr>
        <w:t>. Egy</w:t>
      </w:r>
      <w:r w:rsidR="00344653">
        <w:rPr>
          <w:rFonts w:eastAsiaTheme="minorHAnsi"/>
          <w:lang w:val="hu-HU"/>
        </w:rPr>
        <w:t>,</w:t>
      </w:r>
      <w:r>
        <w:rPr>
          <w:rFonts w:eastAsiaTheme="minorHAnsi"/>
          <w:lang w:val="hu-HU"/>
        </w:rPr>
        <w:t xml:space="preserve"> 102 </w:t>
      </w:r>
      <w:r w:rsidRPr="00C01E0F">
        <w:rPr>
          <w:rFonts w:eastAsiaTheme="minorHAnsi"/>
          <w:lang w:val="hu-HU"/>
        </w:rPr>
        <w:t>beteg</w:t>
      </w:r>
      <w:r>
        <w:rPr>
          <w:rFonts w:eastAsiaTheme="minorHAnsi"/>
          <w:lang w:val="hu-HU"/>
        </w:rPr>
        <w:t xml:space="preserve"> bevonásával </w:t>
      </w:r>
      <w:r w:rsidRPr="00C01E0F">
        <w:rPr>
          <w:rFonts w:eastAsiaTheme="minorHAnsi"/>
          <w:lang w:val="hu-HU"/>
        </w:rPr>
        <w:t xml:space="preserve">végzett populációs farmakokinetikai elemzés során </w:t>
      </w:r>
      <w:r w:rsidR="00344653" w:rsidRPr="00C01E0F">
        <w:rPr>
          <w:rFonts w:eastAsiaTheme="minorHAnsi"/>
          <w:lang w:val="hu-HU"/>
        </w:rPr>
        <w:t>a betegek</w:t>
      </w:r>
      <w:r w:rsidR="00344653">
        <w:rPr>
          <w:rFonts w:eastAsiaTheme="minorHAnsi"/>
          <w:lang w:val="hu-HU"/>
        </w:rPr>
        <w:t xml:space="preserve"> között és az egyes betegeken belül</w:t>
      </w:r>
      <w:r w:rsidR="00344653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a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expozíció </w:t>
      </w:r>
      <w:r>
        <w:rPr>
          <w:rFonts w:eastAsiaTheme="minorHAnsi"/>
          <w:lang w:val="hu-HU"/>
        </w:rPr>
        <w:t xml:space="preserve">kismértékű </w:t>
      </w:r>
      <w:r w:rsidRPr="00C01E0F">
        <w:rPr>
          <w:rFonts w:eastAsiaTheme="minorHAnsi"/>
          <w:lang w:val="hu-HU"/>
        </w:rPr>
        <w:t>variabilitását észlelték (CV = 21%) és az egyes betegek esetén (CV = 12%).</w:t>
      </w:r>
    </w:p>
    <w:p w14:paraId="6BEDBC2F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1A5937F6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Eloszlás</w:t>
      </w:r>
    </w:p>
    <w:p w14:paraId="6BC48698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végső V</w:t>
      </w:r>
      <w:r w:rsidRPr="008402DC">
        <w:rPr>
          <w:rFonts w:eastAsiaTheme="minorHAnsi"/>
          <w:vertAlign w:val="subscript"/>
          <w:lang w:val="hu-HU"/>
        </w:rPr>
        <w:t>z</w:t>
      </w:r>
      <w:r w:rsidRPr="00C01E0F">
        <w:rPr>
          <w:rFonts w:eastAsiaTheme="minorHAnsi"/>
          <w:lang w:val="hu-HU"/>
        </w:rPr>
        <w:t xml:space="preserve"> eloszlási térfogat 0,62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0,85</w:t>
      </w:r>
      <w:r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l/</w:t>
      </w:r>
      <w:r w:rsidR="00396E11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 volt.</w:t>
      </w:r>
    </w:p>
    <w:p w14:paraId="6D6C7831" w14:textId="77777777" w:rsidR="00944C5C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>
        <w:rPr>
          <w:rFonts w:eastAsiaTheme="minorHAnsi"/>
          <w:lang w:val="hu-HU"/>
        </w:rPr>
        <w:t>cerebrospinalis</w:t>
      </w:r>
      <w:r w:rsidRPr="00C01E0F">
        <w:rPr>
          <w:rFonts w:eastAsiaTheme="minorHAnsi"/>
          <w:lang w:val="hu-HU"/>
        </w:rPr>
        <w:t xml:space="preserve"> folyadékban mért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koncentrációk hasonlóak voltak a pla</w:t>
      </w:r>
      <w:r>
        <w:rPr>
          <w:rFonts w:eastAsiaTheme="minorHAnsi"/>
          <w:lang w:val="hu-HU"/>
        </w:rPr>
        <w:t>zmában mért értékekhez, bár ezek a</w:t>
      </w:r>
      <w:r w:rsidRPr="00C01E0F">
        <w:rPr>
          <w:rFonts w:eastAsiaTheme="minorHAnsi"/>
          <w:lang w:val="hu-HU"/>
        </w:rPr>
        <w:t xml:space="preserve"> koncentrációk valószínűleg elégtelenek </w:t>
      </w:r>
      <w:r w:rsidR="00396E11"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daganatellenes hat</w:t>
      </w:r>
      <w:r>
        <w:rPr>
          <w:rFonts w:eastAsiaTheme="minorHAnsi"/>
          <w:lang w:val="hu-HU"/>
        </w:rPr>
        <w:t>ás kifejtéséhez.</w:t>
      </w:r>
    </w:p>
    <w:p w14:paraId="754BDD1E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plazmafehérjékhez való reverz</w:t>
      </w:r>
      <w:r w:rsidR="00396E11">
        <w:rPr>
          <w:rFonts w:eastAsiaTheme="minorHAnsi"/>
          <w:lang w:val="hu-HU"/>
        </w:rPr>
        <w:t>í</w:t>
      </w:r>
      <w:r w:rsidRPr="00C01E0F">
        <w:rPr>
          <w:rFonts w:eastAsiaTheme="minorHAnsi"/>
          <w:lang w:val="hu-HU"/>
        </w:rPr>
        <w:t xml:space="preserve">bilis kötődés kb. 7% volt, míg </w:t>
      </w:r>
      <w:r>
        <w:rPr>
          <w:rFonts w:eastAsiaTheme="minorHAnsi"/>
          <w:lang w:val="hu-HU"/>
        </w:rPr>
        <w:t xml:space="preserve">az </w:t>
      </w:r>
      <w:r w:rsidRPr="00C01E0F">
        <w:rPr>
          <w:rFonts w:eastAsiaTheme="minorHAnsi"/>
          <w:lang w:val="hu-HU"/>
        </w:rPr>
        <w:t>irreverz</w:t>
      </w:r>
      <w:r w:rsidR="00396E11">
        <w:rPr>
          <w:rFonts w:eastAsiaTheme="minorHAnsi"/>
          <w:lang w:val="hu-HU"/>
        </w:rPr>
        <w:t>í</w:t>
      </w:r>
      <w:r w:rsidRPr="00C01E0F">
        <w:rPr>
          <w:rFonts w:eastAsiaTheme="minorHAnsi"/>
          <w:lang w:val="hu-HU"/>
        </w:rPr>
        <w:t>bilis kötődés</w:t>
      </w:r>
      <w:r>
        <w:rPr>
          <w:rFonts w:eastAsiaTheme="minorHAnsi"/>
          <w:lang w:val="hu-HU"/>
        </w:rPr>
        <w:t xml:space="preserve"> –</w:t>
      </w:r>
      <w:r w:rsidRPr="00C01E0F">
        <w:rPr>
          <w:rFonts w:eastAsiaTheme="minorHAnsi"/>
          <w:lang w:val="hu-HU"/>
        </w:rPr>
        <w:t xml:space="preserve"> elsősorban</w:t>
      </w:r>
      <w:r>
        <w:rPr>
          <w:rFonts w:eastAsiaTheme="minorHAnsi"/>
          <w:lang w:val="hu-HU"/>
        </w:rPr>
        <w:t xml:space="preserve"> az albuminhoz – 32% </w:t>
      </w:r>
      <w:r w:rsidRPr="00C01E0F">
        <w:rPr>
          <w:rFonts w:eastAsiaTheme="minorHAnsi"/>
          <w:lang w:val="hu-HU"/>
        </w:rPr>
        <w:t>körül mozgott.</w:t>
      </w:r>
    </w:p>
    <w:p w14:paraId="7A6EC8B2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07165E29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Biotranszformáció</w:t>
      </w:r>
    </w:p>
    <w:p w14:paraId="00270A5D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buszulfán főleg a glutation (spontán és glutation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transzferáz által közvetített) konjugáción keresztül meta</w:t>
      </w:r>
      <w:r>
        <w:rPr>
          <w:rFonts w:eastAsiaTheme="minorHAnsi"/>
          <w:lang w:val="hu-HU"/>
        </w:rPr>
        <w:t>bolizálódik. Ezután a glutation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konjugátum oxidáció révén tovább metabolizálódik</w:t>
      </w:r>
      <w:r w:rsidRPr="008402DC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a májban. A metabolitok egyike sem járul hozzá </w:t>
      </w:r>
      <w:r>
        <w:rPr>
          <w:rFonts w:eastAsiaTheme="minorHAnsi"/>
          <w:lang w:val="hu-HU"/>
        </w:rPr>
        <w:t>jelentős mértékben</w:t>
      </w:r>
      <w:r w:rsidRPr="00C01E0F">
        <w:rPr>
          <w:rFonts w:eastAsiaTheme="minorHAnsi"/>
          <w:lang w:val="hu-HU"/>
        </w:rPr>
        <w:t xml:space="preserve"> a </w:t>
      </w:r>
      <w:r>
        <w:rPr>
          <w:rFonts w:eastAsiaTheme="minorHAnsi"/>
          <w:lang w:val="hu-HU"/>
        </w:rPr>
        <w:t>hatásossághoz</w:t>
      </w:r>
      <w:r w:rsidRPr="00C01E0F">
        <w:rPr>
          <w:rFonts w:eastAsiaTheme="minorHAnsi"/>
          <w:lang w:val="hu-HU"/>
        </w:rPr>
        <w:t xml:space="preserve"> vagy a toxicitáshoz.</w:t>
      </w:r>
    </w:p>
    <w:p w14:paraId="74C53F7D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4E2196F9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Elimináció</w:t>
      </w:r>
    </w:p>
    <w:p w14:paraId="79A99A5B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plazmában a teljes clearance 2,25</w:t>
      </w:r>
      <w:r>
        <w:rPr>
          <w:rFonts w:eastAsiaTheme="minorHAnsi"/>
          <w:lang w:val="hu-HU"/>
        </w:rPr>
        <w:t xml:space="preserve"> és </w:t>
      </w:r>
      <w:r w:rsidRPr="00C01E0F">
        <w:rPr>
          <w:rFonts w:eastAsiaTheme="minorHAnsi"/>
          <w:lang w:val="hu-HU"/>
        </w:rPr>
        <w:t>2,74 ml/perc/</w:t>
      </w:r>
      <w:r w:rsidR="0001367F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t xml:space="preserve"> között mozog</w:t>
      </w:r>
      <w:r w:rsidRPr="00C01E0F">
        <w:rPr>
          <w:rFonts w:eastAsiaTheme="minorHAnsi"/>
          <w:lang w:val="hu-HU"/>
        </w:rPr>
        <w:t>. A terminális felezési idő 2,8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3,9 óra. A beadott dózis kb. 30%</w:t>
      </w:r>
      <w:r>
        <w:rPr>
          <w:rFonts w:eastAsiaTheme="minorHAnsi"/>
          <w:lang w:val="hu-HU"/>
        </w:rPr>
        <w:noBreakHyphen/>
      </w:r>
      <w:r w:rsidR="0001367F">
        <w:rPr>
          <w:rFonts w:eastAsiaTheme="minorHAnsi"/>
          <w:lang w:val="hu-HU"/>
        </w:rPr>
        <w:t xml:space="preserve">a </w:t>
      </w:r>
      <w:r w:rsidR="0001367F" w:rsidRPr="00C01E0F">
        <w:rPr>
          <w:rFonts w:eastAsiaTheme="minorHAnsi"/>
          <w:lang w:val="hu-HU"/>
        </w:rPr>
        <w:t>48 ór</w:t>
      </w:r>
      <w:r w:rsidR="0001367F">
        <w:rPr>
          <w:rFonts w:eastAsiaTheme="minorHAnsi"/>
          <w:lang w:val="hu-HU"/>
        </w:rPr>
        <w:t>a alatt</w:t>
      </w:r>
      <w:r w:rsidR="0001367F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ürül </w:t>
      </w:r>
      <w:r w:rsidR="0001367F">
        <w:rPr>
          <w:rFonts w:eastAsiaTheme="minorHAnsi"/>
          <w:lang w:val="hu-HU"/>
        </w:rPr>
        <w:t xml:space="preserve">ki </w:t>
      </w:r>
      <w:r w:rsidRPr="00C01E0F">
        <w:rPr>
          <w:rFonts w:eastAsiaTheme="minorHAnsi"/>
          <w:lang w:val="hu-HU"/>
        </w:rPr>
        <w:t>a vizelettel, melyből 1% változatlan</w:t>
      </w:r>
      <w:r>
        <w:rPr>
          <w:rFonts w:eastAsiaTheme="minorHAnsi"/>
          <w:lang w:val="hu-HU"/>
        </w:rPr>
        <w:t xml:space="preserve"> buszulfán</w:t>
      </w:r>
      <w:r w:rsidRPr="00C01E0F">
        <w:rPr>
          <w:rFonts w:eastAsiaTheme="minorHAnsi"/>
          <w:lang w:val="hu-HU"/>
        </w:rPr>
        <w:t xml:space="preserve"> formá</w:t>
      </w:r>
      <w:r>
        <w:rPr>
          <w:rFonts w:eastAsiaTheme="minorHAnsi"/>
          <w:lang w:val="hu-HU"/>
        </w:rPr>
        <w:t>já</w:t>
      </w:r>
      <w:r w:rsidRPr="00C01E0F">
        <w:rPr>
          <w:rFonts w:eastAsiaTheme="minorHAnsi"/>
          <w:lang w:val="hu-HU"/>
        </w:rPr>
        <w:t xml:space="preserve">ban. A széklettel történő ürülés </w:t>
      </w:r>
      <w:r>
        <w:rPr>
          <w:rFonts w:eastAsiaTheme="minorHAnsi"/>
          <w:lang w:val="hu-HU"/>
        </w:rPr>
        <w:t>elhanyagolható. A</w:t>
      </w:r>
      <w:r w:rsidR="00215536">
        <w:rPr>
          <w:rFonts w:eastAsiaTheme="minorHAnsi"/>
          <w:lang w:val="hu-HU"/>
        </w:rPr>
        <w:t xml:space="preserve"> nem teljes ki</w:t>
      </w:r>
      <w:r w:rsidRPr="00C01E0F">
        <w:rPr>
          <w:rFonts w:eastAsiaTheme="minorHAnsi"/>
          <w:lang w:val="hu-HU"/>
        </w:rPr>
        <w:t>ürülést az irreverz</w:t>
      </w:r>
      <w:r w:rsidR="00215536">
        <w:rPr>
          <w:rFonts w:eastAsiaTheme="minorHAnsi"/>
          <w:lang w:val="hu-HU"/>
        </w:rPr>
        <w:t>í</w:t>
      </w:r>
      <w:r w:rsidRPr="00C01E0F">
        <w:rPr>
          <w:rFonts w:eastAsiaTheme="minorHAnsi"/>
          <w:lang w:val="hu-HU"/>
        </w:rPr>
        <w:t>bilis fehérjekötődés magyarázhatja. Nem zárható ki a hosszan tartó metabolitok együtthatása.</w:t>
      </w:r>
    </w:p>
    <w:p w14:paraId="7A939555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0AD4DCE3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Linearitás</w:t>
      </w:r>
    </w:p>
    <w:p w14:paraId="232A9F72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expozíció dózisarányos növekedését figyelték meg 1 mg/</w:t>
      </w:r>
      <w:r w:rsidR="00215536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noBreakHyphen/>
        <w:t>ig terjedő</w:t>
      </w:r>
      <w:r w:rsidRPr="00C01E0F">
        <w:rPr>
          <w:rFonts w:eastAsiaTheme="minorHAnsi"/>
          <w:lang w:val="hu-HU"/>
        </w:rPr>
        <w:t xml:space="preserve"> intravénás buszulfán adagok alkalmazásáig.</w:t>
      </w:r>
    </w:p>
    <w:p w14:paraId="3533ADFC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1AA660A9" w14:textId="77777777" w:rsidR="00944C5C" w:rsidRPr="00C01E0F" w:rsidRDefault="00215536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napi négy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kezelés</w:t>
      </w:r>
      <w:r>
        <w:rPr>
          <w:rFonts w:eastAsiaTheme="minorHAnsi"/>
          <w:lang w:val="hu-HU"/>
        </w:rPr>
        <w:t xml:space="preserve">ből álló </w:t>
      </w:r>
      <w:r w:rsidRPr="00C01E0F">
        <w:rPr>
          <w:rFonts w:eastAsiaTheme="minorHAnsi"/>
          <w:lang w:val="hu-HU"/>
        </w:rPr>
        <w:t xml:space="preserve">sémával </w:t>
      </w:r>
      <w:r>
        <w:rPr>
          <w:rFonts w:eastAsiaTheme="minorHAnsi"/>
          <w:lang w:val="hu-HU"/>
        </w:rPr>
        <w:t>ö</w:t>
      </w:r>
      <w:r w:rsidR="00944C5C" w:rsidRPr="00C01E0F">
        <w:rPr>
          <w:rFonts w:eastAsiaTheme="minorHAnsi"/>
          <w:lang w:val="hu-HU"/>
        </w:rPr>
        <w:t>sszehasonlítva, a napi egyszeri adagolá</w:t>
      </w:r>
      <w:r w:rsidR="00944C5C">
        <w:rPr>
          <w:rFonts w:eastAsiaTheme="minorHAnsi"/>
          <w:lang w:val="hu-HU"/>
        </w:rPr>
        <w:t xml:space="preserve">si sémát </w:t>
      </w:r>
      <w:r w:rsidR="00944C5C" w:rsidRPr="00C01E0F">
        <w:rPr>
          <w:rFonts w:eastAsiaTheme="minorHAnsi"/>
          <w:lang w:val="hu-HU"/>
        </w:rPr>
        <w:t>magasabb csúcskoncentráció, az egymást követő beadások között a hatóanyag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>akkumuláció hiánya és egy kimos</w:t>
      </w:r>
      <w:r w:rsidR="00944C5C">
        <w:rPr>
          <w:rFonts w:eastAsiaTheme="minorHAnsi"/>
          <w:lang w:val="hu-HU"/>
        </w:rPr>
        <w:t>ási időszak (keringő buszulfán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 xml:space="preserve">koncentráció nélkül) jellemzi. A szakirodalom </w:t>
      </w:r>
      <w:r w:rsidR="00944C5C">
        <w:rPr>
          <w:rFonts w:eastAsiaTheme="minorHAnsi"/>
          <w:lang w:val="hu-HU"/>
        </w:rPr>
        <w:t>áttekintése</w:t>
      </w:r>
      <w:r w:rsidR="00944C5C" w:rsidRPr="00C01E0F">
        <w:rPr>
          <w:rFonts w:eastAsiaTheme="minorHAnsi"/>
          <w:lang w:val="hu-HU"/>
        </w:rPr>
        <w:t xml:space="preserve"> lehetővé </w:t>
      </w:r>
      <w:r w:rsidR="00944C5C">
        <w:rPr>
          <w:rFonts w:eastAsiaTheme="minorHAnsi"/>
          <w:lang w:val="hu-HU"/>
        </w:rPr>
        <w:t>tette</w:t>
      </w:r>
      <w:r w:rsidR="00944C5C" w:rsidRPr="00C01E0F">
        <w:rPr>
          <w:rFonts w:eastAsiaTheme="minorHAnsi"/>
          <w:lang w:val="hu-HU"/>
        </w:rPr>
        <w:t xml:space="preserve"> a farmakokinetikai adatok</w:t>
      </w:r>
      <w:r w:rsidR="00944C5C">
        <w:rPr>
          <w:rFonts w:eastAsiaTheme="minorHAnsi"/>
          <w:lang w:val="hu-HU"/>
        </w:rPr>
        <w:t xml:space="preserve"> –</w:t>
      </w:r>
      <w:r w:rsidR="00944C5C" w:rsidRPr="00C01E0F">
        <w:rPr>
          <w:rFonts w:eastAsiaTheme="minorHAnsi"/>
          <w:lang w:val="hu-HU"/>
        </w:rPr>
        <w:t xml:space="preserve"> akár ugyanazon vizsgálaton belül</w:t>
      </w:r>
      <w:r w:rsidR="00944C5C">
        <w:rPr>
          <w:rFonts w:eastAsiaTheme="minorHAnsi"/>
          <w:lang w:val="hu-HU"/>
        </w:rPr>
        <w:t>i</w:t>
      </w:r>
      <w:r w:rsidR="00944C5C" w:rsidRPr="00C01E0F">
        <w:rPr>
          <w:rFonts w:eastAsiaTheme="minorHAnsi"/>
          <w:lang w:val="hu-HU"/>
        </w:rPr>
        <w:t>, akár a vizsgálatok között</w:t>
      </w:r>
      <w:r w:rsidR="00944C5C">
        <w:rPr>
          <w:rFonts w:eastAsiaTheme="minorHAnsi"/>
          <w:lang w:val="hu-HU"/>
        </w:rPr>
        <w:t xml:space="preserve">i – </w:t>
      </w:r>
      <w:r w:rsidR="00944C5C" w:rsidRPr="00C01E0F">
        <w:rPr>
          <w:rFonts w:eastAsiaTheme="minorHAnsi"/>
          <w:lang w:val="hu-HU"/>
        </w:rPr>
        <w:t xml:space="preserve">összehasonlítását, </w:t>
      </w:r>
      <w:r w:rsidR="00944C5C">
        <w:rPr>
          <w:rFonts w:eastAsiaTheme="minorHAnsi"/>
          <w:lang w:val="hu-HU"/>
        </w:rPr>
        <w:t>melynek során</w:t>
      </w:r>
      <w:r w:rsidR="00944C5C" w:rsidRPr="00C01E0F">
        <w:rPr>
          <w:rFonts w:eastAsiaTheme="minorHAnsi"/>
          <w:lang w:val="hu-HU"/>
        </w:rPr>
        <w:t xml:space="preserve"> változatlan, a dózistól független farmakokinetikai paramétereket </w:t>
      </w:r>
      <w:r w:rsidR="00944C5C">
        <w:rPr>
          <w:rFonts w:eastAsiaTheme="minorHAnsi"/>
          <w:lang w:val="hu-HU"/>
        </w:rPr>
        <w:t xml:space="preserve">igazoltak az adagolástól vagy az adagolási rendtől </w:t>
      </w:r>
      <w:r w:rsidR="00944C5C" w:rsidRPr="00C01E0F">
        <w:rPr>
          <w:rFonts w:eastAsiaTheme="minorHAnsi"/>
          <w:lang w:val="hu-HU"/>
        </w:rPr>
        <w:t>függetlenül. Úgy tűnik, hogy az ajánlott intravénás bu</w:t>
      </w:r>
      <w:r w:rsidR="00944C5C">
        <w:rPr>
          <w:rFonts w:eastAsiaTheme="minorHAnsi"/>
          <w:lang w:val="hu-HU"/>
        </w:rPr>
        <w:t>szulfán</w:t>
      </w:r>
      <w:r w:rsidR="00944C5C">
        <w:rPr>
          <w:rFonts w:eastAsiaTheme="minorHAnsi"/>
          <w:lang w:val="hu-HU"/>
        </w:rPr>
        <w:noBreakHyphen/>
      </w:r>
      <w:r w:rsidR="00944C5C" w:rsidRPr="00C01E0F">
        <w:rPr>
          <w:rFonts w:eastAsiaTheme="minorHAnsi"/>
          <w:lang w:val="hu-HU"/>
        </w:rPr>
        <w:t xml:space="preserve">dózis </w:t>
      </w:r>
      <w:r w:rsidR="00944C5C">
        <w:rPr>
          <w:rFonts w:eastAsiaTheme="minorHAnsi"/>
          <w:lang w:val="hu-HU"/>
        </w:rPr>
        <w:t xml:space="preserve">– </w:t>
      </w:r>
      <w:r w:rsidR="00944C5C" w:rsidRPr="00C01E0F">
        <w:rPr>
          <w:rFonts w:eastAsiaTheme="minorHAnsi"/>
          <w:lang w:val="hu-HU"/>
        </w:rPr>
        <w:t>akár egyszeri infúzióban (3,2 mg</w:t>
      </w:r>
      <w:r w:rsidR="00944C5C">
        <w:rPr>
          <w:rFonts w:eastAsiaTheme="minorHAnsi"/>
          <w:lang w:val="hu-HU"/>
        </w:rPr>
        <w:t>/</w:t>
      </w:r>
      <w:r>
        <w:rPr>
          <w:rFonts w:eastAsiaTheme="minorHAnsi"/>
          <w:lang w:val="hu-HU"/>
        </w:rPr>
        <w:t>tt</w:t>
      </w:r>
      <w:r w:rsidR="00944C5C">
        <w:rPr>
          <w:rFonts w:eastAsiaTheme="minorHAnsi"/>
          <w:lang w:val="hu-HU"/>
        </w:rPr>
        <w:t>kg), akár 4 részre elosztott</w:t>
      </w:r>
      <w:r w:rsidR="00944C5C" w:rsidRPr="00C01E0F">
        <w:rPr>
          <w:rFonts w:eastAsiaTheme="minorHAnsi"/>
          <w:lang w:val="hu-HU"/>
        </w:rPr>
        <w:t xml:space="preserve"> infúzióban (0,8 mg</w:t>
      </w:r>
      <w:r w:rsidR="00944C5C">
        <w:rPr>
          <w:rFonts w:eastAsiaTheme="minorHAnsi"/>
          <w:lang w:val="hu-HU"/>
        </w:rPr>
        <w:t>/</w:t>
      </w:r>
      <w:r>
        <w:rPr>
          <w:rFonts w:eastAsiaTheme="minorHAnsi"/>
          <w:lang w:val="hu-HU"/>
        </w:rPr>
        <w:t>tt</w:t>
      </w:r>
      <w:r w:rsidR="00944C5C">
        <w:rPr>
          <w:rFonts w:eastAsiaTheme="minorHAnsi"/>
          <w:lang w:val="hu-HU"/>
        </w:rPr>
        <w:t>kg) alkalmazták –</w:t>
      </w:r>
      <w:r w:rsidR="00944C5C" w:rsidRPr="00C01E0F">
        <w:rPr>
          <w:rFonts w:eastAsiaTheme="minorHAnsi"/>
          <w:lang w:val="hu-HU"/>
        </w:rPr>
        <w:t xml:space="preserve"> egyenértékű napi plazmaexpozíciót </w:t>
      </w:r>
      <w:r w:rsidR="00944C5C">
        <w:rPr>
          <w:rFonts w:eastAsiaTheme="minorHAnsi"/>
          <w:lang w:val="hu-HU"/>
        </w:rPr>
        <w:t>eredményez</w:t>
      </w:r>
      <w:r w:rsidR="00944C5C" w:rsidRPr="00C01E0F">
        <w:rPr>
          <w:rFonts w:eastAsiaTheme="minorHAnsi"/>
          <w:lang w:val="hu-HU"/>
        </w:rPr>
        <w:t>, hasonló betegek közötti és adott betege</w:t>
      </w:r>
      <w:r>
        <w:rPr>
          <w:rFonts w:eastAsiaTheme="minorHAnsi"/>
          <w:lang w:val="hu-HU"/>
        </w:rPr>
        <w:t>ke</w:t>
      </w:r>
      <w:r w:rsidR="00944C5C" w:rsidRPr="00C01E0F">
        <w:rPr>
          <w:rFonts w:eastAsiaTheme="minorHAnsi"/>
          <w:lang w:val="hu-HU"/>
        </w:rPr>
        <w:t>n belüli varia</w:t>
      </w:r>
      <w:r w:rsidR="00944C5C">
        <w:rPr>
          <w:rFonts w:eastAsiaTheme="minorHAnsi"/>
          <w:lang w:val="hu-HU"/>
        </w:rPr>
        <w:t>bilitással. Ennek eredményeként</w:t>
      </w:r>
      <w:r w:rsidR="00944C5C" w:rsidRPr="00C01E0F">
        <w:rPr>
          <w:rFonts w:eastAsiaTheme="minorHAnsi"/>
          <w:lang w:val="hu-HU"/>
        </w:rPr>
        <w:t xml:space="preserve"> az intravénás buszulfán AUC</w:t>
      </w:r>
      <w:r w:rsidR="00944C5C">
        <w:rPr>
          <w:rFonts w:eastAsiaTheme="minorHAnsi"/>
          <w:lang w:val="hu-HU"/>
        </w:rPr>
        <w:t>-</w:t>
      </w:r>
      <w:r w:rsidR="00944C5C" w:rsidRPr="00C01E0F">
        <w:rPr>
          <w:rFonts w:eastAsiaTheme="minorHAnsi"/>
          <w:lang w:val="hu-HU"/>
        </w:rPr>
        <w:t>kontroll a terápiás ablakon belül nem módosult, és a két kezelési séma között hasonló célzo</w:t>
      </w:r>
      <w:r w:rsidR="00944C5C">
        <w:rPr>
          <w:rFonts w:eastAsiaTheme="minorHAnsi"/>
          <w:lang w:val="hu-HU"/>
        </w:rPr>
        <w:t>tt hatékonyságot i</w:t>
      </w:r>
      <w:r>
        <w:rPr>
          <w:rFonts w:eastAsiaTheme="minorHAnsi"/>
          <w:lang w:val="hu-HU"/>
        </w:rPr>
        <w:t>gazoltak.</w:t>
      </w:r>
    </w:p>
    <w:p w14:paraId="7BD6EB23" w14:textId="77777777" w:rsidR="00944C5C" w:rsidRPr="00C01E0F" w:rsidRDefault="00944C5C" w:rsidP="00944C5C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7F07A34F" w14:textId="77777777" w:rsidR="00944C5C" w:rsidRPr="00C01E0F" w:rsidRDefault="00944C5C" w:rsidP="00B35EF3">
      <w:pPr>
        <w:keepNext/>
        <w:numPr>
          <w:ilvl w:val="12"/>
          <w:numId w:val="0"/>
        </w:numPr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Farmakokinetikai/farmakodinámiás összefüggések</w:t>
      </w:r>
    </w:p>
    <w:p w14:paraId="631108CE" w14:textId="77777777" w:rsidR="00944C5C" w:rsidRPr="00645784" w:rsidRDefault="00944C5C" w:rsidP="00B35EF3">
      <w:pPr>
        <w:keepNext/>
        <w:numPr>
          <w:ilvl w:val="12"/>
          <w:numId w:val="0"/>
        </w:num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buszulfánnal kapcsolatos szakirodalom szerint a terápiás AUC</w:t>
      </w:r>
      <w:r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>ablak 900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1500</w:t>
      </w:r>
      <w:r>
        <w:rPr>
          <w:rFonts w:eastAsiaTheme="minorHAnsi"/>
          <w:lang w:val="hu-HU"/>
        </w:rPr>
        <w:t> mikro</w:t>
      </w:r>
      <w:r w:rsidRPr="00C01E0F">
        <w:rPr>
          <w:rFonts w:eastAsiaTheme="minorHAnsi"/>
          <w:lang w:val="hu-HU"/>
        </w:rPr>
        <w:t>mol/</w:t>
      </w:r>
      <w:r w:rsidR="00C90CFA" w:rsidRPr="00C90CFA">
        <w:rPr>
          <w:rFonts w:eastAsiaTheme="minorHAnsi"/>
          <w:lang w:val="hu-HU"/>
        </w:rPr>
        <w:t xml:space="preserve">l•perc </w:t>
      </w:r>
      <w:r w:rsidRPr="00C01E0F">
        <w:rPr>
          <w:rFonts w:eastAsiaTheme="minorHAnsi"/>
          <w:lang w:val="hu-HU"/>
        </w:rPr>
        <w:t>alkalmazásonként</w:t>
      </w:r>
      <w:r>
        <w:rPr>
          <w:rFonts w:eastAsiaTheme="minorHAnsi"/>
          <w:lang w:val="hu-HU"/>
        </w:rPr>
        <w:t xml:space="preserve"> (egyenértékű napi 3600 és 6000 mikro</w:t>
      </w:r>
      <w:r w:rsidRPr="00C01E0F">
        <w:rPr>
          <w:rFonts w:eastAsiaTheme="minorHAnsi"/>
          <w:lang w:val="hu-HU"/>
        </w:rPr>
        <w:t>mol/</w:t>
      </w:r>
      <w:r w:rsidR="00F01CC9" w:rsidRPr="00F01CC9">
        <w:rPr>
          <w:rFonts w:eastAsiaTheme="minorHAnsi"/>
          <w:lang w:val="hu-HU"/>
        </w:rPr>
        <w:t xml:space="preserve">l•perc </w:t>
      </w:r>
      <w:r>
        <w:rPr>
          <w:rFonts w:eastAsiaTheme="minorHAnsi"/>
          <w:lang w:val="hu-HU"/>
        </w:rPr>
        <w:t>közötti expozícióval)</w:t>
      </w:r>
      <w:r w:rsidRPr="00C01E0F">
        <w:rPr>
          <w:rFonts w:eastAsiaTheme="minorHAnsi"/>
          <w:lang w:val="hu-HU"/>
        </w:rPr>
        <w:t xml:space="preserve">.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80 mg/</w:t>
      </w:r>
      <w:r w:rsidR="00707113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 b</w:t>
      </w:r>
      <w:r w:rsidRPr="00C01E0F">
        <w:rPr>
          <w:rFonts w:eastAsiaTheme="minorHAnsi"/>
          <w:lang w:val="hu-HU"/>
        </w:rPr>
        <w:t xml:space="preserve">uszulfán </w:t>
      </w:r>
      <w:r>
        <w:rPr>
          <w:rFonts w:eastAsiaTheme="minorHAnsi"/>
          <w:lang w:val="hu-HU"/>
        </w:rPr>
        <w:t xml:space="preserve">napi négyszeri, intravénás alkalmazásával végzett </w:t>
      </w:r>
      <w:r w:rsidRPr="00C01E0F">
        <w:rPr>
          <w:rFonts w:eastAsiaTheme="minorHAnsi"/>
          <w:lang w:val="hu-HU"/>
        </w:rPr>
        <w:t>klinikai vizsgálatokban az AUC</w:t>
      </w:r>
      <w:r>
        <w:rPr>
          <w:rFonts w:eastAsiaTheme="minorHAnsi"/>
          <w:lang w:val="hu-HU"/>
        </w:rPr>
        <w:noBreakHyphen/>
        <w:t>értéke</w:t>
      </w:r>
      <w:r w:rsidRPr="00C01E0F">
        <w:rPr>
          <w:rFonts w:eastAsiaTheme="minorHAnsi"/>
          <w:lang w:val="hu-HU"/>
        </w:rPr>
        <w:t>k a betegek 90%</w:t>
      </w:r>
      <w:r>
        <w:rPr>
          <w:rFonts w:eastAsiaTheme="minorHAnsi"/>
          <w:lang w:val="hu-HU"/>
        </w:rPr>
        <w:noBreakHyphen/>
        <w:t>ánál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voltak </w:t>
      </w:r>
      <w:r w:rsidRPr="00C01E0F">
        <w:rPr>
          <w:rFonts w:eastAsiaTheme="minorHAnsi"/>
          <w:lang w:val="hu-HU"/>
        </w:rPr>
        <w:t>a</w:t>
      </w:r>
      <w:r>
        <w:rPr>
          <w:rFonts w:eastAsiaTheme="minorHAnsi"/>
          <w:lang w:val="hu-HU"/>
        </w:rPr>
        <w:t>z</w:t>
      </w:r>
      <w:r w:rsidRPr="00C01E0F">
        <w:rPr>
          <w:rFonts w:eastAsiaTheme="minorHAnsi"/>
          <w:lang w:val="hu-HU"/>
        </w:rPr>
        <w:t xml:space="preserve"> AUC felső határ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(1500 mikromol/</w:t>
      </w:r>
      <w:r w:rsidR="00566B34" w:rsidRPr="00566B34">
        <w:rPr>
          <w:rFonts w:eastAsiaTheme="minorHAnsi"/>
          <w:lang w:val="hu-HU"/>
        </w:rPr>
        <w:t>l•perc</w:t>
      </w:r>
      <w:r>
        <w:rPr>
          <w:rFonts w:eastAsiaTheme="minorHAnsi"/>
          <w:lang w:val="hu-HU"/>
        </w:rPr>
        <w:t>)</w:t>
      </w:r>
      <w:r w:rsidRPr="00C01E0F">
        <w:rPr>
          <w:rFonts w:eastAsiaTheme="minorHAnsi"/>
          <w:lang w:val="hu-HU"/>
        </w:rPr>
        <w:t xml:space="preserve"> alatt</w:t>
      </w:r>
      <w:r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és legalább 80%</w:t>
      </w:r>
      <w:r>
        <w:rPr>
          <w:rFonts w:eastAsiaTheme="minorHAnsi"/>
          <w:lang w:val="hu-HU"/>
        </w:rPr>
        <w:noBreakHyphen/>
        <w:t>nál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voltak </w:t>
      </w:r>
      <w:r w:rsidRPr="00C01E0F">
        <w:rPr>
          <w:rFonts w:eastAsiaTheme="minorHAnsi"/>
          <w:lang w:val="hu-HU"/>
        </w:rPr>
        <w:t xml:space="preserve">a terápiás </w:t>
      </w:r>
      <w:r>
        <w:rPr>
          <w:rFonts w:eastAsiaTheme="minorHAnsi"/>
          <w:lang w:val="hu-HU"/>
        </w:rPr>
        <w:t xml:space="preserve">céltartományon </w:t>
      </w:r>
      <w:r w:rsidRPr="00C01E0F">
        <w:rPr>
          <w:rFonts w:eastAsiaTheme="minorHAnsi"/>
          <w:lang w:val="hu-HU"/>
        </w:rPr>
        <w:t>(900</w:t>
      </w:r>
      <w:r>
        <w:rPr>
          <w:rFonts w:eastAsiaTheme="minorHAnsi"/>
          <w:lang w:val="hu-HU"/>
        </w:rPr>
        <w:noBreakHyphen/>
        <w:t>1500 mikro</w:t>
      </w:r>
      <w:r w:rsidRPr="00C01E0F">
        <w:rPr>
          <w:rFonts w:eastAsiaTheme="minorHAnsi"/>
          <w:lang w:val="hu-HU"/>
        </w:rPr>
        <w:t>mol/</w:t>
      </w:r>
      <w:r w:rsidR="00566B34" w:rsidRPr="00566B34">
        <w:rPr>
          <w:rFonts w:eastAsiaTheme="minorHAnsi"/>
          <w:lang w:val="hu-HU"/>
        </w:rPr>
        <w:t>l•perc</w:t>
      </w:r>
      <w:r w:rsidRPr="00C01E0F">
        <w:rPr>
          <w:rFonts w:eastAsiaTheme="minorHAnsi"/>
          <w:lang w:val="hu-HU"/>
        </w:rPr>
        <w:t>)</w:t>
      </w:r>
      <w:r>
        <w:rPr>
          <w:rFonts w:eastAsiaTheme="minorHAnsi"/>
          <w:lang w:val="hu-HU"/>
        </w:rPr>
        <w:t xml:space="preserve"> belül. Hasonló </w:t>
      </w:r>
      <w:r>
        <w:rPr>
          <w:rFonts w:eastAsiaTheme="minorHAnsi"/>
          <w:lang w:val="hu-HU"/>
        </w:rPr>
        <w:lastRenderedPageBreak/>
        <w:t>arányban sikerült elérni a céltartományt intravénás buszulfán 3,2 mg/kg</w:t>
      </w:r>
      <w:r>
        <w:rPr>
          <w:rFonts w:eastAsiaTheme="minorHAnsi"/>
          <w:lang w:val="hu-HU"/>
        </w:rPr>
        <w:noBreakHyphen/>
        <w:t xml:space="preserve">os adagjának napi egyszeri alkalmazását követően, a </w:t>
      </w:r>
      <w:r>
        <w:rPr>
          <w:rFonts w:eastAsia="SimSun"/>
          <w:lang w:val="hu-HU"/>
        </w:rPr>
        <w:t>3600</w:t>
      </w:r>
      <w:r>
        <w:rPr>
          <w:rFonts w:eastAsia="SimSun"/>
          <w:lang w:val="hu-HU"/>
        </w:rPr>
        <w:noBreakHyphen/>
        <w:t>6000 </w:t>
      </w:r>
      <w:r>
        <w:rPr>
          <w:rFonts w:eastAsia="SimSun"/>
          <w:lang w:val="en-US"/>
        </w:rPr>
        <w:t>mikro</w:t>
      </w:r>
      <w:r>
        <w:rPr>
          <w:rFonts w:eastAsia="SimSun"/>
          <w:lang w:val="hu-HU"/>
        </w:rPr>
        <w:t>mol/</w:t>
      </w:r>
      <w:r w:rsidR="00566B34" w:rsidRPr="00566B34">
        <w:rPr>
          <w:rFonts w:eastAsia="SimSun"/>
          <w:lang w:val="hu-HU"/>
        </w:rPr>
        <w:t>l•</w:t>
      </w:r>
      <w:r>
        <w:rPr>
          <w:rFonts w:eastAsiaTheme="minorHAnsi"/>
          <w:lang w:val="hu-HU"/>
        </w:rPr>
        <w:t>perc tartományon belüli napi expozíció mellett</w:t>
      </w:r>
      <w:r w:rsidRPr="00645784">
        <w:rPr>
          <w:rFonts w:eastAsiaTheme="minorHAnsi"/>
          <w:lang w:val="hu-HU"/>
        </w:rPr>
        <w:t>.</w:t>
      </w:r>
    </w:p>
    <w:p w14:paraId="1F8BB176" w14:textId="77777777" w:rsidR="00944C5C" w:rsidRPr="00471829" w:rsidRDefault="00944C5C" w:rsidP="00B35EF3">
      <w:pPr>
        <w:widowControl w:val="0"/>
        <w:spacing w:line="240" w:lineRule="auto"/>
        <w:ind w:left="567" w:hanging="567"/>
        <w:outlineLvl w:val="0"/>
        <w:rPr>
          <w:bCs/>
          <w:lang w:val="hu-HU"/>
        </w:rPr>
      </w:pPr>
    </w:p>
    <w:p w14:paraId="4D23C18D" w14:textId="4C6AB274" w:rsidR="00944C5C" w:rsidRPr="00645784" w:rsidRDefault="00113C65" w:rsidP="00B35EF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>
        <w:rPr>
          <w:rFonts w:eastAsiaTheme="minorHAnsi"/>
          <w:u w:val="single"/>
          <w:lang w:val="hu-HU"/>
        </w:rPr>
        <w:t>Különleges betegcsoportok</w:t>
      </w:r>
    </w:p>
    <w:p w14:paraId="6FC51536" w14:textId="77777777" w:rsidR="00944C5C" w:rsidRDefault="00944C5C" w:rsidP="00B35EF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>
        <w:rPr>
          <w:rFonts w:eastAsiaTheme="minorHAnsi"/>
          <w:i/>
          <w:iCs/>
          <w:lang w:val="hu-HU"/>
        </w:rPr>
        <w:t>Máj</w:t>
      </w:r>
      <w:r>
        <w:rPr>
          <w:rFonts w:eastAsiaTheme="minorHAnsi"/>
          <w:i/>
          <w:iCs/>
          <w:lang w:val="hu-HU"/>
        </w:rPr>
        <w:noBreakHyphen/>
        <w:t xml:space="preserve"> vagy vesekárosodás</w:t>
      </w:r>
    </w:p>
    <w:p w14:paraId="76CBB465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vesem</w:t>
      </w:r>
      <w:r>
        <w:rPr>
          <w:rFonts w:ascii="TimesNewRomanPSMT" w:eastAsia="TimesNewRomanPSMT" w:cs="TimesNewRomanPSMT" w:hint="eastAsia"/>
          <w:lang w:val="hu-HU"/>
        </w:rPr>
        <w:t>ű</w:t>
      </w:r>
      <w:r>
        <w:rPr>
          <w:rFonts w:eastAsiaTheme="minorHAnsi"/>
          <w:lang w:val="hu-HU"/>
        </w:rPr>
        <w:t>ködési zavar intravénás buszulfán</w:t>
      </w:r>
      <w:r>
        <w:rPr>
          <w:rFonts w:eastAsiaTheme="minorHAnsi"/>
          <w:lang w:val="hu-HU"/>
        </w:rPr>
        <w:noBreakHyphen/>
        <w:t>diszpozícióra kifejtett hatásait nem vizsgálták.</w:t>
      </w:r>
    </w:p>
    <w:p w14:paraId="7FD48996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májfunkciós zavar intravénás buszulfán</w:t>
      </w:r>
      <w:r>
        <w:rPr>
          <w:rFonts w:eastAsiaTheme="minorHAnsi"/>
          <w:lang w:val="hu-HU"/>
        </w:rPr>
        <w:noBreakHyphen/>
        <w:t>diszpozícióra gyakorolt hatásait szintén nem vizsgálták.</w:t>
      </w:r>
    </w:p>
    <w:p w14:paraId="17AF4C49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Mindazonáltal a májtoxicitás kockázata ebben a betegcsoportban fokozott lehet.</w:t>
      </w:r>
    </w:p>
    <w:p w14:paraId="3B0E4BAF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Hatvan évesnél id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sebb betegek intravénás buszulfán</w:t>
      </w:r>
      <w:r>
        <w:rPr>
          <w:rFonts w:eastAsiaTheme="minorHAnsi"/>
          <w:lang w:val="hu-HU"/>
        </w:rPr>
        <w:noBreakHyphen/>
        <w:t>kezeléséb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l nyert adatok alapján nem volt bizonyítható az életkor buszulfán</w:t>
      </w:r>
      <w:r>
        <w:rPr>
          <w:rFonts w:eastAsiaTheme="minorHAnsi"/>
          <w:lang w:val="hu-HU"/>
        </w:rPr>
        <w:noBreakHyphen/>
        <w:t>clearance</w:t>
      </w:r>
      <w:r>
        <w:rPr>
          <w:rFonts w:eastAsiaTheme="minorHAnsi"/>
          <w:lang w:val="hu-HU"/>
        </w:rPr>
        <w:noBreakHyphen/>
        <w:t>re gyakorolt hatása.</w:t>
      </w:r>
    </w:p>
    <w:p w14:paraId="2E7A5723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266D9609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>
        <w:rPr>
          <w:rFonts w:eastAsiaTheme="minorHAnsi"/>
          <w:i/>
          <w:iCs/>
          <w:lang w:val="hu-HU"/>
        </w:rPr>
        <w:t>Gyermekek és serdülők</w:t>
      </w:r>
    </w:p>
    <w:p w14:paraId="55219336" w14:textId="52589A6C" w:rsidR="00B35EF3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Gyermekeknél</w:t>
      </w:r>
      <w:r w:rsidR="00B35EF3">
        <w:rPr>
          <w:rFonts w:eastAsiaTheme="minorHAnsi"/>
          <w:lang w:val="hu-HU"/>
        </w:rPr>
        <w:t>,</w:t>
      </w:r>
      <w:r>
        <w:rPr>
          <w:rFonts w:eastAsiaTheme="minorHAnsi"/>
          <w:lang w:val="hu-HU"/>
        </w:rPr>
        <w:t xml:space="preserve"> &lt;6 hónapostól 17 éves korig a clearance folyamatos eloszlást mutatott a 2,</w:t>
      </w:r>
      <w:r w:rsidR="00500E8F">
        <w:rPr>
          <w:rFonts w:eastAsiaTheme="minorHAnsi"/>
          <w:lang w:val="hu-HU"/>
        </w:rPr>
        <w:t>52</w:t>
      </w:r>
      <w:r>
        <w:rPr>
          <w:rFonts w:eastAsiaTheme="minorHAnsi"/>
          <w:lang w:val="hu-HU"/>
        </w:rPr>
        <w:noBreakHyphen/>
        <w:t>3,9</w:t>
      </w:r>
      <w:r w:rsidR="00500E8F">
        <w:rPr>
          <w:rFonts w:eastAsiaTheme="minorHAnsi"/>
          <w:lang w:val="hu-HU"/>
        </w:rPr>
        <w:t>7</w:t>
      </w:r>
      <w:r w:rsidR="00B35EF3">
        <w:rPr>
          <w:rFonts w:eastAsiaTheme="minorHAnsi"/>
          <w:lang w:val="hu-HU"/>
        </w:rPr>
        <w:t> </w:t>
      </w:r>
      <w:r>
        <w:rPr>
          <w:rFonts w:eastAsiaTheme="minorHAnsi"/>
          <w:lang w:val="hu-HU"/>
        </w:rPr>
        <w:t>ml/perc/</w:t>
      </w:r>
      <w:r w:rsidR="00B35EF3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 tartományban. A terminális felezési id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2,2</w:t>
      </w:r>
      <w:r w:rsidR="00500E8F">
        <w:rPr>
          <w:rFonts w:eastAsiaTheme="minorHAnsi"/>
          <w:lang w:val="hu-HU"/>
        </w:rPr>
        <w:t>4</w:t>
      </w:r>
      <w:r>
        <w:rPr>
          <w:rFonts w:eastAsiaTheme="minorHAnsi"/>
          <w:lang w:val="hu-HU"/>
        </w:rPr>
        <w:noBreakHyphen/>
        <w:t>2,5 ór</w:t>
      </w:r>
      <w:r w:rsidR="00B35EF3">
        <w:rPr>
          <w:rFonts w:eastAsiaTheme="minorHAnsi"/>
          <w:lang w:val="hu-HU"/>
        </w:rPr>
        <w:t>a között volt</w:t>
      </w:r>
      <w:r>
        <w:rPr>
          <w:rFonts w:eastAsiaTheme="minorHAnsi"/>
          <w:lang w:val="hu-HU"/>
        </w:rPr>
        <w:t xml:space="preserve">. </w:t>
      </w:r>
    </w:p>
    <w:p w14:paraId="04196473" w14:textId="3C80F44F" w:rsidR="00174DB7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plazma</w:t>
      </w:r>
      <w:r w:rsidR="00B35EF3">
        <w:rPr>
          <w:rFonts w:eastAsiaTheme="minorHAnsi"/>
          <w:lang w:val="hu-HU"/>
        </w:rPr>
        <w:t>-</w:t>
      </w:r>
      <w:r>
        <w:rPr>
          <w:rFonts w:eastAsiaTheme="minorHAnsi"/>
          <w:lang w:val="hu-HU"/>
        </w:rPr>
        <w:t xml:space="preserve">expozíció betegek közötti variabilitása 20% alatti, adott betegen belüli variabilitása pedig 10% alatti volt. Populációs farmakokinetikai elemzést végeztek egy 205 gyermekből álló </w:t>
      </w:r>
      <w:r w:rsidR="00174DB7">
        <w:rPr>
          <w:rFonts w:eastAsiaTheme="minorHAnsi"/>
          <w:lang w:val="hu-HU"/>
        </w:rPr>
        <w:t>kohorszon</w:t>
      </w:r>
      <w:r>
        <w:rPr>
          <w:rFonts w:eastAsiaTheme="minorHAnsi"/>
          <w:lang w:val="hu-HU"/>
        </w:rPr>
        <w:t>, amelyben megfelelő volt a betegek eloszlása a testtömeg (3,5</w:t>
      </w:r>
      <w:r>
        <w:rPr>
          <w:rFonts w:eastAsiaTheme="minorHAnsi"/>
          <w:lang w:val="hu-HU"/>
        </w:rPr>
        <w:noBreakHyphen/>
        <w:t>62,5 </w:t>
      </w:r>
      <w:r w:rsidR="00F31080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kg), valamint a biológiai és a betegségre vonatkozó jellemz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k (malignus vagy nem malignus) tekintetében, ezáltal jól reprezentálta a HPCT</w:t>
      </w:r>
      <w:r>
        <w:rPr>
          <w:rFonts w:eastAsiaTheme="minorHAnsi"/>
          <w:lang w:val="hu-HU"/>
        </w:rPr>
        <w:noBreakHyphen/>
        <w:t xml:space="preserve">n áteső gyermekek nagyfokú heterogenitását. </w:t>
      </w:r>
      <w:r w:rsidR="00174DB7">
        <w:rPr>
          <w:rFonts w:eastAsiaTheme="minorHAnsi"/>
          <w:lang w:val="hu-HU"/>
        </w:rPr>
        <w:t>Ez a</w:t>
      </w:r>
      <w:r>
        <w:rPr>
          <w:rFonts w:eastAsiaTheme="minorHAnsi"/>
          <w:lang w:val="hu-HU"/>
        </w:rPr>
        <w:t xml:space="preserve"> vizsgálat azt igazolta, hogy gyermekeknél a buszulfán farmakokinetikai variabilitásáért els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sorban felel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 xml:space="preserve">s kovariáns a testtömeg, megelőzve a testfelszínt és az életkort. </w:t>
      </w:r>
    </w:p>
    <w:p w14:paraId="5D2F3D7B" w14:textId="12F445E5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4.2 pontban részletezett, gyermekeknek ajánlott adagolással a 9 </w:t>
      </w:r>
      <w:r w:rsidR="00F31080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noBreakHyphen/>
        <w:t>ot elérő vagy meghaladó testtömeg</w:t>
      </w:r>
      <w:r>
        <w:rPr>
          <w:rFonts w:ascii="TimesNewRomanPSMT" w:eastAsia="TimesNewRomanPSMT" w:cs="TimesNewRomanPSMT" w:hint="eastAsia"/>
          <w:lang w:val="hu-HU"/>
        </w:rPr>
        <w:t>ű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gyermekek 70</w:t>
      </w:r>
      <w:r>
        <w:rPr>
          <w:rFonts w:eastAsiaTheme="minorHAnsi"/>
          <w:lang w:val="hu-HU"/>
        </w:rPr>
        <w:noBreakHyphen/>
        <w:t>90%</w:t>
      </w:r>
      <w:r>
        <w:rPr>
          <w:rFonts w:eastAsiaTheme="minorHAnsi"/>
          <w:lang w:val="hu-HU"/>
        </w:rPr>
        <w:noBreakHyphen/>
        <w:t>ánál érhet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el a terápiás tartomány (900</w:t>
      </w:r>
      <w:r>
        <w:rPr>
          <w:rFonts w:eastAsiaTheme="minorHAnsi"/>
          <w:lang w:val="hu-HU"/>
        </w:rPr>
        <w:noBreakHyphen/>
        <w:t>1500 </w:t>
      </w:r>
      <w:r>
        <w:rPr>
          <w:rFonts w:eastAsia="TimesNewRomanPSMT"/>
          <w:lang w:val="hu-HU"/>
        </w:rPr>
        <w:t>mikro</w:t>
      </w:r>
      <w:r>
        <w:rPr>
          <w:rFonts w:eastAsiaTheme="minorHAnsi"/>
          <w:lang w:val="hu-HU"/>
        </w:rPr>
        <w:t>mol/</w:t>
      </w:r>
      <w:r w:rsidR="000107E7" w:rsidRPr="000107E7">
        <w:rPr>
          <w:rFonts w:eastAsiaTheme="minorHAnsi"/>
          <w:lang w:val="hu-HU"/>
        </w:rPr>
        <w:t>l•perc</w:t>
      </w:r>
      <w:r>
        <w:rPr>
          <w:rFonts w:eastAsiaTheme="minorHAnsi"/>
          <w:lang w:val="hu-HU"/>
        </w:rPr>
        <w:t>). A 9 </w:t>
      </w:r>
      <w:r w:rsidR="00F31080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 alatti gyermekeknél azonban nagyobb variabilitást tapasztaltak, melynek következtében a gyermekek 60%</w:t>
      </w:r>
      <w:r>
        <w:rPr>
          <w:rFonts w:eastAsiaTheme="minorHAnsi"/>
          <w:lang w:val="hu-HU"/>
        </w:rPr>
        <w:noBreakHyphen/>
        <w:t>ánál volt elérhet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a terápiás tartomány (900</w:t>
      </w:r>
      <w:r>
        <w:rPr>
          <w:rFonts w:eastAsiaTheme="minorHAnsi"/>
          <w:lang w:val="hu-HU"/>
        </w:rPr>
        <w:noBreakHyphen/>
        <w:t>1500 </w:t>
      </w:r>
      <w:r>
        <w:rPr>
          <w:rFonts w:eastAsia="TimesNewRomanPSMT"/>
          <w:lang w:val="hu-HU"/>
        </w:rPr>
        <w:t>mikro</w:t>
      </w:r>
      <w:r>
        <w:rPr>
          <w:rFonts w:eastAsiaTheme="minorHAnsi"/>
          <w:lang w:val="hu-HU"/>
        </w:rPr>
        <w:t>mol/</w:t>
      </w:r>
      <w:r w:rsidR="000107E7" w:rsidRPr="000107E7">
        <w:rPr>
          <w:rFonts w:eastAsiaTheme="minorHAnsi"/>
          <w:lang w:val="hu-HU"/>
        </w:rPr>
        <w:t>l•perc</w:t>
      </w:r>
      <w:r>
        <w:rPr>
          <w:rFonts w:eastAsiaTheme="minorHAnsi"/>
          <w:lang w:val="hu-HU"/>
        </w:rPr>
        <w:t>). A 9 </w:t>
      </w:r>
      <w:r w:rsidR="00F31080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 alatti gyermekek terápiás tartományt el nem elér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40%</w:t>
      </w:r>
      <w:r>
        <w:rPr>
          <w:rFonts w:eastAsiaTheme="minorHAnsi"/>
          <w:lang w:val="hu-HU"/>
        </w:rPr>
        <w:noBreakHyphen/>
        <w:t>a esetében az AUC egyenl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arányban oszlott meg a határértékek alatt, illetve felett, tehát 20% volt 900 </w:t>
      </w:r>
      <w:r>
        <w:rPr>
          <w:rFonts w:eastAsia="TimesNewRomanPSMT"/>
          <w:lang w:val="hu-HU"/>
        </w:rPr>
        <w:t>mikro</w:t>
      </w:r>
      <w:r>
        <w:rPr>
          <w:rFonts w:eastAsiaTheme="minorHAnsi"/>
          <w:lang w:val="hu-HU"/>
        </w:rPr>
        <w:t>mol/</w:t>
      </w:r>
      <w:r w:rsidR="000107E7" w:rsidRPr="000107E7">
        <w:rPr>
          <w:rFonts w:eastAsiaTheme="minorHAnsi"/>
          <w:lang w:val="hu-HU"/>
        </w:rPr>
        <w:t xml:space="preserve">l•perc </w:t>
      </w:r>
      <w:r>
        <w:rPr>
          <w:rFonts w:eastAsiaTheme="minorHAnsi"/>
          <w:lang w:val="hu-HU"/>
        </w:rPr>
        <w:t>alatt és 20% 1500 </w:t>
      </w:r>
      <w:r>
        <w:rPr>
          <w:rFonts w:eastAsia="TimesNewRomanPSMT"/>
          <w:lang w:val="hu-HU"/>
        </w:rPr>
        <w:t>mikro</w:t>
      </w:r>
      <w:r>
        <w:rPr>
          <w:rFonts w:eastAsiaTheme="minorHAnsi"/>
          <w:lang w:val="hu-HU"/>
        </w:rPr>
        <w:t>mol/</w:t>
      </w:r>
      <w:r w:rsidR="000107E7" w:rsidRPr="000107E7">
        <w:rPr>
          <w:rFonts w:eastAsiaTheme="minorHAnsi"/>
          <w:lang w:val="hu-HU"/>
        </w:rPr>
        <w:t xml:space="preserve">l•perc </w:t>
      </w:r>
      <w:r>
        <w:rPr>
          <w:rFonts w:eastAsiaTheme="minorHAnsi"/>
          <w:lang w:val="hu-HU"/>
        </w:rPr>
        <w:t>felett, 1 mg/</w:t>
      </w:r>
      <w:r w:rsidR="00174DB7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 dózist követ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en. Ebben a tekintetben a 9 </w:t>
      </w:r>
      <w:r w:rsidR="00F31080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 alatti gyermekeknél, f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leg a nagyon fiatal gyermekek vagy újszülöttek esetén a buszulfán plazmakoncentrációjának a dózismódosítás érdekében történ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monitorozása (terápiás gyógyszerszint</w:t>
      </w:r>
      <w:r>
        <w:rPr>
          <w:rFonts w:eastAsiaTheme="minorHAnsi"/>
          <w:lang w:val="hu-HU"/>
        </w:rPr>
        <w:noBreakHyphen/>
        <w:t>monitorozás) javíthatja a buszulfán célzott hatékonyságát.</w:t>
      </w:r>
    </w:p>
    <w:p w14:paraId="7856903D" w14:textId="77777777" w:rsidR="00944C5C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2BE87E54" w14:textId="77777777" w:rsidR="00944C5C" w:rsidRPr="00645784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645784">
        <w:rPr>
          <w:rFonts w:eastAsiaTheme="minorHAnsi"/>
          <w:u w:val="single"/>
          <w:lang w:val="hu-HU"/>
        </w:rPr>
        <w:t>Farmakokinetikai/farmakodinámiás összefüggések</w:t>
      </w:r>
      <w:r>
        <w:rPr>
          <w:rFonts w:eastAsiaTheme="minorHAnsi"/>
          <w:u w:val="single"/>
          <w:lang w:val="hu-HU"/>
        </w:rPr>
        <w:t>:</w:t>
      </w:r>
    </w:p>
    <w:p w14:paraId="11433443" w14:textId="2C2911DA" w:rsidR="00944C5C" w:rsidRDefault="00944C5C" w:rsidP="00944C5C">
      <w:pPr>
        <w:tabs>
          <w:tab w:val="clear" w:pos="567"/>
        </w:tabs>
        <w:spacing w:line="240" w:lineRule="auto"/>
        <w:outlineLvl w:val="0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Az a tény, hogy a </w:t>
      </w:r>
      <w:r w:rsidR="00DC6692">
        <w:rPr>
          <w:rFonts w:eastAsiaTheme="minorHAnsi"/>
          <w:lang w:val="hu-HU"/>
        </w:rPr>
        <w:t xml:space="preserve">II. </w:t>
      </w:r>
      <w:r>
        <w:rPr>
          <w:rFonts w:eastAsiaTheme="minorHAnsi"/>
          <w:lang w:val="hu-HU"/>
        </w:rPr>
        <w:t>fázis</w:t>
      </w:r>
      <w:r w:rsidR="00DC6692">
        <w:rPr>
          <w:rFonts w:eastAsiaTheme="minorHAnsi"/>
          <w:lang w:val="hu-HU"/>
        </w:rPr>
        <w:t>ú</w:t>
      </w:r>
      <w:r>
        <w:rPr>
          <w:rFonts w:eastAsiaTheme="minorHAnsi"/>
          <w:lang w:val="hu-HU"/>
        </w:rPr>
        <w:t xml:space="preserve"> vizsgálatok során minden betegnél sikerült elérni a graft megtapadását, arra utal, hogy az AUC</w:t>
      </w:r>
      <w:r>
        <w:rPr>
          <w:rFonts w:eastAsiaTheme="minorHAnsi"/>
          <w:lang w:val="hu-HU"/>
        </w:rPr>
        <w:noBreakHyphen/>
        <w:t>céltartományok megfelelőek. A VOD el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fordulása nem volt összefüggésben a túlzott expozícióval. Farmakokinetikai/farmakodinámiás összefüggést figyeltek meg a stomatitis és az AUC</w:t>
      </w:r>
      <w:r>
        <w:rPr>
          <w:rFonts w:eastAsiaTheme="minorHAnsi"/>
          <w:lang w:val="hu-HU"/>
        </w:rPr>
        <w:noBreakHyphen/>
        <w:t>értékek között autológ HPCT</w:t>
      </w:r>
      <w:r>
        <w:rPr>
          <w:rFonts w:eastAsiaTheme="minorHAnsi"/>
          <w:lang w:val="hu-HU"/>
        </w:rPr>
        <w:noBreakHyphen/>
        <w:t>n áteső betegeknél, valamint a bilirubinszint emelkedése és az AUC</w:t>
      </w:r>
      <w:r>
        <w:rPr>
          <w:rFonts w:eastAsiaTheme="minorHAnsi"/>
          <w:lang w:val="hu-HU"/>
        </w:rPr>
        <w:noBreakHyphen/>
        <w:t>értékek között az autológ és allogén HPCT</w:t>
      </w:r>
      <w:r>
        <w:rPr>
          <w:rFonts w:eastAsiaTheme="minorHAnsi"/>
          <w:lang w:val="hu-HU"/>
        </w:rPr>
        <w:noBreakHyphen/>
        <w:t>n áteső betegek összevont elemzése során.</w:t>
      </w:r>
    </w:p>
    <w:p w14:paraId="5A38965A" w14:textId="77777777" w:rsidR="00944C5C" w:rsidRPr="00174DB7" w:rsidRDefault="00944C5C" w:rsidP="00174DB7">
      <w:pPr>
        <w:widowControl w:val="0"/>
        <w:tabs>
          <w:tab w:val="clear" w:pos="567"/>
        </w:tabs>
        <w:spacing w:line="240" w:lineRule="auto"/>
        <w:outlineLvl w:val="0"/>
        <w:rPr>
          <w:bCs/>
          <w:lang w:val="hu-HU"/>
        </w:rPr>
      </w:pPr>
    </w:p>
    <w:p w14:paraId="47ECD462" w14:textId="77777777" w:rsidR="00944C5C" w:rsidRPr="00C01E0F" w:rsidRDefault="00944C5C" w:rsidP="00174DB7">
      <w:pPr>
        <w:widowControl w:val="0"/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5.3</w:t>
      </w:r>
      <w:r w:rsidRPr="00C01E0F">
        <w:rPr>
          <w:b/>
          <w:bCs/>
          <w:lang w:val="hu-HU"/>
        </w:rPr>
        <w:tab/>
        <w:t>A preklinikai biztonságossági vizsgálatok eredményei</w:t>
      </w:r>
    </w:p>
    <w:p w14:paraId="639C9DB3" w14:textId="77777777" w:rsidR="00944C5C" w:rsidRPr="00174DB7" w:rsidRDefault="00944C5C" w:rsidP="00174DB7">
      <w:pPr>
        <w:widowControl w:val="0"/>
        <w:spacing w:line="240" w:lineRule="auto"/>
        <w:ind w:left="567" w:hanging="567"/>
        <w:outlineLvl w:val="0"/>
        <w:rPr>
          <w:bCs/>
          <w:lang w:val="hu-HU"/>
        </w:rPr>
      </w:pPr>
    </w:p>
    <w:p w14:paraId="0A5ABDAA" w14:textId="77777777" w:rsidR="00944C5C" w:rsidRPr="00C01E0F" w:rsidRDefault="00944C5C" w:rsidP="00174DB7">
      <w:pPr>
        <w:widowControl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mutagén és klasztogén hatású. A buszulfán mutagénnek bizonyult </w:t>
      </w:r>
      <w:r w:rsidRPr="00C01E0F">
        <w:rPr>
          <w:rFonts w:eastAsiaTheme="minorHAnsi"/>
          <w:i/>
          <w:lang w:val="hu-HU"/>
        </w:rPr>
        <w:t>Salmonella typhimurium</w:t>
      </w:r>
      <w:r w:rsidRPr="00C01E0F">
        <w:rPr>
          <w:rFonts w:eastAsiaTheme="minorHAnsi"/>
          <w:lang w:val="hu-HU"/>
        </w:rPr>
        <w:t xml:space="preserve">, </w:t>
      </w:r>
      <w:r w:rsidRPr="00C01E0F">
        <w:rPr>
          <w:rFonts w:eastAsiaTheme="minorHAnsi"/>
          <w:i/>
          <w:lang w:val="hu-HU"/>
        </w:rPr>
        <w:t>Drosophila melanogaster</w:t>
      </w:r>
      <w:r w:rsidRPr="00C01E0F">
        <w:rPr>
          <w:rFonts w:eastAsiaTheme="minorHAnsi"/>
          <w:lang w:val="hu-HU"/>
        </w:rPr>
        <w:t xml:space="preserve"> és árpa esetén. A buszulfán kromoszóma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elváltozásokat idézett elő </w:t>
      </w:r>
      <w:r>
        <w:rPr>
          <w:rFonts w:eastAsiaTheme="minorHAnsi"/>
          <w:i/>
          <w:iCs/>
          <w:lang w:val="hu-HU"/>
        </w:rPr>
        <w:t>in </w:t>
      </w:r>
      <w:r w:rsidRPr="00C01E0F">
        <w:rPr>
          <w:rFonts w:eastAsiaTheme="minorHAnsi"/>
          <w:i/>
          <w:iCs/>
          <w:lang w:val="hu-HU"/>
        </w:rPr>
        <w:t xml:space="preserve">vitro </w:t>
      </w:r>
      <w:r w:rsidRPr="00C01E0F">
        <w:rPr>
          <w:rFonts w:eastAsiaTheme="minorHAnsi"/>
          <w:lang w:val="hu-HU"/>
        </w:rPr>
        <w:t>(rágcsáló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humán sejtekben) és </w:t>
      </w:r>
      <w:r>
        <w:rPr>
          <w:rFonts w:eastAsiaTheme="minorHAnsi"/>
          <w:i/>
          <w:iCs/>
          <w:lang w:val="hu-HU"/>
        </w:rPr>
        <w:t>in </w:t>
      </w:r>
      <w:r w:rsidRPr="00C01E0F">
        <w:rPr>
          <w:rFonts w:eastAsiaTheme="minorHAnsi"/>
          <w:i/>
          <w:iCs/>
          <w:lang w:val="hu-HU"/>
        </w:rPr>
        <w:t xml:space="preserve">vivo </w:t>
      </w:r>
      <w:r w:rsidRPr="00C01E0F">
        <w:rPr>
          <w:rFonts w:eastAsiaTheme="minorHAnsi"/>
          <w:lang w:val="hu-HU"/>
        </w:rPr>
        <w:t>(rágcsálókban és emberben). Or</w:t>
      </w:r>
      <w:r w:rsidR="00174DB7">
        <w:rPr>
          <w:rFonts w:eastAsiaTheme="minorHAnsi"/>
          <w:lang w:val="hu-HU"/>
        </w:rPr>
        <w:t>á</w:t>
      </w:r>
      <w:r w:rsidRPr="00C01E0F">
        <w:rPr>
          <w:rFonts w:eastAsiaTheme="minorHAnsi"/>
          <w:lang w:val="hu-HU"/>
        </w:rPr>
        <w:t>lis</w:t>
      </w:r>
      <w:r>
        <w:rPr>
          <w:rFonts w:eastAsiaTheme="minorHAnsi"/>
          <w:lang w:val="hu-HU"/>
        </w:rPr>
        <w:t xml:space="preserve"> buszulfán</w:t>
      </w:r>
      <w:r>
        <w:rPr>
          <w:rFonts w:eastAsiaTheme="minorHAnsi"/>
          <w:lang w:val="hu-HU"/>
        </w:rPr>
        <w:noBreakHyphen/>
        <w:t xml:space="preserve">kezelésben részesülő betegektől származó sejtekben </w:t>
      </w:r>
      <w:r w:rsidRPr="00C01E0F">
        <w:rPr>
          <w:rFonts w:eastAsiaTheme="minorHAnsi"/>
          <w:lang w:val="hu-HU"/>
        </w:rPr>
        <w:t>különféle kromoszóma</w:t>
      </w:r>
      <w:r w:rsidR="00174DB7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elváltozásokat figyeltek meg.</w:t>
      </w:r>
    </w:p>
    <w:p w14:paraId="562AC9DF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428F42CF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buszulfán </w:t>
      </w:r>
      <w:r>
        <w:rPr>
          <w:rFonts w:eastAsiaTheme="minorHAnsi"/>
          <w:lang w:val="hu-HU"/>
        </w:rPr>
        <w:t>olyan</w:t>
      </w:r>
      <w:r w:rsidRPr="00C01E0F">
        <w:rPr>
          <w:rFonts w:eastAsiaTheme="minorHAnsi"/>
          <w:lang w:val="hu-HU"/>
        </w:rPr>
        <w:t xml:space="preserve"> vegyüle</w:t>
      </w:r>
      <w:r>
        <w:rPr>
          <w:rFonts w:eastAsiaTheme="minorHAnsi"/>
          <w:lang w:val="hu-HU"/>
        </w:rPr>
        <w:t xml:space="preserve">tcsoportba tartozik, </w:t>
      </w:r>
      <w:r w:rsidR="000107E7">
        <w:rPr>
          <w:rFonts w:eastAsiaTheme="minorHAnsi"/>
          <w:lang w:val="hu-HU"/>
        </w:rPr>
        <w:t>a</w:t>
      </w:r>
      <w:r>
        <w:rPr>
          <w:rFonts w:eastAsiaTheme="minorHAnsi"/>
          <w:lang w:val="hu-HU"/>
        </w:rPr>
        <w:t xml:space="preserve">mely </w:t>
      </w:r>
      <w:r w:rsidRPr="00C01E0F">
        <w:rPr>
          <w:rFonts w:eastAsiaTheme="minorHAnsi"/>
          <w:lang w:val="hu-HU"/>
        </w:rPr>
        <w:t>hatásmechanizmus</w:t>
      </w:r>
      <w:r w:rsidR="000107E7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alapján potenciális karcinogén. Humán </w:t>
      </w:r>
      <w:r>
        <w:rPr>
          <w:rFonts w:eastAsiaTheme="minorHAnsi"/>
          <w:lang w:val="hu-HU"/>
        </w:rPr>
        <w:t>adatok</w:t>
      </w:r>
      <w:r w:rsidRPr="00C01E0F">
        <w:rPr>
          <w:rFonts w:eastAsiaTheme="minorHAnsi"/>
          <w:lang w:val="hu-HU"/>
        </w:rPr>
        <w:t xml:space="preserve"> alapján a Nemzetközi Rákkutatási Ügynökség (IARC) a buszulfánt a humán karcinogének közé sorolta. A</w:t>
      </w:r>
      <w:r w:rsidR="00174DB7">
        <w:rPr>
          <w:rFonts w:eastAsiaTheme="minorHAnsi"/>
          <w:lang w:val="hu-HU"/>
        </w:rPr>
        <w:t>z Egészségügyi Világszervezet (</w:t>
      </w:r>
      <w:r w:rsidRPr="00C01E0F">
        <w:rPr>
          <w:rFonts w:eastAsiaTheme="minorHAnsi"/>
          <w:lang w:val="hu-HU"/>
        </w:rPr>
        <w:t>WHO</w:t>
      </w:r>
      <w:r w:rsidR="00430EE6">
        <w:rPr>
          <w:rFonts w:eastAsiaTheme="minorHAnsi"/>
          <w:lang w:val="hu-HU"/>
        </w:rPr>
        <w:t>)</w:t>
      </w:r>
      <w:r w:rsidRPr="00C01E0F">
        <w:rPr>
          <w:rFonts w:eastAsiaTheme="minorHAnsi"/>
          <w:lang w:val="hu-HU"/>
        </w:rPr>
        <w:t xml:space="preserve"> arra a következtetésre jutott, hogy </w:t>
      </w:r>
      <w:r>
        <w:rPr>
          <w:rFonts w:eastAsiaTheme="minorHAnsi"/>
          <w:lang w:val="hu-HU"/>
        </w:rPr>
        <w:t>ok-okozati</w:t>
      </w:r>
      <w:r w:rsidRPr="00C01E0F">
        <w:rPr>
          <w:rFonts w:eastAsiaTheme="minorHAnsi"/>
          <w:lang w:val="hu-HU"/>
        </w:rPr>
        <w:t xml:space="preserve"> összefüggés </w:t>
      </w:r>
      <w:r>
        <w:rPr>
          <w:rFonts w:eastAsiaTheme="minorHAnsi"/>
          <w:lang w:val="hu-HU"/>
        </w:rPr>
        <w:t>van</w:t>
      </w:r>
      <w:r w:rsidRPr="00C01E0F">
        <w:rPr>
          <w:rFonts w:eastAsiaTheme="minorHAnsi"/>
          <w:lang w:val="hu-HU"/>
        </w:rPr>
        <w:t xml:space="preserve"> a buszulfán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expozíció és a rák között. Állatkísérleti adatok alátámasztják a buszulfán karcinogén potenciálját. </w:t>
      </w:r>
      <w:r w:rsidR="00430EE6">
        <w:rPr>
          <w:rFonts w:eastAsiaTheme="minorHAnsi"/>
          <w:lang w:val="hu-HU"/>
        </w:rPr>
        <w:t>Az e</w:t>
      </w:r>
      <w:r w:rsidRPr="00C01E0F">
        <w:rPr>
          <w:rFonts w:eastAsiaTheme="minorHAnsi"/>
          <w:lang w:val="hu-HU"/>
        </w:rPr>
        <w:t>gereknek beadott intravénás buszulfán szignifikánsan növelte a thymus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petefészekrák előfordulási gyakoriságát.</w:t>
      </w:r>
    </w:p>
    <w:p w14:paraId="0D02CE07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3FA69951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buszu</w:t>
      </w:r>
      <w:r>
        <w:rPr>
          <w:rFonts w:eastAsiaTheme="minorHAnsi"/>
          <w:lang w:val="hu-HU"/>
        </w:rPr>
        <w:t>lfán patkányoknál, egereknél</w:t>
      </w:r>
      <w:r w:rsidRPr="00C01E0F">
        <w:rPr>
          <w:rFonts w:eastAsiaTheme="minorHAnsi"/>
          <w:lang w:val="hu-HU"/>
        </w:rPr>
        <w:t xml:space="preserve"> és nyulaknál</w:t>
      </w:r>
      <w:r>
        <w:rPr>
          <w:rFonts w:eastAsiaTheme="minorHAnsi"/>
          <w:lang w:val="hu-HU"/>
        </w:rPr>
        <w:t xml:space="preserve"> teratogén hatású</w:t>
      </w:r>
      <w:r w:rsidRPr="00C01E0F">
        <w:rPr>
          <w:rFonts w:eastAsiaTheme="minorHAnsi"/>
          <w:lang w:val="hu-HU"/>
        </w:rPr>
        <w:t xml:space="preserve">. A malformációk és rendellenességek között szerepelnek a </w:t>
      </w:r>
      <w:r>
        <w:rPr>
          <w:rFonts w:eastAsiaTheme="minorHAnsi"/>
          <w:lang w:val="hu-HU"/>
        </w:rPr>
        <w:t xml:space="preserve">musculoskeletalis rendszert érintő jelentős elváltozások, </w:t>
      </w:r>
      <w:r w:rsidRPr="00C01E0F">
        <w:rPr>
          <w:rFonts w:eastAsiaTheme="minorHAnsi"/>
          <w:lang w:val="hu-HU"/>
        </w:rPr>
        <w:t>a test</w:t>
      </w:r>
      <w:r w:rsidR="00430EE6">
        <w:rPr>
          <w:rFonts w:eastAsiaTheme="minorHAnsi"/>
          <w:lang w:val="hu-HU"/>
        </w:rPr>
        <w:t>tömeg</w:t>
      </w:r>
      <w:r w:rsidRPr="00C01E0F">
        <w:rPr>
          <w:rFonts w:eastAsiaTheme="minorHAnsi"/>
          <w:lang w:val="hu-HU"/>
        </w:rPr>
        <w:t xml:space="preserve"> és a testméret megnövekedése. Vemhes patkányoknál a buszulfán sterilitást eredményezett </w:t>
      </w:r>
      <w:r w:rsidRPr="00C01E0F">
        <w:rPr>
          <w:rFonts w:eastAsiaTheme="minorHAnsi"/>
          <w:lang w:val="hu-HU"/>
        </w:rPr>
        <w:lastRenderedPageBreak/>
        <w:t>mind a hím</w:t>
      </w:r>
      <w:r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, mind a nőstény ivadékokban, a herékben és a petefészkekben hiányzó csírasejtek miatt. A buszulfán rágcsálókban sterilitást okozott. A buszulfán elpusztította a nőstény patkányok oocytáit, és a hím patkányokban és hörcsögökben sterilitást idézett elő.</w:t>
      </w:r>
    </w:p>
    <w:p w14:paraId="755489CC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47373AFD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dimetilacetamid (DMA) ismételt dózisai májtoxicitás jeleit </w:t>
      </w:r>
      <w:r>
        <w:rPr>
          <w:rFonts w:eastAsiaTheme="minorHAnsi"/>
          <w:lang w:val="hu-HU"/>
        </w:rPr>
        <w:t>idézték elő</w:t>
      </w:r>
      <w:r w:rsidRPr="00C01E0F">
        <w:rPr>
          <w:rFonts w:eastAsiaTheme="minorHAnsi"/>
          <w:lang w:val="hu-HU"/>
        </w:rPr>
        <w:t xml:space="preserve">, elsőként a klinikai enzimek szérumszintjei emelkedtek, amit a </w:t>
      </w:r>
      <w:r>
        <w:rPr>
          <w:rFonts w:eastAsiaTheme="minorHAnsi"/>
          <w:lang w:val="hu-HU"/>
        </w:rPr>
        <w:t>májsejtek</w:t>
      </w:r>
      <w:r w:rsidRPr="00C01E0F">
        <w:rPr>
          <w:rFonts w:eastAsiaTheme="minorHAnsi"/>
          <w:lang w:val="hu-HU"/>
        </w:rPr>
        <w:t xml:space="preserve"> kórszövettani elváltozásai követtek. Magasabb dózisok májnekrózis</w:t>
      </w:r>
      <w:r>
        <w:rPr>
          <w:rFonts w:eastAsiaTheme="minorHAnsi"/>
          <w:lang w:val="hu-HU"/>
        </w:rPr>
        <w:t xml:space="preserve">t válthatnak ki, és egyszeri magas </w:t>
      </w:r>
      <w:r w:rsidRPr="00C01E0F">
        <w:rPr>
          <w:rFonts w:eastAsiaTheme="minorHAnsi"/>
          <w:lang w:val="hu-HU"/>
        </w:rPr>
        <w:t>gyógyszerexpozíciókat követően májkárosodá</w:t>
      </w:r>
      <w:r>
        <w:rPr>
          <w:rFonts w:eastAsiaTheme="minorHAnsi"/>
          <w:lang w:val="hu-HU"/>
        </w:rPr>
        <w:t>s figyelhető meg.</w:t>
      </w:r>
    </w:p>
    <w:p w14:paraId="2CDEDAB2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7C78AFE2" w14:textId="1802CFBB" w:rsidR="00944C5C" w:rsidRPr="00C01E0F" w:rsidRDefault="00944C5C" w:rsidP="00944C5C">
      <w:pPr>
        <w:spacing w:line="240" w:lineRule="auto"/>
        <w:rPr>
          <w:lang w:val="hu-HU"/>
        </w:rPr>
      </w:pPr>
      <w:r w:rsidRPr="00C01E0F">
        <w:rPr>
          <w:rFonts w:eastAsiaTheme="minorHAnsi"/>
          <w:lang w:val="hu-HU"/>
        </w:rPr>
        <w:t xml:space="preserve">A DMA patkányokban teratogén hatású. A DMA </w:t>
      </w:r>
      <w:r>
        <w:rPr>
          <w:rFonts w:eastAsiaTheme="minorHAnsi"/>
          <w:lang w:val="hu-HU"/>
        </w:rPr>
        <w:t xml:space="preserve">napi </w:t>
      </w:r>
      <w:r w:rsidRPr="00C01E0F">
        <w:rPr>
          <w:rFonts w:eastAsiaTheme="minorHAnsi"/>
          <w:lang w:val="hu-HU"/>
        </w:rPr>
        <w:t>400 mg</w:t>
      </w:r>
      <w:r>
        <w:rPr>
          <w:rFonts w:eastAsiaTheme="minorHAnsi"/>
          <w:lang w:val="hu-HU"/>
        </w:rPr>
        <w:t>/</w:t>
      </w:r>
      <w:r w:rsidR="00F31080">
        <w:rPr>
          <w:rFonts w:eastAsiaTheme="minorHAnsi"/>
          <w:lang w:val="hu-HU"/>
        </w:rPr>
        <w:t>tt</w:t>
      </w:r>
      <w:r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noBreakHyphen/>
        <w:t>os</w:t>
      </w:r>
      <w:r w:rsidRPr="00C01E0F">
        <w:rPr>
          <w:rFonts w:eastAsiaTheme="minorHAnsi"/>
          <w:lang w:val="hu-HU"/>
        </w:rPr>
        <w:t xml:space="preserve"> dózisai</w:t>
      </w:r>
      <w:r>
        <w:rPr>
          <w:rFonts w:eastAsiaTheme="minorHAnsi"/>
          <w:lang w:val="hu-HU"/>
        </w:rPr>
        <w:t xml:space="preserve">nak </w:t>
      </w:r>
      <w:r w:rsidRPr="00C01E0F">
        <w:rPr>
          <w:rFonts w:eastAsiaTheme="minorHAnsi"/>
          <w:lang w:val="hu-HU"/>
        </w:rPr>
        <w:t xml:space="preserve">organogenezis </w:t>
      </w:r>
      <w:r>
        <w:rPr>
          <w:rFonts w:eastAsiaTheme="minorHAnsi"/>
          <w:lang w:val="hu-HU"/>
        </w:rPr>
        <w:t>alatti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alkalmazása</w:t>
      </w:r>
      <w:r w:rsidRPr="00C01E0F">
        <w:rPr>
          <w:rFonts w:eastAsiaTheme="minorHAnsi"/>
          <w:lang w:val="hu-HU"/>
        </w:rPr>
        <w:t xml:space="preserve"> jel</w:t>
      </w:r>
      <w:r>
        <w:rPr>
          <w:rFonts w:eastAsiaTheme="minorHAnsi"/>
          <w:lang w:val="hu-HU"/>
        </w:rPr>
        <w:t>entős fejlődési rendellenességeket idézett elő</w:t>
      </w:r>
      <w:r w:rsidRPr="00C01E0F">
        <w:rPr>
          <w:rFonts w:eastAsiaTheme="minorHAnsi"/>
          <w:lang w:val="hu-HU"/>
        </w:rPr>
        <w:t xml:space="preserve">. Ezek között szerepeltek a szív és/vagy nagyerek súlyos elváltozásai: közös truncus arteriosus ductus arteriosus nélkül, a </w:t>
      </w:r>
      <w:r>
        <w:rPr>
          <w:rFonts w:eastAsiaTheme="minorHAnsi"/>
          <w:lang w:val="hu-HU"/>
        </w:rPr>
        <w:t>truncus pulmonalis</w:t>
      </w:r>
      <w:r w:rsidRPr="00C01E0F">
        <w:rPr>
          <w:rFonts w:eastAsiaTheme="minorHAnsi"/>
          <w:lang w:val="hu-HU"/>
        </w:rPr>
        <w:t xml:space="preserve"> és </w:t>
      </w:r>
      <w:r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 xml:space="preserve">tüdőartériák </w:t>
      </w:r>
      <w:r>
        <w:rPr>
          <w:rFonts w:eastAsiaTheme="minorHAnsi"/>
          <w:lang w:val="hu-HU"/>
        </w:rPr>
        <w:t>coarctatioója</w:t>
      </w:r>
      <w:r w:rsidRPr="00C01E0F">
        <w:rPr>
          <w:rFonts w:eastAsiaTheme="minorHAnsi"/>
          <w:lang w:val="hu-HU"/>
        </w:rPr>
        <w:t>, a szív intraventri</w:t>
      </w:r>
      <w:r>
        <w:rPr>
          <w:rFonts w:eastAsiaTheme="minorHAnsi"/>
          <w:lang w:val="hu-HU"/>
        </w:rPr>
        <w:t xml:space="preserve">claris </w:t>
      </w:r>
      <w:r w:rsidRPr="00C01E0F">
        <w:rPr>
          <w:rFonts w:eastAsiaTheme="minorHAnsi"/>
          <w:lang w:val="hu-HU"/>
        </w:rPr>
        <w:t xml:space="preserve">defektusai. Egyéb gyakori elváltozás volt a szájpadhasadék, anasarca, valamint a csigolyák és bordák elváltozásai. A DMA hím és nőstény </w:t>
      </w:r>
      <w:r>
        <w:rPr>
          <w:rFonts w:eastAsiaTheme="minorHAnsi"/>
          <w:lang w:val="hu-HU"/>
        </w:rPr>
        <w:t>rágcsálóknál csökkenti a</w:t>
      </w:r>
      <w:r w:rsidRPr="00C01E0F">
        <w:rPr>
          <w:rFonts w:eastAsiaTheme="minorHAnsi"/>
          <w:lang w:val="hu-HU"/>
        </w:rPr>
        <w:t xml:space="preserve"> termékenység</w:t>
      </w:r>
      <w:r>
        <w:rPr>
          <w:rFonts w:eastAsiaTheme="minorHAnsi"/>
          <w:lang w:val="hu-HU"/>
        </w:rPr>
        <w:t>e</w:t>
      </w:r>
      <w:r w:rsidRPr="00C01E0F">
        <w:rPr>
          <w:rFonts w:eastAsiaTheme="minorHAnsi"/>
          <w:lang w:val="hu-HU"/>
        </w:rPr>
        <w:t xml:space="preserve">t. A gesztáció 4. napján </w:t>
      </w:r>
      <w:r>
        <w:rPr>
          <w:rFonts w:eastAsiaTheme="minorHAnsi"/>
          <w:lang w:val="hu-HU"/>
        </w:rPr>
        <w:t xml:space="preserve">adott </w:t>
      </w:r>
      <w:r w:rsidRPr="00C01E0F">
        <w:rPr>
          <w:rFonts w:eastAsiaTheme="minorHAnsi"/>
          <w:lang w:val="hu-HU"/>
        </w:rPr>
        <w:t xml:space="preserve">egyszeri sc. </w:t>
      </w:r>
      <w:r>
        <w:rPr>
          <w:rFonts w:eastAsiaTheme="minorHAnsi"/>
          <w:lang w:val="hu-HU"/>
        </w:rPr>
        <w:t>2,2 </w:t>
      </w:r>
      <w:r w:rsidRPr="00C01E0F">
        <w:rPr>
          <w:rFonts w:eastAsiaTheme="minorHAnsi"/>
          <w:lang w:val="hu-HU"/>
        </w:rPr>
        <w:t>g/</w:t>
      </w:r>
      <w:r w:rsidR="00430EE6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noBreakHyphen/>
        <w:t>os</w:t>
      </w:r>
      <w:r w:rsidRPr="00C01E0F">
        <w:rPr>
          <w:rFonts w:eastAsiaTheme="minorHAnsi"/>
          <w:lang w:val="hu-HU"/>
        </w:rPr>
        <w:t xml:space="preserve"> dózis a vizsgált hörcsögök 100%</w:t>
      </w:r>
      <w:r>
        <w:rPr>
          <w:rFonts w:eastAsiaTheme="minorHAnsi"/>
          <w:lang w:val="hu-HU"/>
        </w:rPr>
        <w:noBreakHyphen/>
        <w:t>ánál</w:t>
      </w:r>
      <w:r w:rsidRPr="00C01E0F">
        <w:rPr>
          <w:rFonts w:eastAsiaTheme="minorHAnsi"/>
          <w:lang w:val="hu-HU"/>
        </w:rPr>
        <w:t xml:space="preserve"> terminálta a </w:t>
      </w:r>
      <w:r>
        <w:rPr>
          <w:rFonts w:eastAsiaTheme="minorHAnsi"/>
          <w:lang w:val="hu-HU"/>
        </w:rPr>
        <w:t>vemhességet</w:t>
      </w:r>
      <w:r w:rsidRPr="00C01E0F">
        <w:rPr>
          <w:rFonts w:eastAsiaTheme="minorHAnsi"/>
          <w:lang w:val="hu-HU"/>
        </w:rPr>
        <w:t>. Patkányok</w:t>
      </w:r>
      <w:r>
        <w:rPr>
          <w:rFonts w:eastAsiaTheme="minorHAnsi"/>
          <w:lang w:val="hu-HU"/>
        </w:rPr>
        <w:t xml:space="preserve">nál </w:t>
      </w:r>
      <w:r w:rsidRPr="00C01E0F">
        <w:rPr>
          <w:rFonts w:eastAsiaTheme="minorHAnsi"/>
          <w:lang w:val="hu-HU"/>
        </w:rPr>
        <w:t>a DMA 450 mg/</w:t>
      </w:r>
      <w:r w:rsidR="00430EE6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>
        <w:rPr>
          <w:rFonts w:eastAsiaTheme="minorHAnsi"/>
          <w:lang w:val="hu-HU"/>
        </w:rPr>
        <w:noBreakHyphen/>
        <w:t xml:space="preserve">os napi </w:t>
      </w:r>
      <w:r w:rsidRPr="00C01E0F">
        <w:rPr>
          <w:rFonts w:eastAsiaTheme="minorHAnsi"/>
          <w:lang w:val="hu-HU"/>
        </w:rPr>
        <w:t>dózisa 9 nap után inaktív spermatogenezist okozott.</w:t>
      </w:r>
    </w:p>
    <w:p w14:paraId="3D006D68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547215CF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37BB76AC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</w:t>
      </w:r>
      <w:r w:rsidRPr="00C01E0F">
        <w:rPr>
          <w:b/>
          <w:bCs/>
          <w:lang w:val="hu-HU"/>
        </w:rPr>
        <w:tab/>
        <w:t>GYÓGYSZERÉSZETI JELLEMZŐK</w:t>
      </w:r>
    </w:p>
    <w:p w14:paraId="2DC48179" w14:textId="77777777" w:rsidR="00944C5C" w:rsidRPr="00430EE6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66A7C264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6.1</w:t>
      </w:r>
      <w:r w:rsidRPr="00C01E0F">
        <w:rPr>
          <w:b/>
          <w:bCs/>
          <w:lang w:val="hu-HU"/>
        </w:rPr>
        <w:tab/>
        <w:t>Segédanyagok felsorolása</w:t>
      </w:r>
    </w:p>
    <w:p w14:paraId="4CD96273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4AA2B3BD" w14:textId="3D253A43" w:rsidR="00944C5C" w:rsidRPr="00C01E0F" w:rsidRDefault="00124ED1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d</w:t>
      </w:r>
      <w:r w:rsidR="00944C5C" w:rsidRPr="00C01E0F">
        <w:rPr>
          <w:rFonts w:eastAsiaTheme="minorHAnsi"/>
          <w:lang w:val="hu-HU"/>
        </w:rPr>
        <w:t>imetilacetamid</w:t>
      </w:r>
    </w:p>
    <w:p w14:paraId="5ED62AF5" w14:textId="5838F2E2" w:rsidR="00944C5C" w:rsidRPr="00C01E0F" w:rsidRDefault="00124ED1" w:rsidP="00944C5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m</w:t>
      </w:r>
      <w:r w:rsidR="00944C5C" w:rsidRPr="00C01E0F">
        <w:rPr>
          <w:rFonts w:eastAsiaTheme="minorHAnsi"/>
          <w:lang w:val="hu-HU"/>
        </w:rPr>
        <w:t>akrogol 400.</w:t>
      </w:r>
    </w:p>
    <w:p w14:paraId="593AD5EA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412D54D7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6.2</w:t>
      </w:r>
      <w:r w:rsidRPr="00C01E0F">
        <w:rPr>
          <w:b/>
          <w:bCs/>
          <w:lang w:val="hu-HU"/>
        </w:rPr>
        <w:tab/>
        <w:t>Inkompatibilitások</w:t>
      </w:r>
    </w:p>
    <w:p w14:paraId="031C85FD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784CF221" w14:textId="77777777" w:rsidR="00944C5C" w:rsidRPr="00C01E0F" w:rsidRDefault="00944C5C" w:rsidP="00944C5C">
      <w:pPr>
        <w:spacing w:line="240" w:lineRule="auto"/>
        <w:rPr>
          <w:lang w:val="hu-HU"/>
        </w:rPr>
      </w:pPr>
      <w:r w:rsidRPr="00C01E0F">
        <w:rPr>
          <w:lang w:val="hu-HU"/>
        </w:rPr>
        <w:t>Kompatibilitási vizsgálatok hiányában ez a gyógyszer kizárólag a 6.6 pontban felsorolt gyógyszerekkel keverhető.</w:t>
      </w:r>
    </w:p>
    <w:p w14:paraId="3AF1D72C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</w:p>
    <w:p w14:paraId="6AD89537" w14:textId="3E9EB242" w:rsidR="00944C5C" w:rsidRDefault="00944C5C" w:rsidP="00944C5C">
      <w:pPr>
        <w:tabs>
          <w:tab w:val="right" w:pos="9070"/>
        </w:tabs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 w:rsidR="00142D15">
        <w:rPr>
          <w:rFonts w:eastAsiaTheme="minorHAnsi"/>
          <w:lang w:val="hu-HU"/>
        </w:rPr>
        <w:t>Busulfan Teva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beadásához </w:t>
      </w:r>
      <w:r w:rsidR="00500E8F">
        <w:rPr>
          <w:rFonts w:eastAsiaTheme="minorHAnsi"/>
          <w:lang w:val="hu-HU"/>
        </w:rPr>
        <w:t xml:space="preserve">inkompatibilitás miatt </w:t>
      </w:r>
      <w:r w:rsidRPr="00C01E0F">
        <w:rPr>
          <w:rFonts w:eastAsiaTheme="minorHAnsi"/>
          <w:lang w:val="hu-HU"/>
        </w:rPr>
        <w:t xml:space="preserve">tilos </w:t>
      </w:r>
      <w:r w:rsidR="00500E8F">
        <w:rPr>
          <w:rFonts w:eastAsiaTheme="minorHAnsi"/>
          <w:lang w:val="hu-HU"/>
        </w:rPr>
        <w:t xml:space="preserve">bármilyen </w:t>
      </w:r>
      <w:r w:rsidRPr="00C01E0F">
        <w:rPr>
          <w:rFonts w:eastAsiaTheme="minorHAnsi"/>
          <w:lang w:val="hu-HU"/>
        </w:rPr>
        <w:t>polikarbonát</w:t>
      </w:r>
      <w:r w:rsidR="00500E8F">
        <w:rPr>
          <w:rFonts w:eastAsiaTheme="minorHAnsi"/>
          <w:lang w:val="hu-HU"/>
        </w:rPr>
        <w:t>-tartalmú infúziós szereléket</w:t>
      </w:r>
      <w:r w:rsidRPr="00C01E0F">
        <w:rPr>
          <w:rFonts w:eastAsiaTheme="minorHAnsi"/>
          <w:lang w:val="hu-HU"/>
        </w:rPr>
        <w:t xml:space="preserve"> használni.</w:t>
      </w:r>
    </w:p>
    <w:p w14:paraId="11E13DD8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090E3973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6.3</w:t>
      </w:r>
      <w:r w:rsidRPr="00C01E0F">
        <w:rPr>
          <w:b/>
          <w:bCs/>
          <w:lang w:val="hu-HU"/>
        </w:rPr>
        <w:tab/>
        <w:t>Felhasználhatósági időtartam</w:t>
      </w:r>
    </w:p>
    <w:p w14:paraId="01BEAA2D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0A933912" w14:textId="251C23EF" w:rsidR="00944C5C" w:rsidRPr="00C01E0F" w:rsidRDefault="00430EE6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430EE6">
        <w:rPr>
          <w:rFonts w:eastAsiaTheme="minorHAnsi"/>
          <w:u w:val="single"/>
          <w:lang w:val="hu-HU"/>
        </w:rPr>
        <w:t>Injekciós üveg:</w:t>
      </w:r>
      <w:r>
        <w:rPr>
          <w:rFonts w:eastAsiaTheme="minorHAnsi"/>
          <w:lang w:val="hu-HU"/>
        </w:rPr>
        <w:t xml:space="preserve"> </w:t>
      </w:r>
      <w:r w:rsidR="00F211B9">
        <w:rPr>
          <w:rFonts w:eastAsiaTheme="minorHAnsi"/>
          <w:lang w:val="hu-HU"/>
        </w:rPr>
        <w:t>24</w:t>
      </w:r>
      <w:r w:rsidR="006D37D3">
        <w:rPr>
          <w:rFonts w:eastAsiaTheme="minorHAnsi"/>
          <w:lang w:val="hu-HU"/>
        </w:rPr>
        <w:t xml:space="preserve"> </w:t>
      </w:r>
      <w:r w:rsidR="00FA3805">
        <w:rPr>
          <w:rFonts w:eastAsiaTheme="minorHAnsi"/>
          <w:lang w:val="hu-HU"/>
        </w:rPr>
        <w:t>hónap</w:t>
      </w:r>
    </w:p>
    <w:p w14:paraId="4D012E46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41590FE2" w14:textId="77777777" w:rsidR="005D1822" w:rsidRDefault="00FD44B7" w:rsidP="00FD44B7">
      <w:pPr>
        <w:spacing w:line="240" w:lineRule="auto"/>
        <w:rPr>
          <w:rFonts w:eastAsiaTheme="minorHAnsi"/>
          <w:u w:val="single"/>
          <w:lang w:val="hu-HU"/>
        </w:rPr>
      </w:pPr>
      <w:r w:rsidRPr="00FD44B7">
        <w:rPr>
          <w:rFonts w:eastAsiaTheme="minorHAnsi"/>
          <w:u w:val="single"/>
          <w:lang w:val="hu-HU"/>
        </w:rPr>
        <w:t xml:space="preserve">Hígított oldat: </w:t>
      </w:r>
    </w:p>
    <w:p w14:paraId="10C32134" w14:textId="1AFCC805" w:rsidR="005D1822" w:rsidRDefault="00193EBF" w:rsidP="00FD44B7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Felbontást követően a készítmény k</w:t>
      </w:r>
      <w:r w:rsidR="00FD44B7" w:rsidRPr="005D1822">
        <w:rPr>
          <w:rFonts w:eastAsiaTheme="minorHAnsi"/>
          <w:lang w:val="hu-HU"/>
        </w:rPr>
        <w:t>émiai és fizikai stabilitás</w:t>
      </w:r>
      <w:r>
        <w:rPr>
          <w:rFonts w:eastAsiaTheme="minorHAnsi"/>
          <w:lang w:val="hu-HU"/>
        </w:rPr>
        <w:t>a</w:t>
      </w:r>
      <w:r w:rsidR="00FD44B7" w:rsidRPr="005D1822">
        <w:rPr>
          <w:rFonts w:eastAsiaTheme="minorHAnsi"/>
          <w:lang w:val="hu-HU"/>
        </w:rPr>
        <w:t xml:space="preserve"> 5%-os glükóz infúziós oldattal vagy 9</w:t>
      </w:r>
      <w:r w:rsidR="004338CB">
        <w:rPr>
          <w:rFonts w:eastAsiaTheme="minorHAnsi"/>
          <w:lang w:val="hu-HU"/>
        </w:rPr>
        <w:t> </w:t>
      </w:r>
      <w:r w:rsidR="00FD44B7" w:rsidRPr="005D1822">
        <w:rPr>
          <w:rFonts w:eastAsiaTheme="minorHAnsi"/>
          <w:lang w:val="hu-HU"/>
        </w:rPr>
        <w:t>mg/ml (0,9%) nátrium-klorid infúziós oldattal történt hígítás után, felhasználásra kész állapotban</w:t>
      </w:r>
      <w:r>
        <w:rPr>
          <w:rFonts w:eastAsiaTheme="minorHAnsi"/>
          <w:lang w:val="hu-HU"/>
        </w:rPr>
        <w:t xml:space="preserve"> bizonyított</w:t>
      </w:r>
      <w:r w:rsidR="00FD44B7" w:rsidRPr="005D1822">
        <w:rPr>
          <w:rFonts w:eastAsiaTheme="minorHAnsi"/>
          <w:lang w:val="hu-HU"/>
        </w:rPr>
        <w:t xml:space="preserve">: </w:t>
      </w:r>
    </w:p>
    <w:p w14:paraId="28DD8209" w14:textId="77777777" w:rsidR="005D1822" w:rsidRDefault="005D1822" w:rsidP="00FD44B7">
      <w:pPr>
        <w:spacing w:line="240" w:lineRule="auto"/>
        <w:rPr>
          <w:rFonts w:eastAsiaTheme="minorHAnsi"/>
          <w:lang w:val="hu-HU"/>
        </w:rPr>
      </w:pPr>
    </w:p>
    <w:p w14:paraId="54D26B4F" w14:textId="6E9225B4" w:rsidR="005D1822" w:rsidRDefault="00FD44B7" w:rsidP="005D1822">
      <w:pPr>
        <w:spacing w:line="240" w:lineRule="auto"/>
        <w:rPr>
          <w:rFonts w:eastAsiaTheme="minorHAnsi"/>
          <w:lang w:val="hu-HU"/>
        </w:rPr>
      </w:pPr>
      <w:r w:rsidRPr="005D1822">
        <w:rPr>
          <w:rFonts w:eastAsiaTheme="minorHAnsi"/>
          <w:lang w:val="hu-HU"/>
        </w:rPr>
        <w:t xml:space="preserve">- </w:t>
      </w:r>
      <w:r w:rsidR="005D1822">
        <w:rPr>
          <w:rFonts w:eastAsiaTheme="minorHAnsi"/>
          <w:lang w:val="hu-HU"/>
        </w:rPr>
        <w:tab/>
      </w:r>
      <w:r w:rsidRPr="005D1822">
        <w:rPr>
          <w:rFonts w:eastAsiaTheme="minorHAnsi"/>
          <w:lang w:val="hu-HU"/>
        </w:rPr>
        <w:t>8</w:t>
      </w:r>
      <w:r w:rsidR="005D1822">
        <w:rPr>
          <w:rFonts w:eastAsiaTheme="minorHAnsi"/>
          <w:lang w:val="hu-HU"/>
        </w:rPr>
        <w:t> </w:t>
      </w:r>
      <w:r w:rsidRPr="005D1822">
        <w:rPr>
          <w:rFonts w:eastAsiaTheme="minorHAnsi"/>
          <w:lang w:val="hu-HU"/>
        </w:rPr>
        <w:t>ór</w:t>
      </w:r>
      <w:r w:rsidR="00193EBF">
        <w:rPr>
          <w:rFonts w:eastAsiaTheme="minorHAnsi"/>
          <w:lang w:val="hu-HU"/>
        </w:rPr>
        <w:t>án át</w:t>
      </w:r>
      <w:r w:rsidRPr="005D1822">
        <w:rPr>
          <w:rFonts w:eastAsiaTheme="minorHAnsi"/>
          <w:lang w:val="hu-HU"/>
        </w:rPr>
        <w:t xml:space="preserve"> (beleértve az infúziós időt</w:t>
      </w:r>
      <w:r w:rsidR="00193EBF">
        <w:rPr>
          <w:rFonts w:eastAsiaTheme="minorHAnsi"/>
          <w:lang w:val="hu-HU"/>
        </w:rPr>
        <w:t xml:space="preserve"> is</w:t>
      </w:r>
      <w:r w:rsidRPr="005D1822">
        <w:rPr>
          <w:rFonts w:eastAsiaTheme="minorHAnsi"/>
          <w:lang w:val="hu-HU"/>
        </w:rPr>
        <w:t>), 20°C</w:t>
      </w:r>
      <w:r w:rsidR="00124ED1">
        <w:rPr>
          <w:rFonts w:eastAsiaTheme="minorHAnsi"/>
          <w:lang w:val="hu-HU"/>
        </w:rPr>
        <w:t xml:space="preserve"> </w:t>
      </w:r>
      <w:r w:rsidRPr="005D1822">
        <w:rPr>
          <w:rFonts w:eastAsiaTheme="minorHAnsi"/>
          <w:lang w:val="hu-HU"/>
        </w:rPr>
        <w:t>±</w:t>
      </w:r>
      <w:r w:rsidR="00124ED1">
        <w:rPr>
          <w:rFonts w:eastAsiaTheme="minorHAnsi"/>
          <w:lang w:val="hu-HU"/>
        </w:rPr>
        <w:t xml:space="preserve"> </w:t>
      </w:r>
      <w:r w:rsidRPr="005D1822">
        <w:rPr>
          <w:rFonts w:eastAsiaTheme="minorHAnsi"/>
          <w:lang w:val="hu-HU"/>
        </w:rPr>
        <w:t xml:space="preserve">5ºC-on tárolva. </w:t>
      </w:r>
    </w:p>
    <w:p w14:paraId="276B9FF3" w14:textId="77777777" w:rsidR="005D1822" w:rsidRDefault="005D1822" w:rsidP="00FD44B7">
      <w:pPr>
        <w:spacing w:line="240" w:lineRule="auto"/>
        <w:rPr>
          <w:rFonts w:eastAsiaTheme="minorHAnsi"/>
          <w:lang w:val="hu-HU"/>
        </w:rPr>
      </w:pPr>
    </w:p>
    <w:p w14:paraId="66E3F67B" w14:textId="5FBD5B86" w:rsidR="00FD44B7" w:rsidRPr="005D1822" w:rsidRDefault="00FD44B7" w:rsidP="005D1822">
      <w:pPr>
        <w:spacing w:line="240" w:lineRule="auto"/>
        <w:ind w:left="567" w:hanging="567"/>
        <w:rPr>
          <w:rFonts w:eastAsiaTheme="minorHAnsi"/>
          <w:lang w:val="hu-HU"/>
        </w:rPr>
      </w:pPr>
      <w:r w:rsidRPr="005D1822">
        <w:rPr>
          <w:rFonts w:eastAsiaTheme="minorHAnsi"/>
          <w:lang w:val="hu-HU"/>
        </w:rPr>
        <w:t xml:space="preserve">- </w:t>
      </w:r>
      <w:r w:rsidR="005D1822">
        <w:rPr>
          <w:rFonts w:eastAsiaTheme="minorHAnsi"/>
          <w:lang w:val="hu-HU"/>
        </w:rPr>
        <w:tab/>
      </w:r>
      <w:r w:rsidRPr="005D1822">
        <w:rPr>
          <w:rFonts w:eastAsiaTheme="minorHAnsi"/>
          <w:lang w:val="hu-HU"/>
        </w:rPr>
        <w:t>12</w:t>
      </w:r>
      <w:r w:rsidR="005D1822">
        <w:rPr>
          <w:rFonts w:eastAsiaTheme="minorHAnsi"/>
          <w:lang w:val="hu-HU"/>
        </w:rPr>
        <w:t> </w:t>
      </w:r>
      <w:r w:rsidRPr="005D1822">
        <w:rPr>
          <w:rFonts w:eastAsiaTheme="minorHAnsi"/>
          <w:lang w:val="hu-HU"/>
        </w:rPr>
        <w:t>ór</w:t>
      </w:r>
      <w:r w:rsidR="00193EBF">
        <w:rPr>
          <w:rFonts w:eastAsiaTheme="minorHAnsi"/>
          <w:lang w:val="hu-HU"/>
        </w:rPr>
        <w:t>án át</w:t>
      </w:r>
      <w:r w:rsidRPr="005D1822">
        <w:rPr>
          <w:rFonts w:eastAsiaTheme="minorHAnsi"/>
          <w:lang w:val="hu-HU"/>
        </w:rPr>
        <w:t>, 2ºC</w:t>
      </w:r>
      <w:r w:rsidR="00193EBF">
        <w:rPr>
          <w:rFonts w:eastAsiaTheme="minorHAnsi"/>
          <w:lang w:val="hu-HU"/>
        </w:rPr>
        <w:t xml:space="preserve"> </w:t>
      </w:r>
      <w:r w:rsidRPr="005D1822">
        <w:rPr>
          <w:rFonts w:eastAsiaTheme="minorHAnsi"/>
          <w:lang w:val="hu-HU"/>
        </w:rPr>
        <w:t>-</w:t>
      </w:r>
      <w:r w:rsidR="00124ED1">
        <w:rPr>
          <w:rFonts w:eastAsiaTheme="minorHAnsi"/>
          <w:lang w:val="hu-HU"/>
        </w:rPr>
        <w:t xml:space="preserve"> </w:t>
      </w:r>
      <w:r w:rsidRPr="005D1822">
        <w:rPr>
          <w:rFonts w:eastAsiaTheme="minorHAnsi"/>
          <w:lang w:val="hu-HU"/>
        </w:rPr>
        <w:t>8ºC-on tárolva,</w:t>
      </w:r>
      <w:r w:rsidR="00193EBF">
        <w:rPr>
          <w:rFonts w:eastAsiaTheme="minorHAnsi"/>
          <w:lang w:val="hu-HU"/>
        </w:rPr>
        <w:t xml:space="preserve"> ezt követően</w:t>
      </w:r>
      <w:r w:rsidRPr="005D1822">
        <w:rPr>
          <w:rFonts w:eastAsiaTheme="minorHAnsi"/>
          <w:lang w:val="hu-HU"/>
        </w:rPr>
        <w:t xml:space="preserve"> </w:t>
      </w:r>
      <w:r w:rsidR="00124ED1">
        <w:rPr>
          <w:rFonts w:eastAsiaTheme="minorHAnsi"/>
          <w:lang w:val="hu-HU"/>
        </w:rPr>
        <w:t>3 </w:t>
      </w:r>
      <w:r w:rsidRPr="005D1822">
        <w:rPr>
          <w:rFonts w:eastAsiaTheme="minorHAnsi"/>
          <w:lang w:val="hu-HU"/>
        </w:rPr>
        <w:t>órán át 20ºC</w:t>
      </w:r>
      <w:r w:rsidR="00124ED1">
        <w:rPr>
          <w:rFonts w:eastAsiaTheme="minorHAnsi"/>
          <w:lang w:val="hu-HU"/>
        </w:rPr>
        <w:t xml:space="preserve"> </w:t>
      </w:r>
      <w:r w:rsidRPr="005D1822">
        <w:rPr>
          <w:rFonts w:eastAsiaTheme="minorHAnsi"/>
          <w:lang w:val="hu-HU"/>
        </w:rPr>
        <w:t>±</w:t>
      </w:r>
      <w:r w:rsidR="00124ED1">
        <w:rPr>
          <w:rFonts w:eastAsiaTheme="minorHAnsi"/>
          <w:lang w:val="hu-HU"/>
        </w:rPr>
        <w:t xml:space="preserve"> </w:t>
      </w:r>
      <w:r w:rsidRPr="005D1822">
        <w:rPr>
          <w:rFonts w:eastAsiaTheme="minorHAnsi"/>
          <w:lang w:val="hu-HU"/>
        </w:rPr>
        <w:t>5ºC-on tartva</w:t>
      </w:r>
      <w:r w:rsidR="00193EBF">
        <w:rPr>
          <w:rFonts w:eastAsiaTheme="minorHAnsi"/>
          <w:lang w:val="hu-HU"/>
        </w:rPr>
        <w:t xml:space="preserve"> </w:t>
      </w:r>
      <w:r w:rsidR="00193EBF" w:rsidRPr="005D1822">
        <w:rPr>
          <w:rFonts w:eastAsiaTheme="minorHAnsi"/>
          <w:lang w:val="hu-HU"/>
        </w:rPr>
        <w:t>(beleértve az infúziós időt</w:t>
      </w:r>
      <w:r w:rsidR="00193EBF">
        <w:rPr>
          <w:rFonts w:eastAsiaTheme="minorHAnsi"/>
          <w:lang w:val="hu-HU"/>
        </w:rPr>
        <w:t xml:space="preserve"> is</w:t>
      </w:r>
      <w:r w:rsidR="00193EBF" w:rsidRPr="005D1822">
        <w:rPr>
          <w:rFonts w:eastAsiaTheme="minorHAnsi"/>
          <w:lang w:val="hu-HU"/>
        </w:rPr>
        <w:t>)</w:t>
      </w:r>
      <w:r w:rsidRPr="005D1822">
        <w:rPr>
          <w:rFonts w:eastAsiaTheme="minorHAnsi"/>
          <w:lang w:val="hu-HU"/>
        </w:rPr>
        <w:t xml:space="preserve">. </w:t>
      </w:r>
    </w:p>
    <w:p w14:paraId="5273B848" w14:textId="77777777" w:rsidR="00FD44B7" w:rsidRPr="005D1822" w:rsidRDefault="00FD44B7" w:rsidP="00021282">
      <w:pPr>
        <w:spacing w:line="240" w:lineRule="auto"/>
        <w:rPr>
          <w:rFonts w:eastAsiaTheme="minorHAnsi"/>
          <w:lang w:val="hu-HU"/>
        </w:rPr>
      </w:pPr>
    </w:p>
    <w:p w14:paraId="4F471961" w14:textId="77777777" w:rsidR="00021282" w:rsidRPr="00676BE1" w:rsidRDefault="00021282" w:rsidP="001C515A">
      <w:pPr>
        <w:rPr>
          <w:lang w:val="hu-HU"/>
        </w:rPr>
      </w:pPr>
      <w:bookmarkStart w:id="1" w:name="_Hlk513443349"/>
      <w:r w:rsidRPr="00676BE1">
        <w:t>Mikrobiológiai szempontból a készítményt hígítás után azonnal fel kell használni, kivéve amikor a felbontás/hígítás módszere kizárja a mikrobiológiai szennyeződés kockázatát.  Amennyiben nem használják fel azonnal, a felhasználásig az eltartási idő és a tárolási körülmények a felhasználó felelőssége, de az nem haladhatja meg a fentebb részletezett feltételeket.</w:t>
      </w:r>
    </w:p>
    <w:bookmarkEnd w:id="1"/>
    <w:p w14:paraId="62A06C45" w14:textId="77777777" w:rsidR="00DB2E9C" w:rsidRPr="00676BE1" w:rsidRDefault="00DB2E9C">
      <w:pPr>
        <w:spacing w:line="240" w:lineRule="auto"/>
        <w:rPr>
          <w:lang w:val="hu-HU"/>
        </w:rPr>
      </w:pPr>
    </w:p>
    <w:p w14:paraId="3F668E8C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6.4</w:t>
      </w:r>
      <w:r w:rsidRPr="00C01E0F">
        <w:rPr>
          <w:b/>
          <w:bCs/>
          <w:lang w:val="hu-HU"/>
        </w:rPr>
        <w:tab/>
        <w:t>Különleges tárolási előírások</w:t>
      </w:r>
    </w:p>
    <w:p w14:paraId="5C7777E2" w14:textId="77777777" w:rsidR="00944C5C" w:rsidRPr="000107E7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6E3F0FEF" w14:textId="44A81EE0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Hűtőszekrényben (2°C</w:t>
      </w:r>
      <w:r>
        <w:rPr>
          <w:rFonts w:eastAsiaTheme="minorHAnsi"/>
          <w:lang w:val="hu-HU"/>
        </w:rPr>
        <w:t>–</w:t>
      </w:r>
      <w:r w:rsidR="000E3AD4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8°C) tárolandó.</w:t>
      </w:r>
    </w:p>
    <w:p w14:paraId="0453472D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hígított oldat nem fagyasztható!</w:t>
      </w:r>
    </w:p>
    <w:p w14:paraId="09DE4CDD" w14:textId="77777777" w:rsidR="00944C5C" w:rsidRPr="00C01E0F" w:rsidRDefault="00944C5C" w:rsidP="00944C5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>A gyógyszer hígítás utáni tárolására vonatkozó előírásokat lásd a 6.3 pontban.</w:t>
      </w:r>
    </w:p>
    <w:p w14:paraId="303760A6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57839A25" w14:textId="77777777" w:rsidR="00944C5C" w:rsidRPr="00C01E0F" w:rsidRDefault="00944C5C" w:rsidP="00C64B71">
      <w:pPr>
        <w:keepNext/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6.5</w:t>
      </w:r>
      <w:r w:rsidRPr="00C01E0F">
        <w:rPr>
          <w:b/>
          <w:bCs/>
          <w:lang w:val="hu-HU"/>
        </w:rPr>
        <w:tab/>
        <w:t>Csomagolás típusa és kiszerelése</w:t>
      </w:r>
    </w:p>
    <w:p w14:paraId="6EBD4F1C" w14:textId="77777777" w:rsidR="00944C5C" w:rsidRPr="00FD44B7" w:rsidRDefault="00944C5C" w:rsidP="00C64B71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F90E4EC" w14:textId="13514DDC" w:rsidR="00FD44B7" w:rsidRPr="00FD44B7" w:rsidRDefault="00FD44B7" w:rsidP="00FD44B7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FD44B7">
        <w:rPr>
          <w:color w:val="000000"/>
          <w:lang w:val="hu-HU"/>
        </w:rPr>
        <w:t xml:space="preserve">10 ml koncentrátum oldatos infúzióhoz, színtelen, (I-es típusú) injekciós üvegben, </w:t>
      </w:r>
      <w:r w:rsidRPr="00FD44B7">
        <w:rPr>
          <w:lang w:val="hu-HU"/>
        </w:rPr>
        <w:t>Flurotec</w:t>
      </w:r>
      <w:r w:rsidR="0032240F">
        <w:rPr>
          <w:lang w:val="hu-HU"/>
        </w:rPr>
        <w:t xml:space="preserve"> mű</w:t>
      </w:r>
      <w:r w:rsidRPr="00FD44B7">
        <w:rPr>
          <w:lang w:val="hu-HU"/>
        </w:rPr>
        <w:t xml:space="preserve">gyanta </w:t>
      </w:r>
      <w:r w:rsidR="0032240F">
        <w:rPr>
          <w:lang w:val="hu-HU"/>
        </w:rPr>
        <w:t>borítással ellátott</w:t>
      </w:r>
      <w:r w:rsidRPr="00FD44B7">
        <w:rPr>
          <w:lang w:val="hu-HU"/>
        </w:rPr>
        <w:t xml:space="preserve"> </w:t>
      </w:r>
      <w:r w:rsidRPr="00FD44B7">
        <w:rPr>
          <w:color w:val="000000"/>
          <w:lang w:val="hu-HU"/>
        </w:rPr>
        <w:t>butil gumidugóval, alumínium fémkupakkal és prolipropilén védő</w:t>
      </w:r>
      <w:r w:rsidR="0032240F">
        <w:rPr>
          <w:color w:val="000000"/>
          <w:lang w:val="hu-HU"/>
        </w:rPr>
        <w:t>lappal</w:t>
      </w:r>
      <w:r w:rsidRPr="00FD44B7">
        <w:rPr>
          <w:color w:val="000000"/>
          <w:lang w:val="hu-HU"/>
        </w:rPr>
        <w:t xml:space="preserve"> lezárva</w:t>
      </w:r>
      <w:r w:rsidRPr="00FD44B7">
        <w:rPr>
          <w:lang w:val="hu-HU"/>
        </w:rPr>
        <w:t>.</w:t>
      </w:r>
    </w:p>
    <w:p w14:paraId="24AB2666" w14:textId="77777777" w:rsidR="00944C5C" w:rsidRPr="00FD44B7" w:rsidRDefault="00944C5C" w:rsidP="00944C5C">
      <w:pPr>
        <w:spacing w:line="240" w:lineRule="auto"/>
        <w:rPr>
          <w:lang w:val="hu-HU"/>
        </w:rPr>
      </w:pPr>
    </w:p>
    <w:p w14:paraId="54ECE9D9" w14:textId="77777777" w:rsidR="00FD44B7" w:rsidRPr="00FD44B7" w:rsidRDefault="00FD44B7" w:rsidP="00FD44B7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FD44B7">
        <w:rPr>
          <w:lang w:val="hu-HU"/>
        </w:rPr>
        <w:t xml:space="preserve">8 db (2 tálcán egyenként 4) injekciós üveget tartalmazó </w:t>
      </w:r>
      <w:r w:rsidR="0045257B">
        <w:rPr>
          <w:rFonts w:eastAsiaTheme="minorHAnsi"/>
          <w:lang w:val="hu-HU"/>
        </w:rPr>
        <w:t>gyűjtőcsomagolás</w:t>
      </w:r>
      <w:r w:rsidRPr="00FD44B7">
        <w:rPr>
          <w:lang w:val="hu-HU"/>
        </w:rPr>
        <w:t>.</w:t>
      </w:r>
    </w:p>
    <w:p w14:paraId="1FD41F06" w14:textId="77777777" w:rsidR="00FD44B7" w:rsidRPr="00FD44B7" w:rsidRDefault="00FD44B7" w:rsidP="00944C5C">
      <w:pPr>
        <w:spacing w:line="240" w:lineRule="auto"/>
        <w:rPr>
          <w:lang w:val="hu-HU"/>
        </w:rPr>
      </w:pPr>
    </w:p>
    <w:p w14:paraId="27B6DFF4" w14:textId="77777777" w:rsidR="00944C5C" w:rsidRPr="00FD44B7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FD44B7">
        <w:rPr>
          <w:b/>
          <w:bCs/>
          <w:lang w:val="hu-HU"/>
        </w:rPr>
        <w:t>6.6</w:t>
      </w:r>
      <w:r w:rsidRPr="00FD44B7">
        <w:rPr>
          <w:b/>
          <w:bCs/>
          <w:lang w:val="hu-HU"/>
        </w:rPr>
        <w:tab/>
        <w:t>A megsemmisítésre vonatkozó különleges óvintézkedések és egyéb, a készítmény kezelésével kapcsolatos információk</w:t>
      </w:r>
    </w:p>
    <w:p w14:paraId="2DBA6504" w14:textId="77777777" w:rsidR="00944C5C" w:rsidRPr="00FD44B7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62C207F8" w14:textId="77777777" w:rsidR="00944C5C" w:rsidRPr="00FD44B7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FD44B7">
        <w:rPr>
          <w:rFonts w:eastAsiaTheme="minorHAnsi"/>
          <w:i/>
          <w:iCs/>
          <w:u w:val="single"/>
          <w:lang w:val="hu-HU"/>
        </w:rPr>
        <w:t xml:space="preserve">A </w:t>
      </w:r>
      <w:r w:rsidR="00142D15" w:rsidRPr="00FD44B7">
        <w:rPr>
          <w:rFonts w:eastAsiaTheme="minorHAnsi"/>
          <w:i/>
          <w:iCs/>
          <w:u w:val="single"/>
          <w:lang w:val="hu-HU"/>
        </w:rPr>
        <w:t>Busulfan Teva</w:t>
      </w:r>
      <w:r w:rsidRPr="00FD44B7">
        <w:rPr>
          <w:rFonts w:eastAsiaTheme="minorHAnsi"/>
          <w:i/>
          <w:iCs/>
          <w:u w:val="single"/>
          <w:lang w:val="hu-HU"/>
        </w:rPr>
        <w:t xml:space="preserve"> elkészítése</w:t>
      </w:r>
    </w:p>
    <w:p w14:paraId="48B893CE" w14:textId="77777777" w:rsidR="00944C5C" w:rsidRPr="00FD44B7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FD44B7">
        <w:rPr>
          <w:lang w:val="hu-HU"/>
        </w:rPr>
        <w:t>A daganatellenes gyógyszerek helyes kezelésére és megsemmisítésére vonatkozó szabályokat kell betartani.</w:t>
      </w:r>
    </w:p>
    <w:p w14:paraId="6C0B1016" w14:textId="77777777" w:rsidR="00944C5C" w:rsidRPr="00FD44B7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7F751C6A" w14:textId="77777777" w:rsidR="00944C5C" w:rsidRPr="00FD44B7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FD44B7">
        <w:rPr>
          <w:lang w:val="hu-HU"/>
        </w:rPr>
        <w:t>Az előkészítés és felhasználás minden lépésénél szigorúan be kell tartani az aszepszis szabályait, lehetőleg vertikális laminárboxot használva.</w:t>
      </w:r>
    </w:p>
    <w:p w14:paraId="4AD01B99" w14:textId="77777777" w:rsidR="00944C5C" w:rsidRPr="00FD44B7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2CBF979F" w14:textId="77777777" w:rsidR="00944C5C" w:rsidRPr="00FD44B7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FD44B7">
        <w:rPr>
          <w:lang w:val="hu-HU"/>
        </w:rPr>
        <w:t>A többi citotoxikus vegyülethez hasonlóan, a buszulfán oldat elkészítése és kezelése során körültekintően kell eljárni:</w:t>
      </w:r>
    </w:p>
    <w:p w14:paraId="4D287CD6" w14:textId="77777777" w:rsidR="00944C5C" w:rsidRPr="00C01E0F" w:rsidRDefault="00944C5C" w:rsidP="00944C5C">
      <w:pPr>
        <w:pStyle w:val="Listaszerbekezds"/>
        <w:numPr>
          <w:ilvl w:val="0"/>
          <w:numId w:val="4"/>
        </w:numPr>
        <w:spacing w:line="240" w:lineRule="auto"/>
        <w:ind w:left="567" w:right="-2" w:hanging="567"/>
        <w:rPr>
          <w:noProof/>
          <w:lang w:val="hu-HU"/>
        </w:rPr>
      </w:pPr>
      <w:r w:rsidRPr="00FD44B7">
        <w:rPr>
          <w:lang w:val="hu-HU"/>
        </w:rPr>
        <w:t>Kesztyű és védőruházat</w:t>
      </w:r>
      <w:r w:rsidRPr="00C01E0F">
        <w:rPr>
          <w:noProof/>
          <w:lang w:val="hu-HU"/>
        </w:rPr>
        <w:t xml:space="preserve"> használata javasolt</w:t>
      </w:r>
      <w:r>
        <w:rPr>
          <w:noProof/>
          <w:lang w:val="hu-HU"/>
        </w:rPr>
        <w:t>.</w:t>
      </w:r>
    </w:p>
    <w:p w14:paraId="254A01EC" w14:textId="77777777" w:rsidR="00944C5C" w:rsidRPr="00C01E0F" w:rsidRDefault="00944C5C" w:rsidP="00944C5C">
      <w:pPr>
        <w:pStyle w:val="Listaszerbekezds"/>
        <w:numPr>
          <w:ilvl w:val="0"/>
          <w:numId w:val="4"/>
        </w:numPr>
        <w:spacing w:line="240" w:lineRule="auto"/>
        <w:ind w:left="567" w:right="-2" w:hanging="567"/>
        <w:rPr>
          <w:noProof/>
          <w:lang w:val="hu-HU"/>
        </w:rPr>
      </w:pPr>
      <w:r w:rsidRPr="00C01E0F">
        <w:rPr>
          <w:noProof/>
          <w:lang w:val="hu-HU"/>
        </w:rPr>
        <w:t xml:space="preserve">Ha a </w:t>
      </w:r>
      <w:r w:rsidR="007D0186">
        <w:rPr>
          <w:lang w:val="hu-HU"/>
        </w:rPr>
        <w:t>Busulfan Teva</w:t>
      </w:r>
      <w:r w:rsidR="007D0186" w:rsidRPr="00C01E0F">
        <w:rPr>
          <w:noProof/>
          <w:lang w:val="hu-HU"/>
        </w:rPr>
        <w:t xml:space="preserve"> </w:t>
      </w:r>
      <w:r w:rsidRPr="00C01E0F">
        <w:rPr>
          <w:noProof/>
          <w:lang w:val="hu-HU"/>
        </w:rPr>
        <w:t xml:space="preserve">vagy a hígított </w:t>
      </w:r>
      <w:r w:rsidR="007D0186">
        <w:rPr>
          <w:lang w:val="hu-HU"/>
        </w:rPr>
        <w:t>Busulfan Teva</w:t>
      </w:r>
      <w:r w:rsidR="007D0186" w:rsidRPr="00C01E0F">
        <w:rPr>
          <w:noProof/>
          <w:lang w:val="hu-HU"/>
        </w:rPr>
        <w:t xml:space="preserve"> </w:t>
      </w:r>
      <w:r w:rsidRPr="00C01E0F">
        <w:rPr>
          <w:noProof/>
          <w:lang w:val="hu-HU"/>
        </w:rPr>
        <w:t>oldat a bőrrel vagy a nyálkahártyával érintkezik, vízzel azonnal alaposan le kell mosni.</w:t>
      </w:r>
    </w:p>
    <w:p w14:paraId="23388EF5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4BD106C6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 xml:space="preserve">A hígítandó </w:t>
      </w:r>
      <w:r w:rsidR="00142D15">
        <w:rPr>
          <w:rFonts w:eastAsiaTheme="minorHAnsi"/>
          <w:u w:val="single"/>
          <w:lang w:val="hu-HU"/>
        </w:rPr>
        <w:t>Busulfan Teva</w:t>
      </w:r>
      <w:r w:rsidRPr="00C01E0F">
        <w:rPr>
          <w:rFonts w:eastAsiaTheme="minorHAnsi"/>
          <w:u w:val="single"/>
          <w:lang w:val="hu-HU"/>
        </w:rPr>
        <w:t xml:space="preserve"> és a hígító oldat mennyiségének kiszámítása</w:t>
      </w:r>
    </w:p>
    <w:p w14:paraId="2CFDB57E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C287B44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Alkalmazás előtt a </w:t>
      </w:r>
      <w:r w:rsidR="00142D15">
        <w:rPr>
          <w:lang w:val="hu-HU"/>
        </w:rPr>
        <w:t>Busulfan Teva</w:t>
      </w:r>
      <w:r>
        <w:rPr>
          <w:lang w:val="hu-HU"/>
        </w:rPr>
        <w:noBreakHyphen/>
      </w:r>
      <w:r w:rsidRPr="00C01E0F">
        <w:rPr>
          <w:lang w:val="hu-HU"/>
        </w:rPr>
        <w:t>t 9 mg/ml (0,9%) koncentrációjú nátrium</w:t>
      </w:r>
      <w:r>
        <w:rPr>
          <w:lang w:val="hu-HU"/>
        </w:rPr>
        <w:noBreakHyphen/>
      </w:r>
      <w:r w:rsidRPr="00C01E0F">
        <w:rPr>
          <w:lang w:val="hu-HU"/>
        </w:rPr>
        <w:t>klorid oldatos injekcióval vagy 5%</w:t>
      </w:r>
      <w:r>
        <w:rPr>
          <w:lang w:val="hu-HU"/>
        </w:rPr>
        <w:noBreakHyphen/>
      </w:r>
      <w:r w:rsidRPr="00C01E0F">
        <w:rPr>
          <w:lang w:val="hu-HU"/>
        </w:rPr>
        <w:t>os glükóz oldatos injekcióval hígítani kell.</w:t>
      </w:r>
    </w:p>
    <w:p w14:paraId="580DA709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hígító oldat mennyisége a </w:t>
      </w:r>
      <w:r w:rsidR="00142D15">
        <w:rPr>
          <w:lang w:val="hu-HU"/>
        </w:rPr>
        <w:t>Busulfan Teva</w:t>
      </w:r>
      <w:r w:rsidRPr="00C01E0F">
        <w:rPr>
          <w:lang w:val="hu-HU"/>
        </w:rPr>
        <w:t xml:space="preserve"> térfogatának 10</w:t>
      </w:r>
      <w:r>
        <w:rPr>
          <w:lang w:val="hu-HU"/>
        </w:rPr>
        <w:noBreakHyphen/>
      </w:r>
      <w:r w:rsidRPr="00C01E0F">
        <w:rPr>
          <w:lang w:val="hu-HU"/>
        </w:rPr>
        <w:t>szerese kell, hogy legyen, biztosítva ezáltal, hogy a buszulfán végső koncentrációja kb. 0,5 mg/ml maradjon. Például:</w:t>
      </w:r>
    </w:p>
    <w:p w14:paraId="1ECDDB1D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5A5BAF04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</w:t>
      </w:r>
      <w:r w:rsidR="00142D15">
        <w:rPr>
          <w:lang w:val="hu-HU"/>
        </w:rPr>
        <w:t>Busulfan Teva</w:t>
      </w:r>
      <w:r w:rsidRPr="00C01E0F">
        <w:rPr>
          <w:rFonts w:eastAsia="SimSun"/>
          <w:lang w:val="hu-HU"/>
        </w:rPr>
        <w:t xml:space="preserve"> </w:t>
      </w:r>
      <w:r w:rsidRPr="00C01E0F">
        <w:rPr>
          <w:lang w:val="hu-HU"/>
        </w:rPr>
        <w:t>és az alkalmazandó hígító oldat mennyiségét Y kg testtömegű beteg esetében az alábbiak szerint kell kiszámítani:</w:t>
      </w:r>
    </w:p>
    <w:p w14:paraId="0A56113C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22DFEA0A" w14:textId="77777777" w:rsidR="00944C5C" w:rsidRPr="00C01E0F" w:rsidRDefault="007D0186" w:rsidP="007D0186">
      <w:pPr>
        <w:pStyle w:val="Listaszerbekezds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lang w:val="hu-HU"/>
        </w:rPr>
      </w:pPr>
      <w:r>
        <w:rPr>
          <w:rFonts w:eastAsia="SimSun"/>
          <w:lang w:val="hu-HU"/>
        </w:rPr>
        <w:t>A</w:t>
      </w:r>
      <w:r w:rsidR="00944C5C" w:rsidRPr="00C01E0F">
        <w:rPr>
          <w:rFonts w:eastAsia="SimSun"/>
          <w:lang w:val="hu-HU"/>
        </w:rPr>
        <w:t xml:space="preserve"> </w:t>
      </w:r>
      <w:r w:rsidR="00142D15">
        <w:rPr>
          <w:lang w:val="hu-HU"/>
        </w:rPr>
        <w:t>Busulfan Teva</w:t>
      </w:r>
      <w:r w:rsidR="00944C5C" w:rsidRPr="00C01E0F">
        <w:rPr>
          <w:rFonts w:eastAsia="SimSun"/>
          <w:lang w:val="hu-HU"/>
        </w:rPr>
        <w:t xml:space="preserve"> mennyisége:</w:t>
      </w:r>
    </w:p>
    <w:p w14:paraId="032240CD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318"/>
        <w:gridCol w:w="4358"/>
      </w:tblGrid>
      <w:tr w:rsidR="00944C5C" w:rsidRPr="00C01E0F" w14:paraId="5195A47E" w14:textId="77777777" w:rsidTr="001F7232">
        <w:tc>
          <w:tcPr>
            <w:tcW w:w="2092" w:type="dxa"/>
            <w:tcBorders>
              <w:bottom w:val="single" w:sz="4" w:space="0" w:color="auto"/>
            </w:tcBorders>
          </w:tcPr>
          <w:p w14:paraId="541CB0AB" w14:textId="68810F2B" w:rsidR="00944C5C" w:rsidRPr="00C01E0F" w:rsidRDefault="00944C5C" w:rsidP="001F723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Y(ttkg) × D(mg/</w:t>
            </w:r>
            <w:r w:rsidR="008C219E">
              <w:rPr>
                <w:rFonts w:eastAsia="SimSun"/>
                <w:lang w:val="hu-HU"/>
              </w:rPr>
              <w:t>tt</w:t>
            </w:r>
            <w:r w:rsidRPr="00C01E0F">
              <w:rPr>
                <w:rFonts w:eastAsia="SimSun"/>
                <w:lang w:val="hu-HU"/>
              </w:rPr>
              <w:t>kg)</w:t>
            </w:r>
          </w:p>
        </w:tc>
        <w:tc>
          <w:tcPr>
            <w:tcW w:w="318" w:type="dxa"/>
            <w:vMerge w:val="restart"/>
            <w:vAlign w:val="center"/>
          </w:tcPr>
          <w:p w14:paraId="6BB272CD" w14:textId="77777777" w:rsidR="00944C5C" w:rsidRPr="00C01E0F" w:rsidRDefault="00944C5C" w:rsidP="001F723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=</w:t>
            </w:r>
          </w:p>
        </w:tc>
        <w:tc>
          <w:tcPr>
            <w:tcW w:w="4358" w:type="dxa"/>
            <w:vMerge w:val="restart"/>
            <w:vAlign w:val="center"/>
          </w:tcPr>
          <w:p w14:paraId="37EB1BC8" w14:textId="77777777" w:rsidR="00944C5C" w:rsidRPr="00C01E0F" w:rsidRDefault="00944C5C" w:rsidP="001F723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lang w:val="hu-HU"/>
              </w:rPr>
              <w:t>„</w:t>
            </w:r>
            <w:r w:rsidRPr="00C01E0F">
              <w:rPr>
                <w:rFonts w:eastAsia="SimSun"/>
                <w:lang w:val="hu-HU"/>
              </w:rPr>
              <w:t xml:space="preserve">A” ml hígítandó </w:t>
            </w:r>
            <w:r w:rsidR="00142D15">
              <w:rPr>
                <w:lang w:val="hu-HU"/>
              </w:rPr>
              <w:t>Busulfan Teva</w:t>
            </w:r>
          </w:p>
        </w:tc>
      </w:tr>
      <w:tr w:rsidR="00944C5C" w:rsidRPr="00C01E0F" w14:paraId="4FFBC703" w14:textId="77777777" w:rsidTr="001F7232">
        <w:tc>
          <w:tcPr>
            <w:tcW w:w="2092" w:type="dxa"/>
            <w:tcBorders>
              <w:top w:val="single" w:sz="4" w:space="0" w:color="auto"/>
            </w:tcBorders>
          </w:tcPr>
          <w:p w14:paraId="74D451A2" w14:textId="77777777" w:rsidR="00944C5C" w:rsidRPr="00C01E0F" w:rsidRDefault="00944C5C" w:rsidP="001F723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6 (mg/ml)</w:t>
            </w:r>
          </w:p>
        </w:tc>
        <w:tc>
          <w:tcPr>
            <w:tcW w:w="318" w:type="dxa"/>
            <w:vMerge/>
          </w:tcPr>
          <w:p w14:paraId="104CA838" w14:textId="77777777" w:rsidR="00944C5C" w:rsidRPr="00C01E0F" w:rsidRDefault="00944C5C" w:rsidP="001F723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4358" w:type="dxa"/>
            <w:vMerge/>
          </w:tcPr>
          <w:p w14:paraId="67DE2344" w14:textId="77777777" w:rsidR="00944C5C" w:rsidRPr="00C01E0F" w:rsidRDefault="00944C5C" w:rsidP="001F723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</w:tbl>
    <w:p w14:paraId="090E99BB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p w14:paraId="102C5408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Y: a beteg testtömege kg</w:t>
      </w:r>
      <w:r>
        <w:rPr>
          <w:lang w:val="hu-HU"/>
        </w:rPr>
        <w:noBreakHyphen/>
      </w:r>
      <w:r w:rsidRPr="00C01E0F">
        <w:rPr>
          <w:lang w:val="hu-HU"/>
        </w:rPr>
        <w:t>ban (ttkg)</w:t>
      </w:r>
    </w:p>
    <w:p w14:paraId="0FA07A1F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D: a buszulfán dózisa (lásd 4.2</w:t>
      </w:r>
      <w:r w:rsidR="007D0186">
        <w:rPr>
          <w:lang w:val="hu-HU"/>
        </w:rPr>
        <w:t> </w:t>
      </w:r>
      <w:r w:rsidRPr="00C01E0F">
        <w:rPr>
          <w:lang w:val="hu-HU"/>
        </w:rPr>
        <w:t>pont).</w:t>
      </w:r>
    </w:p>
    <w:p w14:paraId="1A79A81E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rFonts w:eastAsia="SymbolMT"/>
          <w:lang w:val="hu-HU"/>
        </w:rPr>
      </w:pPr>
    </w:p>
    <w:p w14:paraId="48334ADC" w14:textId="77777777" w:rsidR="00944C5C" w:rsidRPr="00C01E0F" w:rsidRDefault="00944C5C" w:rsidP="007D0186">
      <w:pPr>
        <w:pStyle w:val="Listaszerbekezds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t>A hígító oldat mennyisége:</w:t>
      </w:r>
    </w:p>
    <w:p w14:paraId="72CBAA18" w14:textId="77777777" w:rsidR="00944C5C" w:rsidRPr="00C01E0F" w:rsidRDefault="00944C5C" w:rsidP="00944C5C">
      <w:pPr>
        <w:pStyle w:val="Listaszerbekezds"/>
        <w:autoSpaceDE w:val="0"/>
        <w:autoSpaceDN w:val="0"/>
        <w:adjustRightInd w:val="0"/>
        <w:spacing w:line="240" w:lineRule="auto"/>
        <w:ind w:left="0"/>
        <w:rPr>
          <w:rFonts w:eastAsia="SimSun"/>
          <w:lang w:val="hu-HU"/>
        </w:rPr>
      </w:pPr>
    </w:p>
    <w:p w14:paraId="0A494233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(„A” ml </w:t>
      </w:r>
      <w:r w:rsidR="00142D15">
        <w:rPr>
          <w:lang w:val="hu-HU"/>
        </w:rPr>
        <w:t>Busulfan Teva</w:t>
      </w:r>
      <w:r w:rsidRPr="00C01E0F">
        <w:rPr>
          <w:lang w:val="hu-HU"/>
        </w:rPr>
        <w:t xml:space="preserve">) </w:t>
      </w:r>
      <w:r>
        <w:rPr>
          <w:lang w:val="hu-HU"/>
        </w:rPr>
        <w:t>×</w:t>
      </w:r>
      <w:r w:rsidRPr="00C01E0F">
        <w:rPr>
          <w:lang w:val="hu-HU"/>
        </w:rPr>
        <w:t xml:space="preserve"> (10) = „B” ml hígító oldat</w:t>
      </w:r>
    </w:p>
    <w:p w14:paraId="377D4C29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5CDF8C1F" w14:textId="59229311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A vég</w:t>
      </w:r>
      <w:r w:rsidR="00D22AFA">
        <w:rPr>
          <w:lang w:val="hu-HU"/>
        </w:rPr>
        <w:t>leges</w:t>
      </w:r>
      <w:r w:rsidRPr="00C01E0F">
        <w:rPr>
          <w:lang w:val="hu-HU"/>
        </w:rPr>
        <w:t xml:space="preserve"> oldatos infúzió elkészítéséhez „A” ml </w:t>
      </w:r>
      <w:r w:rsidR="00142D15">
        <w:rPr>
          <w:lang w:val="hu-HU"/>
        </w:rPr>
        <w:t>Busulfan Teva</w:t>
      </w:r>
      <w:r>
        <w:rPr>
          <w:lang w:val="hu-HU"/>
        </w:rPr>
        <w:noBreakHyphen/>
      </w:r>
      <w:r w:rsidRPr="00C01E0F">
        <w:rPr>
          <w:lang w:val="hu-HU"/>
        </w:rPr>
        <w:t xml:space="preserve">t </w:t>
      </w:r>
      <w:r w:rsidR="00D22AFA">
        <w:rPr>
          <w:lang w:val="hu-HU"/>
        </w:rPr>
        <w:t xml:space="preserve">hozzá kell adni </w:t>
      </w:r>
      <w:r w:rsidRPr="00C01E0F">
        <w:rPr>
          <w:lang w:val="hu-HU"/>
        </w:rPr>
        <w:t>„B” ml hígító oldathoz (9 mg/ml (0,9%) koncentrációjú nátrium</w:t>
      </w:r>
      <w:r>
        <w:rPr>
          <w:lang w:val="hu-HU"/>
        </w:rPr>
        <w:noBreakHyphen/>
      </w:r>
      <w:r w:rsidRPr="00C01E0F">
        <w:rPr>
          <w:lang w:val="hu-HU"/>
        </w:rPr>
        <w:t>klorid oldatos injekció, vagy 5%</w:t>
      </w:r>
      <w:r>
        <w:rPr>
          <w:lang w:val="hu-HU"/>
        </w:rPr>
        <w:noBreakHyphen/>
      </w:r>
      <w:r w:rsidRPr="00C01E0F">
        <w:rPr>
          <w:lang w:val="hu-HU"/>
        </w:rPr>
        <w:t>os glükóz oldatos injekció).</w:t>
      </w:r>
    </w:p>
    <w:p w14:paraId="070F693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5432DCD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Az oldatos infúzió elkészítése</w:t>
      </w:r>
    </w:p>
    <w:p w14:paraId="2D4109BC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331F394E" w14:textId="77777777" w:rsidR="00944C5C" w:rsidRPr="00C01E0F" w:rsidRDefault="00944C5C" w:rsidP="007D0186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</w:t>
      </w:r>
      <w:r w:rsidR="00142D15">
        <w:rPr>
          <w:lang w:val="hu-HU"/>
        </w:rPr>
        <w:t>Busulfan Teva</w:t>
      </w:r>
      <w:r w:rsidRPr="00C01E0F">
        <w:rPr>
          <w:lang w:val="hu-HU"/>
        </w:rPr>
        <w:t xml:space="preserve"> </w:t>
      </w:r>
      <w:r w:rsidR="00387FBD">
        <w:rPr>
          <w:lang w:val="hu-HU"/>
        </w:rPr>
        <w:t>elkészítését</w:t>
      </w:r>
      <w:r w:rsidRPr="00C01E0F">
        <w:rPr>
          <w:lang w:val="hu-HU"/>
        </w:rPr>
        <w:t xml:space="preserve"> </w:t>
      </w:r>
      <w:r w:rsidRPr="00C01E0F">
        <w:rPr>
          <w:rFonts w:eastAsia="SimSun"/>
          <w:lang w:val="hu-HU"/>
        </w:rPr>
        <w:t>egészségügyi</w:t>
      </w:r>
      <w:r w:rsidRPr="00C01E0F">
        <w:rPr>
          <w:lang w:val="hu-HU"/>
        </w:rPr>
        <w:t xml:space="preserve"> szak</w:t>
      </w:r>
      <w:r>
        <w:rPr>
          <w:lang w:val="hu-HU"/>
        </w:rPr>
        <w:t>dolgozónak</w:t>
      </w:r>
      <w:r w:rsidRPr="00C01E0F">
        <w:rPr>
          <w:lang w:val="hu-HU"/>
        </w:rPr>
        <w:t>, steril körülmények között kell elvégeznie</w:t>
      </w:r>
      <w:r w:rsidR="00387FBD">
        <w:rPr>
          <w:lang w:val="hu-HU"/>
        </w:rPr>
        <w:t>,</w:t>
      </w:r>
      <w:r w:rsidR="007D0186">
        <w:rPr>
          <w:lang w:val="hu-HU"/>
        </w:rPr>
        <w:t xml:space="preserve"> </w:t>
      </w:r>
      <w:r w:rsidR="00387FBD">
        <w:rPr>
          <w:lang w:val="hu-HU"/>
        </w:rPr>
        <w:t>t</w:t>
      </w:r>
      <w:r w:rsidRPr="00C01E0F">
        <w:rPr>
          <w:lang w:val="hu-HU"/>
        </w:rPr>
        <w:t>űvel ellátott, nem</w:t>
      </w:r>
      <w:r>
        <w:rPr>
          <w:lang w:val="hu-HU"/>
        </w:rPr>
        <w:noBreakHyphen/>
      </w:r>
      <w:r w:rsidRPr="00C01E0F">
        <w:rPr>
          <w:lang w:val="hu-HU"/>
        </w:rPr>
        <w:t>polikarbonát fecskendőt használva.</w:t>
      </w:r>
    </w:p>
    <w:p w14:paraId="4FE62E2A" w14:textId="77777777" w:rsidR="00944C5C" w:rsidRPr="00C01E0F" w:rsidRDefault="00944C5C" w:rsidP="00387FB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t xml:space="preserve">a kiszámított </w:t>
      </w:r>
      <w:r w:rsidR="00142D15">
        <w:rPr>
          <w:rFonts w:eastAsia="SimSun"/>
          <w:lang w:val="hu-HU"/>
        </w:rPr>
        <w:t>Busulfan Teva</w:t>
      </w:r>
      <w:r w:rsidRPr="00C01E0F">
        <w:rPr>
          <w:rFonts w:eastAsia="SimSun"/>
          <w:lang w:val="hu-HU"/>
        </w:rPr>
        <w:t xml:space="preserve"> mennyiséget fel kell szívni az injekciós üvegből,</w:t>
      </w:r>
    </w:p>
    <w:p w14:paraId="4C85F060" w14:textId="1E70D602" w:rsidR="00944C5C" w:rsidRPr="00C01E0F" w:rsidRDefault="00944C5C" w:rsidP="00387FB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lastRenderedPageBreak/>
        <w:t>a fecskendő tartalmát bele kell adagolni a</w:t>
      </w:r>
      <w:r w:rsidR="00D4672E">
        <w:rPr>
          <w:rFonts w:eastAsia="SimSun"/>
          <w:lang w:val="hu-HU"/>
        </w:rPr>
        <w:t>z infúziós zsákba (vagy fecskendőbe),</w:t>
      </w:r>
      <w:r w:rsidRPr="00C01E0F">
        <w:rPr>
          <w:rFonts w:eastAsia="SimSun"/>
          <w:lang w:val="hu-HU"/>
        </w:rPr>
        <w:t xml:space="preserve"> </w:t>
      </w:r>
      <w:r w:rsidR="00D4672E">
        <w:rPr>
          <w:rFonts w:eastAsia="SimSun"/>
          <w:lang w:val="hu-HU"/>
        </w:rPr>
        <w:t xml:space="preserve">amely már tartalmazza a </w:t>
      </w:r>
      <w:r w:rsidRPr="00C01E0F">
        <w:rPr>
          <w:rFonts w:eastAsia="SimSun"/>
          <w:lang w:val="hu-HU"/>
        </w:rPr>
        <w:t xml:space="preserve">kiválasztott hígító oldat kiszámolt mennyiségét. Mindig a </w:t>
      </w:r>
      <w:r w:rsidR="00142D15">
        <w:rPr>
          <w:lang w:val="hu-HU"/>
        </w:rPr>
        <w:t>Busulfan Teva</w:t>
      </w:r>
      <w:r>
        <w:rPr>
          <w:lang w:val="hu-HU"/>
        </w:rPr>
        <w:noBreakHyphen/>
      </w:r>
      <w:r w:rsidRPr="00C01E0F">
        <w:rPr>
          <w:lang w:val="hu-HU"/>
        </w:rPr>
        <w:t>t kell a</w:t>
      </w:r>
      <w:r w:rsidRPr="00C01E0F">
        <w:rPr>
          <w:rFonts w:eastAsia="SimSun"/>
          <w:lang w:val="hu-HU"/>
        </w:rPr>
        <w:t xml:space="preserve"> </w:t>
      </w:r>
      <w:r w:rsidRPr="00C01E0F">
        <w:rPr>
          <w:lang w:val="hu-HU"/>
        </w:rPr>
        <w:t xml:space="preserve">hígító oldathoz adni, és nem </w:t>
      </w:r>
      <w:r w:rsidRPr="00C01E0F">
        <w:rPr>
          <w:rFonts w:eastAsia="SimSun"/>
          <w:lang w:val="hu-HU"/>
        </w:rPr>
        <w:t>fordítva</w:t>
      </w:r>
      <w:r w:rsidRPr="00C01E0F">
        <w:rPr>
          <w:lang w:val="hu-HU"/>
        </w:rPr>
        <w:t xml:space="preserve">. Tilos a </w:t>
      </w:r>
      <w:r w:rsidR="00142D15">
        <w:rPr>
          <w:lang w:val="hu-HU"/>
        </w:rPr>
        <w:t>Busulfan Teva</w:t>
      </w:r>
      <w:r>
        <w:rPr>
          <w:lang w:val="hu-HU"/>
        </w:rPr>
        <w:noBreakHyphen/>
      </w:r>
      <w:r w:rsidRPr="00C01E0F">
        <w:rPr>
          <w:lang w:val="hu-HU"/>
        </w:rPr>
        <w:t>t infúziós zsákba tenni, ha az nem tartalmazza a 9 mg/ml (0,9%) koncentrációjú nátrium</w:t>
      </w:r>
      <w:r>
        <w:rPr>
          <w:lang w:val="hu-HU"/>
        </w:rPr>
        <w:noBreakHyphen/>
      </w:r>
      <w:r w:rsidRPr="00C01E0F">
        <w:rPr>
          <w:lang w:val="hu-HU"/>
        </w:rPr>
        <w:t>klorid oldatos injekciót, vagy az 5%</w:t>
      </w:r>
      <w:r>
        <w:rPr>
          <w:lang w:val="hu-HU"/>
        </w:rPr>
        <w:noBreakHyphen/>
      </w:r>
      <w:r w:rsidRPr="00C01E0F">
        <w:rPr>
          <w:lang w:val="hu-HU"/>
        </w:rPr>
        <w:t>os glükóz oldatos injekciót.</w:t>
      </w:r>
    </w:p>
    <w:p w14:paraId="49637B06" w14:textId="77777777" w:rsidR="00944C5C" w:rsidRPr="00C01E0F" w:rsidRDefault="00944C5C" w:rsidP="00944C5C">
      <w:pPr>
        <w:pStyle w:val="Listaszerbekezds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hu-HU"/>
        </w:rPr>
      </w:pPr>
      <w:r w:rsidRPr="00C01E0F">
        <w:rPr>
          <w:lang w:val="hu-HU"/>
        </w:rPr>
        <w:t xml:space="preserve">A hígított oldatot </w:t>
      </w:r>
      <w:r w:rsidR="007D0186">
        <w:rPr>
          <w:lang w:val="hu-HU"/>
        </w:rPr>
        <w:t xml:space="preserve">tartalmazó zsákot </w:t>
      </w:r>
      <w:r w:rsidRPr="00C01E0F">
        <w:rPr>
          <w:lang w:val="hu-HU"/>
        </w:rPr>
        <w:t>többszöri fel</w:t>
      </w:r>
      <w:r w:rsidR="007D0186">
        <w:rPr>
          <w:lang w:val="hu-HU"/>
        </w:rPr>
        <w:t xml:space="preserve">-le </w:t>
      </w:r>
      <w:r w:rsidRPr="00C01E0F">
        <w:rPr>
          <w:lang w:val="hu-HU"/>
        </w:rPr>
        <w:t>for</w:t>
      </w:r>
      <w:r w:rsidR="007D0186">
        <w:rPr>
          <w:lang w:val="hu-HU"/>
        </w:rPr>
        <w:t>gatással</w:t>
      </w:r>
      <w:r w:rsidRPr="00C01E0F">
        <w:rPr>
          <w:lang w:val="hu-HU"/>
        </w:rPr>
        <w:t xml:space="preserve"> alaposan össze kell keverni.</w:t>
      </w:r>
    </w:p>
    <w:p w14:paraId="08738174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rFonts w:eastAsiaTheme="minorHAnsi"/>
          <w:lang w:val="hu-HU"/>
        </w:rPr>
      </w:pPr>
    </w:p>
    <w:p w14:paraId="523A04AC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Hígítás után 1 ml oldatos infúzió 0,5 mg buszulfánt tartalmaz.</w:t>
      </w:r>
    </w:p>
    <w:p w14:paraId="16D229E8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179E6095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hígított </w:t>
      </w:r>
      <w:r w:rsidR="00142D15">
        <w:rPr>
          <w:lang w:val="hu-HU"/>
        </w:rPr>
        <w:t>Busulfan Teva</w:t>
      </w:r>
      <w:r w:rsidRPr="00C01E0F">
        <w:rPr>
          <w:lang w:val="hu-HU"/>
        </w:rPr>
        <w:t xml:space="preserve"> tiszta, színtelen oldat.</w:t>
      </w:r>
    </w:p>
    <w:p w14:paraId="31EBE98E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i/>
          <w:iCs/>
          <w:lang w:val="hu-HU"/>
        </w:rPr>
      </w:pPr>
    </w:p>
    <w:p w14:paraId="426BB39E" w14:textId="77777777" w:rsidR="00944C5C" w:rsidRPr="00C01E0F" w:rsidRDefault="00321700" w:rsidP="00944C5C">
      <w:pPr>
        <w:autoSpaceDE w:val="0"/>
        <w:autoSpaceDN w:val="0"/>
        <w:adjustRightInd w:val="0"/>
        <w:spacing w:line="240" w:lineRule="auto"/>
        <w:rPr>
          <w:i/>
          <w:iCs/>
          <w:u w:val="single"/>
          <w:lang w:val="hu-HU"/>
        </w:rPr>
      </w:pPr>
      <w:r>
        <w:rPr>
          <w:i/>
          <w:iCs/>
          <w:u w:val="single"/>
          <w:lang w:val="hu-HU"/>
        </w:rPr>
        <w:t>Alkalmazási</w:t>
      </w:r>
      <w:r w:rsidR="00944C5C" w:rsidRPr="00C01E0F">
        <w:rPr>
          <w:i/>
          <w:iCs/>
          <w:u w:val="single"/>
          <w:lang w:val="hu-HU"/>
        </w:rPr>
        <w:t xml:space="preserve"> útmutató</w:t>
      </w:r>
    </w:p>
    <w:p w14:paraId="38D695BB" w14:textId="77777777" w:rsidR="00944C5C" w:rsidRPr="00C01E0F" w:rsidRDefault="00321700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>
        <w:rPr>
          <w:lang w:val="hu-HU"/>
        </w:rPr>
        <w:t>A</w:t>
      </w:r>
      <w:r w:rsidRPr="00C01E0F">
        <w:rPr>
          <w:lang w:val="hu-HU"/>
        </w:rPr>
        <w:t xml:space="preserve"> </w:t>
      </w:r>
      <w:r w:rsidR="00387FBD">
        <w:rPr>
          <w:lang w:val="hu-HU"/>
        </w:rPr>
        <w:t>felvezetett</w:t>
      </w:r>
      <w:r w:rsidRPr="00C01E0F">
        <w:rPr>
          <w:lang w:val="hu-HU"/>
        </w:rPr>
        <w:t xml:space="preserve"> kanült </w:t>
      </w:r>
      <w:r>
        <w:rPr>
          <w:lang w:val="hu-HU"/>
        </w:rPr>
        <w:t>m</w:t>
      </w:r>
      <w:r w:rsidR="00944C5C" w:rsidRPr="00C01E0F">
        <w:rPr>
          <w:lang w:val="hu-HU"/>
        </w:rPr>
        <w:t xml:space="preserve">inden egyes infúzió előtt és után </w:t>
      </w:r>
      <w:r>
        <w:rPr>
          <w:lang w:val="hu-HU"/>
        </w:rPr>
        <w:t>át kell mosni,</w:t>
      </w:r>
      <w:r w:rsidR="00944C5C" w:rsidRPr="00C01E0F">
        <w:rPr>
          <w:lang w:val="hu-HU"/>
        </w:rPr>
        <w:t xml:space="preserve"> kb. 5 ml 9 mg/ml (0,9%) koncentrációjú nátrium</w:t>
      </w:r>
      <w:r w:rsidR="00944C5C">
        <w:rPr>
          <w:lang w:val="hu-HU"/>
        </w:rPr>
        <w:noBreakHyphen/>
      </w:r>
      <w:r w:rsidR="00944C5C" w:rsidRPr="00C01E0F">
        <w:rPr>
          <w:lang w:val="hu-HU"/>
        </w:rPr>
        <w:t>klorid oldatos injekcióval vagy glükóz (5%) oldatos injekcióval.</w:t>
      </w:r>
    </w:p>
    <w:p w14:paraId="1B3AFEE7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4151A0D6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Tilos a gyógyszermaradékot a gyógyszerbeadó csőbe bemosni, mivel a </w:t>
      </w:r>
      <w:r w:rsidR="00143B8B">
        <w:rPr>
          <w:lang w:val="hu-HU"/>
        </w:rPr>
        <w:t>Busulfan Teva</w:t>
      </w:r>
      <w:r w:rsidR="00143B8B" w:rsidRPr="00C01E0F">
        <w:rPr>
          <w:lang w:val="hu-HU"/>
        </w:rPr>
        <w:t xml:space="preserve"> </w:t>
      </w:r>
      <w:r w:rsidRPr="00C01E0F">
        <w:rPr>
          <w:lang w:val="hu-HU"/>
        </w:rPr>
        <w:t>gyors infúzióban történő beadását nem vizsgálták, ezért az ilyen alkalmazása nem javasolt.</w:t>
      </w:r>
    </w:p>
    <w:p w14:paraId="7393FF11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0FAD1A67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Az előírt </w:t>
      </w:r>
      <w:r w:rsidR="00142D15">
        <w:rPr>
          <w:lang w:val="hu-HU"/>
        </w:rPr>
        <w:t>Busulfan Teva</w:t>
      </w:r>
      <w:r w:rsidRPr="00C01E0F">
        <w:rPr>
          <w:lang w:val="hu-HU"/>
        </w:rPr>
        <w:t xml:space="preserve"> dózis teljes mennyiségét a kondicionáló protokolltól függően 2 vagy 3 óra alatt be kell adni.</w:t>
      </w:r>
    </w:p>
    <w:p w14:paraId="7EDA9231" w14:textId="77777777" w:rsidR="00944C5C" w:rsidRPr="00C01E0F" w:rsidRDefault="00944C5C" w:rsidP="00944C5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2276B85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Kis mennyiség automata fecskendő alkalmazásával 2 óra alatt adható be. Ebben az esetben kis (0,3</w:t>
      </w:r>
      <w:r>
        <w:rPr>
          <w:lang w:val="hu-HU"/>
        </w:rPr>
        <w:noBreakHyphen/>
      </w:r>
      <w:r w:rsidRPr="00C01E0F">
        <w:rPr>
          <w:lang w:val="hu-HU"/>
        </w:rPr>
        <w:t>0,6 ml) töltőtérfogattal rendelkező infúziós szereléket kell használni, amit az aktuális buszulfán</w:t>
      </w:r>
      <w:r>
        <w:rPr>
          <w:lang w:val="hu-HU"/>
        </w:rPr>
        <w:noBreakHyphen/>
      </w:r>
      <w:r w:rsidRPr="00C01E0F">
        <w:rPr>
          <w:lang w:val="hu-HU"/>
        </w:rPr>
        <w:t>infúzió beadásának megkezdése előtt fel kell tölteni gyógyszeroldattal, majd át kell mosni 9 mg/ml (0,9%) koncentrációjú nátrium</w:t>
      </w:r>
      <w:r>
        <w:rPr>
          <w:lang w:val="hu-HU"/>
        </w:rPr>
        <w:noBreakHyphen/>
      </w:r>
      <w:r w:rsidRPr="00C01E0F">
        <w:rPr>
          <w:lang w:val="hu-HU"/>
        </w:rPr>
        <w:t>klorid oldatos injekcióval vagy 5%</w:t>
      </w:r>
      <w:r>
        <w:rPr>
          <w:lang w:val="hu-HU"/>
        </w:rPr>
        <w:noBreakHyphen/>
      </w:r>
      <w:r w:rsidRPr="00C01E0F">
        <w:rPr>
          <w:lang w:val="hu-HU"/>
        </w:rPr>
        <w:t>os glükóz oldatos injekcióval.</w:t>
      </w:r>
    </w:p>
    <w:p w14:paraId="5D54A1C2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12CE8485" w14:textId="77777777" w:rsidR="00944C5C" w:rsidRPr="00C01E0F" w:rsidRDefault="00387FBD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>
        <w:rPr>
          <w:lang w:val="hu-HU"/>
        </w:rPr>
        <w:t>A</w:t>
      </w:r>
      <w:r w:rsidR="001A3D54" w:rsidRPr="00C01E0F">
        <w:rPr>
          <w:lang w:val="hu-HU"/>
        </w:rPr>
        <w:t xml:space="preserve"> </w:t>
      </w:r>
      <w:r w:rsidR="001A3D54">
        <w:rPr>
          <w:lang w:val="hu-HU"/>
        </w:rPr>
        <w:t>Busulfan Teva</w:t>
      </w:r>
      <w:r w:rsidR="001A3D54">
        <w:rPr>
          <w:lang w:val="hu-HU"/>
        </w:rPr>
        <w:noBreakHyphen/>
      </w:r>
      <w:r w:rsidR="001A3D54" w:rsidRPr="00C01E0F">
        <w:rPr>
          <w:lang w:val="hu-HU"/>
        </w:rPr>
        <w:t xml:space="preserve">t tilos </w:t>
      </w:r>
      <w:r w:rsidR="001A3D54">
        <w:rPr>
          <w:lang w:val="hu-HU"/>
        </w:rPr>
        <w:t>m</w:t>
      </w:r>
      <w:r w:rsidR="00944C5C" w:rsidRPr="00C01E0F">
        <w:rPr>
          <w:lang w:val="hu-HU"/>
        </w:rPr>
        <w:t>ás intravénás oldattal együtt beadni.</w:t>
      </w:r>
    </w:p>
    <w:p w14:paraId="17BE8B28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40186F78" w14:textId="7669389C" w:rsidR="00500E8F" w:rsidRDefault="00500E8F" w:rsidP="00500E8F">
      <w:pPr>
        <w:tabs>
          <w:tab w:val="right" w:pos="9070"/>
        </w:tabs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r>
        <w:rPr>
          <w:rFonts w:eastAsiaTheme="minorHAnsi"/>
          <w:lang w:val="hu-HU"/>
        </w:rPr>
        <w:t xml:space="preserve">Busulfan Teva </w:t>
      </w:r>
      <w:r w:rsidRPr="00C01E0F">
        <w:rPr>
          <w:rFonts w:eastAsiaTheme="minorHAnsi"/>
          <w:lang w:val="hu-HU"/>
        </w:rPr>
        <w:t>beadásához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tilos </w:t>
      </w:r>
      <w:r>
        <w:rPr>
          <w:rFonts w:eastAsiaTheme="minorHAnsi"/>
          <w:lang w:val="hu-HU"/>
        </w:rPr>
        <w:t xml:space="preserve">bármilyen </w:t>
      </w:r>
      <w:r w:rsidRPr="00C01E0F">
        <w:rPr>
          <w:rFonts w:eastAsiaTheme="minorHAnsi"/>
          <w:lang w:val="hu-HU"/>
        </w:rPr>
        <w:t>polikarbonát</w:t>
      </w:r>
      <w:r>
        <w:rPr>
          <w:rFonts w:eastAsiaTheme="minorHAnsi"/>
          <w:lang w:val="hu-HU"/>
        </w:rPr>
        <w:t>-tartalmú infúziós szereléket</w:t>
      </w:r>
      <w:r w:rsidRPr="00C01E0F">
        <w:rPr>
          <w:rFonts w:eastAsiaTheme="minorHAnsi"/>
          <w:lang w:val="hu-HU"/>
        </w:rPr>
        <w:t xml:space="preserve"> használni.</w:t>
      </w:r>
    </w:p>
    <w:p w14:paraId="3D754BC9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57E943C5" w14:textId="77777777" w:rsidR="00944C5C" w:rsidRPr="00C01E0F" w:rsidRDefault="00944C5C" w:rsidP="00944C5C">
      <w:pPr>
        <w:spacing w:line="240" w:lineRule="auto"/>
        <w:rPr>
          <w:lang w:val="hu-HU"/>
        </w:rPr>
      </w:pPr>
      <w:r w:rsidRPr="00C01E0F">
        <w:rPr>
          <w:lang w:val="hu-HU"/>
        </w:rPr>
        <w:t>Kizárólag egyszeri alkalmazásra. Csak tiszta, részecskementes oldatot szabad felhasználni.</w:t>
      </w:r>
    </w:p>
    <w:p w14:paraId="2AD9D008" w14:textId="77777777" w:rsidR="00944C5C" w:rsidRPr="00C01E0F" w:rsidRDefault="00944C5C" w:rsidP="00944C5C">
      <w:pPr>
        <w:spacing w:line="240" w:lineRule="auto"/>
        <w:rPr>
          <w:lang w:val="hu-HU"/>
        </w:rPr>
      </w:pPr>
    </w:p>
    <w:p w14:paraId="010E993A" w14:textId="77777777" w:rsidR="00944C5C" w:rsidRPr="00C01E0F" w:rsidRDefault="00944C5C" w:rsidP="00944C5C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Bármilyen fel nem használt gyógyszer, illetve hulladékanyag megsemmisítését a citotoxikus gyógyszerekre vonatkozó előírások szerint kell végrehajtani.</w:t>
      </w:r>
    </w:p>
    <w:p w14:paraId="28190323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0CE88328" w14:textId="77777777" w:rsidR="00CF1F6B" w:rsidRPr="00347062" w:rsidRDefault="00CF1F6B" w:rsidP="00CF1F6B">
      <w:pPr>
        <w:tabs>
          <w:tab w:val="left" w:pos="4111"/>
        </w:tabs>
        <w:spacing w:line="240" w:lineRule="auto"/>
      </w:pPr>
      <w:r w:rsidRPr="00347062">
        <w:rPr>
          <w:b/>
        </w:rPr>
        <w:t xml:space="preserve">Megjegyzés: </w:t>
      </w:r>
      <w:r w:rsidRPr="00347062">
        <w:sym w:font="Wingdings" w:char="F058"/>
      </w:r>
      <w:r w:rsidRPr="00347062">
        <w:sym w:font="Wingdings" w:char="F058"/>
      </w:r>
      <w:r w:rsidRPr="00347062">
        <w:t xml:space="preserve"> (két keresztes)</w:t>
      </w:r>
    </w:p>
    <w:p w14:paraId="4EFC3D64" w14:textId="77777777" w:rsidR="00CF1F6B" w:rsidRPr="00347062" w:rsidRDefault="00CF1F6B" w:rsidP="00CF1F6B">
      <w:pPr>
        <w:tabs>
          <w:tab w:val="left" w:pos="4111"/>
        </w:tabs>
        <w:spacing w:line="240" w:lineRule="auto"/>
        <w:ind w:right="-142"/>
        <w:rPr>
          <w:b/>
        </w:rPr>
      </w:pPr>
      <w:r w:rsidRPr="00347062">
        <w:rPr>
          <w:b/>
        </w:rPr>
        <w:t>Osztályozás: II./3 csoport</w:t>
      </w:r>
    </w:p>
    <w:p w14:paraId="3DCC1772" w14:textId="77777777" w:rsidR="00CF1F6B" w:rsidRPr="00A15C2E" w:rsidRDefault="00CF1F6B" w:rsidP="00CF1F6B">
      <w:pPr>
        <w:pStyle w:val="Szvegtrzs"/>
        <w:tabs>
          <w:tab w:val="left" w:pos="4111"/>
        </w:tabs>
        <w:spacing w:after="0" w:line="240" w:lineRule="auto"/>
        <w:rPr>
          <w:lang w:val="hu-HU"/>
        </w:rPr>
      </w:pPr>
      <w:r w:rsidRPr="00B50EFE">
        <w:rPr>
          <w:lang w:val="hu-HU"/>
        </w:rPr>
        <w:t>Korlátozott érvényű orvosi rendelvényhez kötött, az egészségügyről szóló 1997. évi CLIV. Törvény 3. §-nak ga pontja szerinti rendelőintézeti járóbeteg-szakellátást vagy fekvőbeteg-szakellátást nyújtó szolgáltatók által biztosított körülmények között alkalmazható gyógyszer</w:t>
      </w:r>
      <w:r w:rsidRPr="00A15C2E">
        <w:rPr>
          <w:lang w:val="hu-HU"/>
        </w:rPr>
        <w:t xml:space="preserve"> (I).</w:t>
      </w:r>
    </w:p>
    <w:p w14:paraId="629A30FA" w14:textId="4A832B92" w:rsidR="00944C5C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252B5216" w14:textId="77777777" w:rsidR="00CF1F6B" w:rsidRPr="001A3D54" w:rsidRDefault="00CF1F6B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5055D54D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7.</w:t>
      </w:r>
      <w:r w:rsidRPr="00C01E0F">
        <w:rPr>
          <w:b/>
          <w:bCs/>
          <w:lang w:val="hu-HU"/>
        </w:rPr>
        <w:tab/>
        <w:t>A FORGALOMBA HOZATALI ENGEDÉLY JOGOSULTJA</w:t>
      </w:r>
    </w:p>
    <w:p w14:paraId="07E4D17A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7044FB60" w14:textId="77777777" w:rsidR="00387FBD" w:rsidRPr="003651FC" w:rsidRDefault="00387FBD" w:rsidP="00387FBD">
      <w:pPr>
        <w:pStyle w:val="Nincstrkz"/>
        <w:rPr>
          <w:lang w:eastAsia="zh-CN"/>
        </w:rPr>
      </w:pPr>
      <w:r w:rsidRPr="003651FC">
        <w:rPr>
          <w:lang w:eastAsia="zh-CN"/>
        </w:rPr>
        <w:t xml:space="preserve">Teva Gyógyszergyár Zrt. </w:t>
      </w:r>
    </w:p>
    <w:p w14:paraId="216C8BB6" w14:textId="77777777" w:rsidR="00387FBD" w:rsidRPr="003651FC" w:rsidRDefault="00387FBD" w:rsidP="00387FBD">
      <w:pPr>
        <w:pStyle w:val="Nincstrkz"/>
        <w:rPr>
          <w:lang w:eastAsia="zh-CN"/>
        </w:rPr>
      </w:pPr>
      <w:r w:rsidRPr="003651FC">
        <w:rPr>
          <w:lang w:eastAsia="zh-CN"/>
        </w:rPr>
        <w:t xml:space="preserve">4042 Debrecen </w:t>
      </w:r>
    </w:p>
    <w:p w14:paraId="5C388614" w14:textId="77777777" w:rsidR="00387FBD" w:rsidRPr="003651FC" w:rsidRDefault="00387FBD" w:rsidP="00387FBD">
      <w:pPr>
        <w:pStyle w:val="Nincstrkz"/>
        <w:rPr>
          <w:lang w:eastAsia="zh-CN"/>
        </w:rPr>
      </w:pPr>
      <w:r w:rsidRPr="003651FC">
        <w:rPr>
          <w:lang w:eastAsia="zh-CN"/>
        </w:rPr>
        <w:t>Pallagi út 13.</w:t>
      </w:r>
    </w:p>
    <w:p w14:paraId="7F7C999C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6A1DE889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186EBB25" w14:textId="77777777" w:rsidR="00944C5C" w:rsidRPr="00C01E0F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8.</w:t>
      </w:r>
      <w:r w:rsidRPr="00C01E0F">
        <w:rPr>
          <w:b/>
          <w:bCs/>
          <w:lang w:val="hu-HU"/>
        </w:rPr>
        <w:tab/>
        <w:t>A FORGALOMBA HOZATALI ENGEDÉLY SZÁMA(I)</w:t>
      </w:r>
    </w:p>
    <w:p w14:paraId="6B0E3914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2BE6700A" w14:textId="47870248" w:rsidR="00676BE1" w:rsidRPr="00155CF2" w:rsidRDefault="00676BE1" w:rsidP="00676BE1">
      <w:pPr>
        <w:jc w:val="both"/>
        <w:rPr>
          <w:bCs/>
          <w:lang w:val="hu-HU"/>
        </w:rPr>
      </w:pPr>
      <w:r w:rsidRPr="00155CF2">
        <w:rPr>
          <w:bCs/>
        </w:rPr>
        <w:t>OGYI-T-23392/01</w:t>
      </w:r>
      <w:r w:rsidRPr="00155CF2">
        <w:rPr>
          <w:bCs/>
        </w:rPr>
        <w:tab/>
        <w:t>8x (2x4)</w:t>
      </w:r>
      <w:r w:rsidRPr="00155CF2">
        <w:rPr>
          <w:bCs/>
        </w:rPr>
        <w:tab/>
        <w:t>injekciós üveg</w:t>
      </w:r>
    </w:p>
    <w:p w14:paraId="1BB0AEC7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642DBB2B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49724746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9.</w:t>
      </w:r>
      <w:r w:rsidRPr="00C01E0F">
        <w:rPr>
          <w:b/>
          <w:bCs/>
          <w:lang w:val="hu-HU"/>
        </w:rPr>
        <w:tab/>
      </w:r>
      <w:r w:rsidRPr="001A3D54">
        <w:rPr>
          <w:b/>
          <w:bCs/>
          <w:lang w:val="hu-HU"/>
        </w:rPr>
        <w:t>A FORGALOMBA HOZATALI ENGEDÉLY ELSŐ KIADÁSÁNAK/ MEGÚJÍTÁSÁNAK DÁTUMA</w:t>
      </w:r>
    </w:p>
    <w:p w14:paraId="40251C6D" w14:textId="77777777" w:rsidR="00944C5C" w:rsidRPr="001A3D54" w:rsidRDefault="00944C5C" w:rsidP="00944C5C">
      <w:pPr>
        <w:spacing w:line="240" w:lineRule="auto"/>
        <w:rPr>
          <w:lang w:val="hu-HU"/>
        </w:rPr>
      </w:pPr>
    </w:p>
    <w:p w14:paraId="6AC04CD3" w14:textId="57A4EF7C" w:rsidR="00944C5C" w:rsidRPr="001A3D54" w:rsidRDefault="00944C5C" w:rsidP="00944C5C">
      <w:pPr>
        <w:spacing w:line="240" w:lineRule="auto"/>
        <w:rPr>
          <w:lang w:val="hu-HU"/>
        </w:rPr>
      </w:pPr>
      <w:r w:rsidRPr="001A3D54">
        <w:rPr>
          <w:lang w:val="hu-HU"/>
        </w:rPr>
        <w:t xml:space="preserve">A forgalomba hozatali engedély első kiadásának dátuma: </w:t>
      </w:r>
      <w:r w:rsidR="00BF397A">
        <w:rPr>
          <w:lang w:val="hu-HU"/>
        </w:rPr>
        <w:t>2018. június 1.</w:t>
      </w:r>
    </w:p>
    <w:p w14:paraId="134B5F23" w14:textId="77777777" w:rsidR="00387FBD" w:rsidRDefault="00387FBD" w:rsidP="00944C5C">
      <w:pPr>
        <w:spacing w:line="240" w:lineRule="auto"/>
        <w:rPr>
          <w:lang w:val="hu-HU"/>
        </w:rPr>
      </w:pPr>
    </w:p>
    <w:p w14:paraId="4D8D6D66" w14:textId="77777777" w:rsidR="00387FBD" w:rsidRPr="001A3D54" w:rsidRDefault="00387FBD" w:rsidP="00944C5C">
      <w:pPr>
        <w:spacing w:line="240" w:lineRule="auto"/>
        <w:rPr>
          <w:lang w:val="hu-HU"/>
        </w:rPr>
      </w:pPr>
    </w:p>
    <w:p w14:paraId="45AAB7EC" w14:textId="77777777" w:rsidR="00944C5C" w:rsidRPr="001A3D54" w:rsidRDefault="00944C5C" w:rsidP="00944C5C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1A3D54">
        <w:rPr>
          <w:b/>
          <w:bCs/>
          <w:lang w:val="hu-HU"/>
        </w:rPr>
        <w:t>10.</w:t>
      </w:r>
      <w:r w:rsidRPr="001A3D54">
        <w:rPr>
          <w:b/>
          <w:bCs/>
          <w:lang w:val="hu-HU"/>
        </w:rPr>
        <w:tab/>
        <w:t>A SZÖVEG ELLENŐRZÉSÉNEK DÁTUMA</w:t>
      </w:r>
    </w:p>
    <w:p w14:paraId="415EB8B8" w14:textId="77777777" w:rsidR="00944C5C" w:rsidRPr="001A3D54" w:rsidRDefault="00944C5C" w:rsidP="00944C5C">
      <w:pPr>
        <w:rPr>
          <w:lang w:val="hu-HU"/>
        </w:rPr>
      </w:pPr>
    </w:p>
    <w:p w14:paraId="69E13878" w14:textId="6AF22596" w:rsidR="00F7326B" w:rsidRPr="001A3D54" w:rsidRDefault="00BF397A">
      <w:pPr>
        <w:rPr>
          <w:lang w:val="hu-HU"/>
        </w:rPr>
      </w:pPr>
      <w:r>
        <w:rPr>
          <w:lang w:val="hu-HU"/>
        </w:rPr>
        <w:t>20</w:t>
      </w:r>
      <w:r w:rsidR="00922983">
        <w:rPr>
          <w:lang w:val="hu-HU"/>
        </w:rPr>
        <w:t>2</w:t>
      </w:r>
      <w:r w:rsidR="004F200C">
        <w:rPr>
          <w:lang w:val="hu-HU"/>
        </w:rPr>
        <w:t>1</w:t>
      </w:r>
      <w:r>
        <w:rPr>
          <w:lang w:val="hu-HU"/>
        </w:rPr>
        <w:t xml:space="preserve">. </w:t>
      </w:r>
      <w:r w:rsidR="00A24A92">
        <w:rPr>
          <w:lang w:val="hu-HU"/>
        </w:rPr>
        <w:t>március 21</w:t>
      </w:r>
      <w:r w:rsidR="000C026F">
        <w:rPr>
          <w:lang w:val="hu-HU"/>
        </w:rPr>
        <w:t>.</w:t>
      </w:r>
    </w:p>
    <w:sectPr w:rsidR="00F7326B" w:rsidRPr="001A3D54" w:rsidSect="001F7232">
      <w:headerReference w:type="default" r:id="rId9"/>
      <w:footerReference w:type="first" r:id="rId10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0F7F" w14:textId="77777777" w:rsidR="00747450" w:rsidRDefault="00747450" w:rsidP="00142D15">
      <w:pPr>
        <w:spacing w:line="240" w:lineRule="auto"/>
      </w:pPr>
      <w:r>
        <w:separator/>
      </w:r>
    </w:p>
  </w:endnote>
  <w:endnote w:type="continuationSeparator" w:id="0">
    <w:p w14:paraId="3CD9B6C4" w14:textId="77777777" w:rsidR="00747450" w:rsidRDefault="00747450" w:rsidP="0014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1EF2" w14:textId="355D6143" w:rsidR="00747450" w:rsidRPr="001C515A" w:rsidRDefault="00A24A92" w:rsidP="001C515A">
    <w:pPr>
      <w:pStyle w:val="llb"/>
      <w:rPr>
        <w:sz w:val="18"/>
        <w:szCs w:val="18"/>
      </w:rPr>
    </w:pPr>
    <w:r>
      <w:rPr>
        <w:sz w:val="18"/>
        <w:szCs w:val="18"/>
      </w:rPr>
      <w:t>OGYÉI/9744/2021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3C86" w14:textId="77777777" w:rsidR="00747450" w:rsidRDefault="00747450" w:rsidP="00142D15">
      <w:pPr>
        <w:spacing w:line="240" w:lineRule="auto"/>
      </w:pPr>
      <w:r>
        <w:separator/>
      </w:r>
    </w:p>
  </w:footnote>
  <w:footnote w:type="continuationSeparator" w:id="0">
    <w:p w14:paraId="2677CD56" w14:textId="77777777" w:rsidR="00747450" w:rsidRDefault="00747450" w:rsidP="0014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94385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125CAC6" w14:textId="316CDAA6" w:rsidR="00747450" w:rsidRDefault="00747450" w:rsidP="001F7232">
        <w:pPr>
          <w:pStyle w:val="lfej"/>
          <w:jc w:val="center"/>
        </w:pPr>
        <w:r w:rsidRPr="00DA66BF">
          <w:rPr>
            <w:sz w:val="18"/>
            <w:szCs w:val="18"/>
          </w:rPr>
          <w:fldChar w:fldCharType="begin"/>
        </w:r>
        <w:r w:rsidRPr="00DA66BF">
          <w:rPr>
            <w:sz w:val="18"/>
            <w:szCs w:val="18"/>
          </w:rPr>
          <w:instrText>PAGE   \* MERGEFORMAT</w:instrText>
        </w:r>
        <w:r w:rsidRPr="00DA66BF">
          <w:rPr>
            <w:sz w:val="18"/>
            <w:szCs w:val="18"/>
          </w:rPr>
          <w:fldChar w:fldCharType="separate"/>
        </w:r>
        <w:r w:rsidR="004560F9" w:rsidRPr="004560F9">
          <w:rPr>
            <w:noProof/>
            <w:sz w:val="18"/>
            <w:szCs w:val="18"/>
            <w:lang w:val="hu-HU"/>
          </w:rPr>
          <w:t>2</w:t>
        </w:r>
        <w:r w:rsidRPr="00DA66BF">
          <w:rPr>
            <w:noProof/>
            <w:sz w:val="18"/>
            <w:szCs w:val="18"/>
            <w:lang w:val="hu-H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8DD"/>
    <w:multiLevelType w:val="hybridMultilevel"/>
    <w:tmpl w:val="5B3EE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20F"/>
    <w:multiLevelType w:val="hybridMultilevel"/>
    <w:tmpl w:val="177A0418"/>
    <w:lvl w:ilvl="0" w:tplc="FFFFFFFF">
      <w:start w:val="1"/>
      <w:numFmt w:val="bullet"/>
      <w:lvlText w:val="-"/>
      <w:lvlJc w:val="left"/>
      <w:pPr>
        <w:ind w:left="1170" w:hanging="360"/>
      </w:p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500C99"/>
    <w:multiLevelType w:val="hybridMultilevel"/>
    <w:tmpl w:val="DE8C22F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396B"/>
    <w:multiLevelType w:val="hybridMultilevel"/>
    <w:tmpl w:val="E1C041D2"/>
    <w:lvl w:ilvl="0" w:tplc="E332AF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6FD"/>
    <w:multiLevelType w:val="hybridMultilevel"/>
    <w:tmpl w:val="7D4897CC"/>
    <w:lvl w:ilvl="0" w:tplc="E332AF6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32316"/>
    <w:multiLevelType w:val="hybridMultilevel"/>
    <w:tmpl w:val="B8BA6DD2"/>
    <w:lvl w:ilvl="0" w:tplc="6BA65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5F05"/>
    <w:multiLevelType w:val="hybridMultilevel"/>
    <w:tmpl w:val="FA9855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69F"/>
    <w:multiLevelType w:val="hybridMultilevel"/>
    <w:tmpl w:val="15EC5EE6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F4AB9"/>
    <w:multiLevelType w:val="hybridMultilevel"/>
    <w:tmpl w:val="AFFCF3B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4602"/>
    <w:multiLevelType w:val="hybridMultilevel"/>
    <w:tmpl w:val="E070AB2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41985"/>
    <w:multiLevelType w:val="hybridMultilevel"/>
    <w:tmpl w:val="52643C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3276"/>
    <w:multiLevelType w:val="hybridMultilevel"/>
    <w:tmpl w:val="49F6E6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2E98"/>
    <w:multiLevelType w:val="hybridMultilevel"/>
    <w:tmpl w:val="748CBAD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5C"/>
    <w:rsid w:val="000107E7"/>
    <w:rsid w:val="000115DD"/>
    <w:rsid w:val="0001367F"/>
    <w:rsid w:val="00021282"/>
    <w:rsid w:val="00023EC7"/>
    <w:rsid w:val="00041AC3"/>
    <w:rsid w:val="0006006F"/>
    <w:rsid w:val="0008061D"/>
    <w:rsid w:val="000A45C0"/>
    <w:rsid w:val="000B539D"/>
    <w:rsid w:val="000C026F"/>
    <w:rsid w:val="000E30E5"/>
    <w:rsid w:val="000E3AD4"/>
    <w:rsid w:val="000E5C17"/>
    <w:rsid w:val="000F3605"/>
    <w:rsid w:val="000F3997"/>
    <w:rsid w:val="00113C65"/>
    <w:rsid w:val="00124ED1"/>
    <w:rsid w:val="00142D15"/>
    <w:rsid w:val="00143B8B"/>
    <w:rsid w:val="00155CF2"/>
    <w:rsid w:val="00172C3B"/>
    <w:rsid w:val="00174DB7"/>
    <w:rsid w:val="0018007B"/>
    <w:rsid w:val="001844AC"/>
    <w:rsid w:val="00187447"/>
    <w:rsid w:val="00191CC7"/>
    <w:rsid w:val="00193EBF"/>
    <w:rsid w:val="001A12E0"/>
    <w:rsid w:val="001A2995"/>
    <w:rsid w:val="001A3D54"/>
    <w:rsid w:val="001C515A"/>
    <w:rsid w:val="001F0081"/>
    <w:rsid w:val="001F7232"/>
    <w:rsid w:val="00215536"/>
    <w:rsid w:val="0021792B"/>
    <w:rsid w:val="002340CB"/>
    <w:rsid w:val="00282FAA"/>
    <w:rsid w:val="00285958"/>
    <w:rsid w:val="002C3F83"/>
    <w:rsid w:val="002E04E7"/>
    <w:rsid w:val="002F7035"/>
    <w:rsid w:val="00315C72"/>
    <w:rsid w:val="00321700"/>
    <w:rsid w:val="00321A05"/>
    <w:rsid w:val="0032240F"/>
    <w:rsid w:val="0032470C"/>
    <w:rsid w:val="00336E2B"/>
    <w:rsid w:val="00344653"/>
    <w:rsid w:val="00347B31"/>
    <w:rsid w:val="00356152"/>
    <w:rsid w:val="00387FBD"/>
    <w:rsid w:val="00396E11"/>
    <w:rsid w:val="003A1B78"/>
    <w:rsid w:val="003A6819"/>
    <w:rsid w:val="003B17D8"/>
    <w:rsid w:val="003C579E"/>
    <w:rsid w:val="00406BF7"/>
    <w:rsid w:val="004156F6"/>
    <w:rsid w:val="00423A63"/>
    <w:rsid w:val="00426002"/>
    <w:rsid w:val="00430EE6"/>
    <w:rsid w:val="004338CB"/>
    <w:rsid w:val="00440A5A"/>
    <w:rsid w:val="0045257B"/>
    <w:rsid w:val="004560F9"/>
    <w:rsid w:val="00466D16"/>
    <w:rsid w:val="00471829"/>
    <w:rsid w:val="00481F57"/>
    <w:rsid w:val="0049318A"/>
    <w:rsid w:val="004A15D8"/>
    <w:rsid w:val="004A5B76"/>
    <w:rsid w:val="004D4A3B"/>
    <w:rsid w:val="004E222A"/>
    <w:rsid w:val="004F200C"/>
    <w:rsid w:val="00500E8F"/>
    <w:rsid w:val="00521A7F"/>
    <w:rsid w:val="00541B67"/>
    <w:rsid w:val="0054204F"/>
    <w:rsid w:val="0054325E"/>
    <w:rsid w:val="00564253"/>
    <w:rsid w:val="00566B34"/>
    <w:rsid w:val="005822FA"/>
    <w:rsid w:val="005B6F26"/>
    <w:rsid w:val="005C219B"/>
    <w:rsid w:val="005D1822"/>
    <w:rsid w:val="00604D2A"/>
    <w:rsid w:val="00614912"/>
    <w:rsid w:val="00633B1C"/>
    <w:rsid w:val="00670258"/>
    <w:rsid w:val="00676BE1"/>
    <w:rsid w:val="00686516"/>
    <w:rsid w:val="006A7CD1"/>
    <w:rsid w:val="006B09EB"/>
    <w:rsid w:val="006D37D3"/>
    <w:rsid w:val="006D7BCB"/>
    <w:rsid w:val="00707113"/>
    <w:rsid w:val="00726109"/>
    <w:rsid w:val="00747450"/>
    <w:rsid w:val="00774E7D"/>
    <w:rsid w:val="00787E25"/>
    <w:rsid w:val="007A400D"/>
    <w:rsid w:val="007D0186"/>
    <w:rsid w:val="007E0FF8"/>
    <w:rsid w:val="008054A2"/>
    <w:rsid w:val="008231D5"/>
    <w:rsid w:val="00832E7F"/>
    <w:rsid w:val="0083602A"/>
    <w:rsid w:val="00853864"/>
    <w:rsid w:val="008971CF"/>
    <w:rsid w:val="008C1CBC"/>
    <w:rsid w:val="008C219E"/>
    <w:rsid w:val="008D589C"/>
    <w:rsid w:val="008F0222"/>
    <w:rsid w:val="008F1FCB"/>
    <w:rsid w:val="00904CBD"/>
    <w:rsid w:val="009129BF"/>
    <w:rsid w:val="00922983"/>
    <w:rsid w:val="00925580"/>
    <w:rsid w:val="0092614E"/>
    <w:rsid w:val="00944C5C"/>
    <w:rsid w:val="0095393E"/>
    <w:rsid w:val="0095426E"/>
    <w:rsid w:val="009674B4"/>
    <w:rsid w:val="009A4257"/>
    <w:rsid w:val="009A663D"/>
    <w:rsid w:val="009B1913"/>
    <w:rsid w:val="009B7DB9"/>
    <w:rsid w:val="009D2850"/>
    <w:rsid w:val="009D69AB"/>
    <w:rsid w:val="009E28A2"/>
    <w:rsid w:val="00A067A5"/>
    <w:rsid w:val="00A06E2A"/>
    <w:rsid w:val="00A1344D"/>
    <w:rsid w:val="00A24A92"/>
    <w:rsid w:val="00A65058"/>
    <w:rsid w:val="00A71CCB"/>
    <w:rsid w:val="00A747F7"/>
    <w:rsid w:val="00A762E5"/>
    <w:rsid w:val="00A86FB8"/>
    <w:rsid w:val="00AC3714"/>
    <w:rsid w:val="00AC4BA1"/>
    <w:rsid w:val="00AD0CAA"/>
    <w:rsid w:val="00AD1E75"/>
    <w:rsid w:val="00B0311B"/>
    <w:rsid w:val="00B075F0"/>
    <w:rsid w:val="00B17923"/>
    <w:rsid w:val="00B22F1D"/>
    <w:rsid w:val="00B2522C"/>
    <w:rsid w:val="00B35EF3"/>
    <w:rsid w:val="00B46A55"/>
    <w:rsid w:val="00B50694"/>
    <w:rsid w:val="00B66040"/>
    <w:rsid w:val="00B819AE"/>
    <w:rsid w:val="00B86A5B"/>
    <w:rsid w:val="00B92852"/>
    <w:rsid w:val="00BA0A22"/>
    <w:rsid w:val="00BC2567"/>
    <w:rsid w:val="00BC4323"/>
    <w:rsid w:val="00BC74DE"/>
    <w:rsid w:val="00BD3C2D"/>
    <w:rsid w:val="00BE51C3"/>
    <w:rsid w:val="00BF397A"/>
    <w:rsid w:val="00BF6432"/>
    <w:rsid w:val="00C33123"/>
    <w:rsid w:val="00C40ED1"/>
    <w:rsid w:val="00C52021"/>
    <w:rsid w:val="00C649BF"/>
    <w:rsid w:val="00C64B71"/>
    <w:rsid w:val="00C74AD5"/>
    <w:rsid w:val="00C77131"/>
    <w:rsid w:val="00C83F0D"/>
    <w:rsid w:val="00C90CFA"/>
    <w:rsid w:val="00CB3E27"/>
    <w:rsid w:val="00CC5FA5"/>
    <w:rsid w:val="00CD65D2"/>
    <w:rsid w:val="00CF1F6B"/>
    <w:rsid w:val="00CF6F9E"/>
    <w:rsid w:val="00D03B1B"/>
    <w:rsid w:val="00D22AFA"/>
    <w:rsid w:val="00D265D7"/>
    <w:rsid w:val="00D32CB1"/>
    <w:rsid w:val="00D342EB"/>
    <w:rsid w:val="00D4672E"/>
    <w:rsid w:val="00D51F8D"/>
    <w:rsid w:val="00D70E58"/>
    <w:rsid w:val="00D75FF6"/>
    <w:rsid w:val="00D76AFB"/>
    <w:rsid w:val="00D84ECF"/>
    <w:rsid w:val="00D85D99"/>
    <w:rsid w:val="00DB2E9C"/>
    <w:rsid w:val="00DC6692"/>
    <w:rsid w:val="00E164AA"/>
    <w:rsid w:val="00E24BDD"/>
    <w:rsid w:val="00E35D60"/>
    <w:rsid w:val="00E55579"/>
    <w:rsid w:val="00E57E3E"/>
    <w:rsid w:val="00E84A30"/>
    <w:rsid w:val="00EA2AF8"/>
    <w:rsid w:val="00EB43C1"/>
    <w:rsid w:val="00EB4FE0"/>
    <w:rsid w:val="00EC58F5"/>
    <w:rsid w:val="00ED43CA"/>
    <w:rsid w:val="00EE3090"/>
    <w:rsid w:val="00EF57A6"/>
    <w:rsid w:val="00F01CC9"/>
    <w:rsid w:val="00F05F19"/>
    <w:rsid w:val="00F067FA"/>
    <w:rsid w:val="00F16B8E"/>
    <w:rsid w:val="00F211B9"/>
    <w:rsid w:val="00F212AF"/>
    <w:rsid w:val="00F31080"/>
    <w:rsid w:val="00F41B86"/>
    <w:rsid w:val="00F43BDE"/>
    <w:rsid w:val="00F52AAB"/>
    <w:rsid w:val="00F56DF3"/>
    <w:rsid w:val="00F643BE"/>
    <w:rsid w:val="00F728BC"/>
    <w:rsid w:val="00F7326B"/>
    <w:rsid w:val="00F75E9B"/>
    <w:rsid w:val="00F82410"/>
    <w:rsid w:val="00F92A40"/>
    <w:rsid w:val="00FA3805"/>
    <w:rsid w:val="00FD44B7"/>
    <w:rsid w:val="00FD5B8F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970B"/>
  <w15:docId w15:val="{9832B19E-78C3-492A-A5A6-19B1432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C5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Footer Char1,Footer Char2 Char,Footer Char1 Char Char,Élőláb Char Char Char Char,Footer Char1 Char Char Char Char1,Footer Char2 Char Char1 Char Char Char,Footer Char1 Char Char Char Char1 Char Char"/>
    <w:basedOn w:val="Norml"/>
    <w:link w:val="Hiperhivatkozs"/>
    <w:uiPriority w:val="99"/>
    <w:rsid w:val="00944C5C"/>
    <w:pPr>
      <w:tabs>
        <w:tab w:val="center" w:pos="4536"/>
        <w:tab w:val="right" w:pos="8306"/>
      </w:tabs>
    </w:pPr>
    <w:rPr>
      <w:lang w:eastAsia="hu-HU"/>
    </w:rPr>
  </w:style>
  <w:style w:type="character" w:customStyle="1" w:styleId="llbChar">
    <w:name w:val="Élőláb Char"/>
    <w:basedOn w:val="Bekezdsalapbettpusa"/>
    <w:uiPriority w:val="99"/>
    <w:semiHidden/>
    <w:rsid w:val="00944C5C"/>
    <w:rPr>
      <w:rFonts w:ascii="Times New Roman" w:eastAsia="Times New Roman" w:hAnsi="Times New Roman" w:cs="Times New Roman"/>
      <w:lang w:val="en-GB"/>
    </w:rPr>
  </w:style>
  <w:style w:type="character" w:styleId="Hiperhivatkozs">
    <w:name w:val="Hyperlink"/>
    <w:aliases w:val="Élőláb Char1,Footer Char1 Char,Footer Char2 Char Char,Footer Char1 Char Char Char,Élőláb Char Char Char Char Char,Footer Char1 Char Char Char Char1 Char,Footer Char2 Char Char1 Char Char Char Char"/>
    <w:link w:val="llb"/>
    <w:uiPriority w:val="99"/>
    <w:rsid w:val="00944C5C"/>
    <w:rPr>
      <w:rFonts w:ascii="Times New Roman" w:eastAsia="Times New Roman" w:hAnsi="Times New Roman" w:cs="Times New Roman"/>
      <w:lang w:val="en-GB" w:eastAsia="hu-HU"/>
    </w:rPr>
  </w:style>
  <w:style w:type="paragraph" w:customStyle="1" w:styleId="EMEAEnBodyText">
    <w:name w:val="EMEA En Body Text"/>
    <w:basedOn w:val="Norml"/>
    <w:uiPriority w:val="99"/>
    <w:rsid w:val="00944C5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944C5C"/>
    <w:pPr>
      <w:ind w:left="720"/>
      <w:contextualSpacing/>
    </w:pPr>
  </w:style>
  <w:style w:type="paragraph" w:customStyle="1" w:styleId="Default">
    <w:name w:val="Default"/>
    <w:rsid w:val="00944C5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C5C"/>
    <w:rPr>
      <w:rFonts w:ascii="Segoe UI" w:eastAsia="Times New Roman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944C5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C5C"/>
    <w:rPr>
      <w:rFonts w:ascii="Times New Roman" w:eastAsia="Times New Roman" w:hAnsi="Times New Roman" w:cs="Times New Roman"/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4C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4C5C"/>
    <w:rPr>
      <w:rFonts w:ascii="Times New Roman" w:eastAsia="Times New Roman" w:hAnsi="Times New Roman" w:cs="Times New Roman"/>
      <w:lang w:val="en-GB"/>
    </w:rPr>
  </w:style>
  <w:style w:type="paragraph" w:styleId="Nincstrkz">
    <w:name w:val="No Spacing"/>
    <w:uiPriority w:val="1"/>
    <w:qFormat/>
    <w:rsid w:val="00BC2567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F56D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6D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6D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6D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6D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0115DD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E87-3219-4CF4-9107-F0F4CC95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6783</Words>
  <Characters>46808</Characters>
  <Application>Microsoft Office Word</Application>
  <DocSecurity>0</DocSecurity>
  <Lines>390</Lines>
  <Paragraphs>106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53485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V019</dc:creator>
  <cp:lastModifiedBy>HU-OGYI-59.1.</cp:lastModifiedBy>
  <cp:revision>3</cp:revision>
  <dcterms:created xsi:type="dcterms:W3CDTF">2021-04-13T08:53:00Z</dcterms:created>
  <dcterms:modified xsi:type="dcterms:W3CDTF">2021-04-13T08:53:00Z</dcterms:modified>
</cp:coreProperties>
</file>