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20A8B" w14:textId="77777777" w:rsidR="00F45C51" w:rsidRPr="00564F89" w:rsidRDefault="00F45C51" w:rsidP="00564F89">
      <w:pPr>
        <w:widowControl w:val="0"/>
        <w:spacing w:line="240" w:lineRule="auto"/>
        <w:rPr>
          <w:szCs w:val="22"/>
          <w:lang w:val="hu-HU"/>
        </w:rPr>
      </w:pP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18B2315" w14:textId="77777777" w:rsidR="00F45C51" w:rsidRPr="00564F89" w:rsidRDefault="00F45C51" w:rsidP="00564F8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CD9307" w14:textId="77777777" w:rsidR="00F45C51" w:rsidRPr="00564F89" w:rsidRDefault="00396125" w:rsidP="00564F8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564F89">
        <w:rPr>
          <w:rFonts w:eastAsia="Times New Roman"/>
          <w:noProof/>
          <w:snapToGrid/>
          <w:szCs w:val="22"/>
          <w:lang w:val="hu-HU" w:eastAsia="en-US"/>
        </w:rPr>
        <w:t xml:space="preserve">Dulsevia </w:t>
      </w:r>
      <w:r w:rsidR="007D7FDB" w:rsidRPr="00564F89">
        <w:rPr>
          <w:rFonts w:eastAsia="Times New Roman"/>
          <w:noProof/>
          <w:snapToGrid/>
          <w:szCs w:val="22"/>
          <w:lang w:val="hu-HU" w:eastAsia="en-US"/>
        </w:rPr>
        <w:t>9</w:t>
      </w:r>
      <w:r w:rsidRPr="00564F89">
        <w:rPr>
          <w:rFonts w:eastAsia="Times New Roman"/>
          <w:noProof/>
          <w:snapToGrid/>
          <w:szCs w:val="22"/>
          <w:lang w:val="hu-HU" w:eastAsia="en-US"/>
        </w:rPr>
        <w:t>0</w:t>
      </w:r>
      <w:r w:rsidR="007C01DE" w:rsidRPr="00564F89">
        <w:rPr>
          <w:rFonts w:eastAsia="Times New Roman"/>
          <w:noProof/>
          <w:snapToGrid/>
          <w:szCs w:val="22"/>
          <w:lang w:val="hu-HU" w:eastAsia="en-US"/>
        </w:rPr>
        <w:t> </w:t>
      </w:r>
      <w:r w:rsidRPr="00564F89">
        <w:rPr>
          <w:rFonts w:eastAsia="Times New Roman"/>
          <w:noProof/>
          <w:snapToGrid/>
          <w:szCs w:val="22"/>
          <w:lang w:val="hu-HU" w:eastAsia="en-US"/>
        </w:rPr>
        <w:t>mg gyomornedv-ellenálló kemény kapszula</w:t>
      </w:r>
    </w:p>
    <w:p w14:paraId="568E4870" w14:textId="77777777" w:rsidR="008A53A7" w:rsidRPr="00564F89" w:rsidRDefault="008A53A7" w:rsidP="00564F89">
      <w:pPr>
        <w:spacing w:line="240" w:lineRule="auto"/>
        <w:rPr>
          <w:szCs w:val="22"/>
          <w:lang w:val="hu-HU"/>
        </w:rPr>
      </w:pPr>
    </w:p>
    <w:p w14:paraId="2B7DCE46" w14:textId="77777777" w:rsidR="00F45C51" w:rsidRPr="00564F89" w:rsidRDefault="00F45C51" w:rsidP="00564F89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5F2840" w14:textId="77777777" w:rsidR="00F45C51" w:rsidRPr="00564F89" w:rsidRDefault="00F45C51" w:rsidP="00564F89">
      <w:pPr>
        <w:widowControl w:val="0"/>
        <w:spacing w:line="240" w:lineRule="auto"/>
        <w:rPr>
          <w:b/>
          <w:szCs w:val="22"/>
          <w:lang w:val="hu-HU"/>
        </w:rPr>
      </w:pPr>
      <w:r w:rsidRPr="00564F89">
        <w:rPr>
          <w:b/>
          <w:szCs w:val="22"/>
          <w:lang w:val="hu-HU"/>
        </w:rPr>
        <w:t>2.</w:t>
      </w:r>
      <w:r w:rsidRPr="00564F89">
        <w:rPr>
          <w:b/>
          <w:szCs w:val="22"/>
          <w:lang w:val="hu-HU"/>
        </w:rPr>
        <w:tab/>
        <w:t>MINŐSÉGI ÉS MENNYISÉGI ÖSSZETÉTEL</w:t>
      </w:r>
    </w:p>
    <w:p w14:paraId="2197EA68" w14:textId="77777777" w:rsidR="007471D2" w:rsidRPr="00564F89" w:rsidRDefault="007471D2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u w:val="single"/>
          <w:lang w:val="hu-HU"/>
        </w:rPr>
      </w:pPr>
    </w:p>
    <w:p w14:paraId="5C085260" w14:textId="77777777" w:rsidR="00396125" w:rsidRPr="00564F89" w:rsidRDefault="007D7FDB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564F89">
        <w:rPr>
          <w:bCs/>
          <w:noProof/>
          <w:szCs w:val="22"/>
          <w:lang w:val="hu-HU"/>
        </w:rPr>
        <w:t>9</w:t>
      </w:r>
      <w:r w:rsidR="00396125" w:rsidRPr="00564F89">
        <w:rPr>
          <w:bCs/>
          <w:noProof/>
          <w:szCs w:val="22"/>
          <w:lang w:val="hu-HU"/>
        </w:rPr>
        <w:t>0</w:t>
      </w:r>
      <w:r w:rsidR="007C01DE" w:rsidRPr="00564F89">
        <w:rPr>
          <w:bCs/>
          <w:noProof/>
          <w:szCs w:val="22"/>
          <w:lang w:val="hu-HU"/>
        </w:rPr>
        <w:t> </w:t>
      </w:r>
      <w:r w:rsidR="00396125" w:rsidRPr="00564F89">
        <w:rPr>
          <w:bCs/>
          <w:noProof/>
          <w:szCs w:val="22"/>
          <w:lang w:val="hu-HU"/>
        </w:rPr>
        <w:t>mg duloxetin</w:t>
      </w:r>
      <w:r w:rsidR="003E36D6" w:rsidRPr="00564F89">
        <w:rPr>
          <w:bCs/>
          <w:noProof/>
          <w:szCs w:val="22"/>
          <w:lang w:val="hu-HU"/>
        </w:rPr>
        <w:t xml:space="preserve">t </w:t>
      </w:r>
      <w:r w:rsidR="00017AA2" w:rsidRPr="00564F89">
        <w:rPr>
          <w:bCs/>
          <w:noProof/>
          <w:szCs w:val="22"/>
          <w:lang w:val="hu-HU"/>
        </w:rPr>
        <w:t>tartalmaz</w:t>
      </w:r>
      <w:r w:rsidR="00396125" w:rsidRPr="00564F89">
        <w:rPr>
          <w:bCs/>
          <w:noProof/>
          <w:szCs w:val="22"/>
          <w:lang w:val="hu-HU"/>
        </w:rPr>
        <w:t xml:space="preserve"> (duloxetin-hidroklorid formájában) gyomornedv-ellenálló kemény kapszulánként.</w:t>
      </w:r>
    </w:p>
    <w:p w14:paraId="464D085D" w14:textId="77777777" w:rsidR="00396125" w:rsidRPr="00564F89" w:rsidRDefault="00396125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u w:val="single"/>
          <w:lang w:val="hu-HU"/>
        </w:rPr>
      </w:pPr>
    </w:p>
    <w:p w14:paraId="1446A94F" w14:textId="77777777" w:rsidR="00F45C51" w:rsidRPr="00564F89" w:rsidRDefault="00F45C51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564F89">
        <w:rPr>
          <w:bCs/>
          <w:noProof/>
          <w:szCs w:val="22"/>
          <w:u w:val="single"/>
          <w:lang w:val="hu-HU"/>
        </w:rPr>
        <w:t>Ismert hatású segédanyag</w:t>
      </w:r>
      <w:r w:rsidRPr="00564F89">
        <w:rPr>
          <w:szCs w:val="22"/>
          <w:u w:val="single"/>
          <w:lang w:val="hu-HU"/>
        </w:rPr>
        <w:t>:</w:t>
      </w:r>
      <w:r w:rsidR="00396125" w:rsidRPr="00564F89">
        <w:rPr>
          <w:szCs w:val="22"/>
          <w:lang w:val="hu-HU"/>
        </w:rPr>
        <w:t xml:space="preserve"> szacharóz</w:t>
      </w:r>
    </w:p>
    <w:p w14:paraId="75DA0726" w14:textId="6B74E5A7" w:rsidR="00127C1D" w:rsidRPr="00564F89" w:rsidRDefault="00396125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564F89">
        <w:rPr>
          <w:bCs/>
          <w:noProof/>
          <w:szCs w:val="22"/>
          <w:lang w:val="hu-HU"/>
        </w:rPr>
        <w:t xml:space="preserve">Legfeljebb </w:t>
      </w:r>
      <w:r w:rsidR="00162BE0">
        <w:rPr>
          <w:bCs/>
          <w:noProof/>
          <w:szCs w:val="22"/>
          <w:lang w:val="hu-HU"/>
        </w:rPr>
        <w:t>101</w:t>
      </w:r>
      <w:r w:rsidR="00162BE0" w:rsidRPr="00564F89">
        <w:rPr>
          <w:bCs/>
          <w:noProof/>
          <w:szCs w:val="22"/>
          <w:lang w:val="hu-HU"/>
        </w:rPr>
        <w:t> </w:t>
      </w:r>
      <w:r w:rsidRPr="00564F89">
        <w:rPr>
          <w:bCs/>
          <w:noProof/>
          <w:szCs w:val="22"/>
          <w:lang w:val="hu-HU"/>
        </w:rPr>
        <w:t xml:space="preserve">mg szacharózt tartalmaz </w:t>
      </w:r>
      <w:r w:rsidRPr="00564F89">
        <w:rPr>
          <w:noProof/>
          <w:szCs w:val="22"/>
          <w:lang w:val="hu-HU"/>
        </w:rPr>
        <w:t xml:space="preserve">gyomornedv-ellenálló kemény </w:t>
      </w:r>
      <w:r w:rsidRPr="00564F89">
        <w:rPr>
          <w:bCs/>
          <w:noProof/>
          <w:szCs w:val="22"/>
          <w:lang w:val="hu-HU"/>
        </w:rPr>
        <w:t>kapszulánként.</w:t>
      </w:r>
    </w:p>
    <w:p w14:paraId="485139A3" w14:textId="77777777" w:rsidR="00396125" w:rsidRPr="00564F89" w:rsidRDefault="00396125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6F1CED5E" w14:textId="77777777" w:rsidR="00F45C51" w:rsidRPr="00564F89" w:rsidRDefault="00F45C51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564F89">
        <w:rPr>
          <w:szCs w:val="22"/>
          <w:lang w:val="hu-HU"/>
        </w:rPr>
        <w:t xml:space="preserve">A segédanyagok teljes </w:t>
      </w:r>
      <w:r w:rsidR="00127C1D" w:rsidRPr="00564F89">
        <w:rPr>
          <w:bCs/>
          <w:noProof/>
          <w:szCs w:val="22"/>
          <w:lang w:val="hu-HU"/>
        </w:rPr>
        <w:t>list</w:t>
      </w:r>
      <w:r w:rsidRPr="00564F89">
        <w:rPr>
          <w:bCs/>
          <w:noProof/>
          <w:szCs w:val="22"/>
          <w:lang w:val="hu-HU"/>
        </w:rPr>
        <w:t>á</w:t>
      </w:r>
      <w:r w:rsidR="00127C1D" w:rsidRPr="00564F89">
        <w:rPr>
          <w:bCs/>
          <w:noProof/>
          <w:szCs w:val="22"/>
          <w:lang w:val="hu-HU"/>
        </w:rPr>
        <w:t>j</w:t>
      </w:r>
      <w:r w:rsidRPr="00564F89">
        <w:rPr>
          <w:bCs/>
          <w:noProof/>
          <w:szCs w:val="22"/>
          <w:lang w:val="hu-HU"/>
        </w:rPr>
        <w:t>át</w:t>
      </w:r>
      <w:r w:rsidRPr="00564F89">
        <w:rPr>
          <w:szCs w:val="22"/>
          <w:lang w:val="hu-HU"/>
        </w:rPr>
        <w:t xml:space="preserve"> lásd a 6.1</w:t>
      </w:r>
      <w:r w:rsidR="007C01DE" w:rsidRPr="00564F89">
        <w:rPr>
          <w:szCs w:val="22"/>
          <w:lang w:val="hu-HU"/>
        </w:rPr>
        <w:t> </w:t>
      </w:r>
      <w:r w:rsidRPr="00564F89">
        <w:rPr>
          <w:szCs w:val="22"/>
          <w:lang w:val="hu-HU"/>
        </w:rPr>
        <w:t>pontban</w:t>
      </w:r>
      <w:r w:rsidRPr="00564F89">
        <w:rPr>
          <w:bCs/>
          <w:noProof/>
          <w:szCs w:val="22"/>
          <w:lang w:val="hu-HU"/>
        </w:rPr>
        <w:t>.</w:t>
      </w:r>
    </w:p>
    <w:p w14:paraId="43CB101B" w14:textId="77777777" w:rsidR="008A53A7" w:rsidRPr="00564F89" w:rsidRDefault="008A53A7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6035B772" w14:textId="77777777" w:rsidR="00F45C51" w:rsidRPr="00564F89" w:rsidRDefault="00F45C51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07CB6FE0" w14:textId="77777777" w:rsidR="00F45C51" w:rsidRPr="00564F89" w:rsidRDefault="00F45C51" w:rsidP="00564F89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28FA796" w14:textId="77777777" w:rsidR="007C01DE" w:rsidRPr="00564F89" w:rsidRDefault="007C01DE" w:rsidP="00262706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C1CFCB5" w14:textId="77777777" w:rsidR="007C01DE" w:rsidRPr="00564F89" w:rsidRDefault="007C01DE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 w:rsidRPr="00564F89">
        <w:rPr>
          <w:bCs/>
          <w:noProof/>
          <w:szCs w:val="22"/>
          <w:lang w:val="hu-HU"/>
        </w:rPr>
        <w:t>Gyomornedv-ellenálló kemény kapszula</w:t>
      </w:r>
    </w:p>
    <w:p w14:paraId="7F179613" w14:textId="77777777" w:rsidR="007C01DE" w:rsidRPr="000F0D19" w:rsidRDefault="007C01DE" w:rsidP="00564F89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46E54D84" w14:textId="7A906E4F" w:rsidR="00017AA2" w:rsidRPr="00A411B5" w:rsidRDefault="00017AA2" w:rsidP="00262706">
      <w:pPr>
        <w:spacing w:line="240" w:lineRule="auto"/>
        <w:rPr>
          <w:szCs w:val="22"/>
          <w:lang w:val="hu-HU"/>
        </w:rPr>
      </w:pPr>
      <w:r w:rsidRPr="00A411B5">
        <w:rPr>
          <w:bCs/>
          <w:noProof/>
          <w:szCs w:val="22"/>
          <w:lang w:val="hu-HU"/>
        </w:rPr>
        <w:t xml:space="preserve">Fehér vagy </w:t>
      </w:r>
      <w:r w:rsidR="00180D4E">
        <w:rPr>
          <w:bCs/>
          <w:noProof/>
          <w:szCs w:val="22"/>
          <w:lang w:val="hu-HU"/>
        </w:rPr>
        <w:t>enyhén színezett</w:t>
      </w:r>
      <w:r w:rsidRPr="00A411B5">
        <w:rPr>
          <w:bCs/>
          <w:noProof/>
          <w:szCs w:val="22"/>
          <w:lang w:val="hu-HU"/>
        </w:rPr>
        <w:t xml:space="preserve"> pelletek, 0-ás méretű (</w:t>
      </w:r>
      <w:r w:rsidR="00180D4E">
        <w:rPr>
          <w:bCs/>
          <w:noProof/>
          <w:szCs w:val="22"/>
          <w:lang w:val="hu-HU"/>
        </w:rPr>
        <w:t>kapszula</w:t>
      </w:r>
      <w:r w:rsidR="00180D4E" w:rsidRPr="00A411B5">
        <w:rPr>
          <w:bCs/>
          <w:noProof/>
          <w:szCs w:val="22"/>
          <w:lang w:val="hu-HU"/>
        </w:rPr>
        <w:t xml:space="preserve"> </w:t>
      </w:r>
      <w:r w:rsidRPr="00A411B5">
        <w:rPr>
          <w:bCs/>
          <w:noProof/>
          <w:szCs w:val="22"/>
          <w:lang w:val="hu-HU"/>
        </w:rPr>
        <w:t xml:space="preserve">hossza: </w:t>
      </w:r>
      <w:r w:rsidR="00180D4E">
        <w:rPr>
          <w:bCs/>
          <w:noProof/>
          <w:szCs w:val="22"/>
          <w:lang w:val="hu-HU"/>
        </w:rPr>
        <w:t>k</w:t>
      </w:r>
      <w:r w:rsidR="0000280F">
        <w:rPr>
          <w:bCs/>
          <w:noProof/>
          <w:szCs w:val="22"/>
          <w:lang w:val="hu-HU"/>
        </w:rPr>
        <w:t>b.</w:t>
      </w:r>
      <w:r w:rsidR="00180D4E">
        <w:rPr>
          <w:bCs/>
          <w:noProof/>
          <w:szCs w:val="22"/>
          <w:lang w:val="hu-HU"/>
        </w:rPr>
        <w:t xml:space="preserve"> </w:t>
      </w:r>
      <w:r w:rsidRPr="00A411B5">
        <w:rPr>
          <w:bCs/>
          <w:noProof/>
          <w:szCs w:val="22"/>
          <w:lang w:val="hu-HU"/>
        </w:rPr>
        <w:t>2</w:t>
      </w:r>
      <w:r w:rsidR="00180D4E">
        <w:rPr>
          <w:bCs/>
          <w:noProof/>
          <w:szCs w:val="22"/>
          <w:lang w:val="hu-HU"/>
        </w:rPr>
        <w:t>2</w:t>
      </w:r>
      <w:r w:rsidR="00E83645">
        <w:rPr>
          <w:bCs/>
          <w:noProof/>
          <w:szCs w:val="22"/>
          <w:lang w:val="hu-HU"/>
        </w:rPr>
        <w:t> </w:t>
      </w:r>
      <w:r w:rsidRPr="00A411B5">
        <w:rPr>
          <w:bCs/>
          <w:noProof/>
          <w:szCs w:val="22"/>
          <w:lang w:val="hu-HU"/>
        </w:rPr>
        <w:t>mm) kemény zselatin kapszulában. A kapszula alsó része világos narancs színű, ’90’ fekete jelöléssel ellátva, felső része fehér színű.</w:t>
      </w:r>
    </w:p>
    <w:p w14:paraId="65DB891B" w14:textId="77777777" w:rsidR="00F45C51" w:rsidRPr="00D12F5C" w:rsidRDefault="00F45C51" w:rsidP="00262706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227CDF1" w14:textId="77777777" w:rsidR="00F45C51" w:rsidRPr="00D12F5C" w:rsidRDefault="00F45C51" w:rsidP="00564F89">
      <w:pPr>
        <w:spacing w:line="240" w:lineRule="auto"/>
        <w:rPr>
          <w:szCs w:val="22"/>
          <w:lang w:val="hu-HU"/>
        </w:rPr>
      </w:pPr>
    </w:p>
    <w:p w14:paraId="3C145711" w14:textId="77777777" w:rsidR="00F45C51" w:rsidRPr="00D12F5C" w:rsidRDefault="00F45C51" w:rsidP="00564F89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D12F5C">
        <w:rPr>
          <w:b/>
          <w:szCs w:val="22"/>
          <w:lang w:val="hu-HU"/>
        </w:rPr>
        <w:t>4.</w:t>
      </w:r>
      <w:r w:rsidRPr="00D12F5C">
        <w:rPr>
          <w:b/>
          <w:szCs w:val="22"/>
          <w:lang w:val="hu-HU"/>
        </w:rPr>
        <w:tab/>
        <w:t>KLINIKAI JELLEMZŐK</w:t>
      </w:r>
    </w:p>
    <w:p w14:paraId="735CE9B6" w14:textId="77777777" w:rsidR="00F45C51" w:rsidRPr="00D12F5C" w:rsidRDefault="00F45C51" w:rsidP="000F0D19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E7ED058" w14:textId="77777777" w:rsidR="00F45C51" w:rsidRPr="00262706" w:rsidRDefault="00F45C51" w:rsidP="00587715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720BA917" w14:textId="77777777" w:rsidR="00F45C51" w:rsidRPr="00262706" w:rsidRDefault="00F45C51" w:rsidP="0058771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462D17D" w14:textId="77777777" w:rsidR="005D3D51" w:rsidRPr="00262706" w:rsidRDefault="005D3D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Major depresszív zavar kezelése.</w:t>
      </w:r>
    </w:p>
    <w:p w14:paraId="1E0B8540" w14:textId="77777777" w:rsidR="005D3D51" w:rsidRPr="00262706" w:rsidRDefault="005D3D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Generalizált szorongás kezelése.</w:t>
      </w:r>
    </w:p>
    <w:p w14:paraId="3B039DC0" w14:textId="77777777" w:rsidR="005D3D51" w:rsidRPr="00262706" w:rsidRDefault="005D3D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C79CC1" w14:textId="77777777" w:rsidR="005D3D51" w:rsidRPr="00262706" w:rsidRDefault="005D3D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="00B401C3" w:rsidRPr="00262706">
        <w:rPr>
          <w:rFonts w:eastAsia="Times New Roman"/>
          <w:noProof/>
          <w:snapToGrid/>
          <w:szCs w:val="22"/>
          <w:lang w:val="hu-HU" w:eastAsia="en-US"/>
        </w:rPr>
        <w:t xml:space="preserve">Dulsevia 90 mg gyomornedv-ellenálló kemény kapszula (a továbbiakban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Dulsevia</w:t>
      </w:r>
      <w:r w:rsidR="00B401C3" w:rsidRPr="00262706">
        <w:rPr>
          <w:rFonts w:eastAsia="Times New Roman"/>
          <w:noProof/>
          <w:snapToGrid/>
          <w:szCs w:val="22"/>
          <w:lang w:val="hu-HU" w:eastAsia="en-US"/>
        </w:rPr>
        <w:t>)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felnőttek kezelésére javallott.</w:t>
      </w:r>
    </w:p>
    <w:p w14:paraId="48D54EF6" w14:textId="77777777" w:rsidR="00F45C51" w:rsidRPr="00262706" w:rsidRDefault="005D3D51" w:rsidP="00262706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További információkat lásd az 5.1 pontban.</w:t>
      </w:r>
    </w:p>
    <w:p w14:paraId="3A430BB5" w14:textId="77777777" w:rsidR="00F45C51" w:rsidRPr="00262706" w:rsidRDefault="00F45C51" w:rsidP="00262706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924FE83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44C6AC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886A194" w14:textId="77777777" w:rsidR="00F45C51" w:rsidRPr="00262706" w:rsidRDefault="00F45C51" w:rsidP="00262706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262706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5FF19696" w14:textId="77777777" w:rsidR="0075079A" w:rsidRPr="00262706" w:rsidRDefault="0075079A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Major depresszív zavar</w:t>
      </w:r>
    </w:p>
    <w:p w14:paraId="522AE104" w14:textId="6CFD7EB3" w:rsidR="0075079A" w:rsidRPr="00262706" w:rsidRDefault="0075079A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kezdő és </w:t>
      </w:r>
      <w:r w:rsidR="00DF5AD3" w:rsidRPr="00262706">
        <w:rPr>
          <w:szCs w:val="22"/>
          <w:lang w:val="hu-HU"/>
        </w:rPr>
        <w:t xml:space="preserve">ajánlott </w:t>
      </w:r>
      <w:r w:rsidRPr="00262706">
        <w:rPr>
          <w:szCs w:val="22"/>
          <w:lang w:val="hu-HU"/>
        </w:rPr>
        <w:t xml:space="preserve">fenntartó </w:t>
      </w:r>
      <w:r w:rsidR="00702112">
        <w:rPr>
          <w:szCs w:val="22"/>
          <w:lang w:val="hu-HU"/>
        </w:rPr>
        <w:t>dózis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60</w:t>
      </w:r>
      <w:r w:rsidR="00C661FB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 xml:space="preserve">mg naponta egyszer, </w:t>
      </w:r>
      <w:r w:rsidR="0042271D" w:rsidRPr="00262706">
        <w:rPr>
          <w:szCs w:val="22"/>
          <w:lang w:val="hu-HU"/>
        </w:rPr>
        <w:t xml:space="preserve">étkezés közben vagy </w:t>
      </w:r>
      <w:r w:rsidRPr="00262706">
        <w:rPr>
          <w:szCs w:val="22"/>
          <w:lang w:val="hu-HU"/>
        </w:rPr>
        <w:t>étkezéstől függetlenül. Klinikai vizsgálatokban biztonsági szempontból értékelték a napi egyszeri 60</w:t>
      </w:r>
      <w:r w:rsidR="00C661FB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mg-ot meghaladó, maximum napi 120</w:t>
      </w:r>
      <w:r w:rsidR="00C661FB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 xml:space="preserve">mg-os </w:t>
      </w:r>
      <w:r w:rsidR="00702112">
        <w:rPr>
          <w:szCs w:val="22"/>
          <w:lang w:val="hu-HU"/>
        </w:rPr>
        <w:t>dózisokat</w:t>
      </w:r>
      <w:r w:rsidRPr="00262706">
        <w:rPr>
          <w:szCs w:val="22"/>
          <w:lang w:val="hu-HU"/>
        </w:rPr>
        <w:t>. Mindazonáltal nincs arra utaló klinikai bizonyosság, hogy előnyös lenne a dózis emelése azoknak a betegeknek, akik nem reagálnak a kezdeti javasolt gyógyszeradagra.</w:t>
      </w:r>
    </w:p>
    <w:p w14:paraId="52073F34" w14:textId="77777777" w:rsidR="00AD5D74" w:rsidRPr="00262706" w:rsidRDefault="00AD5D74" w:rsidP="00262706">
      <w:pPr>
        <w:spacing w:line="240" w:lineRule="auto"/>
        <w:rPr>
          <w:szCs w:val="22"/>
          <w:lang w:val="hu-HU"/>
        </w:rPr>
      </w:pPr>
    </w:p>
    <w:p w14:paraId="7B10852E" w14:textId="77777777" w:rsidR="0075079A" w:rsidRPr="00262706" w:rsidRDefault="0075079A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terápiás válasz általában 2</w:t>
      </w:r>
      <w:r w:rsidR="00C661FB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4</w:t>
      </w:r>
      <w:r w:rsidR="00C661FB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 xml:space="preserve">hetes kezelést követően </w:t>
      </w:r>
      <w:r w:rsidR="00505247" w:rsidRPr="00262706">
        <w:rPr>
          <w:szCs w:val="22"/>
          <w:lang w:val="hu-HU"/>
        </w:rPr>
        <w:t>várhat</w:t>
      </w:r>
      <w:r w:rsidRPr="00262706">
        <w:rPr>
          <w:szCs w:val="22"/>
          <w:lang w:val="hu-HU"/>
        </w:rPr>
        <w:t>ó.</w:t>
      </w:r>
    </w:p>
    <w:p w14:paraId="43D22701" w14:textId="77777777" w:rsidR="00AD5D74" w:rsidRPr="00262706" w:rsidRDefault="00AD5D74" w:rsidP="00262706">
      <w:pPr>
        <w:spacing w:line="240" w:lineRule="auto"/>
        <w:rPr>
          <w:szCs w:val="22"/>
          <w:lang w:val="hu-HU"/>
        </w:rPr>
      </w:pPr>
    </w:p>
    <w:p w14:paraId="702F1D6A" w14:textId="53F27CE8" w:rsidR="0075079A" w:rsidRPr="00262706" w:rsidRDefault="0075079A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Az antidepresszív válasz állandósulását követően a relapszus elkerülése céljából javasolt több hónapig folytatni a kezelést. Azo</w:t>
      </w:r>
      <w:r w:rsidR="003D4E09" w:rsidRPr="00262706">
        <w:rPr>
          <w:szCs w:val="22"/>
          <w:lang w:val="hu-HU"/>
        </w:rPr>
        <w:t>n</w:t>
      </w:r>
      <w:r w:rsidRPr="00262706">
        <w:rPr>
          <w:szCs w:val="22"/>
          <w:lang w:val="hu-HU"/>
        </w:rPr>
        <w:t xml:space="preserve"> betegek</w:t>
      </w:r>
      <w:r w:rsidR="006220CF" w:rsidRPr="00262706">
        <w:rPr>
          <w:szCs w:val="22"/>
          <w:lang w:val="hu-HU"/>
        </w:rPr>
        <w:t xml:space="preserve"> esetén</w:t>
      </w:r>
      <w:r w:rsidRPr="00262706">
        <w:rPr>
          <w:szCs w:val="22"/>
          <w:lang w:val="hu-HU"/>
        </w:rPr>
        <w:t>, akik reagálnak a duloxetinre, és az anamnézis</w:t>
      </w:r>
      <w:r w:rsidR="006220CF" w:rsidRPr="00262706">
        <w:rPr>
          <w:szCs w:val="22"/>
          <w:lang w:val="hu-HU"/>
        </w:rPr>
        <w:t>ük</w:t>
      </w:r>
      <w:r w:rsidRPr="00262706">
        <w:rPr>
          <w:szCs w:val="22"/>
          <w:lang w:val="hu-HU"/>
        </w:rPr>
        <w:t>ben major depressziós epizódok ismételt előfordulása szerepel, megfontolható a napi 60</w:t>
      </w:r>
      <w:r w:rsidR="00C661FB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120</w:t>
      </w:r>
      <w:r w:rsidR="00C661FB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 xml:space="preserve">mg-os </w:t>
      </w:r>
      <w:r w:rsidR="00702112">
        <w:rPr>
          <w:szCs w:val="22"/>
          <w:lang w:val="hu-HU"/>
        </w:rPr>
        <w:t>dózissal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végzett, további hosszú</w:t>
      </w:r>
      <w:r w:rsidR="00C54CEE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távú kezelés.</w:t>
      </w:r>
    </w:p>
    <w:p w14:paraId="5A88535B" w14:textId="77777777" w:rsidR="000757F0" w:rsidRPr="00262706" w:rsidRDefault="000757F0" w:rsidP="00262706">
      <w:pPr>
        <w:spacing w:line="240" w:lineRule="auto"/>
        <w:rPr>
          <w:i/>
          <w:szCs w:val="22"/>
          <w:lang w:val="hu-HU"/>
        </w:rPr>
      </w:pPr>
    </w:p>
    <w:p w14:paraId="3AF2C0F8" w14:textId="77777777" w:rsidR="0075079A" w:rsidRPr="00262706" w:rsidRDefault="0075079A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Generalizált szorongás</w:t>
      </w:r>
    </w:p>
    <w:p w14:paraId="0DE1CE0D" w14:textId="4BB87397" w:rsidR="0075079A" w:rsidRPr="00262706" w:rsidRDefault="0075079A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Generalizált szorongásban szenvedő beteg részére a javasolt kezdő </w:t>
      </w:r>
      <w:r w:rsidR="00702112">
        <w:rPr>
          <w:szCs w:val="22"/>
          <w:lang w:val="hu-HU"/>
        </w:rPr>
        <w:t>dózis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 xml:space="preserve">naponta egyszer 30 mg étkezés közben vagy étkezéstől függetlenül. Azoknál a betegeknél, akiknél nem kielégítő a terápiás válasz, a </w:t>
      </w:r>
      <w:r w:rsidR="00702112">
        <w:rPr>
          <w:szCs w:val="22"/>
          <w:lang w:val="hu-HU"/>
        </w:rPr>
        <w:t>dózist</w:t>
      </w:r>
      <w:r w:rsidRPr="00262706">
        <w:rPr>
          <w:szCs w:val="22"/>
          <w:lang w:val="hu-HU"/>
        </w:rPr>
        <w:t xml:space="preserve"> 60 mg-ra kell emelni, ami a legtöbb betegnél a szokásos fenntartó </w:t>
      </w:r>
      <w:r w:rsidR="00702112">
        <w:rPr>
          <w:szCs w:val="22"/>
          <w:lang w:val="hu-HU"/>
        </w:rPr>
        <w:t>dózis</w:t>
      </w:r>
      <w:r w:rsidRPr="00262706">
        <w:rPr>
          <w:szCs w:val="22"/>
          <w:lang w:val="hu-HU"/>
        </w:rPr>
        <w:t>.</w:t>
      </w:r>
    </w:p>
    <w:p w14:paraId="2AAA880A" w14:textId="77777777" w:rsidR="00772E22" w:rsidRPr="00262706" w:rsidRDefault="00772E22" w:rsidP="00262706">
      <w:pPr>
        <w:spacing w:line="240" w:lineRule="auto"/>
        <w:rPr>
          <w:szCs w:val="22"/>
          <w:lang w:val="hu-HU"/>
        </w:rPr>
      </w:pPr>
    </w:p>
    <w:p w14:paraId="6B31ADC3" w14:textId="7E373CDC" w:rsidR="0075079A" w:rsidRPr="00262706" w:rsidRDefault="0075079A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Egyidejű major depresszív zavarban szenvedő betegeknél a kezdő és a fenntartó </w:t>
      </w:r>
      <w:r w:rsidR="00702112">
        <w:rPr>
          <w:szCs w:val="22"/>
          <w:lang w:val="hu-HU"/>
        </w:rPr>
        <w:t>dózis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naponta egyszer 60 mg (lásd a</w:t>
      </w:r>
      <w:r w:rsidR="003641FB" w:rsidRPr="00262706">
        <w:rPr>
          <w:szCs w:val="22"/>
          <w:lang w:val="hu-HU"/>
        </w:rPr>
        <w:t xml:space="preserve"> fenti</w:t>
      </w:r>
      <w:r w:rsidRPr="00262706">
        <w:rPr>
          <w:szCs w:val="22"/>
          <w:lang w:val="hu-HU"/>
        </w:rPr>
        <w:t xml:space="preserve"> adagolási javaslatot).</w:t>
      </w:r>
    </w:p>
    <w:p w14:paraId="6BE412A4" w14:textId="77777777" w:rsidR="00772E22" w:rsidRPr="00262706" w:rsidRDefault="00772E22" w:rsidP="00262706">
      <w:pPr>
        <w:spacing w:line="240" w:lineRule="auto"/>
        <w:rPr>
          <w:szCs w:val="22"/>
          <w:lang w:val="hu-HU"/>
        </w:rPr>
      </w:pPr>
    </w:p>
    <w:p w14:paraId="27AC00B6" w14:textId="6FC94D9E" w:rsidR="00772E22" w:rsidRPr="00262706" w:rsidRDefault="00772E2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Napi 120 mg-ig terjedő </w:t>
      </w:r>
      <w:r w:rsidR="00702112">
        <w:rPr>
          <w:szCs w:val="22"/>
          <w:lang w:val="hu-HU"/>
        </w:rPr>
        <w:t>dózisok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hatékonynak bizonyultak</w:t>
      </w:r>
      <w:r w:rsidR="00C551C9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és biztonságossági szempontból </w:t>
      </w:r>
      <w:r w:rsidR="003641FB" w:rsidRPr="00262706">
        <w:rPr>
          <w:szCs w:val="22"/>
          <w:lang w:val="hu-HU"/>
        </w:rPr>
        <w:t xml:space="preserve">is </w:t>
      </w:r>
      <w:r w:rsidRPr="00262706">
        <w:rPr>
          <w:szCs w:val="22"/>
          <w:lang w:val="hu-HU"/>
        </w:rPr>
        <w:t xml:space="preserve">értékelték a klinikai vizsgálatok során. A 60 mg-os </w:t>
      </w:r>
      <w:r w:rsidR="00702112">
        <w:rPr>
          <w:szCs w:val="22"/>
          <w:lang w:val="hu-HU"/>
        </w:rPr>
        <w:t>dózisra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 xml:space="preserve">nem kielégítő választ mutató betegeknél ezért </w:t>
      </w:r>
      <w:r w:rsidR="003641FB" w:rsidRPr="00262706">
        <w:rPr>
          <w:szCs w:val="22"/>
          <w:lang w:val="hu-HU"/>
        </w:rPr>
        <w:t xml:space="preserve">megfontolandó </w:t>
      </w:r>
      <w:r w:rsidRPr="00262706">
        <w:rPr>
          <w:szCs w:val="22"/>
          <w:lang w:val="hu-HU"/>
        </w:rPr>
        <w:t>a dózis 90 mg-ra vagy 120 mg-ra történő emelése. A dózis emelését a klinikai válaszra és a tolerálhatóságra kell alapozni.</w:t>
      </w:r>
    </w:p>
    <w:p w14:paraId="0CA40596" w14:textId="77777777" w:rsidR="00772E22" w:rsidRPr="00262706" w:rsidRDefault="00772E22" w:rsidP="00262706">
      <w:pPr>
        <w:spacing w:line="240" w:lineRule="auto"/>
        <w:rPr>
          <w:szCs w:val="22"/>
          <w:lang w:val="hu-HU"/>
        </w:rPr>
      </w:pPr>
    </w:p>
    <w:p w14:paraId="0B76F934" w14:textId="77777777" w:rsidR="00772E22" w:rsidRPr="00262706" w:rsidRDefault="00772E2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terápiás válasz állandósulását követően a relapszus elkerülése céljából a kezelést javasolt néhány hónapig folytatni.</w:t>
      </w:r>
    </w:p>
    <w:p w14:paraId="6E42EBB9" w14:textId="77777777" w:rsidR="008065E1" w:rsidRPr="00262706" w:rsidRDefault="008065E1" w:rsidP="00262706">
      <w:pPr>
        <w:spacing w:line="240" w:lineRule="auto"/>
        <w:rPr>
          <w:szCs w:val="22"/>
          <w:lang w:val="hu-HU"/>
        </w:rPr>
      </w:pPr>
    </w:p>
    <w:p w14:paraId="1859FC04" w14:textId="77777777" w:rsidR="008065E1" w:rsidRPr="00262706" w:rsidRDefault="003641FB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Különleges betegcsoportok</w:t>
      </w:r>
    </w:p>
    <w:p w14:paraId="4F25D6D5" w14:textId="77777777" w:rsidR="007141A9" w:rsidRPr="00262706" w:rsidRDefault="007141A9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</w:p>
    <w:p w14:paraId="79AF77C0" w14:textId="77777777" w:rsidR="008065E1" w:rsidRPr="00262706" w:rsidRDefault="008065E1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5B9200CD" w14:textId="77777777" w:rsidR="008065E1" w:rsidRPr="00262706" w:rsidRDefault="008065E1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Idős betegekben önmagában </w:t>
      </w:r>
      <w:r w:rsidR="003641FB" w:rsidRPr="00262706">
        <w:rPr>
          <w:rFonts w:eastAsia="Times New Roman"/>
          <w:bCs/>
          <w:iCs/>
          <w:snapToGrid/>
          <w:szCs w:val="22"/>
          <w:lang w:val="hu-HU" w:eastAsia="en-US"/>
        </w:rPr>
        <w:t>az élet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kor miatt nem javasolt a dózis módosítása. </w:t>
      </w:r>
      <w:r w:rsidR="00D17547" w:rsidRPr="00262706">
        <w:rPr>
          <w:rFonts w:eastAsia="Times New Roman"/>
          <w:bCs/>
          <w:iCs/>
          <w:snapToGrid/>
          <w:szCs w:val="22"/>
          <w:lang w:val="hu-HU" w:eastAsia="en-US"/>
        </w:rPr>
        <w:t>Ugyanakkor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, mint minden gyógyszernél, idősek kezelése során elővigyázatossággal kell eljárni, különösen major depresszív zavar vagy generalizált szorongás kezelésére szolgáló 120 mg/nap </w:t>
      </w:r>
      <w:r w:rsidR="00CA6129" w:rsidRPr="00262706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 adagolás esetén, mert ezzel az adagolással kapcsolatban korlátozottan állnak rendelkezésre adatok (lásd 4.4 és 5.2 pont).</w:t>
      </w:r>
    </w:p>
    <w:p w14:paraId="0B35A2A6" w14:textId="77777777" w:rsidR="007141A9" w:rsidRPr="00262706" w:rsidRDefault="007141A9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23AD7C8B" w14:textId="77777777" w:rsidR="008065E1" w:rsidRPr="00262706" w:rsidRDefault="008065E1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518FA9DA" w14:textId="77777777" w:rsidR="008065E1" w:rsidRPr="00262706" w:rsidRDefault="008065E1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A </w:t>
      </w:r>
      <w:r w:rsidR="00CA6129" w:rsidRPr="00262706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-t tilos alkalmazni májkárosodáshoz vezető májbetegségben szenvedő betegeknél (lásd 4.3</w:t>
      </w:r>
      <w:r w:rsidR="00824C5D" w:rsidRPr="0026270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és 5.2 pont).</w:t>
      </w:r>
    </w:p>
    <w:p w14:paraId="0F73E35E" w14:textId="77777777" w:rsidR="007141A9" w:rsidRPr="00262706" w:rsidRDefault="007141A9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6BE65873" w14:textId="77777777" w:rsidR="008065E1" w:rsidRPr="00262706" w:rsidRDefault="008065E1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7EDC22AB" w14:textId="3C3F73F8" w:rsidR="008065E1" w:rsidRPr="00262706" w:rsidRDefault="008065E1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Enyhe vagy közepesen súlyos </w:t>
      </w:r>
      <w:r w:rsidR="00D17547" w:rsidRPr="00262706">
        <w:rPr>
          <w:rFonts w:eastAsia="Times New Roman"/>
          <w:bCs/>
          <w:iCs/>
          <w:snapToGrid/>
          <w:szCs w:val="22"/>
          <w:lang w:val="hu-HU" w:eastAsia="en-US"/>
        </w:rPr>
        <w:t>vesekárosodás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 esetén (kreatinin-clearance 30</w:t>
      </w:r>
      <w:r w:rsidR="003429DD" w:rsidRPr="00262706">
        <w:rPr>
          <w:rFonts w:eastAsia="Times New Roman"/>
          <w:bCs/>
          <w:iCs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80</w:t>
      </w:r>
      <w:r w:rsidR="003429DD" w:rsidRPr="0026270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ml/perc) a </w:t>
      </w:r>
      <w:r w:rsidR="00702112">
        <w:rPr>
          <w:rFonts w:eastAsia="Times New Roman"/>
          <w:bCs/>
          <w:iCs/>
          <w:snapToGrid/>
          <w:szCs w:val="22"/>
          <w:lang w:val="hu-HU" w:eastAsia="en-US"/>
        </w:rPr>
        <w:t>dózis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 módosítása nem szükséges. A </w:t>
      </w:r>
      <w:r w:rsidR="00CA6129" w:rsidRPr="00262706">
        <w:rPr>
          <w:rFonts w:eastAsia="Times New Roman"/>
          <w:bCs/>
          <w:iCs/>
          <w:snapToGrid/>
          <w:szCs w:val="22"/>
          <w:lang w:val="hu-HU" w:eastAsia="en-US"/>
        </w:rPr>
        <w:t>Dulsevia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-t tilos alkalmazni súlyos vesekárosodásban szenvedő betegeknél (kreatinin-clearance &lt;30</w:t>
      </w:r>
      <w:r w:rsidR="003429DD" w:rsidRPr="0026270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ml/</w:t>
      </w:r>
      <w:r w:rsidR="003429DD" w:rsidRPr="00262706">
        <w:rPr>
          <w:rFonts w:eastAsia="Times New Roman"/>
          <w:bCs/>
          <w:iCs/>
          <w:snapToGrid/>
          <w:szCs w:val="22"/>
          <w:lang w:val="hu-HU" w:eastAsia="en-US"/>
        </w:rPr>
        <w:t>perc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; lásd 4.3 pont).</w:t>
      </w:r>
    </w:p>
    <w:p w14:paraId="5E2AF3BA" w14:textId="77777777" w:rsidR="007141A9" w:rsidRPr="00262706" w:rsidRDefault="007141A9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</w:p>
    <w:p w14:paraId="30D51F48" w14:textId="77777777" w:rsidR="00F45C51" w:rsidRPr="00262706" w:rsidRDefault="00F45C51" w:rsidP="00262706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Gyermek</w:t>
      </w:r>
      <w:r w:rsidR="00F5194B"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>ek</w:t>
      </w:r>
      <w:r w:rsidR="00930A2D" w:rsidRPr="00262706">
        <w:rPr>
          <w:rFonts w:eastAsia="Times New Roman"/>
          <w:bCs/>
          <w:i/>
          <w:iCs/>
          <w:snapToGrid/>
          <w:szCs w:val="22"/>
          <w:lang w:val="hu-HU" w:eastAsia="en-US"/>
        </w:rPr>
        <w:t xml:space="preserve"> és serdülők</w:t>
      </w:r>
    </w:p>
    <w:p w14:paraId="7B1DD888" w14:textId="77777777" w:rsidR="007141A9" w:rsidRPr="00262706" w:rsidRDefault="007141A9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Biztonságossági és hatásossági aggályokra való tekintettel a duloxetin </w:t>
      </w:r>
      <w:r w:rsidR="00824C5D"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18 évesnél fiatalabb 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gyermekeknél és serdülőknél major depresszív zavar kezelésére nem alkalmazható (lásd 4.4, 4.8 és 5.1</w:t>
      </w:r>
      <w:r w:rsidR="00824C5D" w:rsidRPr="0026270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pont).</w:t>
      </w:r>
    </w:p>
    <w:p w14:paraId="4308CF45" w14:textId="77777777" w:rsidR="000757F0" w:rsidRPr="00262706" w:rsidRDefault="000757F0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</w:p>
    <w:p w14:paraId="44045944" w14:textId="77777777" w:rsidR="007141A9" w:rsidRPr="00262706" w:rsidRDefault="007141A9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A duloxetin biztonságosságát és hatásosságát generalizált szorongásban szenvedő 7</w:t>
      </w:r>
      <w:r w:rsidR="00BB3DEA" w:rsidRPr="00262706">
        <w:rPr>
          <w:rFonts w:eastAsia="Times New Roman"/>
          <w:bCs/>
          <w:iCs/>
          <w:snapToGrid/>
          <w:szCs w:val="22"/>
          <w:lang w:val="hu-HU" w:eastAsia="en-US"/>
        </w:rPr>
        <w:t>–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17</w:t>
      </w:r>
      <w:r w:rsidR="005122AF" w:rsidRPr="00262706">
        <w:rPr>
          <w:rFonts w:eastAsia="Times New Roman"/>
          <w:bCs/>
          <w:iCs/>
          <w:snapToGrid/>
          <w:szCs w:val="22"/>
          <w:lang w:val="hu-HU" w:eastAsia="en-US"/>
        </w:rPr>
        <w:t> 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éves kor</w:t>
      </w:r>
      <w:r w:rsidR="00D17547" w:rsidRPr="00262706">
        <w:rPr>
          <w:rFonts w:eastAsia="Times New Roman"/>
          <w:bCs/>
          <w:iCs/>
          <w:snapToGrid/>
          <w:szCs w:val="22"/>
          <w:lang w:val="hu-HU" w:eastAsia="en-US"/>
        </w:rPr>
        <w:t>ú</w:t>
      </w:r>
      <w:r w:rsidR="00290262" w:rsidRPr="00262706">
        <w:rPr>
          <w:rFonts w:eastAsia="Times New Roman"/>
          <w:bCs/>
          <w:iCs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bCs/>
          <w:iCs/>
          <w:snapToGrid/>
          <w:szCs w:val="22"/>
          <w:lang w:val="hu-HU" w:eastAsia="en-US"/>
        </w:rPr>
        <w:t>betegeknél nem állapították meg. A jelenleg rendelkezésre álló adatok leírása a 4.8, 5.1 és 5.2 pontban található.</w:t>
      </w:r>
    </w:p>
    <w:p w14:paraId="75E15F50" w14:textId="77777777" w:rsidR="005122AF" w:rsidRPr="00262706" w:rsidRDefault="005122AF" w:rsidP="00262706">
      <w:pPr>
        <w:spacing w:line="240" w:lineRule="auto"/>
        <w:rPr>
          <w:rFonts w:eastAsia="Times New Roman"/>
          <w:bCs/>
          <w:iCs/>
          <w:snapToGrid/>
          <w:szCs w:val="22"/>
          <w:lang w:val="hu-HU" w:eastAsia="en-US"/>
        </w:rPr>
      </w:pPr>
    </w:p>
    <w:p w14:paraId="6212898E" w14:textId="77777777" w:rsidR="00CA6129" w:rsidRPr="00262706" w:rsidRDefault="00CA6129" w:rsidP="00262706">
      <w:pPr>
        <w:spacing w:line="240" w:lineRule="auto"/>
        <w:rPr>
          <w:i/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>A kezelés leállítása</w:t>
      </w:r>
    </w:p>
    <w:p w14:paraId="7C33F269" w14:textId="227CE49C" w:rsidR="00F45C51" w:rsidRPr="00262706" w:rsidRDefault="00CA6129" w:rsidP="00262706">
      <w:pPr>
        <w:spacing w:line="240" w:lineRule="auto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>Kerülendő a kezelés hirtelen leállítása. A Dulsevia-kezelés leállításakor a megvonási tünetek kockázatának csökkentése érdekében a dózist legalább 1</w:t>
      </w:r>
      <w:r w:rsidR="005122AF" w:rsidRPr="00262706">
        <w:rPr>
          <w:noProof/>
          <w:szCs w:val="22"/>
          <w:lang w:val="hu-HU"/>
        </w:rPr>
        <w:noBreakHyphen/>
      </w:r>
      <w:r w:rsidRPr="00262706">
        <w:rPr>
          <w:noProof/>
          <w:szCs w:val="22"/>
          <w:lang w:val="hu-HU"/>
        </w:rPr>
        <w:t xml:space="preserve">2 hét alatt fokozatosan kell lecsökkenteni (lásd 4.4 és 4.8 pont). Amennyiben </w:t>
      </w:r>
      <w:r w:rsidR="001856B1" w:rsidRPr="00262706">
        <w:rPr>
          <w:noProof/>
          <w:szCs w:val="22"/>
          <w:lang w:val="hu-HU"/>
        </w:rPr>
        <w:t>elviselhetetlen</w:t>
      </w:r>
      <w:r w:rsidRPr="00262706">
        <w:rPr>
          <w:noProof/>
          <w:szCs w:val="22"/>
          <w:lang w:val="hu-HU"/>
        </w:rPr>
        <w:t xml:space="preserve"> tünetek jelentkeznek a </w:t>
      </w:r>
      <w:r w:rsidR="00702112">
        <w:rPr>
          <w:noProof/>
          <w:szCs w:val="22"/>
          <w:lang w:val="hu-HU"/>
        </w:rPr>
        <w:t>dózis</w:t>
      </w:r>
      <w:r w:rsidR="00702112" w:rsidRPr="00262706">
        <w:rPr>
          <w:noProof/>
          <w:szCs w:val="22"/>
          <w:lang w:val="hu-HU"/>
        </w:rPr>
        <w:t xml:space="preserve"> </w:t>
      </w:r>
      <w:r w:rsidRPr="00262706">
        <w:rPr>
          <w:noProof/>
          <w:szCs w:val="22"/>
          <w:lang w:val="hu-HU"/>
        </w:rPr>
        <w:t xml:space="preserve">csökkentését vagy a kezelés leállítását követően, </w:t>
      </w:r>
      <w:r w:rsidR="005D2400" w:rsidRPr="00262706">
        <w:rPr>
          <w:noProof/>
          <w:szCs w:val="22"/>
          <w:lang w:val="hu-HU"/>
        </w:rPr>
        <w:t xml:space="preserve">megfontolandó </w:t>
      </w:r>
      <w:r w:rsidRPr="00262706">
        <w:rPr>
          <w:noProof/>
          <w:szCs w:val="22"/>
          <w:lang w:val="hu-HU"/>
        </w:rPr>
        <w:t xml:space="preserve">az előzőleg alkalmazott dózis folytatása. Ezt követően a kezelőorvos csökkentheti a </w:t>
      </w:r>
      <w:r w:rsidR="00702112">
        <w:rPr>
          <w:noProof/>
          <w:szCs w:val="22"/>
          <w:lang w:val="hu-HU"/>
        </w:rPr>
        <w:t>dózist</w:t>
      </w:r>
      <w:r w:rsidRPr="00262706">
        <w:rPr>
          <w:noProof/>
          <w:szCs w:val="22"/>
          <w:lang w:val="hu-HU"/>
        </w:rPr>
        <w:t xml:space="preserve">, azonban </w:t>
      </w:r>
      <w:r w:rsidR="005D2400" w:rsidRPr="00262706">
        <w:rPr>
          <w:noProof/>
          <w:szCs w:val="22"/>
          <w:lang w:val="hu-HU"/>
        </w:rPr>
        <w:t>kisebb léptékben</w:t>
      </w:r>
      <w:r w:rsidRPr="00262706">
        <w:rPr>
          <w:noProof/>
          <w:szCs w:val="22"/>
          <w:lang w:val="hu-HU"/>
        </w:rPr>
        <w:t>.</w:t>
      </w:r>
    </w:p>
    <w:p w14:paraId="6FE7A093" w14:textId="77777777" w:rsidR="00CA6129" w:rsidRPr="00262706" w:rsidRDefault="00CA6129" w:rsidP="00262706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08201D" w14:textId="77777777" w:rsidR="00F45C51" w:rsidRPr="00262706" w:rsidRDefault="00F45C51" w:rsidP="00262706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262706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66C4C3FC" w14:textId="77777777" w:rsidR="00F45C51" w:rsidRPr="00262706" w:rsidRDefault="00CA6129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Szájon át történő alkalmazásra.</w:t>
      </w:r>
    </w:p>
    <w:p w14:paraId="259F9761" w14:textId="77777777" w:rsidR="00F45C51" w:rsidRPr="00262706" w:rsidRDefault="00F45C51" w:rsidP="00262706">
      <w:pPr>
        <w:spacing w:line="240" w:lineRule="auto"/>
        <w:rPr>
          <w:szCs w:val="22"/>
          <w:lang w:val="hu-HU"/>
        </w:rPr>
      </w:pPr>
    </w:p>
    <w:p w14:paraId="767F2F3D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0844308C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B07283A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 készítmény hatóanyagával vagy a 6.1 pontban felsorolt </w:t>
      </w:r>
      <w:r w:rsidR="00127C1D" w:rsidRPr="00262706">
        <w:rPr>
          <w:rFonts w:eastAsia="Times New Roman"/>
          <w:noProof/>
          <w:snapToGrid/>
          <w:szCs w:val="22"/>
          <w:lang w:val="hu-HU" w:eastAsia="en-US"/>
        </w:rPr>
        <w:t xml:space="preserve">bármely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segédanyagával szembeni túlérzékenység.</w:t>
      </w:r>
    </w:p>
    <w:p w14:paraId="1C9F09D8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4975F8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 Dulsevia </w:t>
      </w:r>
      <w:r w:rsidR="005D2400" w:rsidRPr="00262706">
        <w:rPr>
          <w:rFonts w:eastAsia="Times New Roman"/>
          <w:noProof/>
          <w:snapToGrid/>
          <w:szCs w:val="22"/>
          <w:lang w:val="hu-HU" w:eastAsia="en-US"/>
        </w:rPr>
        <w:t>együtt</w:t>
      </w:r>
      <w:r w:rsidR="00E018D9" w:rsidRPr="00262706">
        <w:rPr>
          <w:rFonts w:eastAsia="Times New Roman"/>
          <w:noProof/>
          <w:snapToGrid/>
          <w:szCs w:val="22"/>
          <w:lang w:val="hu-HU" w:eastAsia="en-US"/>
        </w:rPr>
        <w:t xml:space="preserve">es </w:t>
      </w:r>
      <w:r w:rsidR="005D2400" w:rsidRPr="00262706">
        <w:rPr>
          <w:rFonts w:eastAsia="Times New Roman"/>
          <w:noProof/>
          <w:snapToGrid/>
          <w:szCs w:val="22"/>
          <w:lang w:val="hu-HU" w:eastAsia="en-US"/>
        </w:rPr>
        <w:t>alkalmazása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nem szelektív, irreverzibilis monoamino-oxidáz inhibitorokkal (MAOI) </w:t>
      </w:r>
      <w:r w:rsidR="00E018D9" w:rsidRPr="00262706">
        <w:rPr>
          <w:rFonts w:eastAsia="Times New Roman"/>
          <w:noProof/>
          <w:snapToGrid/>
          <w:szCs w:val="22"/>
          <w:lang w:val="hu-HU" w:eastAsia="en-US"/>
        </w:rPr>
        <w:t>ellenjavallt</w:t>
      </w:r>
      <w:r w:rsidR="005D2400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(lásd 4.5 pont).</w:t>
      </w:r>
    </w:p>
    <w:p w14:paraId="493F5E0B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07B99E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Májkárosodáshoz vezető májbetegség (lásd 5.2 pont).</w:t>
      </w:r>
    </w:p>
    <w:p w14:paraId="0668B247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98BF307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 Dulsevia 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>nem alkalmazható</w:t>
      </w:r>
      <w:r w:rsidR="00B93669" w:rsidRPr="00262706" w:rsidDel="00B9366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 xml:space="preserve">egyidejűleg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fluvoxamin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>nal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, ciprofloxacin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>nal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vagy enoxacin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>nal (CYP1A2</w:t>
      </w:r>
      <w:r w:rsidR="003D4E09" w:rsidRPr="00262706">
        <w:rPr>
          <w:rFonts w:eastAsia="Times New Roman"/>
          <w:noProof/>
          <w:snapToGrid/>
          <w:szCs w:val="22"/>
          <w:lang w:val="hu-HU" w:eastAsia="en-US"/>
        </w:rPr>
        <w:t>-</w:t>
      </w:r>
      <w:r w:rsidR="00B93669" w:rsidRPr="00262706">
        <w:rPr>
          <w:rFonts w:eastAsia="Times New Roman"/>
          <w:noProof/>
          <w:snapToGrid/>
          <w:szCs w:val="22"/>
          <w:lang w:val="hu-HU" w:eastAsia="en-US"/>
        </w:rPr>
        <w:t>gátlókkal)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, mert a kombináció magasabb duloxetin plazmakoncentrációt eredményez (lásd 4.5 pont).</w:t>
      </w:r>
    </w:p>
    <w:p w14:paraId="08F75E50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E9E5D4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Súlyos vesekárosodás (kreatinin-clearance &lt;30</w:t>
      </w:r>
      <w:r w:rsidR="00C661FB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ml/perc) (lásd 4.4 pont).</w:t>
      </w:r>
    </w:p>
    <w:p w14:paraId="6C22A36B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E442ED" w14:textId="77777777" w:rsidR="00BA7E34" w:rsidRPr="00262706" w:rsidRDefault="00BA7E34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A Dulsevia-terápia elkezdése ellenjavallt nem jól beállított magas vérnyomásban, amely h</w:t>
      </w:r>
      <w:r w:rsidR="00824C5D" w:rsidRPr="00262706">
        <w:rPr>
          <w:rFonts w:eastAsia="Times New Roman"/>
          <w:noProof/>
          <w:snapToGrid/>
          <w:szCs w:val="22"/>
          <w:lang w:val="hu-HU" w:eastAsia="en-US"/>
        </w:rPr>
        <w:t>i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pertenzív krízis lehetséges kockázatával járhat (lásd 4.4 és 4.8 pont).</w:t>
      </w:r>
    </w:p>
    <w:p w14:paraId="5AE825BC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FC7A83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EF4A591" w14:textId="77777777" w:rsidR="00F45C51" w:rsidRPr="00262706" w:rsidRDefault="00F45C51" w:rsidP="00262706">
      <w:pPr>
        <w:spacing w:line="240" w:lineRule="auto"/>
        <w:rPr>
          <w:szCs w:val="22"/>
          <w:lang w:val="hu-HU"/>
        </w:rPr>
      </w:pPr>
    </w:p>
    <w:p w14:paraId="3A808B6F" w14:textId="77777777" w:rsidR="00FE7236" w:rsidRPr="00262706" w:rsidRDefault="00FE7236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Mánia és görcsrohamok</w:t>
      </w:r>
    </w:p>
    <w:p w14:paraId="7072008E" w14:textId="77777777" w:rsidR="00FE7236" w:rsidRPr="00262706" w:rsidRDefault="00FE723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Dulsevia csak elővigyázatossággal alkalmazható olyan betegeknél, akiknek az anamnézisében mánia</w:t>
      </w:r>
      <w:r w:rsidR="0076625E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bipoláris zavar és/vagy görcsrohamok szerepelnek.</w:t>
      </w:r>
    </w:p>
    <w:p w14:paraId="608C429E" w14:textId="77777777" w:rsidR="00FE7236" w:rsidRPr="00262706" w:rsidRDefault="00FE7236" w:rsidP="00262706">
      <w:pPr>
        <w:spacing w:line="240" w:lineRule="auto"/>
        <w:rPr>
          <w:szCs w:val="22"/>
          <w:lang w:val="hu-HU"/>
        </w:rPr>
      </w:pPr>
    </w:p>
    <w:p w14:paraId="7FE48B20" w14:textId="77777777" w:rsidR="00FE7236" w:rsidRPr="00262706" w:rsidRDefault="00FE7236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Mydriasis</w:t>
      </w:r>
    </w:p>
    <w:p w14:paraId="7DBA41C2" w14:textId="77777777" w:rsidR="00FE7236" w:rsidRPr="00262706" w:rsidRDefault="00FE723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Mydriasis előfordulását észlelték duloxetin alkalmazása során, ezért azoknál a betegeknél, akiknek emelkedett a szem</w:t>
      </w:r>
      <w:r w:rsidR="00E018D9" w:rsidRPr="00262706">
        <w:rPr>
          <w:szCs w:val="22"/>
          <w:lang w:val="hu-HU"/>
        </w:rPr>
        <w:t>bel</w:t>
      </w:r>
      <w:r w:rsidRPr="00262706">
        <w:rPr>
          <w:szCs w:val="22"/>
          <w:lang w:val="hu-HU"/>
        </w:rPr>
        <w:t xml:space="preserve">nyomása, vagy akiknél fennáll az akut </w:t>
      </w:r>
      <w:r w:rsidR="00824C5D" w:rsidRPr="00262706">
        <w:rPr>
          <w:szCs w:val="22"/>
          <w:lang w:val="hu-HU"/>
        </w:rPr>
        <w:t xml:space="preserve">zárt zugú </w:t>
      </w:r>
      <w:r w:rsidRPr="00262706">
        <w:rPr>
          <w:szCs w:val="22"/>
          <w:lang w:val="hu-HU"/>
        </w:rPr>
        <w:t>glaucoma veszélye, a Dulsevia</w:t>
      </w:r>
      <w:r w:rsidR="00E018D9" w:rsidRPr="00262706">
        <w:rPr>
          <w:szCs w:val="22"/>
          <w:lang w:val="hu-HU"/>
        </w:rPr>
        <w:t xml:space="preserve"> alkalmazását alapos megfontolás után szabad csak elrendelni.</w:t>
      </w:r>
    </w:p>
    <w:p w14:paraId="6D79A87C" w14:textId="77777777" w:rsidR="00FE7236" w:rsidRPr="00262706" w:rsidRDefault="00FE7236" w:rsidP="00262706">
      <w:pPr>
        <w:spacing w:line="240" w:lineRule="auto"/>
        <w:rPr>
          <w:szCs w:val="22"/>
          <w:lang w:val="hu-HU"/>
        </w:rPr>
      </w:pPr>
    </w:p>
    <w:p w14:paraId="6F41845F" w14:textId="77777777" w:rsidR="00FE7236" w:rsidRPr="00262706" w:rsidRDefault="00FE7236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Vérnyomás és pulzus</w:t>
      </w:r>
    </w:p>
    <w:p w14:paraId="3F801CEF" w14:textId="3C00AC7F" w:rsidR="00FE7236" w:rsidRPr="00262706" w:rsidRDefault="00FE723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Néhány betegnél a duloxetin-kezeléshez a vérnyomás emelkedése és klinikailag jelentős hypertonia társult</w:t>
      </w:r>
      <w:r w:rsidR="00E018D9" w:rsidRPr="00262706">
        <w:rPr>
          <w:szCs w:val="22"/>
          <w:lang w:val="hu-HU"/>
        </w:rPr>
        <w:t xml:space="preserve">, ami </w:t>
      </w:r>
      <w:r w:rsidRPr="00262706">
        <w:rPr>
          <w:szCs w:val="22"/>
          <w:lang w:val="hu-HU"/>
        </w:rPr>
        <w:t xml:space="preserve">a duloxetin noradrenerg hatásának következménye lehet. </w:t>
      </w:r>
      <w:r w:rsidR="00E018D9" w:rsidRPr="00262706">
        <w:rPr>
          <w:szCs w:val="22"/>
          <w:lang w:val="hu-HU"/>
        </w:rPr>
        <w:t xml:space="preserve">Főleg </w:t>
      </w:r>
      <w:r w:rsidR="00B93669" w:rsidRPr="00262706">
        <w:rPr>
          <w:szCs w:val="22"/>
          <w:lang w:val="hu-HU"/>
        </w:rPr>
        <w:t xml:space="preserve">az </w:t>
      </w:r>
      <w:r w:rsidRPr="00262706">
        <w:rPr>
          <w:szCs w:val="22"/>
          <w:lang w:val="hu-HU"/>
        </w:rPr>
        <w:t>előzetesen fennálló hypertonia esetén jelentettek duloxetin alkalmazásakor h</w:t>
      </w:r>
      <w:r w:rsidR="00D12F5C">
        <w:rPr>
          <w:szCs w:val="22"/>
          <w:lang w:val="hu-HU"/>
        </w:rPr>
        <w:t>ipertenz</w:t>
      </w:r>
      <w:r w:rsidRPr="00D12F5C">
        <w:rPr>
          <w:szCs w:val="22"/>
          <w:lang w:val="hu-HU"/>
        </w:rPr>
        <w:t xml:space="preserve">ív </w:t>
      </w:r>
      <w:r w:rsidR="00BC27CA" w:rsidRPr="00D12F5C">
        <w:rPr>
          <w:szCs w:val="22"/>
          <w:lang w:val="hu-HU"/>
        </w:rPr>
        <w:t>krízis</w:t>
      </w:r>
      <w:r w:rsidR="00E018D9" w:rsidRPr="00D12F5C">
        <w:rPr>
          <w:szCs w:val="22"/>
          <w:lang w:val="hu-HU"/>
        </w:rPr>
        <w:t xml:space="preserve">es </w:t>
      </w:r>
      <w:r w:rsidR="00BC27CA" w:rsidRPr="00D12F5C">
        <w:rPr>
          <w:szCs w:val="22"/>
          <w:lang w:val="hu-HU"/>
        </w:rPr>
        <w:t>eseteket</w:t>
      </w:r>
      <w:r w:rsidRPr="00262706">
        <w:rPr>
          <w:szCs w:val="22"/>
          <w:lang w:val="hu-HU"/>
        </w:rPr>
        <w:t xml:space="preserve">. Ezért ismert hypertonia és/vagy egyéb szívbetegség </w:t>
      </w:r>
      <w:r w:rsidR="00E018D9" w:rsidRPr="00262706">
        <w:rPr>
          <w:szCs w:val="22"/>
          <w:lang w:val="hu-HU"/>
        </w:rPr>
        <w:t xml:space="preserve">fennállása </w:t>
      </w:r>
      <w:r w:rsidRPr="00262706">
        <w:rPr>
          <w:szCs w:val="22"/>
          <w:lang w:val="hu-HU"/>
        </w:rPr>
        <w:t xml:space="preserve">esetén a vérnyomás megfelelő ellenőrzése javasolt, </w:t>
      </w:r>
      <w:r w:rsidR="00E018D9" w:rsidRPr="00262706">
        <w:rPr>
          <w:szCs w:val="22"/>
          <w:lang w:val="hu-HU"/>
        </w:rPr>
        <w:t xml:space="preserve">főleg </w:t>
      </w:r>
      <w:r w:rsidRPr="00262706">
        <w:rPr>
          <w:szCs w:val="22"/>
          <w:lang w:val="hu-HU"/>
        </w:rPr>
        <w:t>a kezelés első hónapj</w:t>
      </w:r>
      <w:r w:rsidR="00E018D9" w:rsidRPr="00262706">
        <w:rPr>
          <w:szCs w:val="22"/>
          <w:lang w:val="hu-HU"/>
        </w:rPr>
        <w:t>ában</w:t>
      </w:r>
      <w:r w:rsidRPr="00262706">
        <w:rPr>
          <w:szCs w:val="22"/>
          <w:lang w:val="hu-HU"/>
        </w:rPr>
        <w:t>. A duloxetint elővigyázatosan kell alkalmazni azoknál a betegeknél, akiknek az állapotát ronthatja a szívfrekvencia növekedése vagy a vérnyomás</w:t>
      </w:r>
      <w:r w:rsidR="00E018D9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emelkedés. Elővigyázatosság szükséges akkor is, ha a duloxetint olyan gyógyszerekkel egy</w:t>
      </w:r>
      <w:r w:rsidR="00097218" w:rsidRPr="00262706">
        <w:rPr>
          <w:szCs w:val="22"/>
          <w:lang w:val="hu-HU"/>
        </w:rPr>
        <w:t>idejűleg</w:t>
      </w:r>
      <w:r w:rsidRPr="00262706">
        <w:rPr>
          <w:szCs w:val="22"/>
          <w:lang w:val="hu-HU"/>
        </w:rPr>
        <w:t xml:space="preserve"> alkalmazzák, melyek csökkentik a duloxetin lebomlását (lásd 4.5 pont). Megfontolandó a </w:t>
      </w:r>
      <w:r w:rsidR="00702112">
        <w:rPr>
          <w:szCs w:val="22"/>
          <w:lang w:val="hu-HU"/>
        </w:rPr>
        <w:t>dózis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csökkentése vagy a kezelés fokozatos leállítása azoknál a betegeknél, akik</w:t>
      </w:r>
      <w:r w:rsidR="002230E3" w:rsidRPr="00262706">
        <w:rPr>
          <w:szCs w:val="22"/>
          <w:lang w:val="hu-HU"/>
        </w:rPr>
        <w:t>nél</w:t>
      </w:r>
      <w:r w:rsidRPr="00262706">
        <w:rPr>
          <w:szCs w:val="22"/>
          <w:lang w:val="hu-HU"/>
        </w:rPr>
        <w:t xml:space="preserve"> duloxetin </w:t>
      </w:r>
      <w:r w:rsidR="002230E3" w:rsidRPr="00262706">
        <w:rPr>
          <w:szCs w:val="22"/>
          <w:lang w:val="hu-HU"/>
        </w:rPr>
        <w:t xml:space="preserve">alkalmazása </w:t>
      </w:r>
      <w:r w:rsidRPr="00262706">
        <w:rPr>
          <w:szCs w:val="22"/>
          <w:lang w:val="hu-HU"/>
        </w:rPr>
        <w:t xml:space="preserve">mellett tartósan emelkedett vérnyomást észlelnek (lásd 4.8 pont). A duloxetin-terápia elkezdése ellenjavallt nem </w:t>
      </w:r>
      <w:r w:rsidR="00097218" w:rsidRPr="00262706">
        <w:rPr>
          <w:szCs w:val="22"/>
          <w:lang w:val="hu-HU"/>
        </w:rPr>
        <w:t>megfelelően</w:t>
      </w:r>
      <w:r w:rsidRPr="00262706">
        <w:rPr>
          <w:szCs w:val="22"/>
          <w:lang w:val="hu-HU"/>
        </w:rPr>
        <w:t xml:space="preserve"> beállított magas vérnyomás</w:t>
      </w:r>
      <w:r w:rsidR="002230E3" w:rsidRPr="00262706">
        <w:rPr>
          <w:szCs w:val="22"/>
          <w:lang w:val="hu-HU"/>
        </w:rPr>
        <w:t xml:space="preserve"> esetén</w:t>
      </w:r>
      <w:r w:rsidRPr="00262706">
        <w:rPr>
          <w:szCs w:val="22"/>
          <w:lang w:val="hu-HU"/>
        </w:rPr>
        <w:t xml:space="preserve"> (lásd 4.3 pont).</w:t>
      </w:r>
    </w:p>
    <w:p w14:paraId="30E2D05F" w14:textId="77777777" w:rsidR="00097218" w:rsidRPr="00262706" w:rsidRDefault="00097218" w:rsidP="00262706">
      <w:pPr>
        <w:spacing w:line="240" w:lineRule="auto"/>
        <w:rPr>
          <w:szCs w:val="22"/>
          <w:lang w:val="hu-HU"/>
        </w:rPr>
      </w:pPr>
    </w:p>
    <w:p w14:paraId="0860944C" w14:textId="77777777" w:rsidR="00FE7236" w:rsidRPr="00262706" w:rsidRDefault="00FE7236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Vesekárosodás</w:t>
      </w:r>
    </w:p>
    <w:p w14:paraId="7C25DB88" w14:textId="77777777" w:rsidR="00FB2255" w:rsidRPr="00262706" w:rsidRDefault="00FE723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Hemodializált, súlyos vesekárosodásban szenvedő (kreatinin</w:t>
      </w:r>
      <w:r w:rsidR="00BB3429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 xml:space="preserve">clearance &lt;30 ml/perc) betegeknél a duloxetin plazmakoncentrációja megemelkedik. Súlyos vesekárosodásban szenvedő betegek esetén lásd a 4.3 pontot. Enyhe vagy közepesen súlyos </w:t>
      </w:r>
      <w:r w:rsidR="002230E3" w:rsidRPr="00262706">
        <w:rPr>
          <w:szCs w:val="22"/>
          <w:lang w:val="hu-HU"/>
        </w:rPr>
        <w:t xml:space="preserve">vesekárosodásban </w:t>
      </w:r>
      <w:r w:rsidRPr="00262706">
        <w:rPr>
          <w:szCs w:val="22"/>
          <w:lang w:val="hu-HU"/>
        </w:rPr>
        <w:t>szenvedő betegekre vonatkozó információkat lásd a 4.2 pontban.</w:t>
      </w:r>
    </w:p>
    <w:p w14:paraId="5363EBE3" w14:textId="77777777" w:rsidR="002D1962" w:rsidRPr="00262706" w:rsidRDefault="002D1962" w:rsidP="00262706">
      <w:pPr>
        <w:spacing w:line="240" w:lineRule="auto"/>
        <w:rPr>
          <w:i/>
          <w:szCs w:val="22"/>
          <w:lang w:val="hu-HU"/>
        </w:rPr>
      </w:pPr>
    </w:p>
    <w:p w14:paraId="3B5D4A7E" w14:textId="4CADAB3A" w:rsidR="00FE7236" w:rsidRPr="00262706" w:rsidRDefault="00FE7236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Szerotonin</w:t>
      </w:r>
      <w:r w:rsidR="00256DB1">
        <w:rPr>
          <w:i/>
          <w:szCs w:val="22"/>
          <w:lang w:val="hu-HU"/>
        </w:rPr>
        <w:t>-</w:t>
      </w:r>
      <w:r w:rsidRPr="00262706">
        <w:rPr>
          <w:i/>
          <w:szCs w:val="22"/>
          <w:lang w:val="hu-HU"/>
        </w:rPr>
        <w:t>szindróma</w:t>
      </w:r>
      <w:r w:rsidR="009251E8">
        <w:rPr>
          <w:i/>
          <w:szCs w:val="22"/>
          <w:lang w:val="hu-HU"/>
        </w:rPr>
        <w:t>/</w:t>
      </w:r>
      <w:r w:rsidR="009251E8" w:rsidRPr="009251E8">
        <w:rPr>
          <w:i/>
          <w:iCs/>
          <w:szCs w:val="22"/>
        </w:rPr>
        <w:t xml:space="preserve"> </w:t>
      </w:r>
      <w:r w:rsidR="009251E8">
        <w:rPr>
          <w:i/>
          <w:iCs/>
          <w:szCs w:val="22"/>
        </w:rPr>
        <w:t>neurolepticus malignus szindróma</w:t>
      </w:r>
    </w:p>
    <w:p w14:paraId="04FF9440" w14:textId="24B6438B" w:rsidR="00AC4835" w:rsidRPr="00262706" w:rsidRDefault="00FE723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Mint más szerotonerg szerek, úgy a duloxetin-kezelés esetében is előfordulhat egy potenciálisan életveszélyes állapot, a szerotonin</w:t>
      </w:r>
      <w:r w:rsidR="00256DB1">
        <w:rPr>
          <w:szCs w:val="22"/>
          <w:lang w:val="hu-HU"/>
        </w:rPr>
        <w:t>-</w:t>
      </w:r>
      <w:r w:rsidRPr="00262706">
        <w:rPr>
          <w:szCs w:val="22"/>
          <w:lang w:val="hu-HU"/>
        </w:rPr>
        <w:t>szindróma</w:t>
      </w:r>
      <w:r w:rsidR="009251E8">
        <w:rPr>
          <w:szCs w:val="22"/>
          <w:lang w:val="hu-HU"/>
        </w:rPr>
        <w:t xml:space="preserve"> </w:t>
      </w:r>
      <w:r w:rsidR="009251E8">
        <w:rPr>
          <w:szCs w:val="22"/>
        </w:rPr>
        <w:t>vagy a neurolepticus malignus szindróma (NMS)</w:t>
      </w:r>
      <w:r w:rsidRPr="00262706">
        <w:rPr>
          <w:szCs w:val="22"/>
          <w:lang w:val="hu-HU"/>
        </w:rPr>
        <w:t>, különösen egyéb szerotonerg szerekkel (beleértve az SSRI-ket, SNRI-ket, trici</w:t>
      </w:r>
      <w:r w:rsidR="00C74EAE" w:rsidRPr="00262706">
        <w:rPr>
          <w:szCs w:val="22"/>
          <w:lang w:val="hu-HU"/>
        </w:rPr>
        <w:t>klusos</w:t>
      </w:r>
      <w:r w:rsidRPr="00262706">
        <w:rPr>
          <w:szCs w:val="22"/>
          <w:lang w:val="hu-HU"/>
        </w:rPr>
        <w:t xml:space="preserve"> antidepresszánsokat</w:t>
      </w:r>
      <w:r w:rsidR="00444848">
        <w:rPr>
          <w:szCs w:val="22"/>
          <w:lang w:val="hu-HU"/>
        </w:rPr>
        <w:t xml:space="preserve"> vagy</w:t>
      </w:r>
      <w:r w:rsidR="005C010D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triptánokat), a szerotonin metabolizmusát gátló szerekkel</w:t>
      </w:r>
      <w:r w:rsidR="002230E3" w:rsidRPr="00262706">
        <w:rPr>
          <w:szCs w:val="22"/>
          <w:lang w:val="hu-HU"/>
        </w:rPr>
        <w:t xml:space="preserve"> (</w:t>
      </w:r>
      <w:r w:rsidRPr="00262706">
        <w:rPr>
          <w:szCs w:val="22"/>
          <w:lang w:val="hu-HU"/>
        </w:rPr>
        <w:t>mint a MAOI-k, vagy antipszichotikumok</w:t>
      </w:r>
      <w:r w:rsidR="002230E3" w:rsidRPr="00262706">
        <w:rPr>
          <w:szCs w:val="22"/>
          <w:lang w:val="hu-HU"/>
        </w:rPr>
        <w:t xml:space="preserve">), </w:t>
      </w:r>
      <w:r w:rsidRPr="00262706">
        <w:rPr>
          <w:szCs w:val="22"/>
          <w:lang w:val="hu-HU"/>
        </w:rPr>
        <w:t>egyéb dopamin antagonistákkal</w:t>
      </w:r>
      <w:r w:rsidR="00256DB1">
        <w:rPr>
          <w:szCs w:val="22"/>
          <w:lang w:val="hu-HU"/>
        </w:rPr>
        <w:t>,</w:t>
      </w:r>
      <w:r w:rsidR="00AC4835" w:rsidRPr="00262706">
        <w:rPr>
          <w:szCs w:val="22"/>
          <w:lang w:val="hu-HU"/>
        </w:rPr>
        <w:t xml:space="preserve"> </w:t>
      </w:r>
      <w:r w:rsidR="00256DB1">
        <w:rPr>
          <w:szCs w:val="22"/>
          <w:lang w:val="hu-HU"/>
        </w:rPr>
        <w:t>illetve</w:t>
      </w:r>
      <w:r w:rsidR="00444848">
        <w:rPr>
          <w:szCs w:val="22"/>
          <w:lang w:val="hu-HU"/>
        </w:rPr>
        <w:t xml:space="preserve"> buprenorfinnal </w:t>
      </w:r>
      <w:r w:rsidR="00AC4835" w:rsidRPr="00262706">
        <w:rPr>
          <w:szCs w:val="22"/>
          <w:lang w:val="hu-HU"/>
        </w:rPr>
        <w:t>(melyek befolyásolhatják a szerotonerg neurotranszmitter rendszereket) történő együttadás során (lásd 4.3 és 4.5 pont).</w:t>
      </w:r>
    </w:p>
    <w:p w14:paraId="5BE711DF" w14:textId="77777777" w:rsidR="00444848" w:rsidRDefault="00444848" w:rsidP="00262706">
      <w:pPr>
        <w:spacing w:line="240" w:lineRule="auto"/>
        <w:rPr>
          <w:szCs w:val="22"/>
          <w:lang w:val="hu-HU"/>
        </w:rPr>
      </w:pPr>
    </w:p>
    <w:p w14:paraId="4AA581CF" w14:textId="621BAEED" w:rsidR="00171211" w:rsidRPr="00262706" w:rsidRDefault="00444848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Amennyiben klinikailag indokolt a duloxetinnel és egyéb olyan szerotonerg</w:t>
      </w:r>
      <w:r w:rsidR="009251E8">
        <w:rPr>
          <w:szCs w:val="22"/>
          <w:lang w:val="hu-HU"/>
        </w:rPr>
        <w:t>/</w:t>
      </w:r>
      <w:r w:rsidR="009251E8">
        <w:rPr>
          <w:szCs w:val="22"/>
        </w:rPr>
        <w:t xml:space="preserve">neurolepticus </w:t>
      </w:r>
      <w:r w:rsidRPr="00262706">
        <w:rPr>
          <w:szCs w:val="22"/>
          <w:lang w:val="hu-HU"/>
        </w:rPr>
        <w:t xml:space="preserve"> szerrel történő egyidejű kezelés, melyek befolyásolhatják a szerotonerg és/vagy a dopaminerg neurotranszmitter rendszereket, ajánlott a beteg gondos megfigyelése, különösen a kezelés kezdetén és a dózis emelésekor.</w:t>
      </w:r>
    </w:p>
    <w:p w14:paraId="4A71CE52" w14:textId="77777777" w:rsidR="00444848" w:rsidRDefault="00444848" w:rsidP="00262706">
      <w:pPr>
        <w:spacing w:line="240" w:lineRule="auto"/>
        <w:rPr>
          <w:szCs w:val="22"/>
          <w:lang w:val="hu-HU"/>
        </w:rPr>
      </w:pPr>
    </w:p>
    <w:p w14:paraId="0B04FDC1" w14:textId="3500CA8E" w:rsidR="00AC4835" w:rsidRPr="00262706" w:rsidRDefault="00AC4835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szerotonin</w:t>
      </w:r>
      <w:r w:rsidR="00256DB1">
        <w:rPr>
          <w:szCs w:val="22"/>
          <w:lang w:val="hu-HU"/>
        </w:rPr>
        <w:t>-</w:t>
      </w:r>
      <w:r w:rsidRPr="00262706">
        <w:rPr>
          <w:szCs w:val="22"/>
          <w:lang w:val="hu-HU"/>
        </w:rPr>
        <w:t>szindróma tünetei közé tartozhatnak a mentális állapot változásai (pl. agitáció, hallucinációk, kóma), a vegetatív instabilitás (pl. tachycardia, ingadozó vérnyomás, hyperthermia), neuromuszkuláris eltérések (pl. hyperreflexia, koordinációs zavar) és/vagy gastrointestin</w:t>
      </w:r>
      <w:r w:rsidR="002230E3" w:rsidRPr="00262706">
        <w:rPr>
          <w:szCs w:val="22"/>
          <w:lang w:val="hu-HU"/>
        </w:rPr>
        <w:t>a</w:t>
      </w:r>
      <w:r w:rsidRPr="00262706">
        <w:rPr>
          <w:szCs w:val="22"/>
          <w:lang w:val="hu-HU"/>
        </w:rPr>
        <w:t>lis tünetek (pl. hányinger, hányás, hasmenés).</w:t>
      </w:r>
      <w:r w:rsidR="009251E8">
        <w:rPr>
          <w:szCs w:val="22"/>
          <w:lang w:val="hu-HU"/>
        </w:rPr>
        <w:t xml:space="preserve"> </w:t>
      </w:r>
      <w:r w:rsidR="009251E8">
        <w:rPr>
          <w:szCs w:val="22"/>
        </w:rPr>
        <w:t>A szerotonin-szindróma a legsúlyosabb formájában hasonlíthat az NMS-hez, amely magában foglalja a hyperthermiát, az izommerevséget, az emelkedett szérumkreatin-kináz-szintet, a vegetatív instabilitást az életjelek esetleges gyors ingadozásával és a mentális állapot változását.</w:t>
      </w:r>
    </w:p>
    <w:p w14:paraId="5987800C" w14:textId="77777777" w:rsidR="00171211" w:rsidRPr="00262706" w:rsidRDefault="00171211" w:rsidP="00262706">
      <w:pPr>
        <w:spacing w:line="240" w:lineRule="auto"/>
        <w:rPr>
          <w:szCs w:val="22"/>
          <w:lang w:val="hu-HU"/>
        </w:rPr>
      </w:pPr>
    </w:p>
    <w:p w14:paraId="3E482945" w14:textId="77777777" w:rsidR="00AC4835" w:rsidRPr="00262706" w:rsidRDefault="006B797E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 xml:space="preserve">Közönséges </w:t>
      </w:r>
      <w:r w:rsidR="00A32F60" w:rsidRPr="00262706">
        <w:rPr>
          <w:i/>
          <w:szCs w:val="22"/>
          <w:lang w:val="hu-HU"/>
        </w:rPr>
        <w:t>o</w:t>
      </w:r>
      <w:r w:rsidR="00AC4835" w:rsidRPr="00262706">
        <w:rPr>
          <w:i/>
          <w:szCs w:val="22"/>
          <w:lang w:val="hu-HU"/>
        </w:rPr>
        <w:t>rbáncfű</w:t>
      </w:r>
    </w:p>
    <w:p w14:paraId="71641EE5" w14:textId="77777777" w:rsidR="00AC4835" w:rsidRPr="00564F89" w:rsidRDefault="002230E3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</w:t>
      </w:r>
      <w:r w:rsidR="006B797E" w:rsidRPr="00262706">
        <w:rPr>
          <w:szCs w:val="22"/>
          <w:lang w:val="hu-HU"/>
        </w:rPr>
        <w:t xml:space="preserve"> </w:t>
      </w:r>
      <w:r w:rsidR="00824C5D" w:rsidRPr="00262706">
        <w:rPr>
          <w:szCs w:val="22"/>
          <w:lang w:val="hu-HU"/>
        </w:rPr>
        <w:t>k</w:t>
      </w:r>
      <w:r w:rsidR="006B797E" w:rsidRPr="00262706">
        <w:rPr>
          <w:szCs w:val="22"/>
          <w:lang w:val="hu-HU"/>
        </w:rPr>
        <w:t xml:space="preserve">özönséges </w:t>
      </w:r>
      <w:r w:rsidR="00A32F60" w:rsidRPr="00262706">
        <w:rPr>
          <w:szCs w:val="22"/>
          <w:lang w:val="hu-HU"/>
        </w:rPr>
        <w:t>o</w:t>
      </w:r>
      <w:r w:rsidR="00AC4835" w:rsidRPr="00262706">
        <w:rPr>
          <w:szCs w:val="22"/>
          <w:lang w:val="hu-HU"/>
        </w:rPr>
        <w:t>rbáncfüvet (</w:t>
      </w:r>
      <w:r w:rsidR="00AC4835" w:rsidRPr="00262706">
        <w:rPr>
          <w:i/>
          <w:szCs w:val="22"/>
          <w:lang w:val="hu-HU"/>
        </w:rPr>
        <w:t>Hypericum perforatum</w:t>
      </w:r>
      <w:r w:rsidR="00AC4835" w:rsidRPr="00564F89">
        <w:rPr>
          <w:szCs w:val="22"/>
          <w:lang w:val="hu-HU"/>
        </w:rPr>
        <w:t xml:space="preserve">) tartalmazó gyógynövénykészítmények </w:t>
      </w:r>
      <w:r w:rsidRPr="00564F89">
        <w:rPr>
          <w:szCs w:val="22"/>
          <w:lang w:val="hu-HU"/>
        </w:rPr>
        <w:t xml:space="preserve">és a Dulsevia </w:t>
      </w:r>
      <w:r w:rsidR="00AC4835" w:rsidRPr="00564F89">
        <w:rPr>
          <w:szCs w:val="22"/>
          <w:lang w:val="hu-HU"/>
        </w:rPr>
        <w:t>egyidejű alkalmazásakor gyakrabban fordulhatnak elő mellékhatások.</w:t>
      </w:r>
    </w:p>
    <w:p w14:paraId="29022770" w14:textId="77777777" w:rsidR="00640AF4" w:rsidRPr="00564F89" w:rsidRDefault="00640AF4" w:rsidP="00262706">
      <w:pPr>
        <w:spacing w:line="240" w:lineRule="auto"/>
        <w:rPr>
          <w:szCs w:val="22"/>
          <w:lang w:val="hu-HU"/>
        </w:rPr>
      </w:pPr>
    </w:p>
    <w:p w14:paraId="52AFAB0F" w14:textId="77777777" w:rsidR="00AC4835" w:rsidRPr="000F0D19" w:rsidRDefault="00AC4835" w:rsidP="00262706">
      <w:pPr>
        <w:spacing w:line="240" w:lineRule="auto"/>
        <w:rPr>
          <w:i/>
          <w:szCs w:val="22"/>
          <w:lang w:val="hu-HU"/>
        </w:rPr>
      </w:pPr>
      <w:r w:rsidRPr="000F0D19">
        <w:rPr>
          <w:i/>
          <w:szCs w:val="22"/>
          <w:lang w:val="hu-HU"/>
        </w:rPr>
        <w:t>Öngyilkosság</w:t>
      </w:r>
    </w:p>
    <w:p w14:paraId="38424135" w14:textId="77777777" w:rsidR="00AC4835" w:rsidRPr="00587715" w:rsidRDefault="00AC4835" w:rsidP="00262706">
      <w:pPr>
        <w:spacing w:line="240" w:lineRule="auto"/>
        <w:rPr>
          <w:szCs w:val="22"/>
          <w:lang w:val="hu-HU"/>
        </w:rPr>
      </w:pPr>
      <w:r w:rsidRPr="00587715">
        <w:rPr>
          <w:szCs w:val="22"/>
          <w:lang w:val="hu-HU"/>
        </w:rPr>
        <w:t>Major depresszív zavar és generalizált szorongás:</w:t>
      </w:r>
    </w:p>
    <w:p w14:paraId="60CC512A" w14:textId="77777777" w:rsidR="00AC4835" w:rsidRPr="00D12F5C" w:rsidRDefault="00AC4835" w:rsidP="00262706">
      <w:pPr>
        <w:spacing w:line="240" w:lineRule="auto"/>
        <w:rPr>
          <w:szCs w:val="22"/>
          <w:lang w:val="hu-HU"/>
        </w:rPr>
      </w:pPr>
      <w:r w:rsidRPr="00D12F5C">
        <w:rPr>
          <w:szCs w:val="22"/>
          <w:lang w:val="hu-HU"/>
        </w:rPr>
        <w:t>Depresszió esetén fokozott az öngyilkossági gondolatok, az ön</w:t>
      </w:r>
      <w:r w:rsidR="004A27D8" w:rsidRPr="00D12F5C">
        <w:rPr>
          <w:szCs w:val="22"/>
          <w:lang w:val="hu-HU"/>
        </w:rPr>
        <w:t>sértés</w:t>
      </w:r>
      <w:r w:rsidRPr="00D12F5C">
        <w:rPr>
          <w:szCs w:val="22"/>
          <w:lang w:val="hu-HU"/>
        </w:rPr>
        <w:t xml:space="preserve"> és az öngyilkosság (öngyilkossággal kapcsolatos események) megjelenésének veszélye. A kockázat mindaddig fennáll, amíg jelentős remisszió nem következik be. Mivel előfordulhat, hogy a kezelés első néhány hete alatt, vagy még később sem történik javulás, a betegeket állapotuk javulásáig szoros ellenőrzés alatt kell tartani. Általános klinikai tapasztalat, hogy az öngyilkosság veszélye a gyógyulás korai szakaszában fokozódhat.</w:t>
      </w:r>
    </w:p>
    <w:p w14:paraId="195299F8" w14:textId="77777777" w:rsidR="00640AF4" w:rsidRPr="00262706" w:rsidRDefault="00640AF4" w:rsidP="00262706">
      <w:pPr>
        <w:spacing w:line="240" w:lineRule="auto"/>
        <w:rPr>
          <w:szCs w:val="22"/>
          <w:lang w:val="hu-HU"/>
        </w:rPr>
      </w:pPr>
    </w:p>
    <w:p w14:paraId="10E96D2E" w14:textId="77777777" w:rsidR="00AC4835" w:rsidRPr="00262706" w:rsidRDefault="00AC4835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Egyéb pszichiátriai állapotokhoz – melyek kezelésére Dulsevia-t alkalmaznak – is társulhat az öngyilkossággal kapcsolatos események fokozott kockázata. </w:t>
      </w:r>
      <w:r w:rsidR="00140752" w:rsidRPr="00262706">
        <w:rPr>
          <w:szCs w:val="22"/>
          <w:lang w:val="hu-HU"/>
        </w:rPr>
        <w:t>E</w:t>
      </w:r>
      <w:r w:rsidRPr="00262706">
        <w:rPr>
          <w:szCs w:val="22"/>
          <w:lang w:val="hu-HU"/>
        </w:rPr>
        <w:t>zek az állapotok együtt járhatnak major depresszív zavarral. Ezért ugyanolyan elővigyázatosság szükséges egyéb pszichiátriai zavarban szenvedő betegek</w:t>
      </w:r>
      <w:r w:rsidR="004A27D8" w:rsidRPr="00262706">
        <w:rPr>
          <w:szCs w:val="22"/>
          <w:lang w:val="hu-HU"/>
        </w:rPr>
        <w:t xml:space="preserve"> esetén</w:t>
      </w:r>
      <w:r w:rsidRPr="00262706">
        <w:rPr>
          <w:szCs w:val="22"/>
          <w:lang w:val="hu-HU"/>
        </w:rPr>
        <w:t>, mint a major depresszív zavarban szenvedő betegek kezelésekor.</w:t>
      </w:r>
      <w:r w:rsidR="004A27D8" w:rsidRPr="00262706">
        <w:rPr>
          <w:szCs w:val="22"/>
          <w:lang w:val="hu-HU"/>
        </w:rPr>
        <w:t xml:space="preserve"> </w:t>
      </w:r>
    </w:p>
    <w:p w14:paraId="660E2605" w14:textId="77777777" w:rsidR="00640AF4" w:rsidRPr="00262706" w:rsidRDefault="00640AF4" w:rsidP="00262706">
      <w:pPr>
        <w:spacing w:line="240" w:lineRule="auto"/>
        <w:rPr>
          <w:szCs w:val="22"/>
          <w:lang w:val="hu-HU"/>
        </w:rPr>
      </w:pPr>
    </w:p>
    <w:p w14:paraId="47D58361" w14:textId="77777777" w:rsidR="00AC4835" w:rsidRPr="00262706" w:rsidRDefault="00AC4835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Azok a betegek, akiknek kórelőzményében öngyilkossággal kapcsolatos események szerepelnek, vagy akiket jelentős mértékben foglalkoztatnak öngyilkossági gondolatok a terápia megkezdése előtt, az öngyilkossági gondolatok és kísérletek fokozott kockázatának vannak kitéve, ezért a kezelés alatt gondos megfigyelést igényelnek. A pszichiátriai betegségben szenvedő felnőttek bevonásával végzett, antidepresszánsokat vizsgáló, placebokontrollos klinikai vizsgálatok metaanalízise kimutatta, hogy a 25 év</w:t>
      </w:r>
      <w:r w:rsidR="006B797E" w:rsidRPr="00262706">
        <w:rPr>
          <w:szCs w:val="22"/>
          <w:lang w:val="hu-HU"/>
        </w:rPr>
        <w:t>es</w:t>
      </w:r>
      <w:r w:rsidRPr="00262706">
        <w:rPr>
          <w:szCs w:val="22"/>
          <w:lang w:val="hu-HU"/>
        </w:rPr>
        <w:t>nél fiatalabb betegekben az öngyilkos magatartás kockázata az antidepresszánst szedőkben fokozottabb, mint a placebót szedőkben.</w:t>
      </w:r>
    </w:p>
    <w:p w14:paraId="651DF9DA" w14:textId="77777777" w:rsidR="00640AF4" w:rsidRPr="00262706" w:rsidRDefault="00640AF4" w:rsidP="00262706">
      <w:pPr>
        <w:spacing w:line="240" w:lineRule="auto"/>
        <w:rPr>
          <w:szCs w:val="22"/>
          <w:lang w:val="hu-HU"/>
        </w:rPr>
      </w:pPr>
    </w:p>
    <w:p w14:paraId="4A070353" w14:textId="77777777" w:rsidR="00F45C51" w:rsidRPr="00262706" w:rsidRDefault="00AC4835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Duloxetin-terápia során is, illetve röviddel a kezelés abbahagyása után szuicid gondolatokkal és szuicid viselkedéssel járó eseteket jelentettek (lásd 4.8 pont).</w:t>
      </w:r>
    </w:p>
    <w:p w14:paraId="0A176CE9" w14:textId="77777777" w:rsidR="000E0F47" w:rsidRPr="00262706" w:rsidRDefault="000E0F47" w:rsidP="00262706">
      <w:pPr>
        <w:spacing w:line="240" w:lineRule="auto"/>
        <w:rPr>
          <w:szCs w:val="22"/>
          <w:lang w:val="hu-HU"/>
        </w:rPr>
      </w:pPr>
    </w:p>
    <w:p w14:paraId="3FB9CD62" w14:textId="77777777" w:rsidR="000E0F47" w:rsidRPr="00262706" w:rsidRDefault="000E0F47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betegeket, és különösen a magas kockázati csoportba tartozókat a gyógyszeres kezelés során gondos felügyelet alatt kell tartani, főként a terápia kezdetén és a dózismódosításokat követően. A betegeket (és gondviselőiket) figyelmeztetni kell arra, hogy figyeljék a klinikai rosszabbodás, az öngyilkos magatartás vagy öngyilkossági gondolatok</w:t>
      </w:r>
      <w:r w:rsidR="00140752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szokatlan magatartásbeli változások bármilyen megjelenését</w:t>
      </w:r>
      <w:r w:rsidR="00140752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és ha a felsorolt tünetek valamelyikét észlelik, sürgősen forduljanak orvoshoz.</w:t>
      </w:r>
    </w:p>
    <w:p w14:paraId="5608FEEB" w14:textId="77777777" w:rsidR="00CB6652" w:rsidRPr="00262706" w:rsidRDefault="00CB6652" w:rsidP="00262706">
      <w:pPr>
        <w:spacing w:line="240" w:lineRule="auto"/>
        <w:rPr>
          <w:szCs w:val="22"/>
          <w:lang w:val="hu-HU"/>
        </w:rPr>
      </w:pPr>
    </w:p>
    <w:p w14:paraId="322860CD" w14:textId="77777777" w:rsidR="000E0F47" w:rsidRPr="00262706" w:rsidRDefault="000E0F47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Diabeteses perifériás neuropathiás fájdalom</w:t>
      </w:r>
    </w:p>
    <w:p w14:paraId="521673BC" w14:textId="77777777" w:rsidR="00FB2424" w:rsidRPr="00262706" w:rsidRDefault="000E0F47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Mint más, hasonló gyógyszerhatástani csoportba tartozó gyógyszer (depresszió ellenes gyógyszerek) esetén, úgy a duloxetin-terápia során is, illetve röviddel a kezelés abbahagyása után, egy-egy esetben öngyilkossági gondolatokat és öngyilkosságra hajlamos viselkedést jelentettek. </w:t>
      </w:r>
    </w:p>
    <w:p w14:paraId="4262D647" w14:textId="77777777" w:rsidR="00AC4835" w:rsidRPr="00262706" w:rsidRDefault="000E0F47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Az öngyilkosság kockázati tényezői</w:t>
      </w:r>
      <w:r w:rsidR="00F70AFD" w:rsidRPr="00262706">
        <w:rPr>
          <w:szCs w:val="22"/>
          <w:lang w:val="hu-HU"/>
        </w:rPr>
        <w:t>t</w:t>
      </w:r>
      <w:r w:rsidRPr="00262706">
        <w:rPr>
          <w:szCs w:val="22"/>
          <w:lang w:val="hu-HU"/>
        </w:rPr>
        <w:t xml:space="preserve"> depress</w:t>
      </w:r>
      <w:r w:rsidR="00F70AFD" w:rsidRPr="00262706">
        <w:rPr>
          <w:szCs w:val="22"/>
          <w:lang w:val="hu-HU"/>
        </w:rPr>
        <w:t>zióban: lásd fent. Az orvosnak bátorítania</w:t>
      </w:r>
      <w:r w:rsidRPr="00262706">
        <w:rPr>
          <w:szCs w:val="22"/>
          <w:lang w:val="hu-HU"/>
        </w:rPr>
        <w:t xml:space="preserve"> kell a beteget</w:t>
      </w:r>
      <w:r w:rsidR="00F70AFD" w:rsidRPr="00262706">
        <w:rPr>
          <w:szCs w:val="22"/>
          <w:lang w:val="hu-HU"/>
        </w:rPr>
        <w:t xml:space="preserve"> arra</w:t>
      </w:r>
      <w:r w:rsidRPr="00262706">
        <w:rPr>
          <w:szCs w:val="22"/>
          <w:lang w:val="hu-HU"/>
        </w:rPr>
        <w:t>, hogy számoljon be bármilyen nyugtalanító gondolat vagy érzés jelentkezéséről.</w:t>
      </w:r>
    </w:p>
    <w:p w14:paraId="64C3399B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</w:p>
    <w:p w14:paraId="3085EB04" w14:textId="67435B53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 xml:space="preserve">Alkalmazás </w:t>
      </w:r>
      <w:r w:rsidR="00702112">
        <w:rPr>
          <w:i/>
          <w:szCs w:val="22"/>
          <w:lang w:val="hu-HU"/>
        </w:rPr>
        <w:t>18 év alatti gyermekeknél és serdülőknél</w:t>
      </w:r>
    </w:p>
    <w:p w14:paraId="1C95CE06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Dulsevia </w:t>
      </w:r>
      <w:r w:rsidR="00140752" w:rsidRPr="00262706">
        <w:rPr>
          <w:szCs w:val="22"/>
          <w:lang w:val="hu-HU"/>
        </w:rPr>
        <w:t xml:space="preserve">alkalmazása </w:t>
      </w:r>
      <w:r w:rsidRPr="00262706">
        <w:rPr>
          <w:szCs w:val="22"/>
          <w:lang w:val="hu-HU"/>
        </w:rPr>
        <w:t xml:space="preserve">nem javasolt </w:t>
      </w:r>
      <w:r w:rsidR="00824C5D" w:rsidRPr="00262706">
        <w:rPr>
          <w:szCs w:val="22"/>
          <w:lang w:val="hu-HU"/>
        </w:rPr>
        <w:t xml:space="preserve">18 év alatti </w:t>
      </w:r>
      <w:r w:rsidRPr="00262706">
        <w:rPr>
          <w:szCs w:val="22"/>
          <w:lang w:val="hu-HU"/>
        </w:rPr>
        <w:t xml:space="preserve">gyermekek és serdülők kezelésére. A klinikai vizsgálatok során antidepresszánssal kezelt gyermekeknél és serdülőknél gyakrabban figyeltek meg szuicid viselkedést (öngyilkossági kísérlet és szuicid gondolatok) és ellenséges magatartást (főként agresszivitás, ellenkezés és indulatosság), mint a placebocsoportban. Amennyiben a klinikai </w:t>
      </w:r>
      <w:r w:rsidR="00F14FA0" w:rsidRPr="00262706">
        <w:rPr>
          <w:szCs w:val="22"/>
          <w:lang w:val="hu-HU"/>
        </w:rPr>
        <w:t>igény</w:t>
      </w:r>
      <w:r w:rsidRPr="00262706">
        <w:rPr>
          <w:szCs w:val="22"/>
          <w:lang w:val="hu-HU"/>
        </w:rPr>
        <w:t xml:space="preserve"> alapján mégis az antidepresszáns-kezelés mellett döntenek, szorosan ellenőrizni kell a beteget a szuicid tünetek megjelenését illetően (lásd 5.1 pont). </w:t>
      </w:r>
      <w:r w:rsidR="00140752" w:rsidRPr="00262706">
        <w:rPr>
          <w:szCs w:val="22"/>
          <w:lang w:val="hu-HU"/>
        </w:rPr>
        <w:t>G</w:t>
      </w:r>
      <w:r w:rsidRPr="00262706">
        <w:rPr>
          <w:szCs w:val="22"/>
          <w:lang w:val="hu-HU"/>
        </w:rPr>
        <w:t>yermekekben és serdülőkben hiányoznak a hosszú távú biztonságossági adatok a növekedést, az érést, valamint a gondolkodás- és viselkedésbeli fejlődést illetően (lásd 4.8 pont).</w:t>
      </w:r>
    </w:p>
    <w:p w14:paraId="3A0D804A" w14:textId="77777777" w:rsidR="007A1716" w:rsidRPr="00262706" w:rsidRDefault="007A1716" w:rsidP="00262706">
      <w:pPr>
        <w:spacing w:line="240" w:lineRule="auto"/>
        <w:rPr>
          <w:szCs w:val="22"/>
          <w:lang w:val="hu-HU"/>
        </w:rPr>
      </w:pPr>
    </w:p>
    <w:p w14:paraId="32FF74FE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Vérzés</w:t>
      </w:r>
    </w:p>
    <w:p w14:paraId="0D381383" w14:textId="77777777" w:rsidR="00FF2CA1" w:rsidRPr="00707C8D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SSRI-k (selective serotonin reuptake inhibitors, szelektív szerotonin</w:t>
      </w:r>
      <w:r w:rsidR="00140752" w:rsidRPr="00262706">
        <w:rPr>
          <w:szCs w:val="22"/>
          <w:lang w:val="hu-HU"/>
        </w:rPr>
        <w:t>visszavétel-</w:t>
      </w:r>
      <w:r w:rsidRPr="00262706">
        <w:rPr>
          <w:szCs w:val="22"/>
          <w:lang w:val="hu-HU"/>
        </w:rPr>
        <w:t>gátlók) és SNRI-k (selective serotonin/norepinephrine reuptake inhibitors, szelektív szerotonin</w:t>
      </w:r>
      <w:r w:rsidR="00BB3429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/noradrenalin</w:t>
      </w:r>
      <w:r w:rsidR="006A7E23" w:rsidRPr="00262706">
        <w:rPr>
          <w:szCs w:val="22"/>
          <w:lang w:val="hu-HU"/>
        </w:rPr>
        <w:t>visszavétel-</w:t>
      </w:r>
      <w:r w:rsidRPr="00707C8D">
        <w:rPr>
          <w:szCs w:val="22"/>
          <w:lang w:val="hu-HU"/>
        </w:rPr>
        <w:t xml:space="preserve">gátlók) </w:t>
      </w:r>
      <w:r w:rsidR="00BB3429" w:rsidRPr="00707C8D">
        <w:rPr>
          <w:szCs w:val="22"/>
          <w:lang w:val="hu-HU"/>
        </w:rPr>
        <w:t>–</w:t>
      </w:r>
      <w:r w:rsidR="00E44E4A" w:rsidRPr="00707C8D">
        <w:rPr>
          <w:szCs w:val="22"/>
          <w:lang w:val="hu-HU"/>
        </w:rPr>
        <w:t xml:space="preserve"> </w:t>
      </w:r>
      <w:r w:rsidRPr="00707C8D">
        <w:rPr>
          <w:szCs w:val="22"/>
          <w:lang w:val="hu-HU"/>
        </w:rPr>
        <w:t>beleértve a duloxetint</w:t>
      </w:r>
      <w:r w:rsidR="00BB3429" w:rsidRPr="00707C8D">
        <w:rPr>
          <w:szCs w:val="22"/>
          <w:lang w:val="hu-HU"/>
        </w:rPr>
        <w:t xml:space="preserve"> –</w:t>
      </w:r>
      <w:r w:rsidR="00E44E4A" w:rsidRPr="00707C8D">
        <w:rPr>
          <w:szCs w:val="22"/>
          <w:lang w:val="hu-HU"/>
        </w:rPr>
        <w:t xml:space="preserve"> </w:t>
      </w:r>
      <w:r w:rsidRPr="00707C8D">
        <w:rPr>
          <w:szCs w:val="22"/>
          <w:lang w:val="hu-HU"/>
        </w:rPr>
        <w:t>alkalmazásával kapcsolatosan vérzési rendellenességeket, például ecchymosis, purpura és gastrointestinalis vérzés előfordulását jelentették.</w:t>
      </w:r>
    </w:p>
    <w:p w14:paraId="3B5136E5" w14:textId="77777777" w:rsidR="00F70AFD" w:rsidRPr="00D5391A" w:rsidRDefault="00FF2CA1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 xml:space="preserve">A duloxetin fokozhatja a szülés utáni vérzés kockázatát (lásd 4.6 pont). </w:t>
      </w:r>
      <w:r w:rsidR="00F70AFD" w:rsidRPr="00406D2E">
        <w:rPr>
          <w:szCs w:val="22"/>
          <w:lang w:val="hu-HU"/>
        </w:rPr>
        <w:t xml:space="preserve">Elővigyázatosan kell eljárni azoknál a betegeknél, akik antikoagulánst és/vagy más olyan gyógyszert szednek, amelyek </w:t>
      </w:r>
      <w:r w:rsidR="001046AD" w:rsidRPr="00406D2E">
        <w:rPr>
          <w:szCs w:val="22"/>
          <w:lang w:val="hu-HU"/>
        </w:rPr>
        <w:t>ismerten</w:t>
      </w:r>
      <w:r w:rsidR="00F70AFD" w:rsidRPr="00D5391A">
        <w:rPr>
          <w:szCs w:val="22"/>
          <w:lang w:val="hu-HU"/>
        </w:rPr>
        <w:t xml:space="preserve"> befolyásolják a thrombocyták működését (pl. nem</w:t>
      </w:r>
      <w:r w:rsidR="006A7E23" w:rsidRPr="00D5391A">
        <w:rPr>
          <w:szCs w:val="22"/>
          <w:lang w:val="hu-HU"/>
        </w:rPr>
        <w:t>-</w:t>
      </w:r>
      <w:r w:rsidR="00F70AFD" w:rsidRPr="00D5391A">
        <w:rPr>
          <w:szCs w:val="22"/>
          <w:lang w:val="hu-HU"/>
        </w:rPr>
        <w:t>szteroid gyulladásgátlók vagy acetilszalicilsav), valamint azoknál, akiknek ismert vérzéshajlama van.</w:t>
      </w:r>
    </w:p>
    <w:p w14:paraId="35B3D2C6" w14:textId="77777777" w:rsidR="0086367A" w:rsidRPr="00262706" w:rsidRDefault="0086367A" w:rsidP="00262706">
      <w:pPr>
        <w:spacing w:line="240" w:lineRule="auto"/>
        <w:rPr>
          <w:szCs w:val="22"/>
          <w:lang w:val="hu-HU"/>
        </w:rPr>
      </w:pPr>
    </w:p>
    <w:p w14:paraId="4EA9B8C4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Hyponatraemia</w:t>
      </w:r>
    </w:p>
    <w:p w14:paraId="602211F1" w14:textId="77777777" w:rsidR="000E0F47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6A7E23" w:rsidRPr="00262706">
        <w:rPr>
          <w:szCs w:val="22"/>
          <w:lang w:val="hu-HU"/>
        </w:rPr>
        <w:t xml:space="preserve">duloxetin </w:t>
      </w:r>
      <w:r w:rsidRPr="00262706">
        <w:rPr>
          <w:szCs w:val="22"/>
          <w:lang w:val="hu-HU"/>
        </w:rPr>
        <w:t xml:space="preserve">alkalmazásakor hyponatraemiás eseteket, köztük olyan eseteket </w:t>
      </w:r>
      <w:r w:rsidR="006A7E23" w:rsidRPr="00262706">
        <w:rPr>
          <w:szCs w:val="22"/>
          <w:lang w:val="hu-HU"/>
        </w:rPr>
        <w:t xml:space="preserve">is </w:t>
      </w:r>
      <w:r w:rsidRPr="00262706">
        <w:rPr>
          <w:szCs w:val="22"/>
          <w:lang w:val="hu-HU"/>
        </w:rPr>
        <w:t>jelentettek, amikor a szérum nátriumszint 110</w:t>
      </w:r>
      <w:r w:rsidR="00063B5F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mmol/l alatti volt. A hyponatraemia oka lehet az elégtelen antidiuretikus hormon szekréciós szindróma (syndrome of inappropriate antidiuretic hormone secretion – SIADH). A hyponatraemiás esetek többségéről idős betegeknél számoltak</w:t>
      </w:r>
      <w:r w:rsidR="000B3CCC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be, különösen akkor, ha a folyadékháztartás egyensúlyának közelmúltban történt változása vagy a folyadékháztartás egyensúlyának változására hajlamosító állapot is fennállt. Hyponatraemia fokozott kockázata esetén, úgymint időseknél, cirrhotikus vagy dehidrált betegeknél vagy diuretikumkezelés esetén, elővigyázatosság szükséges.</w:t>
      </w:r>
    </w:p>
    <w:p w14:paraId="1617231E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</w:p>
    <w:p w14:paraId="10AB0434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A kezelés leállítása</w:t>
      </w:r>
    </w:p>
    <w:p w14:paraId="0BCCEB40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kezelés leállításakor gyakoriak az elvonási tünetek, különösen akkor, ha a leállítás hirtelen történik (lásd 4.8 pont). A klinikai vizsgálatok során a kezelés hirtelen leállításakor észlelt nemkívánatos események a </w:t>
      </w:r>
      <w:r w:rsidR="00063B5F" w:rsidRPr="00262706">
        <w:rPr>
          <w:szCs w:val="22"/>
          <w:lang w:val="hu-HU"/>
        </w:rPr>
        <w:t>duloxetinnel</w:t>
      </w:r>
      <w:r w:rsidRPr="00262706">
        <w:rPr>
          <w:szCs w:val="22"/>
          <w:lang w:val="hu-HU"/>
        </w:rPr>
        <w:t xml:space="preserve"> kezelt betegek kb. 45%-ánál és a placebóval kezeltek 23%-ánál fordultak elő.</w:t>
      </w:r>
    </w:p>
    <w:p w14:paraId="4F69BE1B" w14:textId="1E136642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Az SSRI és SNRI készítményeknél tapasztalt elvonási tünetek kockázata több tényezőtől függhet, ide tartozik a kezelés időtartama, a terápiás dózis és a dózis csökkentésének üteme. A leggyakrabban jelentett mellékhatások a 4.8 pontban találhatók. A tünetek általában </w:t>
      </w:r>
      <w:r w:rsidR="006A7E23" w:rsidRPr="00262706">
        <w:rPr>
          <w:szCs w:val="22"/>
          <w:lang w:val="hu-HU"/>
        </w:rPr>
        <w:t xml:space="preserve">enyhe </w:t>
      </w:r>
      <w:r w:rsidRPr="00262706">
        <w:rPr>
          <w:szCs w:val="22"/>
          <w:lang w:val="hu-HU"/>
        </w:rPr>
        <w:t>vagy közepes</w:t>
      </w:r>
      <w:r w:rsidR="006A7E23" w:rsidRPr="00262706">
        <w:rPr>
          <w:szCs w:val="22"/>
          <w:lang w:val="hu-HU"/>
        </w:rPr>
        <w:t xml:space="preserve"> mértékűek</w:t>
      </w:r>
      <w:r w:rsidRPr="00262706">
        <w:rPr>
          <w:szCs w:val="22"/>
          <w:lang w:val="hu-HU"/>
        </w:rPr>
        <w:t xml:space="preserve">, </w:t>
      </w:r>
      <w:r w:rsidR="003C6F26" w:rsidRPr="00262706">
        <w:rPr>
          <w:szCs w:val="22"/>
          <w:lang w:val="hu-HU"/>
        </w:rPr>
        <w:t xml:space="preserve">de </w:t>
      </w:r>
      <w:r w:rsidRPr="00262706">
        <w:rPr>
          <w:szCs w:val="22"/>
          <w:lang w:val="hu-HU"/>
        </w:rPr>
        <w:t xml:space="preserve">néhány esetben súlyosak </w:t>
      </w:r>
      <w:r w:rsidR="003C6F26" w:rsidRPr="00262706">
        <w:rPr>
          <w:szCs w:val="22"/>
          <w:lang w:val="hu-HU"/>
        </w:rPr>
        <w:t xml:space="preserve">is </w:t>
      </w:r>
      <w:r w:rsidRPr="00262706">
        <w:rPr>
          <w:szCs w:val="22"/>
          <w:lang w:val="hu-HU"/>
        </w:rPr>
        <w:t xml:space="preserve">lehetnek. Többnyire a kezelés elhagyását követő első néhány napon jelentkeznek, azonban nagyon ritkán jeleztek ilyen tüneteket olyan betegeknél is, akik figyelmetlenségből hagytak ki egy </w:t>
      </w:r>
      <w:r w:rsidR="00702112">
        <w:rPr>
          <w:szCs w:val="22"/>
          <w:lang w:val="hu-HU"/>
        </w:rPr>
        <w:t>dózist</w:t>
      </w:r>
      <w:r w:rsidRPr="00262706">
        <w:rPr>
          <w:szCs w:val="22"/>
          <w:lang w:val="hu-HU"/>
        </w:rPr>
        <w:t>. A tünetek általában önmaguktól, többnyire 2 héten belül megszűnnek, bár néhány esetben hosszabb ideig (2-3 hónapig vagy tovább) is fennállhatnak. Ezért tanácsos a duloxetin adagolást legalább 2 hét alatt fokozatosan, a beteg igénye szerint csökkenteni (lásd 4.2 pont).</w:t>
      </w:r>
    </w:p>
    <w:p w14:paraId="26AEF311" w14:textId="77777777" w:rsidR="00063B5F" w:rsidRPr="00262706" w:rsidRDefault="00063B5F" w:rsidP="00262706">
      <w:pPr>
        <w:spacing w:line="240" w:lineRule="auto"/>
        <w:rPr>
          <w:szCs w:val="22"/>
          <w:lang w:val="hu-HU"/>
        </w:rPr>
      </w:pPr>
    </w:p>
    <w:p w14:paraId="20AFA42D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Idősek</w:t>
      </w:r>
    </w:p>
    <w:p w14:paraId="0D3A1364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120 mg </w:t>
      </w:r>
      <w:r w:rsidR="00063B5F" w:rsidRPr="00262706">
        <w:rPr>
          <w:szCs w:val="22"/>
          <w:lang w:val="hu-HU"/>
        </w:rPr>
        <w:t xml:space="preserve">duloxetin </w:t>
      </w:r>
      <w:r w:rsidRPr="00262706">
        <w:rPr>
          <w:szCs w:val="22"/>
          <w:lang w:val="hu-HU"/>
        </w:rPr>
        <w:t>adagolással kapcsolatban major depresszív zavarban és generalizált szorongásban szenvedő idős betegekre vonatkozóan korlátozottan állnak rendelkezésre adatok. Ezért idősek kezelésekor elővigyázatosság szükséges a maximális adagolás esetén (lásd 4.2 és 5.2 pont).</w:t>
      </w:r>
    </w:p>
    <w:p w14:paraId="080689EC" w14:textId="77777777" w:rsidR="00CB6652" w:rsidRPr="00262706" w:rsidRDefault="00CB6652" w:rsidP="00262706">
      <w:pPr>
        <w:spacing w:line="240" w:lineRule="auto"/>
        <w:rPr>
          <w:i/>
          <w:szCs w:val="22"/>
          <w:lang w:val="hu-HU"/>
        </w:rPr>
      </w:pPr>
    </w:p>
    <w:p w14:paraId="7DE5C4C0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Akathisia/pszichomotoros nyugtalanság</w:t>
      </w:r>
    </w:p>
    <w:p w14:paraId="72B9E56B" w14:textId="77777777" w:rsidR="00F70AFD" w:rsidRPr="00262706" w:rsidRDefault="003C6F2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d</w:t>
      </w:r>
      <w:r w:rsidR="00F70AFD" w:rsidRPr="00262706">
        <w:rPr>
          <w:szCs w:val="22"/>
          <w:lang w:val="hu-HU"/>
        </w:rPr>
        <w:t xml:space="preserve">uloxetin használatához akathisia kialakulása társult, melyet </w:t>
      </w:r>
      <w:r w:rsidRPr="00262706">
        <w:rPr>
          <w:szCs w:val="22"/>
          <w:lang w:val="hu-HU"/>
        </w:rPr>
        <w:t xml:space="preserve">egyénenként </w:t>
      </w:r>
      <w:r w:rsidR="00F70AFD" w:rsidRPr="00262706">
        <w:rPr>
          <w:szCs w:val="22"/>
          <w:lang w:val="hu-HU"/>
        </w:rPr>
        <w:t xml:space="preserve">kellemetlen vagy lehangoló nyugtalanság és mozgáskényszer jellemez, a beteg képtelen nyugodtan ülni vagy állni. Ez leginkább a kezelés első néhány </w:t>
      </w:r>
      <w:r w:rsidRPr="00262706">
        <w:rPr>
          <w:szCs w:val="22"/>
          <w:lang w:val="hu-HU"/>
        </w:rPr>
        <w:t>hetében</w:t>
      </w:r>
      <w:r w:rsidR="00F70AFD" w:rsidRPr="00262706">
        <w:rPr>
          <w:szCs w:val="22"/>
          <w:lang w:val="hu-HU"/>
        </w:rPr>
        <w:t xml:space="preserve"> fordulhat elő. Ezen tünetek kialakulása esetén az adagolás emelése ártalmas lehet.</w:t>
      </w:r>
    </w:p>
    <w:p w14:paraId="60A33AD2" w14:textId="77777777" w:rsidR="002D1962" w:rsidRPr="00262706" w:rsidRDefault="002D1962" w:rsidP="00262706">
      <w:pPr>
        <w:spacing w:line="240" w:lineRule="auto"/>
        <w:rPr>
          <w:i/>
          <w:szCs w:val="22"/>
          <w:lang w:val="hu-HU"/>
        </w:rPr>
      </w:pPr>
    </w:p>
    <w:p w14:paraId="71147B5A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Duloxetint tartalmazó gyógyszerek</w:t>
      </w:r>
    </w:p>
    <w:p w14:paraId="39CD2F92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Néhány indikációban (diabeteses neuropathiás fájdalom kezelése, major depresszív zavar, generalizált szorongás és stressz</w:t>
      </w:r>
      <w:r w:rsidR="003C6F26" w:rsidRPr="00262706">
        <w:rPr>
          <w:szCs w:val="22"/>
          <w:lang w:val="hu-HU"/>
        </w:rPr>
        <w:t xml:space="preserve"> okozta </w:t>
      </w:r>
      <w:r w:rsidRPr="00262706">
        <w:rPr>
          <w:szCs w:val="22"/>
          <w:lang w:val="hu-HU"/>
        </w:rPr>
        <w:t>vizelet</w:t>
      </w:r>
      <w:r w:rsidR="003C6F2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 xml:space="preserve">inkontinencia) a duloxetin különböző kereskedelmi neveken van forgalomban. Kerülni kell </w:t>
      </w:r>
      <w:r w:rsidR="003C6F26" w:rsidRPr="00262706">
        <w:rPr>
          <w:szCs w:val="22"/>
          <w:lang w:val="hu-HU"/>
        </w:rPr>
        <w:t xml:space="preserve">az </w:t>
      </w:r>
      <w:r w:rsidRPr="00262706">
        <w:rPr>
          <w:szCs w:val="22"/>
          <w:lang w:val="hu-HU"/>
        </w:rPr>
        <w:t>egynél több ilyen készítmény alkalmazását.</w:t>
      </w:r>
    </w:p>
    <w:p w14:paraId="0FA6C1E5" w14:textId="77777777" w:rsidR="00063B5F" w:rsidRPr="00262706" w:rsidRDefault="00063B5F" w:rsidP="00262706">
      <w:pPr>
        <w:spacing w:line="240" w:lineRule="auto"/>
        <w:rPr>
          <w:szCs w:val="22"/>
          <w:lang w:val="hu-HU"/>
        </w:rPr>
      </w:pPr>
    </w:p>
    <w:p w14:paraId="0B69171B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Hepatitis/Emelkedett májenzim-aktivitás</w:t>
      </w:r>
    </w:p>
    <w:p w14:paraId="59A82107" w14:textId="77777777" w:rsidR="00F70AFD" w:rsidRPr="00262706" w:rsidRDefault="003C6F26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duloxetin </w:t>
      </w:r>
      <w:r w:rsidR="00F70AFD" w:rsidRPr="00262706">
        <w:rPr>
          <w:szCs w:val="22"/>
          <w:lang w:val="hu-HU"/>
        </w:rPr>
        <w:t>alkalmazásakor jelentettek májkárosodást, beleértve a májenzim-aktivitás nagyfokú emelkedését (több mint a normál érték felső határának tízszerese), hepatitist és sárgaságot (lásd 4.8</w:t>
      </w:r>
      <w:r w:rsidR="008255B7" w:rsidRPr="00262706">
        <w:rPr>
          <w:szCs w:val="22"/>
          <w:lang w:val="hu-HU"/>
        </w:rPr>
        <w:t> </w:t>
      </w:r>
      <w:r w:rsidR="00F70AFD" w:rsidRPr="00262706">
        <w:rPr>
          <w:szCs w:val="22"/>
          <w:lang w:val="hu-HU"/>
        </w:rPr>
        <w:t>pont). A legtöbb eset a kezelés első hónapja alatt történt. A májkárosodás túlnyomórészt hepatocellularis típusú volt. Egyéb olyan gyógyszerek szedése esetén, mely</w:t>
      </w:r>
      <w:r w:rsidR="00BB4843" w:rsidRPr="00262706">
        <w:rPr>
          <w:szCs w:val="22"/>
          <w:lang w:val="hu-HU"/>
        </w:rPr>
        <w:t>ek</w:t>
      </w:r>
      <w:r w:rsidR="00F70AFD" w:rsidRPr="00262706">
        <w:rPr>
          <w:szCs w:val="22"/>
          <w:lang w:val="hu-HU"/>
        </w:rPr>
        <w:t xml:space="preserve"> májkárosodást okozhatnak, a duloxetin alkalmazásakor elővigyázatosság szükséges.</w:t>
      </w:r>
    </w:p>
    <w:p w14:paraId="2207E88E" w14:textId="77777777" w:rsidR="00063B5F" w:rsidRDefault="00063B5F" w:rsidP="00262706">
      <w:pPr>
        <w:spacing w:line="240" w:lineRule="auto"/>
        <w:rPr>
          <w:szCs w:val="22"/>
          <w:lang w:val="hu-HU"/>
        </w:rPr>
      </w:pPr>
    </w:p>
    <w:p w14:paraId="24714F5A" w14:textId="77777777" w:rsidR="0028511D" w:rsidRPr="00EC622C" w:rsidRDefault="0028511D" w:rsidP="0028511D">
      <w:pPr>
        <w:spacing w:line="240" w:lineRule="auto"/>
        <w:rPr>
          <w:i/>
          <w:szCs w:val="22"/>
          <w:lang w:val="hu-HU"/>
        </w:rPr>
      </w:pPr>
      <w:r w:rsidRPr="00EC622C">
        <w:rPr>
          <w:i/>
          <w:szCs w:val="22"/>
          <w:lang w:val="hu-HU"/>
        </w:rPr>
        <w:t>Szexuális zavar</w:t>
      </w:r>
    </w:p>
    <w:p w14:paraId="29FDF947" w14:textId="77777777" w:rsidR="0028511D" w:rsidRDefault="0028511D" w:rsidP="0028511D">
      <w:pPr>
        <w:spacing w:line="240" w:lineRule="auto"/>
        <w:rPr>
          <w:szCs w:val="22"/>
          <w:lang w:val="hu-HU"/>
        </w:rPr>
      </w:pPr>
      <w:r w:rsidRPr="005B5DDF">
        <w:rPr>
          <w:szCs w:val="22"/>
          <w:lang w:val="hu-HU"/>
        </w:rPr>
        <w:t>A szelektív szerotonin visszavétel gátlók (SSRI-k)/szerotonin-noradrenalin visszavétel gátlók (SNRI-k) szexuális diszfunkci</w:t>
      </w:r>
      <w:r>
        <w:rPr>
          <w:szCs w:val="22"/>
          <w:lang w:val="hu-HU"/>
        </w:rPr>
        <w:t>ó tüneteit okozhatják (lásd 4.8 </w:t>
      </w:r>
      <w:r w:rsidRPr="005B5DDF">
        <w:rPr>
          <w:szCs w:val="22"/>
          <w:lang w:val="hu-HU"/>
        </w:rPr>
        <w:t>pont). Beszámoltak olyan, hosszan tartó szexuális diszfunkcióról is, ahol a tünetek a SSRI/SNRI leál</w:t>
      </w:r>
      <w:r w:rsidR="004055B3">
        <w:rPr>
          <w:szCs w:val="22"/>
          <w:lang w:val="hu-HU"/>
        </w:rPr>
        <w:t>l</w:t>
      </w:r>
      <w:r w:rsidRPr="005B5DDF">
        <w:rPr>
          <w:szCs w:val="22"/>
          <w:lang w:val="hu-HU"/>
        </w:rPr>
        <w:t>ítása ellenére sem szűntek meg.</w:t>
      </w:r>
    </w:p>
    <w:p w14:paraId="0F50DA82" w14:textId="77777777" w:rsidR="0028511D" w:rsidRPr="00262706" w:rsidRDefault="0028511D" w:rsidP="00262706">
      <w:pPr>
        <w:spacing w:line="240" w:lineRule="auto"/>
        <w:rPr>
          <w:szCs w:val="22"/>
          <w:lang w:val="hu-HU"/>
        </w:rPr>
      </w:pPr>
    </w:p>
    <w:p w14:paraId="2BDB6C2B" w14:textId="77777777" w:rsidR="00F70AFD" w:rsidRPr="00262706" w:rsidRDefault="00F70AFD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Szacharóz</w:t>
      </w:r>
    </w:p>
    <w:p w14:paraId="1BD17747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Dulsevia szacharózt tartalmaz. Ritkán előforduló, örökletes fruktózintoleranciában, glükóz-galaktóz malabszorpcióban vagy szacharáz-izomaltáz hiányban a készítmény nem szedhető.</w:t>
      </w:r>
    </w:p>
    <w:p w14:paraId="4DD9A779" w14:textId="77777777" w:rsidR="00F70AFD" w:rsidRPr="00262706" w:rsidRDefault="00F70AFD" w:rsidP="00262706">
      <w:pPr>
        <w:spacing w:line="240" w:lineRule="auto"/>
        <w:rPr>
          <w:szCs w:val="22"/>
          <w:lang w:val="hu-HU"/>
        </w:rPr>
      </w:pPr>
    </w:p>
    <w:p w14:paraId="31FAAE24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78F7651B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EEA855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Monoamino-oxidáz inhibitorok (MAOI):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a szerotonin</w:t>
      </w:r>
      <w:r w:rsidR="00256DB1">
        <w:rPr>
          <w:rFonts w:eastAsia="Times New Roman"/>
          <w:noProof/>
          <w:snapToGrid/>
          <w:szCs w:val="22"/>
          <w:lang w:val="hu-HU" w:eastAsia="en-US"/>
        </w:rPr>
        <w:t>-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szindróma veszélye miatt a duloxetin a nem szelektív, irreverzibilis monoamino-oxidáz inhibitorokkal (MAOI-k) kombinációban, illetve a MAOI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kkal történő kezelés abbahagyását követő 14 napon belül nem alkalmazható. A duloxetin felezési ideje alapján legalább 5 napnak kell eltelnie a Dulsevia-kezelés abbahagyását követően, mielőtt a MAOI</w:t>
      </w:r>
      <w:r w:rsidR="00CE3E72" w:rsidRPr="00262706">
        <w:rPr>
          <w:rFonts w:eastAsia="Times New Roman"/>
          <w:noProof/>
          <w:snapToGrid/>
          <w:szCs w:val="22"/>
          <w:lang w:val="hu-HU" w:eastAsia="en-US"/>
        </w:rPr>
        <w:t>-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kezelést elindítanák (lásd 4.3 pont).</w:t>
      </w:r>
    </w:p>
    <w:p w14:paraId="6FBC9187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7E147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Dulsevia egyidejű alkalmazása szelektív, reverzibilis MAOI-kkal, mint a moklobemid, nem javasolt (lásd 4.4 pont). A linezolid nevű antibiotikum egy reverzibilis, nem szelektív MAO-gátló, és Dulsevia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val kezelt betegeknek nem adható (lásd 4.4 pont).</w:t>
      </w:r>
    </w:p>
    <w:p w14:paraId="04FA36BD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E12B140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CYP1A2 inhibitorai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: mivel a CYP1A2 szerepet játszik a duloxetin metabolizmusában, a duloxetin erős CYP1A2-inhibitorokkal történő együttadása valószínűleg magasabb duloxetin-koncentrációkat eredményez. Az erős CYP1A2 inhibitor fluvoxamin (100 mg naponta egyszer) megközelítőleg 77%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kal csökkentette a duloxetin látszólagos plazmaclearance-ét és hatszorosára növelte az AUC</w:t>
      </w:r>
      <w:r w:rsidRPr="00262706">
        <w:rPr>
          <w:rFonts w:eastAsia="Times New Roman"/>
          <w:noProof/>
          <w:snapToGrid/>
          <w:szCs w:val="22"/>
          <w:vertAlign w:val="subscript"/>
          <w:lang w:val="hu-HU" w:eastAsia="en-US"/>
        </w:rPr>
        <w:t>0-t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-t. Ezért a Dulsevia-t nem szabad együttesen alkalmazni erős CYP1A2-inhibitorokkal, mint amilyen a fluvoxamin (lásd 4.3 pont).</w:t>
      </w:r>
    </w:p>
    <w:p w14:paraId="7E26ADC0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CE4A639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Központi idegrendszerre ható gyógyszerek: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a duloxetin és egyéb központi idegrendszerre ható gyógyszerek kombinációjának kockázatát nem vizsgálták módszeresen, kivéve azokat az eseteket, amelyeket ez a pont tartalmaz. Ezért elővigyázatosság javasolt, ha a Dulsevia-t egyéb, centrálisan ható gyógyszerekkel és hatóanyagokkal kombinációban alkalmazzák, beleértve az alkoholt és </w:t>
      </w:r>
      <w:r w:rsidR="00236BF1" w:rsidRPr="0026270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szedatív hatású gyógyszereket (pl. benzodiazepineket, morfin hatású szereket, antipszichotikumokat, fenobarbitált, szedatív hatású antihisztaminokat).</w:t>
      </w:r>
    </w:p>
    <w:p w14:paraId="5AC99BC4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699DDA" w14:textId="77777777" w:rsidR="00063B5F" w:rsidRPr="00564F89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Szerotonerg szerek: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Ritka esetekben szerotonin</w:t>
      </w:r>
      <w:r w:rsidR="00256DB1">
        <w:rPr>
          <w:rFonts w:eastAsia="Times New Roman"/>
          <w:noProof/>
          <w:snapToGrid/>
          <w:szCs w:val="22"/>
          <w:lang w:val="hu-HU" w:eastAsia="en-US"/>
        </w:rPr>
        <w:t>-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szindrómát jelentettek olyan SSRI-t/SNRI-t szedő betegeknél, akik egyidejűleg szerotonerg gyógyszert is kaptak. Elővigyázatosságra van szükség, ha a Dulsevia-t együtt adják szerotonerg szerekkel, pl. SSRI-kkel, SNRI-kkel, t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t>ricikluso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s antidepresszánsokkal, pl. klomipraminnal vagy amitriptilinnel, MAO-gátlókkal, mint a moklobemid vagy linezolid, 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t>k</w:t>
      </w:r>
      <w:r w:rsidR="007D2A70" w:rsidRPr="00262706">
        <w:rPr>
          <w:rFonts w:eastAsia="Times New Roman"/>
          <w:noProof/>
          <w:snapToGrid/>
          <w:szCs w:val="22"/>
          <w:lang w:val="hu-HU" w:eastAsia="en-US"/>
        </w:rPr>
        <w:t xml:space="preserve">özönséges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orbáncfűvel (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Hypericum perforatum</w:t>
      </w:r>
      <w:r w:rsidRPr="00564F89">
        <w:rPr>
          <w:rFonts w:eastAsia="Times New Roman"/>
          <w:noProof/>
          <w:snapToGrid/>
          <w:szCs w:val="22"/>
          <w:lang w:val="hu-HU" w:eastAsia="en-US"/>
        </w:rPr>
        <w:t>) vagy triptánokkal,</w:t>
      </w:r>
      <w:r w:rsidR="005C010D">
        <w:rPr>
          <w:rFonts w:eastAsia="Times New Roman"/>
          <w:noProof/>
          <w:snapToGrid/>
          <w:szCs w:val="22"/>
          <w:lang w:val="hu-HU" w:eastAsia="en-US"/>
        </w:rPr>
        <w:t xml:space="preserve"> buprenorfinnal,</w:t>
      </w:r>
      <w:r w:rsidRPr="00564F89">
        <w:rPr>
          <w:rFonts w:eastAsia="Times New Roman"/>
          <w:noProof/>
          <w:snapToGrid/>
          <w:szCs w:val="22"/>
          <w:lang w:val="hu-HU" w:eastAsia="en-US"/>
        </w:rPr>
        <w:t xml:space="preserve"> tramadollal, petidinnel és triptofánnal (lásd 4.4 pont).</w:t>
      </w:r>
    </w:p>
    <w:p w14:paraId="05D95A0A" w14:textId="77777777" w:rsidR="00CB6652" w:rsidRPr="00564F89" w:rsidRDefault="00CB6652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5FDAB1" w14:textId="77777777" w:rsidR="00063B5F" w:rsidRPr="000F0D19" w:rsidRDefault="00063B5F" w:rsidP="00262706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564F89">
        <w:rPr>
          <w:rFonts w:eastAsia="Times New Roman"/>
          <w:noProof/>
          <w:snapToGrid/>
          <w:szCs w:val="22"/>
          <w:u w:val="single"/>
          <w:lang w:val="hu-HU" w:eastAsia="en-US"/>
        </w:rPr>
        <w:t>Duloxetin hatása egyéb gyógyszere</w:t>
      </w:r>
      <w:r w:rsidRPr="000F0D19">
        <w:rPr>
          <w:rFonts w:eastAsia="Times New Roman"/>
          <w:noProof/>
          <w:snapToGrid/>
          <w:szCs w:val="22"/>
          <w:u w:val="single"/>
          <w:lang w:val="hu-HU" w:eastAsia="en-US"/>
        </w:rPr>
        <w:t>kre</w:t>
      </w:r>
    </w:p>
    <w:p w14:paraId="3E55A6D2" w14:textId="77777777" w:rsidR="008D474F" w:rsidRPr="00D12F5C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F0D19">
        <w:rPr>
          <w:rFonts w:eastAsia="Times New Roman"/>
          <w:i/>
          <w:noProof/>
          <w:snapToGrid/>
          <w:szCs w:val="22"/>
          <w:lang w:val="hu-HU" w:eastAsia="en-US"/>
        </w:rPr>
        <w:t>CYP1A2 által metabolizált gyógyszerek:</w:t>
      </w:r>
      <w:r w:rsidRPr="00587715">
        <w:rPr>
          <w:rFonts w:eastAsia="Times New Roman"/>
          <w:noProof/>
          <w:snapToGrid/>
          <w:szCs w:val="22"/>
          <w:lang w:val="hu-HU" w:eastAsia="en-US"/>
        </w:rPr>
        <w:t xml:space="preserve"> A CYP1A2 szubsztrátjának, a teofillinnek a farmakokinetikáját a duloxetin egyidejű adása (naponta kétszer 60 mg) </w:t>
      </w:r>
      <w:r w:rsidR="008D474F" w:rsidRPr="00587715">
        <w:rPr>
          <w:rFonts w:eastAsia="Times New Roman"/>
          <w:noProof/>
          <w:snapToGrid/>
          <w:szCs w:val="22"/>
          <w:lang w:val="hu-HU" w:eastAsia="en-US"/>
        </w:rPr>
        <w:t>szignifikánsan nem befolyásolta</w:t>
      </w:r>
      <w:r w:rsidRPr="00D12F5C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6ED9D21" w14:textId="77777777" w:rsidR="00E86894" w:rsidRPr="00D12F5C" w:rsidRDefault="00E86894" w:rsidP="00262706">
      <w:pPr>
        <w:spacing w:line="240" w:lineRule="auto"/>
        <w:rPr>
          <w:rFonts w:eastAsia="Times New Roman"/>
          <w:i/>
          <w:noProof/>
          <w:snapToGrid/>
          <w:szCs w:val="22"/>
          <w:lang w:val="hu-HU" w:eastAsia="en-US"/>
        </w:rPr>
      </w:pPr>
    </w:p>
    <w:p w14:paraId="14B1E8D6" w14:textId="6946A30D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12F5C">
        <w:rPr>
          <w:rFonts w:eastAsia="Times New Roman"/>
          <w:i/>
          <w:noProof/>
          <w:snapToGrid/>
          <w:szCs w:val="22"/>
          <w:lang w:val="hu-HU" w:eastAsia="en-US"/>
        </w:rPr>
        <w:t>CYP2D6 által metabolizált gyógyszerek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: A duloxetin közepes mértékben gátolja a CYP2D6-</w:t>
      </w:r>
      <w:r w:rsidR="008D474F" w:rsidRPr="00262706">
        <w:rPr>
          <w:rFonts w:eastAsia="Times New Roman"/>
          <w:noProof/>
          <w:snapToGrid/>
          <w:szCs w:val="22"/>
          <w:lang w:val="hu-HU" w:eastAsia="en-US"/>
        </w:rPr>
        <w:t>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t. Napi kétszer 60 mg duloxetin és dezipramin (mely CYP2D6-szubsztrát) egyszeri </w:t>
      </w:r>
      <w:r w:rsidR="00702112">
        <w:rPr>
          <w:rFonts w:eastAsia="Times New Roman"/>
          <w:noProof/>
          <w:snapToGrid/>
          <w:szCs w:val="22"/>
          <w:lang w:val="hu-HU" w:eastAsia="en-US"/>
        </w:rPr>
        <w:t>dózisának</w:t>
      </w:r>
      <w:r w:rsidR="00702112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együttes</w:t>
      </w:r>
      <w:r w:rsidRPr="00A411B5">
        <w:rPr>
          <w:szCs w:val="22"/>
          <w:lang w:val="hu-HU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alkalmazásakor a dezipramin AUC-értéke </w:t>
      </w:r>
      <w:r w:rsidR="00BE2F47" w:rsidRPr="00262706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háromszorosára nőtt. A duloxetin együttadása (40 mg naponta kétszer) 71%-kal növeli a tolterodin (2 mg naponta kétszer) egyensúlyi AUC-jét, de nem befolyásolja az aktív 5-hidroxi metabolit farmakokinetikáját, és dózismódosítás nem javasolt. Elővigyázatosságra van szükség a főként CYP2D6 által metabolizálódó gyógyszereknek (risperidon, t</w:t>
      </w:r>
      <w:r w:rsidR="00E86894" w:rsidRPr="00262706">
        <w:rPr>
          <w:rFonts w:eastAsia="Times New Roman"/>
          <w:noProof/>
          <w:snapToGrid/>
          <w:szCs w:val="22"/>
          <w:lang w:val="hu-HU" w:eastAsia="en-US"/>
        </w:rPr>
        <w:t>ricikluso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s antidepresszánsok, mint a nortriptilin, amitriptilin és imipramin) a duloxetinnel történő együttadásakor, különösen akkor, ha szűk a terápiás tartományuk (mint a flekainid, propafenon és metoprolol).</w:t>
      </w:r>
    </w:p>
    <w:p w14:paraId="083E1850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1375BE0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Orális fogamzásgátlók és egyéb szteroidok: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In vitro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vizsgálatok eredményei szerint a duloxetin nem indukálja a CYP3A katalitikus aktivitását. Specifikus 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in vivo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gyógyszerinterakciós vizsgálatokat nem végeztek.</w:t>
      </w:r>
    </w:p>
    <w:p w14:paraId="53CC7DA9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FD9BB4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Véralvadásgátlók és thrombocytaaggregáció</w:t>
      </w:r>
      <w:r w:rsidR="00EE193B" w:rsidRPr="00262706">
        <w:rPr>
          <w:rFonts w:eastAsia="Times New Roman"/>
          <w:i/>
          <w:noProof/>
          <w:snapToGrid/>
          <w:szCs w:val="22"/>
          <w:lang w:val="hu-HU" w:eastAsia="en-US"/>
        </w:rPr>
        <w:t>-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gátlók: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63699E" w:rsidRPr="00262706">
        <w:rPr>
          <w:rFonts w:eastAsia="Times New Roman"/>
          <w:noProof/>
          <w:snapToGrid/>
          <w:szCs w:val="22"/>
          <w:lang w:val="hu-HU" w:eastAsia="en-US"/>
        </w:rPr>
        <w:t>A d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uloxetin és </w:t>
      </w:r>
      <w:r w:rsidR="0063699E" w:rsidRPr="00262706"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orális véralvadásgátlók vagy thrombocytaaggregáció</w:t>
      </w:r>
      <w:r w:rsidR="00EE193B" w:rsidRPr="00262706">
        <w:rPr>
          <w:rFonts w:eastAsia="Times New Roman"/>
          <w:noProof/>
          <w:snapToGrid/>
          <w:szCs w:val="22"/>
          <w:lang w:val="hu-HU" w:eastAsia="en-US"/>
        </w:rPr>
        <w:t>-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gátlók kombinációjakor a vérzés esetlegesen emelkedett kockázata miatt (mely farmakodinámiás interakciónak tulajdonítható) elővigyázatosságra van szükség. </w:t>
      </w:r>
      <w:r w:rsidR="0063699E" w:rsidRPr="00262706">
        <w:rPr>
          <w:rFonts w:eastAsia="Times New Roman"/>
          <w:noProof/>
          <w:snapToGrid/>
          <w:szCs w:val="22"/>
          <w:lang w:val="hu-HU" w:eastAsia="en-US"/>
        </w:rPr>
        <w:t>B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eszámoltak az INR-értékek növekedéséről, amikor a duloxetint warfarinnal kezelt betegnél </w:t>
      </w:r>
      <w:r w:rsidR="00BE2F47" w:rsidRPr="00262706">
        <w:rPr>
          <w:rFonts w:eastAsia="Times New Roman"/>
          <w:noProof/>
          <w:snapToGrid/>
          <w:szCs w:val="22"/>
          <w:lang w:val="hu-HU" w:eastAsia="en-US"/>
        </w:rPr>
        <w:t xml:space="preserve">egyidejűleg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alkalmazták. </w:t>
      </w:r>
      <w:r w:rsidR="0063699E" w:rsidRPr="00262706">
        <w:rPr>
          <w:rFonts w:eastAsia="Times New Roman"/>
          <w:noProof/>
          <w:snapToGrid/>
          <w:szCs w:val="22"/>
          <w:lang w:val="hu-HU" w:eastAsia="en-US"/>
        </w:rPr>
        <w:t>E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gészséges önkénteseknél a duloxetin és warfarin egy klinikai farmakológiai vizsgálat részeként történő egyidejű alkalmazása során</w:t>
      </w:r>
      <w:r w:rsidR="008D474F" w:rsidRPr="00262706">
        <w:rPr>
          <w:rFonts w:eastAsia="Times New Roman"/>
          <w:noProof/>
          <w:snapToGrid/>
          <w:szCs w:val="22"/>
          <w:lang w:val="hu-HU" w:eastAsia="en-US"/>
        </w:rPr>
        <w:t>,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dinamikus egyensúlyi állapotban nem eredményezett a kiindulási értékehez viszonyított klinikailag jelentős változást az INR-értékben, illetve az R- vagy S-warfarin farmakokinetikájában.</w:t>
      </w:r>
    </w:p>
    <w:p w14:paraId="2A4B2408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B20001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u w:val="single"/>
          <w:lang w:val="hu-HU" w:eastAsia="en-US"/>
        </w:rPr>
        <w:t>Egyéb gyógyszerek hatása a duloxetinre</w:t>
      </w:r>
    </w:p>
    <w:p w14:paraId="0AB6E994" w14:textId="77777777" w:rsidR="00063B5F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Antacid</w:t>
      </w:r>
      <w:r w:rsidR="008D474F" w:rsidRPr="00262706">
        <w:rPr>
          <w:rFonts w:eastAsia="Times New Roman"/>
          <w:i/>
          <w:noProof/>
          <w:snapToGrid/>
          <w:szCs w:val="22"/>
          <w:lang w:val="hu-HU" w:eastAsia="en-US"/>
        </w:rPr>
        <w:t>o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k és H</w:t>
      </w:r>
      <w:r w:rsidRPr="00262706">
        <w:rPr>
          <w:rFonts w:eastAsia="Times New Roman"/>
          <w:i/>
          <w:noProof/>
          <w:snapToGrid/>
          <w:szCs w:val="22"/>
          <w:vertAlign w:val="subscript"/>
          <w:lang w:val="hu-HU" w:eastAsia="en-US"/>
        </w:rPr>
        <w:t>2</w:t>
      </w: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 xml:space="preserve"> antagonisták: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A duloxetin alumíniu</w:t>
      </w:r>
      <w:r w:rsidR="008D474F" w:rsidRPr="00262706">
        <w:rPr>
          <w:rFonts w:eastAsia="Times New Roman"/>
          <w:noProof/>
          <w:snapToGrid/>
          <w:szCs w:val="22"/>
          <w:lang w:val="hu-HU" w:eastAsia="en-US"/>
        </w:rPr>
        <w:t>m- és magnéziumtartalmú antacido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kkal, vagy famotidinnel történő együttadása nem befolyásolta jelentősen a duloxetin 40 mg-os orális dózisa után a felszívódás sebességét vagy mértékét.</w:t>
      </w:r>
    </w:p>
    <w:p w14:paraId="262B839F" w14:textId="77777777" w:rsidR="008D474F" w:rsidRPr="00262706" w:rsidRDefault="008D47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652EB8" w14:textId="77777777" w:rsidR="00E1258C" w:rsidRPr="00262706" w:rsidRDefault="00063B5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i/>
          <w:noProof/>
          <w:snapToGrid/>
          <w:szCs w:val="22"/>
          <w:lang w:val="hu-HU" w:eastAsia="en-US"/>
        </w:rPr>
        <w:t>CYP1A2 induktorok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: A populációs farmakokinetikai vizsgálatok azt mutatták, hogy a dohányzók duloxetin plazmakoncentrációi majdnem 50%-kal alacsonyabbak, mint a nemdohányzóké.</w:t>
      </w:r>
    </w:p>
    <w:p w14:paraId="3ABE3F62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F9253DE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1BA82725" w14:textId="77777777" w:rsidR="00F45C51" w:rsidRPr="00262706" w:rsidRDefault="00F45C51" w:rsidP="00262706">
      <w:pPr>
        <w:spacing w:line="240" w:lineRule="auto"/>
        <w:rPr>
          <w:szCs w:val="22"/>
          <w:lang w:val="hu-HU"/>
        </w:rPr>
      </w:pPr>
    </w:p>
    <w:p w14:paraId="1CF27276" w14:textId="77777777" w:rsidR="00B92CE2" w:rsidRPr="00262706" w:rsidRDefault="00B92CE2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Termékenység</w:t>
      </w:r>
    </w:p>
    <w:p w14:paraId="1C1DDF4D" w14:textId="55EA28F3" w:rsidR="00B92CE2" w:rsidRPr="00262706" w:rsidRDefault="00AB7243" w:rsidP="00262706">
      <w:pPr>
        <w:spacing w:line="240" w:lineRule="auto"/>
        <w:rPr>
          <w:szCs w:val="22"/>
          <w:lang w:val="hu-HU"/>
        </w:rPr>
      </w:pPr>
      <w:r w:rsidRPr="00262706">
        <w:rPr>
          <w:snapToGrid/>
          <w:szCs w:val="22"/>
          <w:lang w:val="hu-HU" w:eastAsia="hu-HU"/>
        </w:rPr>
        <w:t xml:space="preserve">Állatkísérletekben </w:t>
      </w:r>
      <w:r w:rsidRPr="00262706">
        <w:rPr>
          <w:szCs w:val="22"/>
          <w:lang w:val="hu-HU"/>
        </w:rPr>
        <w:t>a</w:t>
      </w:r>
      <w:r w:rsidR="00B92CE2" w:rsidRPr="00262706">
        <w:rPr>
          <w:szCs w:val="22"/>
          <w:lang w:val="hu-HU"/>
        </w:rPr>
        <w:t xml:space="preserve"> duloxetinnek nem volt hatása a </w:t>
      </w:r>
      <w:r w:rsidR="00104723" w:rsidRPr="00262706">
        <w:rPr>
          <w:szCs w:val="22"/>
          <w:lang w:val="hu-HU"/>
        </w:rPr>
        <w:t>hím állatok</w:t>
      </w:r>
      <w:r w:rsidR="00B92CE2" w:rsidRPr="00262706">
        <w:rPr>
          <w:szCs w:val="22"/>
          <w:lang w:val="hu-HU"/>
        </w:rPr>
        <w:t xml:space="preserve"> termékenységére, és a nő</w:t>
      </w:r>
      <w:r w:rsidR="00104723" w:rsidRPr="00262706">
        <w:rPr>
          <w:szCs w:val="22"/>
          <w:lang w:val="hu-HU"/>
        </w:rPr>
        <w:t xml:space="preserve">stény </w:t>
      </w:r>
      <w:r w:rsidR="003B7970" w:rsidRPr="00262706">
        <w:rPr>
          <w:szCs w:val="22"/>
          <w:lang w:val="hu-HU"/>
        </w:rPr>
        <w:t>egyedekre</w:t>
      </w:r>
      <w:r w:rsidR="00B92CE2" w:rsidRPr="00262706">
        <w:rPr>
          <w:szCs w:val="22"/>
          <w:lang w:val="hu-HU"/>
        </w:rPr>
        <w:t xml:space="preserve"> gyakorolt hatás is csak </w:t>
      </w:r>
      <w:r w:rsidR="0032146D" w:rsidRPr="00262706">
        <w:rPr>
          <w:szCs w:val="22"/>
          <w:lang w:val="hu-HU"/>
        </w:rPr>
        <w:t xml:space="preserve">az </w:t>
      </w:r>
      <w:r w:rsidR="00B92CE2" w:rsidRPr="00262706">
        <w:rPr>
          <w:szCs w:val="22"/>
          <w:lang w:val="hu-HU"/>
        </w:rPr>
        <w:t>anyai toxicitást okoz</w:t>
      </w:r>
      <w:r w:rsidR="0032146D" w:rsidRPr="00262706">
        <w:rPr>
          <w:szCs w:val="22"/>
          <w:lang w:val="hu-HU"/>
        </w:rPr>
        <w:t xml:space="preserve">ó </w:t>
      </w:r>
      <w:r w:rsidR="00702112">
        <w:rPr>
          <w:szCs w:val="22"/>
          <w:lang w:val="hu-HU"/>
        </w:rPr>
        <w:t>dózisoknál</w:t>
      </w:r>
      <w:r w:rsidR="00702112" w:rsidRPr="00262706">
        <w:rPr>
          <w:szCs w:val="22"/>
          <w:lang w:val="hu-HU"/>
        </w:rPr>
        <w:t xml:space="preserve"> </w:t>
      </w:r>
      <w:r w:rsidR="0032146D" w:rsidRPr="00262706">
        <w:rPr>
          <w:szCs w:val="22"/>
          <w:lang w:val="hu-HU"/>
        </w:rPr>
        <w:t>volt bizonyított</w:t>
      </w:r>
      <w:r w:rsidR="00B92CE2" w:rsidRPr="00262706">
        <w:rPr>
          <w:szCs w:val="22"/>
          <w:lang w:val="hu-HU"/>
        </w:rPr>
        <w:t>.</w:t>
      </w:r>
    </w:p>
    <w:p w14:paraId="410C5CEC" w14:textId="77777777" w:rsidR="00B92CE2" w:rsidRPr="00262706" w:rsidRDefault="00B92CE2" w:rsidP="00262706">
      <w:pPr>
        <w:spacing w:line="240" w:lineRule="auto"/>
        <w:rPr>
          <w:szCs w:val="22"/>
          <w:lang w:val="hu-HU"/>
        </w:rPr>
      </w:pPr>
    </w:p>
    <w:p w14:paraId="12559C4F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Terhesség</w:t>
      </w:r>
    </w:p>
    <w:p w14:paraId="795A3C9E" w14:textId="77777777" w:rsidR="006A19A4" w:rsidRPr="00262706" w:rsidRDefault="006A19A4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Az állatkísérletek reproduktív toxicitást mutattak a duloxetin maximális klinikai expozíciónál alacsonyabb szisztémás expozíciós </w:t>
      </w:r>
      <w:r w:rsidR="00536A6D" w:rsidRPr="00262706">
        <w:rPr>
          <w:szCs w:val="22"/>
          <w:lang w:val="hu-HU"/>
        </w:rPr>
        <w:t xml:space="preserve">szintjeinél </w:t>
      </w:r>
      <w:r w:rsidRPr="00262706">
        <w:rPr>
          <w:szCs w:val="22"/>
          <w:lang w:val="hu-HU"/>
        </w:rPr>
        <w:t>(AUC) (lásd 5.3 pont).</w:t>
      </w:r>
    </w:p>
    <w:p w14:paraId="15D462E6" w14:textId="77777777" w:rsidR="000E6C0A" w:rsidRPr="00262706" w:rsidRDefault="000E6C0A" w:rsidP="00262706">
      <w:pPr>
        <w:spacing w:line="240" w:lineRule="auto"/>
        <w:rPr>
          <w:szCs w:val="22"/>
          <w:lang w:val="hu-HU"/>
        </w:rPr>
      </w:pPr>
    </w:p>
    <w:p w14:paraId="0FE2E1CE" w14:textId="77777777" w:rsidR="00C206D7" w:rsidRPr="00D5391A" w:rsidRDefault="00C206D7" w:rsidP="00C206D7">
      <w:pPr>
        <w:pStyle w:val="Default"/>
        <w:rPr>
          <w:sz w:val="22"/>
          <w:szCs w:val="22"/>
        </w:rPr>
      </w:pPr>
      <w:r w:rsidRPr="00406D2E">
        <w:rPr>
          <w:sz w:val="22"/>
          <w:szCs w:val="22"/>
        </w:rPr>
        <w:t xml:space="preserve">Két nagy mintanagyságú, megfigyeléses vizsgálat nem utalt a jelentős kongenitális malformáció kockázatának általános növekedésére (az egyik, Amerikai Egyesült Államokban végzett vizsgálatban 2500 nőt kezeltek duloxetinnel az első trimeszterben, a másik, Európai Unióban végzett vizsgálatban pedig 1500 nőt kezeltek duloxetinnel az első trimeszterben). A konkrét malformációkkal, például a szívet érintő fejlődési rendellenességekkel kapcsolatos elemzés eredményei nem voltak egyértelműek. </w:t>
      </w:r>
    </w:p>
    <w:p w14:paraId="0DFD63EC" w14:textId="77777777" w:rsidR="00C206D7" w:rsidRPr="004E458C" w:rsidRDefault="00C206D7" w:rsidP="00A411B5">
      <w:pPr>
        <w:pStyle w:val="Default"/>
      </w:pPr>
      <w:r w:rsidRPr="00D5391A">
        <w:rPr>
          <w:sz w:val="22"/>
          <w:szCs w:val="22"/>
        </w:rPr>
        <w:t>Az Európai Unióban végzett vizsgálatban azoknál az anyáknál, akik a terhesség késői szakaszában (a 20. gesztációs hét és a szülés között bármikor) részesültek duloxetin-kezelésben, megnőtt a koraszülés kockázata (kevesebb mint kétszeresére, ami azt jelenti, hogy a terhesség késői szakaszában duloxetinnel kezelt minden 100 nő közül 6 további esetben fordult elő koraszülés). Az esetek többsége a 35. és 36. gesztációs hét során fordult elő. Ez az összefüggés az amerikai vizsgálatban nem volt</w:t>
      </w:r>
      <w:r w:rsidRPr="004E458C">
        <w:rPr>
          <w:sz w:val="22"/>
          <w:szCs w:val="22"/>
        </w:rPr>
        <w:t xml:space="preserve"> megfigyelhető. </w:t>
      </w:r>
    </w:p>
    <w:p w14:paraId="4CEEFE2B" w14:textId="77777777" w:rsidR="000E6C0A" w:rsidRPr="00A411B5" w:rsidRDefault="00C206D7" w:rsidP="00C206D7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Az amerikai megfigyelésen alapuló adatok szolgáltattak bizonyítékot arra, hogy a szülést megelőző hónapban történt duloxetin-expozíciót követően a postpartum vérzés kockázata megnőtt (kevesebb mint 2-szeresére).</w:t>
      </w:r>
    </w:p>
    <w:p w14:paraId="0799A29F" w14:textId="77777777" w:rsidR="00C206D7" w:rsidRPr="00262706" w:rsidRDefault="00C206D7" w:rsidP="00C206D7">
      <w:pPr>
        <w:spacing w:line="240" w:lineRule="auto"/>
        <w:rPr>
          <w:szCs w:val="22"/>
          <w:lang w:val="hu-HU"/>
        </w:rPr>
      </w:pPr>
    </w:p>
    <w:p w14:paraId="2C006FED" w14:textId="77777777" w:rsidR="006A19A4" w:rsidRPr="00262706" w:rsidRDefault="006A19A4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Epidemiológiai adatok arra utaltak, hogy az SSRI-k alkamazása terhesség ideje alatt, különösen a terhesség késői szakaszában, emelheti az újszülöttkori persistens pulmonalis hypertonia (persistent pulmonary hypertension in the newborn /PPHN/) kockázatát. Bár nem végeztek vizsgálatot a PPHN SNRI-kezeléssel való összefüggését illetően, a hatásmechanizmust számításba véve (a szerotonin</w:t>
      </w:r>
      <w:r w:rsidR="00564F89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visszavétel gátlása), a duloxetin esetén a potenciális kockázat nem zárható ki.</w:t>
      </w:r>
    </w:p>
    <w:p w14:paraId="27D2997C" w14:textId="77777777" w:rsidR="000E6C0A" w:rsidRPr="00262706" w:rsidRDefault="000E6C0A" w:rsidP="00262706">
      <w:pPr>
        <w:spacing w:line="240" w:lineRule="auto"/>
        <w:rPr>
          <w:szCs w:val="22"/>
          <w:lang w:val="hu-HU"/>
        </w:rPr>
      </w:pPr>
    </w:p>
    <w:p w14:paraId="55570156" w14:textId="77777777" w:rsidR="006A19A4" w:rsidRPr="00262706" w:rsidRDefault="00536A6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Ahogy </w:t>
      </w:r>
      <w:r w:rsidR="006A19A4" w:rsidRPr="00262706">
        <w:rPr>
          <w:szCs w:val="22"/>
          <w:lang w:val="hu-HU"/>
        </w:rPr>
        <w:t xml:space="preserve">más szerotonerg gyógyszer esetében, az újszülöttnél </w:t>
      </w:r>
      <w:r w:rsidRPr="00262706">
        <w:rPr>
          <w:szCs w:val="22"/>
          <w:lang w:val="hu-HU"/>
        </w:rPr>
        <w:t xml:space="preserve">is </w:t>
      </w:r>
      <w:r w:rsidR="006A19A4" w:rsidRPr="00262706">
        <w:rPr>
          <w:szCs w:val="22"/>
          <w:lang w:val="hu-HU"/>
        </w:rPr>
        <w:t xml:space="preserve">előfordulhatnak gyógyszerelvonási tünetek, ha az anya nem sokkal a szülés előtt szedett duloxetint. A duloxetin megvonási tünetei közé tartozhat a hypotonia, tremor, nyugtalanság, táplálási nehézség, </w:t>
      </w:r>
      <w:r w:rsidR="001F223F" w:rsidRPr="00262706">
        <w:rPr>
          <w:szCs w:val="22"/>
          <w:lang w:val="hu-HU"/>
        </w:rPr>
        <w:t>respirációs</w:t>
      </w:r>
      <w:r w:rsidR="006A19A4" w:rsidRPr="00262706">
        <w:rPr>
          <w:szCs w:val="22"/>
          <w:lang w:val="hu-HU"/>
        </w:rPr>
        <w:t xml:space="preserve"> distress</w:t>
      </w:r>
      <w:r w:rsidR="000E6C0A" w:rsidRPr="00262706">
        <w:rPr>
          <w:szCs w:val="22"/>
          <w:lang w:val="hu-HU"/>
        </w:rPr>
        <w:t>z</w:t>
      </w:r>
      <w:r w:rsidR="006A19A4" w:rsidRPr="00262706">
        <w:rPr>
          <w:szCs w:val="22"/>
          <w:lang w:val="hu-HU"/>
        </w:rPr>
        <w:t xml:space="preserve"> és görcsrohamok. Az esetek többsége a születéskor vagy azt követően néhány napon belül történt.</w:t>
      </w:r>
    </w:p>
    <w:p w14:paraId="05DB318A" w14:textId="77777777" w:rsidR="000E6C0A" w:rsidRPr="00262706" w:rsidRDefault="000E6C0A" w:rsidP="00262706">
      <w:pPr>
        <w:spacing w:line="240" w:lineRule="auto"/>
        <w:rPr>
          <w:szCs w:val="22"/>
          <w:lang w:val="hu-HU"/>
        </w:rPr>
      </w:pPr>
    </w:p>
    <w:p w14:paraId="450820D2" w14:textId="77777777" w:rsidR="006A19A4" w:rsidRPr="00262706" w:rsidRDefault="00536A6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0E6C0A" w:rsidRPr="00262706">
        <w:rPr>
          <w:szCs w:val="22"/>
          <w:lang w:val="hu-HU"/>
        </w:rPr>
        <w:t>Dulsevia</w:t>
      </w:r>
      <w:r w:rsidR="006A19A4" w:rsidRPr="00262706">
        <w:rPr>
          <w:szCs w:val="22"/>
          <w:lang w:val="hu-HU"/>
        </w:rPr>
        <w:t xml:space="preserve"> terhesség alatt csak akkor alkalmazható, ha az ebből származó lehetséges előny </w:t>
      </w:r>
      <w:r w:rsidR="001F223F" w:rsidRPr="00262706">
        <w:rPr>
          <w:szCs w:val="22"/>
          <w:lang w:val="hu-HU"/>
        </w:rPr>
        <w:t>nagyobb,</w:t>
      </w:r>
      <w:r w:rsidR="006A19A4" w:rsidRPr="00262706">
        <w:rPr>
          <w:szCs w:val="22"/>
          <w:lang w:val="hu-HU"/>
        </w:rPr>
        <w:t xml:space="preserve"> mint a magzatra gyakorolt esetleges </w:t>
      </w:r>
      <w:r w:rsidRPr="00262706">
        <w:rPr>
          <w:szCs w:val="22"/>
          <w:lang w:val="hu-HU"/>
        </w:rPr>
        <w:t xml:space="preserve">káros hatás </w:t>
      </w:r>
      <w:r w:rsidR="006A19A4" w:rsidRPr="00262706">
        <w:rPr>
          <w:szCs w:val="22"/>
          <w:lang w:val="hu-HU"/>
        </w:rPr>
        <w:t>kockázat</w:t>
      </w:r>
      <w:r w:rsidRPr="00262706">
        <w:rPr>
          <w:szCs w:val="22"/>
          <w:lang w:val="hu-HU"/>
        </w:rPr>
        <w:t>a</w:t>
      </w:r>
      <w:r w:rsidR="006A19A4" w:rsidRPr="00262706">
        <w:rPr>
          <w:szCs w:val="22"/>
          <w:lang w:val="hu-HU"/>
        </w:rPr>
        <w:t xml:space="preserve">. </w:t>
      </w:r>
      <w:r w:rsidRPr="00262706">
        <w:rPr>
          <w:szCs w:val="22"/>
          <w:lang w:val="hu-HU"/>
        </w:rPr>
        <w:t>A n</w:t>
      </w:r>
      <w:r w:rsidR="006A19A4" w:rsidRPr="00262706">
        <w:rPr>
          <w:szCs w:val="22"/>
          <w:lang w:val="hu-HU"/>
        </w:rPr>
        <w:t xml:space="preserve">őknek javasolni kell, hogy értesítsék kezelőorvosukat, ha a kezelés ideje alatt teherbe </w:t>
      </w:r>
      <w:r w:rsidR="001F223F" w:rsidRPr="00262706">
        <w:rPr>
          <w:szCs w:val="22"/>
          <w:lang w:val="hu-HU"/>
        </w:rPr>
        <w:t>esnek,</w:t>
      </w:r>
      <w:r w:rsidR="006A19A4" w:rsidRPr="00262706">
        <w:rPr>
          <w:szCs w:val="22"/>
          <w:lang w:val="hu-HU"/>
        </w:rPr>
        <w:t xml:space="preserve"> vagy ezt tervezik.</w:t>
      </w:r>
    </w:p>
    <w:p w14:paraId="63E00023" w14:textId="77777777" w:rsidR="00FB2424" w:rsidRPr="00262706" w:rsidRDefault="00FB2424" w:rsidP="00262706">
      <w:pPr>
        <w:spacing w:line="240" w:lineRule="auto"/>
        <w:rPr>
          <w:szCs w:val="22"/>
          <w:lang w:val="hu-HU"/>
        </w:rPr>
      </w:pPr>
    </w:p>
    <w:p w14:paraId="2372357A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Szoptatás</w:t>
      </w:r>
    </w:p>
    <w:p w14:paraId="6F7A5F56" w14:textId="1331DC74" w:rsidR="007A1DB5" w:rsidRPr="00262706" w:rsidRDefault="001F223F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duloxetin kismértékben kiválasztódik az anyatejbe egy </w:t>
      </w:r>
      <w:r w:rsidR="00536A6D" w:rsidRPr="00262706">
        <w:rPr>
          <w:szCs w:val="22"/>
          <w:lang w:val="hu-HU"/>
        </w:rPr>
        <w:t xml:space="preserve">olyan </w:t>
      </w:r>
      <w:r w:rsidRPr="00262706">
        <w:rPr>
          <w:szCs w:val="22"/>
          <w:lang w:val="hu-HU"/>
        </w:rPr>
        <w:t xml:space="preserve">vizsgálat alapján, </w:t>
      </w:r>
      <w:r w:rsidR="00536A6D" w:rsidRPr="00262706">
        <w:rPr>
          <w:szCs w:val="22"/>
          <w:lang w:val="hu-HU"/>
        </w:rPr>
        <w:t>melyet</w:t>
      </w:r>
      <w:r w:rsidRPr="00262706">
        <w:rPr>
          <w:szCs w:val="22"/>
          <w:lang w:val="hu-HU"/>
        </w:rPr>
        <w:t xml:space="preserve"> h</w:t>
      </w:r>
      <w:r w:rsidR="000E6C0A" w:rsidRPr="00262706">
        <w:rPr>
          <w:szCs w:val="22"/>
          <w:lang w:val="hu-HU"/>
        </w:rPr>
        <w:t xml:space="preserve">at olyan </w:t>
      </w:r>
      <w:r w:rsidR="00536A6D" w:rsidRPr="00262706">
        <w:rPr>
          <w:szCs w:val="22"/>
          <w:lang w:val="hu-HU"/>
        </w:rPr>
        <w:t>kisamamával</w:t>
      </w:r>
      <w:r w:rsidR="000E6C0A" w:rsidRPr="00262706">
        <w:rPr>
          <w:szCs w:val="22"/>
          <w:lang w:val="hu-HU"/>
        </w:rPr>
        <w:t xml:space="preserve"> vég</w:t>
      </w:r>
      <w:r w:rsidRPr="00262706">
        <w:rPr>
          <w:szCs w:val="22"/>
          <w:lang w:val="hu-HU"/>
        </w:rPr>
        <w:t>e</w:t>
      </w:r>
      <w:r w:rsidR="000E6C0A" w:rsidRPr="00262706">
        <w:rPr>
          <w:szCs w:val="22"/>
          <w:lang w:val="hu-HU"/>
        </w:rPr>
        <w:t>zt</w:t>
      </w:r>
      <w:r w:rsidRPr="00262706">
        <w:rPr>
          <w:szCs w:val="22"/>
          <w:lang w:val="hu-HU"/>
        </w:rPr>
        <w:t>ek</w:t>
      </w:r>
      <w:r w:rsidR="000E6C0A" w:rsidRPr="00262706">
        <w:rPr>
          <w:szCs w:val="22"/>
          <w:lang w:val="hu-HU"/>
        </w:rPr>
        <w:t>, akik</w:t>
      </w:r>
      <w:r w:rsidRPr="00262706">
        <w:rPr>
          <w:szCs w:val="22"/>
          <w:lang w:val="hu-HU"/>
        </w:rPr>
        <w:t xml:space="preserve">nél </w:t>
      </w:r>
      <w:r w:rsidR="00536A6D" w:rsidRPr="00262706">
        <w:rPr>
          <w:szCs w:val="22"/>
          <w:lang w:val="hu-HU"/>
        </w:rPr>
        <w:t xml:space="preserve">volt tejtermelés, de </w:t>
      </w:r>
      <w:r w:rsidR="000E6C0A" w:rsidRPr="00262706">
        <w:rPr>
          <w:szCs w:val="22"/>
          <w:lang w:val="hu-HU"/>
        </w:rPr>
        <w:t>nem szoptatt</w:t>
      </w:r>
      <w:r w:rsidR="00536A6D" w:rsidRPr="00262706">
        <w:rPr>
          <w:szCs w:val="22"/>
          <w:lang w:val="hu-HU"/>
        </w:rPr>
        <w:t>ak</w:t>
      </w:r>
      <w:r w:rsidR="000E6C0A" w:rsidRPr="00262706">
        <w:rPr>
          <w:szCs w:val="22"/>
          <w:lang w:val="hu-HU"/>
        </w:rPr>
        <w:t xml:space="preserve">. A csecsemők becsült napi </w:t>
      </w:r>
      <w:r w:rsidR="00702112">
        <w:rPr>
          <w:szCs w:val="22"/>
          <w:lang w:val="hu-HU"/>
        </w:rPr>
        <w:t>dózisa</w:t>
      </w:r>
      <w:r w:rsidR="00702112" w:rsidRPr="00262706">
        <w:rPr>
          <w:szCs w:val="22"/>
          <w:lang w:val="hu-HU"/>
        </w:rPr>
        <w:t xml:space="preserve"> </w:t>
      </w:r>
      <w:r w:rsidR="000E6C0A" w:rsidRPr="00262706">
        <w:rPr>
          <w:szCs w:val="22"/>
          <w:lang w:val="hu-HU"/>
        </w:rPr>
        <w:t xml:space="preserve">megközelítőleg 0,14%-a </w:t>
      </w:r>
      <w:r w:rsidR="007A1DB5" w:rsidRPr="00262706">
        <w:rPr>
          <w:szCs w:val="22"/>
          <w:lang w:val="hu-HU"/>
        </w:rPr>
        <w:t xml:space="preserve">az anyai dózisnak </w:t>
      </w:r>
      <w:r w:rsidR="000E6C0A" w:rsidRPr="00262706">
        <w:rPr>
          <w:szCs w:val="22"/>
          <w:lang w:val="hu-HU"/>
        </w:rPr>
        <w:t xml:space="preserve">(lásd 5.2 pont). Mivel a duloxetin biztonságossága csecsemőkben nem ismert, a Dulsevia szedése </w:t>
      </w:r>
      <w:r w:rsidR="00536A6D" w:rsidRPr="00262706">
        <w:rPr>
          <w:szCs w:val="22"/>
          <w:lang w:val="hu-HU"/>
        </w:rPr>
        <w:t xml:space="preserve">nem javasolt a </w:t>
      </w:r>
      <w:r w:rsidR="000E6C0A" w:rsidRPr="00262706">
        <w:rPr>
          <w:szCs w:val="22"/>
          <w:lang w:val="hu-HU"/>
        </w:rPr>
        <w:t>szoptatás alatt.</w:t>
      </w:r>
    </w:p>
    <w:p w14:paraId="44A85429" w14:textId="77777777" w:rsidR="000E6C0A" w:rsidRPr="00262706" w:rsidRDefault="000E6C0A" w:rsidP="00262706">
      <w:pPr>
        <w:spacing w:line="240" w:lineRule="auto"/>
        <w:rPr>
          <w:szCs w:val="22"/>
          <w:lang w:val="hu-HU"/>
        </w:rPr>
      </w:pPr>
    </w:p>
    <w:p w14:paraId="08B194B8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262706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FA318EF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4F00443E" w14:textId="77777777" w:rsidR="00F45C51" w:rsidRPr="00262706" w:rsidRDefault="00A620F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A készítménynek a gépjárművezetéshez és a gépek kezeléséhez szükséges képességeket befolyásoló hatásait nem vizsgálták. A Dulsevia szedációt és szédülést okozhat. A betegeket tájékoztatni kell</w:t>
      </w:r>
      <w:r w:rsidR="007A54FA" w:rsidRPr="00262706">
        <w:rPr>
          <w:rFonts w:eastAsia="Times New Roman"/>
          <w:noProof/>
          <w:snapToGrid/>
          <w:szCs w:val="22"/>
          <w:lang w:val="hu-HU" w:eastAsia="en-US"/>
        </w:rPr>
        <w:t xml:space="preserve"> arról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, hogy amennyiben szedációt vagy szédülést tapasztalnak, kerüljék az esetlegesen veszélyes munkákat, mint a gépjárművezetés </w:t>
      </w:r>
      <w:r w:rsidR="007A54FA" w:rsidRPr="00262706">
        <w:rPr>
          <w:rFonts w:eastAsia="Times New Roman"/>
          <w:noProof/>
          <w:snapToGrid/>
          <w:szCs w:val="22"/>
          <w:lang w:val="hu-HU" w:eastAsia="en-US"/>
        </w:rPr>
        <w:t xml:space="preserve">vagy a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gépek kezelése.</w:t>
      </w:r>
    </w:p>
    <w:p w14:paraId="5846D9EF" w14:textId="77777777" w:rsidR="00A620FF" w:rsidRPr="00262706" w:rsidRDefault="00A620F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2396BE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3D5AC699" w14:textId="77777777" w:rsidR="00147E15" w:rsidRPr="00262706" w:rsidRDefault="00147E15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E81B1AC" w14:textId="77777777" w:rsidR="00A620FF" w:rsidRPr="00262706" w:rsidRDefault="00A620FF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a. A biztonságossági profil összefoglalása</w:t>
      </w:r>
    </w:p>
    <w:p w14:paraId="308A0860" w14:textId="77777777" w:rsidR="00A620FF" w:rsidRPr="00262706" w:rsidRDefault="00A620FF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Dulsevia-val kezelt betegeknél a leggyakoribb mellékhatás a hányinger, fejfájás, szájszárazság, aluszékonyság és szédülés volt. Azonban a gyakori mellékhatások többsége enyhe vagy mérsékelt volt, általában a kezelés kezdetén jelentkeztek és többségük a terápia folytatása ellenére </w:t>
      </w:r>
      <w:r w:rsidR="007A54FA" w:rsidRPr="00262706">
        <w:rPr>
          <w:szCs w:val="22"/>
          <w:lang w:val="hu-HU"/>
        </w:rPr>
        <w:t>elmúlt</w:t>
      </w:r>
      <w:r w:rsidRPr="00262706">
        <w:rPr>
          <w:szCs w:val="22"/>
          <w:lang w:val="hu-HU"/>
        </w:rPr>
        <w:t>.</w:t>
      </w:r>
    </w:p>
    <w:p w14:paraId="3A700C23" w14:textId="77777777" w:rsidR="00A620FF" w:rsidRPr="00262706" w:rsidRDefault="00A620FF" w:rsidP="00262706">
      <w:pPr>
        <w:spacing w:line="240" w:lineRule="auto"/>
        <w:rPr>
          <w:szCs w:val="22"/>
          <w:lang w:val="hu-HU"/>
        </w:rPr>
      </w:pPr>
    </w:p>
    <w:p w14:paraId="778E7C91" w14:textId="77777777" w:rsidR="00A620FF" w:rsidRPr="00262706" w:rsidRDefault="00A620FF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b. A mellékhatások táblázatos összefoglalása</w:t>
      </w:r>
    </w:p>
    <w:p w14:paraId="304DCF6C" w14:textId="77777777" w:rsidR="00A620FF" w:rsidRPr="00262706" w:rsidRDefault="00A620FF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Az 1. táblázat a spontán jelentett </w:t>
      </w:r>
      <w:r w:rsidR="007A54FA" w:rsidRPr="00262706">
        <w:rPr>
          <w:szCs w:val="22"/>
          <w:lang w:val="hu-HU"/>
        </w:rPr>
        <w:t xml:space="preserve">vagy </w:t>
      </w:r>
      <w:r w:rsidRPr="00262706">
        <w:rPr>
          <w:szCs w:val="22"/>
          <w:lang w:val="hu-HU"/>
        </w:rPr>
        <w:t xml:space="preserve">a depresszió, generalizált szorongás és diabeteses neuropathiás fájdalom indikációban végzett placebokontrollos klinikai vizsgálatok során észlelt mellékhatásokat tartalmazza. </w:t>
      </w:r>
    </w:p>
    <w:p w14:paraId="341B28BE" w14:textId="77777777" w:rsidR="00B05E20" w:rsidRPr="00262706" w:rsidRDefault="00B05E20" w:rsidP="00262706">
      <w:pPr>
        <w:spacing w:line="240" w:lineRule="auto"/>
        <w:rPr>
          <w:szCs w:val="22"/>
          <w:lang w:val="hu-HU"/>
        </w:rPr>
      </w:pPr>
    </w:p>
    <w:p w14:paraId="10F6D7F2" w14:textId="77777777" w:rsidR="00A620FF" w:rsidRPr="00262706" w:rsidRDefault="00A620FF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1. táblázat: Mellékhatások</w:t>
      </w:r>
    </w:p>
    <w:p w14:paraId="68C70700" w14:textId="1FC45F3E" w:rsidR="00A620FF" w:rsidRPr="00262706" w:rsidRDefault="00A620FF" w:rsidP="00262706">
      <w:pPr>
        <w:spacing w:line="240" w:lineRule="auto"/>
        <w:rPr>
          <w:szCs w:val="22"/>
          <w:lang w:val="hu-HU"/>
        </w:rPr>
      </w:pPr>
      <w:r w:rsidRPr="00262706">
        <w:rPr>
          <w:rFonts w:hint="eastAsia"/>
          <w:szCs w:val="22"/>
          <w:lang w:val="hu-HU"/>
        </w:rPr>
        <w:t>Becs</w:t>
      </w:r>
      <w:r w:rsidR="00080E68" w:rsidRPr="00262706">
        <w:rPr>
          <w:szCs w:val="22"/>
          <w:lang w:val="hu-HU"/>
        </w:rPr>
        <w:t>ü</w:t>
      </w:r>
      <w:r w:rsidRPr="00262706">
        <w:rPr>
          <w:rFonts w:hint="eastAsia"/>
          <w:szCs w:val="22"/>
          <w:lang w:val="hu-HU"/>
        </w:rPr>
        <w:t>lt gyakoris</w:t>
      </w:r>
      <w:r w:rsidR="00B05E20" w:rsidRPr="00262706">
        <w:rPr>
          <w:szCs w:val="22"/>
          <w:lang w:val="hu-HU"/>
        </w:rPr>
        <w:t>á</w:t>
      </w:r>
      <w:r w:rsidRPr="00262706">
        <w:rPr>
          <w:rFonts w:hint="eastAsia"/>
          <w:szCs w:val="22"/>
          <w:lang w:val="hu-HU"/>
        </w:rPr>
        <w:t>g: Nagyon gyakori (</w:t>
      </w:r>
      <w:r w:rsidR="00E86894" w:rsidRPr="00262706">
        <w:rPr>
          <w:szCs w:val="22"/>
          <w:lang w:val="hu-HU"/>
        </w:rPr>
        <w:t>≥</w:t>
      </w:r>
      <w:r w:rsidRPr="00262706">
        <w:rPr>
          <w:rFonts w:hint="eastAsia"/>
          <w:szCs w:val="22"/>
          <w:lang w:val="hu-HU"/>
        </w:rPr>
        <w:t>1/10), gyakori (</w:t>
      </w:r>
      <w:r w:rsidR="00E86894" w:rsidRPr="00262706">
        <w:rPr>
          <w:szCs w:val="22"/>
          <w:lang w:val="hu-HU"/>
        </w:rPr>
        <w:t>≥</w:t>
      </w:r>
      <w:r w:rsidRPr="00262706">
        <w:rPr>
          <w:rFonts w:hint="eastAsia"/>
          <w:szCs w:val="22"/>
          <w:lang w:val="hu-HU"/>
        </w:rPr>
        <w:t>1/100</w:t>
      </w:r>
      <w:r w:rsidR="00CE3E72" w:rsidRPr="00262706">
        <w:rPr>
          <w:rFonts w:hint="eastAsia"/>
          <w:szCs w:val="22"/>
          <w:lang w:val="hu-HU"/>
        </w:rPr>
        <w:t xml:space="preserve"> </w:t>
      </w:r>
      <w:r w:rsidR="00CE3E72" w:rsidRPr="00262706">
        <w:rPr>
          <w:szCs w:val="22"/>
          <w:lang w:val="hu-HU"/>
        </w:rPr>
        <w:t>–</w:t>
      </w:r>
      <w:r w:rsidRPr="00262706">
        <w:rPr>
          <w:rFonts w:hint="eastAsia"/>
          <w:szCs w:val="22"/>
          <w:lang w:val="hu-HU"/>
        </w:rPr>
        <w:t xml:space="preserve"> &lt;1/10), nem gyakori (</w:t>
      </w:r>
      <w:r w:rsidR="00E86894" w:rsidRPr="00262706">
        <w:rPr>
          <w:szCs w:val="22"/>
          <w:lang w:val="hu-HU"/>
        </w:rPr>
        <w:t>≥</w:t>
      </w:r>
      <w:r w:rsidRPr="00262706">
        <w:rPr>
          <w:rFonts w:hint="eastAsia"/>
          <w:szCs w:val="22"/>
          <w:lang w:val="hu-HU"/>
        </w:rPr>
        <w:t xml:space="preserve">1/1000 </w:t>
      </w:r>
      <w:r w:rsidR="00CE3E72" w:rsidRPr="00262706">
        <w:rPr>
          <w:szCs w:val="22"/>
          <w:lang w:val="hu-HU"/>
        </w:rPr>
        <w:t>–</w:t>
      </w:r>
      <w:r w:rsidR="00CE3E72" w:rsidRPr="00262706">
        <w:rPr>
          <w:rFonts w:hint="eastAsia"/>
          <w:szCs w:val="22"/>
          <w:lang w:val="hu-HU"/>
        </w:rPr>
        <w:t xml:space="preserve"> </w:t>
      </w:r>
      <w:r w:rsidRPr="00262706">
        <w:rPr>
          <w:rFonts w:hint="eastAsia"/>
          <w:szCs w:val="22"/>
          <w:lang w:val="hu-HU"/>
        </w:rPr>
        <w:t>&lt;1/100), ritka (</w:t>
      </w:r>
      <w:r w:rsidR="00E86894" w:rsidRPr="00262706">
        <w:rPr>
          <w:szCs w:val="22"/>
          <w:lang w:val="hu-HU"/>
        </w:rPr>
        <w:t>≥</w:t>
      </w:r>
      <w:r w:rsidRPr="00262706">
        <w:rPr>
          <w:rFonts w:hint="eastAsia"/>
          <w:szCs w:val="22"/>
          <w:lang w:val="hu-HU"/>
        </w:rPr>
        <w:t>1/10</w:t>
      </w:r>
      <w:r w:rsidR="00B05E20" w:rsidRPr="00262706">
        <w:rPr>
          <w:szCs w:val="22"/>
          <w:lang w:val="hu-HU"/>
        </w:rPr>
        <w:t> </w:t>
      </w:r>
      <w:r w:rsidRPr="00262706">
        <w:rPr>
          <w:rFonts w:hint="eastAsia"/>
          <w:szCs w:val="22"/>
          <w:lang w:val="hu-HU"/>
        </w:rPr>
        <w:t xml:space="preserve">000 </w:t>
      </w:r>
      <w:r w:rsidR="00CE3E72" w:rsidRPr="00262706">
        <w:rPr>
          <w:szCs w:val="22"/>
          <w:lang w:val="hu-HU"/>
        </w:rPr>
        <w:t>–</w:t>
      </w:r>
      <w:r w:rsidR="00CE3E72" w:rsidRPr="00262706">
        <w:rPr>
          <w:rFonts w:hint="eastAsia"/>
          <w:szCs w:val="22"/>
          <w:lang w:val="hu-HU"/>
        </w:rPr>
        <w:t xml:space="preserve"> </w:t>
      </w:r>
      <w:r w:rsidRPr="00262706">
        <w:rPr>
          <w:rFonts w:hint="eastAsia"/>
          <w:szCs w:val="22"/>
          <w:lang w:val="hu-HU"/>
        </w:rPr>
        <w:t>&lt;1/1000), nagyon ritka (&lt;1/10</w:t>
      </w:r>
      <w:r w:rsidR="00B05E20" w:rsidRPr="00262706">
        <w:rPr>
          <w:szCs w:val="22"/>
          <w:lang w:val="hu-HU"/>
        </w:rPr>
        <w:t> </w:t>
      </w:r>
      <w:r w:rsidRPr="00262706">
        <w:rPr>
          <w:rFonts w:hint="eastAsia"/>
          <w:szCs w:val="22"/>
          <w:lang w:val="hu-HU"/>
        </w:rPr>
        <w:t>000)</w:t>
      </w:r>
      <w:r w:rsidR="009251E8">
        <w:rPr>
          <w:szCs w:val="22"/>
          <w:lang w:val="hu-HU"/>
        </w:rPr>
        <w:t xml:space="preserve">, </w:t>
      </w:r>
      <w:r w:rsidR="009251E8">
        <w:rPr>
          <w:szCs w:val="22"/>
        </w:rPr>
        <w:t>nem ismert (a gyakoriság a rendelkezésre álló adatokból nem állapítható meg)</w:t>
      </w:r>
      <w:r w:rsidRPr="00262706">
        <w:rPr>
          <w:rFonts w:hint="eastAsia"/>
          <w:szCs w:val="22"/>
          <w:lang w:val="hu-HU"/>
        </w:rPr>
        <w:t>.</w:t>
      </w:r>
    </w:p>
    <w:p w14:paraId="36646BA9" w14:textId="77777777" w:rsidR="00CB6652" w:rsidRPr="00262706" w:rsidRDefault="00CB6652" w:rsidP="00262706">
      <w:pPr>
        <w:spacing w:line="240" w:lineRule="auto"/>
        <w:rPr>
          <w:szCs w:val="22"/>
          <w:lang w:val="hu-HU"/>
        </w:rPr>
      </w:pPr>
    </w:p>
    <w:p w14:paraId="4582F202" w14:textId="77777777" w:rsidR="00F45C51" w:rsidRPr="00262706" w:rsidRDefault="00A620FF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Az egyes gyakorisági kategóriákon belül a mellékhatások csökkenő súlyosság szerint kerülnek megadásra.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9"/>
        <w:gridCol w:w="1637"/>
        <w:gridCol w:w="1719"/>
        <w:gridCol w:w="1621"/>
        <w:gridCol w:w="959"/>
        <w:gridCol w:w="1660"/>
      </w:tblGrid>
      <w:tr w:rsidR="00AF32A2" w:rsidRPr="00262706" w14:paraId="546023EA" w14:textId="71F6EF86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B18BB" w14:textId="77777777" w:rsidR="00AF32A2" w:rsidRPr="00262706" w:rsidRDefault="00AF32A2" w:rsidP="00262706">
            <w:pPr>
              <w:pStyle w:val="Default"/>
              <w:rPr>
                <w:sz w:val="22"/>
                <w:szCs w:val="22"/>
              </w:rPr>
            </w:pPr>
            <w:r w:rsidRPr="00262706">
              <w:rPr>
                <w:b/>
                <w:bCs/>
                <w:sz w:val="22"/>
                <w:szCs w:val="22"/>
              </w:rPr>
              <w:t xml:space="preserve">Nagyon gyakori 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0AE41" w14:textId="77777777" w:rsidR="00AF32A2" w:rsidRPr="00262706" w:rsidRDefault="00AF32A2" w:rsidP="00262706">
            <w:pPr>
              <w:pStyle w:val="Default"/>
              <w:rPr>
                <w:sz w:val="22"/>
                <w:szCs w:val="22"/>
              </w:rPr>
            </w:pPr>
            <w:r w:rsidRPr="00262706">
              <w:rPr>
                <w:b/>
                <w:bCs/>
                <w:sz w:val="22"/>
                <w:szCs w:val="22"/>
              </w:rPr>
              <w:t xml:space="preserve">Gyakori 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9B1CD" w14:textId="77777777" w:rsidR="00AF32A2" w:rsidRPr="00262706" w:rsidRDefault="00AF32A2" w:rsidP="00262706">
            <w:pPr>
              <w:pStyle w:val="Default"/>
              <w:rPr>
                <w:sz w:val="22"/>
                <w:szCs w:val="22"/>
              </w:rPr>
            </w:pPr>
            <w:r w:rsidRPr="00262706">
              <w:rPr>
                <w:b/>
                <w:bCs/>
                <w:sz w:val="22"/>
                <w:szCs w:val="22"/>
              </w:rPr>
              <w:t xml:space="preserve">Nem gyakori 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D6FC88" w14:textId="77777777" w:rsidR="00AF32A2" w:rsidRPr="00262706" w:rsidRDefault="00AF32A2" w:rsidP="00262706">
            <w:pPr>
              <w:pStyle w:val="Default"/>
              <w:rPr>
                <w:sz w:val="22"/>
                <w:szCs w:val="22"/>
              </w:rPr>
            </w:pPr>
            <w:r w:rsidRPr="00262706">
              <w:rPr>
                <w:b/>
                <w:bCs/>
                <w:sz w:val="22"/>
                <w:szCs w:val="22"/>
              </w:rPr>
              <w:t xml:space="preserve">Ritka 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A2DF60" w14:textId="77777777" w:rsidR="00AF32A2" w:rsidRPr="00262706" w:rsidRDefault="00AF32A2" w:rsidP="00262706">
            <w:pPr>
              <w:pStyle w:val="Default"/>
              <w:rPr>
                <w:sz w:val="22"/>
                <w:szCs w:val="22"/>
              </w:rPr>
            </w:pPr>
            <w:r w:rsidRPr="00262706">
              <w:rPr>
                <w:b/>
                <w:bCs/>
                <w:sz w:val="22"/>
                <w:szCs w:val="22"/>
              </w:rPr>
              <w:t xml:space="preserve">Nagyon ritka 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4FD1B4" w14:textId="05BA31DB" w:rsidR="00AF32A2" w:rsidRPr="00262706" w:rsidRDefault="00AF32A2" w:rsidP="00262706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Nem ismert</w:t>
            </w:r>
          </w:p>
        </w:tc>
      </w:tr>
      <w:tr w:rsidR="00AF32A2" w:rsidRPr="00262706" w14:paraId="70EE391E" w14:textId="762CC120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4EB123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Fertőző betegségek és parazitafertőzések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F9E78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F407618" w14:textId="67350109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1236F2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2D648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733F15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Laryngitis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7C194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A000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7596ED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2CC2241D" w14:textId="752BE812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F573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Immunrendszeri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7302F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2B97FA5E" w14:textId="47464E8B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F0306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E6870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797C49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A1D011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Anafilaxiás reakció</w:t>
            </w:r>
          </w:p>
          <w:p w14:paraId="04B7E3F6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Túlérzékenység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B1084B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4011E5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63950409" w14:textId="07FB7183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6CA8D1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Endokrin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3E50A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67C9CB52" w14:textId="75AA15D9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C8AA41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874E0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E8997A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54D0F0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Hypothyreosis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E04527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2297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213D0D4F" w14:textId="5ADCBEF7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8A070B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Anyagcsere- és táplálkozási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6E7D7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0B3D2A12" w14:textId="75490256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346126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  <w:p w14:paraId="7A7FB349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0DF879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Étvágycsökkenés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0204AA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Hyperglykaemia (különösen diabeteses betegeknél számoltak be róla)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79A4E7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Dehidráció</w:t>
            </w:r>
          </w:p>
          <w:p w14:paraId="78B82622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Hyponatraemia</w:t>
            </w:r>
          </w:p>
          <w:p w14:paraId="4B9BCCA1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SIADH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61415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EB9847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0B07E529" w14:textId="453D9929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83B01B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Pszichiátriai kórképek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98AA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404657C1" w14:textId="3FB9949E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EF1835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80799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Insomnia</w:t>
            </w:r>
          </w:p>
          <w:p w14:paraId="36C4F1D1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Izgatottság</w:t>
            </w:r>
          </w:p>
          <w:p w14:paraId="3C7DAA9B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Libido csökkenése</w:t>
            </w:r>
          </w:p>
          <w:p w14:paraId="3C06C151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Szorongás</w:t>
            </w:r>
          </w:p>
          <w:p w14:paraId="6A33256D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Szokásostól eltérő orgazmus</w:t>
            </w:r>
          </w:p>
          <w:p w14:paraId="472FC11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Szokatlan álmok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1001FA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Szuicid gondolat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5,7</w:t>
            </w:r>
          </w:p>
          <w:p w14:paraId="17288D25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Alvászavar</w:t>
            </w:r>
          </w:p>
          <w:p w14:paraId="09BB763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Fogcsikorgatás</w:t>
            </w:r>
          </w:p>
          <w:p w14:paraId="77B2270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Dezorientáció</w:t>
            </w:r>
          </w:p>
          <w:p w14:paraId="088FAFE7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Apátia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5BF6AE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Szuicid viselkedés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5,7</w:t>
            </w:r>
          </w:p>
          <w:p w14:paraId="621328CE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Mánia</w:t>
            </w:r>
          </w:p>
          <w:p w14:paraId="14115E8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Hallucinációk</w:t>
            </w:r>
          </w:p>
          <w:p w14:paraId="79630B0B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Agresszió és düh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4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ABAE3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874AB6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CAC4FD1" w14:textId="5A4A15BC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16BA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Idegrendszeri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30C388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09D4FE31" w14:textId="54CA2A5F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EF6D0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Fejfájás</w:t>
            </w:r>
          </w:p>
          <w:p w14:paraId="16CF8D5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Aluszékonyság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EEFBE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Szédülés</w:t>
            </w:r>
          </w:p>
          <w:p w14:paraId="41F02663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Letargia</w:t>
            </w:r>
          </w:p>
          <w:p w14:paraId="34FD800D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Tremor</w:t>
            </w:r>
          </w:p>
          <w:p w14:paraId="7C2655A0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Paraesthesia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FD255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Myoclonus</w:t>
            </w:r>
          </w:p>
          <w:p w14:paraId="252506C9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Akathisia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7</w:t>
            </w:r>
          </w:p>
          <w:p w14:paraId="188202D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Idegesség</w:t>
            </w:r>
          </w:p>
          <w:p w14:paraId="4EB2F5CD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Figyelemzavar</w:t>
            </w:r>
          </w:p>
          <w:p w14:paraId="428C863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Ízérzészavar</w:t>
            </w:r>
          </w:p>
          <w:p w14:paraId="24052C5E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Dyskinesia</w:t>
            </w:r>
          </w:p>
          <w:p w14:paraId="7583E3D1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Nyugtalan láb szindróma</w:t>
            </w:r>
          </w:p>
          <w:p w14:paraId="5FC7C8AD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Nem pihentető alvás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A898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Szerotonin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-</w:t>
            </w: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szindróma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282A395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Görcsrohamok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</w:t>
            </w:r>
          </w:p>
          <w:p w14:paraId="76E579EA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Pszichomotoros nyugtalanság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5C830DA0" w14:textId="77777777" w:rsidR="00AF32A2" w:rsidRPr="00262706" w:rsidRDefault="00AF32A2" w:rsidP="00262706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Extrapiramidális tünetek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AEAAA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C862EA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675804B8" w14:textId="24879422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86282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Szembetegségek és szemészeti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4AB033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51F3F93" w14:textId="4C5651D1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B9EB79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B58A0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Homályos látás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D3B989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Mydriasis</w:t>
            </w:r>
          </w:p>
          <w:p w14:paraId="5E817437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Látásromlás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44BB5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Glaucoma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E91D8B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8DAF19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09CFD5F" w14:textId="248310B9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D6E1B0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fül és az egyensúly-érzékelő szerv betegségei és tünetei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55D5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517DDC9" w14:textId="5B7B1EDC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B0F696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0A07F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Tinnitus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</w:t>
            </w:r>
          </w:p>
          <w:p w14:paraId="464A1755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6DE0A3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Forgó jellegű szédülés</w:t>
            </w:r>
          </w:p>
          <w:p w14:paraId="494F8F00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Fülfájás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2DDF46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DB45F6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5BBD9C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0C120000" w14:textId="6385BB6C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A445A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Szívbetegségek és a szívvel kapcsolatos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740F7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AFC57A1" w14:textId="2B819A3A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96C71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13F1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Palpitatio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BEE904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Tachycardia</w:t>
            </w:r>
          </w:p>
          <w:p w14:paraId="67FE221B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Supraventricularis arrhythmia, főként pitvarfibrilláció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6F55F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</w:pP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22E71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0668AE" w14:textId="4D04A016" w:rsidR="00AF32A2" w:rsidRPr="00991945" w:rsidRDefault="00705391" w:rsidP="00991945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Stressz-cardiomyopathia (takotsubo-cardiomyopathia)</w:t>
            </w:r>
          </w:p>
        </w:tc>
      </w:tr>
      <w:tr w:rsidR="00AF32A2" w:rsidRPr="00262706" w14:paraId="57BDC32E" w14:textId="5EEAAB3C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A864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Érbetegségek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7F655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DA34BB9" w14:textId="0B721D68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5ABC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CCD7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Vérnyomás emelkedés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</w:t>
            </w:r>
          </w:p>
          <w:p w14:paraId="37F3EB1C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Kipirulás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F5B94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Ájulás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2</w:t>
            </w:r>
          </w:p>
          <w:p w14:paraId="4DB8FE67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Magas vérnyomás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3,7</w:t>
            </w:r>
          </w:p>
          <w:p w14:paraId="4D0493C1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Orthostatikus hypotonia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2</w:t>
            </w:r>
          </w:p>
          <w:p w14:paraId="43A520E4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Hűvös végtagok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B932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Hypertoniás krízis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3,6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8640E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DEE271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43D1AEF5" w14:textId="08A1E3B8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9CBB7F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Légzőrendszeri, mellkasi és mediastinalis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9B51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28172EE9" w14:textId="1A9492B0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1D33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  <w:p w14:paraId="388068C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41646E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Ásítozás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B68F47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Szorító érzés a torokban</w:t>
            </w:r>
          </w:p>
          <w:p w14:paraId="5AA35CED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Orrvérzés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30CA89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Interstitialis tüdőbetegség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10</w:t>
            </w:r>
          </w:p>
          <w:p w14:paraId="12D6CCD4" w14:textId="77777777" w:rsidR="00AF32A2" w:rsidRPr="00262706" w:rsidRDefault="00AF32A2" w:rsidP="00A90C94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Eosinophil pneumonia</w:t>
            </w:r>
            <w:r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7C997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 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C3C48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B253F71" w14:textId="463187E6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6F7697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Emésztőrendszeri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37520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9E35623" w14:textId="6653B235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FFC1EB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Hányinger</w:t>
            </w:r>
          </w:p>
          <w:p w14:paraId="14BF358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Szájszárazság</w:t>
            </w: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76529E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Székrekedés</w:t>
            </w:r>
          </w:p>
          <w:p w14:paraId="044C3C90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Hasmenés</w:t>
            </w:r>
          </w:p>
          <w:p w14:paraId="7BBC0686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Hasi fájdalom</w:t>
            </w:r>
          </w:p>
          <w:p w14:paraId="775334F1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Hányás</w:t>
            </w:r>
          </w:p>
          <w:p w14:paraId="4E2301E7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Dyspepsia</w:t>
            </w:r>
          </w:p>
          <w:p w14:paraId="300CDA9A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Flatulencia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B1E0F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Gastrointestinalis vérzés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7</w:t>
            </w:r>
          </w:p>
          <w:p w14:paraId="292D16AB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Gastroenteritis</w:t>
            </w:r>
          </w:p>
          <w:p w14:paraId="41CB6348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Eructatio</w:t>
            </w:r>
          </w:p>
          <w:p w14:paraId="32AC8DBC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Gastritis</w:t>
            </w:r>
          </w:p>
          <w:p w14:paraId="20C6313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Dysphagia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A4B7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Stomatitis</w:t>
            </w:r>
          </w:p>
          <w:p w14:paraId="190D06B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Halitosis</w:t>
            </w:r>
          </w:p>
          <w:p w14:paraId="23C689A5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Haematochezia</w:t>
            </w:r>
          </w:p>
          <w:p w14:paraId="129B5483" w14:textId="77777777" w:rsidR="00AF32A2" w:rsidRPr="00262706" w:rsidRDefault="00AF32A2" w:rsidP="00D5391A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Microscopos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 xml:space="preserve"> </w:t>
            </w: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colitis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9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05E9B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E8944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5104DF3" w14:textId="7C8CB596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6C5BF2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Máj- és epebetegségek, illetve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F473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4FC9D86" w14:textId="73FC997E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8B207F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6A6AF9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6AD33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Hepatitis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3</w:t>
            </w:r>
          </w:p>
          <w:p w14:paraId="5D7F2FBA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Emelkedett májenzim-szintek (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GPT</w:t>
            </w: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 xml:space="preserve">, </w:t>
            </w:r>
            <w:r>
              <w:rPr>
                <w:rFonts w:eastAsia="Times New Roman"/>
                <w:snapToGrid/>
                <w:szCs w:val="22"/>
                <w:lang w:val="hu-HU" w:eastAsia="sl-SI"/>
              </w:rPr>
              <w:t>GOT</w:t>
            </w: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, alkalikus foszfatáz)</w:t>
            </w:r>
          </w:p>
          <w:p w14:paraId="7356E73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Akut májkárosodás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1BB84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Májelégtelenség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3FB3A52C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Sárgaság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46A3D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968AA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2F405CB" w14:textId="64511F31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33DEB8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bőr és a bőr alatti szövet betegségei és tünetei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6880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662328F5" w14:textId="3C3E07C1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F2B7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84463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Fokozott verejtékezés</w:t>
            </w:r>
          </w:p>
          <w:p w14:paraId="26872DE3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Kiütés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F818E2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Éjszakai verejtékezés</w:t>
            </w:r>
          </w:p>
          <w:p w14:paraId="0ADF7185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Urticaria</w:t>
            </w:r>
          </w:p>
          <w:p w14:paraId="39129F82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Contact dermatitis</w:t>
            </w:r>
          </w:p>
          <w:p w14:paraId="1A7E0DCE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Hideg verejtékezés</w:t>
            </w:r>
          </w:p>
          <w:p w14:paraId="70E44790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Fotoszenzitivitási reakciók</w:t>
            </w:r>
          </w:p>
          <w:p w14:paraId="009A543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Fokozott hajlam a véraláfutásra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9D1027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Stevens–Johnson-szindróma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  <w:p w14:paraId="13818A07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Angioneuroticus oedema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98F606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Cutan vasculitis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C575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577713B5" w14:textId="7E6EC751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E724A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csont- és izomrendszer, valamint a kötőszövet betegségei és tünetei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28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BA5E942" w14:textId="348C11C0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BE132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3AF7D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Mozgásszervi fájdalom</w:t>
            </w:r>
          </w:p>
          <w:p w14:paraId="33436B58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Izomgörcs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79E031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Izommerevség</w:t>
            </w:r>
          </w:p>
          <w:p w14:paraId="2A9A8DBF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Izomrángás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C98F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Trismus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57853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91D414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E1BA2C6" w14:textId="01820199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F27267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Vese- és húgyúti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8407A5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41085DC8" w14:textId="2B264692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0591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705BF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Dysuria</w:t>
            </w:r>
          </w:p>
          <w:p w14:paraId="32945F48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Pollakisuria</w:t>
            </w:r>
          </w:p>
          <w:p w14:paraId="01182068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9FE1B1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Vizeletretenció</w:t>
            </w:r>
          </w:p>
          <w:p w14:paraId="31A207B6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Akadozó vizelés</w:t>
            </w:r>
          </w:p>
          <w:p w14:paraId="300EB03D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Nocturia</w:t>
            </w:r>
          </w:p>
          <w:p w14:paraId="3E8BF18F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Polyuria</w:t>
            </w:r>
          </w:p>
          <w:p w14:paraId="19BED188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Gyengébb vizelet-sugár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7910A5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Szokatlan szagú vizelet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80534B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6E1731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1E681E5" w14:textId="787CAFEE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028CF5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A nemi szervekkel és az emlőkkel kapcsolatos betegségek és tünetek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76247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58418B0" w14:textId="69629FF5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1227CD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8DB5D1" w14:textId="77777777" w:rsidR="00AF32A2" w:rsidRPr="00262706" w:rsidRDefault="00AF32A2" w:rsidP="00564F89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Erectilis dysfunctio</w:t>
            </w:r>
          </w:p>
          <w:p w14:paraId="098504AC" w14:textId="77777777" w:rsidR="00AF32A2" w:rsidRPr="00262706" w:rsidRDefault="00AF32A2" w:rsidP="000F0D19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Ejakulációs zavar</w:t>
            </w:r>
          </w:p>
          <w:p w14:paraId="4F10E39F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color w:val="000000"/>
                <w:szCs w:val="22"/>
                <w:lang w:val="hu-HU" w:eastAsia="sl-SI"/>
              </w:rPr>
              <w:t>Késleltetett ejakuláció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F919E3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Nőgyógyászati vérzés</w:t>
            </w:r>
          </w:p>
          <w:p w14:paraId="5062EC1C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Menstruációs zavar</w:t>
            </w:r>
          </w:p>
          <w:p w14:paraId="7E08D56B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Szexuális zavar</w:t>
            </w:r>
          </w:p>
          <w:p w14:paraId="33F0759D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Herefájdalom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DCD8BC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Menopauza tünetei</w:t>
            </w:r>
          </w:p>
          <w:p w14:paraId="75736FD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Galactorrhea</w:t>
            </w:r>
          </w:p>
          <w:p w14:paraId="6895CF16" w14:textId="77777777" w:rsidR="00AF32A2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Hyperprolac-tinaemia</w:t>
            </w:r>
          </w:p>
          <w:p w14:paraId="56366C50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A411B5">
              <w:rPr>
                <w:szCs w:val="22"/>
                <w:lang w:val="hu-HU"/>
              </w:rPr>
              <w:t>Postpartum vérzés</w:t>
            </w:r>
            <w:r w:rsidRPr="00A411B5">
              <w:rPr>
                <w:szCs w:val="22"/>
                <w:vertAlign w:val="superscript"/>
                <w:lang w:val="hu-HU"/>
              </w:rPr>
              <w:t>6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E6136E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9F5DF6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18EB4F09" w14:textId="07E465AF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B3D47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Általános tünetek, az alkalmazás helyén fellépő reakciók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DB0B5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7AE830E" w14:textId="6E10EA31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3CE06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36B6C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Elesések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sl-SI"/>
              </w:rPr>
              <w:t>8</w:t>
            </w:r>
          </w:p>
          <w:p w14:paraId="2F7CE903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Kimerültség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03E0EB" w14:textId="77777777" w:rsidR="00AF32A2" w:rsidRPr="00262706" w:rsidRDefault="00AF32A2" w:rsidP="00587715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Mellkasi fájdalom</w:t>
            </w:r>
            <w:r w:rsidRPr="00262706">
              <w:rPr>
                <w:rFonts w:eastAsia="Times New Roman"/>
                <w:snapToGrid/>
                <w:szCs w:val="22"/>
                <w:vertAlign w:val="superscript"/>
                <w:lang w:val="hu-HU" w:eastAsia="en-US"/>
              </w:rPr>
              <w:t>7</w:t>
            </w:r>
          </w:p>
          <w:p w14:paraId="3DD8867D" w14:textId="77777777" w:rsidR="00AF32A2" w:rsidRPr="00262706" w:rsidRDefault="00AF32A2" w:rsidP="00D12F5C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Szokatlan érzés</w:t>
            </w:r>
          </w:p>
          <w:p w14:paraId="36AC5190" w14:textId="77777777" w:rsidR="00AF32A2" w:rsidRPr="00262706" w:rsidRDefault="00AF32A2" w:rsidP="00D12F5C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Hidegérzet</w:t>
            </w:r>
          </w:p>
          <w:p w14:paraId="0BC1C739" w14:textId="77777777" w:rsidR="00AF32A2" w:rsidRPr="00262706" w:rsidRDefault="00AF32A2" w:rsidP="00D12F5C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Szomjúság</w:t>
            </w:r>
          </w:p>
          <w:p w14:paraId="24049B3E" w14:textId="77777777" w:rsidR="00AF32A2" w:rsidRPr="00262706" w:rsidRDefault="00AF32A2" w:rsidP="00262706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Hidegrázás</w:t>
            </w:r>
          </w:p>
          <w:p w14:paraId="5FC46294" w14:textId="77777777" w:rsidR="00AF32A2" w:rsidRPr="00262706" w:rsidRDefault="00AF32A2" w:rsidP="00262706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Rossz közérzet</w:t>
            </w:r>
          </w:p>
          <w:p w14:paraId="0C06A56E" w14:textId="77777777" w:rsidR="00AF32A2" w:rsidRPr="00262706" w:rsidRDefault="00AF32A2" w:rsidP="00262706">
            <w:pPr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Melegérzet</w:t>
            </w:r>
          </w:p>
          <w:p w14:paraId="7605226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en-US"/>
              </w:rPr>
              <w:t>Járászavar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4F6FF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8475F8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53CDC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3A700856" w14:textId="702C7C7D" w:rsidTr="00991945">
        <w:trPr>
          <w:tblCellSpacing w:w="0" w:type="dxa"/>
        </w:trPr>
        <w:tc>
          <w:tcPr>
            <w:tcW w:w="4299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E6B9BA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  <w:t>Laboratóriumi és egyéb vizsgálatok eredményei</w:t>
            </w: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B0CCEE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sl-SI"/>
              </w:rPr>
            </w:pPr>
          </w:p>
        </w:tc>
      </w:tr>
      <w:tr w:rsidR="00AF32A2" w:rsidRPr="00262706" w14:paraId="71B78F81" w14:textId="1AB2BAAD" w:rsidTr="00991945">
        <w:trPr>
          <w:tblCellSpacing w:w="0" w:type="dxa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FC9724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F405B" w14:textId="77777777" w:rsidR="00AF32A2" w:rsidRPr="00262706" w:rsidRDefault="00AF32A2" w:rsidP="00564F8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Fogyás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4BBB3" w14:textId="77777777" w:rsidR="00AF32A2" w:rsidRPr="00262706" w:rsidRDefault="00AF32A2" w:rsidP="000F0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Hízás</w:t>
            </w:r>
          </w:p>
          <w:p w14:paraId="30F1974C" w14:textId="77777777" w:rsidR="00AF32A2" w:rsidRPr="00262706" w:rsidRDefault="00AF32A2" w:rsidP="0058771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Kreatinin-foszfokináz emelkedése</w:t>
            </w:r>
          </w:p>
          <w:p w14:paraId="3F460D36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Káliumszint emelkedése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7598D8" w14:textId="77777777" w:rsidR="00AF32A2" w:rsidRPr="00262706" w:rsidRDefault="00AF32A2" w:rsidP="00D12F5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  <w:r w:rsidRPr="00262706">
              <w:rPr>
                <w:rFonts w:eastAsia="Times New Roman"/>
                <w:snapToGrid/>
                <w:szCs w:val="22"/>
                <w:lang w:val="hu-HU" w:eastAsia="sl-SI"/>
              </w:rPr>
              <w:t>Koleszterinszint emelkedése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759A9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  <w:tc>
          <w:tcPr>
            <w:tcW w:w="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04E32" w14:textId="77777777" w:rsidR="00AF32A2" w:rsidRPr="00262706" w:rsidRDefault="00AF32A2" w:rsidP="00262706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sl-SI"/>
              </w:rPr>
            </w:pPr>
          </w:p>
        </w:tc>
      </w:tr>
    </w:tbl>
    <w:p w14:paraId="2A09381C" w14:textId="77777777" w:rsidR="00080E68" w:rsidRPr="00262706" w:rsidRDefault="00080E68" w:rsidP="00564F89">
      <w:pPr>
        <w:widowControl w:val="0"/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eastAsia="sl-SI"/>
        </w:rPr>
      </w:pPr>
    </w:p>
    <w:p w14:paraId="3EBA418B" w14:textId="77777777" w:rsidR="007F2DB6" w:rsidRPr="00262706" w:rsidRDefault="007F2DB6" w:rsidP="00564F89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1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A kezelés abbahagyása után jelentettek görcsrohamot és fülzúgást is.</w:t>
      </w:r>
    </w:p>
    <w:p w14:paraId="0A715441" w14:textId="77777777" w:rsidR="007F2DB6" w:rsidRPr="00262706" w:rsidRDefault="007F2DB6" w:rsidP="000F0D19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2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Jelentettek orthostatikus hypotoniát és ájulást, különösen a kezelés kezdetén.</w:t>
      </w:r>
    </w:p>
    <w:p w14:paraId="38BA0486" w14:textId="77777777" w:rsidR="007F2DB6" w:rsidRPr="00262706" w:rsidRDefault="007F2DB6" w:rsidP="00587715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3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Lásd 4.4 pont</w:t>
      </w:r>
    </w:p>
    <w:p w14:paraId="534C6A63" w14:textId="77777777" w:rsidR="007F2DB6" w:rsidRPr="00262706" w:rsidRDefault="007F2DB6" w:rsidP="00D12F5C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4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Jelentettek agressziót és dühöt, különösen a kezelés kezdetén vagy a kezelés abbahagyása után.</w:t>
      </w:r>
    </w:p>
    <w:p w14:paraId="359A2C69" w14:textId="77777777" w:rsidR="007F2DB6" w:rsidRPr="00262706" w:rsidRDefault="007F2DB6" w:rsidP="00D12F5C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5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Öngyilkossági gondolatról és öngyilkos magatartásról szóló eseteket jelentettek a duloxetin</w:t>
      </w:r>
      <w:r w:rsidR="00CE3E72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terápia alatt vagy a kezelés megszakítását követő korai időszakban (lásd 4.4 pont).</w:t>
      </w:r>
    </w:p>
    <w:p w14:paraId="76A686D1" w14:textId="77777777" w:rsidR="007F2DB6" w:rsidRPr="00262706" w:rsidRDefault="007F2DB6" w:rsidP="00D12F5C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6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A forgalomba hozatalt követő megfigyelés során jelentett mellékhatások becsült gyakorisága</w:t>
      </w:r>
      <w:r w:rsidR="004449DB" w:rsidRPr="00262706">
        <w:rPr>
          <w:szCs w:val="22"/>
          <w:lang w:val="hu-HU"/>
        </w:rPr>
        <w:t>;</w:t>
      </w:r>
      <w:r w:rsidRPr="00262706">
        <w:rPr>
          <w:szCs w:val="22"/>
          <w:lang w:val="hu-HU"/>
        </w:rPr>
        <w:t xml:space="preserve"> nem észlelték a placebokontrollos klinikai vizsgálatok során.</w:t>
      </w:r>
    </w:p>
    <w:p w14:paraId="6D8EF57C" w14:textId="77777777" w:rsidR="007F2DB6" w:rsidRPr="00262706" w:rsidRDefault="007F2DB6" w:rsidP="00D12F5C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7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Statisztikailag nem különbözik szignifikáns mértékben a placebótól.</w:t>
      </w:r>
    </w:p>
    <w:p w14:paraId="206C961A" w14:textId="77777777" w:rsidR="00A620FF" w:rsidRPr="00262706" w:rsidRDefault="007F2DB6" w:rsidP="00262706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8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Időseknél (</w:t>
      </w:r>
      <w:r w:rsidRPr="00262706">
        <w:rPr>
          <w:rFonts w:hint="eastAsia"/>
          <w:szCs w:val="22"/>
          <w:lang w:val="hu-HU"/>
        </w:rPr>
        <w:t>≥</w:t>
      </w:r>
      <w:r w:rsidRPr="00262706">
        <w:rPr>
          <w:szCs w:val="22"/>
          <w:lang w:val="hu-HU"/>
        </w:rPr>
        <w:t>65</w:t>
      </w:r>
      <w:r w:rsidR="006266DE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év) gyakoribbak voltak az elesések.</w:t>
      </w:r>
    </w:p>
    <w:p w14:paraId="00C72742" w14:textId="77777777" w:rsidR="00D92BF7" w:rsidRPr="00262706" w:rsidRDefault="00D92BF7" w:rsidP="00262706">
      <w:pPr>
        <w:tabs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9</w:t>
      </w:r>
      <w:r w:rsidR="00C67D8B"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Az összes klinikai vizsgálati adaton alapuló becsült gyakoriság</w:t>
      </w:r>
    </w:p>
    <w:p w14:paraId="7339D136" w14:textId="77777777" w:rsidR="00C67D8B" w:rsidRPr="00262706" w:rsidRDefault="00C67D8B" w:rsidP="00262706">
      <w:pPr>
        <w:tabs>
          <w:tab w:val="clear" w:pos="567"/>
        </w:tabs>
        <w:spacing w:line="240" w:lineRule="auto"/>
        <w:ind w:left="284" w:hanging="284"/>
        <w:rPr>
          <w:szCs w:val="22"/>
          <w:lang w:val="hu-HU"/>
        </w:rPr>
      </w:pPr>
      <w:r w:rsidRPr="00262706">
        <w:rPr>
          <w:szCs w:val="22"/>
          <w:vertAlign w:val="superscript"/>
          <w:lang w:val="hu-HU"/>
        </w:rPr>
        <w:t>10</w:t>
      </w:r>
      <w:r w:rsidRPr="00262706">
        <w:rPr>
          <w:szCs w:val="22"/>
          <w:vertAlign w:val="superscript"/>
          <w:lang w:val="hu-HU"/>
        </w:rPr>
        <w:tab/>
      </w:r>
      <w:r w:rsidRPr="00262706">
        <w:rPr>
          <w:szCs w:val="22"/>
          <w:lang w:val="hu-HU"/>
        </w:rPr>
        <w:t>Placebokontrollos klinikai vizsgálatok alapján becsült gyakoriság.</w:t>
      </w:r>
    </w:p>
    <w:p w14:paraId="0C1BF457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27796607" w14:textId="77777777" w:rsidR="004449DB" w:rsidRPr="00262706" w:rsidRDefault="004449DB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c. Egyes kiválasztott mellékhatások leírása</w:t>
      </w:r>
    </w:p>
    <w:p w14:paraId="774BEBC3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duloxetin-kezelés leállítása gyakran vezet elvonási tünetekhez, különösen akkor, ha a </w:t>
      </w:r>
      <w:r w:rsidR="002D2F96" w:rsidRPr="00262706">
        <w:rPr>
          <w:szCs w:val="22"/>
          <w:lang w:val="hu-HU"/>
        </w:rPr>
        <w:t xml:space="preserve">megvonás </w:t>
      </w:r>
      <w:r w:rsidRPr="00262706">
        <w:rPr>
          <w:szCs w:val="22"/>
          <w:lang w:val="hu-HU"/>
        </w:rPr>
        <w:t>hirtelen történik. Leggyakrabban szédülést, szenzoros zavarokat (beleértve a paraesthesiát vagy az áramütésszerű érzéseket, különösen a fejben), alvászavart (beleértve az álmatlanságot és élénk álmokat), kimerültséget, aluszékonyságot, nyugtalanságot vagy szorongást, hányingert és/vagy hányást, tremort, fejfájást, izomfájdalmat, ingerlékenységet, hasmenést, fokozott verejtékezést és forgó jellegű szédülést jelentettek.</w:t>
      </w:r>
    </w:p>
    <w:p w14:paraId="36A09426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49603678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Az SSRI és SNRI készítményeknél látott tünetek általában enyhék vagy mérsékeltek, és önmaguktól megszűnnek, </w:t>
      </w:r>
      <w:r w:rsidR="002D2F96" w:rsidRPr="00262706">
        <w:rPr>
          <w:szCs w:val="22"/>
          <w:lang w:val="hu-HU"/>
        </w:rPr>
        <w:t xml:space="preserve">azonban </w:t>
      </w:r>
      <w:r w:rsidRPr="00262706">
        <w:rPr>
          <w:szCs w:val="22"/>
          <w:lang w:val="hu-HU"/>
        </w:rPr>
        <w:t>néhány esetben lehetnek súlyosak és/vagy hosszabb ideig fennállhatnak. Amennyiben a duloxetin-kezelés a továbbiakban nem szükséges, javasolt a duloxetin adagolást fokozatosan csökkenteni (lásd 4.2 és 4.4 pont).</w:t>
      </w:r>
    </w:p>
    <w:p w14:paraId="0B166A12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75EFEB29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Diabeteses neuropathiás fájdalomban szenvedő betegek duloxetin-kezelésével kapcsolatban végzett három klinikai vizsgálat 12 hetes akut fázisában a duloxetinnel</w:t>
      </w:r>
      <w:r w:rsidR="002D2F9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kezelt betegekben kismértékű, de statisztikailag szignifikáns éhomi vércukorszint-növekedést észleltek. A HbA1c-érték stabil volt mind a duloxetinnel kezelt, mind a placebocsoportban. Ezen vizsgálatok kiterjesztési fázisában, melyek 52</w:t>
      </w:r>
      <w:r w:rsidR="006266DE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hétig tartottak, a HbA1c-érték mind a duloxetin-, mind a hagyományos kezelésű csoportban nőtt, azonban az átlagos emelkedés 0,3%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kal nagyobb volt a duloxetinnel kezeltek csoportjában. Az éhomi vércukorszint és az összkoleszterinszint is emelkedett kissé a duloxetinnel kezelteknél, míg a hagyományos kezelésű csoportban ezek a laboratóriumi értékek kissé csökkentek.</w:t>
      </w:r>
    </w:p>
    <w:p w14:paraId="101D6DB2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54060B6C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duloxetinnel kezelt betegekben észlelt, szívfrekvencia alapján korrigált QT-intervallum nem különbözött a placebóval kezelt betegekétől. A duloxetinnel és </w:t>
      </w:r>
      <w:r w:rsidR="002D2F96" w:rsidRPr="00262706">
        <w:rPr>
          <w:szCs w:val="22"/>
          <w:lang w:val="hu-HU"/>
        </w:rPr>
        <w:t xml:space="preserve">a </w:t>
      </w:r>
      <w:r w:rsidRPr="00262706">
        <w:rPr>
          <w:szCs w:val="22"/>
          <w:lang w:val="hu-HU"/>
        </w:rPr>
        <w:t>placebóval kezelt betegek között nem észleltek klinikailag szignifikáns különbségeket a QT</w:t>
      </w:r>
      <w:r w:rsidR="00CE3E72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, PR</w:t>
      </w:r>
      <w:r w:rsidR="00CE3E72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, QRS</w:t>
      </w:r>
      <w:r w:rsidR="00CE3E72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 xml:space="preserve"> vagy QTcB</w:t>
      </w:r>
      <w:r w:rsidR="00CE3E72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értékekben.</w:t>
      </w:r>
    </w:p>
    <w:p w14:paraId="06F10C33" w14:textId="77777777" w:rsidR="00CB6652" w:rsidRPr="00262706" w:rsidRDefault="00CB6652" w:rsidP="00262706">
      <w:pPr>
        <w:spacing w:line="240" w:lineRule="auto"/>
        <w:rPr>
          <w:szCs w:val="22"/>
          <w:lang w:val="hu-HU"/>
        </w:rPr>
      </w:pPr>
    </w:p>
    <w:p w14:paraId="686DAB76" w14:textId="77777777" w:rsidR="004449DB" w:rsidRPr="00262706" w:rsidRDefault="004449DB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d. Gyermekek</w:t>
      </w:r>
      <w:r w:rsidR="00D92BF7" w:rsidRPr="00262706">
        <w:rPr>
          <w:i/>
          <w:szCs w:val="22"/>
          <w:lang w:val="hu-HU"/>
        </w:rPr>
        <w:t xml:space="preserve"> és serdülők</w:t>
      </w:r>
    </w:p>
    <w:p w14:paraId="5257AAC7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Összesen 509, 7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17 éves, major depresszív zavarban és 241, 7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17 éves, generalizált szorongásban szenvedő gyermekkorú beteget kezeltek duloxetinnel klinikai vizsgálatokban. Általában véve a duloxetin mellékhatásprofilja gyermekeknél és serdülőknél hasonló volt ahhoz, amit felnőtteknél észleltek.</w:t>
      </w:r>
    </w:p>
    <w:p w14:paraId="083F7721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05C9D082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Annál az összesen 467 gyermeknél, akiket kezdetben a klinikai vizsgálatokban a duloxetint szedők közé randomizáltak, a 10. héten átlagosan 0,1 kg-os testtömegvesztést tapasztaltak, a 353 placebóval kezelt beteg átlagosan 0,9 kg-os testtömegnövekedésével összehasonlítva. Ezt követően, a négy-hat hónapos kiterjesztéses időszakban a betegek testtömege átlagban azon kiindulási testtömeg percentil visszanyerése irányába mozdult el, amely életkorban és nemben hozzáillő társaik populációs adatai alapján várható.</w:t>
      </w:r>
    </w:p>
    <w:p w14:paraId="2A50C273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77408A98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maximum 9 hónapig tartó klinikai vizsgálatokban a testmagasság-percentil összesen átlagosan 1%</w:t>
      </w:r>
      <w:r w:rsidR="00C67D8B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os csökkenését észlelték a duloxetinnel kezelt gyermekeknél (2%-os csökkenést a 7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11 éves gyermekeknél és 0,3%-os növekedést a 12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17 éves serdülőknél) (lásd 4.4 pont).</w:t>
      </w:r>
    </w:p>
    <w:p w14:paraId="0211DABD" w14:textId="77777777" w:rsidR="004449DB" w:rsidRPr="00262706" w:rsidRDefault="004449DB" w:rsidP="00262706">
      <w:pPr>
        <w:spacing w:line="240" w:lineRule="auto"/>
        <w:rPr>
          <w:szCs w:val="22"/>
          <w:lang w:val="hu-HU"/>
        </w:rPr>
      </w:pPr>
    </w:p>
    <w:p w14:paraId="02013F55" w14:textId="77777777" w:rsidR="00F5194B" w:rsidRPr="00262706" w:rsidRDefault="00F5194B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Feltételezett mellékhatások bejelentése</w:t>
      </w:r>
    </w:p>
    <w:p w14:paraId="04E75BFA" w14:textId="77777777" w:rsidR="00F5194B" w:rsidRPr="00262706" w:rsidRDefault="00F5194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AC043DB" w14:textId="77777777" w:rsidR="00F5194B" w:rsidRPr="00564F89" w:rsidRDefault="00F5194B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Az egészségügyi szakembereket kérjük, hogy jelentsék be a feltételezett mellékhatásokat a hatóság részére </w:t>
      </w:r>
      <w:r w:rsidRPr="00262706">
        <w:rPr>
          <w:szCs w:val="22"/>
          <w:highlight w:val="lightGray"/>
          <w:lang w:val="hu-HU"/>
        </w:rPr>
        <w:t xml:space="preserve">az </w:t>
      </w:r>
      <w:hyperlink r:id="rId7" w:history="1">
        <w:r w:rsidRPr="00262706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262706">
        <w:rPr>
          <w:szCs w:val="22"/>
          <w:highlight w:val="lightGray"/>
          <w:lang w:val="hu-HU"/>
        </w:rPr>
        <w:t xml:space="preserve"> található elérhetőségek valamelyikén keresztül.</w:t>
      </w:r>
    </w:p>
    <w:p w14:paraId="7CF80A0D" w14:textId="77777777" w:rsidR="00F5194B" w:rsidRPr="00564F89" w:rsidRDefault="00F5194B" w:rsidP="00262706">
      <w:pPr>
        <w:spacing w:line="240" w:lineRule="auto"/>
        <w:rPr>
          <w:szCs w:val="22"/>
          <w:u w:val="single"/>
          <w:lang w:val="hu-HU"/>
        </w:rPr>
      </w:pPr>
    </w:p>
    <w:p w14:paraId="52A6917A" w14:textId="77777777" w:rsidR="00F45C51" w:rsidRPr="00564F89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564F89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B27DFCB" w14:textId="77777777" w:rsidR="00F45C51" w:rsidRPr="000F0D19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23C14CDC" w14:textId="73F82297" w:rsidR="004449DB" w:rsidRPr="00262706" w:rsidRDefault="00425AFF" w:rsidP="00262706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0F0D19">
        <w:rPr>
          <w:szCs w:val="22"/>
          <w:lang w:val="hu-HU"/>
        </w:rPr>
        <w:t>T</w:t>
      </w:r>
      <w:r w:rsidRPr="00587715">
        <w:rPr>
          <w:szCs w:val="22"/>
          <w:lang w:val="hu-HU"/>
        </w:rPr>
        <w:t xml:space="preserve">úladagolásokat jelentettek </w:t>
      </w:r>
      <w:r w:rsidR="004449DB" w:rsidRPr="00587715">
        <w:rPr>
          <w:szCs w:val="22"/>
          <w:lang w:val="hu-HU"/>
        </w:rPr>
        <w:t>5400</w:t>
      </w:r>
      <w:r w:rsidR="004758BC" w:rsidRPr="00D12F5C">
        <w:rPr>
          <w:szCs w:val="22"/>
          <w:lang w:val="hu-HU"/>
        </w:rPr>
        <w:t> </w:t>
      </w:r>
      <w:r w:rsidR="004449DB" w:rsidRPr="00D12F5C">
        <w:rPr>
          <w:szCs w:val="22"/>
          <w:lang w:val="hu-HU"/>
        </w:rPr>
        <w:t xml:space="preserve">mg-os duloxetin </w:t>
      </w:r>
      <w:r w:rsidR="00702112">
        <w:rPr>
          <w:szCs w:val="22"/>
          <w:lang w:val="hu-HU"/>
        </w:rPr>
        <w:t>dózisoknál</w:t>
      </w:r>
      <w:r w:rsidR="004449DB" w:rsidRPr="00D12F5C">
        <w:rPr>
          <w:szCs w:val="22"/>
          <w:lang w:val="hu-HU"/>
        </w:rPr>
        <w:t xml:space="preserve">, önmagában vagy más gyógyszerekkel kombinációban. Előfordult néhány halálos kimenetel, </w:t>
      </w:r>
      <w:r w:rsidRPr="00D12F5C">
        <w:rPr>
          <w:szCs w:val="22"/>
          <w:lang w:val="hu-HU"/>
        </w:rPr>
        <w:t xml:space="preserve">főleg </w:t>
      </w:r>
      <w:r w:rsidR="004449DB" w:rsidRPr="00262706">
        <w:rPr>
          <w:szCs w:val="22"/>
          <w:lang w:val="hu-HU"/>
        </w:rPr>
        <w:t>kombinált túladagolás</w:t>
      </w:r>
      <w:r w:rsidRPr="00262706">
        <w:rPr>
          <w:szCs w:val="22"/>
          <w:lang w:val="hu-HU"/>
        </w:rPr>
        <w:t>nál</w:t>
      </w:r>
      <w:r w:rsidR="004449DB" w:rsidRPr="00262706">
        <w:rPr>
          <w:szCs w:val="22"/>
          <w:lang w:val="hu-HU"/>
        </w:rPr>
        <w:t>, azonban előfordult önmagában szedett duloxetinnel is, megközelítőleg 1000</w:t>
      </w:r>
      <w:r w:rsidR="004758BC" w:rsidRPr="00262706">
        <w:rPr>
          <w:szCs w:val="22"/>
          <w:lang w:val="hu-HU"/>
        </w:rPr>
        <w:t> </w:t>
      </w:r>
      <w:r w:rsidR="004449DB" w:rsidRPr="00262706">
        <w:rPr>
          <w:szCs w:val="22"/>
          <w:lang w:val="hu-HU"/>
        </w:rPr>
        <w:t xml:space="preserve">mg </w:t>
      </w:r>
      <w:r w:rsidR="00702112">
        <w:rPr>
          <w:szCs w:val="22"/>
          <w:lang w:val="hu-HU"/>
        </w:rPr>
        <w:t>dózis</w:t>
      </w:r>
      <w:r w:rsidR="00702112" w:rsidRPr="00262706">
        <w:rPr>
          <w:szCs w:val="22"/>
          <w:lang w:val="hu-HU"/>
        </w:rPr>
        <w:t xml:space="preserve"> </w:t>
      </w:r>
      <w:r w:rsidR="004449DB" w:rsidRPr="00262706">
        <w:rPr>
          <w:szCs w:val="22"/>
          <w:lang w:val="hu-HU"/>
        </w:rPr>
        <w:t>esetében. A túladagolás jelei és tünetei közé tartozott (monoterápiában vagy más gyógyszerekkel kombinálva adott duloxetin esetén) az aluszékonyság, a kóma, a szerotonin</w:t>
      </w:r>
      <w:r w:rsidR="00256DB1">
        <w:rPr>
          <w:szCs w:val="22"/>
          <w:lang w:val="hu-HU"/>
        </w:rPr>
        <w:t>-</w:t>
      </w:r>
      <w:r w:rsidR="004449DB" w:rsidRPr="00262706">
        <w:rPr>
          <w:szCs w:val="22"/>
          <w:lang w:val="hu-HU"/>
        </w:rPr>
        <w:t>szindróma, görcsrohamok, hányás és tachycardia.</w:t>
      </w:r>
    </w:p>
    <w:p w14:paraId="49AE4CCB" w14:textId="77777777" w:rsidR="004758BC" w:rsidRPr="00262706" w:rsidRDefault="004758BC" w:rsidP="00262706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</w:p>
    <w:p w14:paraId="3EC4DC6A" w14:textId="77777777" w:rsidR="00F45C51" w:rsidRPr="00262706" w:rsidRDefault="004449DB" w:rsidP="00262706">
      <w:p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262706">
        <w:rPr>
          <w:szCs w:val="22"/>
          <w:lang w:val="hu-HU"/>
        </w:rPr>
        <w:t>A duloxetinnek nincs ismert specifikus antidotuma, azonban ha szerotonin</w:t>
      </w:r>
      <w:r w:rsidR="00256DB1">
        <w:rPr>
          <w:szCs w:val="22"/>
          <w:lang w:val="hu-HU"/>
        </w:rPr>
        <w:t>-</w:t>
      </w:r>
      <w:r w:rsidRPr="00262706">
        <w:rPr>
          <w:szCs w:val="22"/>
          <w:lang w:val="hu-HU"/>
        </w:rPr>
        <w:t>szindróma alakul ki, megfontol</w:t>
      </w:r>
      <w:r w:rsidR="00CE29A6" w:rsidRPr="00262706">
        <w:rPr>
          <w:szCs w:val="22"/>
          <w:lang w:val="hu-HU"/>
        </w:rPr>
        <w:t>and</w:t>
      </w:r>
      <w:r w:rsidRPr="00262706">
        <w:rPr>
          <w:szCs w:val="22"/>
          <w:lang w:val="hu-HU"/>
        </w:rPr>
        <w:t xml:space="preserve">ó a specifikus kezelés (mint a ciproheptadin és/vagy a testhőmérséklet szabályozása). Szabad légutakat kell biztosítani. Javasolt az EKG és az alapvető életfunkciók monitorozása, valamint a megfelelő tüneti és szupportív kezelés. Gyomormosás végezhető, ha erre a bevétel után rövid idővel </w:t>
      </w:r>
      <w:r w:rsidR="00CE29A6" w:rsidRPr="00262706">
        <w:rPr>
          <w:szCs w:val="22"/>
          <w:lang w:val="hu-HU"/>
        </w:rPr>
        <w:t xml:space="preserve">van </w:t>
      </w:r>
      <w:r w:rsidRPr="00262706">
        <w:rPr>
          <w:szCs w:val="22"/>
          <w:lang w:val="hu-HU"/>
        </w:rPr>
        <w:t>mód, vagy azoknál a betegeknél, akiknek tünetei vannak. A felszívódás korlátozásában az aktív szén hasznos lehet. A duloxetin megoszlási térfogata nagy, és a forszírozott diurézis, a hemoperfúzió vagy a csereperfúzió valószínűleg nem hatásosak.</w:t>
      </w:r>
    </w:p>
    <w:p w14:paraId="2148B217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CE4DF30" w14:textId="77777777" w:rsidR="004758BC" w:rsidRPr="00262706" w:rsidRDefault="004758BC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3533589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5A39C7C6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75B1CC45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40F66F00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0D1742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Farmakoterápiás csoport: </w:t>
      </w:r>
      <w:r w:rsidR="004758BC" w:rsidRPr="00262706">
        <w:rPr>
          <w:rFonts w:eastAsia="Times New Roman"/>
          <w:noProof/>
          <w:snapToGrid/>
          <w:szCs w:val="22"/>
          <w:lang w:val="hu-HU" w:eastAsia="en-US"/>
        </w:rPr>
        <w:t>Pszichoanaleptikumok, egyéb antidepresszánsok. ATC kód: N06AX21</w:t>
      </w:r>
    </w:p>
    <w:p w14:paraId="16422B07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795C2D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Hatásmechanizmus</w:t>
      </w:r>
    </w:p>
    <w:p w14:paraId="61D1D967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duloxetin egy kombinált szerotonin</w:t>
      </w:r>
      <w:r w:rsidR="00CE29A6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 xml:space="preserve"> (5-HT) és noradrenalin</w:t>
      </w:r>
      <w:r w:rsidR="00CE29A6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 xml:space="preserve"> (NA) </w:t>
      </w:r>
      <w:r w:rsidR="00CE29A6" w:rsidRPr="00262706">
        <w:rPr>
          <w:szCs w:val="22"/>
          <w:lang w:val="hu-HU"/>
        </w:rPr>
        <w:t>visszavétel-</w:t>
      </w:r>
      <w:r w:rsidRPr="00262706">
        <w:rPr>
          <w:szCs w:val="22"/>
          <w:lang w:val="hu-HU"/>
        </w:rPr>
        <w:t>gátló. Gyengén gátolja a dopamin</w:t>
      </w:r>
      <w:r w:rsidR="00564F89" w:rsidRPr="00262706">
        <w:rPr>
          <w:szCs w:val="22"/>
          <w:lang w:val="hu-HU"/>
        </w:rPr>
        <w:t>-</w:t>
      </w:r>
      <w:r w:rsidRPr="00262706">
        <w:rPr>
          <w:szCs w:val="22"/>
          <w:lang w:val="hu-HU"/>
        </w:rPr>
        <w:t>visszavételt, és nincs szignifikáns affinitása a hisztaminerg, dopaminerg, kolinerg és adrenerg receptorokhoz. A duloxetin dózisfüggő módon növeli a szerotonin és noradrenalin extracelluláris szintjeit az állatok különböző agyi területeiben.</w:t>
      </w:r>
    </w:p>
    <w:p w14:paraId="4A8E20F4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</w:p>
    <w:p w14:paraId="499316FE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Farmakodinámiás hatások</w:t>
      </w:r>
    </w:p>
    <w:p w14:paraId="2AE5ECC2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 duloxetin normalizálta a fájdalomküszöböt a neuropathiás és gyulladásos fájdalom számos preklinikai modelljében, és gyengítette a fájdalomhoz társuló viselkedést a krónikusan fennálló fájdalom egy modelljében. A duloxetin fájdalomcsökkentő hatását a központi idegrendszeri leszálló, fájdalom-gátló pályák serkentésének tulajdonítják.</w:t>
      </w:r>
    </w:p>
    <w:p w14:paraId="51B8AA30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</w:p>
    <w:p w14:paraId="3465D9DE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Klinikai hatásosság és biztonságosság</w:t>
      </w:r>
    </w:p>
    <w:p w14:paraId="4263D8BD" w14:textId="77777777" w:rsidR="004758BC" w:rsidRPr="00262706" w:rsidRDefault="004758BC" w:rsidP="00262706">
      <w:pPr>
        <w:tabs>
          <w:tab w:val="left" w:pos="2557"/>
        </w:tabs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Major depresszív zavar:</w:t>
      </w:r>
    </w:p>
    <w:p w14:paraId="0B7EA241" w14:textId="1153F478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t egy 3158, a major depresszió DSM-IV kritériumainak megfelelő beteget bevonó klinikai programban vizsgálták (1285 betegév expozíció). 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hatásosságát </w:t>
      </w:r>
      <w:r w:rsidR="00C67D8B" w:rsidRPr="00262706">
        <w:rPr>
          <w:szCs w:val="22"/>
          <w:lang w:val="hu-HU"/>
        </w:rPr>
        <w:t>–</w:t>
      </w:r>
      <w:r w:rsidRPr="00262706">
        <w:rPr>
          <w:szCs w:val="22"/>
          <w:lang w:val="hu-HU"/>
        </w:rPr>
        <w:t xml:space="preserve"> a javasolt napi egyszeri 60 mg </w:t>
      </w:r>
      <w:r w:rsidR="00702112">
        <w:rPr>
          <w:szCs w:val="22"/>
          <w:lang w:val="hu-HU"/>
        </w:rPr>
        <w:t>dózisban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 xml:space="preserve">alkalmazva </w:t>
      </w:r>
      <w:r w:rsidR="00C67D8B" w:rsidRPr="00262706">
        <w:rPr>
          <w:szCs w:val="22"/>
          <w:lang w:val="hu-HU"/>
        </w:rPr>
        <w:t>–</w:t>
      </w:r>
      <w:r w:rsidRPr="00262706">
        <w:rPr>
          <w:szCs w:val="22"/>
          <w:lang w:val="hu-HU"/>
        </w:rPr>
        <w:t xml:space="preserve"> az elvégzett három randomizált, </w:t>
      </w:r>
      <w:r w:rsidR="00CE29A6" w:rsidRPr="00262706">
        <w:rPr>
          <w:szCs w:val="22"/>
          <w:lang w:val="hu-HU"/>
        </w:rPr>
        <w:t xml:space="preserve">kettős </w:t>
      </w:r>
      <w:r w:rsidRPr="00262706">
        <w:rPr>
          <w:szCs w:val="22"/>
          <w:lang w:val="hu-HU"/>
        </w:rPr>
        <w:t xml:space="preserve">vak, placebokontrollos, rögzített dózisú akut vizsgálat, melyeket major depresszív zavarban szenvedő járóbetegek bevonásával végeztek, mindegyike kimutatta. Összességében 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hatásosságát </w:t>
      </w:r>
      <w:r w:rsidR="00C67D8B" w:rsidRPr="00262706">
        <w:rPr>
          <w:szCs w:val="22"/>
          <w:lang w:val="hu-HU"/>
        </w:rPr>
        <w:t>–</w:t>
      </w:r>
      <w:r w:rsidRPr="00262706">
        <w:rPr>
          <w:szCs w:val="22"/>
          <w:lang w:val="hu-HU"/>
        </w:rPr>
        <w:t xml:space="preserve"> napi 60</w:t>
      </w:r>
      <w:r w:rsidR="000528B6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 xml:space="preserve">120 mg adagolás mellett </w:t>
      </w:r>
      <w:r w:rsidR="00C67D8B" w:rsidRPr="00262706">
        <w:rPr>
          <w:szCs w:val="22"/>
          <w:lang w:val="hu-HU"/>
        </w:rPr>
        <w:t>–</w:t>
      </w:r>
      <w:r w:rsidRPr="00262706">
        <w:rPr>
          <w:szCs w:val="22"/>
          <w:lang w:val="hu-HU"/>
        </w:rPr>
        <w:t xml:space="preserve"> a hét randomizált, </w:t>
      </w:r>
      <w:r w:rsidR="00CE29A6" w:rsidRPr="00262706">
        <w:rPr>
          <w:szCs w:val="22"/>
          <w:lang w:val="hu-HU"/>
        </w:rPr>
        <w:t xml:space="preserve">kettős </w:t>
      </w:r>
      <w:r w:rsidRPr="00262706">
        <w:rPr>
          <w:szCs w:val="22"/>
          <w:lang w:val="hu-HU"/>
        </w:rPr>
        <w:t>vak, placebokontrollos, rögzített dózisú akut vizsgálat közül ötben mutatták ki major depresszív zavarban szenvedő járóbeteg</w:t>
      </w:r>
      <w:r w:rsidR="000528B6" w:rsidRPr="00262706">
        <w:rPr>
          <w:szCs w:val="22"/>
          <w:lang w:val="hu-HU"/>
        </w:rPr>
        <w:t>e</w:t>
      </w:r>
      <w:r w:rsidRPr="00262706">
        <w:rPr>
          <w:szCs w:val="22"/>
          <w:lang w:val="hu-HU"/>
        </w:rPr>
        <w:t>knél.</w:t>
      </w:r>
    </w:p>
    <w:p w14:paraId="1423580E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2AF5CCA8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statisztikailag jobbnak bizonyult a placebónál a 17-tételes Hamilton Depression Rating Scale (HAM-D) összpontszámával mérve (mely tartalmazza a depressziónak mind az emocionális, mind a szomatikus tüneteit). A terápiára adott kedvező válasz, valamint a remisszió aránya is statisztikailag szignifikáns mértékben magasabb volt 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esetében, mint a placebónál. A pivotál klinikai vizsgálatokba bevont betegeknek csak egy kis hányada szenvedett súlyos depresszióban (kiindulási HAM-D</w:t>
      </w:r>
      <w:r w:rsidR="006266DE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&gt;</w:t>
      </w:r>
      <w:r w:rsidR="006266DE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25).</w:t>
      </w:r>
    </w:p>
    <w:p w14:paraId="32B90C05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000EDE22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Egy nyílt elrendezésű, relapszus-prevenció vizsgálatban azokat a betegeket, akik reagáltak a 12 hetes napi egyszeri 60 mg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akut terápiára, további 6 hónapra randomizálták vagy napi egyszeri 60</w:t>
      </w:r>
      <w:r w:rsidR="00D12F5C">
        <w:rPr>
          <w:szCs w:val="22"/>
          <w:lang w:val="hu-HU"/>
        </w:rPr>
        <w:t> </w:t>
      </w:r>
      <w:r w:rsidRPr="00D12F5C">
        <w:rPr>
          <w:szCs w:val="22"/>
          <w:lang w:val="hu-HU"/>
        </w:rPr>
        <w:t xml:space="preserve">mg </w:t>
      </w:r>
      <w:r w:rsidR="000528B6" w:rsidRPr="00D12F5C">
        <w:rPr>
          <w:szCs w:val="22"/>
          <w:lang w:val="hu-HU"/>
        </w:rPr>
        <w:t>duloxetin</w:t>
      </w:r>
      <w:r w:rsidR="000F0B86" w:rsidRPr="00D12F5C">
        <w:rPr>
          <w:szCs w:val="22"/>
          <w:lang w:val="hu-HU"/>
        </w:rPr>
        <w:t>-</w:t>
      </w:r>
      <w:r w:rsidRPr="00262706">
        <w:rPr>
          <w:szCs w:val="22"/>
          <w:lang w:val="hu-HU"/>
        </w:rPr>
        <w:t xml:space="preserve"> vagy placeboterápiára. A napi egyszeri 60 mg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statisztikailag szignifikáns módon jobbnak bizonyult a placebónál (p=0,004) a depresszió relapszus-prevenciójában, mint elsődleges eredményességi mutatóban, amelyet a relapszus jelentkezéséig terjedő időtartammal mértek. A 6 hónapos dupla</w:t>
      </w:r>
      <w:r w:rsidR="00CE3E7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vak utánkövetéses időszak alatt a relapszus incidenciája 17% és 29% volt duloxetin és placebo esetében.</w:t>
      </w:r>
    </w:p>
    <w:p w14:paraId="556C684F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3AEA941D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Az 52-hetes, placebokontrollos kettős</w:t>
      </w:r>
      <w:r w:rsidR="000F0B8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vak kezelés ideje alatt a duloxetinnel kezelt, visszatérő major depresszív zavarban szenvedő betegeknél szignifikánsan hosszabb volt a tünetmentes időszak (p&lt;0,001) a placebokezelésre randomizált betegekkel összehasonlítva. A megelőző nyílt (28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34 hetes) duloxetin-kezelés során valamennyi beteg reagált a duloxetinre, napi 60</w:t>
      </w:r>
      <w:r w:rsidR="006266DE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120 mg-os adagolás mellett. Az 52-hetes, placebokontrollos kettős</w:t>
      </w:r>
      <w:r w:rsidR="00CE3E7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vak kezelési fázis alatt a duloxetinnel kezelt betegek 14,4%-a és a placebóval kezelt betegek 33,1% tapasztalta a depresszív tüneteik visszatérését (p&lt;0</w:t>
      </w:r>
      <w:r w:rsidR="00C67D8B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>001).</w:t>
      </w:r>
    </w:p>
    <w:p w14:paraId="5440F5D9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5B247373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Külön vizsgálat értékelte a napi egyszeri adagolású 60 mg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hatását idős depressziós betegeknél (</w:t>
      </w:r>
      <w:r w:rsidR="00C67D8B" w:rsidRPr="00262706">
        <w:rPr>
          <w:szCs w:val="22"/>
          <w:lang w:val="hu-HU"/>
        </w:rPr>
        <w:t>≥</w:t>
      </w:r>
      <w:r w:rsidR="000528B6" w:rsidRPr="00262706">
        <w:rPr>
          <w:szCs w:val="22"/>
          <w:lang w:val="hu-HU"/>
        </w:rPr>
        <w:t> </w:t>
      </w:r>
      <w:r w:rsidRPr="00262706">
        <w:rPr>
          <w:szCs w:val="22"/>
          <w:lang w:val="hu-HU"/>
        </w:rPr>
        <w:t>65 év), amely a duloxetinnel</w:t>
      </w:r>
      <w:r w:rsidR="00C67D8B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ill. placebóval kezelt betegek között statisztikailag szignifikáns különbséget mutatott a HAMD17 érték csökkenését illetően. A napi egyszeri adagolású 60 mg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tolerálhatósága idős betegekben hasonló volt a fiatalabb felnőtteknél észlelthez. Mindazonáltal a maximális adagolással (napi 120 mg) kapcsolatban időseknél korlátozottan állnak rendelkezésre adatok, ezért ezen populáció kezelésekor elővigyázatossággal kell eljárni.</w:t>
      </w:r>
    </w:p>
    <w:p w14:paraId="206DF904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35F6DA0F" w14:textId="77777777" w:rsidR="004758BC" w:rsidRPr="00262706" w:rsidRDefault="004758BC" w:rsidP="00262706">
      <w:pPr>
        <w:spacing w:line="240" w:lineRule="auto"/>
        <w:rPr>
          <w:i/>
          <w:szCs w:val="22"/>
          <w:lang w:val="hu-HU"/>
        </w:rPr>
      </w:pPr>
      <w:r w:rsidRPr="00262706">
        <w:rPr>
          <w:i/>
          <w:szCs w:val="22"/>
          <w:lang w:val="hu-HU"/>
        </w:rPr>
        <w:t>Generalizált szorongás:</w:t>
      </w:r>
    </w:p>
    <w:p w14:paraId="5A182F7D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statisztikailag szignifikáns módon jobbnak bizonyult a placebónál az öt, generalizált szorongásban szenvedő felnőtt betegeket bevonó vizsgálat mindegyikében, melyek között négy randomizált, kettős</w:t>
      </w:r>
      <w:r w:rsidR="00CE29A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vak, placebokontrollos akut vizsgálat és egy relapszus-prevenciós vizsgálat volt.</w:t>
      </w:r>
    </w:p>
    <w:p w14:paraId="6CE2B788" w14:textId="77777777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statisztikailag szignifikáns módon jobbnak bizonyult a placebónál, melyet a Hamilton-féle szorongás értékelő skála (HAM-A) teljes pontszám és a Sheehan Disability Scale [SDS]) globális funkcióromlás pontszám javulása alapján mértek. A terápiás v</w:t>
      </w:r>
      <w:r w:rsidR="000528B6" w:rsidRPr="00262706">
        <w:rPr>
          <w:szCs w:val="22"/>
          <w:lang w:val="hu-HU"/>
        </w:rPr>
        <w:t>á</w:t>
      </w:r>
      <w:r w:rsidRPr="00262706">
        <w:rPr>
          <w:szCs w:val="22"/>
          <w:lang w:val="hu-HU"/>
        </w:rPr>
        <w:t xml:space="preserve">lasz és a remisszió arányai is magasabbak voltak 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esetében, mint placebónál. 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hatásossága a HAM-A összpontérték javulása tekintetében a venlafaxinéhoz hasonló volt.</w:t>
      </w:r>
    </w:p>
    <w:p w14:paraId="50A7D68A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51DE48F8" w14:textId="5CD64B93" w:rsidR="004758BC" w:rsidRPr="00262706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Egy relapszus-prevenciós vizsgálatban azokat a betegeket, akik reagáltak a nyílt (open-label)</w:t>
      </w:r>
      <w:r w:rsidR="00CE29A6" w:rsidRPr="00262706">
        <w:rPr>
          <w:szCs w:val="22"/>
          <w:lang w:val="hu-HU"/>
        </w:rPr>
        <w:t>,</w:t>
      </w:r>
      <w:r w:rsidRPr="00262706">
        <w:rPr>
          <w:szCs w:val="22"/>
          <w:lang w:val="hu-HU"/>
        </w:rPr>
        <w:t xml:space="preserve"> </w:t>
      </w:r>
      <w:r w:rsidR="000528B6" w:rsidRPr="00262706">
        <w:rPr>
          <w:szCs w:val="22"/>
          <w:lang w:val="hu-HU"/>
        </w:rPr>
        <w:t xml:space="preserve">duloxetinnel </w:t>
      </w:r>
      <w:r w:rsidRPr="00262706">
        <w:rPr>
          <w:szCs w:val="22"/>
          <w:lang w:val="hu-HU"/>
        </w:rPr>
        <w:t xml:space="preserve">történő 6-hónapos akut kezelésre, további 6 hónapra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- vagy placebokezelésre randomizálták. A </w:t>
      </w:r>
      <w:r w:rsidR="000528B6" w:rsidRPr="00262706">
        <w:rPr>
          <w:szCs w:val="22"/>
          <w:lang w:val="hu-HU"/>
        </w:rPr>
        <w:t>duloxetin napi 60</w:t>
      </w:r>
      <w:r w:rsidR="000528B6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 xml:space="preserve">120 mg </w:t>
      </w:r>
      <w:r w:rsidR="00702112">
        <w:rPr>
          <w:szCs w:val="22"/>
          <w:lang w:val="hu-HU"/>
        </w:rPr>
        <w:t>dózisa</w:t>
      </w:r>
      <w:r w:rsidR="00702112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a relapszusig eltelt idő mérése alapján statisztikailag szignifikáns módon jobbnak bizonyult a placebónál (p</w:t>
      </w:r>
      <w:r w:rsidR="000F0B8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&lt;0,001) a relapszus</w:t>
      </w:r>
      <w:r w:rsidR="000528B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megelőzésében. A 6-hónapos kettős</w:t>
      </w:r>
      <w:r w:rsidR="000F0B86" w:rsidRPr="00262706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 xml:space="preserve">vak követési időszak alatt a relapszusok előfordulása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esetében 14%, placebo esetében 42% volt.</w:t>
      </w:r>
    </w:p>
    <w:p w14:paraId="57A22DF4" w14:textId="77777777" w:rsidR="000528B6" w:rsidRPr="00262706" w:rsidRDefault="000528B6" w:rsidP="00262706">
      <w:pPr>
        <w:spacing w:line="240" w:lineRule="auto"/>
        <w:rPr>
          <w:szCs w:val="22"/>
          <w:lang w:val="hu-HU"/>
        </w:rPr>
      </w:pPr>
    </w:p>
    <w:p w14:paraId="03C9DE02" w14:textId="1D4996AD" w:rsidR="004758BC" w:rsidRPr="00D12F5C" w:rsidRDefault="004758BC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Klinikai vizsgálatban értékelték a napi egyszer alkalmazott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30</w:t>
      </w:r>
      <w:r w:rsidR="000528B6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 xml:space="preserve">120 mg (flexibilis adagolás) hatásosságát generalizált szorongásban szenvedő idős betegeknél (&gt;65 év), mely a duloxetinnel kezelt betegeknél a HAM-A teljes pontszám statisztikailag szignifikáns javulását igazolta a placebóval kezelt betegekkel összehasonlítva. Generalizált szorongásban szenvedő idős betegeknél a napi egyszer alkalmazott </w:t>
      </w:r>
      <w:r w:rsidR="000528B6" w:rsidRPr="00262706">
        <w:rPr>
          <w:szCs w:val="22"/>
          <w:lang w:val="hu-HU"/>
        </w:rPr>
        <w:t>duloxetin</w:t>
      </w:r>
      <w:r w:rsidRPr="00262706">
        <w:rPr>
          <w:szCs w:val="22"/>
          <w:lang w:val="hu-HU"/>
        </w:rPr>
        <w:t xml:space="preserve"> 30</w:t>
      </w:r>
      <w:r w:rsidR="000528B6" w:rsidRPr="00262706">
        <w:rPr>
          <w:szCs w:val="22"/>
          <w:lang w:val="hu-HU"/>
        </w:rPr>
        <w:noBreakHyphen/>
      </w:r>
      <w:r w:rsidRPr="00262706">
        <w:rPr>
          <w:szCs w:val="22"/>
          <w:lang w:val="hu-HU"/>
        </w:rPr>
        <w:t>120 mg hatásossága és biztonságossága hasonló volt a fiatalabb felnőtt betegekkel végzett vizsgálatokban tapasztaltakhoz. Mindazonáltal korlátozottak a maximális (napi 120</w:t>
      </w:r>
      <w:r w:rsidR="00D12F5C">
        <w:rPr>
          <w:szCs w:val="22"/>
          <w:lang w:val="hu-HU"/>
        </w:rPr>
        <w:t> </w:t>
      </w:r>
      <w:r w:rsidRPr="00D12F5C">
        <w:rPr>
          <w:szCs w:val="22"/>
          <w:lang w:val="hu-HU"/>
        </w:rPr>
        <w:t xml:space="preserve">mg) </w:t>
      </w:r>
      <w:r w:rsidR="00702112">
        <w:rPr>
          <w:szCs w:val="22"/>
          <w:lang w:val="hu-HU"/>
        </w:rPr>
        <w:t>dózissal</w:t>
      </w:r>
      <w:r w:rsidR="00702112" w:rsidRPr="00D12F5C">
        <w:rPr>
          <w:szCs w:val="22"/>
          <w:lang w:val="hu-HU"/>
        </w:rPr>
        <w:t xml:space="preserve"> </w:t>
      </w:r>
      <w:r w:rsidRPr="00D12F5C">
        <w:rPr>
          <w:szCs w:val="22"/>
          <w:lang w:val="hu-HU"/>
        </w:rPr>
        <w:t xml:space="preserve">kezelt idős betegekre vonatkozó adatok, ezért idős populációban ennek a </w:t>
      </w:r>
      <w:r w:rsidR="00702112">
        <w:rPr>
          <w:szCs w:val="22"/>
          <w:lang w:val="hu-HU"/>
        </w:rPr>
        <w:t>dózisnak</w:t>
      </w:r>
      <w:r w:rsidRPr="00D12F5C">
        <w:rPr>
          <w:szCs w:val="22"/>
          <w:lang w:val="hu-HU"/>
        </w:rPr>
        <w:t xml:space="preserve"> az alkalmazásakor óvatosság javasolt.</w:t>
      </w:r>
    </w:p>
    <w:p w14:paraId="7256A992" w14:textId="77777777" w:rsidR="000528B6" w:rsidRPr="00D12F5C" w:rsidRDefault="000528B6" w:rsidP="00262706">
      <w:pPr>
        <w:spacing w:line="240" w:lineRule="auto"/>
        <w:rPr>
          <w:szCs w:val="22"/>
          <w:lang w:val="hu-HU"/>
        </w:rPr>
      </w:pPr>
    </w:p>
    <w:p w14:paraId="01B444BF" w14:textId="77777777" w:rsidR="00F45C51" w:rsidRPr="00262706" w:rsidRDefault="00F45C51" w:rsidP="00262706">
      <w:pPr>
        <w:spacing w:line="240" w:lineRule="auto"/>
        <w:rPr>
          <w:szCs w:val="22"/>
          <w:u w:val="single"/>
          <w:lang w:val="hu-HU"/>
        </w:rPr>
      </w:pPr>
      <w:r w:rsidRPr="00262706">
        <w:rPr>
          <w:szCs w:val="22"/>
          <w:u w:val="single"/>
          <w:lang w:val="hu-HU"/>
        </w:rPr>
        <w:t>Gyermek</w:t>
      </w:r>
      <w:r w:rsidR="00127C1D" w:rsidRPr="00262706">
        <w:rPr>
          <w:szCs w:val="22"/>
          <w:u w:val="single"/>
          <w:lang w:val="hu-HU"/>
        </w:rPr>
        <w:t>ek</w:t>
      </w:r>
      <w:r w:rsidR="00930A2D" w:rsidRPr="00262706">
        <w:rPr>
          <w:szCs w:val="22"/>
          <w:u w:val="single"/>
          <w:lang w:val="hu-HU"/>
        </w:rPr>
        <w:t xml:space="preserve"> és serdülők</w:t>
      </w:r>
    </w:p>
    <w:p w14:paraId="7BBE0CDA" w14:textId="77777777" w:rsidR="00CB5E63" w:rsidRPr="00262706" w:rsidRDefault="004758BC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A duloxetint nem vizsgálták 7 éves</w:t>
      </w:r>
      <w:r w:rsidR="006B1092" w:rsidRPr="00262706">
        <w:rPr>
          <w:rFonts w:eastAsia="Times New Roman"/>
          <w:noProof/>
          <w:snapToGrid/>
          <w:szCs w:val="22"/>
          <w:lang w:val="hu-HU" w:eastAsia="en-US"/>
        </w:rPr>
        <w:t>nél fiatalabb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betegeknél.</w:t>
      </w:r>
    </w:p>
    <w:p w14:paraId="4500139D" w14:textId="77777777" w:rsidR="00CB5E63" w:rsidRPr="00262706" w:rsidRDefault="00CB5E63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FD47BA" w14:textId="77777777" w:rsidR="004758BC" w:rsidRPr="00262706" w:rsidRDefault="004758BC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Két randomizált, kettős</w:t>
      </w:r>
      <w:r w:rsidR="000F0B86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vak, párhuzamos klinikai vizsgálatot végeztek 800, 7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17 éves, major depresszív zavarban szenvedő gyermek</w:t>
      </w:r>
      <w:r w:rsidR="00761A71" w:rsidRPr="00262706">
        <w:rPr>
          <w:rFonts w:eastAsia="Times New Roman"/>
          <w:noProof/>
          <w:snapToGrid/>
          <w:szCs w:val="22"/>
          <w:lang w:val="hu-HU" w:eastAsia="en-US"/>
        </w:rPr>
        <w:t xml:space="preserve"> és serdülő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korú beteg bevonásával (lásd 4.2 pont). E két vizsgálat magában foglalt egy 10 hetes placebo- és aktív (fluoxetin)-kontrollos akut fázist, amelyet egy hat hónapos aktív kontrollos kiterjesztéses kezelési szakasz követett. Sem a (30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120 mg) duloxetin, sem az aktív-kontroll (20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40 mg fluoxetin) vizsgálati kar esetében nem észleltek statisztikailag igazolt különbséget a placebóhoz képest a vizsgálat megkezdésétől a végpontig a Felülvizsgált Gyermekkori Depresszió Értékelő Skálán (Children´s Depression Rating Scale-Revised , CDS-R) elért összpontszámban. A kezelés mellékhatások miatti megszakítása nagyobb arányú volt a duloxetint szedőknél a fluoxetinnel kezeltekéhez képest, főként az émelygés miatt. A 10 hetes akut kezelési időszak során jelentettek öngyilkos magatartást (duloxetin 0/333 [0%], fluoxetin 2/225 [0,9%], placebo 1/220 [0,5%]). A vizsgálat teljes, 36 hetes időtartama alatt a 333, a vizsgálat kezdetekor duloxetin-kezelésre randomizált beteg közül 6 beteg, a 225, vizsgálat kezdetekor fluoxetin-kezelésre randomizált beteg közül pedig 3 beteg esetében tapasztaltak öngyilkos magatartást (az expozícióhoz illesztett incidencia 0,039 esemény/betegév duloxetin és 0,026 esemény/betegév fluoxetin esetén).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Ezenfelül, egy betegnél, akit placebóról duloxetinre állítottak át, a duloxetin szedése során öngyilkos magatartást észleltek.</w:t>
      </w:r>
    </w:p>
    <w:p w14:paraId="45B56E4E" w14:textId="77777777" w:rsidR="00CB5E63" w:rsidRPr="00262706" w:rsidRDefault="00CB5E63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5587F7" w14:textId="2B263D7F" w:rsidR="00F45C51" w:rsidRPr="00D12F5C" w:rsidRDefault="004758BC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Egy randomizált, kettős</w:t>
      </w:r>
      <w:r w:rsidR="000F0B86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vak, placebokontrollos klinikai vizsgálatot végeztek 272, 7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17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éves, generalizált szorongásban szenvedő beteg bevonásával. A vizsgálat egy 10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hetes placebokontrollos akut fázisból és egy 18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hetes kiterjesztett kezelési szakaszból állt. A vizsgálat során flexibilis adagolást alkalmaztak, mely lehetővé tette a dózis napi egyszeri 30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mg-ról nagyobb </w:t>
      </w:r>
      <w:r w:rsidR="00702112">
        <w:rPr>
          <w:rFonts w:eastAsia="Times New Roman"/>
          <w:noProof/>
          <w:snapToGrid/>
          <w:szCs w:val="22"/>
          <w:lang w:val="hu-HU" w:eastAsia="en-US"/>
        </w:rPr>
        <w:t>dózisokra</w:t>
      </w:r>
      <w:r w:rsidR="00702112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(maximum napi egyszeri 120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mg) történő lassú emelését. A GAD súlyosságát PARS (Pediatric Anxiety Rating Scale) pontszámmal mérve 10 hetes kezelést követően a duloxetin-kezelés a GAD tüneteinek a statisztikailag szignifikánsan nagyobb mértékű javulását eredményezte (a duloxetin és placebo közötti átlagos különbség 2,7 pont [95%</w:t>
      </w:r>
      <w:r w:rsidR="000F0B86" w:rsidRPr="00262706">
        <w:rPr>
          <w:rFonts w:eastAsia="Times New Roman"/>
          <w:noProof/>
          <w:snapToGrid/>
          <w:szCs w:val="22"/>
          <w:lang w:val="hu-HU" w:eastAsia="en-US"/>
        </w:rPr>
        <w:t>-os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CI</w:t>
      </w:r>
      <w:r w:rsidR="000F0B86" w:rsidRPr="00262706">
        <w:rPr>
          <w:rFonts w:eastAsia="Times New Roman"/>
          <w:noProof/>
          <w:snapToGrid/>
          <w:szCs w:val="22"/>
          <w:lang w:val="hu-HU" w:eastAsia="en-US"/>
        </w:rPr>
        <w:t>: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1,3</w:t>
      </w:r>
      <w:r w:rsidR="006266DE" w:rsidRPr="00262706">
        <w:rPr>
          <w:rFonts w:eastAsia="Times New Roman"/>
          <w:noProof/>
          <w:snapToGrid/>
          <w:szCs w:val="22"/>
          <w:lang w:val="hu-HU" w:eastAsia="en-US"/>
        </w:rPr>
        <w:noBreakHyphen/>
      </w:r>
      <w:r w:rsidRPr="00262706">
        <w:rPr>
          <w:rFonts w:eastAsia="Times New Roman"/>
          <w:noProof/>
          <w:snapToGrid/>
          <w:szCs w:val="22"/>
          <w:lang w:val="hu-HU" w:eastAsia="en-US"/>
        </w:rPr>
        <w:t>4,0]). A hatás fennmaradását nem értékelték. A 10 hetes akut kezelési szakasz során a kezelés mellékhatások miatt történt felfüggesztésében nem volt statisztikailag szignifikáns különbség a duloxetin- és a placebocsoport között. Két betegnél, akiket az akut fázis után placebóról duloxetinre állítottak át, a kiterjesztéses szakaszban a duloxetin szedése során öngyilkos magatartást észleltek. Ebben a korcsoportban a gyógyszer előny-kockázat arányára vonatkozó következtetés nem állapítottak meg (lásd 4.2 és 4.8</w:t>
      </w:r>
      <w:r w:rsidR="00D12F5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12F5C">
        <w:rPr>
          <w:rFonts w:eastAsia="Times New Roman"/>
          <w:noProof/>
          <w:snapToGrid/>
          <w:szCs w:val="22"/>
          <w:lang w:val="hu-HU" w:eastAsia="en-US"/>
        </w:rPr>
        <w:t>pontokat is).</w:t>
      </w:r>
    </w:p>
    <w:p w14:paraId="584E0292" w14:textId="77777777" w:rsidR="0037508F" w:rsidRDefault="0037508F" w:rsidP="0037508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3C56DD6" w14:textId="77777777" w:rsidR="0037508F" w:rsidRPr="00A411B5" w:rsidRDefault="0037508F" w:rsidP="0037508F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 xml:space="preserve">Eddig egyetlen vizsgálatot végeztek fiatalkori primer fibromyalgia-szindrómában (juvenile primary fibromyalgia syndrome, JPFS) szenvedő </w:t>
      </w:r>
      <w:r w:rsidR="00A90C94" w:rsidRPr="00A411B5">
        <w:rPr>
          <w:szCs w:val="22"/>
          <w:lang w:val="hu-HU"/>
        </w:rPr>
        <w:t>gyermekek és serdülők</w:t>
      </w:r>
      <w:r w:rsidRPr="00A411B5">
        <w:rPr>
          <w:szCs w:val="22"/>
          <w:lang w:val="hu-HU"/>
        </w:rPr>
        <w:t xml:space="preserve"> bevonásával, amelyben a duloxetinnel kezelt csoport nem mutatott különbséget a placebóval kezelthez képest az elsődleges hatásossági mutató tekintetében. Ebből kifolyólag a hatásosság nem bizonyított a gyermekek és serdülők ezen betegpopulációjában. A duloxetin ezen randomizált, kettős vak, placebokontrollos, párhuzamos elrendezésű vizsgálatát 184, 13-18 éves (15,53 éves átlagéletkorú), fiatalkori primer fibromyalgia-szindrómában szenvedő </w:t>
      </w:r>
      <w:r w:rsidR="00A90C94" w:rsidRPr="00A411B5">
        <w:rPr>
          <w:szCs w:val="22"/>
          <w:lang w:val="hu-HU"/>
        </w:rPr>
        <w:t>gyermek és serdülő</w:t>
      </w:r>
      <w:r w:rsidRPr="00A411B5">
        <w:rPr>
          <w:szCs w:val="22"/>
          <w:lang w:val="hu-HU"/>
        </w:rPr>
        <w:t xml:space="preserve"> bevonásával végezték. A vizsgálat egy 13 hetes kettős vak időszakból állt, amelyben a betegeket vagy napi 30 mg/60 mg duloxetinre vagy placebóra randomizálták. A duloxetin nem bizonyult hatásosnak a fájdalom csökkentése tekintetében, amelyet az elsődleges eredményességi mutatóval, a Brief Pain Inventory (BPI) értékelőskálán a vizsgálati végpontban elért átlagos fájdalom-pontszámmal mértek: a BPI átlagos fájdalom-pontszám kiinduláshoz viszonyított (legkisebb négyzetek módszerrel kiszámított) átlagos változása a 13. héten -0,97 volt a placebocsoportban, míg a duloxetin 30/60 mg csoportban -1,62 (p = 0,052). Az ebből a vizsgálatból származó biztonságossági eredmények összhangban voltak a duloxetin már ismert biztonságossági profiljával.</w:t>
      </w:r>
    </w:p>
    <w:p w14:paraId="08137992" w14:textId="77777777" w:rsidR="004758BC" w:rsidRPr="00D12F5C" w:rsidRDefault="004758BC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E2B8CCF" w14:textId="77777777" w:rsidR="004758BC" w:rsidRPr="00262706" w:rsidRDefault="004758BC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12F5C">
        <w:rPr>
          <w:rFonts w:eastAsia="Times New Roman"/>
          <w:noProof/>
          <w:snapToGrid/>
          <w:szCs w:val="22"/>
          <w:lang w:val="hu-HU" w:eastAsia="en-US"/>
        </w:rPr>
        <w:t xml:space="preserve">Az Európai Gyógyszerügynökség a gyermekek esetén minden korosztálynál eltekint a </w:t>
      </w:r>
      <w:r w:rsidR="00CB5E63" w:rsidRPr="00262706">
        <w:rPr>
          <w:rFonts w:eastAsia="Times New Roman"/>
          <w:noProof/>
          <w:snapToGrid/>
          <w:szCs w:val="22"/>
          <w:lang w:val="hu-HU" w:eastAsia="en-US"/>
        </w:rPr>
        <w:t>duloxetin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vizsgálati eredményeinek benyújtási kötelezettségétől major depresszív zavar, diabeteses neuropathiás fájdalom és generalizált szorongás kezelésében (lásd 4.2 pont, gyermekgyógyászati alkalmazásra vonatkozó információk).</w:t>
      </w:r>
    </w:p>
    <w:p w14:paraId="17C5D8F0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202CDB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262706">
        <w:rPr>
          <w:b/>
          <w:szCs w:val="22"/>
          <w:lang w:val="hu-HU"/>
        </w:rPr>
        <w:t>5.2</w:t>
      </w:r>
      <w:r w:rsidRPr="00262706">
        <w:rPr>
          <w:b/>
          <w:szCs w:val="22"/>
          <w:lang w:val="hu-HU"/>
        </w:rPr>
        <w:tab/>
        <w:t>Farmakokinetikai tulajdonságok</w:t>
      </w:r>
    </w:p>
    <w:p w14:paraId="196593D8" w14:textId="77777777" w:rsidR="00CB5E63" w:rsidRPr="00262706" w:rsidRDefault="00CB5E63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68E5877A" w14:textId="77777777" w:rsidR="00CB5E63" w:rsidRPr="00262706" w:rsidRDefault="00CB5E63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>A duloxetinnek csak az egyik enantiomerjét alkalmazzák. A duloxetin nagy mértékben metabolizálódik oxidatív enzimek (CYP1A2 és a polimorf CYP2D6) révén, amit konjugáció követ. A duloxetin farmakokinetikája nagy egyéni különbségeket mutat (általában 50</w:t>
      </w:r>
      <w:r w:rsidRPr="00262706">
        <w:rPr>
          <w:noProof/>
          <w:szCs w:val="22"/>
          <w:lang w:val="hu-HU"/>
        </w:rPr>
        <w:noBreakHyphen/>
        <w:t>60%), részben a nem, a kor, a dohányzás és a CYP2D6 metabolizációs státusz következtében.</w:t>
      </w:r>
    </w:p>
    <w:p w14:paraId="488B547F" w14:textId="77777777" w:rsidR="00CB5E63" w:rsidRPr="00262706" w:rsidRDefault="00CB5E63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24356BAC" w14:textId="77777777" w:rsidR="00F45C51" w:rsidRPr="00262706" w:rsidRDefault="00F45C51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262706">
        <w:rPr>
          <w:noProof/>
          <w:szCs w:val="22"/>
          <w:u w:val="single"/>
          <w:lang w:val="hu-HU"/>
        </w:rPr>
        <w:t>Felszívódás</w:t>
      </w:r>
    </w:p>
    <w:p w14:paraId="30706FAA" w14:textId="77777777" w:rsidR="004A071D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 xml:space="preserve">A duloxetin orális </w:t>
      </w:r>
      <w:r w:rsidR="00761A71" w:rsidRPr="00262706">
        <w:rPr>
          <w:noProof/>
          <w:szCs w:val="22"/>
          <w:lang w:val="hu-HU"/>
        </w:rPr>
        <w:t xml:space="preserve">alkalmazás után </w:t>
      </w:r>
      <w:r w:rsidRPr="00262706">
        <w:rPr>
          <w:noProof/>
          <w:szCs w:val="22"/>
          <w:lang w:val="hu-HU"/>
        </w:rPr>
        <w:t>jól felszívódik, a C</w:t>
      </w:r>
      <w:r w:rsidRPr="00262706">
        <w:rPr>
          <w:noProof/>
          <w:szCs w:val="22"/>
          <w:vertAlign w:val="subscript"/>
          <w:lang w:val="hu-HU"/>
        </w:rPr>
        <w:t>max</w:t>
      </w:r>
      <w:r w:rsidRPr="00262706">
        <w:rPr>
          <w:noProof/>
          <w:szCs w:val="22"/>
          <w:lang w:val="hu-HU"/>
        </w:rPr>
        <w:t xml:space="preserve"> a bevételt követően 6 órával alakul ki. A duloxetin abszolút orális biohasznosulása 32</w:t>
      </w:r>
      <w:r w:rsidRPr="00262706">
        <w:rPr>
          <w:noProof/>
          <w:szCs w:val="22"/>
          <w:lang w:val="hu-HU"/>
        </w:rPr>
        <w:noBreakHyphen/>
        <w:t>80% (átlag 50%). Az étkezés 6 óráról 10 órára nyújtja a csúcskoncentráció kialakulását és kis mértékben (körülbelül 11%) csökkenti a felszívódás mértékét. Ezeknek a változásoknak nincs klinikai jelentősége.</w:t>
      </w:r>
    </w:p>
    <w:p w14:paraId="64789FDA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029958E6" w14:textId="77777777" w:rsidR="00F45C51" w:rsidRPr="00262706" w:rsidRDefault="00F45C51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262706">
        <w:rPr>
          <w:noProof/>
          <w:szCs w:val="22"/>
          <w:u w:val="single"/>
          <w:lang w:val="hu-HU"/>
        </w:rPr>
        <w:t>Eloszlás</w:t>
      </w:r>
    </w:p>
    <w:p w14:paraId="4FF415D8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 xml:space="preserve">A duloxetin körülbelül 96%-ban kötődik </w:t>
      </w:r>
      <w:r w:rsidR="006B1092" w:rsidRPr="00262706">
        <w:rPr>
          <w:noProof/>
          <w:szCs w:val="22"/>
          <w:lang w:val="hu-HU"/>
        </w:rPr>
        <w:t xml:space="preserve">humán </w:t>
      </w:r>
      <w:r w:rsidRPr="00262706">
        <w:rPr>
          <w:noProof/>
          <w:szCs w:val="22"/>
          <w:lang w:val="hu-HU"/>
        </w:rPr>
        <w:t>plazmafehérjékhez. A duloxetin kötődik mind az albuminhoz, mind az alfa-1 savas glikoproteinhez. A fehérjekötődést a vese- vagy májkárosodás nem befolyásolja.</w:t>
      </w:r>
    </w:p>
    <w:p w14:paraId="61F6D257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54F04067" w14:textId="77777777" w:rsidR="00F45C51" w:rsidRPr="00262706" w:rsidRDefault="00F45C51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262706">
        <w:rPr>
          <w:noProof/>
          <w:szCs w:val="22"/>
          <w:u w:val="single"/>
          <w:lang w:val="hu-HU"/>
        </w:rPr>
        <w:t>Biotranszformáció</w:t>
      </w:r>
    </w:p>
    <w:p w14:paraId="1FE37F5E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>A duloxetin nagy mértékben metabolizálódik, és a metabolitok főleg a vizeletben választódnak ki. A P450</w:t>
      </w:r>
      <w:r w:rsidRPr="00262706">
        <w:rPr>
          <w:noProof/>
          <w:szCs w:val="22"/>
          <w:lang w:val="hu-HU"/>
        </w:rPr>
        <w:noBreakHyphen/>
        <w:t>2D6 és az 1A2 is katalizálja a két fő metabolit, a 4-hidroxiduloxetin glükuronid-konjugátuma, és az 5</w:t>
      </w:r>
      <w:r w:rsidRPr="00262706">
        <w:rPr>
          <w:noProof/>
          <w:szCs w:val="22"/>
          <w:lang w:val="hu-HU"/>
        </w:rPr>
        <w:noBreakHyphen/>
        <w:t xml:space="preserve">hidroxi,6-metoxiduloxetin szulfát-konjugátuma kialakulását. </w:t>
      </w:r>
      <w:r w:rsidRPr="00262706">
        <w:rPr>
          <w:i/>
          <w:noProof/>
          <w:szCs w:val="22"/>
          <w:lang w:val="hu-HU"/>
        </w:rPr>
        <w:t>In vitro</w:t>
      </w:r>
      <w:r w:rsidRPr="00262706">
        <w:rPr>
          <w:noProof/>
          <w:szCs w:val="22"/>
          <w:lang w:val="hu-HU"/>
        </w:rPr>
        <w:t xml:space="preserve"> vizsgálatok alapján a duloxetin keringő metabolitjai farmakológiailag inaktívak. A duloxetin farmakokinetikáját nem vizsgálták olyan betegekben, akik CYP2D6 szempontjából gyenge metabolizálók. Néhány adat arra utal, hogy a duloxetin plazmaszintjei magasabbak ezekben a betegekben.</w:t>
      </w:r>
    </w:p>
    <w:p w14:paraId="759A0BB7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31C07221" w14:textId="77777777" w:rsidR="00F45C51" w:rsidRPr="00262706" w:rsidRDefault="00F45C51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262706">
        <w:rPr>
          <w:noProof/>
          <w:szCs w:val="22"/>
          <w:u w:val="single"/>
          <w:lang w:val="hu-HU"/>
        </w:rPr>
        <w:t>Elimináció</w:t>
      </w:r>
    </w:p>
    <w:p w14:paraId="3EE71F33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noProof/>
          <w:szCs w:val="22"/>
          <w:lang w:val="hu-HU"/>
        </w:rPr>
        <w:t>A duloxetin eliminációs felezési ideje orális alkalmazást követően 8 és 17 óra között van (átlagosan 12</w:t>
      </w:r>
      <w:r w:rsidR="00373917" w:rsidRPr="00262706">
        <w:rPr>
          <w:noProof/>
          <w:szCs w:val="22"/>
          <w:lang w:val="hu-HU"/>
        </w:rPr>
        <w:t> </w:t>
      </w:r>
      <w:r w:rsidRPr="00262706">
        <w:rPr>
          <w:noProof/>
          <w:szCs w:val="22"/>
          <w:lang w:val="hu-HU"/>
        </w:rPr>
        <w:t>óra). Intravénás adás után a duloxetin plazma clearance-e 22</w:t>
      </w:r>
      <w:r w:rsidRPr="00262706">
        <w:rPr>
          <w:noProof/>
          <w:szCs w:val="22"/>
          <w:lang w:val="hu-HU"/>
        </w:rPr>
        <w:noBreakHyphen/>
        <w:t>46 l/óra (átlagosan 36 l/óra). Orális adást követően a duloxetin látszólagos plazma clearance-e 33</w:t>
      </w:r>
      <w:r w:rsidRPr="00262706">
        <w:rPr>
          <w:noProof/>
          <w:szCs w:val="22"/>
          <w:lang w:val="hu-HU"/>
        </w:rPr>
        <w:noBreakHyphen/>
        <w:t>261 l/óra (átlagosan 101 l/óra).</w:t>
      </w:r>
    </w:p>
    <w:p w14:paraId="43A4BEBE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22366959" w14:textId="77777777" w:rsidR="00F45C51" w:rsidRPr="00262706" w:rsidRDefault="00373917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u w:val="single"/>
          <w:lang w:val="hu-HU"/>
        </w:rPr>
      </w:pPr>
      <w:r w:rsidRPr="00262706">
        <w:rPr>
          <w:noProof/>
          <w:szCs w:val="22"/>
          <w:u w:val="single"/>
          <w:lang w:val="hu-HU"/>
        </w:rPr>
        <w:t xml:space="preserve">Különleges </w:t>
      </w:r>
      <w:r w:rsidR="00892932" w:rsidRPr="00262706">
        <w:rPr>
          <w:noProof/>
          <w:szCs w:val="22"/>
          <w:u w:val="single"/>
          <w:lang w:val="hu-HU"/>
        </w:rPr>
        <w:t>betegcsoportok:</w:t>
      </w:r>
    </w:p>
    <w:p w14:paraId="1C744B82" w14:textId="7511F206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>Nem:</w:t>
      </w:r>
      <w:r w:rsidRPr="00262706">
        <w:rPr>
          <w:noProof/>
          <w:szCs w:val="22"/>
          <w:lang w:val="hu-HU"/>
        </w:rPr>
        <w:t xml:space="preserve"> A férfiak és nők között találtak farmakokinetikai különbségeket (nőknél a látszólagos plazma</w:t>
      </w:r>
      <w:r w:rsidR="000F0B86" w:rsidRPr="00262706">
        <w:rPr>
          <w:noProof/>
          <w:szCs w:val="22"/>
          <w:lang w:val="hu-HU"/>
        </w:rPr>
        <w:t>-</w:t>
      </w:r>
      <w:r w:rsidRPr="00262706">
        <w:rPr>
          <w:noProof/>
          <w:szCs w:val="22"/>
          <w:lang w:val="hu-HU"/>
        </w:rPr>
        <w:t>clearance kb. 50%-kal alacsonyabb). A clearance</w:t>
      </w:r>
      <w:r w:rsidR="00761A71" w:rsidRPr="00262706">
        <w:rPr>
          <w:noProof/>
          <w:szCs w:val="22"/>
          <w:lang w:val="hu-HU"/>
        </w:rPr>
        <w:t>-</w:t>
      </w:r>
      <w:r w:rsidRPr="00262706">
        <w:rPr>
          <w:noProof/>
          <w:szCs w:val="22"/>
          <w:lang w:val="hu-HU"/>
        </w:rPr>
        <w:t xml:space="preserve">tartomány átfedése alapján ezek a nemhez kötött farmakokinetikai eltérések nem indokolják nőbetegek részére alacsonyabb </w:t>
      </w:r>
      <w:r w:rsidR="000076E9">
        <w:rPr>
          <w:noProof/>
          <w:szCs w:val="22"/>
          <w:lang w:val="hu-HU"/>
        </w:rPr>
        <w:t>dózisok</w:t>
      </w:r>
      <w:r w:rsidR="000076E9" w:rsidRPr="00262706">
        <w:rPr>
          <w:noProof/>
          <w:szCs w:val="22"/>
          <w:lang w:val="hu-HU"/>
        </w:rPr>
        <w:t xml:space="preserve"> </w:t>
      </w:r>
      <w:r w:rsidRPr="00262706">
        <w:rPr>
          <w:noProof/>
          <w:szCs w:val="22"/>
          <w:lang w:val="hu-HU"/>
        </w:rPr>
        <w:t>adását.</w:t>
      </w:r>
    </w:p>
    <w:p w14:paraId="34817B57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</w:p>
    <w:p w14:paraId="66658C86" w14:textId="77777777" w:rsidR="00892932" w:rsidRPr="00587715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>Életkor:</w:t>
      </w:r>
      <w:r w:rsidRPr="00262706">
        <w:rPr>
          <w:noProof/>
          <w:szCs w:val="22"/>
          <w:lang w:val="hu-HU"/>
        </w:rPr>
        <w:t xml:space="preserve"> Az idősebb (≥</w:t>
      </w:r>
      <w:r w:rsidR="00564F59" w:rsidRPr="00564F89">
        <w:rPr>
          <w:noProof/>
          <w:szCs w:val="22"/>
          <w:lang w:val="hu-HU"/>
        </w:rPr>
        <w:t> </w:t>
      </w:r>
      <w:r w:rsidRPr="000F0D19">
        <w:rPr>
          <w:noProof/>
          <w:szCs w:val="22"/>
          <w:lang w:val="hu-HU"/>
        </w:rPr>
        <w:t xml:space="preserve">65 év) és fiatalabb nők között találtak farmakokinetikai különbségeket (az időseknél az AUC kb. 25%-kal nő, és a felezési idő kb. 25%-kal hosszabb), azonban ezeknek az eltéréseknek a nagysága nem elégséges ahhoz, hogy dózismódosításra legyen szükség. Általános </w:t>
      </w:r>
      <w:r w:rsidRPr="00587715">
        <w:rPr>
          <w:noProof/>
          <w:szCs w:val="22"/>
          <w:lang w:val="hu-HU"/>
        </w:rPr>
        <w:t>javaslatként idősek kezelésekor elővigyázatosság szükséges (lásd 4.2 és 4.4 pont).</w:t>
      </w:r>
    </w:p>
    <w:p w14:paraId="60CCDB4D" w14:textId="77777777" w:rsidR="00892932" w:rsidRPr="00D12F5C" w:rsidRDefault="00892932" w:rsidP="0026270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2E060505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D12F5C">
        <w:rPr>
          <w:i/>
          <w:noProof/>
          <w:szCs w:val="22"/>
          <w:lang w:val="hu-HU"/>
        </w:rPr>
        <w:t>Vesekárosodás:</w:t>
      </w:r>
      <w:r w:rsidRPr="00D12F5C">
        <w:rPr>
          <w:noProof/>
          <w:szCs w:val="22"/>
          <w:lang w:val="hu-HU"/>
        </w:rPr>
        <w:t xml:space="preserve"> A dialízis kezelésben részesülő, végstádiumú veseelégtelenségben szenvedő betegeknél a duloxetin C</w:t>
      </w:r>
      <w:r w:rsidRPr="00D12F5C">
        <w:rPr>
          <w:noProof/>
          <w:szCs w:val="22"/>
          <w:vertAlign w:val="subscript"/>
          <w:lang w:val="hu-HU"/>
        </w:rPr>
        <w:t>max</w:t>
      </w:r>
      <w:r w:rsidRPr="00262706">
        <w:rPr>
          <w:noProof/>
          <w:szCs w:val="22"/>
          <w:lang w:val="hu-HU"/>
        </w:rPr>
        <w:t xml:space="preserve"> értéke és AUC értékei kétszeresei az egészségeseknél mért értékeknek. Enyhe vagy közepesen súlyos vesekárosodásban korlátozottan állnak rendelkezésre a duloxetin farmakokinetikai adatai.</w:t>
      </w:r>
    </w:p>
    <w:p w14:paraId="37FB67CF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42CA459E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 xml:space="preserve">Májkárosodás: </w:t>
      </w:r>
      <w:r w:rsidRPr="00262706">
        <w:rPr>
          <w:noProof/>
          <w:szCs w:val="22"/>
          <w:lang w:val="hu-HU"/>
        </w:rPr>
        <w:t>A közepesen súlyos májbetegség (Child-Pugh B osztály) befolyásolja a duloxetin farmakokinetikáját. Egészséges egyénekkel összehasonlítva a duloxetin látszólagos plazma clearance</w:t>
      </w:r>
      <w:r w:rsidR="00373917" w:rsidRPr="00262706">
        <w:rPr>
          <w:noProof/>
          <w:szCs w:val="22"/>
          <w:lang w:val="hu-HU"/>
        </w:rPr>
        <w:noBreakHyphen/>
      </w:r>
      <w:r w:rsidRPr="00262706">
        <w:rPr>
          <w:noProof/>
          <w:szCs w:val="22"/>
          <w:lang w:val="hu-HU"/>
        </w:rPr>
        <w:t>e 79%</w:t>
      </w:r>
      <w:r w:rsidR="00564F59" w:rsidRPr="00262706">
        <w:rPr>
          <w:noProof/>
          <w:szCs w:val="22"/>
          <w:lang w:val="hu-HU"/>
        </w:rPr>
        <w:noBreakHyphen/>
      </w:r>
      <w:r w:rsidRPr="00262706">
        <w:rPr>
          <w:noProof/>
          <w:szCs w:val="22"/>
          <w:lang w:val="hu-HU"/>
        </w:rPr>
        <w:t>kal volt kisebb, a látszólagos terminális felezési idő 2,3-szor volt hosszabb, és az AUC 3,7-szer volt nagyobb a közepesen súlyos májbetegségben szenvedő betegeknél. Enyhe vagy súlyos májelégtelenségben nem vizsgálták a duloxetin és metabolitjainak farmakokinetikáját.</w:t>
      </w:r>
    </w:p>
    <w:p w14:paraId="64DD9AEF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248DA92E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>Szoptató anyák</w:t>
      </w:r>
      <w:r w:rsidRPr="00262706">
        <w:rPr>
          <w:noProof/>
          <w:szCs w:val="22"/>
          <w:lang w:val="hu-HU"/>
        </w:rPr>
        <w:t>: 6 szoptató nőnél (legalább 12 héttel a szülést követően) vizsgálták a duloxetin eloszlását. A duloxetin megtalálható az anyatejben és steady-state koncentrációi a vérben mért értékeknek megközelítőleg egynegyede. Az anyatejben lévő duloxetin mennyisége kb. 7</w:t>
      </w:r>
      <w:r w:rsidR="00564F59" w:rsidRPr="00262706">
        <w:rPr>
          <w:noProof/>
          <w:szCs w:val="22"/>
          <w:lang w:val="hu-HU"/>
        </w:rPr>
        <w:t> </w:t>
      </w:r>
      <w:r w:rsidR="00373917" w:rsidRPr="00262706">
        <w:rPr>
          <w:noProof/>
          <w:szCs w:val="22"/>
          <w:lang w:val="hu-HU"/>
        </w:rPr>
        <w:t>mikrogramm</w:t>
      </w:r>
      <w:r w:rsidRPr="00262706">
        <w:rPr>
          <w:noProof/>
          <w:szCs w:val="22"/>
          <w:lang w:val="hu-HU"/>
        </w:rPr>
        <w:t>/nap, napi kétszer 40</w:t>
      </w:r>
      <w:r w:rsidR="00564F59" w:rsidRPr="00262706">
        <w:rPr>
          <w:noProof/>
          <w:szCs w:val="22"/>
          <w:lang w:val="hu-HU"/>
        </w:rPr>
        <w:t> </w:t>
      </w:r>
      <w:r w:rsidRPr="00262706">
        <w:rPr>
          <w:noProof/>
          <w:szCs w:val="22"/>
          <w:lang w:val="hu-HU"/>
        </w:rPr>
        <w:t>mg adagolás mellett. A szoptatás nem befolyásolta a duloxetin farmakokinetikáját.</w:t>
      </w:r>
    </w:p>
    <w:p w14:paraId="69A001D4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3A732418" w14:textId="77777777" w:rsidR="00892932" w:rsidRPr="00262706" w:rsidRDefault="00892932" w:rsidP="00262706">
      <w:pPr>
        <w:numPr>
          <w:ilvl w:val="12"/>
          <w:numId w:val="0"/>
        </w:numPr>
        <w:spacing w:line="240" w:lineRule="auto"/>
        <w:ind w:right="-2"/>
        <w:rPr>
          <w:noProof/>
          <w:szCs w:val="22"/>
          <w:lang w:val="hu-HU"/>
        </w:rPr>
      </w:pPr>
      <w:r w:rsidRPr="00262706">
        <w:rPr>
          <w:i/>
          <w:noProof/>
          <w:szCs w:val="22"/>
          <w:lang w:val="hu-HU"/>
        </w:rPr>
        <w:t>Gyermekek</w:t>
      </w:r>
      <w:r w:rsidR="00930A2D" w:rsidRPr="00262706">
        <w:rPr>
          <w:i/>
          <w:noProof/>
          <w:szCs w:val="22"/>
          <w:lang w:val="hu-HU"/>
        </w:rPr>
        <w:t xml:space="preserve"> és serdülők</w:t>
      </w:r>
      <w:r w:rsidRPr="00262706">
        <w:rPr>
          <w:i/>
          <w:noProof/>
          <w:szCs w:val="22"/>
          <w:lang w:val="hu-HU"/>
        </w:rPr>
        <w:t>:</w:t>
      </w:r>
      <w:r w:rsidRPr="00262706">
        <w:rPr>
          <w:noProof/>
          <w:szCs w:val="22"/>
          <w:lang w:val="hu-HU"/>
        </w:rPr>
        <w:t xml:space="preserve"> a naponta egyszer, </w:t>
      </w:r>
      <w:r w:rsidRPr="00262706">
        <w:rPr>
          <w:i/>
          <w:noProof/>
          <w:szCs w:val="22"/>
          <w:lang w:val="hu-HU"/>
        </w:rPr>
        <w:t>per os</w:t>
      </w:r>
      <w:r w:rsidRPr="00564F89">
        <w:rPr>
          <w:noProof/>
          <w:szCs w:val="22"/>
          <w:lang w:val="hu-HU"/>
        </w:rPr>
        <w:t xml:space="preserve"> 20</w:t>
      </w:r>
      <w:r w:rsidR="00564F59" w:rsidRPr="000F0D19">
        <w:rPr>
          <w:noProof/>
          <w:szCs w:val="22"/>
          <w:lang w:val="hu-HU"/>
        </w:rPr>
        <w:noBreakHyphen/>
      </w:r>
      <w:r w:rsidRPr="000F0D19">
        <w:rPr>
          <w:noProof/>
          <w:szCs w:val="22"/>
          <w:lang w:val="hu-HU"/>
        </w:rPr>
        <w:t>120</w:t>
      </w:r>
      <w:r w:rsidR="00564F59" w:rsidRPr="00587715">
        <w:rPr>
          <w:noProof/>
          <w:szCs w:val="22"/>
          <w:lang w:val="hu-HU"/>
        </w:rPr>
        <w:t> </w:t>
      </w:r>
      <w:r w:rsidRPr="00587715">
        <w:rPr>
          <w:noProof/>
          <w:szCs w:val="22"/>
          <w:lang w:val="hu-HU"/>
        </w:rPr>
        <w:t>mg adagolásban alkalmazott duloxetin farmakokinetikáját 7</w:t>
      </w:r>
      <w:r w:rsidR="00564F59" w:rsidRPr="00D12F5C">
        <w:rPr>
          <w:noProof/>
          <w:szCs w:val="22"/>
          <w:lang w:val="hu-HU"/>
        </w:rPr>
        <w:noBreakHyphen/>
      </w:r>
      <w:r w:rsidRPr="00D12F5C">
        <w:rPr>
          <w:noProof/>
          <w:szCs w:val="22"/>
          <w:lang w:val="hu-HU"/>
        </w:rPr>
        <w:t>17</w:t>
      </w:r>
      <w:r w:rsidR="00564F59" w:rsidRPr="00D12F5C">
        <w:rPr>
          <w:noProof/>
          <w:szCs w:val="22"/>
          <w:lang w:val="hu-HU"/>
        </w:rPr>
        <w:t> </w:t>
      </w:r>
      <w:r w:rsidRPr="00D12F5C">
        <w:rPr>
          <w:noProof/>
          <w:szCs w:val="22"/>
          <w:lang w:val="hu-HU"/>
        </w:rPr>
        <w:t>éves, major depresszív zavarban szenvedő gyermekek</w:t>
      </w:r>
      <w:r w:rsidR="00CF6DB4" w:rsidRPr="00D12F5C">
        <w:rPr>
          <w:noProof/>
          <w:szCs w:val="22"/>
          <w:lang w:val="hu-HU"/>
        </w:rPr>
        <w:t>nél és serdülők</w:t>
      </w:r>
      <w:r w:rsidRPr="00D12F5C">
        <w:rPr>
          <w:noProof/>
          <w:szCs w:val="22"/>
          <w:lang w:val="hu-HU"/>
        </w:rPr>
        <w:t>nél populáció modell analízisek alapján jellemezték 3 vizsgálatból származó adato</w:t>
      </w:r>
      <w:r w:rsidRPr="00262706">
        <w:rPr>
          <w:noProof/>
          <w:szCs w:val="22"/>
          <w:lang w:val="hu-HU"/>
        </w:rPr>
        <w:t xml:space="preserve">k alapján. A modell által gyermekeknél </w:t>
      </w:r>
      <w:r w:rsidR="00CF6DB4" w:rsidRPr="00262706">
        <w:rPr>
          <w:noProof/>
          <w:szCs w:val="22"/>
          <w:lang w:val="hu-HU"/>
        </w:rPr>
        <w:t xml:space="preserve">és serdülőknél az </w:t>
      </w:r>
      <w:r w:rsidRPr="00262706">
        <w:rPr>
          <w:noProof/>
          <w:szCs w:val="22"/>
          <w:lang w:val="hu-HU"/>
        </w:rPr>
        <w:t>előrejelzett duloxetin dinamikus egyensúlyi állapotú (steady state) plazma-koncentráció legtöbbször a felnőtt betegeknél megfigyelt koncentráció-tartományon belül volt.</w:t>
      </w:r>
    </w:p>
    <w:p w14:paraId="6E3C6CC8" w14:textId="77777777" w:rsidR="00F45C51" w:rsidRPr="00262706" w:rsidRDefault="00F45C51" w:rsidP="00262706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2"/>
          <w:lang w:val="hu-HU"/>
        </w:rPr>
      </w:pPr>
    </w:p>
    <w:p w14:paraId="1F261A1D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13C47BEA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73D28E61" w14:textId="11C81ED1" w:rsidR="00564F59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 duloxetin a standard vizsgálatok során nem volt genotoxikus és patkányoknál nem volt carcinogén. A patkányokban végzett </w:t>
      </w:r>
      <w:r w:rsidR="000076E9">
        <w:rPr>
          <w:rFonts w:eastAsia="Times New Roman"/>
          <w:noProof/>
          <w:snapToGrid/>
          <w:szCs w:val="22"/>
          <w:lang w:val="hu-HU" w:eastAsia="en-US"/>
        </w:rPr>
        <w:t>k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arcinogenitási vizsgálatban, a májban többmagvú sejteket észleltek egyéb histopathológiai elváltozások nélkül. Az ezt létrehozó mechanizmus és ennek klinikai jelentősége nem ismert. A 2 évig duloxetint kapó nőstény egerekben csak nagy </w:t>
      </w:r>
      <w:r w:rsidR="000076E9">
        <w:rPr>
          <w:rFonts w:eastAsia="Times New Roman"/>
          <w:noProof/>
          <w:snapToGrid/>
          <w:szCs w:val="22"/>
          <w:lang w:val="hu-HU" w:eastAsia="en-US"/>
        </w:rPr>
        <w:t>dózisok</w:t>
      </w:r>
      <w:r w:rsidR="000076E9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esetén (144 mg/ttkg/nap) nőtt a hepatocelluláris adenoma és carcinoma gyakorisága, de ezt a hepatikus mikroszomális enzimindukció következményének tartották. Az egéren szerzett adatok humán jelentősége nem ismert. A párzás előtt és után, valamint a korai vemhesség ideje alatt duloxetint (45 mg/ttkg/nap) kapó nőstény patkányoknál legfeljebb a maximális klinikai expozíciónak megfelelő (AUC) szisztémás expozíciósszint mellett csökkent az anyai táplálékfelhasználás és a testsúly, az ösztrusz ciklus megszakadása volt észlelhető, csökkent az élve születés aránya és az utódok túlélése, valamint az utódok növekedési retardációját tapasztalták. Egy nyulakban végzett embriotoxicitási vizsgálatban a maximális klinikai expozíció (AUC) alatti szisztémás expozíciós szint mellett cardiovascularis és csont malformatiók magasabb incidenciáját észlelték. Egy másik, a duloxetin előbbitől különböző sóját magasabb </w:t>
      </w:r>
      <w:r w:rsidR="000076E9">
        <w:rPr>
          <w:rFonts w:eastAsia="Times New Roman"/>
          <w:noProof/>
          <w:snapToGrid/>
          <w:szCs w:val="22"/>
          <w:lang w:val="hu-HU" w:eastAsia="en-US"/>
        </w:rPr>
        <w:t>dózisban</w:t>
      </w:r>
      <w:r w:rsidR="000076E9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alkalmazó vizsgálatban nem észleltek malformatiót. A patkányokban végzett prenatális/postnatális toxicitási vizsgálatok során a duloxetin adverz viselkedési hatásokat idézett elő az utódokban a maximális klinikai expozíció (AUC) alatti </w:t>
      </w:r>
      <w:r w:rsidR="000076E9">
        <w:rPr>
          <w:rFonts w:eastAsia="Times New Roman"/>
          <w:noProof/>
          <w:snapToGrid/>
          <w:szCs w:val="22"/>
          <w:lang w:val="hu-HU" w:eastAsia="en-US"/>
        </w:rPr>
        <w:t>dózisok</w:t>
      </w:r>
      <w:r w:rsidR="000076E9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esetében.</w:t>
      </w:r>
    </w:p>
    <w:p w14:paraId="6FAD1F4A" w14:textId="77777777" w:rsidR="00564F59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96440E" w14:textId="4552FECF" w:rsidR="00F45C51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Juvenilis patkányokon végzett vizsgálatok átmeneti neurobehaviorális hatásokat, valamint jelentősen csökkent testtömeget és táplálékfogyasztást, májenzim indukciót és hepatocellularis vakuolizációt mutattak ki 45 mg/ttkg/nap </w:t>
      </w:r>
      <w:r w:rsidR="000076E9">
        <w:rPr>
          <w:rFonts w:eastAsia="Times New Roman"/>
          <w:noProof/>
          <w:snapToGrid/>
          <w:szCs w:val="22"/>
          <w:lang w:val="hu-HU" w:eastAsia="en-US"/>
        </w:rPr>
        <w:t>dózisnál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. A duloxetin általános toxicitási profilja juvenilis patkányoknál hasonló volt ahhoz, amit felnőtt patkányokon tapasztaltak. A mellékhatást nem okozó dózisszintet 20 mg/ttkg/nap értékben állapították meg.</w:t>
      </w:r>
    </w:p>
    <w:p w14:paraId="22BDB5C3" w14:textId="77777777" w:rsidR="00F45C51" w:rsidRPr="00262706" w:rsidRDefault="00F45C51" w:rsidP="00262706">
      <w:pPr>
        <w:spacing w:line="240" w:lineRule="auto"/>
        <w:rPr>
          <w:szCs w:val="22"/>
          <w:lang w:val="hu-HU"/>
        </w:rPr>
      </w:pPr>
    </w:p>
    <w:p w14:paraId="62F2CA29" w14:textId="77777777" w:rsidR="00F45C51" w:rsidRPr="00262706" w:rsidRDefault="00F45C51" w:rsidP="00262706">
      <w:pPr>
        <w:spacing w:line="240" w:lineRule="auto"/>
        <w:rPr>
          <w:szCs w:val="22"/>
          <w:lang w:val="hu-HU"/>
        </w:rPr>
      </w:pPr>
    </w:p>
    <w:p w14:paraId="17427C4F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6CA7AE60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77D9843F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EB349F6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2963EA" w14:textId="77777777" w:rsidR="00564F59" w:rsidRPr="00262706" w:rsidRDefault="00564F59" w:rsidP="00262706">
      <w:pPr>
        <w:spacing w:line="240" w:lineRule="auto"/>
        <w:rPr>
          <w:i/>
          <w:szCs w:val="22"/>
          <w:u w:val="single"/>
          <w:lang w:val="hu-HU"/>
        </w:rPr>
      </w:pPr>
      <w:r w:rsidRPr="00262706">
        <w:rPr>
          <w:i/>
          <w:szCs w:val="22"/>
          <w:u w:val="single"/>
          <w:lang w:val="hu-HU"/>
        </w:rPr>
        <w:t>Kapszula tartalma:</w:t>
      </w:r>
    </w:p>
    <w:p w14:paraId="21EB0A76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c</w:t>
      </w:r>
      <w:r w:rsidR="00564F59" w:rsidRPr="00262706">
        <w:rPr>
          <w:szCs w:val="22"/>
          <w:lang w:val="hu-HU"/>
        </w:rPr>
        <w:t>ukor</w:t>
      </w:r>
      <w:r w:rsidR="00E21F4E" w:rsidRPr="00262706">
        <w:rPr>
          <w:szCs w:val="22"/>
          <w:lang w:val="hu-HU"/>
        </w:rPr>
        <w:t>gömböcskék</w:t>
      </w:r>
      <w:r w:rsidR="00564F59" w:rsidRPr="00262706">
        <w:rPr>
          <w:szCs w:val="22"/>
          <w:lang w:val="hu-HU"/>
        </w:rPr>
        <w:t xml:space="preserve"> (szacharóz, kukoricakeményítő)</w:t>
      </w:r>
    </w:p>
    <w:p w14:paraId="50FD0D7C" w14:textId="1C061E99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h</w:t>
      </w:r>
      <w:r w:rsidR="00564F59" w:rsidRPr="00262706">
        <w:rPr>
          <w:szCs w:val="22"/>
          <w:lang w:val="hu-HU"/>
        </w:rPr>
        <w:t xml:space="preserve">ipromellóz 6 </w:t>
      </w:r>
      <w:r w:rsidR="007C5C4A" w:rsidRPr="00262706">
        <w:rPr>
          <w:szCs w:val="22"/>
          <w:lang w:val="hu-HU"/>
        </w:rPr>
        <w:t>c</w:t>
      </w:r>
      <w:r w:rsidR="007660A8">
        <w:rPr>
          <w:szCs w:val="22"/>
          <w:lang w:val="hu-HU"/>
        </w:rPr>
        <w:t>P</w:t>
      </w:r>
    </w:p>
    <w:p w14:paraId="16FB25DE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s</w:t>
      </w:r>
      <w:r w:rsidR="00564F59" w:rsidRPr="00262706">
        <w:rPr>
          <w:szCs w:val="22"/>
          <w:lang w:val="hu-HU"/>
        </w:rPr>
        <w:t>zacharóz</w:t>
      </w:r>
    </w:p>
    <w:p w14:paraId="3BE864A1" w14:textId="528BE409" w:rsidR="00564F59" w:rsidRDefault="00180D4E" w:rsidP="0026270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aszkorbinsav</w:t>
      </w:r>
    </w:p>
    <w:p w14:paraId="62510C97" w14:textId="2DD1E756" w:rsidR="00180D4E" w:rsidRPr="00262706" w:rsidRDefault="00180D4E" w:rsidP="00262706">
      <w:pPr>
        <w:spacing w:line="240" w:lineRule="auto"/>
        <w:rPr>
          <w:szCs w:val="22"/>
          <w:lang w:val="hu-HU"/>
        </w:rPr>
      </w:pPr>
      <w:r>
        <w:rPr>
          <w:szCs w:val="22"/>
        </w:rPr>
        <w:t>h</w:t>
      </w:r>
      <w:r w:rsidRPr="00180D4E">
        <w:rPr>
          <w:szCs w:val="22"/>
        </w:rPr>
        <w:t>ipromellóz-acetát-szukcinát</w:t>
      </w:r>
    </w:p>
    <w:p w14:paraId="5D694A0E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t</w:t>
      </w:r>
      <w:r w:rsidR="00564F59" w:rsidRPr="00262706">
        <w:rPr>
          <w:szCs w:val="22"/>
          <w:lang w:val="hu-HU"/>
        </w:rPr>
        <w:t>alkum</w:t>
      </w:r>
    </w:p>
    <w:p w14:paraId="2B4AE590" w14:textId="77777777" w:rsidR="00564F59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t</w:t>
      </w:r>
      <w:r w:rsidR="00564F59" w:rsidRPr="00262706">
        <w:rPr>
          <w:szCs w:val="22"/>
          <w:lang w:val="hu-HU"/>
        </w:rPr>
        <w:t>rietil-citrát</w:t>
      </w:r>
    </w:p>
    <w:p w14:paraId="65DC1515" w14:textId="5C333207" w:rsidR="00180D4E" w:rsidRPr="00262706" w:rsidRDefault="00180D4E" w:rsidP="00262706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titán-dioxid</w:t>
      </w:r>
      <w:r w:rsidR="0000280F">
        <w:rPr>
          <w:szCs w:val="22"/>
          <w:lang w:val="hu-HU"/>
        </w:rPr>
        <w:t xml:space="preserve"> (E171)</w:t>
      </w:r>
    </w:p>
    <w:p w14:paraId="73557D0E" w14:textId="77777777" w:rsidR="00564F59" w:rsidRPr="00262706" w:rsidRDefault="00564F59" w:rsidP="00262706">
      <w:pPr>
        <w:spacing w:line="240" w:lineRule="auto"/>
        <w:rPr>
          <w:szCs w:val="22"/>
          <w:lang w:val="hu-HU"/>
        </w:rPr>
      </w:pPr>
    </w:p>
    <w:p w14:paraId="31AB87AF" w14:textId="77777777" w:rsidR="00564F59" w:rsidRPr="00262706" w:rsidRDefault="00564F59" w:rsidP="00262706">
      <w:pPr>
        <w:spacing w:line="240" w:lineRule="auto"/>
        <w:rPr>
          <w:i/>
          <w:szCs w:val="22"/>
          <w:u w:val="single"/>
          <w:lang w:val="hu-HU"/>
        </w:rPr>
      </w:pPr>
      <w:r w:rsidRPr="00262706">
        <w:rPr>
          <w:i/>
          <w:szCs w:val="22"/>
          <w:u w:val="single"/>
          <w:lang w:val="hu-HU"/>
        </w:rPr>
        <w:t>Kapszulahéj:</w:t>
      </w:r>
    </w:p>
    <w:p w14:paraId="1C811952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z</w:t>
      </w:r>
      <w:r w:rsidR="00564F59" w:rsidRPr="00262706">
        <w:rPr>
          <w:szCs w:val="22"/>
          <w:lang w:val="hu-HU"/>
        </w:rPr>
        <w:t>selatin</w:t>
      </w:r>
    </w:p>
    <w:p w14:paraId="1FB522FA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t</w:t>
      </w:r>
      <w:r w:rsidR="00564F59" w:rsidRPr="00262706">
        <w:rPr>
          <w:szCs w:val="22"/>
          <w:lang w:val="hu-HU"/>
        </w:rPr>
        <w:t>itán-dioxid (E171)</w:t>
      </w:r>
    </w:p>
    <w:p w14:paraId="030B8F8A" w14:textId="77777777" w:rsidR="00564F59" w:rsidRPr="00262706" w:rsidRDefault="00CB6652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s</w:t>
      </w:r>
      <w:r w:rsidR="00303F7D" w:rsidRPr="00262706">
        <w:rPr>
          <w:szCs w:val="22"/>
          <w:lang w:val="hu-HU"/>
        </w:rPr>
        <w:t>árga vas-oxid (E172)</w:t>
      </w:r>
    </w:p>
    <w:p w14:paraId="6D8E55E1" w14:textId="77777777" w:rsidR="00303F7D" w:rsidRPr="00262706" w:rsidRDefault="00303F7D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>vörös vas-oxid (E172)</w:t>
      </w:r>
    </w:p>
    <w:p w14:paraId="08819427" w14:textId="77777777" w:rsidR="00E21F4E" w:rsidRPr="00262706" w:rsidRDefault="00E21F4E" w:rsidP="00262706">
      <w:pPr>
        <w:spacing w:line="240" w:lineRule="auto"/>
        <w:rPr>
          <w:i/>
          <w:szCs w:val="22"/>
          <w:lang w:val="hu-HU"/>
        </w:rPr>
      </w:pPr>
    </w:p>
    <w:p w14:paraId="6E1D4680" w14:textId="77777777" w:rsidR="00E21F4E" w:rsidRPr="00262706" w:rsidRDefault="00F3198D" w:rsidP="00262706">
      <w:pPr>
        <w:spacing w:line="240" w:lineRule="auto"/>
        <w:rPr>
          <w:szCs w:val="22"/>
          <w:lang w:val="hu-HU"/>
        </w:rPr>
      </w:pPr>
      <w:r w:rsidRPr="00262706">
        <w:rPr>
          <w:i/>
          <w:szCs w:val="22"/>
          <w:lang w:val="hu-HU"/>
        </w:rPr>
        <w:t>Jelölőfesték</w:t>
      </w:r>
      <w:r w:rsidRPr="00262706">
        <w:rPr>
          <w:szCs w:val="22"/>
          <w:lang w:val="hu-HU"/>
        </w:rPr>
        <w:t xml:space="preserve"> </w:t>
      </w:r>
    </w:p>
    <w:p w14:paraId="74268E63" w14:textId="63BB5ABE" w:rsidR="00F45C51" w:rsidRPr="00262706" w:rsidRDefault="00564F59" w:rsidP="00262706">
      <w:pPr>
        <w:spacing w:line="240" w:lineRule="auto"/>
        <w:rPr>
          <w:szCs w:val="22"/>
          <w:lang w:val="hu-HU"/>
        </w:rPr>
      </w:pPr>
      <w:r w:rsidRPr="00262706">
        <w:rPr>
          <w:szCs w:val="22"/>
          <w:lang w:val="hu-HU"/>
        </w:rPr>
        <w:t xml:space="preserve">sellak, </w:t>
      </w:r>
      <w:r w:rsidR="00180D4E">
        <w:rPr>
          <w:szCs w:val="22"/>
        </w:rPr>
        <w:t>p</w:t>
      </w:r>
      <w:r w:rsidR="00180D4E" w:rsidRPr="00180D4E">
        <w:rPr>
          <w:szCs w:val="22"/>
        </w:rPr>
        <w:t>ropilénglikol</w:t>
      </w:r>
      <w:r w:rsidR="00180D4E">
        <w:rPr>
          <w:szCs w:val="22"/>
        </w:rPr>
        <w:t xml:space="preserve"> (E1520),</w:t>
      </w:r>
      <w:r w:rsidR="00180D4E" w:rsidRPr="00180D4E">
        <w:rPr>
          <w:szCs w:val="22"/>
          <w:lang w:val="hu-HU"/>
        </w:rPr>
        <w:t xml:space="preserve"> </w:t>
      </w:r>
      <w:r w:rsidRPr="00262706">
        <w:rPr>
          <w:szCs w:val="22"/>
          <w:lang w:val="hu-HU"/>
        </w:rPr>
        <w:t>fekete vas-oxid (E172)</w:t>
      </w:r>
      <w:r w:rsidR="00180D4E">
        <w:rPr>
          <w:szCs w:val="22"/>
          <w:lang w:val="hu-HU"/>
        </w:rPr>
        <w:t>, kálium-hidroxid (E525)</w:t>
      </w:r>
    </w:p>
    <w:p w14:paraId="06316FC4" w14:textId="77777777" w:rsidR="00564F59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997929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7C9F442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AC6410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75879CB7" w14:textId="77777777" w:rsidR="00F45C51" w:rsidRPr="00262706" w:rsidRDefault="00F45C51" w:rsidP="00262706">
      <w:pPr>
        <w:tabs>
          <w:tab w:val="clear" w:pos="567"/>
          <w:tab w:val="left" w:pos="2280"/>
        </w:tabs>
        <w:spacing w:line="240" w:lineRule="auto"/>
        <w:rPr>
          <w:szCs w:val="22"/>
          <w:lang w:val="hu-HU"/>
        </w:rPr>
      </w:pPr>
    </w:p>
    <w:p w14:paraId="6E940FB0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412AD2D7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2E75E58" w14:textId="77777777" w:rsidR="00F45C51" w:rsidRPr="00262706" w:rsidRDefault="00BD284F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2 év</w:t>
      </w:r>
    </w:p>
    <w:p w14:paraId="211B2073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8B8A462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E871DD1" w14:textId="77777777" w:rsidR="00564F59" w:rsidRPr="00262706" w:rsidRDefault="00564F59" w:rsidP="00262706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08FA914" w14:textId="3C7FDFA8" w:rsidR="00F45C51" w:rsidRPr="00262706" w:rsidRDefault="00564F59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Legfeljebb </w:t>
      </w:r>
      <w:r w:rsidR="00180D4E">
        <w:rPr>
          <w:rFonts w:eastAsia="Times New Roman"/>
          <w:noProof/>
          <w:snapToGrid/>
          <w:szCs w:val="22"/>
          <w:lang w:val="hu-HU" w:eastAsia="en-US"/>
        </w:rPr>
        <w:t>30</w:t>
      </w:r>
      <w:r w:rsidR="0000280F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>°C-on tárolandó.</w:t>
      </w:r>
    </w:p>
    <w:p w14:paraId="1256290E" w14:textId="77777777" w:rsidR="00077267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A nedvességtől való védelem érdekében az eredeti csomagolásban tárolandó.</w:t>
      </w:r>
    </w:p>
    <w:p w14:paraId="0E71A7D3" w14:textId="77777777" w:rsidR="00564F59" w:rsidRPr="00262706" w:rsidRDefault="00564F59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4003CC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67DE8126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0D790D" w14:textId="77777777" w:rsidR="006B1092" w:rsidRPr="00262706" w:rsidRDefault="006B1092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7, 10, 14, 28, 30, 56, 60, 90 és 100 </w:t>
      </w:r>
      <w:r w:rsidR="000F0B86" w:rsidRPr="00262706">
        <w:rPr>
          <w:rFonts w:eastAsia="Times New Roman"/>
          <w:noProof/>
          <w:snapToGrid/>
          <w:szCs w:val="22"/>
          <w:lang w:val="hu-HU" w:eastAsia="en-US"/>
        </w:rPr>
        <w:t xml:space="preserve">db 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gyomornedv-ellenálló kemény kapszula, </w:t>
      </w:r>
    </w:p>
    <w:p w14:paraId="45E9D74A" w14:textId="190D2018" w:rsidR="007C5C4A" w:rsidRPr="00262706" w:rsidRDefault="007C5C4A" w:rsidP="00262706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262706">
        <w:rPr>
          <w:rFonts w:eastAsia="TimesNewRoman"/>
          <w:snapToGrid/>
          <w:szCs w:val="22"/>
          <w:lang w:val="hu-HU" w:eastAsia="hu-HU"/>
        </w:rPr>
        <w:t>OPA/Al/PE + DES//</w:t>
      </w:r>
      <w:r w:rsidR="0000280F">
        <w:rPr>
          <w:rFonts w:eastAsia="TimesNewRoman"/>
          <w:snapToGrid/>
          <w:szCs w:val="22"/>
          <w:lang w:val="hu-HU" w:eastAsia="hu-HU"/>
        </w:rPr>
        <w:t>PE</w:t>
      </w:r>
      <w:r w:rsidRPr="00262706">
        <w:rPr>
          <w:rFonts w:eastAsia="TimesNewRoman"/>
          <w:snapToGrid/>
          <w:szCs w:val="22"/>
          <w:lang w:val="hu-HU" w:eastAsia="hu-HU"/>
        </w:rPr>
        <w:t>/</w:t>
      </w:r>
      <w:r w:rsidR="0000280F">
        <w:rPr>
          <w:rFonts w:eastAsia="TimesNewRoman"/>
          <w:snapToGrid/>
          <w:szCs w:val="22"/>
          <w:lang w:val="hu-HU" w:eastAsia="hu-HU"/>
        </w:rPr>
        <w:t>Al</w:t>
      </w:r>
      <w:r w:rsidR="0000280F" w:rsidRPr="00262706">
        <w:rPr>
          <w:rFonts w:eastAsia="TimesNewRoman"/>
          <w:snapToGrid/>
          <w:szCs w:val="22"/>
          <w:lang w:val="hu-HU" w:eastAsia="hu-HU"/>
        </w:rPr>
        <w:t xml:space="preserve"> </w:t>
      </w:r>
      <w:r w:rsidRPr="00262706">
        <w:rPr>
          <w:rFonts w:eastAsia="TimesNewRoman"/>
          <w:snapToGrid/>
          <w:szCs w:val="22"/>
          <w:lang w:val="hu-HU" w:eastAsia="hu-HU"/>
        </w:rPr>
        <w:t>buborékcsomagolásban és dobozban.</w:t>
      </w:r>
    </w:p>
    <w:p w14:paraId="36F51D7B" w14:textId="77777777" w:rsidR="001C3797" w:rsidRPr="00564F89" w:rsidRDefault="001C3797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8CB3A" w14:textId="77777777" w:rsidR="00F45C51" w:rsidRPr="000F0D19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F0D19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59195E37" w14:textId="77777777" w:rsidR="00077267" w:rsidRPr="00587715" w:rsidRDefault="00077267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403E6B" w14:textId="77777777" w:rsidR="00495D95" w:rsidRPr="00D12F5C" w:rsidRDefault="00F45C51" w:rsidP="00262706">
      <w:pPr>
        <w:autoSpaceDE w:val="0"/>
        <w:autoSpaceDN w:val="0"/>
        <w:adjustRightInd w:val="0"/>
        <w:spacing w:line="240" w:lineRule="auto"/>
        <w:ind w:left="567" w:hanging="567"/>
        <w:rPr>
          <w:rFonts w:eastAsia="Lucida Sans Unicode"/>
          <w:b/>
          <w:noProof/>
          <w:snapToGrid/>
          <w:szCs w:val="22"/>
          <w:lang w:val="hu-HU"/>
        </w:rPr>
      </w:pPr>
      <w:r w:rsidRPr="0058771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587715"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495D95" w:rsidRPr="00D12F5C">
        <w:rPr>
          <w:rFonts w:eastAsia="Lucida Sans Unicode"/>
          <w:b/>
          <w:noProof/>
          <w:snapToGrid/>
          <w:szCs w:val="22"/>
          <w:lang w:val="hu-HU"/>
        </w:rPr>
        <w:t xml:space="preserve"> és egyéb, a készítmény kezelésével kapcsolatos információk</w:t>
      </w:r>
    </w:p>
    <w:p w14:paraId="64A771ED" w14:textId="77777777" w:rsidR="00F45C51" w:rsidRPr="00D12F5C" w:rsidRDefault="00F45C51" w:rsidP="00564F89">
      <w:pPr>
        <w:spacing w:line="240" w:lineRule="auto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06CA6FE3" w14:textId="77777777" w:rsidR="00F45C51" w:rsidRPr="00262706" w:rsidRDefault="00F45C51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262706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262706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1F330253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02ED0019" w14:textId="77777777" w:rsidR="00F728BE" w:rsidRPr="00D12F5C" w:rsidRDefault="00F728BE" w:rsidP="00262706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262706">
        <w:rPr>
          <w:rFonts w:eastAsia="Times New Roman"/>
          <w:b/>
          <w:snapToGrid/>
          <w:szCs w:val="22"/>
          <w:lang w:val="hu-HU" w:eastAsia="ar-SA"/>
        </w:rPr>
        <w:t>Megjegyzés:</w:t>
      </w:r>
      <w:r w:rsidRPr="00564F89">
        <w:rPr>
          <w:rFonts w:eastAsia="Times New Roman"/>
          <w:snapToGrid/>
          <w:szCs w:val="22"/>
          <w:lang w:val="hu-HU" w:eastAsia="ar-SA"/>
        </w:rPr>
        <w:t xml:space="preserve"> </w:t>
      </w:r>
      <w:r w:rsidRPr="000F0D19">
        <w:rPr>
          <w:rFonts w:ascii="Wingdings" w:eastAsia="Wingdings" w:hAnsi="Wingdings"/>
          <w:snapToGrid/>
          <w:szCs w:val="22"/>
          <w:lang w:val="hu-HU" w:eastAsia="ar-SA"/>
        </w:rPr>
        <w:t></w:t>
      </w:r>
      <w:r w:rsidRPr="000F0D19">
        <w:rPr>
          <w:rFonts w:eastAsia="Times New Roman"/>
          <w:snapToGrid/>
          <w:szCs w:val="22"/>
          <w:lang w:val="hu-HU" w:eastAsia="ar-SA"/>
        </w:rPr>
        <w:t xml:space="preserve"> </w:t>
      </w:r>
      <w:r w:rsidRPr="00587715">
        <w:rPr>
          <w:rFonts w:eastAsia="Times New Roman"/>
          <w:snapToGrid/>
          <w:szCs w:val="22"/>
          <w:lang w:val="hu-HU" w:eastAsia="ar-SA"/>
        </w:rPr>
        <w:t>(egy</w:t>
      </w:r>
      <w:r w:rsidR="00495D95" w:rsidRPr="00D12F5C">
        <w:rPr>
          <w:rFonts w:eastAsia="Times New Roman"/>
          <w:snapToGrid/>
          <w:szCs w:val="22"/>
          <w:lang w:val="hu-HU" w:eastAsia="ar-SA"/>
        </w:rPr>
        <w:t xml:space="preserve"> </w:t>
      </w:r>
      <w:r w:rsidRPr="00D12F5C">
        <w:rPr>
          <w:rFonts w:eastAsia="Times New Roman"/>
          <w:snapToGrid/>
          <w:szCs w:val="22"/>
          <w:lang w:val="hu-HU" w:eastAsia="ar-SA"/>
        </w:rPr>
        <w:t>keresztes)</w:t>
      </w:r>
    </w:p>
    <w:p w14:paraId="59297FAB" w14:textId="77777777" w:rsidR="00F728BE" w:rsidRPr="000F0D19" w:rsidRDefault="00F728BE" w:rsidP="00262706">
      <w:pPr>
        <w:tabs>
          <w:tab w:val="clear" w:pos="567"/>
        </w:tabs>
        <w:suppressAutoHyphens/>
        <w:spacing w:line="240" w:lineRule="auto"/>
        <w:rPr>
          <w:rFonts w:eastAsia="Times New Roman"/>
          <w:b/>
          <w:snapToGrid/>
          <w:szCs w:val="22"/>
          <w:lang w:val="hu-HU" w:eastAsia="ar-SA"/>
        </w:rPr>
      </w:pPr>
      <w:r w:rsidRPr="00262706">
        <w:rPr>
          <w:rFonts w:eastAsia="Times New Roman"/>
          <w:b/>
          <w:snapToGrid/>
          <w:szCs w:val="22"/>
          <w:lang w:val="hu-HU" w:eastAsia="ar-SA"/>
        </w:rPr>
        <w:t>Osztályozás:</w:t>
      </w:r>
      <w:r w:rsidRPr="00564F89">
        <w:rPr>
          <w:rFonts w:eastAsia="Times New Roman"/>
          <w:snapToGrid/>
          <w:szCs w:val="22"/>
          <w:lang w:val="hu-HU" w:eastAsia="ar-SA"/>
        </w:rPr>
        <w:t xml:space="preserve"> </w:t>
      </w:r>
      <w:r w:rsidRPr="000F0D19">
        <w:rPr>
          <w:rFonts w:eastAsia="Times New Roman"/>
          <w:b/>
          <w:snapToGrid/>
          <w:szCs w:val="22"/>
          <w:lang w:val="hu-HU" w:eastAsia="ar-SA"/>
        </w:rPr>
        <w:t>II. csoport</w:t>
      </w:r>
    </w:p>
    <w:p w14:paraId="2813B2FE" w14:textId="77777777" w:rsidR="00F728BE" w:rsidRPr="00587715" w:rsidRDefault="00F728BE" w:rsidP="00262706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587715">
        <w:rPr>
          <w:rFonts w:eastAsia="Times New Roman"/>
          <w:snapToGrid/>
          <w:szCs w:val="22"/>
          <w:lang w:val="hu-HU" w:eastAsia="ar-SA"/>
        </w:rPr>
        <w:t>Kizárólag orvosi rendelvényhez kötött gyógyszer (V).</w:t>
      </w:r>
    </w:p>
    <w:p w14:paraId="16C68C06" w14:textId="77777777" w:rsidR="00F45C51" w:rsidRPr="00D12F5C" w:rsidRDefault="00F45C51" w:rsidP="00262706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59F67C2C" w14:textId="77777777" w:rsidR="00CB6652" w:rsidRPr="00D12F5C" w:rsidRDefault="00CB6652" w:rsidP="00262706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60069473" w14:textId="77777777" w:rsidR="00F45C51" w:rsidRPr="00D12F5C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D12F5C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D12F5C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7779F244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</w:p>
    <w:p w14:paraId="1C500986" w14:textId="77777777" w:rsidR="00F45C51" w:rsidRPr="00262706" w:rsidRDefault="001C3797" w:rsidP="00262706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KRKA, d.d., Novo mesto, Šmarješka cesta 6, 8501 Novo mesto, Szlovénia</w:t>
      </w:r>
    </w:p>
    <w:p w14:paraId="458A2608" w14:textId="77777777" w:rsidR="001C3797" w:rsidRPr="00262706" w:rsidRDefault="001C3797" w:rsidP="00262706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5FE1DE44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7718BCFA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B16C0B4" w14:textId="77777777" w:rsidR="00746EF5" w:rsidRPr="00262706" w:rsidRDefault="00746EF5" w:rsidP="00262706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02EB72DD" w14:textId="77777777" w:rsidR="00867434" w:rsidRPr="00262706" w:rsidRDefault="00867434" w:rsidP="00262706">
      <w:pPr>
        <w:spacing w:line="240" w:lineRule="auto"/>
        <w:rPr>
          <w:snapToGrid/>
          <w:szCs w:val="22"/>
          <w:lang w:val="hu-HU" w:eastAsia="en-US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19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7</w:t>
      </w:r>
      <w:r w:rsidR="000F0B86" w:rsidRPr="00A411B5">
        <w:rPr>
          <w:szCs w:val="22"/>
          <w:lang w:val="hu-HU"/>
        </w:rPr>
        <w:t>×</w:t>
      </w:r>
    </w:p>
    <w:p w14:paraId="1DA247FA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20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10</w:t>
      </w:r>
      <w:r w:rsidR="000F0B86" w:rsidRPr="00A411B5">
        <w:rPr>
          <w:szCs w:val="22"/>
          <w:lang w:val="hu-HU"/>
        </w:rPr>
        <w:t>×</w:t>
      </w:r>
    </w:p>
    <w:p w14:paraId="75B0046E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21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14</w:t>
      </w:r>
      <w:r w:rsidR="000F0B86" w:rsidRPr="00A411B5">
        <w:rPr>
          <w:szCs w:val="22"/>
          <w:lang w:val="hu-HU"/>
        </w:rPr>
        <w:t>×</w:t>
      </w:r>
    </w:p>
    <w:p w14:paraId="7CA6F328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22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28</w:t>
      </w:r>
      <w:r w:rsidR="000F0B86" w:rsidRPr="00A411B5">
        <w:rPr>
          <w:szCs w:val="22"/>
          <w:lang w:val="hu-HU"/>
        </w:rPr>
        <w:t>×</w:t>
      </w:r>
    </w:p>
    <w:p w14:paraId="2BCB47D5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23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30</w:t>
      </w:r>
      <w:r w:rsidR="000F0B86" w:rsidRPr="00A411B5">
        <w:rPr>
          <w:szCs w:val="22"/>
          <w:lang w:val="hu-HU"/>
        </w:rPr>
        <w:t>×</w:t>
      </w:r>
    </w:p>
    <w:p w14:paraId="308F8B6C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24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56</w:t>
      </w:r>
      <w:r w:rsidR="000F0B86" w:rsidRPr="00A411B5">
        <w:rPr>
          <w:szCs w:val="22"/>
          <w:lang w:val="hu-HU"/>
        </w:rPr>
        <w:t>×</w:t>
      </w:r>
    </w:p>
    <w:p w14:paraId="0DE48E4C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25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60</w:t>
      </w:r>
      <w:r w:rsidR="000F0B86" w:rsidRPr="00A411B5">
        <w:rPr>
          <w:szCs w:val="22"/>
          <w:lang w:val="hu-HU"/>
        </w:rPr>
        <w:t>×</w:t>
      </w:r>
    </w:p>
    <w:p w14:paraId="1433A7D8" w14:textId="77777777" w:rsidR="00867434" w:rsidRPr="00A411B5" w:rsidRDefault="00867434" w:rsidP="00262706">
      <w:pPr>
        <w:spacing w:line="240" w:lineRule="auto"/>
        <w:rPr>
          <w:szCs w:val="22"/>
          <w:lang w:val="hu-HU"/>
        </w:rPr>
      </w:pPr>
      <w:r w:rsidRPr="00A411B5">
        <w:rPr>
          <w:szCs w:val="22"/>
          <w:lang w:val="hu-HU"/>
        </w:rPr>
        <w:t>OGYI-T-22821/</w:t>
      </w:r>
      <w:r w:rsidR="00373917" w:rsidRPr="00A411B5">
        <w:rPr>
          <w:szCs w:val="22"/>
          <w:lang w:val="hu-HU"/>
        </w:rPr>
        <w:t>26</w:t>
      </w:r>
      <w:r w:rsidR="00373917" w:rsidRPr="00A411B5">
        <w:rPr>
          <w:szCs w:val="22"/>
          <w:lang w:val="hu-HU"/>
        </w:rPr>
        <w:tab/>
      </w:r>
      <w:r w:rsidRPr="00A411B5">
        <w:rPr>
          <w:szCs w:val="22"/>
          <w:lang w:val="hu-HU"/>
        </w:rPr>
        <w:t>90</w:t>
      </w:r>
      <w:r w:rsidR="000F0B86" w:rsidRPr="00A411B5">
        <w:rPr>
          <w:szCs w:val="22"/>
          <w:lang w:val="hu-HU"/>
        </w:rPr>
        <w:t>×</w:t>
      </w:r>
    </w:p>
    <w:p w14:paraId="1CBABFB8" w14:textId="77777777" w:rsidR="00CB6652" w:rsidRPr="00262706" w:rsidRDefault="00CB6652" w:rsidP="00564F89">
      <w:pPr>
        <w:spacing w:line="240" w:lineRule="auto"/>
        <w:ind w:left="567" w:hanging="567"/>
        <w:outlineLvl w:val="0"/>
        <w:rPr>
          <w:i/>
          <w:szCs w:val="22"/>
          <w:lang w:val="hu-HU"/>
        </w:rPr>
      </w:pPr>
    </w:p>
    <w:p w14:paraId="4359BCCD" w14:textId="77777777" w:rsidR="00373917" w:rsidRPr="00262706" w:rsidRDefault="00373917" w:rsidP="000F0D19">
      <w:pPr>
        <w:spacing w:line="240" w:lineRule="auto"/>
        <w:ind w:left="567" w:hanging="567"/>
        <w:outlineLvl w:val="0"/>
        <w:rPr>
          <w:i/>
          <w:szCs w:val="22"/>
          <w:lang w:val="hu-HU"/>
        </w:rPr>
      </w:pPr>
    </w:p>
    <w:p w14:paraId="64ACDED6" w14:textId="77777777" w:rsidR="00F45C51" w:rsidRPr="00262706" w:rsidRDefault="00F45C51" w:rsidP="00587715">
      <w:pPr>
        <w:spacing w:line="240" w:lineRule="auto"/>
        <w:ind w:left="567" w:hanging="567"/>
        <w:outlineLvl w:val="0"/>
        <w:rPr>
          <w:b/>
          <w:szCs w:val="22"/>
          <w:lang w:val="hu-HU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262706">
        <w:rPr>
          <w:b/>
          <w:szCs w:val="22"/>
          <w:lang w:val="hu-HU"/>
        </w:rPr>
        <w:t xml:space="preserve"> DÁTUMA</w:t>
      </w:r>
    </w:p>
    <w:p w14:paraId="56ED93D4" w14:textId="77777777" w:rsidR="00F45C51" w:rsidRPr="00262706" w:rsidRDefault="00F45C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4D0EEB" w14:textId="77777777" w:rsidR="00746EF5" w:rsidRPr="00262706" w:rsidRDefault="00F45C51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29347B" w:rsidRPr="00262706">
        <w:rPr>
          <w:rFonts w:eastAsia="Times New Roman"/>
          <w:noProof/>
          <w:snapToGrid/>
          <w:szCs w:val="22"/>
          <w:lang w:val="hu-HU" w:eastAsia="en-US"/>
        </w:rPr>
        <w:t>:</w:t>
      </w:r>
      <w:r w:rsidR="00BD284F" w:rsidRPr="00262706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67434" w:rsidRPr="00262706">
        <w:rPr>
          <w:rFonts w:eastAsia="Times New Roman"/>
          <w:noProof/>
          <w:snapToGrid/>
          <w:szCs w:val="22"/>
          <w:lang w:val="hu-HU" w:eastAsia="en-US"/>
        </w:rPr>
        <w:t>2017. augusztus 28.</w:t>
      </w:r>
    </w:p>
    <w:p w14:paraId="6E424494" w14:textId="77777777" w:rsidR="00406D2E" w:rsidRDefault="00406D2E" w:rsidP="00406D2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05B9B">
        <w:rPr>
          <w:rFonts w:eastAsia="Times New Roman"/>
          <w:noProof/>
          <w:snapToGrid/>
          <w:szCs w:val="22"/>
          <w:lang w:val="hu-HU" w:eastAsia="en-US"/>
        </w:rPr>
        <w:t>A forgalomba hozatali engedély legutóbbi megújításának dátuma: 20</w:t>
      </w:r>
      <w:r>
        <w:rPr>
          <w:rFonts w:eastAsia="Times New Roman"/>
          <w:noProof/>
          <w:snapToGrid/>
          <w:szCs w:val="22"/>
          <w:lang w:val="hu-HU" w:eastAsia="en-US"/>
        </w:rPr>
        <w:t>20</w:t>
      </w:r>
      <w:r w:rsidRPr="00105B9B">
        <w:rPr>
          <w:rFonts w:eastAsia="Times New Roman"/>
          <w:noProof/>
          <w:snapToGrid/>
          <w:szCs w:val="22"/>
          <w:lang w:val="hu-HU" w:eastAsia="en-US"/>
        </w:rPr>
        <w:t xml:space="preserve">. </w:t>
      </w:r>
      <w:r w:rsidRPr="002F5BCB">
        <w:rPr>
          <w:bCs/>
          <w:iCs/>
          <w:lang w:val="hu-HU"/>
        </w:rPr>
        <w:t>május</w:t>
      </w:r>
      <w:r w:rsidRPr="00105B9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noProof/>
          <w:snapToGrid/>
          <w:szCs w:val="22"/>
          <w:lang w:val="hu-HU" w:eastAsia="en-US"/>
        </w:rPr>
        <w:t>25</w:t>
      </w:r>
      <w:r w:rsidRPr="00105B9B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7F4DE1AA" w14:textId="77777777" w:rsidR="00CA6136" w:rsidRPr="00262706" w:rsidRDefault="00CA6136" w:rsidP="00D12F5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9D7395B" w14:textId="77777777" w:rsidR="00D730D0" w:rsidRPr="00262706" w:rsidRDefault="00D730D0" w:rsidP="0026270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C048FB" w14:textId="77777777" w:rsidR="00F45C51" w:rsidRPr="00262706" w:rsidRDefault="00F45C51" w:rsidP="00262706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262706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203CEB7C" w14:textId="32F1094B" w:rsidR="00D865CC" w:rsidRPr="00917B1B" w:rsidRDefault="00D865CC" w:rsidP="00A31D15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</w:p>
    <w:p w14:paraId="36E3EEC9" w14:textId="60562B50" w:rsidR="00867434" w:rsidRPr="00917B1B" w:rsidRDefault="00D865CC" w:rsidP="00D865CC">
      <w:pPr>
        <w:spacing w:line="240" w:lineRule="auto"/>
        <w:ind w:left="567" w:hanging="567"/>
        <w:outlineLvl w:val="0"/>
        <w:rPr>
          <w:rFonts w:eastAsia="Times New Roman"/>
          <w:noProof/>
          <w:snapToGrid/>
          <w:szCs w:val="22"/>
          <w:lang w:val="hu-HU" w:eastAsia="en-US"/>
        </w:rPr>
      </w:pPr>
      <w:r w:rsidRPr="00917B1B">
        <w:rPr>
          <w:rFonts w:eastAsia="Times New Roman"/>
          <w:noProof/>
          <w:snapToGrid/>
          <w:szCs w:val="22"/>
          <w:lang w:val="hu-HU" w:eastAsia="en-US"/>
        </w:rPr>
        <w:t>2026. március 27.</w:t>
      </w:r>
      <w:bookmarkStart w:id="0" w:name="_GoBack"/>
      <w:bookmarkEnd w:id="0"/>
    </w:p>
    <w:sectPr w:rsidR="00867434" w:rsidRPr="00917B1B" w:rsidSect="00184A13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8B1C8" w14:textId="77777777" w:rsidR="00360A88" w:rsidRDefault="00360A88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AFB9C5A" w14:textId="77777777" w:rsidR="00360A88" w:rsidRDefault="00360A88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">
    <w:altName w:val="Times New Roman"/>
    <w:charset w:val="0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4FB19" w14:textId="77777777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67F85" w14:textId="7E6A9685" w:rsidR="002653F9" w:rsidRPr="00FF1B6F" w:rsidRDefault="0000280F" w:rsidP="000757F0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  <w:lang w:val="hu-HU"/>
      </w:rPr>
    </w:pPr>
    <w:r w:rsidRPr="0000280F">
      <w:rPr>
        <w:rFonts w:ascii="Times New Roman" w:hAnsi="Times New Roman"/>
        <w:sz w:val="18"/>
        <w:szCs w:val="18"/>
        <w:lang w:val="hu-HU"/>
      </w:rPr>
      <w:t>NNGYK/ETGY/22470/2025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C6F28" w14:textId="77777777" w:rsidR="00360A88" w:rsidRDefault="00360A88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3EDAB2B" w14:textId="77777777" w:rsidR="00360A88" w:rsidRDefault="00360A88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5B3FA" w14:textId="3C15DFFD" w:rsidR="001E5EF0" w:rsidRPr="00262706" w:rsidRDefault="001E5EF0" w:rsidP="00184A13">
    <w:pPr>
      <w:pStyle w:val="lfej"/>
      <w:jc w:val="center"/>
      <w:rPr>
        <w:sz w:val="18"/>
        <w:szCs w:val="18"/>
      </w:rPr>
    </w:pPr>
    <w:r w:rsidRPr="00262706">
      <w:rPr>
        <w:sz w:val="18"/>
        <w:szCs w:val="18"/>
      </w:rPr>
      <w:fldChar w:fldCharType="begin"/>
    </w:r>
    <w:r w:rsidRPr="00262706">
      <w:rPr>
        <w:sz w:val="18"/>
        <w:szCs w:val="18"/>
      </w:rPr>
      <w:instrText>PAGE   \* MERGEFORMAT</w:instrText>
    </w:r>
    <w:r w:rsidRPr="00262706">
      <w:rPr>
        <w:sz w:val="18"/>
        <w:szCs w:val="18"/>
      </w:rPr>
      <w:fldChar w:fldCharType="separate"/>
    </w:r>
    <w:r w:rsidR="00917B1B" w:rsidRPr="00917B1B">
      <w:rPr>
        <w:noProof/>
        <w:sz w:val="18"/>
        <w:szCs w:val="18"/>
        <w:lang w:val="hu-HU"/>
      </w:rPr>
      <w:t>2</w:t>
    </w:r>
    <w:r w:rsidRPr="0026270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615394"/>
    <w:multiLevelType w:val="hybridMultilevel"/>
    <w:tmpl w:val="4FF0122A"/>
    <w:lvl w:ilvl="0" w:tplc="298C29C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081E36"/>
    <w:multiLevelType w:val="hybridMultilevel"/>
    <w:tmpl w:val="BCD023FC"/>
    <w:lvl w:ilvl="0" w:tplc="9B86F8F6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426850"/>
    <w:multiLevelType w:val="hybridMultilevel"/>
    <w:tmpl w:val="475048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213B106C"/>
    <w:multiLevelType w:val="hybridMultilevel"/>
    <w:tmpl w:val="B9BE599E"/>
    <w:lvl w:ilvl="0" w:tplc="6D1C5002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3F585775"/>
    <w:multiLevelType w:val="hybridMultilevel"/>
    <w:tmpl w:val="D4263C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1F2D0B"/>
    <w:multiLevelType w:val="hybridMultilevel"/>
    <w:tmpl w:val="754C7F2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58B56C73"/>
    <w:multiLevelType w:val="hybridMultilevel"/>
    <w:tmpl w:val="1FCE9E4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2E83EC2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AD417F6"/>
    <w:multiLevelType w:val="hybridMultilevel"/>
    <w:tmpl w:val="4C1C202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6" w15:restartNumberingAfterBreak="0">
    <w:nsid w:val="6F35085E"/>
    <w:multiLevelType w:val="hybridMultilevel"/>
    <w:tmpl w:val="6900B8D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31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2"/>
  </w:num>
  <w:num w:numId="6">
    <w:abstractNumId w:val="29"/>
  </w:num>
  <w:num w:numId="7">
    <w:abstractNumId w:val="21"/>
  </w:num>
  <w:num w:numId="8">
    <w:abstractNumId w:val="23"/>
  </w:num>
  <w:num w:numId="9">
    <w:abstractNumId w:val="37"/>
  </w:num>
  <w:num w:numId="10">
    <w:abstractNumId w:val="11"/>
  </w:num>
  <w:num w:numId="11">
    <w:abstractNumId w:val="34"/>
  </w:num>
  <w:num w:numId="12">
    <w:abstractNumId w:val="22"/>
  </w:num>
  <w:num w:numId="13">
    <w:abstractNumId w:val="19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5"/>
  </w:num>
  <w:num w:numId="17">
    <w:abstractNumId w:val="26"/>
  </w:num>
  <w:num w:numId="18">
    <w:abstractNumId w:val="28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7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30"/>
  </w:num>
  <w:num w:numId="43">
    <w:abstractNumId w:val="25"/>
  </w:num>
  <w:num w:numId="44">
    <w:abstractNumId w:val="17"/>
  </w:num>
  <w:num w:numId="45">
    <w:abstractNumId w:val="33"/>
  </w:num>
  <w:num w:numId="46">
    <w:abstractNumId w:val="36"/>
  </w:num>
  <w:num w:numId="47">
    <w:abstractNumId w:val="18"/>
  </w:num>
  <w:num w:numId="48">
    <w:abstractNumId w:val="16"/>
  </w:num>
  <w:num w:numId="49">
    <w:abstractNumId w:val="2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80F"/>
    <w:rsid w:val="000030BE"/>
    <w:rsid w:val="0000362A"/>
    <w:rsid w:val="00005701"/>
    <w:rsid w:val="00007528"/>
    <w:rsid w:val="000076E9"/>
    <w:rsid w:val="0001164F"/>
    <w:rsid w:val="000121D6"/>
    <w:rsid w:val="000150D3"/>
    <w:rsid w:val="00015C5B"/>
    <w:rsid w:val="000166C1"/>
    <w:rsid w:val="000177FF"/>
    <w:rsid w:val="00017AA2"/>
    <w:rsid w:val="00020AE8"/>
    <w:rsid w:val="000238E9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5CE5"/>
    <w:rsid w:val="00046DCE"/>
    <w:rsid w:val="000474D2"/>
    <w:rsid w:val="00047617"/>
    <w:rsid w:val="000479C5"/>
    <w:rsid w:val="00050DFD"/>
    <w:rsid w:val="000528B6"/>
    <w:rsid w:val="00053809"/>
    <w:rsid w:val="000538C2"/>
    <w:rsid w:val="00053914"/>
    <w:rsid w:val="00053EFA"/>
    <w:rsid w:val="00054756"/>
    <w:rsid w:val="000549FF"/>
    <w:rsid w:val="000560C5"/>
    <w:rsid w:val="00056C49"/>
    <w:rsid w:val="00056DF3"/>
    <w:rsid w:val="00056FE0"/>
    <w:rsid w:val="000603C8"/>
    <w:rsid w:val="00060656"/>
    <w:rsid w:val="000608A4"/>
    <w:rsid w:val="00060AA1"/>
    <w:rsid w:val="0006229E"/>
    <w:rsid w:val="0006247C"/>
    <w:rsid w:val="000631FD"/>
    <w:rsid w:val="00063B5F"/>
    <w:rsid w:val="00070B1E"/>
    <w:rsid w:val="000710F4"/>
    <w:rsid w:val="00071F8A"/>
    <w:rsid w:val="00073E04"/>
    <w:rsid w:val="000757F0"/>
    <w:rsid w:val="0007628D"/>
    <w:rsid w:val="00077267"/>
    <w:rsid w:val="0007752B"/>
    <w:rsid w:val="00080AB8"/>
    <w:rsid w:val="00080E68"/>
    <w:rsid w:val="000813A7"/>
    <w:rsid w:val="00081DAB"/>
    <w:rsid w:val="0008235E"/>
    <w:rsid w:val="00082A8E"/>
    <w:rsid w:val="00084532"/>
    <w:rsid w:val="000855CA"/>
    <w:rsid w:val="0009351E"/>
    <w:rsid w:val="0009479A"/>
    <w:rsid w:val="00095D13"/>
    <w:rsid w:val="00095E44"/>
    <w:rsid w:val="00097218"/>
    <w:rsid w:val="0009755A"/>
    <w:rsid w:val="00097D13"/>
    <w:rsid w:val="000A1232"/>
    <w:rsid w:val="000A13ED"/>
    <w:rsid w:val="000A37F8"/>
    <w:rsid w:val="000A7976"/>
    <w:rsid w:val="000B0097"/>
    <w:rsid w:val="000B101F"/>
    <w:rsid w:val="000B1F4B"/>
    <w:rsid w:val="000B2F27"/>
    <w:rsid w:val="000B2F58"/>
    <w:rsid w:val="000B3762"/>
    <w:rsid w:val="000B37A8"/>
    <w:rsid w:val="000B3CCC"/>
    <w:rsid w:val="000B3F71"/>
    <w:rsid w:val="000B51D9"/>
    <w:rsid w:val="000B6240"/>
    <w:rsid w:val="000C1063"/>
    <w:rsid w:val="000C1738"/>
    <w:rsid w:val="000C308F"/>
    <w:rsid w:val="000C5A4E"/>
    <w:rsid w:val="000C635D"/>
    <w:rsid w:val="000C700C"/>
    <w:rsid w:val="000C7DD2"/>
    <w:rsid w:val="000C7F49"/>
    <w:rsid w:val="000D1AEE"/>
    <w:rsid w:val="000D1F4F"/>
    <w:rsid w:val="000D4D07"/>
    <w:rsid w:val="000D7535"/>
    <w:rsid w:val="000E0192"/>
    <w:rsid w:val="000E0F47"/>
    <w:rsid w:val="000E163C"/>
    <w:rsid w:val="000E165D"/>
    <w:rsid w:val="000E1BAF"/>
    <w:rsid w:val="000E223E"/>
    <w:rsid w:val="000E2491"/>
    <w:rsid w:val="000E2EA9"/>
    <w:rsid w:val="000E46A3"/>
    <w:rsid w:val="000E5726"/>
    <w:rsid w:val="000E6C0A"/>
    <w:rsid w:val="000E6C94"/>
    <w:rsid w:val="000F0B86"/>
    <w:rsid w:val="000F0D19"/>
    <w:rsid w:val="000F1BB2"/>
    <w:rsid w:val="000F2204"/>
    <w:rsid w:val="000F3F94"/>
    <w:rsid w:val="00101CAD"/>
    <w:rsid w:val="00103501"/>
    <w:rsid w:val="00103B2D"/>
    <w:rsid w:val="00103CD2"/>
    <w:rsid w:val="00104061"/>
    <w:rsid w:val="001046AD"/>
    <w:rsid w:val="00104723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1748"/>
    <w:rsid w:val="00133366"/>
    <w:rsid w:val="00133572"/>
    <w:rsid w:val="00135814"/>
    <w:rsid w:val="0013601F"/>
    <w:rsid w:val="00136D7A"/>
    <w:rsid w:val="00140752"/>
    <w:rsid w:val="00141470"/>
    <w:rsid w:val="00141540"/>
    <w:rsid w:val="001423CA"/>
    <w:rsid w:val="00143AD5"/>
    <w:rsid w:val="001449DF"/>
    <w:rsid w:val="0014569B"/>
    <w:rsid w:val="00145771"/>
    <w:rsid w:val="00147E15"/>
    <w:rsid w:val="00151BA4"/>
    <w:rsid w:val="00151E9D"/>
    <w:rsid w:val="00152F3B"/>
    <w:rsid w:val="0015704C"/>
    <w:rsid w:val="00161E87"/>
    <w:rsid w:val="00162232"/>
    <w:rsid w:val="00162B9C"/>
    <w:rsid w:val="00162BE0"/>
    <w:rsid w:val="00162EDD"/>
    <w:rsid w:val="00163D6C"/>
    <w:rsid w:val="0016566C"/>
    <w:rsid w:val="00171211"/>
    <w:rsid w:val="0017265B"/>
    <w:rsid w:val="001727F0"/>
    <w:rsid w:val="00172B06"/>
    <w:rsid w:val="0017329E"/>
    <w:rsid w:val="001752D8"/>
    <w:rsid w:val="00175931"/>
    <w:rsid w:val="00176B25"/>
    <w:rsid w:val="00176C1A"/>
    <w:rsid w:val="00180D4E"/>
    <w:rsid w:val="0018238B"/>
    <w:rsid w:val="0018268E"/>
    <w:rsid w:val="00183419"/>
    <w:rsid w:val="0018394A"/>
    <w:rsid w:val="00184A13"/>
    <w:rsid w:val="001856B1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3797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3E41"/>
    <w:rsid w:val="001E5EF0"/>
    <w:rsid w:val="001E64BD"/>
    <w:rsid w:val="001E64D1"/>
    <w:rsid w:val="001E77C3"/>
    <w:rsid w:val="001E77F1"/>
    <w:rsid w:val="001F090B"/>
    <w:rsid w:val="001F180A"/>
    <w:rsid w:val="001F1A28"/>
    <w:rsid w:val="001F1D22"/>
    <w:rsid w:val="001F223F"/>
    <w:rsid w:val="001F35E8"/>
    <w:rsid w:val="001F38F9"/>
    <w:rsid w:val="001F4014"/>
    <w:rsid w:val="001F445E"/>
    <w:rsid w:val="00201213"/>
    <w:rsid w:val="0020165E"/>
    <w:rsid w:val="00202E50"/>
    <w:rsid w:val="00203290"/>
    <w:rsid w:val="0020459B"/>
    <w:rsid w:val="00205180"/>
    <w:rsid w:val="00207F81"/>
    <w:rsid w:val="002109F4"/>
    <w:rsid w:val="00211B2E"/>
    <w:rsid w:val="00211FDA"/>
    <w:rsid w:val="002160C2"/>
    <w:rsid w:val="00217C41"/>
    <w:rsid w:val="00222701"/>
    <w:rsid w:val="00222BB9"/>
    <w:rsid w:val="002230E3"/>
    <w:rsid w:val="002249FA"/>
    <w:rsid w:val="002258D6"/>
    <w:rsid w:val="00226DFC"/>
    <w:rsid w:val="002274FB"/>
    <w:rsid w:val="002309D2"/>
    <w:rsid w:val="0023315B"/>
    <w:rsid w:val="002347FE"/>
    <w:rsid w:val="00234FAA"/>
    <w:rsid w:val="00235DA3"/>
    <w:rsid w:val="00236BF1"/>
    <w:rsid w:val="0024178D"/>
    <w:rsid w:val="00242730"/>
    <w:rsid w:val="00244893"/>
    <w:rsid w:val="00245DCF"/>
    <w:rsid w:val="00246C65"/>
    <w:rsid w:val="00250730"/>
    <w:rsid w:val="0025261B"/>
    <w:rsid w:val="002542A8"/>
    <w:rsid w:val="002542BA"/>
    <w:rsid w:val="00256DB1"/>
    <w:rsid w:val="00260A11"/>
    <w:rsid w:val="00260EC2"/>
    <w:rsid w:val="0026169A"/>
    <w:rsid w:val="00262706"/>
    <w:rsid w:val="00262763"/>
    <w:rsid w:val="00264BEA"/>
    <w:rsid w:val="002653F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11D"/>
    <w:rsid w:val="00285586"/>
    <w:rsid w:val="00286322"/>
    <w:rsid w:val="00290262"/>
    <w:rsid w:val="00290C3B"/>
    <w:rsid w:val="00291607"/>
    <w:rsid w:val="0029347B"/>
    <w:rsid w:val="00296C1F"/>
    <w:rsid w:val="0029769E"/>
    <w:rsid w:val="002A0C34"/>
    <w:rsid w:val="002A1B59"/>
    <w:rsid w:val="002A4039"/>
    <w:rsid w:val="002A41E6"/>
    <w:rsid w:val="002A5250"/>
    <w:rsid w:val="002A5FE0"/>
    <w:rsid w:val="002B02D8"/>
    <w:rsid w:val="002B0455"/>
    <w:rsid w:val="002B09DD"/>
    <w:rsid w:val="002B1864"/>
    <w:rsid w:val="002B23CB"/>
    <w:rsid w:val="002B2BEE"/>
    <w:rsid w:val="002B2F76"/>
    <w:rsid w:val="002B35C5"/>
    <w:rsid w:val="002B3935"/>
    <w:rsid w:val="002B406A"/>
    <w:rsid w:val="002B41D4"/>
    <w:rsid w:val="002B543F"/>
    <w:rsid w:val="002B6473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89D"/>
    <w:rsid w:val="002D1023"/>
    <w:rsid w:val="002D1459"/>
    <w:rsid w:val="002D1470"/>
    <w:rsid w:val="002D1962"/>
    <w:rsid w:val="002D21CF"/>
    <w:rsid w:val="002D2F96"/>
    <w:rsid w:val="002D4705"/>
    <w:rsid w:val="002D5B65"/>
    <w:rsid w:val="002D6396"/>
    <w:rsid w:val="002D7E5E"/>
    <w:rsid w:val="002E07AC"/>
    <w:rsid w:val="002E07EF"/>
    <w:rsid w:val="002E0D06"/>
    <w:rsid w:val="002E1C7F"/>
    <w:rsid w:val="002E4E94"/>
    <w:rsid w:val="002F1F28"/>
    <w:rsid w:val="002F43CA"/>
    <w:rsid w:val="002F57AA"/>
    <w:rsid w:val="002F688A"/>
    <w:rsid w:val="002F714C"/>
    <w:rsid w:val="002F77BF"/>
    <w:rsid w:val="003004A2"/>
    <w:rsid w:val="00302993"/>
    <w:rsid w:val="00303DD5"/>
    <w:rsid w:val="00303F7D"/>
    <w:rsid w:val="003046D6"/>
    <w:rsid w:val="003062F8"/>
    <w:rsid w:val="00310764"/>
    <w:rsid w:val="00310D54"/>
    <w:rsid w:val="00310DBE"/>
    <w:rsid w:val="00315EC9"/>
    <w:rsid w:val="003165D9"/>
    <w:rsid w:val="00320203"/>
    <w:rsid w:val="0032146D"/>
    <w:rsid w:val="00322002"/>
    <w:rsid w:val="00323890"/>
    <w:rsid w:val="00324129"/>
    <w:rsid w:val="003247B0"/>
    <w:rsid w:val="00325E81"/>
    <w:rsid w:val="0033486D"/>
    <w:rsid w:val="003367C4"/>
    <w:rsid w:val="00336D8E"/>
    <w:rsid w:val="003376B3"/>
    <w:rsid w:val="00342993"/>
    <w:rsid w:val="003429DD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0A88"/>
    <w:rsid w:val="00361280"/>
    <w:rsid w:val="003615F1"/>
    <w:rsid w:val="00361928"/>
    <w:rsid w:val="00361A6E"/>
    <w:rsid w:val="00362983"/>
    <w:rsid w:val="00363D7F"/>
    <w:rsid w:val="003641FB"/>
    <w:rsid w:val="00367C66"/>
    <w:rsid w:val="00371864"/>
    <w:rsid w:val="0037233D"/>
    <w:rsid w:val="003728DD"/>
    <w:rsid w:val="003736EF"/>
    <w:rsid w:val="003737E3"/>
    <w:rsid w:val="00373917"/>
    <w:rsid w:val="00374F4A"/>
    <w:rsid w:val="0037508F"/>
    <w:rsid w:val="00380D80"/>
    <w:rsid w:val="00381E38"/>
    <w:rsid w:val="00382C18"/>
    <w:rsid w:val="00382CD3"/>
    <w:rsid w:val="00385A7E"/>
    <w:rsid w:val="00386C66"/>
    <w:rsid w:val="003906F8"/>
    <w:rsid w:val="003935EE"/>
    <w:rsid w:val="0039408A"/>
    <w:rsid w:val="00396125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970"/>
    <w:rsid w:val="003C1CA5"/>
    <w:rsid w:val="003C1EC7"/>
    <w:rsid w:val="003C3BDE"/>
    <w:rsid w:val="003C5B76"/>
    <w:rsid w:val="003C64A0"/>
    <w:rsid w:val="003C6F26"/>
    <w:rsid w:val="003C7726"/>
    <w:rsid w:val="003C7BA3"/>
    <w:rsid w:val="003D21C8"/>
    <w:rsid w:val="003D4015"/>
    <w:rsid w:val="003D4E09"/>
    <w:rsid w:val="003D4E9C"/>
    <w:rsid w:val="003E038E"/>
    <w:rsid w:val="003E0D78"/>
    <w:rsid w:val="003E3277"/>
    <w:rsid w:val="003E36D6"/>
    <w:rsid w:val="003E3A1D"/>
    <w:rsid w:val="003E46D2"/>
    <w:rsid w:val="003E6CA0"/>
    <w:rsid w:val="003F2FDE"/>
    <w:rsid w:val="003F330B"/>
    <w:rsid w:val="003F5756"/>
    <w:rsid w:val="003F6FDF"/>
    <w:rsid w:val="004016F5"/>
    <w:rsid w:val="004017CB"/>
    <w:rsid w:val="0040451C"/>
    <w:rsid w:val="004045AA"/>
    <w:rsid w:val="00404A0D"/>
    <w:rsid w:val="00405229"/>
    <w:rsid w:val="004055B3"/>
    <w:rsid w:val="00405CC9"/>
    <w:rsid w:val="00406D2E"/>
    <w:rsid w:val="00410E7D"/>
    <w:rsid w:val="004138DE"/>
    <w:rsid w:val="00414A05"/>
    <w:rsid w:val="00414B2F"/>
    <w:rsid w:val="00415E58"/>
    <w:rsid w:val="00416231"/>
    <w:rsid w:val="004208AB"/>
    <w:rsid w:val="004219EF"/>
    <w:rsid w:val="0042271D"/>
    <w:rsid w:val="00424AEA"/>
    <w:rsid w:val="00425AFF"/>
    <w:rsid w:val="00426CD9"/>
    <w:rsid w:val="00430FEB"/>
    <w:rsid w:val="004310EE"/>
    <w:rsid w:val="00433677"/>
    <w:rsid w:val="00433DCE"/>
    <w:rsid w:val="004340D5"/>
    <w:rsid w:val="00434880"/>
    <w:rsid w:val="004359A0"/>
    <w:rsid w:val="00436D99"/>
    <w:rsid w:val="00437A8B"/>
    <w:rsid w:val="004406C1"/>
    <w:rsid w:val="00442C1B"/>
    <w:rsid w:val="00444848"/>
    <w:rsid w:val="004449DB"/>
    <w:rsid w:val="004460E9"/>
    <w:rsid w:val="00447B6F"/>
    <w:rsid w:val="00453C11"/>
    <w:rsid w:val="004557B0"/>
    <w:rsid w:val="00457946"/>
    <w:rsid w:val="00457BB9"/>
    <w:rsid w:val="00457D8B"/>
    <w:rsid w:val="00460A17"/>
    <w:rsid w:val="00463F32"/>
    <w:rsid w:val="00464B3D"/>
    <w:rsid w:val="00470447"/>
    <w:rsid w:val="00470CB5"/>
    <w:rsid w:val="00471EAB"/>
    <w:rsid w:val="004723EE"/>
    <w:rsid w:val="00473CC0"/>
    <w:rsid w:val="0047451B"/>
    <w:rsid w:val="004758BC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5D95"/>
    <w:rsid w:val="00496414"/>
    <w:rsid w:val="00497A38"/>
    <w:rsid w:val="00497F75"/>
    <w:rsid w:val="004A071D"/>
    <w:rsid w:val="004A27D8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64AD"/>
    <w:rsid w:val="004B723B"/>
    <w:rsid w:val="004B7F67"/>
    <w:rsid w:val="004C1994"/>
    <w:rsid w:val="004C27D7"/>
    <w:rsid w:val="004D10ED"/>
    <w:rsid w:val="004D4080"/>
    <w:rsid w:val="004E05FD"/>
    <w:rsid w:val="004E0DC7"/>
    <w:rsid w:val="004E1A0D"/>
    <w:rsid w:val="004E23F5"/>
    <w:rsid w:val="004E2804"/>
    <w:rsid w:val="004E458C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247"/>
    <w:rsid w:val="00505EDB"/>
    <w:rsid w:val="00506D18"/>
    <w:rsid w:val="00507F98"/>
    <w:rsid w:val="005108A3"/>
    <w:rsid w:val="00510F6E"/>
    <w:rsid w:val="005118AE"/>
    <w:rsid w:val="005122AF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6A6D"/>
    <w:rsid w:val="0053791F"/>
    <w:rsid w:val="00540DD1"/>
    <w:rsid w:val="00547538"/>
    <w:rsid w:val="005535BA"/>
    <w:rsid w:val="00553A1F"/>
    <w:rsid w:val="00553BFA"/>
    <w:rsid w:val="00553D8D"/>
    <w:rsid w:val="0055608E"/>
    <w:rsid w:val="0056077E"/>
    <w:rsid w:val="00561E41"/>
    <w:rsid w:val="005629EE"/>
    <w:rsid w:val="005648FA"/>
    <w:rsid w:val="00564D50"/>
    <w:rsid w:val="00564F59"/>
    <w:rsid w:val="00564F89"/>
    <w:rsid w:val="005655B6"/>
    <w:rsid w:val="00567346"/>
    <w:rsid w:val="00567944"/>
    <w:rsid w:val="005706CF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87715"/>
    <w:rsid w:val="005935F4"/>
    <w:rsid w:val="005A346E"/>
    <w:rsid w:val="005A73CF"/>
    <w:rsid w:val="005B409C"/>
    <w:rsid w:val="005B52CE"/>
    <w:rsid w:val="005B798B"/>
    <w:rsid w:val="005C010D"/>
    <w:rsid w:val="005C0D5B"/>
    <w:rsid w:val="005C1783"/>
    <w:rsid w:val="005C1FAE"/>
    <w:rsid w:val="005C2162"/>
    <w:rsid w:val="005C39E8"/>
    <w:rsid w:val="005C5660"/>
    <w:rsid w:val="005D1B49"/>
    <w:rsid w:val="005D2400"/>
    <w:rsid w:val="005D3D51"/>
    <w:rsid w:val="005D4B68"/>
    <w:rsid w:val="005E11C1"/>
    <w:rsid w:val="005E2563"/>
    <w:rsid w:val="005E394C"/>
    <w:rsid w:val="005E42BF"/>
    <w:rsid w:val="005E4E70"/>
    <w:rsid w:val="005E65BB"/>
    <w:rsid w:val="005E729C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0CF"/>
    <w:rsid w:val="006221CD"/>
    <w:rsid w:val="006237D8"/>
    <w:rsid w:val="00623E26"/>
    <w:rsid w:val="006262E0"/>
    <w:rsid w:val="0062669E"/>
    <w:rsid w:val="006266A9"/>
    <w:rsid w:val="006266DE"/>
    <w:rsid w:val="00630426"/>
    <w:rsid w:val="006316C1"/>
    <w:rsid w:val="00631ED4"/>
    <w:rsid w:val="00633BC7"/>
    <w:rsid w:val="00635E9C"/>
    <w:rsid w:val="0063699E"/>
    <w:rsid w:val="00637163"/>
    <w:rsid w:val="00637B41"/>
    <w:rsid w:val="00640AF4"/>
    <w:rsid w:val="006414EE"/>
    <w:rsid w:val="00642D0A"/>
    <w:rsid w:val="006451EE"/>
    <w:rsid w:val="00646130"/>
    <w:rsid w:val="00646FE1"/>
    <w:rsid w:val="006470ED"/>
    <w:rsid w:val="00647E20"/>
    <w:rsid w:val="006529D2"/>
    <w:rsid w:val="00657F1A"/>
    <w:rsid w:val="00660727"/>
    <w:rsid w:val="00661140"/>
    <w:rsid w:val="00667893"/>
    <w:rsid w:val="006710DD"/>
    <w:rsid w:val="006714D3"/>
    <w:rsid w:val="00673200"/>
    <w:rsid w:val="0067501E"/>
    <w:rsid w:val="006753AB"/>
    <w:rsid w:val="006773D2"/>
    <w:rsid w:val="00681A41"/>
    <w:rsid w:val="006821B2"/>
    <w:rsid w:val="00682EC4"/>
    <w:rsid w:val="006838C0"/>
    <w:rsid w:val="00685901"/>
    <w:rsid w:val="00685BB9"/>
    <w:rsid w:val="00687209"/>
    <w:rsid w:val="00690127"/>
    <w:rsid w:val="00691BFF"/>
    <w:rsid w:val="00695227"/>
    <w:rsid w:val="006953C1"/>
    <w:rsid w:val="00696175"/>
    <w:rsid w:val="00696EB2"/>
    <w:rsid w:val="006A16E9"/>
    <w:rsid w:val="006A18FE"/>
    <w:rsid w:val="006A19A4"/>
    <w:rsid w:val="006A5450"/>
    <w:rsid w:val="006A7E23"/>
    <w:rsid w:val="006B0199"/>
    <w:rsid w:val="006B0A32"/>
    <w:rsid w:val="006B0BD8"/>
    <w:rsid w:val="006B1092"/>
    <w:rsid w:val="006B22A3"/>
    <w:rsid w:val="006B285F"/>
    <w:rsid w:val="006B3279"/>
    <w:rsid w:val="006B797E"/>
    <w:rsid w:val="006B7CDB"/>
    <w:rsid w:val="006C0251"/>
    <w:rsid w:val="006C2B9A"/>
    <w:rsid w:val="006C38EA"/>
    <w:rsid w:val="006C39BB"/>
    <w:rsid w:val="006C4502"/>
    <w:rsid w:val="006D5E91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44DD"/>
    <w:rsid w:val="006F5C83"/>
    <w:rsid w:val="006F67CC"/>
    <w:rsid w:val="00700793"/>
    <w:rsid w:val="00701C2D"/>
    <w:rsid w:val="00702112"/>
    <w:rsid w:val="00702162"/>
    <w:rsid w:val="00703930"/>
    <w:rsid w:val="00704070"/>
    <w:rsid w:val="00705391"/>
    <w:rsid w:val="00705654"/>
    <w:rsid w:val="00705744"/>
    <w:rsid w:val="0070610E"/>
    <w:rsid w:val="00706FEA"/>
    <w:rsid w:val="00707759"/>
    <w:rsid w:val="00707C8D"/>
    <w:rsid w:val="00710081"/>
    <w:rsid w:val="00710B0D"/>
    <w:rsid w:val="00713AD9"/>
    <w:rsid w:val="00713CB5"/>
    <w:rsid w:val="007141A9"/>
    <w:rsid w:val="007153E5"/>
    <w:rsid w:val="0071558B"/>
    <w:rsid w:val="00715601"/>
    <w:rsid w:val="007208F3"/>
    <w:rsid w:val="00721189"/>
    <w:rsid w:val="007221C3"/>
    <w:rsid w:val="00722F2C"/>
    <w:rsid w:val="007253A4"/>
    <w:rsid w:val="007254D1"/>
    <w:rsid w:val="00725B32"/>
    <w:rsid w:val="00725B3C"/>
    <w:rsid w:val="00733D54"/>
    <w:rsid w:val="00734629"/>
    <w:rsid w:val="00736A4F"/>
    <w:rsid w:val="00736E76"/>
    <w:rsid w:val="00737753"/>
    <w:rsid w:val="00740CE9"/>
    <w:rsid w:val="007428E3"/>
    <w:rsid w:val="00743511"/>
    <w:rsid w:val="0074394E"/>
    <w:rsid w:val="00746EF5"/>
    <w:rsid w:val="007471D2"/>
    <w:rsid w:val="00747E6C"/>
    <w:rsid w:val="0075079A"/>
    <w:rsid w:val="00750ABC"/>
    <w:rsid w:val="00750D0A"/>
    <w:rsid w:val="00751863"/>
    <w:rsid w:val="00751D93"/>
    <w:rsid w:val="00752300"/>
    <w:rsid w:val="00754582"/>
    <w:rsid w:val="007546F8"/>
    <w:rsid w:val="00755BAB"/>
    <w:rsid w:val="00757BA2"/>
    <w:rsid w:val="0076080E"/>
    <w:rsid w:val="007615E5"/>
    <w:rsid w:val="00761A71"/>
    <w:rsid w:val="0076411D"/>
    <w:rsid w:val="007660A8"/>
    <w:rsid w:val="0076625E"/>
    <w:rsid w:val="007670F8"/>
    <w:rsid w:val="007671D4"/>
    <w:rsid w:val="00770A85"/>
    <w:rsid w:val="00772E22"/>
    <w:rsid w:val="00772F2D"/>
    <w:rsid w:val="00773DC9"/>
    <w:rsid w:val="007754E8"/>
    <w:rsid w:val="0077572E"/>
    <w:rsid w:val="0078031B"/>
    <w:rsid w:val="00782CB3"/>
    <w:rsid w:val="00784F44"/>
    <w:rsid w:val="00785239"/>
    <w:rsid w:val="00786672"/>
    <w:rsid w:val="007872CF"/>
    <w:rsid w:val="0079201C"/>
    <w:rsid w:val="00792495"/>
    <w:rsid w:val="0079307F"/>
    <w:rsid w:val="007947C4"/>
    <w:rsid w:val="00795CE1"/>
    <w:rsid w:val="007A06AC"/>
    <w:rsid w:val="007A1716"/>
    <w:rsid w:val="007A1DB5"/>
    <w:rsid w:val="007A54FA"/>
    <w:rsid w:val="007A6272"/>
    <w:rsid w:val="007B1014"/>
    <w:rsid w:val="007B103F"/>
    <w:rsid w:val="007B1484"/>
    <w:rsid w:val="007B1A10"/>
    <w:rsid w:val="007B5510"/>
    <w:rsid w:val="007B6659"/>
    <w:rsid w:val="007B76AB"/>
    <w:rsid w:val="007B7DBD"/>
    <w:rsid w:val="007C01DE"/>
    <w:rsid w:val="007C315F"/>
    <w:rsid w:val="007C453E"/>
    <w:rsid w:val="007C45D3"/>
    <w:rsid w:val="007C597B"/>
    <w:rsid w:val="007C5C4A"/>
    <w:rsid w:val="007C61CB"/>
    <w:rsid w:val="007C7461"/>
    <w:rsid w:val="007C760C"/>
    <w:rsid w:val="007D0281"/>
    <w:rsid w:val="007D08FD"/>
    <w:rsid w:val="007D0AD2"/>
    <w:rsid w:val="007D1584"/>
    <w:rsid w:val="007D2044"/>
    <w:rsid w:val="007D2A70"/>
    <w:rsid w:val="007D2D55"/>
    <w:rsid w:val="007D4F33"/>
    <w:rsid w:val="007D65C7"/>
    <w:rsid w:val="007D701A"/>
    <w:rsid w:val="007D74D2"/>
    <w:rsid w:val="007D79B5"/>
    <w:rsid w:val="007D7FDB"/>
    <w:rsid w:val="007E037D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8DC"/>
    <w:rsid w:val="007F2DB6"/>
    <w:rsid w:val="007F2E65"/>
    <w:rsid w:val="007F2F4B"/>
    <w:rsid w:val="007F43BA"/>
    <w:rsid w:val="007F44E6"/>
    <w:rsid w:val="007F45D1"/>
    <w:rsid w:val="007F6DC3"/>
    <w:rsid w:val="008006B4"/>
    <w:rsid w:val="00801A3F"/>
    <w:rsid w:val="00802789"/>
    <w:rsid w:val="00803695"/>
    <w:rsid w:val="00803FD4"/>
    <w:rsid w:val="0080481C"/>
    <w:rsid w:val="0080494A"/>
    <w:rsid w:val="00804A38"/>
    <w:rsid w:val="00804C54"/>
    <w:rsid w:val="008056DD"/>
    <w:rsid w:val="008065E1"/>
    <w:rsid w:val="0081104C"/>
    <w:rsid w:val="00811D2A"/>
    <w:rsid w:val="00812D16"/>
    <w:rsid w:val="0081386C"/>
    <w:rsid w:val="00817905"/>
    <w:rsid w:val="00817A54"/>
    <w:rsid w:val="00817C04"/>
    <w:rsid w:val="00820037"/>
    <w:rsid w:val="00821865"/>
    <w:rsid w:val="00822D6B"/>
    <w:rsid w:val="0082327D"/>
    <w:rsid w:val="0082433D"/>
    <w:rsid w:val="00824C5D"/>
    <w:rsid w:val="008255B7"/>
    <w:rsid w:val="00826509"/>
    <w:rsid w:val="0083354D"/>
    <w:rsid w:val="0083561B"/>
    <w:rsid w:val="0083685F"/>
    <w:rsid w:val="008371F6"/>
    <w:rsid w:val="00837D78"/>
    <w:rsid w:val="00837E03"/>
    <w:rsid w:val="00840D79"/>
    <w:rsid w:val="00842A21"/>
    <w:rsid w:val="008431CC"/>
    <w:rsid w:val="008439BF"/>
    <w:rsid w:val="008440C5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67A"/>
    <w:rsid w:val="008643FC"/>
    <w:rsid w:val="00864529"/>
    <w:rsid w:val="008649B9"/>
    <w:rsid w:val="00867434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64F7"/>
    <w:rsid w:val="0088701C"/>
    <w:rsid w:val="00887823"/>
    <w:rsid w:val="00887BA4"/>
    <w:rsid w:val="0089174C"/>
    <w:rsid w:val="00892932"/>
    <w:rsid w:val="00892EB4"/>
    <w:rsid w:val="00893A03"/>
    <w:rsid w:val="00893BF4"/>
    <w:rsid w:val="0089499B"/>
    <w:rsid w:val="00894ACA"/>
    <w:rsid w:val="00894E87"/>
    <w:rsid w:val="00894EC5"/>
    <w:rsid w:val="008957AC"/>
    <w:rsid w:val="008967B5"/>
    <w:rsid w:val="008A038B"/>
    <w:rsid w:val="008A03AC"/>
    <w:rsid w:val="008A186D"/>
    <w:rsid w:val="008A2B4E"/>
    <w:rsid w:val="008A345A"/>
    <w:rsid w:val="008A3DB9"/>
    <w:rsid w:val="008A53A7"/>
    <w:rsid w:val="008A666D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6CD"/>
    <w:rsid w:val="008D4380"/>
    <w:rsid w:val="008D474F"/>
    <w:rsid w:val="008D48D1"/>
    <w:rsid w:val="008D5B7E"/>
    <w:rsid w:val="008F2C49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10FBA"/>
    <w:rsid w:val="00911D39"/>
    <w:rsid w:val="00912B9F"/>
    <w:rsid w:val="00917B00"/>
    <w:rsid w:val="00917B1B"/>
    <w:rsid w:val="00917C0F"/>
    <w:rsid w:val="0092040E"/>
    <w:rsid w:val="00920C6C"/>
    <w:rsid w:val="00921986"/>
    <w:rsid w:val="009227D9"/>
    <w:rsid w:val="009251E8"/>
    <w:rsid w:val="009253FC"/>
    <w:rsid w:val="00925D9E"/>
    <w:rsid w:val="00927392"/>
    <w:rsid w:val="00927791"/>
    <w:rsid w:val="00930607"/>
    <w:rsid w:val="00930A2D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276"/>
    <w:rsid w:val="00945631"/>
    <w:rsid w:val="00947549"/>
    <w:rsid w:val="00951BDD"/>
    <w:rsid w:val="00955DC8"/>
    <w:rsid w:val="0095793C"/>
    <w:rsid w:val="0096111E"/>
    <w:rsid w:val="00961125"/>
    <w:rsid w:val="00961951"/>
    <w:rsid w:val="009626F4"/>
    <w:rsid w:val="00963BD1"/>
    <w:rsid w:val="00966B1F"/>
    <w:rsid w:val="009705E0"/>
    <w:rsid w:val="00970C06"/>
    <w:rsid w:val="00973381"/>
    <w:rsid w:val="00974518"/>
    <w:rsid w:val="00975B88"/>
    <w:rsid w:val="00980FE0"/>
    <w:rsid w:val="00981DFD"/>
    <w:rsid w:val="00983A15"/>
    <w:rsid w:val="00983D7E"/>
    <w:rsid w:val="00991945"/>
    <w:rsid w:val="009927BB"/>
    <w:rsid w:val="009928B7"/>
    <w:rsid w:val="0099321A"/>
    <w:rsid w:val="009960B7"/>
    <w:rsid w:val="00997986"/>
    <w:rsid w:val="009A09F6"/>
    <w:rsid w:val="009A19A7"/>
    <w:rsid w:val="009A1B3A"/>
    <w:rsid w:val="009A324E"/>
    <w:rsid w:val="009A3D53"/>
    <w:rsid w:val="009B39D3"/>
    <w:rsid w:val="009B4C19"/>
    <w:rsid w:val="009B536C"/>
    <w:rsid w:val="009B5BA6"/>
    <w:rsid w:val="009B6496"/>
    <w:rsid w:val="009B69D5"/>
    <w:rsid w:val="009B6DAE"/>
    <w:rsid w:val="009C01DA"/>
    <w:rsid w:val="009C070E"/>
    <w:rsid w:val="009C20CC"/>
    <w:rsid w:val="009C2422"/>
    <w:rsid w:val="009C3558"/>
    <w:rsid w:val="009C562E"/>
    <w:rsid w:val="009C7531"/>
    <w:rsid w:val="009D1C2F"/>
    <w:rsid w:val="009D220C"/>
    <w:rsid w:val="009D221F"/>
    <w:rsid w:val="009D2C53"/>
    <w:rsid w:val="009D53E0"/>
    <w:rsid w:val="009D5FB5"/>
    <w:rsid w:val="009E09F0"/>
    <w:rsid w:val="009E141D"/>
    <w:rsid w:val="009E19E8"/>
    <w:rsid w:val="009E377C"/>
    <w:rsid w:val="009E458A"/>
    <w:rsid w:val="009E4B0F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023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1D15"/>
    <w:rsid w:val="00A32F60"/>
    <w:rsid w:val="00A330C5"/>
    <w:rsid w:val="00A343F3"/>
    <w:rsid w:val="00A34D76"/>
    <w:rsid w:val="00A365D0"/>
    <w:rsid w:val="00A37428"/>
    <w:rsid w:val="00A402B8"/>
    <w:rsid w:val="00A411B5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20FF"/>
    <w:rsid w:val="00A65BD9"/>
    <w:rsid w:val="00A65C1E"/>
    <w:rsid w:val="00A66718"/>
    <w:rsid w:val="00A70B31"/>
    <w:rsid w:val="00A70EF6"/>
    <w:rsid w:val="00A72A72"/>
    <w:rsid w:val="00A759FE"/>
    <w:rsid w:val="00A76D67"/>
    <w:rsid w:val="00A776B8"/>
    <w:rsid w:val="00A80A6A"/>
    <w:rsid w:val="00A80DD3"/>
    <w:rsid w:val="00A81437"/>
    <w:rsid w:val="00A827A3"/>
    <w:rsid w:val="00A85357"/>
    <w:rsid w:val="00A902DD"/>
    <w:rsid w:val="00A90C94"/>
    <w:rsid w:val="00A91617"/>
    <w:rsid w:val="00A91F99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3831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B7243"/>
    <w:rsid w:val="00AC2EFE"/>
    <w:rsid w:val="00AC3930"/>
    <w:rsid w:val="00AC3AB1"/>
    <w:rsid w:val="00AC4835"/>
    <w:rsid w:val="00AC68C6"/>
    <w:rsid w:val="00AC70ED"/>
    <w:rsid w:val="00AC75AA"/>
    <w:rsid w:val="00AC79C1"/>
    <w:rsid w:val="00AC7CA4"/>
    <w:rsid w:val="00AD2C1F"/>
    <w:rsid w:val="00AD4A64"/>
    <w:rsid w:val="00AD598F"/>
    <w:rsid w:val="00AD5D74"/>
    <w:rsid w:val="00AD6D09"/>
    <w:rsid w:val="00AD72A5"/>
    <w:rsid w:val="00AD7B84"/>
    <w:rsid w:val="00AE098E"/>
    <w:rsid w:val="00AE0BBA"/>
    <w:rsid w:val="00AE2291"/>
    <w:rsid w:val="00AE25C8"/>
    <w:rsid w:val="00AE2AD4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2A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5A60"/>
    <w:rsid w:val="00B05E20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82A"/>
    <w:rsid w:val="00B34889"/>
    <w:rsid w:val="00B36D0F"/>
    <w:rsid w:val="00B37550"/>
    <w:rsid w:val="00B401C3"/>
    <w:rsid w:val="00B402C6"/>
    <w:rsid w:val="00B41DC1"/>
    <w:rsid w:val="00B43058"/>
    <w:rsid w:val="00B46EC7"/>
    <w:rsid w:val="00B50A91"/>
    <w:rsid w:val="00B52022"/>
    <w:rsid w:val="00B52187"/>
    <w:rsid w:val="00B53AAC"/>
    <w:rsid w:val="00B54691"/>
    <w:rsid w:val="00B5569B"/>
    <w:rsid w:val="00B5744E"/>
    <w:rsid w:val="00B60CCD"/>
    <w:rsid w:val="00B62854"/>
    <w:rsid w:val="00B62EF1"/>
    <w:rsid w:val="00B640CC"/>
    <w:rsid w:val="00B645B6"/>
    <w:rsid w:val="00B64DAE"/>
    <w:rsid w:val="00B667BF"/>
    <w:rsid w:val="00B66A25"/>
    <w:rsid w:val="00B6777C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2707"/>
    <w:rsid w:val="00B86608"/>
    <w:rsid w:val="00B87847"/>
    <w:rsid w:val="00B90477"/>
    <w:rsid w:val="00B92AA5"/>
    <w:rsid w:val="00B92CE2"/>
    <w:rsid w:val="00B93447"/>
    <w:rsid w:val="00B93669"/>
    <w:rsid w:val="00B94FB3"/>
    <w:rsid w:val="00B96744"/>
    <w:rsid w:val="00B97977"/>
    <w:rsid w:val="00BA6419"/>
    <w:rsid w:val="00BA6550"/>
    <w:rsid w:val="00BA7E34"/>
    <w:rsid w:val="00BB0EDC"/>
    <w:rsid w:val="00BB2437"/>
    <w:rsid w:val="00BB2F21"/>
    <w:rsid w:val="00BB32A1"/>
    <w:rsid w:val="00BB3429"/>
    <w:rsid w:val="00BB3642"/>
    <w:rsid w:val="00BB3DEA"/>
    <w:rsid w:val="00BB4843"/>
    <w:rsid w:val="00BB6576"/>
    <w:rsid w:val="00BB66AB"/>
    <w:rsid w:val="00BC0AD6"/>
    <w:rsid w:val="00BC27CA"/>
    <w:rsid w:val="00BC3584"/>
    <w:rsid w:val="00BC4673"/>
    <w:rsid w:val="00BC558C"/>
    <w:rsid w:val="00BD284F"/>
    <w:rsid w:val="00BD4C08"/>
    <w:rsid w:val="00BD5B0B"/>
    <w:rsid w:val="00BE0AA9"/>
    <w:rsid w:val="00BE1905"/>
    <w:rsid w:val="00BE1CB6"/>
    <w:rsid w:val="00BE2A1F"/>
    <w:rsid w:val="00BE2F47"/>
    <w:rsid w:val="00BE4ED6"/>
    <w:rsid w:val="00BE54F3"/>
    <w:rsid w:val="00BE5F67"/>
    <w:rsid w:val="00BE6983"/>
    <w:rsid w:val="00BE7920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2B3"/>
    <w:rsid w:val="00C1667B"/>
    <w:rsid w:val="00C16BEB"/>
    <w:rsid w:val="00C1743B"/>
    <w:rsid w:val="00C17D23"/>
    <w:rsid w:val="00C206D7"/>
    <w:rsid w:val="00C20CA6"/>
    <w:rsid w:val="00C23398"/>
    <w:rsid w:val="00C23B23"/>
    <w:rsid w:val="00C23B89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8CF"/>
    <w:rsid w:val="00C4790F"/>
    <w:rsid w:val="00C47FC0"/>
    <w:rsid w:val="00C5072A"/>
    <w:rsid w:val="00C51EDF"/>
    <w:rsid w:val="00C528CC"/>
    <w:rsid w:val="00C52F02"/>
    <w:rsid w:val="00C53ABD"/>
    <w:rsid w:val="00C53AD3"/>
    <w:rsid w:val="00C53C94"/>
    <w:rsid w:val="00C54CEE"/>
    <w:rsid w:val="00C551C9"/>
    <w:rsid w:val="00C56E1B"/>
    <w:rsid w:val="00C57741"/>
    <w:rsid w:val="00C57E52"/>
    <w:rsid w:val="00C60B41"/>
    <w:rsid w:val="00C61299"/>
    <w:rsid w:val="00C6210E"/>
    <w:rsid w:val="00C62568"/>
    <w:rsid w:val="00C633A2"/>
    <w:rsid w:val="00C635A1"/>
    <w:rsid w:val="00C64143"/>
    <w:rsid w:val="00C6434D"/>
    <w:rsid w:val="00C652E5"/>
    <w:rsid w:val="00C659F1"/>
    <w:rsid w:val="00C661FB"/>
    <w:rsid w:val="00C66261"/>
    <w:rsid w:val="00C67446"/>
    <w:rsid w:val="00C67D8B"/>
    <w:rsid w:val="00C7356B"/>
    <w:rsid w:val="00C74EAE"/>
    <w:rsid w:val="00C7697F"/>
    <w:rsid w:val="00C8136C"/>
    <w:rsid w:val="00C81F2D"/>
    <w:rsid w:val="00C82FFA"/>
    <w:rsid w:val="00C83419"/>
    <w:rsid w:val="00C85521"/>
    <w:rsid w:val="00C863EE"/>
    <w:rsid w:val="00C879CA"/>
    <w:rsid w:val="00C91D81"/>
    <w:rsid w:val="00C92646"/>
    <w:rsid w:val="00C9316A"/>
    <w:rsid w:val="00C93B5E"/>
    <w:rsid w:val="00C93FF3"/>
    <w:rsid w:val="00C9524B"/>
    <w:rsid w:val="00C95D8D"/>
    <w:rsid w:val="00CA24F2"/>
    <w:rsid w:val="00CA2507"/>
    <w:rsid w:val="00CA2883"/>
    <w:rsid w:val="00CA2AEF"/>
    <w:rsid w:val="00CA6129"/>
    <w:rsid w:val="00CA6136"/>
    <w:rsid w:val="00CA6BCC"/>
    <w:rsid w:val="00CA71DA"/>
    <w:rsid w:val="00CB18EC"/>
    <w:rsid w:val="00CB5032"/>
    <w:rsid w:val="00CB5E63"/>
    <w:rsid w:val="00CB62AC"/>
    <w:rsid w:val="00CB6652"/>
    <w:rsid w:val="00CB6D66"/>
    <w:rsid w:val="00CB77EA"/>
    <w:rsid w:val="00CB7DF6"/>
    <w:rsid w:val="00CC303F"/>
    <w:rsid w:val="00CC3C96"/>
    <w:rsid w:val="00CC56FF"/>
    <w:rsid w:val="00CC6061"/>
    <w:rsid w:val="00CC7BA7"/>
    <w:rsid w:val="00CD077C"/>
    <w:rsid w:val="00CD1ACE"/>
    <w:rsid w:val="00CD342A"/>
    <w:rsid w:val="00CD3940"/>
    <w:rsid w:val="00CD4E32"/>
    <w:rsid w:val="00CD7E60"/>
    <w:rsid w:val="00CE29A6"/>
    <w:rsid w:val="00CE3AE5"/>
    <w:rsid w:val="00CE3E72"/>
    <w:rsid w:val="00CE5429"/>
    <w:rsid w:val="00CE6A0B"/>
    <w:rsid w:val="00CF0950"/>
    <w:rsid w:val="00CF3B07"/>
    <w:rsid w:val="00CF4C13"/>
    <w:rsid w:val="00CF625A"/>
    <w:rsid w:val="00CF6384"/>
    <w:rsid w:val="00CF6902"/>
    <w:rsid w:val="00CF6DB4"/>
    <w:rsid w:val="00CF7924"/>
    <w:rsid w:val="00D06E88"/>
    <w:rsid w:val="00D11F90"/>
    <w:rsid w:val="00D12F5C"/>
    <w:rsid w:val="00D13527"/>
    <w:rsid w:val="00D150F1"/>
    <w:rsid w:val="00D15E4E"/>
    <w:rsid w:val="00D161AC"/>
    <w:rsid w:val="00D17402"/>
    <w:rsid w:val="00D174E6"/>
    <w:rsid w:val="00D17547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1A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5448"/>
    <w:rsid w:val="00D66264"/>
    <w:rsid w:val="00D662F2"/>
    <w:rsid w:val="00D665F1"/>
    <w:rsid w:val="00D6711E"/>
    <w:rsid w:val="00D67B5F"/>
    <w:rsid w:val="00D67EF6"/>
    <w:rsid w:val="00D7148C"/>
    <w:rsid w:val="00D730D0"/>
    <w:rsid w:val="00D73B08"/>
    <w:rsid w:val="00D74763"/>
    <w:rsid w:val="00D76ADD"/>
    <w:rsid w:val="00D80127"/>
    <w:rsid w:val="00D805D1"/>
    <w:rsid w:val="00D82FD7"/>
    <w:rsid w:val="00D84FA6"/>
    <w:rsid w:val="00D85978"/>
    <w:rsid w:val="00D85ECC"/>
    <w:rsid w:val="00D864C7"/>
    <w:rsid w:val="00D86552"/>
    <w:rsid w:val="00D865CC"/>
    <w:rsid w:val="00D86EB7"/>
    <w:rsid w:val="00D909D1"/>
    <w:rsid w:val="00D92B5E"/>
    <w:rsid w:val="00D92BF7"/>
    <w:rsid w:val="00D93388"/>
    <w:rsid w:val="00D94604"/>
    <w:rsid w:val="00D95457"/>
    <w:rsid w:val="00D9738C"/>
    <w:rsid w:val="00D97A40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6A8"/>
    <w:rsid w:val="00DB7F22"/>
    <w:rsid w:val="00DC0146"/>
    <w:rsid w:val="00DC03EE"/>
    <w:rsid w:val="00DC0BA2"/>
    <w:rsid w:val="00DC1761"/>
    <w:rsid w:val="00DC1BA1"/>
    <w:rsid w:val="00DC36B8"/>
    <w:rsid w:val="00DC53F2"/>
    <w:rsid w:val="00DC61D6"/>
    <w:rsid w:val="00DC6B01"/>
    <w:rsid w:val="00DC751D"/>
    <w:rsid w:val="00DC7797"/>
    <w:rsid w:val="00DD078A"/>
    <w:rsid w:val="00DD1737"/>
    <w:rsid w:val="00DD34E1"/>
    <w:rsid w:val="00DD7667"/>
    <w:rsid w:val="00DD777C"/>
    <w:rsid w:val="00DE0299"/>
    <w:rsid w:val="00DE0D75"/>
    <w:rsid w:val="00DE179D"/>
    <w:rsid w:val="00DE19EB"/>
    <w:rsid w:val="00DE564B"/>
    <w:rsid w:val="00DE5B0F"/>
    <w:rsid w:val="00DF2CB1"/>
    <w:rsid w:val="00DF33CF"/>
    <w:rsid w:val="00DF5AD3"/>
    <w:rsid w:val="00DF5C62"/>
    <w:rsid w:val="00DF69F9"/>
    <w:rsid w:val="00E00330"/>
    <w:rsid w:val="00E018D9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258C"/>
    <w:rsid w:val="00E147D5"/>
    <w:rsid w:val="00E14C0E"/>
    <w:rsid w:val="00E15D66"/>
    <w:rsid w:val="00E16642"/>
    <w:rsid w:val="00E1787C"/>
    <w:rsid w:val="00E213C9"/>
    <w:rsid w:val="00E21F4E"/>
    <w:rsid w:val="00E2249E"/>
    <w:rsid w:val="00E22B76"/>
    <w:rsid w:val="00E234F1"/>
    <w:rsid w:val="00E24762"/>
    <w:rsid w:val="00E25AF8"/>
    <w:rsid w:val="00E261A4"/>
    <w:rsid w:val="00E26C55"/>
    <w:rsid w:val="00E26F6C"/>
    <w:rsid w:val="00E27EC3"/>
    <w:rsid w:val="00E320A0"/>
    <w:rsid w:val="00E326EA"/>
    <w:rsid w:val="00E34308"/>
    <w:rsid w:val="00E34CA3"/>
    <w:rsid w:val="00E37DA6"/>
    <w:rsid w:val="00E37FE3"/>
    <w:rsid w:val="00E43AAA"/>
    <w:rsid w:val="00E44C62"/>
    <w:rsid w:val="00E44E4A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3645"/>
    <w:rsid w:val="00E849DE"/>
    <w:rsid w:val="00E85948"/>
    <w:rsid w:val="00E86536"/>
    <w:rsid w:val="00E86894"/>
    <w:rsid w:val="00E87EE7"/>
    <w:rsid w:val="00E9167E"/>
    <w:rsid w:val="00E922A4"/>
    <w:rsid w:val="00E924F9"/>
    <w:rsid w:val="00E93F3F"/>
    <w:rsid w:val="00E96846"/>
    <w:rsid w:val="00EA05D9"/>
    <w:rsid w:val="00EA0C7F"/>
    <w:rsid w:val="00EA1104"/>
    <w:rsid w:val="00EA18E1"/>
    <w:rsid w:val="00EA3104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AC7"/>
    <w:rsid w:val="00EC221F"/>
    <w:rsid w:val="00EC538D"/>
    <w:rsid w:val="00ED281F"/>
    <w:rsid w:val="00ED50F6"/>
    <w:rsid w:val="00ED613A"/>
    <w:rsid w:val="00ED6CFA"/>
    <w:rsid w:val="00ED6D53"/>
    <w:rsid w:val="00EE1855"/>
    <w:rsid w:val="00EE193B"/>
    <w:rsid w:val="00EE2B68"/>
    <w:rsid w:val="00EE6D70"/>
    <w:rsid w:val="00EF1386"/>
    <w:rsid w:val="00EF2491"/>
    <w:rsid w:val="00EF256B"/>
    <w:rsid w:val="00EF5277"/>
    <w:rsid w:val="00EF52FB"/>
    <w:rsid w:val="00EF5CAD"/>
    <w:rsid w:val="00EF611F"/>
    <w:rsid w:val="00EF71DF"/>
    <w:rsid w:val="00EF7758"/>
    <w:rsid w:val="00F1030E"/>
    <w:rsid w:val="00F10925"/>
    <w:rsid w:val="00F12F6C"/>
    <w:rsid w:val="00F12F7D"/>
    <w:rsid w:val="00F13DAE"/>
    <w:rsid w:val="00F14FA0"/>
    <w:rsid w:val="00F155BC"/>
    <w:rsid w:val="00F157D8"/>
    <w:rsid w:val="00F172C9"/>
    <w:rsid w:val="00F201AD"/>
    <w:rsid w:val="00F21481"/>
    <w:rsid w:val="00F21C1E"/>
    <w:rsid w:val="00F222BB"/>
    <w:rsid w:val="00F2491A"/>
    <w:rsid w:val="00F24C6C"/>
    <w:rsid w:val="00F24EF6"/>
    <w:rsid w:val="00F254E4"/>
    <w:rsid w:val="00F27AE8"/>
    <w:rsid w:val="00F31360"/>
    <w:rsid w:val="00F3198D"/>
    <w:rsid w:val="00F35D19"/>
    <w:rsid w:val="00F37007"/>
    <w:rsid w:val="00F3760A"/>
    <w:rsid w:val="00F41269"/>
    <w:rsid w:val="00F41319"/>
    <w:rsid w:val="00F44B13"/>
    <w:rsid w:val="00F44FAB"/>
    <w:rsid w:val="00F450BA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730"/>
    <w:rsid w:val="00F6086A"/>
    <w:rsid w:val="00F62824"/>
    <w:rsid w:val="00F62D7C"/>
    <w:rsid w:val="00F634C8"/>
    <w:rsid w:val="00F664CE"/>
    <w:rsid w:val="00F67155"/>
    <w:rsid w:val="00F7058F"/>
    <w:rsid w:val="00F70AFD"/>
    <w:rsid w:val="00F70D21"/>
    <w:rsid w:val="00F70FEF"/>
    <w:rsid w:val="00F728BE"/>
    <w:rsid w:val="00F7365E"/>
    <w:rsid w:val="00F74F3A"/>
    <w:rsid w:val="00F75C02"/>
    <w:rsid w:val="00F77ECB"/>
    <w:rsid w:val="00F81E47"/>
    <w:rsid w:val="00F824EF"/>
    <w:rsid w:val="00F85FED"/>
    <w:rsid w:val="00F862AA"/>
    <w:rsid w:val="00F86474"/>
    <w:rsid w:val="00F868B4"/>
    <w:rsid w:val="00F86D0F"/>
    <w:rsid w:val="00F8730A"/>
    <w:rsid w:val="00F90601"/>
    <w:rsid w:val="00F961BB"/>
    <w:rsid w:val="00FA072C"/>
    <w:rsid w:val="00FA2ACE"/>
    <w:rsid w:val="00FB11BE"/>
    <w:rsid w:val="00FB1357"/>
    <w:rsid w:val="00FB13FA"/>
    <w:rsid w:val="00FB1B56"/>
    <w:rsid w:val="00FB2255"/>
    <w:rsid w:val="00FB2424"/>
    <w:rsid w:val="00FB34AA"/>
    <w:rsid w:val="00FB4C6F"/>
    <w:rsid w:val="00FB6181"/>
    <w:rsid w:val="00FC04FC"/>
    <w:rsid w:val="00FC5E76"/>
    <w:rsid w:val="00FC67CF"/>
    <w:rsid w:val="00FC69CF"/>
    <w:rsid w:val="00FC7214"/>
    <w:rsid w:val="00FD0B70"/>
    <w:rsid w:val="00FD11B8"/>
    <w:rsid w:val="00FD1440"/>
    <w:rsid w:val="00FD1489"/>
    <w:rsid w:val="00FD2DA9"/>
    <w:rsid w:val="00FD34A8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4BBB"/>
    <w:rsid w:val="00FE557C"/>
    <w:rsid w:val="00FE7236"/>
    <w:rsid w:val="00FF0AEC"/>
    <w:rsid w:val="00FF1B6F"/>
    <w:rsid w:val="00FF2CA1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4DD65857"/>
  <w15:chartTrackingRefBased/>
  <w15:docId w15:val="{2135A12E-498C-46B1-920E-8ABF18E0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20329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1E5EF0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162BE0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6305</Words>
  <Characters>47119</Characters>
  <Application>Microsoft Office Word</Application>
  <DocSecurity>0</DocSecurity>
  <Lines>392</Lines>
  <Paragraphs>106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53318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HU_OGYI_50.1</cp:lastModifiedBy>
  <cp:revision>2</cp:revision>
  <dcterms:created xsi:type="dcterms:W3CDTF">2026-03-27T11:35:00Z</dcterms:created>
  <dcterms:modified xsi:type="dcterms:W3CDTF">2026-03-27T11:35:00Z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_DocHome">
    <vt:i4>2126299581</vt:i4>
  </property>
</Properties>
</file>