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261" w:rsidRDefault="00087B68">
      <w:pPr>
        <w:pStyle w:val="Cmsor1"/>
      </w:pPr>
      <w:bookmarkStart w:id="0" w:name="_GoBack"/>
      <w:bookmarkEnd w:id="0"/>
      <w:r>
        <w:t>1.</w:t>
      </w:r>
      <w:r>
        <w:tab/>
        <w:t>A GYÓGYSZER NEVE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Roxiper </w:t>
      </w:r>
      <w:r>
        <w:rPr>
          <w:szCs w:val="22"/>
          <w:lang w:val="hu-HU"/>
        </w:rPr>
        <w:t>10 mg/4 mg/1,25 mg</w:t>
      </w:r>
      <w:r>
        <w:rPr>
          <w:szCs w:val="22"/>
          <w:lang w:val="hu-HU" w:eastAsia="en-US"/>
        </w:rPr>
        <w:t xml:space="preserve"> filmtabletta</w:t>
      </w:r>
      <w:r>
        <w:rPr>
          <w:szCs w:val="22"/>
          <w:lang w:val="hu-HU" w:eastAsia="en-US"/>
        </w:rPr>
        <w:cr/>
        <w:t>Roxiper 20 mg/4 mg/1,25 mg filmtabletta</w:t>
      </w:r>
    </w:p>
    <w:p w:rsidR="00A00261" w:rsidRDefault="00087B6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Roxiper 10 mg/8 mg/2,5 mg filmtabletta</w:t>
      </w:r>
    </w:p>
    <w:p w:rsidR="00A00261" w:rsidRDefault="00087B68">
      <w:pPr>
        <w:widowControl w:val="0"/>
        <w:tabs>
          <w:tab w:val="left" w:pos="567"/>
        </w:tabs>
        <w:rPr>
          <w:b/>
          <w:szCs w:val="22"/>
          <w:lang w:val="hu-HU" w:eastAsia="en-US"/>
        </w:rPr>
      </w:pPr>
      <w:r>
        <w:rPr>
          <w:szCs w:val="22"/>
          <w:lang w:val="hu-HU" w:eastAsia="en-US"/>
        </w:rPr>
        <w:t>Roxiper 20 mg/8 mg/2,5 mg filmtabletta</w:t>
      </w:r>
    </w:p>
    <w:p w:rsidR="00A00261" w:rsidRDefault="00A00261">
      <w:pPr>
        <w:widowControl w:val="0"/>
        <w:tabs>
          <w:tab w:val="left" w:pos="567"/>
        </w:tabs>
        <w:rPr>
          <w:bCs/>
          <w:szCs w:val="22"/>
          <w:lang w:val="hu-HU" w:eastAsia="en-US"/>
        </w:rPr>
      </w:pPr>
    </w:p>
    <w:p w:rsidR="00A00261" w:rsidRDefault="00A00261">
      <w:pPr>
        <w:widowControl w:val="0"/>
        <w:tabs>
          <w:tab w:val="left" w:pos="567"/>
        </w:tabs>
        <w:rPr>
          <w:bCs/>
          <w:szCs w:val="22"/>
          <w:lang w:val="hu-HU" w:eastAsia="en-US"/>
        </w:rPr>
      </w:pPr>
    </w:p>
    <w:p w:rsidR="00A00261" w:rsidRDefault="00087B68">
      <w:pPr>
        <w:pStyle w:val="Cmsor1"/>
      </w:pPr>
      <w:r>
        <w:t>2.</w:t>
      </w:r>
      <w:r>
        <w:tab/>
        <w:t>MINŐSÉGI ÉS MENNYISÉGI ÖSSZETÉTEL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u w:val="single"/>
          <w:lang w:val="hu-HU" w:eastAsia="en-US"/>
        </w:rPr>
        <w:t>Roxiper 10 mg/4 mg/1,25 mg filmtabletta</w:t>
      </w:r>
      <w:r>
        <w:rPr>
          <w:szCs w:val="22"/>
          <w:u w:val="single"/>
          <w:lang w:val="hu-HU" w:eastAsia="en-US"/>
        </w:rPr>
        <w:cr/>
      </w:r>
      <w:r>
        <w:rPr>
          <w:szCs w:val="22"/>
          <w:lang w:val="hu-HU"/>
        </w:rPr>
        <w:t>10 mg rozuvasztatint (rozuvasztatin-kalcium formájában), 4 mg perindopril-terc-butil-amint és 1,25 mg indapamidot tartalmaz filmtablettánként</w:t>
      </w:r>
      <w:r>
        <w:rPr>
          <w:szCs w:val="22"/>
          <w:lang w:val="hu-HU" w:eastAsia="en-US"/>
        </w:rPr>
        <w:t>.</w:t>
      </w:r>
    </w:p>
    <w:p w:rsidR="00A00261" w:rsidRDefault="00A00261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Roxiper 20 mg/4 mg/1,25 mg filmtabletta</w:t>
      </w: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/>
        </w:rPr>
        <w:t>20 mg rozuvasztatint (rozuvasztatin-kalcium formájában), 4 mg perindopril-terc-butil-amint és 1,25 mg indapamidot tartalmaz filmtablettánként</w:t>
      </w:r>
      <w:r>
        <w:rPr>
          <w:szCs w:val="22"/>
          <w:lang w:val="hu-HU" w:eastAsia="en-US"/>
        </w:rPr>
        <w:t>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Roxiper 10 mg/8 mg/2,5 mg filmtabletta</w:t>
      </w: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/>
        </w:rPr>
        <w:t>10 mg rozuvasztatint (rozuvasztatin-kalcium formájában), 8 mg perindopril-terc-butil-amint és 2,5 mg indapamidot tartalmaz filmtablettánként</w:t>
      </w:r>
      <w:r>
        <w:rPr>
          <w:szCs w:val="22"/>
          <w:lang w:val="hu-HU" w:eastAsia="en-US"/>
        </w:rPr>
        <w:t>.</w:t>
      </w:r>
    </w:p>
    <w:p w:rsidR="00A00261" w:rsidRDefault="00A00261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b/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Roxiper 20 mg/8 mg/2,5 mg filmtabletta</w:t>
      </w: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/>
        </w:rPr>
        <w:t>20 mg rozuvasztatint (rozuvasztatin-kalcium formájában), 8 mg perindopril-terc-butil-amint és 2,5 mg indapamidot tartalmaz filmtablettánként</w:t>
      </w:r>
      <w:r>
        <w:rPr>
          <w:szCs w:val="22"/>
          <w:lang w:val="hu-HU" w:eastAsia="en-US"/>
        </w:rPr>
        <w:t>.</w:t>
      </w:r>
    </w:p>
    <w:p w:rsidR="00A00261" w:rsidRDefault="00A00261">
      <w:pPr>
        <w:widowControl w:val="0"/>
        <w:autoSpaceDE w:val="0"/>
        <w:autoSpaceDN w:val="0"/>
        <w:adjustRightInd w:val="0"/>
        <w:jc w:val="both"/>
        <w:rPr>
          <w:szCs w:val="22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jc w:val="both"/>
        <w:rPr>
          <w:szCs w:val="22"/>
          <w:lang w:val="hu-HU" w:eastAsia="en-US"/>
        </w:rPr>
      </w:pPr>
      <w:r>
        <w:rPr>
          <w:szCs w:val="22"/>
          <w:lang w:val="hu-HU" w:eastAsia="en-US"/>
        </w:rPr>
        <w:t>A segédanyagok teljes listáját lásd a 6.1 pontban.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pStyle w:val="Cmsor1"/>
      </w:pPr>
      <w:r>
        <w:t>3.</w:t>
      </w:r>
      <w:r>
        <w:tab/>
        <w:t>GYÓGYSZERFORMA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Filmtabletta (tabletta).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/>
        </w:rPr>
      </w:pPr>
    </w:p>
    <w:p w:rsidR="00A00261" w:rsidRDefault="00087B68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Roxiper 10 mg/4 mg/1,25 mg filmtabletta</w:t>
      </w:r>
      <w:r>
        <w:rPr>
          <w:szCs w:val="22"/>
          <w:u w:val="single"/>
          <w:lang w:val="hu-HU" w:eastAsia="en-US"/>
        </w:rPr>
        <w:cr/>
      </w:r>
      <w:r>
        <w:rPr>
          <w:spacing w:val="-2"/>
          <w:szCs w:val="22"/>
          <w:lang w:val="hu-HU" w:eastAsia="en-US"/>
        </w:rPr>
        <w:t>Vörösesbarna, kerek, mindkét oldalán enyhén domború filmtabletta, az egyik oldalán „PIR1”</w:t>
      </w:r>
      <w:r>
        <w:rPr>
          <w:szCs w:val="22"/>
          <w:lang w:val="hu-HU" w:eastAsia="en-US"/>
        </w:rPr>
        <w:t xml:space="preserve"> mélynyomású felirattal ellátva. A filmtabletta átmérője kb. 7,5 mm.</w:t>
      </w:r>
    </w:p>
    <w:p w:rsidR="00A00261" w:rsidRDefault="00A00261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Roxiper 20 mg/4 mg/1,25 mg filmtabletta</w:t>
      </w:r>
    </w:p>
    <w:p w:rsidR="00A00261" w:rsidRDefault="00087B68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  <w:r>
        <w:rPr>
          <w:spacing w:val="-2"/>
          <w:szCs w:val="22"/>
          <w:lang w:val="hu-HU" w:eastAsia="en-US"/>
        </w:rPr>
        <w:t>Halvány rózsaszín, kerek, mindkét oldalán enyhén domború filmtabletta, az egyik oldalán „PIR2”</w:t>
      </w:r>
      <w:r>
        <w:rPr>
          <w:szCs w:val="22"/>
          <w:lang w:val="hu-HU" w:eastAsia="en-US"/>
        </w:rPr>
        <w:t xml:space="preserve"> mélynyomású felirattal ellátva. A filmtabletta átmérője kb. 10 mm.</w:t>
      </w:r>
    </w:p>
    <w:p w:rsidR="00A00261" w:rsidRDefault="00A00261">
      <w:pPr>
        <w:widowControl w:val="0"/>
        <w:tabs>
          <w:tab w:val="left" w:pos="567"/>
        </w:tabs>
        <w:rPr>
          <w:rFonts w:cs="Calibri"/>
          <w:szCs w:val="22"/>
          <w:lang w:val="hu-HU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Roxiper 10 mg/8 mg/2,5 mg filmtabletta</w:t>
      </w:r>
    </w:p>
    <w:p w:rsidR="00A00261" w:rsidRDefault="00087B68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  <w:r>
        <w:rPr>
          <w:rFonts w:cs="Calibri"/>
          <w:szCs w:val="22"/>
          <w:lang w:val="hu-HU"/>
        </w:rPr>
        <w:t>Világos rózsaszín,</w:t>
      </w:r>
      <w:r>
        <w:rPr>
          <w:szCs w:val="22"/>
          <w:lang w:val="hu-HU" w:eastAsia="en-US"/>
        </w:rPr>
        <w:t xml:space="preserve"> kerek, mindkét oldalán enyhén domború filmtabletta, az egyik oldalán „PIR3” mélynyomású felirattal ellátva. A filmtabletta átmérője kb. 10 mm.</w:t>
      </w:r>
    </w:p>
    <w:p w:rsidR="00A00261" w:rsidRDefault="00A00261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b/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Roxiper 20 mg/8 mg/2,5 mg filmtabletta</w:t>
      </w:r>
    </w:p>
    <w:p w:rsidR="00A00261" w:rsidRDefault="00087B68">
      <w:pPr>
        <w:widowControl w:val="0"/>
        <w:tabs>
          <w:tab w:val="left" w:pos="567"/>
        </w:tabs>
        <w:rPr>
          <w:rFonts w:cs="Calibri"/>
          <w:szCs w:val="22"/>
          <w:lang w:val="hu-HU"/>
        </w:rPr>
      </w:pPr>
      <w:r>
        <w:rPr>
          <w:rFonts w:cs="Calibri"/>
          <w:szCs w:val="22"/>
          <w:lang w:val="hu-HU"/>
        </w:rPr>
        <w:t xml:space="preserve">Halvány rózsaszín-barna, </w:t>
      </w:r>
      <w:r>
        <w:rPr>
          <w:szCs w:val="22"/>
          <w:lang w:val="hu-HU" w:eastAsia="en-US"/>
        </w:rPr>
        <w:t>kerek, mindkét oldalán enyhén domború filmtabletta, az egyik oldalán „PIR4” mélynyomású felirattal ellátva. A filmtabletta átmérője kb. 10 mm.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pStyle w:val="Cmsor1"/>
      </w:pPr>
      <w:r>
        <w:t>4.</w:t>
      </w:r>
      <w:r>
        <w:tab/>
        <w:t>KLINIKAI JELLEMZŐK</w:t>
      </w:r>
    </w:p>
    <w:p w:rsidR="00A00261" w:rsidRDefault="00A00261">
      <w:pPr>
        <w:rPr>
          <w:lang w:val="hu-HU"/>
        </w:rPr>
      </w:pPr>
    </w:p>
    <w:p w:rsidR="00A00261" w:rsidRDefault="00087B68">
      <w:pPr>
        <w:pStyle w:val="Cmsor2"/>
      </w:pPr>
      <w:r>
        <w:t>4.1</w:t>
      </w:r>
      <w:r>
        <w:tab/>
        <w:t>Terápiás javallatok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Roxiper szubsztitúciós terápiaként javasolt – a kombinációban alkalmazottakkal azonos dózisban, </w:t>
      </w:r>
      <w:r>
        <w:rPr>
          <w:szCs w:val="22"/>
          <w:lang w:val="hu-HU" w:eastAsia="en-US"/>
        </w:rPr>
        <w:lastRenderedPageBreak/>
        <w:t>egyidejűleg adott rozuvasztatinnal, perindoprillal és indapamiddal már megfelelően beállított felnőtt betegek számára – esszenciális hypertonia és az egyidejűleg fennálló következő állapotok egyikének kezelésére: primaer hypercholesterinaemia (IIa típus, a heterozygota familiaris hypercholesterinaemiát is ideértve), kevert dyslipidaemia (IIb típus) vagy homozygota familiaris hypercholesterinaemia.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</w:p>
    <w:p w:rsidR="00A00261" w:rsidRDefault="00087B68">
      <w:pPr>
        <w:pStyle w:val="Cmsor2"/>
      </w:pPr>
      <w:r>
        <w:t>4.2</w:t>
      </w:r>
      <w:r>
        <w:tab/>
        <w:t>Adagolás és alkalmazás</w:t>
      </w:r>
    </w:p>
    <w:p w:rsidR="00A00261" w:rsidRDefault="00A00261">
      <w:pPr>
        <w:rPr>
          <w:lang w:val="hu-HU"/>
        </w:rPr>
      </w:pPr>
    </w:p>
    <w:p w:rsidR="00A00261" w:rsidRDefault="00087B68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Adagolás</w:t>
      </w:r>
    </w:p>
    <w:p w:rsidR="00A00261" w:rsidRDefault="00A00261">
      <w:pPr>
        <w:widowControl w:val="0"/>
        <w:rPr>
          <w:iCs/>
          <w:szCs w:val="22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A Roxiper ajánlott adagja naponta egy tabletta, lehetőleg reggel, étkezés előtt bevéve.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:rsidR="00A00261" w:rsidRDefault="00087B68">
      <w:pPr>
        <w:tabs>
          <w:tab w:val="left" w:pos="284"/>
        </w:tabs>
        <w:rPr>
          <w:szCs w:val="22"/>
          <w:lang w:val="hu-HU"/>
        </w:rPr>
      </w:pPr>
      <w:r>
        <w:rPr>
          <w:szCs w:val="22"/>
          <w:lang w:val="hu-HU"/>
        </w:rPr>
        <w:t>A fix dózisú kombináció nem alkalmas kezdő terápiaként.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A Roxiper filmtablettára történő átállítás előtt a betegek állapotának az egyes összetevők azonos időben bevett, állandó adagjaival kontrolláltnak kell lennie. A Roxiper adagjának a kombináció egyes összetevőinek az átállításkor alkalmazott dózisain kell alapulnia.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Ha a fix kombináció bármelyik hatóanyagának adagolását bármi okból (pl. újonnan diagnosztizált, kapcsolódó betegség, a beteg állapotának változása, vagy gyógyszerkölcsönhatás miatt) módosítani szükséges, akkor ismét az egyes összetevőket külön-külön kell alkalmazni az adagolás meghatározására.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:rsidR="00A00261" w:rsidRDefault="00087B68">
      <w:pPr>
        <w:widowControl w:val="0"/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Idősek</w:t>
      </w:r>
    </w:p>
    <w:p w:rsidR="00A00261" w:rsidRDefault="00087B68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Időseknél a plazma kreatininszintet a kor, a testtömeg és a nem függvényében korrigálni kell. Idősek a veseműködés és a vérnyomásválasz figyelembevételével kezelhetők.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:rsidR="00A00261" w:rsidRDefault="00087B68">
      <w:pPr>
        <w:widowControl w:val="0"/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Vesekárosodás</w:t>
      </w:r>
    </w:p>
    <w:p w:rsidR="00A00261" w:rsidRDefault="00087B68">
      <w:pPr>
        <w:pStyle w:val="Default"/>
        <w:widowControl w:val="0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 súlyos vesekárosodásban (kreatinin-clearance &lt; 30  ml/perc) szenvedő betegek kezelése ellenjavallt. A Roxiper 10 mg/8 mg/2,5 mg és a 20 mg/8 mg/2,5 mg hatáserősségű készítmények alkalmazása közepesen súlyos vesekárosodás esetén (kreatinin-clearance 30-60  ml/perc) ellenjavallt. A Roxiper nem megfelelő &lt; 60 ml/perc kreatinin-clearance-ű betegek számára. Ezeknél a betegeknél egyénre szabott dózistitrálás ajánlott az egyes összetevők monokomponens készítményeivel (lásd 4.4 pont).</w:t>
      </w:r>
    </w:p>
    <w:p w:rsidR="00A00261" w:rsidRDefault="00087B68">
      <w:pPr>
        <w:pStyle w:val="Default"/>
        <w:widowControl w:val="0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 szokásos orvosi utánkövetés magába foglalja a kreatinin- és káliumszintek gyakori ellenőrzését.</w:t>
      </w:r>
    </w:p>
    <w:p w:rsidR="00A00261" w:rsidRDefault="00A00261">
      <w:pPr>
        <w:pStyle w:val="Default"/>
        <w:widowControl w:val="0"/>
        <w:rPr>
          <w:color w:val="auto"/>
          <w:sz w:val="22"/>
          <w:szCs w:val="22"/>
          <w:lang w:val="hu-HU"/>
        </w:rPr>
      </w:pPr>
    </w:p>
    <w:p w:rsidR="00A00261" w:rsidRDefault="00087B68">
      <w:pPr>
        <w:widowControl w:val="0"/>
        <w:rPr>
          <w:iCs/>
          <w:szCs w:val="22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Májkárosodás</w:t>
      </w: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Súlyos májkárosodásban a kezelés ellenjavallt. A Roxiper filmtabletta ellenjavallott aktív májbetegségben szenvedő betegek számára (lásd 4.3 pont).</w:t>
      </w: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Közepesen súlyos májkárosodásban nincs szükség dózismódosításra.</w:t>
      </w: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szisztémás rozuvasztatin-expozíció </w:t>
      </w:r>
      <w:r>
        <w:rPr>
          <w:rFonts w:ascii="Symbol" w:hAnsi="Symbol"/>
          <w:szCs w:val="22"/>
          <w:lang w:val="hu-HU" w:eastAsia="en-US"/>
        </w:rPr>
        <w:t></w:t>
      </w:r>
      <w:r>
        <w:rPr>
          <w:szCs w:val="22"/>
          <w:lang w:val="hu-HU" w:eastAsia="en-US"/>
        </w:rPr>
        <w:t> 7 Child–Pugh-érték esetében nem nőtt, azonban 8 vagy 9 Child–Pugh-érték mellett megnövekedett szisztémás expozíciót figyeltek meg (lásd 5.2 pont). Ezeknél a betegeknél megfontolandó a veseműködés értékelése (lásd 4.4 pont). Kilencnél nagyobb Child–Pugh-értékeknél nincs tapasztalat.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Etnikai különbségek</w:t>
      </w: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Megnövekedett szisztémás expozíciót észleltek ázsiai személyeknél (lásd 4.3, 4.4 és 5.2 pont).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Genetikai polimorfizmusok</w:t>
      </w: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A genetikai polimorfizmusok bizonyos típusairól ismert, hogy megnövekedett rozuvasztatin-expozícióhoz vezethetnek (lásd 5.2 pont). Az ismerten ilyen típusú polimorfizmussal rendelkező betegeknél alacsonyabb rozuvasztatin napi dózis ajánlott.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Egyidejű terápia</w:t>
      </w:r>
    </w:p>
    <w:p w:rsidR="00A00261" w:rsidRDefault="00087B68">
      <w:pPr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rozuvasztatin különböző transzportfehérjék (pl. OATP1B1 és BCRP) szubsztrátja. A myopathia (a rhabdomyolysist is ideértve) kockázata fokozott, amikor a rozuvasztatint egyidejűleg alkalmazzák </w:t>
      </w:r>
      <w:r>
        <w:rPr>
          <w:spacing w:val="-2"/>
          <w:szCs w:val="22"/>
          <w:lang w:val="hu-HU" w:eastAsia="en-US"/>
        </w:rPr>
        <w:t>bizonyos olyan gyógyszerekkel, amelyek ezekkel a transzportfehérjékkel kölcsönhatásba lépve növelhetik</w:t>
      </w:r>
      <w:r>
        <w:rPr>
          <w:szCs w:val="22"/>
          <w:lang w:val="hu-HU" w:eastAsia="en-US"/>
        </w:rPr>
        <w:t xml:space="preserve"> a rozuvasztatin plazmakoncentrációját (pl. ciklosporin és bizonyos proteáz-gátlók, </w:t>
      </w:r>
      <w:r>
        <w:rPr>
          <w:spacing w:val="-2"/>
          <w:szCs w:val="22"/>
          <w:lang w:val="hu-HU" w:eastAsia="en-US"/>
        </w:rPr>
        <w:t>ideértve a ritonavir kombinációját atazanavirrel, lopinavirrel és/vagy tipranavirrel; lásd 4.4 és 4.5 pont).</w:t>
      </w:r>
      <w:r>
        <w:rPr>
          <w:szCs w:val="22"/>
          <w:lang w:val="hu-HU" w:eastAsia="en-US"/>
        </w:rPr>
        <w:t xml:space="preserve"> Amikor </w:t>
      </w:r>
      <w:r>
        <w:rPr>
          <w:szCs w:val="22"/>
          <w:lang w:val="hu-HU" w:eastAsia="en-US"/>
        </w:rPr>
        <w:lastRenderedPageBreak/>
        <w:t xml:space="preserve">csak lehetséges, más gyógyszerek adását kell mérlegelni, és ha szükséges, megfontolandó a rozuvasztatin-kezelés átmeneti felfüggesztése. Azokban a helyzetekben, amelyekben elkerülhetetlen ezeknek a </w:t>
      </w:r>
      <w:r>
        <w:rPr>
          <w:spacing w:val="-2"/>
          <w:szCs w:val="22"/>
          <w:lang w:val="hu-HU" w:eastAsia="en-US"/>
        </w:rPr>
        <w:t>gyógyszereknek az együttes alkalmazása a rozuvasztatinnal, körültekintően mérlegelni kell az egyidejű</w:t>
      </w:r>
      <w:r>
        <w:rPr>
          <w:szCs w:val="22"/>
          <w:lang w:val="hu-HU" w:eastAsia="en-US"/>
        </w:rPr>
        <w:t xml:space="preserve"> kezelés és a rozuvasztatin adagolás módosításának előnyét és kockázatát (lásd 4.5 pont).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Gyermekek és serdülők</w:t>
      </w: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A Roxiper filmtabletta nem alkalmazható gyermekeknél és serdülőknél, mivel a Roxiper filmtabletta hatásosságát és tolerálhatóságát gyermekek és serdülők esetében nem igazolták.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Az alkalmazás módja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Szájon át történő alkalmazásra.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pStyle w:val="Cmsor2"/>
      </w:pPr>
      <w:r>
        <w:t>4.3</w:t>
      </w:r>
      <w:r>
        <w:tab/>
        <w:t>Ellenjavallatok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A rozuvasztatinhoz kapcsolódóan:</w:t>
      </w:r>
    </w:p>
    <w:p w:rsidR="00A00261" w:rsidRDefault="00087B68">
      <w:pPr>
        <w:widowControl w:val="0"/>
        <w:numPr>
          <w:ilvl w:val="0"/>
          <w:numId w:val="9"/>
        </w:numPr>
        <w:autoSpaceDE w:val="0"/>
        <w:autoSpaceDN w:val="0"/>
        <w:adjustRightInd w:val="0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rozuvasztatinnal szembeni túlérzékenység;</w:t>
      </w:r>
    </w:p>
    <w:p w:rsidR="00A00261" w:rsidRDefault="00087B68">
      <w:pPr>
        <w:widowControl w:val="0"/>
        <w:numPr>
          <w:ilvl w:val="0"/>
          <w:numId w:val="9"/>
        </w:numPr>
        <w:autoSpaceDE w:val="0"/>
        <w:autoSpaceDN w:val="0"/>
        <w:adjustRightInd w:val="0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aktív májbetegség, többek között a szérum transzaminázok szintjeinek ismeretlen eredetű és hosszan tartó emelkedése, ill. bármilyen, a normál tartomány felső határának háromszorosát meghaladó szérum transzamináz-szint emelkedés;</w:t>
      </w:r>
    </w:p>
    <w:p w:rsidR="00A00261" w:rsidRDefault="00087B68">
      <w:pPr>
        <w:widowControl w:val="0"/>
        <w:numPr>
          <w:ilvl w:val="0"/>
          <w:numId w:val="9"/>
        </w:numPr>
        <w:autoSpaceDE w:val="0"/>
        <w:autoSpaceDN w:val="0"/>
        <w:adjustRightInd w:val="0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myopathia;</w:t>
      </w:r>
    </w:p>
    <w:p w:rsidR="00A00261" w:rsidRDefault="00087B68">
      <w:pPr>
        <w:widowControl w:val="0"/>
        <w:numPr>
          <w:ilvl w:val="0"/>
          <w:numId w:val="9"/>
        </w:numPr>
        <w:autoSpaceDE w:val="0"/>
        <w:autoSpaceDN w:val="0"/>
        <w:adjustRightInd w:val="0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szofoszbuvir/velpataszvir/voxilaprevir egyidejű kombinációja (lásd 4.5 pont);</w:t>
      </w:r>
    </w:p>
    <w:p w:rsidR="00A00261" w:rsidRDefault="00087B68">
      <w:pPr>
        <w:widowControl w:val="0"/>
        <w:numPr>
          <w:ilvl w:val="0"/>
          <w:numId w:val="9"/>
        </w:numPr>
        <w:autoSpaceDE w:val="0"/>
        <w:autoSpaceDN w:val="0"/>
        <w:adjustRightInd w:val="0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ciklosporin egyidejű alkalmazása;</w:t>
      </w:r>
    </w:p>
    <w:p w:rsidR="00A00261" w:rsidRDefault="00087B68">
      <w:pPr>
        <w:widowControl w:val="0"/>
        <w:numPr>
          <w:ilvl w:val="0"/>
          <w:numId w:val="9"/>
        </w:numPr>
        <w:autoSpaceDE w:val="0"/>
        <w:autoSpaceDN w:val="0"/>
        <w:adjustRightInd w:val="0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terhesség és szoptatás, továbbá fogamzóképes nőknél, ha megfelelő fogamzásgátló módszert nem alkalmaznak.</w:t>
      </w:r>
    </w:p>
    <w:p w:rsidR="00A00261" w:rsidRDefault="00A00261">
      <w:pPr>
        <w:widowControl w:val="0"/>
        <w:autoSpaceDE w:val="0"/>
        <w:autoSpaceDN w:val="0"/>
        <w:adjustRightInd w:val="0"/>
        <w:ind w:left="567"/>
        <w:rPr>
          <w:szCs w:val="22"/>
          <w:lang w:val="hu-HU"/>
        </w:rPr>
      </w:pPr>
    </w:p>
    <w:p w:rsidR="00A00261" w:rsidRDefault="00087B68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A perindoprilhez kapcsolódóan:</w:t>
      </w:r>
    </w:p>
    <w:p w:rsidR="00A00261" w:rsidRDefault="00087B68">
      <w:pPr>
        <w:widowControl w:val="0"/>
        <w:numPr>
          <w:ilvl w:val="0"/>
          <w:numId w:val="8"/>
        </w:numPr>
        <w:autoSpaceDE w:val="0"/>
        <w:autoSpaceDN w:val="0"/>
        <w:rPr>
          <w:szCs w:val="22"/>
          <w:lang w:val="hu-HU"/>
        </w:rPr>
      </w:pPr>
      <w:r>
        <w:rPr>
          <w:szCs w:val="22"/>
          <w:lang w:val="hu-HU"/>
        </w:rPr>
        <w:t>perindoprillal vagy bármely más ACE-gátlóval szembeni túlérzékenység;</w:t>
      </w:r>
    </w:p>
    <w:p w:rsidR="00A00261" w:rsidRDefault="00087B68">
      <w:pPr>
        <w:widowControl w:val="0"/>
        <w:numPr>
          <w:ilvl w:val="0"/>
          <w:numId w:val="8"/>
        </w:numPr>
        <w:autoSpaceDE w:val="0"/>
        <w:autoSpaceDN w:val="0"/>
        <w:rPr>
          <w:szCs w:val="22"/>
          <w:lang w:val="hu-HU"/>
        </w:rPr>
      </w:pPr>
      <w:r>
        <w:rPr>
          <w:szCs w:val="22"/>
          <w:lang w:val="hu-HU"/>
        </w:rPr>
        <w:t>korábbi ACE-gátló-kezeléssel összefüggő angiooedema (Quincke-oedema) a kórtörténetben (lásd 4.4 pont);</w:t>
      </w:r>
    </w:p>
    <w:p w:rsidR="00A00261" w:rsidRDefault="00087B68">
      <w:pPr>
        <w:widowControl w:val="0"/>
        <w:numPr>
          <w:ilvl w:val="0"/>
          <w:numId w:val="8"/>
        </w:numPr>
        <w:autoSpaceDE w:val="0"/>
        <w:autoSpaceDN w:val="0"/>
        <w:rPr>
          <w:szCs w:val="22"/>
          <w:lang w:val="hu-HU"/>
        </w:rPr>
      </w:pPr>
      <w:r>
        <w:rPr>
          <w:szCs w:val="22"/>
          <w:lang w:val="hu-HU"/>
        </w:rPr>
        <w:t>hereditaer vagy idiopathiás angioedema;</w:t>
      </w:r>
    </w:p>
    <w:p w:rsidR="00A00261" w:rsidRDefault="00087B68">
      <w:pPr>
        <w:widowControl w:val="0"/>
        <w:numPr>
          <w:ilvl w:val="0"/>
          <w:numId w:val="8"/>
        </w:numPr>
        <w:autoSpaceDE w:val="0"/>
        <w:autoSpaceDN w:val="0"/>
        <w:rPr>
          <w:szCs w:val="22"/>
          <w:lang w:val="hu-HU"/>
        </w:rPr>
      </w:pPr>
      <w:r>
        <w:rPr>
          <w:szCs w:val="22"/>
          <w:lang w:val="hu-HU"/>
        </w:rPr>
        <w:t>terhesség második és harmadik trimesztere (lásd 4.4 és 4.6 pont);</w:t>
      </w:r>
    </w:p>
    <w:p w:rsidR="00A00261" w:rsidRDefault="00087B68">
      <w:pPr>
        <w:widowControl w:val="0"/>
        <w:numPr>
          <w:ilvl w:val="0"/>
          <w:numId w:val="8"/>
        </w:numPr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a Roxiper egyidejű alkalmazása aliszkiréntartalmú készítményekkel ellenjavallt diabetes mellitusban szenvedő vagy károsodott veseműködésű (GFR &lt; 60 ml/perc/1,73 m²) betegeknél (lásd 4.5 és 5.1 pont);</w:t>
      </w:r>
    </w:p>
    <w:p w:rsidR="00A00261" w:rsidRDefault="00087B68">
      <w:pPr>
        <w:widowControl w:val="0"/>
        <w:numPr>
          <w:ilvl w:val="0"/>
          <w:numId w:val="8"/>
        </w:numPr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szakubitril/valzartán egyidejű alkalmazása. A Roxiper-kezelést legkorábban 36 órával a szakubitril/valzartán utolsó adagját követően szabad elkezdeni (lásd még 4.4. és 4.5 pont);</w:t>
      </w:r>
    </w:p>
    <w:p w:rsidR="00A00261" w:rsidRDefault="00087B68">
      <w:pPr>
        <w:pStyle w:val="Norml11"/>
        <w:numPr>
          <w:ilvl w:val="0"/>
          <w:numId w:val="8"/>
        </w:numPr>
        <w:autoSpaceDE w:val="0"/>
      </w:pPr>
      <w:r>
        <w:t>Extrakorporális kezelések esetén, ha a vér negatív töltésű membránokkal érintkezik (lásd 4.5 pont);</w:t>
      </w:r>
    </w:p>
    <w:p w:rsidR="00A00261" w:rsidRDefault="00087B68">
      <w:pPr>
        <w:widowControl w:val="0"/>
        <w:numPr>
          <w:ilvl w:val="0"/>
          <w:numId w:val="8"/>
        </w:numPr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bCs/>
          <w:iCs/>
          <w:lang w:val="hu-HU"/>
        </w:rPr>
        <w:t>Kétoldali veseartéria-stenosis vagy a szoliter vese artériájának szűkülete esetén</w:t>
      </w:r>
      <w:r>
        <w:rPr>
          <w:lang w:val="hu-HU"/>
        </w:rPr>
        <w:t xml:space="preserve"> (lásd 4.4 pont).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Az indapamidhoz kapcsolódóan:</w:t>
      </w:r>
    </w:p>
    <w:p w:rsidR="00A00261" w:rsidRDefault="00087B68">
      <w:pPr>
        <w:widowControl w:val="0"/>
        <w:numPr>
          <w:ilvl w:val="0"/>
          <w:numId w:val="6"/>
        </w:numPr>
        <w:rPr>
          <w:szCs w:val="22"/>
          <w:lang w:val="hu-HU" w:eastAsia="en-US"/>
        </w:rPr>
      </w:pPr>
      <w:r>
        <w:rPr>
          <w:szCs w:val="22"/>
          <w:lang w:val="hu-HU" w:eastAsia="en-US"/>
        </w:rPr>
        <w:t>indapamiddal vagy bármilyen más szulfonamiddal szembeni túlérzékenység;</w:t>
      </w:r>
    </w:p>
    <w:p w:rsidR="00A00261" w:rsidRDefault="00087B68">
      <w:pPr>
        <w:widowControl w:val="0"/>
        <w:numPr>
          <w:ilvl w:val="0"/>
          <w:numId w:val="6"/>
        </w:numPr>
        <w:rPr>
          <w:szCs w:val="22"/>
          <w:lang w:val="hu-HU" w:eastAsia="en-US"/>
        </w:rPr>
      </w:pPr>
      <w:r>
        <w:rPr>
          <w:szCs w:val="22"/>
          <w:lang w:val="hu-HU" w:eastAsia="en-US"/>
        </w:rPr>
        <w:t>hepaticus encephalopathia;</w:t>
      </w:r>
    </w:p>
    <w:p w:rsidR="00A00261" w:rsidRDefault="00087B68">
      <w:pPr>
        <w:widowControl w:val="0"/>
        <w:numPr>
          <w:ilvl w:val="0"/>
          <w:numId w:val="6"/>
        </w:numPr>
        <w:rPr>
          <w:szCs w:val="22"/>
          <w:lang w:val="hu-HU" w:eastAsia="en-US"/>
        </w:rPr>
      </w:pPr>
      <w:r>
        <w:rPr>
          <w:szCs w:val="22"/>
          <w:lang w:val="hu-HU" w:eastAsia="en-US"/>
        </w:rPr>
        <w:t>súlyos májkárosodás;</w:t>
      </w:r>
    </w:p>
    <w:p w:rsidR="00A00261" w:rsidRDefault="00087B68">
      <w:pPr>
        <w:widowControl w:val="0"/>
        <w:numPr>
          <w:ilvl w:val="0"/>
          <w:numId w:val="6"/>
        </w:numPr>
        <w:rPr>
          <w:szCs w:val="22"/>
          <w:lang w:val="hu-HU" w:eastAsia="en-US"/>
        </w:rPr>
      </w:pPr>
      <w:r>
        <w:rPr>
          <w:szCs w:val="22"/>
          <w:lang w:val="hu-HU" w:eastAsia="en-US"/>
        </w:rPr>
        <w:t>hypokalaemia;</w:t>
      </w:r>
    </w:p>
    <w:p w:rsidR="00A00261" w:rsidRDefault="00A00261">
      <w:pPr>
        <w:widowControl w:val="0"/>
        <w:rPr>
          <w:b/>
          <w:szCs w:val="22"/>
          <w:u w:val="single"/>
          <w:lang w:val="hu-HU" w:eastAsia="en-US"/>
        </w:rPr>
      </w:pPr>
    </w:p>
    <w:p w:rsidR="00A00261" w:rsidRDefault="00087B68">
      <w:pPr>
        <w:widowControl w:val="0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A Roxiper filmtablettához kapcsolódóan</w:t>
      </w:r>
      <w:r>
        <w:rPr>
          <w:iCs/>
          <w:szCs w:val="22"/>
          <w:u w:val="single"/>
          <w:lang w:val="hu-HU" w:eastAsia="en-US"/>
        </w:rPr>
        <w:t>:</w:t>
      </w: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Minden, az egyes összetevőkkel kapcsolatban az előbbiekben felsorolt ellenjavallat a Roxiper filmtablettára is érvényes.</w:t>
      </w:r>
    </w:p>
    <w:p w:rsidR="00A00261" w:rsidRDefault="00087B68">
      <w:pPr>
        <w:widowControl w:val="0"/>
        <w:numPr>
          <w:ilvl w:val="0"/>
          <w:numId w:val="7"/>
        </w:numPr>
        <w:rPr>
          <w:szCs w:val="22"/>
          <w:lang w:val="hu-HU" w:eastAsia="en-US"/>
        </w:rPr>
      </w:pPr>
      <w:r>
        <w:rPr>
          <w:szCs w:val="22"/>
          <w:lang w:val="hu-HU" w:eastAsia="en-US"/>
        </w:rPr>
        <w:t>a 6.1 pontban felsorolt bármely segédanyaggal szembeni túlérzékenység;</w:t>
      </w:r>
    </w:p>
    <w:p w:rsidR="00A00261" w:rsidRDefault="00087B68">
      <w:pPr>
        <w:widowControl w:val="0"/>
        <w:numPr>
          <w:ilvl w:val="0"/>
          <w:numId w:val="7"/>
        </w:numPr>
        <w:rPr>
          <w:szCs w:val="22"/>
          <w:lang w:val="hu-HU" w:eastAsia="en-US"/>
        </w:rPr>
      </w:pPr>
      <w:r>
        <w:rPr>
          <w:szCs w:val="22"/>
          <w:lang w:val="hu-HU"/>
        </w:rPr>
        <w:t>súlyos vesekárosodás (kreatinin-clearance &lt; 30 ml/perc);</w:t>
      </w:r>
    </w:p>
    <w:p w:rsidR="00A00261" w:rsidRDefault="00087B68">
      <w:pPr>
        <w:widowControl w:val="0"/>
        <w:numPr>
          <w:ilvl w:val="0"/>
          <w:numId w:val="7"/>
        </w:numPr>
        <w:rPr>
          <w:szCs w:val="22"/>
          <w:lang w:val="hu-HU" w:eastAsia="en-US"/>
        </w:rPr>
      </w:pPr>
      <w:r>
        <w:rPr>
          <w:szCs w:val="22"/>
          <w:lang w:val="hu-HU"/>
        </w:rPr>
        <w:t>közepesen súlyos vesekárosodás esetén (kreatinin-clearance 30</w:t>
      </w:r>
      <w:r>
        <w:rPr>
          <w:lang w:val="hu-HU"/>
        </w:rPr>
        <w:t> </w:t>
      </w:r>
      <w:r>
        <w:rPr>
          <w:szCs w:val="22"/>
          <w:lang w:val="hu-HU"/>
        </w:rPr>
        <w:t>-60</w:t>
      </w:r>
      <w:r>
        <w:rPr>
          <w:lang w:val="hu-HU"/>
        </w:rPr>
        <w:t> </w:t>
      </w:r>
      <w:r>
        <w:rPr>
          <w:szCs w:val="22"/>
          <w:lang w:val="hu-HU"/>
        </w:rPr>
        <w:t>ml/perc), a Roxiper 10</w:t>
      </w:r>
      <w:r>
        <w:rPr>
          <w:lang w:val="hu-HU"/>
        </w:rPr>
        <w:t> </w:t>
      </w:r>
      <w:r>
        <w:rPr>
          <w:szCs w:val="22"/>
          <w:lang w:val="hu-HU"/>
        </w:rPr>
        <w:t>mg/8</w:t>
      </w:r>
      <w:r>
        <w:rPr>
          <w:lang w:val="hu-HU"/>
        </w:rPr>
        <w:t> </w:t>
      </w:r>
      <w:r>
        <w:rPr>
          <w:szCs w:val="22"/>
          <w:lang w:val="hu-HU"/>
        </w:rPr>
        <w:t>mg/2,5</w:t>
      </w:r>
      <w:r>
        <w:rPr>
          <w:lang w:val="hu-HU"/>
        </w:rPr>
        <w:t> </w:t>
      </w:r>
      <w:r>
        <w:rPr>
          <w:szCs w:val="22"/>
          <w:lang w:val="hu-HU"/>
        </w:rPr>
        <w:t>mg és a 20</w:t>
      </w:r>
      <w:r>
        <w:rPr>
          <w:lang w:val="hu-HU"/>
        </w:rPr>
        <w:t> </w:t>
      </w:r>
      <w:r>
        <w:rPr>
          <w:szCs w:val="22"/>
          <w:lang w:val="hu-HU"/>
        </w:rPr>
        <w:t>mg/8</w:t>
      </w:r>
      <w:r>
        <w:rPr>
          <w:lang w:val="hu-HU"/>
        </w:rPr>
        <w:t> </w:t>
      </w:r>
      <w:r>
        <w:rPr>
          <w:szCs w:val="22"/>
          <w:lang w:val="hu-HU"/>
        </w:rPr>
        <w:t>mg/2,5</w:t>
      </w:r>
      <w:r>
        <w:rPr>
          <w:lang w:val="hu-HU"/>
        </w:rPr>
        <w:t> </w:t>
      </w:r>
      <w:r>
        <w:rPr>
          <w:szCs w:val="22"/>
          <w:lang w:val="hu-HU"/>
        </w:rPr>
        <w:t>mg hatáserősségű filmtabletták.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Elegendő terápiás tapasztalat hiányában a Roxiper filmtabletta nem adható:</w:t>
      </w:r>
    </w:p>
    <w:p w:rsidR="00A00261" w:rsidRDefault="00087B68">
      <w:pPr>
        <w:widowControl w:val="0"/>
        <w:numPr>
          <w:ilvl w:val="0"/>
          <w:numId w:val="7"/>
        </w:numPr>
        <w:rPr>
          <w:szCs w:val="22"/>
          <w:lang w:val="hu-HU" w:eastAsia="en-US"/>
        </w:rPr>
      </w:pPr>
      <w:r>
        <w:rPr>
          <w:szCs w:val="22"/>
          <w:lang w:val="hu-HU" w:eastAsia="en-US"/>
        </w:rPr>
        <w:t>dializált betegeknek,</w:t>
      </w:r>
    </w:p>
    <w:p w:rsidR="00A00261" w:rsidRDefault="00087B68">
      <w:pPr>
        <w:widowControl w:val="0"/>
        <w:numPr>
          <w:ilvl w:val="0"/>
          <w:numId w:val="7"/>
        </w:numPr>
        <w:rPr>
          <w:szCs w:val="22"/>
          <w:lang w:val="hu-HU" w:eastAsia="en-US"/>
        </w:rPr>
      </w:pPr>
      <w:r>
        <w:rPr>
          <w:szCs w:val="22"/>
          <w:lang w:val="hu-HU" w:eastAsia="en-US"/>
        </w:rPr>
        <w:t>kezeletlen, dekompenzált szívelégtelenségben szenvedő betegeknek.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pStyle w:val="Cmsor2"/>
        <w:keepNext/>
      </w:pPr>
      <w:r>
        <w:t>4.4</w:t>
      </w:r>
      <w:r>
        <w:tab/>
        <w:t>Különleges figyelmeztetések és az alkalmazással kapcsolatos óvintézkedések</w:t>
      </w:r>
    </w:p>
    <w:p w:rsidR="00A00261" w:rsidRDefault="00A00261">
      <w:pPr>
        <w:keepNext/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keepNext/>
        <w:widowControl w:val="0"/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Lítium</w:t>
      </w:r>
    </w:p>
    <w:p w:rsidR="00A00261" w:rsidRDefault="00087B68">
      <w:pPr>
        <w:widowControl w:val="0"/>
        <w:tabs>
          <w:tab w:val="left" w:pos="284"/>
          <w:tab w:val="left" w:pos="709"/>
          <w:tab w:val="left" w:pos="993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 lítium együttes alkalmazása perindopril és indapamid kombinációjával általában nem ajánlott (lásd 4.5 pont).</w:t>
      </w:r>
    </w:p>
    <w:p w:rsidR="00A00261" w:rsidRDefault="00A00261">
      <w:pPr>
        <w:widowControl w:val="0"/>
        <w:autoSpaceDE w:val="0"/>
        <w:autoSpaceDN w:val="0"/>
        <w:adjustRightInd w:val="0"/>
        <w:rPr>
          <w:b/>
          <w:szCs w:val="22"/>
          <w:u w:val="single"/>
          <w:lang w:val="hu-HU" w:eastAsia="en-US"/>
        </w:rPr>
      </w:pPr>
    </w:p>
    <w:p w:rsidR="00A00261" w:rsidRDefault="00087B68">
      <w:pPr>
        <w:widowControl w:val="0"/>
        <w:tabs>
          <w:tab w:val="left" w:pos="0"/>
          <w:tab w:val="left" w:pos="284"/>
          <w:tab w:val="left" w:pos="709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Neutropenia/agranulocytosis/thrombocytopenia/anaemia</w:t>
      </w:r>
    </w:p>
    <w:p w:rsidR="00A00261" w:rsidRDefault="00087B68">
      <w:pPr>
        <w:rPr>
          <w:szCs w:val="22"/>
          <w:lang w:val="hu-HU" w:eastAsia="en-GB"/>
        </w:rPr>
      </w:pPr>
      <w:r>
        <w:rPr>
          <w:szCs w:val="22"/>
          <w:lang w:val="hu-HU" w:eastAsia="en-GB"/>
        </w:rPr>
        <w:t xml:space="preserve">ACE-gátlókat szedő betegeknél beszámoltak neutropeniáról/agranulocytosisról, thrombocytopeniáról </w:t>
      </w:r>
      <w:r>
        <w:rPr>
          <w:spacing w:val="-2"/>
          <w:szCs w:val="22"/>
          <w:lang w:val="hu-HU" w:eastAsia="en-GB"/>
        </w:rPr>
        <w:t>és anaemiáról. Normális vesefunkciójú betegeknél, akiknél nem áll fenn más komplikáló tényező, ritkán</w:t>
      </w:r>
      <w:r>
        <w:rPr>
          <w:szCs w:val="22"/>
          <w:lang w:val="hu-HU" w:eastAsia="en-GB"/>
        </w:rPr>
        <w:t xml:space="preserve"> fordul elő neutropenia. A perindoprilt rendkívül körültekintően kell alkalmazni kollagén-érbetegségben szenvedő, immunszuppresszív terápiában részesülő, allopurinollal vagy prokainamiddal kezelt betegeknél, vagy ezen komplikáló tényezők egyidejű fennállása esetén – különösen, ha a veseműködésük már előzőleg is károsodott volt. Ezen betegek közül néhánynál súlyos fertőzések léptek fel, melyek néhány esetben nem reagáltak az intenzív antibiotikus kezelésre. Ha a perindoprilt ilyen betegeknél alkalmazzák, akkor tanácsos rendszeresen ellenőrizni a fehérvérsejtszámot és a betegeket figyelmeztetni kell, hogy számoljanak be minden fertőzéses jelről (pl.: torokfájás, láz) (lásd 4.5 és 4.8 pont).</w:t>
      </w:r>
    </w:p>
    <w:p w:rsidR="00A00261" w:rsidRDefault="00A00261">
      <w:pPr>
        <w:rPr>
          <w:szCs w:val="22"/>
          <w:lang w:val="hu-HU" w:eastAsia="en-GB"/>
        </w:rPr>
      </w:pPr>
    </w:p>
    <w:p w:rsidR="00A00261" w:rsidRDefault="00087B68">
      <w:pPr>
        <w:overflowPunct w:val="0"/>
        <w:textAlignment w:val="baseline"/>
        <w:rPr>
          <w:bCs/>
          <w:iCs/>
          <w:szCs w:val="22"/>
          <w:u w:val="single"/>
          <w:lang w:val="hu-HU"/>
        </w:rPr>
      </w:pPr>
      <w:r>
        <w:rPr>
          <w:bCs/>
          <w:iCs/>
          <w:szCs w:val="22"/>
          <w:u w:val="single"/>
          <w:lang w:val="hu-HU"/>
        </w:rPr>
        <w:t>Renovascularis hypertonia</w:t>
      </w:r>
    </w:p>
    <w:p w:rsidR="00A00261" w:rsidRDefault="00087B68">
      <w:pPr>
        <w:tabs>
          <w:tab w:val="left" w:pos="567"/>
        </w:tabs>
        <w:overflowPunct w:val="0"/>
        <w:textAlignment w:val="baseline"/>
        <w:rPr>
          <w:bCs/>
          <w:iCs/>
          <w:szCs w:val="22"/>
          <w:lang w:val="hu-HU"/>
        </w:rPr>
      </w:pPr>
      <w:r>
        <w:rPr>
          <w:bCs/>
          <w:iCs/>
          <w:szCs w:val="22"/>
          <w:lang w:val="hu-HU"/>
        </w:rPr>
        <w:t>Kétoldali veseartéria-stenosis vagy a szoliter vese artériájának szűkülete esetén az ACE-gátló-kezelés fokozza a hypotensio és veseelégtelenség kialakulásának a kockázatát (lásd 4.3 pont). Az egyidejű diuretikum-kezelés ilyenkor súlyosbító tényező lehet. A vesefunkció csökkenése előfordulhat a szérum kreatininszintjének kismértékű változása mellett, egyoldali veseartéria-stenosisban szenvedő beteg esetében is.</w:t>
      </w:r>
    </w:p>
    <w:p w:rsidR="00A00261" w:rsidRDefault="00A00261">
      <w:pPr>
        <w:rPr>
          <w:szCs w:val="22"/>
          <w:lang w:val="hu-HU" w:eastAsia="en-GB"/>
        </w:rPr>
      </w:pPr>
    </w:p>
    <w:p w:rsidR="00A00261" w:rsidRDefault="00087B68">
      <w:pPr>
        <w:rPr>
          <w:szCs w:val="22"/>
          <w:u w:val="single"/>
          <w:lang w:val="hu-HU" w:eastAsia="en-GB"/>
        </w:rPr>
      </w:pPr>
      <w:r>
        <w:rPr>
          <w:szCs w:val="22"/>
          <w:u w:val="single"/>
          <w:lang w:val="hu-HU" w:eastAsia="en-GB"/>
        </w:rPr>
        <w:t>Túlérzékenység/angiooedema</w:t>
      </w:r>
    </w:p>
    <w:p w:rsidR="00A00261" w:rsidRDefault="00087B68">
      <w:pPr>
        <w:autoSpaceDE w:val="0"/>
        <w:autoSpaceDN w:val="0"/>
        <w:adjustRightInd w:val="0"/>
        <w:rPr>
          <w:bCs/>
          <w:szCs w:val="22"/>
          <w:lang w:val="hu-HU"/>
        </w:rPr>
      </w:pPr>
      <w:r>
        <w:rPr>
          <w:bCs/>
          <w:szCs w:val="22"/>
          <w:lang w:val="hu-HU"/>
        </w:rPr>
        <w:t>Angiotenzin-konvertáló enzimgátlókat, köztük perindoprilt szedő betegeknél ritkán beszámoltak az arc, a végtagok, az ajkak, a nyelv, a hangrés és/vagy a gége angiooedemájáról (lásd 4.8 pont). Ez a kezelés során bármikor előfordulhat. Ilyen esetekben a perindopril adását azonnal le kell állítani és megfelelő monitorozással gondoskodni arról, hogy megbizonyosodhassunk a tünetek teljes megszűnéséről, mielőtt a beteget elbocsátanánk. Azokban az esetekben, amikor a duzzanat csak az arcra és az ajkakra korlátozódik, az állapot általában kezelés nélkül rendeződik, azonban az antihisztaminok hasznosak a tünetek enyhítésére.</w:t>
      </w:r>
    </w:p>
    <w:p w:rsidR="00A00261" w:rsidRDefault="00A00261">
      <w:pPr>
        <w:autoSpaceDE w:val="0"/>
        <w:autoSpaceDN w:val="0"/>
        <w:adjustRightInd w:val="0"/>
        <w:rPr>
          <w:bCs/>
          <w:szCs w:val="22"/>
          <w:lang w:val="hu-HU"/>
        </w:rPr>
      </w:pPr>
    </w:p>
    <w:p w:rsidR="00A00261" w:rsidRDefault="00087B68">
      <w:pPr>
        <w:rPr>
          <w:bCs/>
          <w:spacing w:val="-2"/>
          <w:szCs w:val="22"/>
          <w:lang w:val="hu-HU"/>
        </w:rPr>
      </w:pPr>
      <w:r>
        <w:rPr>
          <w:bCs/>
          <w:szCs w:val="22"/>
          <w:lang w:val="hu-HU"/>
        </w:rPr>
        <w:t>A gégeödémával járó angiooedema végzetes lehet. A nyelv, a hangrés vagy a gége valószínűleg légúti obstrukciót okozó érintettsége esetén azonnal megfelelő kezelést kell alkalmazni, többek között 0,3</w:t>
      </w:r>
      <w:r>
        <w:rPr>
          <w:bCs/>
          <w:szCs w:val="22"/>
          <w:lang w:val="hu-HU"/>
        </w:rPr>
        <w:noBreakHyphen/>
      </w:r>
      <w:r>
        <w:rPr>
          <w:bCs/>
          <w:spacing w:val="-2"/>
          <w:szCs w:val="22"/>
          <w:lang w:val="hu-HU"/>
        </w:rPr>
        <w:t>0,5  ml 1:1000 töménységű adrenalin oldatot adni szubkután és/vagy biztosítani a légutak átjárhatóságát.</w:t>
      </w:r>
    </w:p>
    <w:p w:rsidR="00A00261" w:rsidRDefault="00A00261">
      <w:pPr>
        <w:rPr>
          <w:bCs/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 w:eastAsia="en-GB"/>
        </w:rPr>
      </w:pPr>
      <w:r>
        <w:rPr>
          <w:szCs w:val="22"/>
          <w:lang w:val="hu-HU" w:eastAsia="en-GB"/>
        </w:rPr>
        <w:t>Beszámolók szerint, az ACE-gátlókat szedő feketebőrű betegek körében gyakoribb az angiooedema, mint nem-feketebőrűeknél.</w:t>
      </w:r>
    </w:p>
    <w:p w:rsidR="00A00261" w:rsidRDefault="00A00261">
      <w:pPr>
        <w:widowControl w:val="0"/>
        <w:rPr>
          <w:szCs w:val="22"/>
          <w:lang w:val="hu-HU" w:eastAsia="en-GB"/>
        </w:rPr>
      </w:pPr>
    </w:p>
    <w:p w:rsidR="00A00261" w:rsidRDefault="00087B68">
      <w:pPr>
        <w:widowControl w:val="0"/>
        <w:rPr>
          <w:szCs w:val="22"/>
          <w:lang w:val="hu-HU" w:eastAsia="en-GB"/>
        </w:rPr>
      </w:pPr>
      <w:r>
        <w:rPr>
          <w:szCs w:val="22"/>
          <w:lang w:val="hu-HU" w:eastAsia="en-GB"/>
        </w:rPr>
        <w:t>A kórtörténetben szereplő, ACE-gátló-kezeléssel nem összefüggő angiooedema esetén a betegnél fokozott lehet az angiooedema kockázata ACE-gátló szedése során (lásd 4.3 pont).</w:t>
      </w:r>
    </w:p>
    <w:p w:rsidR="00A00261" w:rsidRDefault="00A00261">
      <w:pPr>
        <w:widowControl w:val="0"/>
        <w:rPr>
          <w:szCs w:val="22"/>
          <w:lang w:val="hu-HU" w:eastAsia="en-GB"/>
        </w:rPr>
      </w:pPr>
    </w:p>
    <w:p w:rsidR="00A00261" w:rsidRDefault="00087B68">
      <w:pPr>
        <w:rPr>
          <w:lang w:val="hu-HU"/>
        </w:rPr>
      </w:pPr>
      <w:r>
        <w:rPr>
          <w:lang w:val="hu-HU"/>
        </w:rPr>
        <w:t>ACE-gátlókkal kezelt betegeknél ritkán beszámoltak intestinalis angiooedemáról. Ezek a betegek (hányingerrel, hányással járó vagy ezek nélkül fellépő) hasi fájdalommal jelentkeztek, néhány esetben előzőleg nem alakult ki arcödéma és C1-észterázok szintjei is normálisak voltak. Az angiooedemát többek között hasi CT- vagy ultrahang-vizsgálattal, vagy műtét során diagnosztizálták, és a tünetek az ACE-gátló-kezelés leállítása után megszűntek. Az ACE-gátlókat szedő, hasi fájdalmat jelző betegek esetében a differenciál diagnosztika során intestinalis angiooedema lehetőségére is gondolni kell.</w:t>
      </w:r>
    </w:p>
    <w:p w:rsidR="00A00261" w:rsidRDefault="00A00261">
      <w:pPr>
        <w:widowControl w:val="0"/>
        <w:tabs>
          <w:tab w:val="left" w:pos="936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936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Az ACE-gátlók szakubitril/valzartán-nal történő egyidejű alkalmazása ellenjavallt az angiooedema kialakulásának fokozott kockázata miatt. A szakubitril/valzartán-kezelést legkorábban 36 órával a perindopril utolsó adagját követően szabad elkezdeni. A perindopril-kezelést legkorábban 36 órával a szakubitril/valzartán utolsó adagját követően szabad elkezdeni (lásd 4.3. és 4.5 pont).</w:t>
      </w:r>
    </w:p>
    <w:p w:rsidR="00A00261" w:rsidRDefault="00A00261">
      <w:pPr>
        <w:widowControl w:val="0"/>
        <w:tabs>
          <w:tab w:val="left" w:pos="936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lang w:val="hu-HU"/>
        </w:rPr>
      </w:pPr>
      <w:r>
        <w:rPr>
          <w:lang w:val="hu-HU"/>
        </w:rPr>
        <w:t>Az ACE-gátlók NEP-gátlókkal (pl. racekadotril), mTOR-gátlókkal (pl. szirolimusz, everolimusz, temszirolimusz) és gliptinekkel (pl.linagliptin, szaxagliptin, szitagliptin, vildagliptin) történő egyidejű alkalmazása az angiooedema kialakulásának fokozott kockázatához vezethet (pl. a légutak vagy a nyelv duzzanata légzéskárosodással vagy anélkül) (lásd 4.5 pont). A racekadotril-, mTOR-gátló- (pl. szirolimusz, everolimusz, temszirolimusz) és gliptin- (pl. linagliptin, szaxagliptin, szitagliptin, vildagliptin) kezelés megkezdésekor elővigyázatosság szükséges azoknál a betegeknél, akik már ACE</w:t>
      </w:r>
      <w:r>
        <w:rPr>
          <w:lang w:val="hu-HU"/>
        </w:rPr>
        <w:noBreakHyphen/>
        <w:t>gátló-kezelésben részesülnek.</w:t>
      </w:r>
    </w:p>
    <w:p w:rsidR="00A00261" w:rsidRDefault="00A00261">
      <w:pPr>
        <w:widowControl w:val="0"/>
        <w:autoSpaceDE w:val="0"/>
        <w:autoSpaceDN w:val="0"/>
        <w:adjustRightInd w:val="0"/>
        <w:rPr>
          <w:bCs/>
          <w:szCs w:val="22"/>
          <w:lang w:val="hu-HU"/>
        </w:rPr>
      </w:pPr>
    </w:p>
    <w:p w:rsidR="00A00261" w:rsidRDefault="00087B68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Deszenzibilizáló kezelés során előforduló anaphylactoid reakciók</w:t>
      </w:r>
    </w:p>
    <w:p w:rsidR="00A00261" w:rsidRDefault="00087B68">
      <w:pPr>
        <w:pStyle w:val="Szvegtrzsbehzssal"/>
        <w:tabs>
          <w:tab w:val="left" w:pos="0"/>
        </w:tabs>
        <w:spacing w:after="0"/>
        <w:ind w:left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Szórványosan beszámoltak olyan betegekről, akiknél ACE-gátló szedése mellett a hártyásszárnyúak </w:t>
      </w:r>
      <w:r>
        <w:rPr>
          <w:spacing w:val="-2"/>
          <w:sz w:val="22"/>
          <w:szCs w:val="22"/>
          <w:lang w:val="hu-HU"/>
        </w:rPr>
        <w:t>(méh, darázs) mérgével végzett deszenzibilizáló kezelés során tartós, életveszélyes anaphylactoid reakció</w:t>
      </w:r>
      <w:r>
        <w:rPr>
          <w:sz w:val="22"/>
          <w:szCs w:val="22"/>
          <w:lang w:val="hu-HU"/>
        </w:rPr>
        <w:t xml:space="preserve"> </w:t>
      </w:r>
      <w:r>
        <w:rPr>
          <w:spacing w:val="-2"/>
          <w:sz w:val="22"/>
          <w:szCs w:val="22"/>
          <w:lang w:val="hu-HU"/>
        </w:rPr>
        <w:t>alakult ki. Deszenzibilizáló kezelésben részesülő, allergiás betegeknél az ACE-gátlókat körültekintően</w:t>
      </w:r>
      <w:r>
        <w:rPr>
          <w:sz w:val="22"/>
          <w:szCs w:val="22"/>
          <w:lang w:val="hu-HU"/>
        </w:rPr>
        <w:t xml:space="preserve"> kell alkalmazni, illetve alkalmazásuk kerülendő méreg-immunterápiában részesülő betegeknél. </w:t>
      </w:r>
      <w:r>
        <w:rPr>
          <w:spacing w:val="-2"/>
          <w:sz w:val="22"/>
          <w:szCs w:val="22"/>
          <w:lang w:val="hu-HU"/>
        </w:rPr>
        <w:t>Mindazonáltal, ezek a reakciók megelőzhetők, ha az ACE-gátló szedését legalább 24 órával a kezelés</w:t>
      </w:r>
      <w:r>
        <w:rPr>
          <w:sz w:val="22"/>
          <w:szCs w:val="22"/>
          <w:lang w:val="hu-HU"/>
        </w:rPr>
        <w:t xml:space="preserve"> előtt ideiglenesen leállítják azoknál a betegeknél, akik számára szükséges mind az ACE-gátló-, mind a deszenzibilizáló kezelés.</w:t>
      </w:r>
    </w:p>
    <w:p w:rsidR="00A00261" w:rsidRDefault="00A00261">
      <w:pPr>
        <w:pStyle w:val="Szvegtrzsbehzssal"/>
        <w:tabs>
          <w:tab w:val="left" w:pos="0"/>
        </w:tabs>
        <w:spacing w:after="0"/>
        <w:ind w:left="0"/>
        <w:rPr>
          <w:sz w:val="22"/>
          <w:szCs w:val="22"/>
          <w:lang w:val="hu-HU"/>
        </w:rPr>
      </w:pPr>
    </w:p>
    <w:p w:rsidR="00A00261" w:rsidRDefault="00087B68">
      <w:pPr>
        <w:pStyle w:val="Szvegtrzsbehzssal"/>
        <w:tabs>
          <w:tab w:val="left" w:pos="0"/>
        </w:tabs>
        <w:spacing w:after="0"/>
        <w:ind w:left="0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Anaphylactoid reakciók LDL aferezis során</w:t>
      </w:r>
    </w:p>
    <w:p w:rsidR="00A00261" w:rsidRDefault="00087B68">
      <w:pPr>
        <w:rPr>
          <w:szCs w:val="22"/>
          <w:lang w:val="hu-HU" w:eastAsia="en-GB"/>
        </w:rPr>
      </w:pPr>
      <w:r>
        <w:rPr>
          <w:szCs w:val="22"/>
          <w:lang w:val="hu-HU" w:eastAsia="en-GB"/>
        </w:rPr>
        <w:t>ACE-gátlókat szedő betegek, dextrán-szulfáttal végzett, alacsony sűrűségű lipoprotein (LDL)-</w:t>
      </w:r>
      <w:r>
        <w:rPr>
          <w:spacing w:val="-2"/>
          <w:szCs w:val="22"/>
          <w:lang w:val="hu-HU" w:eastAsia="en-GB"/>
        </w:rPr>
        <w:t>aferezis során ritkán, életveszélyes anaphylactoid reakciókat tapasztaltak. Ezek a reakciók elkerülhetők</w:t>
      </w:r>
      <w:r>
        <w:rPr>
          <w:szCs w:val="22"/>
          <w:lang w:val="hu-HU" w:eastAsia="en-GB"/>
        </w:rPr>
        <w:t xml:space="preserve"> voltak, ha a minden egyes aferezis előtt átmenetileg felfüggesztették az ACE-gátló-kezelést.</w:t>
      </w:r>
    </w:p>
    <w:p w:rsidR="00A00261" w:rsidRDefault="00A00261">
      <w:pPr>
        <w:rPr>
          <w:szCs w:val="22"/>
          <w:lang w:val="hu-HU" w:eastAsia="en-GB"/>
        </w:rPr>
      </w:pPr>
    </w:p>
    <w:p w:rsidR="00A00261" w:rsidRDefault="00087B68">
      <w:pPr>
        <w:rPr>
          <w:szCs w:val="22"/>
          <w:u w:val="single"/>
          <w:lang w:val="hu-HU" w:eastAsia="en-GB"/>
        </w:rPr>
      </w:pPr>
      <w:r>
        <w:rPr>
          <w:szCs w:val="22"/>
          <w:u w:val="single"/>
          <w:lang w:val="hu-HU" w:eastAsia="en-GB"/>
        </w:rPr>
        <w:t>Hemodializált betegek</w:t>
      </w:r>
    </w:p>
    <w:p w:rsidR="00A00261" w:rsidRDefault="00087B68">
      <w:pPr>
        <w:autoSpaceDE w:val="0"/>
        <w:autoSpaceDN w:val="0"/>
        <w:adjustRightInd w:val="0"/>
        <w:rPr>
          <w:szCs w:val="22"/>
          <w:lang w:val="hu-HU" w:eastAsia="en-GB"/>
        </w:rPr>
      </w:pPr>
      <w:r>
        <w:rPr>
          <w:spacing w:val="-2"/>
          <w:szCs w:val="22"/>
          <w:lang w:val="hu-HU" w:eastAsia="en-GB"/>
        </w:rPr>
        <w:t>Anaphylactoid reakciókról számoltak high-flux membránokkal (pl. AN 69) dializált, egyidejűleg ACE</w:t>
      </w:r>
      <w:r>
        <w:rPr>
          <w:spacing w:val="-2"/>
          <w:szCs w:val="22"/>
          <w:lang w:val="hu-HU" w:eastAsia="en-GB"/>
        </w:rPr>
        <w:noBreakHyphen/>
      </w:r>
      <w:r>
        <w:rPr>
          <w:szCs w:val="22"/>
          <w:lang w:val="hu-HU" w:eastAsia="en-GB"/>
        </w:rPr>
        <w:t>gátló-kezelésben is részesülő betegeknél. Ezeknél a betegeknél mérlegelni kell más típusú dializáló membrán vagy különböző osztályba tartozó vérnyomáscsökkentő szer alkalmazását.</w:t>
      </w:r>
    </w:p>
    <w:p w:rsidR="00A00261" w:rsidRDefault="00A00261">
      <w:pPr>
        <w:autoSpaceDE w:val="0"/>
        <w:autoSpaceDN w:val="0"/>
        <w:adjustRightInd w:val="0"/>
        <w:rPr>
          <w:szCs w:val="22"/>
          <w:lang w:val="hu-HU" w:eastAsia="en-GB"/>
        </w:rPr>
      </w:pPr>
    </w:p>
    <w:p w:rsidR="00A00261" w:rsidRDefault="00087B68">
      <w:pPr>
        <w:tabs>
          <w:tab w:val="left" w:pos="567"/>
        </w:tabs>
        <w:overflowPunct w:val="0"/>
        <w:textAlignment w:val="baseline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Primaer hyperaldosteronismus</w:t>
      </w:r>
    </w:p>
    <w:p w:rsidR="00A00261" w:rsidRDefault="00087B68">
      <w:pPr>
        <w:tabs>
          <w:tab w:val="left" w:pos="567"/>
        </w:tabs>
        <w:overflowPunct w:val="0"/>
        <w:textAlignment w:val="baseline"/>
        <w:rPr>
          <w:szCs w:val="22"/>
          <w:lang w:val="hu-HU"/>
        </w:rPr>
      </w:pPr>
      <w:r>
        <w:rPr>
          <w:szCs w:val="22"/>
          <w:lang w:val="hu-HU"/>
        </w:rPr>
        <w:t>Primaer hyperaldosteronismusban szenvedő betegek általában nem reagálnak a renin</w:t>
      </w:r>
      <w:r>
        <w:rPr>
          <w:szCs w:val="22"/>
          <w:lang w:val="hu-HU"/>
        </w:rPr>
        <w:noBreakHyphen/>
        <w:t>angiotenzin</w:t>
      </w:r>
      <w:r>
        <w:rPr>
          <w:szCs w:val="22"/>
          <w:lang w:val="hu-HU"/>
        </w:rPr>
        <w:noBreakHyphen/>
        <w:t>rendszer gátlásán keresztül ható vérnyomáscsökkentő gyógyszerekre. Ezért a gyógyszer alkalmazása nem javasolt.</w:t>
      </w:r>
    </w:p>
    <w:p w:rsidR="00A00261" w:rsidRDefault="00A00261">
      <w:pPr>
        <w:autoSpaceDE w:val="0"/>
        <w:autoSpaceDN w:val="0"/>
        <w:adjustRightInd w:val="0"/>
        <w:rPr>
          <w:szCs w:val="22"/>
          <w:lang w:val="hu-HU" w:eastAsia="en-GB"/>
        </w:rPr>
      </w:pPr>
    </w:p>
    <w:p w:rsidR="00A00261" w:rsidRDefault="00087B68">
      <w:pPr>
        <w:autoSpaceDE w:val="0"/>
        <w:autoSpaceDN w:val="0"/>
        <w:adjustRightInd w:val="0"/>
        <w:rPr>
          <w:szCs w:val="22"/>
          <w:u w:val="single"/>
          <w:lang w:val="hu-HU" w:eastAsia="en-GB"/>
        </w:rPr>
      </w:pPr>
      <w:r>
        <w:rPr>
          <w:szCs w:val="22"/>
          <w:u w:val="single"/>
          <w:lang w:val="hu-HU" w:eastAsia="en-GB"/>
        </w:rPr>
        <w:t>Hypokalaemia</w:t>
      </w:r>
    </w:p>
    <w:p w:rsidR="00A00261" w:rsidRDefault="00087B68">
      <w:pPr>
        <w:autoSpaceDE w:val="0"/>
        <w:autoSpaceDN w:val="0"/>
        <w:adjustRightInd w:val="0"/>
        <w:rPr>
          <w:szCs w:val="22"/>
          <w:lang w:val="hu-HU" w:eastAsia="en-GB"/>
        </w:rPr>
      </w:pPr>
      <w:r>
        <w:rPr>
          <w:szCs w:val="22"/>
          <w:lang w:val="hu-HU" w:eastAsia="en-GB"/>
        </w:rPr>
        <w:t xml:space="preserve">A tiazid és tiazid-szerű diuretikumok jelentős kockázata a hypokalaemiával járó káliumvesztés. </w:t>
      </w:r>
    </w:p>
    <w:p w:rsidR="00A00261" w:rsidRDefault="00087B68">
      <w:pPr>
        <w:autoSpaceDE w:val="0"/>
        <w:autoSpaceDN w:val="0"/>
        <w:adjustRightInd w:val="0"/>
        <w:rPr>
          <w:szCs w:val="22"/>
          <w:lang w:val="hu-HU" w:eastAsia="en-GB"/>
        </w:rPr>
      </w:pPr>
      <w:r>
        <w:rPr>
          <w:szCs w:val="22"/>
          <w:lang w:val="hu-HU" w:eastAsia="en-GB"/>
        </w:rPr>
        <w:t xml:space="preserve">A hypokalaemia izomproblémákat okozhat. Rhabdomyolysis esetekről számoltak be, főként súlyos hypokalaemiával összefüggésben. Az </w:t>
      </w:r>
      <w:r>
        <w:rPr>
          <w:spacing w:val="-2"/>
          <w:szCs w:val="22"/>
          <w:lang w:val="hu-HU" w:eastAsia="en-GB"/>
        </w:rPr>
        <w:t>alacsony káliumszint (&lt; 3,4 mmol/l) kialakulását meg kell előzni egyes, nagy kockázatú populációkban</w:t>
      </w:r>
      <w:r>
        <w:rPr>
          <w:szCs w:val="22"/>
          <w:lang w:val="hu-HU" w:eastAsia="en-GB"/>
        </w:rPr>
        <w:t xml:space="preserve"> pl. idős és/vagy nem megfelelő tápláltságú egyéneknél (függetlenül attól, hogy szednek-e többféle </w:t>
      </w:r>
      <w:r>
        <w:rPr>
          <w:spacing w:val="-4"/>
          <w:szCs w:val="22"/>
          <w:lang w:val="hu-HU" w:eastAsia="en-GB"/>
        </w:rPr>
        <w:t>gyógyszert vagy sem), ödéma- és ascites-képződéssel járó cirrhosisos betegeknél, koszorúérbetegeknél,</w:t>
      </w:r>
      <w:r>
        <w:rPr>
          <w:szCs w:val="22"/>
          <w:lang w:val="hu-HU" w:eastAsia="en-GB"/>
        </w:rPr>
        <w:t xml:space="preserve"> és szívelégtelenségben szenvedő betegeknél. Ilyen esetekben a hypokalaemia fokozza a szívglikozidok kardiotoxicitását és a szívritmuszavarok kockázatát.</w:t>
      </w:r>
    </w:p>
    <w:p w:rsidR="00A00261" w:rsidRDefault="00A00261">
      <w:pPr>
        <w:autoSpaceDE w:val="0"/>
        <w:autoSpaceDN w:val="0"/>
        <w:adjustRightInd w:val="0"/>
        <w:rPr>
          <w:szCs w:val="22"/>
          <w:lang w:val="hu-HU" w:eastAsia="en-GB"/>
        </w:rPr>
      </w:pPr>
    </w:p>
    <w:p w:rsidR="00A00261" w:rsidRDefault="00087B68">
      <w:pPr>
        <w:autoSpaceDE w:val="0"/>
        <w:autoSpaceDN w:val="0"/>
        <w:adjustRightInd w:val="0"/>
        <w:rPr>
          <w:szCs w:val="22"/>
          <w:lang w:val="hu-HU" w:eastAsia="en-GB"/>
        </w:rPr>
      </w:pPr>
      <w:r>
        <w:rPr>
          <w:szCs w:val="22"/>
          <w:lang w:val="hu-HU" w:eastAsia="en-GB"/>
        </w:rPr>
        <w:t>A perindopril és az indapamid együttes alkalmazása – különösen cukorbetegeknél vagy veseelégtelenségben szenvedőknél – nem előzi meg a hypokalaemia kialakulását. Mint bármilyen vérnyomáscsökkentő és diuretikum kombinálása esetében, a kálium plazmaszintjét rendszeresen monitorozni kell.</w:t>
      </w:r>
    </w:p>
    <w:p w:rsidR="00A00261" w:rsidRDefault="00A00261">
      <w:pPr>
        <w:pStyle w:val="Szvegtrzsbehzssal"/>
        <w:tabs>
          <w:tab w:val="left" w:pos="0"/>
        </w:tabs>
        <w:spacing w:after="0"/>
        <w:ind w:left="0"/>
        <w:rPr>
          <w:sz w:val="22"/>
          <w:szCs w:val="22"/>
          <w:lang w:val="hu-HU"/>
        </w:rPr>
      </w:pPr>
    </w:p>
    <w:p w:rsidR="00A00261" w:rsidRDefault="00087B68">
      <w:pPr>
        <w:pStyle w:val="Szvegtrzsbehzssal"/>
        <w:tabs>
          <w:tab w:val="left" w:pos="0"/>
        </w:tabs>
        <w:spacing w:after="0"/>
        <w:ind w:left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alacsony szérum magnéziumkoncentrációval összefüggő hypokalaemia kezelésre rezisztens lehet, ha a szérum magnéziumszintet nem korrigálják.</w:t>
      </w:r>
    </w:p>
    <w:p w:rsidR="00A00261" w:rsidRDefault="00A00261">
      <w:pPr>
        <w:pStyle w:val="Szvegtrzsbehzssal"/>
        <w:tabs>
          <w:tab w:val="left" w:pos="0"/>
        </w:tabs>
        <w:spacing w:after="0"/>
        <w:ind w:left="0"/>
        <w:rPr>
          <w:sz w:val="22"/>
          <w:szCs w:val="22"/>
          <w:lang w:val="hu-HU"/>
        </w:rPr>
      </w:pPr>
    </w:p>
    <w:p w:rsidR="00A00261" w:rsidRDefault="00087B68">
      <w:pPr>
        <w:rPr>
          <w:bCs/>
          <w:u w:val="single"/>
          <w:lang w:val="hu-HU"/>
        </w:rPr>
      </w:pPr>
      <w:r>
        <w:rPr>
          <w:bCs/>
          <w:u w:val="single"/>
          <w:lang w:val="hu-HU"/>
        </w:rPr>
        <w:t xml:space="preserve">Káliummegtakarító </w:t>
      </w:r>
      <w:r>
        <w:rPr>
          <w:u w:val="single"/>
          <w:lang w:val="hu-HU"/>
        </w:rPr>
        <w:t>gyógyszerek, káliumpótlók vagy káliumtartalmú sópótlók</w:t>
      </w:r>
    </w:p>
    <w:p w:rsidR="00A00261" w:rsidRDefault="00087B68">
      <w:pPr>
        <w:rPr>
          <w:lang w:val="hu-HU" w:eastAsia="en-US"/>
        </w:rPr>
      </w:pPr>
      <w:r>
        <w:rPr>
          <w:lang w:val="hu-HU" w:eastAsia="en-US"/>
        </w:rPr>
        <w:t>A perindopril és káliummegtakarító gyógyszerek, káliumpótlók vagy káliumtartalmú sópótlók együttes adása általában nem javasolt. (lásd 4.5 pont).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keepNext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lastRenderedPageBreak/>
        <w:t>Hyperkalaemia</w:t>
      </w:r>
    </w:p>
    <w:p w:rsidR="00A00261" w:rsidRDefault="00087B68">
      <w:pPr>
        <w:rPr>
          <w:bCs/>
          <w:iCs/>
          <w:szCs w:val="22"/>
          <w:lang w:val="hu-HU"/>
        </w:rPr>
      </w:pPr>
      <w:r>
        <w:rPr>
          <w:spacing w:val="-2"/>
          <w:szCs w:val="22"/>
          <w:lang w:val="hu-HU" w:eastAsia="en-US"/>
        </w:rPr>
        <w:t>Az ACE-gátlók hyperkalaemiát okozhatnak, mivel gátolják az aldoszteron felszabadulását. Ez a hatás az ép vesefunkciójú betegeknél általában nem jelentős. A hyperkalaemia kialakulásának kockázati tényezői: veseelégtelenség, a veseműködés romlása</w:t>
      </w:r>
      <w:r>
        <w:rPr>
          <w:spacing w:val="-2"/>
          <w:szCs w:val="22"/>
          <w:lang w:val="hu-HU"/>
        </w:rPr>
        <w:t>,</w:t>
      </w:r>
      <w:r>
        <w:rPr>
          <w:bCs/>
          <w:iCs/>
          <w:szCs w:val="22"/>
          <w:lang w:val="hu-HU"/>
        </w:rPr>
        <w:t xml:space="preserve"> idős kor (70 év felett), diabetes mellitus, interkurrens szövődmények – főként dehidráció, acut cardialis decompensatio, metabolikus acidózis és a káliummegtakarító diuretikumok (pl. spironolakton, eplerenon, triamteren vagy amilorid) egyidejű alkalmazása, káliumpótlók vagy káliumtartalmú sópótlók, továbbá olyan gyógyszerek szedése, amelyek alkalmazása a szérum káliumszint </w:t>
      </w:r>
      <w:r>
        <w:rPr>
          <w:bCs/>
          <w:iCs/>
          <w:spacing w:val="-4"/>
          <w:szCs w:val="22"/>
          <w:lang w:val="hu-HU"/>
        </w:rPr>
        <w:t>emelkedésével jár (pl. heparin, trimetoprim vagy ko</w:t>
      </w:r>
      <w:r>
        <w:rPr>
          <w:bCs/>
          <w:iCs/>
          <w:spacing w:val="-4"/>
          <w:szCs w:val="22"/>
          <w:lang w:val="hu-HU"/>
        </w:rPr>
        <w:noBreakHyphen/>
        <w:t xml:space="preserve">trimoxazol, más néven trimetoprim/szulfametoxazol alkalmazásakor, továbbá különösen aldoszteron-antagonisták vagy angiotenzinreceptor-blokkolók, illetve </w:t>
      </w:r>
      <w:r>
        <w:rPr>
          <w:szCs w:val="22"/>
          <w:lang w:val="hu-HU"/>
        </w:rPr>
        <w:t>3 g/nap vagy annál nagyobb dózisú acetilszalicilsav, COX</w:t>
      </w:r>
      <w:r>
        <w:rPr>
          <w:szCs w:val="22"/>
          <w:lang w:val="hu-HU"/>
        </w:rPr>
        <w:noBreakHyphen/>
        <w:t>2</w:t>
      </w:r>
      <w:r>
        <w:rPr>
          <w:szCs w:val="22"/>
          <w:lang w:val="hu-HU"/>
        </w:rPr>
        <w:noBreakHyphen/>
        <w:t>gátlók és nem</w:t>
      </w:r>
      <w:r>
        <w:rPr>
          <w:szCs w:val="22"/>
          <w:lang w:val="hu-HU"/>
        </w:rPr>
        <w:noBreakHyphen/>
        <w:t xml:space="preserve">szelektív NSAID-ok, immunszuppresszív szerek, mint pl. a ciklosporin vagy takrolimusz </w:t>
      </w:r>
      <w:r>
        <w:rPr>
          <w:bCs/>
          <w:iCs/>
          <w:spacing w:val="-4"/>
          <w:szCs w:val="22"/>
          <w:lang w:val="hu-HU"/>
        </w:rPr>
        <w:t>egyidejű alkalmazása esetén). A káliumpótlók,</w:t>
      </w:r>
      <w:r>
        <w:rPr>
          <w:bCs/>
          <w:iCs/>
          <w:spacing w:val="-2"/>
          <w:szCs w:val="22"/>
          <w:lang w:val="hu-HU"/>
        </w:rPr>
        <w:t xml:space="preserve"> a </w:t>
      </w:r>
      <w:r>
        <w:rPr>
          <w:bCs/>
          <w:iCs/>
          <w:spacing w:val="-4"/>
          <w:szCs w:val="22"/>
          <w:lang w:val="hu-HU"/>
        </w:rPr>
        <w:t>káliummegtakarító diuretikumok vagy a káliumtartalmú sópótlók alkalmazása – mindenekelőtt a károsodott</w:t>
      </w:r>
      <w:r>
        <w:rPr>
          <w:bCs/>
          <w:iCs/>
          <w:spacing w:val="-2"/>
          <w:szCs w:val="22"/>
          <w:lang w:val="hu-HU"/>
        </w:rPr>
        <w:t xml:space="preserve"> veseműködésű</w:t>
      </w:r>
      <w:r>
        <w:rPr>
          <w:bCs/>
          <w:iCs/>
          <w:szCs w:val="22"/>
          <w:lang w:val="hu-HU"/>
        </w:rPr>
        <w:t xml:space="preserve"> betegeknél – a szérum káliumszint jelentős emelkedéséhez vezethet. A hyperkalaemia súlyos, olykor </w:t>
      </w:r>
      <w:r>
        <w:rPr>
          <w:bCs/>
          <w:iCs/>
          <w:spacing w:val="-2"/>
          <w:szCs w:val="22"/>
          <w:lang w:val="hu-HU"/>
        </w:rPr>
        <w:t>végzetes szívritmuszavarokat okozhat. Ha a fent említett szerek együttes alkalmazását szükségesnek</w:t>
      </w:r>
      <w:r>
        <w:rPr>
          <w:szCs w:val="22"/>
          <w:lang w:val="hu-HU"/>
        </w:rPr>
        <w:t xml:space="preserve"> ítélik, akkor azokat körültekintően, a szérum káliumszint gyakori ellenőrzésével kell alkalmazni.</w:t>
      </w:r>
      <w:r>
        <w:rPr>
          <w:bCs/>
          <w:iCs/>
          <w:szCs w:val="22"/>
          <w:lang w:val="hu-HU"/>
        </w:rPr>
        <w:t xml:space="preserve"> </w:t>
      </w:r>
      <w:r>
        <w:rPr>
          <w:bCs/>
          <w:iCs/>
          <w:spacing w:val="-2"/>
          <w:szCs w:val="22"/>
          <w:lang w:val="hu-HU"/>
        </w:rPr>
        <w:t>Az ACE</w:t>
      </w:r>
      <w:r>
        <w:rPr>
          <w:bCs/>
          <w:iCs/>
          <w:spacing w:val="-2"/>
          <w:szCs w:val="22"/>
          <w:lang w:val="hu-HU"/>
        </w:rPr>
        <w:noBreakHyphen/>
        <w:t>gátló</w:t>
      </w:r>
      <w:r>
        <w:rPr>
          <w:bCs/>
          <w:iCs/>
          <w:spacing w:val="-2"/>
          <w:szCs w:val="22"/>
          <w:lang w:val="hu-HU"/>
        </w:rPr>
        <w:noBreakHyphen/>
        <w:t xml:space="preserve">kezelésben részesülő betegeknél a káliummegtakarító diuretikumok és az angiotenzinreceptor-blokkolók alkalmazása esetén elővigyázatossággal kell eljárni, továbbá a szérum káliumszint és a vesefunkció monitorozása szükséges </w:t>
      </w:r>
      <w:r>
        <w:rPr>
          <w:bCs/>
          <w:iCs/>
          <w:szCs w:val="22"/>
          <w:lang w:val="hu-HU"/>
        </w:rPr>
        <w:t>(lásd 4.5 pont).</w:t>
      </w:r>
    </w:p>
    <w:p w:rsidR="00A00261" w:rsidRDefault="00A00261">
      <w:pPr>
        <w:pStyle w:val="Szvegtrzsbehzssal"/>
        <w:tabs>
          <w:tab w:val="left" w:pos="0"/>
        </w:tabs>
        <w:spacing w:after="0"/>
        <w:ind w:left="0"/>
        <w:rPr>
          <w:sz w:val="22"/>
          <w:szCs w:val="22"/>
          <w:lang w:val="hu-HU"/>
        </w:rPr>
      </w:pPr>
    </w:p>
    <w:p w:rsidR="00A00261" w:rsidRDefault="00087B68">
      <w:pPr>
        <w:pStyle w:val="Szvegtrzsbehzssal"/>
        <w:tabs>
          <w:tab w:val="left" w:pos="0"/>
        </w:tabs>
        <w:spacing w:after="0"/>
        <w:ind w:left="0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Plazma magnéziumszint</w:t>
      </w:r>
    </w:p>
    <w:p w:rsidR="00A00261" w:rsidRDefault="00087B68">
      <w:pPr>
        <w:pStyle w:val="Szvegtrzsbehzssal"/>
        <w:tabs>
          <w:tab w:val="left" w:pos="0"/>
        </w:tabs>
        <w:spacing w:after="0"/>
        <w:ind w:left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tiazidok és a velük rokon diuretikumok, többek között az indapamid, igazoltan megemelik a magnézium vizelettel történő kiválasztását, ami hypomagnesaemiát eredményezhet (lásd 4.5 és 4.8 pont).</w:t>
      </w:r>
    </w:p>
    <w:p w:rsidR="00A00261" w:rsidRDefault="00A00261">
      <w:pPr>
        <w:rPr>
          <w:bCs/>
          <w:iCs/>
          <w:szCs w:val="22"/>
          <w:lang w:val="hu-HU"/>
        </w:rPr>
      </w:pPr>
    </w:p>
    <w:p w:rsidR="00A00261" w:rsidRDefault="00087B68">
      <w:pPr>
        <w:keepNext/>
        <w:rPr>
          <w:bCs/>
          <w:iCs/>
          <w:szCs w:val="22"/>
          <w:u w:val="single"/>
          <w:lang w:val="hu-HU"/>
        </w:rPr>
      </w:pPr>
      <w:r>
        <w:rPr>
          <w:bCs/>
          <w:iCs/>
          <w:szCs w:val="22"/>
          <w:u w:val="single"/>
          <w:lang w:val="hu-HU"/>
        </w:rPr>
        <w:t>Terhesség</w:t>
      </w:r>
    </w:p>
    <w:p w:rsidR="00A00261" w:rsidRDefault="00087B68">
      <w:pPr>
        <w:keepNext/>
        <w:rPr>
          <w:szCs w:val="22"/>
          <w:lang w:val="hu-HU" w:eastAsia="en-US"/>
        </w:rPr>
      </w:pPr>
      <w:r>
        <w:rPr>
          <w:szCs w:val="22"/>
          <w:lang w:val="hu-HU" w:eastAsia="en-US"/>
        </w:rPr>
        <w:t>ACE-gátlóval történő kezelést terhesség alatt nem szabad elkezdeni. Hacsak az ACE-gátlóval történő folyamatos kezelés nem elengedhetetlen, a terhességet tervező betegeket más, olyan antihipertenzív kezelésre kell átállítani, melynek biztonságossága terhességben alátámasztott. Az ACE-gátló szedését azonnal abba kell hagyni, amennyiben terhességet állapítottak meg. Szükség esetén más, megfelelő kezelésre kell átállni (lásd 4.3 és 4.6 pont).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Fényérzékenység</w:t>
      </w:r>
    </w:p>
    <w:p w:rsidR="00A00261" w:rsidRDefault="00087B68">
      <w:pPr>
        <w:autoSpaceDE w:val="0"/>
        <w:autoSpaceDN w:val="0"/>
        <w:adjustRightInd w:val="0"/>
        <w:rPr>
          <w:szCs w:val="22"/>
          <w:lang w:val="hu-HU" w:eastAsia="en-GB"/>
        </w:rPr>
      </w:pPr>
      <w:r>
        <w:rPr>
          <w:szCs w:val="22"/>
          <w:lang w:val="hu-HU" w:eastAsia="en-GB"/>
        </w:rPr>
        <w:t>Tiazidok és tiazid-szerű diuretikumok alkalmazása során fényérzékenységi reakciókról számoltak be (lásd 4.8 pont). Ha a kezelés során jelentkezik fényérzékenységi reakció, akkor ajánlott leállítani a kezelést. Ha szükségesnek tartják a diuretikum újbóli alkalmazását, akkor ajánlott gondoskodni a napfénynek vagy mesterséges UV-A sugárzásnak kitett bőrterületek védelméről.</w:t>
      </w:r>
    </w:p>
    <w:p w:rsidR="00A00261" w:rsidRDefault="00A00261">
      <w:pPr>
        <w:autoSpaceDE w:val="0"/>
        <w:autoSpaceDN w:val="0"/>
        <w:adjustRightInd w:val="0"/>
        <w:rPr>
          <w:szCs w:val="22"/>
          <w:lang w:val="hu-HU" w:eastAsia="en-GB"/>
        </w:rPr>
      </w:pPr>
    </w:p>
    <w:p w:rsidR="00A00261" w:rsidRDefault="00087B68">
      <w:pPr>
        <w:autoSpaceDE w:val="0"/>
        <w:autoSpaceDN w:val="0"/>
        <w:adjustRightInd w:val="0"/>
        <w:rPr>
          <w:szCs w:val="22"/>
          <w:u w:val="single"/>
          <w:lang w:val="hu-HU" w:eastAsia="en-GB"/>
        </w:rPr>
      </w:pPr>
      <w:r>
        <w:rPr>
          <w:szCs w:val="22"/>
          <w:u w:val="single"/>
          <w:lang w:val="hu-HU" w:eastAsia="en-GB"/>
        </w:rPr>
        <w:t>Vesekárosodás</w:t>
      </w:r>
    </w:p>
    <w:p w:rsidR="00A00261" w:rsidRDefault="00087B68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>Súlyos vesekárosodás esetén (kreatinin-clearance &lt; 30  ml/perc), a kezelés ellenjavallt. A Roxiper filmtabletta nem megfelelő &lt; 60  ml/perc kreatinin-clearance-ű betegek számára. Ezeknél a betegeknél egyénre szabott dózistitrálás javasolt, az összetevők monokomponens készítményeinek alkalmazásával (lásd 4.2 pont).</w:t>
      </w:r>
    </w:p>
    <w:p w:rsidR="00A00261" w:rsidRDefault="00A00261">
      <w:pPr>
        <w:tabs>
          <w:tab w:val="left" w:pos="0"/>
        </w:tabs>
        <w:rPr>
          <w:szCs w:val="22"/>
          <w:lang w:val="hu-HU"/>
        </w:rPr>
      </w:pPr>
    </w:p>
    <w:p w:rsidR="00A00261" w:rsidRDefault="00087B68">
      <w:pPr>
        <w:pStyle w:val="lfej"/>
        <w:tabs>
          <w:tab w:val="left" w:pos="0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Bizonyos, előzetesen fennálló, nyilvánvaló vesekárosodástól mentes hypertoniás betegeknél, akiknél </w:t>
      </w:r>
      <w:r>
        <w:rPr>
          <w:spacing w:val="-2"/>
          <w:sz w:val="22"/>
          <w:szCs w:val="22"/>
          <w:lang w:val="hu-HU"/>
        </w:rPr>
        <w:t>a vérvizsgálatok funkcionális veseelégtelenséget mutatnak ki, le kell állítani a kezelést, majd azt esetleg</w:t>
      </w:r>
      <w:r>
        <w:rPr>
          <w:sz w:val="22"/>
          <w:szCs w:val="22"/>
          <w:lang w:val="hu-HU"/>
        </w:rPr>
        <w:t xml:space="preserve"> alacsonyabb dózissal, vagy a gyógyszer csupán egyik összetevőjével újraindítani.</w:t>
      </w:r>
    </w:p>
    <w:p w:rsidR="00A00261" w:rsidRDefault="00A00261">
      <w:pPr>
        <w:pStyle w:val="lfej"/>
        <w:tabs>
          <w:tab w:val="left" w:pos="0"/>
        </w:tabs>
        <w:rPr>
          <w:sz w:val="22"/>
          <w:szCs w:val="22"/>
          <w:lang w:val="hu-HU"/>
        </w:rPr>
      </w:pPr>
    </w:p>
    <w:p w:rsidR="00A00261" w:rsidRDefault="00087B68">
      <w:pPr>
        <w:autoSpaceDE w:val="0"/>
        <w:autoSpaceDN w:val="0"/>
        <w:adjustRightInd w:val="0"/>
        <w:rPr>
          <w:szCs w:val="22"/>
          <w:lang w:val="hu-HU" w:eastAsia="en-GB"/>
        </w:rPr>
      </w:pPr>
      <w:r>
        <w:rPr>
          <w:szCs w:val="22"/>
          <w:lang w:val="hu-HU" w:eastAsia="en-GB"/>
        </w:rPr>
        <w:t>Ezeknél a betegeknél az orvosi utánkövetés része a kálium- és kreatininszintek gyakori ellenőrzése, először két hetes kezelés után, majd a terápia stabil szakaszában kéthavonként. Veseelégtelenségről főként a súlyos szívelégtelenségben vagy a már fennálló, pl. veseartéria-szűkület okozta, veseelégtelenségben szenvedő betegeknél számoltak be.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Ez a gyógyszer általában nem javasolt kétoldali veseartéria-szűkület vagy egyetlen működő vese esetén.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lastRenderedPageBreak/>
        <w:t>A rozuvasztatin nagyobb dózisaival, különösen a 40 mg-os adaggal kezelt betegeknél tesztcsíkkal kimutatott, többnyire tubuláris eredetű proteinuriát figyeltek meg, ami a legtöbb esetben átmeneti volt, vagy csak időszakosan jelentkezett. Nem igazolták, hogy a proteinuria akut vagy súlyosbodó vesebetegség kialakulását vetítené előre (lásd. 4.8 pont).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Veseműködés és diuretikumok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A tiazid, vagy tiazid-szerű diuretikumok hatása csak ép vagy csupán enyhén károsodott veseműködés (felnőtteknél a szérum kreatininszint kb. &lt; 25 mg/l, azaz &lt; 220 mikromol/l) esetén teljes.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 w:eastAsia="en-US"/>
        </w:rPr>
      </w:pPr>
      <w:r>
        <w:rPr>
          <w:spacing w:val="-2"/>
          <w:szCs w:val="22"/>
          <w:lang w:val="hu-HU" w:eastAsia="en-US"/>
        </w:rPr>
        <w:t>Időseknél a szérum kreatininszintet az életkor, a testtömeg és a nem figyelembe vételével, a Cockroft</w:t>
      </w:r>
      <w:r>
        <w:rPr>
          <w:spacing w:val="-2"/>
          <w:szCs w:val="22"/>
          <w:lang w:val="hu-HU" w:eastAsia="en-US"/>
        </w:rPr>
        <w:noBreakHyphen/>
      </w:r>
      <w:r>
        <w:rPr>
          <w:szCs w:val="22"/>
          <w:lang w:val="hu-HU" w:eastAsia="en-US"/>
        </w:rPr>
        <w:t>képlettel kell korrigálni: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</w:p>
    <w:p w:rsidR="00A00261" w:rsidRDefault="00087B68">
      <w:pPr>
        <w:rPr>
          <w:bCs/>
          <w:szCs w:val="22"/>
          <w:lang w:val="hu-HU" w:eastAsia="en-US"/>
        </w:rPr>
      </w:pPr>
      <w:r>
        <w:rPr>
          <w:szCs w:val="22"/>
          <w:lang w:val="hu-HU"/>
        </w:rPr>
        <w:t>Cl</w:t>
      </w:r>
      <w:r>
        <w:rPr>
          <w:szCs w:val="22"/>
          <w:vertAlign w:val="subscript"/>
          <w:lang w:val="hu-HU"/>
        </w:rPr>
        <w:t>Kr</w:t>
      </w:r>
      <w:r>
        <w:rPr>
          <w:szCs w:val="22"/>
          <w:lang w:val="hu-HU"/>
        </w:rPr>
        <w:t xml:space="preserve"> </w:t>
      </w:r>
      <w:r>
        <w:rPr>
          <w:bCs/>
          <w:szCs w:val="22"/>
          <w:lang w:val="hu-HU" w:eastAsia="en-US"/>
        </w:rPr>
        <w:t xml:space="preserve">= (140 </w:t>
      </w:r>
      <w:r>
        <w:rPr>
          <w:bCs/>
          <w:szCs w:val="22"/>
          <w:lang w:val="hu-HU" w:eastAsia="en-US"/>
        </w:rPr>
        <w:noBreakHyphen/>
        <w:t xml:space="preserve"> életkor) × testtömeg / 0,814 × plazma kreatininszint</w:t>
      </w:r>
    </w:p>
    <w:p w:rsidR="00A00261" w:rsidRDefault="00A00261">
      <w:pPr>
        <w:pStyle w:val="lfej"/>
        <w:widowControl w:val="0"/>
        <w:tabs>
          <w:tab w:val="left" w:pos="0"/>
        </w:tabs>
        <w:rPr>
          <w:sz w:val="22"/>
          <w:szCs w:val="22"/>
          <w:lang w:val="hu-HU"/>
        </w:rPr>
      </w:pPr>
    </w:p>
    <w:p w:rsidR="00A00261" w:rsidRDefault="00087B68">
      <w:pPr>
        <w:pStyle w:val="lfej"/>
        <w:keepNext/>
        <w:ind w:left="476" w:hanging="47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ahol</w:t>
      </w:r>
      <w:r>
        <w:rPr>
          <w:sz w:val="22"/>
          <w:szCs w:val="22"/>
          <w:lang w:val="hu-HU"/>
        </w:rPr>
        <w:tab/>
        <w:t>az életkort években,</w:t>
      </w:r>
      <w:r>
        <w:rPr>
          <w:sz w:val="22"/>
          <w:szCs w:val="22"/>
          <w:lang w:val="hu-HU"/>
        </w:rPr>
        <w:br/>
        <w:t>a testtömeget kilogrammban,</w:t>
      </w:r>
      <w:r>
        <w:rPr>
          <w:sz w:val="22"/>
          <w:szCs w:val="22"/>
          <w:lang w:val="hu-HU"/>
        </w:rPr>
        <w:br/>
        <w:t>a plazma kreatininszintet mikromol/l mértékegységben kell megadni.</w:t>
      </w:r>
    </w:p>
    <w:p w:rsidR="00A00261" w:rsidRDefault="00A00261">
      <w:pPr>
        <w:pStyle w:val="lfej"/>
        <w:widowControl w:val="0"/>
        <w:tabs>
          <w:tab w:val="left" w:pos="0"/>
        </w:tabs>
        <w:rPr>
          <w:sz w:val="22"/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Ez a képlet idős férfiakra érvényes; nők esetében az eredményt 0,85-tel kell megszorozni.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Az indapamid-kezelés megkezdésekor a diuretikum okozta víz- és nátriumvesztés eredményeként kialakuló hypovolaemia csökkenti a glomerulus filtrációt. Ennek következményeként emelkedhet a vér karbamid- és kreatininszintje. Ez a múló jellegű, funkcionális veseelégtelenség ép veseműködésű betegeknél nem jár káros következménnyel, azonban súlyosbíthatja a már fennálló vesekárosodást.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keepNext/>
        <w:widowControl w:val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Hypotonia, víz- és elektrolithiány</w:t>
      </w:r>
    </w:p>
    <w:p w:rsidR="00A00261" w:rsidRDefault="00087B68">
      <w:pPr>
        <w:tabs>
          <w:tab w:val="left" w:pos="0"/>
          <w:tab w:val="left" w:pos="284"/>
        </w:tabs>
        <w:rPr>
          <w:szCs w:val="22"/>
          <w:lang w:val="hu-HU"/>
        </w:rPr>
      </w:pPr>
      <w:r>
        <w:rPr>
          <w:spacing w:val="-2"/>
          <w:szCs w:val="22"/>
          <w:lang w:val="hu-HU"/>
        </w:rPr>
        <w:t>A már fennálló nátriumhiány (legfőképpen veseartéria-szűkülettel rendelkező betegeknél) hirtelen fellépő hypotonia</w:t>
      </w:r>
      <w:r>
        <w:rPr>
          <w:szCs w:val="22"/>
          <w:lang w:val="hu-HU"/>
        </w:rPr>
        <w:t xml:space="preserve"> kockázatával jár. Ezért módszeres vizsgálatokkal kell felfedni a folyadék- és elektrolit-hiány klinikai jeleit, amelyek pl. időközben lezajló hasmenéses epizód vagy hányás kapcsán jelentkezhetnek. Az ilyen betegek szérum elektrolit szintjeit rendszeresen ellenőrizni kell.</w:t>
      </w:r>
    </w:p>
    <w:p w:rsidR="00A00261" w:rsidRDefault="00A00261">
      <w:pPr>
        <w:tabs>
          <w:tab w:val="left" w:pos="0"/>
          <w:tab w:val="left" w:pos="284"/>
        </w:tabs>
        <w:rPr>
          <w:szCs w:val="22"/>
          <w:lang w:val="hu-HU"/>
        </w:rPr>
      </w:pPr>
    </w:p>
    <w:p w:rsidR="00A00261" w:rsidRDefault="00087B68">
      <w:pPr>
        <w:tabs>
          <w:tab w:val="left" w:pos="0"/>
          <w:tab w:val="left" w:pos="284"/>
        </w:tabs>
        <w:rPr>
          <w:szCs w:val="22"/>
          <w:lang w:val="hu-HU"/>
        </w:rPr>
      </w:pPr>
      <w:r>
        <w:rPr>
          <w:szCs w:val="22"/>
          <w:lang w:val="hu-HU"/>
        </w:rPr>
        <w:t>Kifejezett hypotonia esetén izotóniás sóoldat adása válhat szükségessé, intravénás infúzióban. Az átmeneti hypotonia nem ellenjavallata a kezelés folytatásának. A kielégítő vértérfogat és vérnyomás sikeres helyreállítása után a kezelés újrakezdhető – vagy kisebb dózissal, vagy a gyógyszer csupán egyik összetevőjének az alkalmazásával.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szCs w:val="22"/>
          <w:u w:val="single"/>
          <w:lang w:val="hu-HU"/>
        </w:rPr>
        <w:t>Artériás hypotonia és/vagy veseelégtelenség kockázata (szívelégtelenség, víz- és elektrolithiány, stb. esetén</w:t>
      </w:r>
      <w:r>
        <w:rPr>
          <w:szCs w:val="22"/>
          <w:lang w:val="hu-HU"/>
        </w:rPr>
        <w:t>)</w:t>
      </w:r>
    </w:p>
    <w:p w:rsidR="00A00261" w:rsidRDefault="00087B68">
      <w:pPr>
        <w:widowControl w:val="0"/>
        <w:rPr>
          <w:szCs w:val="22"/>
          <w:lang w:val="hu-HU" w:eastAsia="en-US"/>
        </w:rPr>
      </w:pPr>
      <w:r>
        <w:rPr>
          <w:spacing w:val="-2"/>
          <w:szCs w:val="22"/>
          <w:lang w:val="hu-HU" w:eastAsia="en-US"/>
        </w:rPr>
        <w:t>A renin-angiotenzin-aldoszteron rendszer nagyfokú stimulációját figyelték meg, mindenekelőtt jelentős</w:t>
      </w:r>
      <w:r>
        <w:rPr>
          <w:szCs w:val="22"/>
          <w:lang w:val="hu-HU" w:eastAsia="en-US"/>
        </w:rPr>
        <w:t xml:space="preserve"> víz- és elektrolit-hiány (szigorúan csökkentett nátriumtartalmú étrend, vagy hosszan tartó diuretikum</w:t>
      </w:r>
      <w:r>
        <w:rPr>
          <w:szCs w:val="22"/>
          <w:lang w:val="hu-HU" w:eastAsia="en-US"/>
        </w:rPr>
        <w:noBreakHyphen/>
        <w:t>kezelés) esetén, kezdetben alacsony vérnyomású betegeknél, veseartéria-szűkületben, pangásos szívelégtelenségben, vagy vizenyő- és ascites-képződéssel járó májzsugorban.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Emiatt ennek a rendszernek a blokkolása angiotenzin-konvertáló enzimgátlóval az első alkalmazás idején, továbbá a kezelés első két hetében hirtelen vérnyomásesést okozhat és/vagy a plazma kreatininszint emelkedését válthatja ki, funkcionális veseelégtelenséget jelezve. Olykor ez heveny kezdetű lehet – jóllehet ez ritka – és a kialakulásáig változó hosszúságú idő telhet el. Ilyen esetekben a perindopril-kezelést kisebb adaggal kell kezdeni és azt fokozatosan növelni.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widowControl w:val="0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Renovascularis hypertonia</w:t>
      </w:r>
    </w:p>
    <w:p w:rsidR="00A00261" w:rsidRDefault="00087B68">
      <w:pPr>
        <w:pStyle w:val="EMEAEnBodyText"/>
        <w:tabs>
          <w:tab w:val="left" w:pos="0"/>
          <w:tab w:val="left" w:pos="284"/>
          <w:tab w:val="left" w:pos="567"/>
        </w:tabs>
        <w:spacing w:before="0" w:after="0"/>
        <w:jc w:val="left"/>
        <w:rPr>
          <w:szCs w:val="22"/>
          <w:lang w:val="hu-HU"/>
        </w:rPr>
      </w:pPr>
      <w:r>
        <w:rPr>
          <w:spacing w:val="-2"/>
          <w:szCs w:val="22"/>
          <w:lang w:val="hu-HU"/>
        </w:rPr>
        <w:t>A renovascularis hypertoniát revaszkularizációval kell kezelni. Mindazonáltal, az angiotenzin-konvertáló</w:t>
      </w:r>
      <w:r>
        <w:rPr>
          <w:szCs w:val="22"/>
          <w:lang w:val="hu-HU"/>
        </w:rPr>
        <w:t xml:space="preserve"> </w:t>
      </w:r>
      <w:r>
        <w:rPr>
          <w:spacing w:val="-4"/>
          <w:szCs w:val="22"/>
          <w:lang w:val="hu-HU"/>
        </w:rPr>
        <w:t>enzimgátlók jótékony hatásúak lehetnek renovascularis hypertoniás, korrekciós műtétre váró betegeknél,</w:t>
      </w:r>
      <w:r>
        <w:rPr>
          <w:szCs w:val="22"/>
          <w:lang w:val="hu-HU"/>
        </w:rPr>
        <w:t xml:space="preserve"> vagy amikor ilyen műtét nem lehetséges.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Ismert vagy feltételezett veseartéria-szűkületben szenvedő betegek perindopril/indapamid-kezelését kórházi körülmények között kell megkezdeni.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keepNext/>
        <w:widowControl w:val="0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lastRenderedPageBreak/>
        <w:t>Aorta- vagy mitrális billenyű-stenosis/hypertrophiás cardiomyopathia</w:t>
      </w:r>
    </w:p>
    <w:p w:rsidR="00A00261" w:rsidRDefault="00087B68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Az ACE-gátlókat körültekintően kell alkalmazni olyan betegeknél, akiknél a bal kamra kiáramlási pályájának obstrukciója áll fenn.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widowControl w:val="0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Köhögés</w:t>
      </w:r>
    </w:p>
    <w:p w:rsidR="00A00261" w:rsidRDefault="00087B68">
      <w:pPr>
        <w:pStyle w:val="Szvegtrzsbehzssal"/>
        <w:tabs>
          <w:tab w:val="left" w:pos="567"/>
        </w:tabs>
        <w:spacing w:after="0"/>
        <w:ind w:left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ACE-gátlók szedésével összefüggésben improduktív köhögésről számoltak be. A köhögés jellemzően tartós és a terápia leállítása után megszűnik. Ennek a tünetnek jelentkezésekor iatrogén kóreredetre is gondolni kell. Ha továbbra is az ACE-gátló-kezelést részesítik előnyben, megfontolható a kezelés folytatása.</w:t>
      </w:r>
    </w:p>
    <w:p w:rsidR="00A00261" w:rsidRDefault="00A00261">
      <w:pPr>
        <w:pStyle w:val="Szvegtrzsbehzssal"/>
        <w:tabs>
          <w:tab w:val="left" w:pos="567"/>
        </w:tabs>
        <w:spacing w:after="0"/>
        <w:ind w:left="0"/>
        <w:rPr>
          <w:sz w:val="22"/>
          <w:szCs w:val="22"/>
          <w:lang w:val="hu-HU"/>
        </w:rPr>
      </w:pPr>
    </w:p>
    <w:p w:rsidR="00A00261" w:rsidRDefault="00087B68">
      <w:pPr>
        <w:pStyle w:val="Szvegtrzsbehzssal"/>
        <w:tabs>
          <w:tab w:val="left" w:pos="567"/>
        </w:tabs>
        <w:spacing w:after="0"/>
        <w:ind w:left="0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Interstitialis tüdőbetegség</w:t>
      </w:r>
    </w:p>
    <w:p w:rsidR="00A00261" w:rsidRDefault="00087B68">
      <w:pPr>
        <w:rPr>
          <w:rFonts w:eastAsia="HG Mincho Light J"/>
          <w:szCs w:val="22"/>
          <w:lang w:val="hu-HU"/>
        </w:rPr>
      </w:pPr>
      <w:r>
        <w:rPr>
          <w:rFonts w:eastAsia="HG Mincho Light J"/>
          <w:szCs w:val="22"/>
          <w:lang w:val="hu-HU"/>
        </w:rPr>
        <w:t>Egyes sztatinok – mindenekelőtt hosszú távú – alkalmazása során, kivételes esetekben beszámoltak interstitialis tüdőbetegségről (lásd 4.8 pont). A kezdeti tünetek többek között nehézlégzés, improduktív köhögés, az általános állapot hanyatlása (fáradtság, testtömegcsökkenés, láz) lehetnek. Amennyiben felmerül a gyanú, hogy a betegnél interstitialis tüdőbetegség alakult ki, akkor a sztatin-terápiát le kell állítani.</w:t>
      </w:r>
    </w:p>
    <w:p w:rsidR="00A00261" w:rsidRDefault="00A00261">
      <w:pPr>
        <w:rPr>
          <w:rFonts w:eastAsia="HG Mincho Light J"/>
          <w:szCs w:val="22"/>
          <w:lang w:val="hu-HU"/>
        </w:rPr>
      </w:pPr>
    </w:p>
    <w:p w:rsidR="00A00261" w:rsidRDefault="00087B68">
      <w:pPr>
        <w:rPr>
          <w:rFonts w:eastAsia="HG Mincho Light J"/>
          <w:szCs w:val="22"/>
          <w:u w:val="single"/>
          <w:lang w:val="hu-HU"/>
        </w:rPr>
      </w:pPr>
      <w:r>
        <w:rPr>
          <w:rFonts w:eastAsia="HG Mincho Light J"/>
          <w:szCs w:val="22"/>
          <w:u w:val="single"/>
          <w:lang w:val="hu-HU"/>
        </w:rPr>
        <w:t>Májkárosodás</w:t>
      </w:r>
    </w:p>
    <w:p w:rsidR="00A00261" w:rsidRDefault="00087B68">
      <w:pPr>
        <w:rPr>
          <w:rFonts w:eastAsia="HG Mincho Light J"/>
          <w:szCs w:val="22"/>
          <w:lang w:val="hu-HU"/>
        </w:rPr>
      </w:pPr>
      <w:r>
        <w:rPr>
          <w:rFonts w:eastAsia="HG Mincho Light J"/>
          <w:szCs w:val="22"/>
          <w:lang w:val="hu-HU"/>
        </w:rPr>
        <w:t xml:space="preserve">Az ACE-gátlók alkalmazásához ritkán társul egy, cholestaticus icterussal kezdődő, fulmináns májnekrózisig </w:t>
      </w:r>
      <w:r>
        <w:rPr>
          <w:rFonts w:eastAsia="HG Mincho Light J"/>
          <w:spacing w:val="-2"/>
          <w:szCs w:val="22"/>
          <w:lang w:val="hu-HU"/>
        </w:rPr>
        <w:t>súlyosbodó és (olykor) halállal végződő tünetegyüttes, amelynek mechanizmusa nem tisztázott.</w:t>
      </w:r>
      <w:r>
        <w:rPr>
          <w:rFonts w:eastAsia="HG Mincho Light J"/>
          <w:szCs w:val="22"/>
          <w:lang w:val="hu-HU"/>
        </w:rPr>
        <w:t xml:space="preserve"> Azoknál az ACE-gátlót szedő betegeknél, akiknél sárgaság alakul ki, vagy jelentősen emelkednek a májenzimek szintjei, le kell állítani az ACE-gátló szedését és megfelelő orvosi felügyeletet kell biztosítani számukra (lásd 4.8 pont).</w:t>
      </w:r>
    </w:p>
    <w:p w:rsidR="00A00261" w:rsidRDefault="00A00261">
      <w:pPr>
        <w:rPr>
          <w:rFonts w:eastAsia="HG Mincho Light J"/>
          <w:szCs w:val="22"/>
          <w:lang w:val="hu-HU"/>
        </w:rPr>
      </w:pPr>
    </w:p>
    <w:p w:rsidR="00A00261" w:rsidRDefault="00087B68">
      <w:pPr>
        <w:autoSpaceDE w:val="0"/>
        <w:autoSpaceDN w:val="0"/>
        <w:adjustRightInd w:val="0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Hepaticus encephalopathia</w:t>
      </w:r>
    </w:p>
    <w:p w:rsidR="00A00261" w:rsidRDefault="00087B68">
      <w:pPr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Károsodott májfunkció esetén a tiazid</w:t>
      </w:r>
      <w:r>
        <w:rPr>
          <w:szCs w:val="22"/>
          <w:lang w:val="hu-HU"/>
        </w:rPr>
        <w:t>ok és a</w:t>
      </w:r>
      <w:r>
        <w:rPr>
          <w:szCs w:val="22"/>
          <w:lang w:val="hu-HU" w:eastAsia="en-US"/>
        </w:rPr>
        <w:t xml:space="preserve"> tiazidszerű diuretikumok, különösen az elektrolit</w:t>
      </w:r>
      <w:r>
        <w:rPr>
          <w:szCs w:val="22"/>
          <w:lang w:val="hu-HU" w:eastAsia="en-US"/>
        </w:rPr>
        <w:noBreakHyphen/>
        <w:t>háztartás zavarának egyidejű fennállásakor, májkómáig súlyosbodó hepaticus encephalopathiát okozhatnak. Ha ez előfordul, a diuretikumok alkalmazását azonnal le kell állítani.</w:t>
      </w:r>
    </w:p>
    <w:p w:rsidR="00A00261" w:rsidRDefault="00A00261">
      <w:pPr>
        <w:autoSpaceDE w:val="0"/>
        <w:autoSpaceDN w:val="0"/>
        <w:adjustRightInd w:val="0"/>
        <w:rPr>
          <w:szCs w:val="22"/>
          <w:lang w:val="hu-HU" w:eastAsia="en-US"/>
        </w:rPr>
      </w:pPr>
    </w:p>
    <w:p w:rsidR="00A00261" w:rsidRDefault="00087B68">
      <w:pPr>
        <w:autoSpaceDE w:val="0"/>
        <w:autoSpaceDN w:val="0"/>
        <w:adjustRightInd w:val="0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Nátriumszintek</w:t>
      </w:r>
    </w:p>
    <w:p w:rsidR="00A00261" w:rsidRDefault="00087B68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Ezeket az indapamid-kezelés megkezdése előtt és azt követően szabályos időközönként ellenőrizni kell. Bármilyen vízhajtó-kezelés hyponatraemiát okozhat, aminek néha nagyon súlyos következményei lehetnek. A nátriumszint csökkenése eleinte tünetmentes lehet, ezért a rendszeres ellenőrzés nélkülözhetetlen. Az ellenőrzést idős és cirrhosisos betegek esetében gyakrabban kell végezni (lásd 4.8 és 4.9 pont).</w:t>
      </w:r>
    </w:p>
    <w:p w:rsidR="00A00261" w:rsidRDefault="00087B68">
      <w:pPr>
        <w:rPr>
          <w:iCs/>
          <w:szCs w:val="22"/>
          <w:lang w:val="hu-HU"/>
        </w:rPr>
      </w:pPr>
      <w:r>
        <w:rPr>
          <w:szCs w:val="22"/>
          <w:lang w:val="hu-HU"/>
        </w:rPr>
        <w:t>A hypovolaemiával járó hyponatraemia dehidrációhoz és orthostaticus hypotoniához vezethet. Az egyidejű kloridion-vesztés másodlagosan kompenzatórikus metabolikus alkalózist eredményezhet: ennek incidenciája és mértéke csekély.</w:t>
      </w:r>
    </w:p>
    <w:p w:rsidR="00A00261" w:rsidRDefault="00A00261">
      <w:pPr>
        <w:autoSpaceDE w:val="0"/>
        <w:autoSpaceDN w:val="0"/>
        <w:adjustRightInd w:val="0"/>
        <w:rPr>
          <w:szCs w:val="22"/>
          <w:lang w:val="hu-HU" w:eastAsia="en-US"/>
        </w:rPr>
      </w:pPr>
    </w:p>
    <w:p w:rsidR="00A00261" w:rsidRDefault="00087B68">
      <w:pPr>
        <w:rPr>
          <w:rFonts w:eastAsia="HG Mincho Light J"/>
          <w:szCs w:val="22"/>
          <w:u w:val="single"/>
          <w:lang w:val="hu-HU"/>
        </w:rPr>
      </w:pPr>
      <w:r>
        <w:rPr>
          <w:rFonts w:eastAsia="HG Mincho Light J"/>
          <w:szCs w:val="22"/>
          <w:u w:val="single"/>
          <w:lang w:val="hu-HU"/>
        </w:rPr>
        <w:t>A QT–szakasz megnyúlása</w:t>
      </w:r>
    </w:p>
    <w:p w:rsidR="00A00261" w:rsidRDefault="00087B68">
      <w:pPr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pacing w:val="-2"/>
          <w:szCs w:val="22"/>
          <w:lang w:val="hu-HU" w:eastAsia="en-US"/>
        </w:rPr>
        <w:t>Kockázatnak vannak kitéve a hosszú QT-szakasszal rendelkezők is, függetlenül</w:t>
      </w:r>
      <w:r>
        <w:rPr>
          <w:szCs w:val="22"/>
          <w:lang w:val="hu-HU" w:eastAsia="en-US"/>
        </w:rPr>
        <w:t xml:space="preserve"> ennek (congenitalis vagy iatrogén) eredetétől. A hypokalaemia – éppúgy, mint a bradycardia – súlyos ritmuszavarok, mindenekelőtt potenciálisan végzetes </w:t>
      </w:r>
      <w:r>
        <w:rPr>
          <w:i/>
          <w:szCs w:val="22"/>
          <w:lang w:val="hu-HU" w:eastAsia="en-US"/>
        </w:rPr>
        <w:t>torsades de pointes</w:t>
      </w:r>
      <w:r>
        <w:rPr>
          <w:szCs w:val="22"/>
          <w:lang w:val="hu-HU" w:eastAsia="en-US"/>
        </w:rPr>
        <w:t xml:space="preserve"> kialakulásának kedvez.</w:t>
      </w:r>
    </w:p>
    <w:p w:rsidR="00A00261" w:rsidRDefault="00A00261">
      <w:pPr>
        <w:autoSpaceDE w:val="0"/>
        <w:autoSpaceDN w:val="0"/>
        <w:adjustRightInd w:val="0"/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/>
        </w:rPr>
        <w:t>Minden esetben gyakrabban szükséges ellenőrizni a káliumszintet. A szérum káliumszint első meghatározását kezelés megkezdését követő első héten kell elvégezni. Ha alacsony szérum káliumszintet mutatnak ki, akkor azt korrigálni kell</w:t>
      </w:r>
      <w:r>
        <w:rPr>
          <w:szCs w:val="22"/>
          <w:lang w:val="hu-HU" w:eastAsia="en-US"/>
        </w:rPr>
        <w:t>.</w:t>
      </w:r>
    </w:p>
    <w:p w:rsidR="00A00261" w:rsidRDefault="00A00261">
      <w:pPr>
        <w:rPr>
          <w:rFonts w:eastAsia="HG Mincho Light J"/>
          <w:szCs w:val="22"/>
          <w:lang w:val="hu-HU"/>
        </w:rPr>
      </w:pPr>
    </w:p>
    <w:p w:rsidR="00A00261" w:rsidRDefault="00087B68">
      <w:pPr>
        <w:pStyle w:val="Szvegtrzsbehzssal"/>
        <w:tabs>
          <w:tab w:val="left" w:pos="567"/>
        </w:tabs>
        <w:spacing w:after="0"/>
        <w:ind w:left="0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Kalciumszintek</w:t>
      </w:r>
    </w:p>
    <w:p w:rsidR="00A00261" w:rsidRDefault="00087B68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A tiazid és tiazid-szerű diuretikumok csökkenthetik a kalcium kiválasztását a vizelettel, és ezáltal a plazma kalciumszintjének csekély és átmeneti emelkedését okozhatják. A kalciumszint kifejezett emelkedése nem diagnosztizált hyperparathyreosis jele lehet. Ilyen esetekben a kezelést a pajzsmirigyfunkció kivizsgálásáig szüneteltetni kell.</w:t>
      </w:r>
    </w:p>
    <w:p w:rsidR="00A00261" w:rsidRDefault="00A00261">
      <w:pPr>
        <w:autoSpaceDE w:val="0"/>
        <w:autoSpaceDN w:val="0"/>
        <w:adjustRightInd w:val="0"/>
        <w:rPr>
          <w:szCs w:val="22"/>
          <w:lang w:val="hu-HU"/>
        </w:rPr>
      </w:pPr>
    </w:p>
    <w:p w:rsidR="00A00261" w:rsidRDefault="00087B68">
      <w:pPr>
        <w:autoSpaceDE w:val="0"/>
        <w:autoSpaceDN w:val="0"/>
        <w:adjustRightInd w:val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Húgysav</w:t>
      </w:r>
    </w:p>
    <w:p w:rsidR="00A00261" w:rsidRDefault="00087B68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Hyperuricaemiás betegek esetében fokozódhat a köszvényes rohamra való hajlam.</w:t>
      </w:r>
    </w:p>
    <w:p w:rsidR="00A00261" w:rsidRDefault="00A00261">
      <w:pPr>
        <w:autoSpaceDE w:val="0"/>
        <w:autoSpaceDN w:val="0"/>
        <w:adjustRightInd w:val="0"/>
        <w:rPr>
          <w:szCs w:val="22"/>
          <w:lang w:val="hu-HU"/>
        </w:rPr>
      </w:pPr>
    </w:p>
    <w:p w:rsidR="00A00261" w:rsidRDefault="00087B68">
      <w:pPr>
        <w:autoSpaceDE w:val="0"/>
        <w:autoSpaceDN w:val="0"/>
        <w:adjustRightInd w:val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lastRenderedPageBreak/>
        <w:t>Idősek</w:t>
      </w:r>
    </w:p>
    <w:p w:rsidR="00A00261" w:rsidRDefault="00087B68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A kezelés megkezdése előtt ellenőrizni kell a vesefunkciót és a káliumszintet. Ezt követően a kezdő dózist a hirtelen fellépő hypotonia elkerülése érdekében –legfőképpen víz- és elektrolithiányban – a vérnyomásválasznak megfelelően kell módosítani.</w:t>
      </w:r>
    </w:p>
    <w:p w:rsidR="00A00261" w:rsidRDefault="00A00261">
      <w:pPr>
        <w:tabs>
          <w:tab w:val="left" w:pos="567"/>
        </w:tabs>
        <w:rPr>
          <w:szCs w:val="22"/>
          <w:lang w:val="hu-HU"/>
        </w:rPr>
      </w:pPr>
    </w:p>
    <w:p w:rsidR="00A00261" w:rsidRDefault="00087B68">
      <w:pPr>
        <w:keepNext/>
        <w:tabs>
          <w:tab w:val="left" w:pos="567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Ismert atherosclerosisban szenvedő betegek</w:t>
      </w:r>
    </w:p>
    <w:p w:rsidR="00A00261" w:rsidRDefault="00087B68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A hypotonia kockázata minden betegnél fennáll, azonban az ischaemiás szívbetegségben, vagy agyi vérkeringési elégtelenségben szenvedők esetében különösen körültekintően kell eljárni, vagyis a perindopril-kezelést kis dózissal kell megkezdeni.</w:t>
      </w:r>
    </w:p>
    <w:p w:rsidR="00A00261" w:rsidRDefault="00A00261">
      <w:pPr>
        <w:autoSpaceDE w:val="0"/>
        <w:autoSpaceDN w:val="0"/>
        <w:adjustRightInd w:val="0"/>
        <w:rPr>
          <w:szCs w:val="22"/>
          <w:lang w:val="hu-HU"/>
        </w:rPr>
      </w:pPr>
    </w:p>
    <w:p w:rsidR="00A00261" w:rsidRDefault="00087B68">
      <w:pPr>
        <w:autoSpaceDE w:val="0"/>
        <w:autoSpaceDN w:val="0"/>
        <w:adjustRightInd w:val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Diabeteses betegek</w:t>
      </w:r>
    </w:p>
    <w:p w:rsidR="00A00261" w:rsidRDefault="00087B68">
      <w:pPr>
        <w:tabs>
          <w:tab w:val="left" w:pos="567"/>
        </w:tabs>
        <w:autoSpaceDN w:val="0"/>
        <w:adjustRightInd w:val="0"/>
        <w:rPr>
          <w:iCs/>
          <w:szCs w:val="22"/>
          <w:lang w:val="hu-HU"/>
        </w:rPr>
      </w:pPr>
      <w:r>
        <w:rPr>
          <w:szCs w:val="22"/>
          <w:lang w:val="hu-HU"/>
        </w:rPr>
        <w:t>Inzulindependens diabetes mellitusban szenvedő betegek (spontán hajlam a káliumszint emelkedésére) eset</w:t>
      </w:r>
      <w:r>
        <w:rPr>
          <w:iCs/>
          <w:szCs w:val="22"/>
          <w:lang w:val="hu-HU"/>
        </w:rPr>
        <w:t>én a kezelést orvosi felügyelettel és csökkentett kezdő dózis adásával kell elkezdeni.</w:t>
      </w:r>
    </w:p>
    <w:p w:rsidR="00A00261" w:rsidRDefault="00087B68">
      <w:pPr>
        <w:autoSpaceDE w:val="0"/>
        <w:autoSpaceDN w:val="0"/>
        <w:adjustRightInd w:val="0"/>
        <w:rPr>
          <w:bCs/>
          <w:szCs w:val="22"/>
          <w:lang w:val="hu-HU" w:eastAsia="nl-BE"/>
        </w:rPr>
      </w:pPr>
      <w:r>
        <w:rPr>
          <w:bCs/>
          <w:spacing w:val="-2"/>
          <w:szCs w:val="22"/>
          <w:lang w:val="hu-HU" w:eastAsia="nl-BE"/>
        </w:rPr>
        <w:t>Előzőleg orális antidiabetikumokkal vagy inzulinnal kezelt betegek esetében a vércukorszintet gondosan</w:t>
      </w:r>
      <w:r>
        <w:rPr>
          <w:bCs/>
          <w:szCs w:val="22"/>
          <w:lang w:val="hu-HU" w:eastAsia="nl-BE"/>
        </w:rPr>
        <w:t xml:space="preserve"> kell monitorozni az ACE-gátló</w:t>
      </w:r>
      <w:r>
        <w:rPr>
          <w:bCs/>
          <w:szCs w:val="22"/>
          <w:lang w:val="hu-HU" w:eastAsia="nl-BE"/>
        </w:rPr>
        <w:noBreakHyphen/>
        <w:t>kezelés első hónapja alatt (lásd 4.5 pont).</w:t>
      </w:r>
    </w:p>
    <w:p w:rsidR="00A00261" w:rsidRDefault="00A00261">
      <w:pPr>
        <w:autoSpaceDE w:val="0"/>
        <w:autoSpaceDN w:val="0"/>
        <w:adjustRightInd w:val="0"/>
        <w:rPr>
          <w:bCs/>
          <w:szCs w:val="22"/>
          <w:lang w:val="hu-HU" w:eastAsia="nl-BE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 xml:space="preserve">Egyes bizonyítékok alapján, az összes sztatin emeli a vércukorszintet, továbbá antidiabetikus kezelést igénylő hyperglykaemiát okozhatnak azoknál a betegeknél, akiknél nagy a diabetes későbbi kialakulásának kockázata. Ezt a kockázatot meghaladja a sztatinok érrendszeri kockázatot csökkentő hatásából származó előnye, ezért nem indokolt a sztatin-kezelés leállítása. A </w:t>
      </w:r>
      <w:r>
        <w:rPr>
          <w:spacing w:val="-4"/>
          <w:szCs w:val="22"/>
          <w:lang w:val="hu-HU"/>
        </w:rPr>
        <w:t>kockázatnak kitett betegek (éhomi glükózszint 5,6</w:t>
      </w:r>
      <w:r>
        <w:rPr>
          <w:spacing w:val="-4"/>
          <w:szCs w:val="22"/>
          <w:lang w:val="hu-HU"/>
        </w:rPr>
        <w:noBreakHyphen/>
        <w:t>6,9 mmol/l, BMI &gt; 30 kg/m</w:t>
      </w:r>
      <w:r>
        <w:rPr>
          <w:spacing w:val="-4"/>
          <w:szCs w:val="22"/>
          <w:vertAlign w:val="superscript"/>
          <w:lang w:val="hu-HU"/>
        </w:rPr>
        <w:t>2</w:t>
      </w:r>
      <w:r>
        <w:rPr>
          <w:spacing w:val="-4"/>
          <w:szCs w:val="22"/>
          <w:lang w:val="hu-HU"/>
        </w:rPr>
        <w:t>, hypertriglyceridaemia,</w:t>
      </w:r>
      <w:r>
        <w:rPr>
          <w:szCs w:val="22"/>
          <w:lang w:val="hu-HU"/>
        </w:rPr>
        <w:t xml:space="preserve"> hypertonia) klinikai és biokémiai monitorozása szükséges a nemzeti irányelveknek megfelelően.</w:t>
      </w:r>
    </w:p>
    <w:p w:rsidR="00A00261" w:rsidRDefault="00087B68">
      <w:pPr>
        <w:rPr>
          <w:szCs w:val="22"/>
          <w:lang w:val="hu-HU"/>
        </w:rPr>
      </w:pPr>
      <w:r>
        <w:rPr>
          <w:spacing w:val="-2"/>
          <w:szCs w:val="22"/>
          <w:lang w:val="hu-HU"/>
        </w:rPr>
        <w:t>A JUPITER vizsgálatban a diabetes mellitus összesített gyakorisága 2,8% volt rozuvasztatin és</w:t>
      </w:r>
      <w:r>
        <w:rPr>
          <w:szCs w:val="22"/>
          <w:lang w:val="hu-HU"/>
        </w:rPr>
        <w:t xml:space="preserve"> 2,3% placebo-kezelés esetén, legfőképpen azoknál a betegeknél, akik éhomi glükóz szintje 5,6-6,9 mmol/l volt.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Vércukorszint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vércukorszint monitorozása cukorbetegeknél fontos teendő – különösen, ha a káliumszint alacsony.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Szívelégtelenség/súlyos szívelégtelenség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 xml:space="preserve">Súlyos (IV-es fokozatú) szívelégtelenségben szenvedő vagy inzulindependens diabetes mellitusos </w:t>
      </w:r>
      <w:r>
        <w:rPr>
          <w:spacing w:val="-2"/>
          <w:szCs w:val="22"/>
          <w:lang w:val="hu-HU"/>
        </w:rPr>
        <w:t>betegek esetében (akik hajlamosak hyperkalaemia spontán kialakulására), a kezelést orvosi felügyelettel</w:t>
      </w:r>
      <w:r>
        <w:rPr>
          <w:szCs w:val="22"/>
          <w:lang w:val="hu-HU"/>
        </w:rPr>
        <w:t xml:space="preserve"> és csökkentett kezdő adaggal kell megkezdeni. A koszorúér-elégtelenséggel társuló hypertoniában szenvedő betegek béta-blokkoló-kezelését nem szabad leállítani – az ACE-gátlót a béta-blokkoló kiegészítéseként kell alkalmazni.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keepNext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Etnikai különbségek</w:t>
      </w:r>
    </w:p>
    <w:p w:rsidR="00A00261" w:rsidRDefault="00087B68">
      <w:pPr>
        <w:autoSpaceDE w:val="0"/>
        <w:autoSpaceDN w:val="0"/>
        <w:adjustRightInd w:val="0"/>
        <w:rPr>
          <w:bCs/>
          <w:szCs w:val="22"/>
          <w:lang w:val="hu-HU" w:eastAsia="nl-BE"/>
        </w:rPr>
      </w:pPr>
      <w:r>
        <w:rPr>
          <w:bCs/>
          <w:szCs w:val="22"/>
          <w:lang w:val="hu-HU" w:eastAsia="nl-BE"/>
        </w:rPr>
        <w:t xml:space="preserve">Más angiotenzin-konvertáló enzimgátlókhoz hasonlóan, a perindopril nyilvánvalóan kevésbé hatásos </w:t>
      </w:r>
      <w:r>
        <w:rPr>
          <w:bCs/>
          <w:spacing w:val="-2"/>
          <w:szCs w:val="22"/>
          <w:lang w:val="hu-HU" w:eastAsia="nl-BE"/>
        </w:rPr>
        <w:t>vérnyomáscsökkentő feketebőrűeknél, mint a nem-feketebőrűeknél – valószínűleg azért, mert a feketebőrű</w:t>
      </w:r>
      <w:r>
        <w:rPr>
          <w:bCs/>
          <w:szCs w:val="22"/>
          <w:lang w:val="hu-HU" w:eastAsia="nl-BE"/>
        </w:rPr>
        <w:t xml:space="preserve"> populációban elterjedtebb az alacsony reninszint.</w:t>
      </w:r>
    </w:p>
    <w:p w:rsidR="00A00261" w:rsidRDefault="00087B68">
      <w:pPr>
        <w:autoSpaceDE w:val="0"/>
        <w:autoSpaceDN w:val="0"/>
        <w:adjustRightInd w:val="0"/>
        <w:rPr>
          <w:bCs/>
          <w:szCs w:val="22"/>
          <w:lang w:val="hu-HU" w:eastAsia="nl-BE"/>
        </w:rPr>
      </w:pPr>
      <w:r>
        <w:rPr>
          <w:bCs/>
          <w:szCs w:val="22"/>
          <w:lang w:val="hu-HU" w:eastAsia="nl-BE"/>
        </w:rPr>
        <w:t>Farmakokinetikai vizsgálatok során, ázsiai betegeknél a rozuvasztatin-expozíció növekedését mutatták ki kaukázusi betegekkel összehasonlítva (lásd 4.2, 4.3 és 5.2 pont).</w:t>
      </w:r>
    </w:p>
    <w:p w:rsidR="00A00261" w:rsidRDefault="00A00261">
      <w:pPr>
        <w:autoSpaceDE w:val="0"/>
        <w:autoSpaceDN w:val="0"/>
        <w:adjustRightInd w:val="0"/>
        <w:rPr>
          <w:bCs/>
          <w:szCs w:val="22"/>
          <w:lang w:val="hu-HU" w:eastAsia="nl-BE"/>
        </w:rPr>
      </w:pPr>
    </w:p>
    <w:p w:rsidR="00A00261" w:rsidRDefault="00087B68">
      <w:pPr>
        <w:autoSpaceDE w:val="0"/>
        <w:autoSpaceDN w:val="0"/>
        <w:adjustRightInd w:val="0"/>
        <w:rPr>
          <w:bCs/>
          <w:szCs w:val="22"/>
          <w:u w:val="single"/>
          <w:lang w:val="hu-HU" w:eastAsia="nl-BE"/>
        </w:rPr>
      </w:pPr>
      <w:r>
        <w:rPr>
          <w:bCs/>
          <w:szCs w:val="22"/>
          <w:u w:val="single"/>
          <w:lang w:val="hu-HU" w:eastAsia="nl-BE"/>
        </w:rPr>
        <w:t>Műtét/általános érzéstelenítés</w:t>
      </w:r>
    </w:p>
    <w:p w:rsidR="00A00261" w:rsidRDefault="00087B68">
      <w:pPr>
        <w:pStyle w:val="Szvegtrzsbehzssal"/>
        <w:spacing w:after="0"/>
        <w:ind w:left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angiotenzin-konvertáló enzimgátlók az általános érzéstelenítés során hypotoniát okozhatnak, különösen akkor, ha az alkalmazott érzéstelenítő vérnyomáscsökkentő hatást fejthet ki.</w:t>
      </w:r>
    </w:p>
    <w:p w:rsidR="00A00261" w:rsidRDefault="00087B68">
      <w:pPr>
        <w:pStyle w:val="Szvegtrzsbehzssal"/>
        <w:spacing w:after="0"/>
        <w:ind w:left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Ezért ajánlott a hosszú hatású angiotenzin-konvertáló enzimgátlók (pl. a perindopril) adását lehetőleg egy nappal a műtét előtt leállítani.</w:t>
      </w:r>
    </w:p>
    <w:p w:rsidR="00A00261" w:rsidRDefault="00A00261">
      <w:pPr>
        <w:pStyle w:val="Szvegtrzsbehzssal"/>
        <w:spacing w:after="0"/>
        <w:ind w:left="0"/>
        <w:rPr>
          <w:sz w:val="22"/>
          <w:szCs w:val="22"/>
          <w:lang w:val="hu-HU"/>
        </w:rPr>
      </w:pPr>
    </w:p>
    <w:p w:rsidR="00A00261" w:rsidRDefault="00087B68">
      <w:pPr>
        <w:autoSpaceDN w:val="0"/>
        <w:adjustRightInd w:val="0"/>
        <w:jc w:val="both"/>
        <w:rPr>
          <w:iCs/>
          <w:color w:val="000000"/>
          <w:szCs w:val="22"/>
          <w:u w:val="single"/>
          <w:lang w:val="hu-HU"/>
        </w:rPr>
      </w:pPr>
      <w:r>
        <w:rPr>
          <w:iCs/>
          <w:color w:val="000000"/>
          <w:szCs w:val="22"/>
          <w:u w:val="single"/>
          <w:lang w:val="hu-HU"/>
        </w:rPr>
        <w:t>Choroidealis effusio, akut myopia és másodlagos zárt zugú glaucoma</w:t>
      </w:r>
    </w:p>
    <w:p w:rsidR="00A00261" w:rsidRDefault="00087B68">
      <w:pPr>
        <w:autoSpaceDN w:val="0"/>
        <w:adjustRightInd w:val="0"/>
        <w:rPr>
          <w:iCs/>
          <w:color w:val="000000"/>
          <w:szCs w:val="22"/>
          <w:lang w:val="hu-HU"/>
        </w:rPr>
      </w:pPr>
      <w:r>
        <w:rPr>
          <w:szCs w:val="22"/>
          <w:lang w:val="hu-HU"/>
        </w:rPr>
        <w:t>A szulfonamid vagy szulfonamid származék gyógyszerek idioszinkráziás reakciót válthatnak ki, amely látótérkieséssel járó choroidealis effusiót, átmeneti myopiát és akut zárt zugú glaucomát eredményezhet. A tünetek közé tartoznak a látásélesség</w:t>
      </w:r>
      <w:r>
        <w:rPr>
          <w:szCs w:val="22"/>
          <w:lang w:val="hu-HU"/>
        </w:rPr>
        <w:noBreakHyphen/>
        <w:t xml:space="preserve">csökkenés vagy a szemfájdalom, és ezek jellemző módon a gyógyszer adásának elkezdése után órákon - heteken belül jelentkeznek. </w:t>
      </w:r>
      <w:r>
        <w:rPr>
          <w:iCs/>
          <w:color w:val="000000"/>
          <w:szCs w:val="22"/>
          <w:lang w:val="hu-HU"/>
        </w:rPr>
        <w:t xml:space="preserve">A kezeletlen akut zárt zugú glaucoma maradandó látásvesztéshez vezethet. Elsődleges kezelésként a gyógyszer szedését minél hamarabb abba kell hagyni. Azonnali orvosi vagy sebészi kezelésre lehet </w:t>
      </w:r>
      <w:r>
        <w:rPr>
          <w:iCs/>
          <w:color w:val="000000"/>
          <w:szCs w:val="22"/>
          <w:lang w:val="hu-HU"/>
        </w:rPr>
        <w:lastRenderedPageBreak/>
        <w:t>szükség, ha az intraocularis nyomás kontrollálatlan marad. Az akut zárt zugú glaucoma kialakulásának kockázati tényezői közé tartozhat a kórelőzményben szereplő szulfonamid- vagy penicillinallergia.</w:t>
      </w:r>
    </w:p>
    <w:p w:rsidR="00A00261" w:rsidRDefault="00A00261">
      <w:pPr>
        <w:pStyle w:val="Listaszerbekezds"/>
        <w:ind w:left="0"/>
        <w:rPr>
          <w:color w:val="FF0000"/>
          <w:szCs w:val="22"/>
          <w:lang w:val="hu-HU"/>
        </w:rPr>
      </w:pPr>
    </w:p>
    <w:p w:rsidR="00A00261" w:rsidRDefault="00087B68">
      <w:pPr>
        <w:pStyle w:val="Listaszerbekezds"/>
        <w:ind w:left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Myasthenia gravis vagy ocularis myasthenia</w:t>
      </w:r>
    </w:p>
    <w:p w:rsidR="00A00261" w:rsidRDefault="00087B68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 xml:space="preserve">Néhány esetben beszámoltak arról, hogy a sztatinok </w:t>
      </w:r>
      <w:r>
        <w:rPr>
          <w:i/>
          <w:szCs w:val="22"/>
          <w:lang w:val="hu-HU"/>
        </w:rPr>
        <w:t>de novo</w:t>
      </w:r>
      <w:r>
        <w:rPr>
          <w:szCs w:val="22"/>
          <w:lang w:val="hu-HU"/>
        </w:rPr>
        <w:t xml:space="preserve"> myasthenia gravist vagy ocularis myastheniát okoztak, illetve súlyosbították ezeket, ha már korábban is fennálltak (lásd 4.8 pont). A Roxiper alkalmazását le kell állítani, ha a tünetek súlyosbodnak. Beszámoltak a tünetek kiújulásáról, miután a beteg (ismét) alkalmazni kezdte ugyanazt vagy egy másik sztatint.</w:t>
      </w:r>
    </w:p>
    <w:p w:rsidR="00A00261" w:rsidRDefault="00A00261">
      <w:pPr>
        <w:pStyle w:val="Szvegtrzsbehzssal"/>
        <w:spacing w:after="0"/>
        <w:ind w:left="0"/>
        <w:rPr>
          <w:sz w:val="22"/>
          <w:szCs w:val="22"/>
          <w:lang w:val="hu-HU"/>
        </w:rPr>
      </w:pPr>
    </w:p>
    <w:p w:rsidR="00A00261" w:rsidRDefault="00087B68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A vázizomzatra kifejtett hatások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vázizmok érintettségéről (pl. myalgia, myopathia és ritkán rhabdomyolysis) számoltak be rozuvasztatinnal kezelt betegeknél, bármekkora dózis, legfőképpen azonban 20 mg-nál nagyobb adagok alkalmazásakor. Rhabdomyolysis rendkívül ritka eseteit jelentették ezetimib és HMG</w:t>
      </w:r>
      <w:r>
        <w:rPr>
          <w:szCs w:val="22"/>
          <w:lang w:val="hu-HU"/>
        </w:rPr>
        <w:noBreakHyphen/>
        <w:t>CoA</w:t>
      </w:r>
      <w:r>
        <w:rPr>
          <w:szCs w:val="22"/>
          <w:lang w:val="hu-HU"/>
        </w:rPr>
        <w:noBreakHyphen/>
        <w:t>reduktáz</w:t>
      </w:r>
      <w:r>
        <w:rPr>
          <w:szCs w:val="22"/>
          <w:lang w:val="hu-HU"/>
        </w:rPr>
        <w:noBreakHyphen/>
        <w:t>inhibitorok kombinált alkalmazásakor. Farmakodinámiás interakció lehetősége nem zárható ki (lásd 4.5 pont), ezért e szerek együttes alkalmazásakor körültekintően kell eljárni. Éppúgy, mint más HMG-CoA-reduktáz</w:t>
      </w:r>
      <w:r>
        <w:rPr>
          <w:szCs w:val="22"/>
          <w:lang w:val="hu-HU"/>
        </w:rPr>
        <w:noBreakHyphen/>
        <w:t>inhibitorok esetében, a forgalomba hozatalt követő alkalmazás során gyakrabban számoltak be rozuvasztatinhoz társuló rhabdomyolysisről 40 mg-os dózis esetén.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keepNext/>
        <w:autoSpaceDE w:val="0"/>
        <w:autoSpaceDN w:val="0"/>
        <w:adjustRightInd w:val="0"/>
        <w:rPr>
          <w:bCs/>
          <w:szCs w:val="22"/>
          <w:u w:val="single"/>
          <w:lang w:val="hu-HU" w:eastAsia="nl-BE"/>
        </w:rPr>
      </w:pPr>
      <w:r>
        <w:rPr>
          <w:bCs/>
          <w:szCs w:val="22"/>
          <w:u w:val="single"/>
          <w:lang w:val="hu-HU" w:eastAsia="nl-BE"/>
        </w:rPr>
        <w:t>Kreatin-kináz mérése</w:t>
      </w:r>
    </w:p>
    <w:p w:rsidR="00A00261" w:rsidRDefault="00087B68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A kreatin</w:t>
      </w:r>
      <w:r>
        <w:rPr>
          <w:szCs w:val="22"/>
          <w:lang w:val="hu-HU"/>
        </w:rPr>
        <w:noBreakHyphen/>
        <w:t>kinázt (CK) nem szabad kimerítő testedzés után vagy a CK</w:t>
      </w:r>
      <w:r>
        <w:rPr>
          <w:szCs w:val="22"/>
          <w:lang w:val="hu-HU"/>
        </w:rPr>
        <w:noBreakHyphen/>
        <w:t>szint</w:t>
      </w:r>
      <w:r>
        <w:rPr>
          <w:szCs w:val="22"/>
          <w:lang w:val="hu-HU"/>
        </w:rPr>
        <w:noBreakHyphen/>
        <w:t>emelkedés más olyan, kézenfekvő okának fennállása esetén mérni, amely zavarhatja a mérési eredmény értékelését. Ha a CK szint kiinduláskor szignifikánsan magasabb (&gt; 5× a normálérték felső határa [ULN]), 5</w:t>
      </w:r>
      <w:r>
        <w:rPr>
          <w:szCs w:val="22"/>
          <w:lang w:val="hu-HU"/>
        </w:rPr>
        <w:noBreakHyphen/>
        <w:t>7 napon belül kontroll tesztet kell végezni. Ha az ismételt mérés megerősíti, hogy a kiindulási CK-szint &gt; 5×ULN, akkor a kezelést nem szabad megkezdeni.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Rozuvasztatin-kezelés előtt</w:t>
      </w:r>
    </w:p>
    <w:p w:rsidR="00A00261" w:rsidRDefault="00087B68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A rozuvasztatin – más HMG</w:t>
      </w:r>
      <w:r>
        <w:rPr>
          <w:szCs w:val="22"/>
          <w:lang w:val="hu-HU"/>
        </w:rPr>
        <w:noBreakHyphen/>
        <w:t>CoA</w:t>
      </w:r>
      <w:r>
        <w:rPr>
          <w:szCs w:val="22"/>
          <w:lang w:val="hu-HU"/>
        </w:rPr>
        <w:noBreakHyphen/>
        <w:t>reduktáz</w:t>
      </w:r>
      <w:r>
        <w:rPr>
          <w:szCs w:val="22"/>
          <w:lang w:val="hu-HU"/>
        </w:rPr>
        <w:noBreakHyphen/>
        <w:t>gátlókhoz hasonlóan – csak körültekintéssel írható fel olyan betegeknek, akiknél myopathiára/rhabdomyolysisre hajlamosító tényezők állnak fenn. Ilyen tényezők többek között:</w:t>
      </w:r>
    </w:p>
    <w:p w:rsidR="00A00261" w:rsidRDefault="00087B68">
      <w:pPr>
        <w:widowControl w:val="0"/>
        <w:numPr>
          <w:ilvl w:val="0"/>
          <w:numId w:val="31"/>
        </w:numPr>
        <w:tabs>
          <w:tab w:val="clear" w:pos="720"/>
          <w:tab w:val="left" w:pos="567"/>
        </w:tabs>
        <w:suppressAutoHyphens/>
        <w:ind w:left="567" w:hanging="501"/>
        <w:rPr>
          <w:szCs w:val="22"/>
          <w:lang w:val="hu-HU"/>
        </w:rPr>
      </w:pPr>
      <w:r>
        <w:rPr>
          <w:szCs w:val="22"/>
          <w:lang w:val="hu-HU"/>
        </w:rPr>
        <w:t>vesekárosodás,</w:t>
      </w:r>
    </w:p>
    <w:p w:rsidR="00A00261" w:rsidRDefault="00087B68">
      <w:pPr>
        <w:widowControl w:val="0"/>
        <w:numPr>
          <w:ilvl w:val="0"/>
          <w:numId w:val="31"/>
        </w:numPr>
        <w:tabs>
          <w:tab w:val="clear" w:pos="720"/>
          <w:tab w:val="left" w:pos="567"/>
        </w:tabs>
        <w:suppressAutoHyphens/>
        <w:ind w:left="567" w:hanging="501"/>
        <w:rPr>
          <w:szCs w:val="22"/>
          <w:lang w:val="hu-HU"/>
        </w:rPr>
      </w:pPr>
      <w:r>
        <w:rPr>
          <w:szCs w:val="22"/>
          <w:lang w:val="hu-HU"/>
        </w:rPr>
        <w:t>hypothyreosis,</w:t>
      </w:r>
    </w:p>
    <w:p w:rsidR="00A00261" w:rsidRDefault="00087B68">
      <w:pPr>
        <w:widowControl w:val="0"/>
        <w:numPr>
          <w:ilvl w:val="0"/>
          <w:numId w:val="31"/>
        </w:numPr>
        <w:tabs>
          <w:tab w:val="clear" w:pos="720"/>
          <w:tab w:val="left" w:pos="567"/>
        </w:tabs>
        <w:suppressAutoHyphens/>
        <w:ind w:left="567" w:hanging="501"/>
        <w:rPr>
          <w:szCs w:val="22"/>
          <w:lang w:val="hu-HU"/>
        </w:rPr>
      </w:pPr>
      <w:r>
        <w:rPr>
          <w:szCs w:val="22"/>
          <w:lang w:val="hu-HU"/>
        </w:rPr>
        <w:t>örökletes izombetegség az egyéni vagy a családi kórtörténetben,</w:t>
      </w:r>
    </w:p>
    <w:p w:rsidR="00A00261" w:rsidRDefault="00087B68">
      <w:pPr>
        <w:widowControl w:val="0"/>
        <w:numPr>
          <w:ilvl w:val="0"/>
          <w:numId w:val="31"/>
        </w:numPr>
        <w:tabs>
          <w:tab w:val="clear" w:pos="720"/>
          <w:tab w:val="left" w:pos="567"/>
        </w:tabs>
        <w:suppressAutoHyphens/>
        <w:ind w:left="567" w:hanging="501"/>
        <w:rPr>
          <w:szCs w:val="22"/>
          <w:lang w:val="hu-HU"/>
        </w:rPr>
      </w:pPr>
      <w:r>
        <w:rPr>
          <w:szCs w:val="22"/>
          <w:lang w:val="hu-HU"/>
        </w:rPr>
        <w:t>egyéb HMG</w:t>
      </w:r>
      <w:r>
        <w:rPr>
          <w:szCs w:val="22"/>
          <w:lang w:val="hu-HU"/>
        </w:rPr>
        <w:noBreakHyphen/>
        <w:t>CoA</w:t>
      </w:r>
      <w:r>
        <w:rPr>
          <w:szCs w:val="22"/>
          <w:lang w:val="hu-HU"/>
        </w:rPr>
        <w:noBreakHyphen/>
        <w:t>reduktáz</w:t>
      </w:r>
      <w:r>
        <w:rPr>
          <w:szCs w:val="22"/>
          <w:lang w:val="hu-HU"/>
        </w:rPr>
        <w:noBreakHyphen/>
        <w:t>gátló- vagy fibrát-kezelés alkalmazása során kialakult izomkárosodás a kórtörténetben,</w:t>
      </w:r>
    </w:p>
    <w:p w:rsidR="00A00261" w:rsidRDefault="00087B68">
      <w:pPr>
        <w:widowControl w:val="0"/>
        <w:numPr>
          <w:ilvl w:val="0"/>
          <w:numId w:val="31"/>
        </w:numPr>
        <w:tabs>
          <w:tab w:val="clear" w:pos="720"/>
          <w:tab w:val="left" w:pos="567"/>
        </w:tabs>
        <w:suppressAutoHyphens/>
        <w:ind w:left="567" w:hanging="501"/>
        <w:rPr>
          <w:szCs w:val="22"/>
          <w:lang w:val="hu-HU"/>
        </w:rPr>
      </w:pPr>
      <w:r>
        <w:rPr>
          <w:szCs w:val="22"/>
          <w:lang w:val="hu-HU"/>
        </w:rPr>
        <w:t>alkoholabúzus,</w:t>
      </w:r>
    </w:p>
    <w:p w:rsidR="00A00261" w:rsidRDefault="00087B68">
      <w:pPr>
        <w:widowControl w:val="0"/>
        <w:numPr>
          <w:ilvl w:val="0"/>
          <w:numId w:val="31"/>
        </w:numPr>
        <w:tabs>
          <w:tab w:val="clear" w:pos="720"/>
          <w:tab w:val="left" w:pos="567"/>
        </w:tabs>
        <w:suppressAutoHyphens/>
        <w:ind w:left="567" w:hanging="501"/>
        <w:rPr>
          <w:szCs w:val="22"/>
          <w:lang w:val="hu-HU"/>
        </w:rPr>
      </w:pPr>
      <w:r>
        <w:rPr>
          <w:szCs w:val="22"/>
          <w:lang w:val="hu-HU"/>
        </w:rPr>
        <w:t>70 év feletti életkor,</w:t>
      </w:r>
    </w:p>
    <w:p w:rsidR="00A00261" w:rsidRDefault="00087B68">
      <w:pPr>
        <w:widowControl w:val="0"/>
        <w:numPr>
          <w:ilvl w:val="0"/>
          <w:numId w:val="31"/>
        </w:numPr>
        <w:tabs>
          <w:tab w:val="clear" w:pos="720"/>
          <w:tab w:val="left" w:pos="567"/>
        </w:tabs>
        <w:suppressAutoHyphens/>
        <w:ind w:left="567" w:hanging="501"/>
        <w:rPr>
          <w:szCs w:val="22"/>
          <w:lang w:val="hu-HU"/>
        </w:rPr>
      </w:pPr>
      <w:r>
        <w:rPr>
          <w:szCs w:val="22"/>
          <w:lang w:val="hu-HU"/>
        </w:rPr>
        <w:t>olyan helyzetek, amelyekben a plazmaszint emelkedése fordulhat elő (lásd 4.2, 4.5 és 5.2 pont),</w:t>
      </w:r>
    </w:p>
    <w:p w:rsidR="00A00261" w:rsidRDefault="00087B68">
      <w:pPr>
        <w:widowControl w:val="0"/>
        <w:numPr>
          <w:ilvl w:val="0"/>
          <w:numId w:val="31"/>
        </w:numPr>
        <w:tabs>
          <w:tab w:val="clear" w:pos="720"/>
          <w:tab w:val="left" w:pos="567"/>
        </w:tabs>
        <w:suppressAutoHyphens/>
        <w:ind w:left="567" w:hanging="501"/>
        <w:rPr>
          <w:szCs w:val="22"/>
          <w:lang w:val="hu-HU"/>
        </w:rPr>
      </w:pPr>
      <w:r>
        <w:rPr>
          <w:szCs w:val="22"/>
          <w:lang w:val="hu-HU"/>
        </w:rPr>
        <w:t>fibrátok egyidejű alkalmazása.</w:t>
      </w:r>
    </w:p>
    <w:p w:rsidR="00A00261" w:rsidRDefault="00A00261">
      <w:pPr>
        <w:widowControl w:val="0"/>
        <w:tabs>
          <w:tab w:val="left" w:pos="567"/>
        </w:tabs>
        <w:suppressAutoHyphens/>
        <w:ind w:left="66"/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Ezeknél a betegeknél mérlegelni kell a kezelés kockázatát a terápia lehetséges előnyével szemben, és klinikai monitorozás javasolt. Ha a CK</w:t>
      </w:r>
      <w:r>
        <w:rPr>
          <w:szCs w:val="22"/>
          <w:lang w:val="hu-HU"/>
        </w:rPr>
        <w:noBreakHyphen/>
        <w:t>szint kiinduláskor szignifikánsan emelkedett (&gt; 5×ULN), akkor a kezelést nem szabad megkezdeni.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keepNext/>
        <w:rPr>
          <w:iCs/>
          <w:szCs w:val="22"/>
          <w:u w:val="single"/>
          <w:lang w:val="hu-HU"/>
        </w:rPr>
      </w:pPr>
      <w:r>
        <w:rPr>
          <w:iCs/>
          <w:szCs w:val="22"/>
          <w:u w:val="single"/>
          <w:lang w:val="hu-HU"/>
        </w:rPr>
        <w:t>A kezelés során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 xml:space="preserve">A betegeket meg kell kérni, hogy azonnal számoljanak be ismeretlen eredetű izomfájdalom, izomgyengeség vagy izomgörcsök jelentkezéséről – legfőképpen, ha ehhez rosszullét vagy láz társul. Ezeknél a betegeknél meg kell mérni a CK-szintet. A terápiát meg kell szakítani, ha a CK-szint jelentősen megemelkedik (&gt; 5×ULN), vagy az izomtünetek súlyosak és a mindennapi tevékenység során panaszokat okoznak (akkor is, ha a CK-szint </w:t>
      </w:r>
      <w:r>
        <w:rPr>
          <w:rFonts w:ascii="Symbol" w:hAnsi="Symbol"/>
          <w:szCs w:val="22"/>
          <w:lang w:val="hu-HU"/>
        </w:rPr>
        <w:t></w:t>
      </w:r>
      <w:r>
        <w:rPr>
          <w:szCs w:val="22"/>
          <w:lang w:val="hu-HU"/>
        </w:rPr>
        <w:t> 5×ULN). Ha a tünetek megszűnnek, és a CK</w:t>
      </w:r>
      <w:r>
        <w:rPr>
          <w:szCs w:val="22"/>
          <w:lang w:val="hu-HU"/>
        </w:rPr>
        <w:noBreakHyphen/>
        <w:t xml:space="preserve">szint is normalizálódik, megfontolandó a rozuvasztatin vagy más HMG-CoA-reduktáz-gátló újbóli alkalmazása – a legkisebb dózisban, gondos monitorozással. Tünetmentes betegeknél a CK-szint ellenőrzése nem indokolt. </w:t>
      </w:r>
      <w:r>
        <w:rPr>
          <w:spacing w:val="-4"/>
          <w:szCs w:val="22"/>
          <w:lang w:val="hu-HU"/>
        </w:rPr>
        <w:t>Nagyon ritkán előfordult immunmediált nekrotizáló myopathia (IMNM) bizonyos sztatinokkal, köztük a rozuvasztatinnal való kezelés alatt vagy után. Az IMNM-t proximális izomgyengeség és emelkedett szérum kreatin-kináz</w:t>
      </w:r>
      <w:r>
        <w:rPr>
          <w:spacing w:val="-4"/>
          <w:szCs w:val="22"/>
          <w:lang w:val="hu-HU"/>
        </w:rPr>
        <w:noBreakHyphen/>
        <w:t>értékek jellemzik, amelyek a sztatin-kezelés megszakítása ellenére fennmaradnak.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lastRenderedPageBreak/>
        <w:t xml:space="preserve">A klinikai vizsgálatok során rozuvasztatinnal kezelt és egyidejű terápiában részesülő, kis létszámú </w:t>
      </w:r>
      <w:r>
        <w:rPr>
          <w:spacing w:val="-4"/>
          <w:szCs w:val="22"/>
          <w:lang w:val="hu-HU"/>
        </w:rPr>
        <w:t>betegpopulációban nem volt bizonyíték a vázizomzaton fokozottan érvényesülő hatásokra. Mindazonáltal,</w:t>
      </w:r>
      <w:r>
        <w:rPr>
          <w:szCs w:val="22"/>
          <w:lang w:val="hu-HU"/>
        </w:rPr>
        <w:t xml:space="preserve"> a myositis és a myopathia gyakoriságának növekedését észlelték más HMG</w:t>
      </w:r>
      <w:r>
        <w:rPr>
          <w:szCs w:val="22"/>
          <w:lang w:val="hu-HU"/>
        </w:rPr>
        <w:noBreakHyphen/>
        <w:t>CoA</w:t>
      </w:r>
      <w:r>
        <w:rPr>
          <w:szCs w:val="22"/>
          <w:lang w:val="hu-HU"/>
        </w:rPr>
        <w:noBreakHyphen/>
        <w:t>reduktáz</w:t>
      </w:r>
      <w:r>
        <w:rPr>
          <w:szCs w:val="22"/>
          <w:lang w:val="hu-HU"/>
        </w:rPr>
        <w:noBreakHyphen/>
        <w:t>gátlókkal és fibrát</w:t>
      </w:r>
      <w:r>
        <w:rPr>
          <w:szCs w:val="22"/>
          <w:lang w:val="hu-HU"/>
        </w:rPr>
        <w:noBreakHyphen/>
        <w:t xml:space="preserve">származékokkal (pl. gemfibrozil), ciklosporinnal, nikotinsavval, azol-típusú gomba elleni </w:t>
      </w:r>
      <w:r>
        <w:rPr>
          <w:spacing w:val="-4"/>
          <w:szCs w:val="22"/>
          <w:lang w:val="hu-HU"/>
        </w:rPr>
        <w:t>szerekkel, proteáz-gátlókkal és makrolid antibiotikumokkal egyidejűleg kezelt betegeknél. A gemfibrozil</w:t>
      </w:r>
      <w:r>
        <w:rPr>
          <w:szCs w:val="22"/>
          <w:lang w:val="hu-HU"/>
        </w:rPr>
        <w:t xml:space="preserve"> egyes HMG-CoA-reduktáz</w:t>
      </w:r>
      <w:r>
        <w:rPr>
          <w:szCs w:val="22"/>
          <w:lang w:val="hu-HU"/>
        </w:rPr>
        <w:noBreakHyphen/>
        <w:t xml:space="preserve">gátlókkal együtt adva növeli a myopathia kockázatát, ezért a rozuvasztatin és a gemfibrozil kombinációja nem ajánlott. A rozuvasztatin fibrátokkal vagy niacinnal kombinált </w:t>
      </w:r>
      <w:r>
        <w:rPr>
          <w:spacing w:val="-2"/>
          <w:szCs w:val="22"/>
          <w:lang w:val="hu-HU"/>
        </w:rPr>
        <w:t>alkalmazásakor, a lipidszintek további csökkenéséből származó előnnyel szemben gondosan mérlegelni</w:t>
      </w:r>
      <w:r>
        <w:rPr>
          <w:szCs w:val="22"/>
          <w:lang w:val="hu-HU"/>
        </w:rPr>
        <w:t xml:space="preserve"> kell az ilyen kombinációk lehetséges kockázatait. A rozuvasztatin 30 mg-os és 40 mg-os dózisainak alkalmazása ellenjavallt fibrát egyidejű alkalmazásakor (lásd 4.5 és 4.8 pont).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rozuvasztatint nem szabad alkalmazni myopathia gyanúját felvető vagy rhabdomyolysis okozta veseelégtelenség kialakulására hajlamosító, súlyos, akut állapotokban (pl. sepsis, hypotonia, nagy műtét, trauma, súlyos anyagcsere- és endokrin rendellenességek, az elektrolit-háztartás zavara, nem kontrollált görcsrohamok).</w:t>
      </w:r>
    </w:p>
    <w:p w:rsidR="00A00261" w:rsidRDefault="00A00261">
      <w:pPr>
        <w:autoSpaceDE w:val="0"/>
        <w:autoSpaceDN w:val="0"/>
        <w:adjustRightInd w:val="0"/>
        <w:rPr>
          <w:bCs/>
          <w:szCs w:val="22"/>
          <w:lang w:val="hu-HU" w:eastAsia="nl-BE"/>
        </w:rPr>
      </w:pPr>
    </w:p>
    <w:p w:rsidR="00A00261" w:rsidRDefault="00087B68">
      <w:pPr>
        <w:pStyle w:val="Default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 Roxiper filmtablettát tilos együtt adni szisztémás fuzidinsav-készítményekkel, vagy a fuzidinsav</w:t>
      </w:r>
      <w:r>
        <w:rPr>
          <w:color w:val="auto"/>
          <w:sz w:val="22"/>
          <w:szCs w:val="22"/>
          <w:lang w:val="hu-HU"/>
        </w:rPr>
        <w:noBreakHyphen/>
        <w:t>kezelés leállítását követő 7 napon belül alkalmazni. Azokban az esetekben, amelyekben nélkülözhetetlennek tekintik a fuzidinsav szisztémás alkalmazását, a fuzidinsav-kezelés teljes időtartamára le kell állítani a sztatin-kezelést. Fuzidinsav és sztatinok kombinációjával kezelt betegeknél (néhány esetben végzetes) rhabdomyolysisről számoltak be (lásd 4.5 pont). A betegnek azt kell tanácsolni, hogy azonnal forduljon orvoshoz, ha az izomgyengeség, izomfájdalom vagy izomnyomásérzékenység bármilyen jelét tapasztalja.</w:t>
      </w:r>
    </w:p>
    <w:p w:rsidR="00A00261" w:rsidRDefault="00087B68">
      <w:pPr>
        <w:pStyle w:val="Default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 sztatin-kezelés a fuzidinsav utolsó dózisa után 7 nappal kezdhető újra.</w:t>
      </w:r>
    </w:p>
    <w:p w:rsidR="00A00261" w:rsidRDefault="00087B68">
      <w:pPr>
        <w:pStyle w:val="Default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Kivételes esetekben, amikor a fuzidinsav tartós szisztémás alkalmazása szükséges (pl. súlyos fertőzések kezelése céljából), a Roxiper és a fuzidinsav egyidejű adását esetenként kell mérlegelni, és az alkalmazás szoros orvosi felügyeletet igényel.</w:t>
      </w:r>
    </w:p>
    <w:p w:rsidR="00A00261" w:rsidRDefault="00A00261">
      <w:pPr>
        <w:pStyle w:val="Default"/>
        <w:rPr>
          <w:color w:val="auto"/>
          <w:sz w:val="22"/>
          <w:szCs w:val="22"/>
          <w:lang w:val="hu-HU"/>
        </w:rPr>
      </w:pPr>
    </w:p>
    <w:p w:rsidR="00A00261" w:rsidRDefault="00087B68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A renin</w:t>
      </w:r>
      <w:r>
        <w:rPr>
          <w:szCs w:val="22"/>
          <w:u w:val="single"/>
          <w:lang w:val="hu-HU"/>
        </w:rPr>
        <w:noBreakHyphen/>
        <w:t>angiotenzin</w:t>
      </w:r>
      <w:r>
        <w:rPr>
          <w:szCs w:val="22"/>
          <w:u w:val="single"/>
          <w:lang w:val="hu-HU"/>
        </w:rPr>
        <w:noBreakHyphen/>
        <w:t>aldoszteron rendszer kettős blokádja (RAAS)</w:t>
      </w:r>
    </w:p>
    <w:p w:rsidR="00A00261" w:rsidRDefault="00087B68">
      <w:pPr>
        <w:rPr>
          <w:szCs w:val="22"/>
          <w:lang w:val="hu-HU"/>
        </w:rPr>
      </w:pPr>
      <w:r>
        <w:rPr>
          <w:spacing w:val="-2"/>
          <w:szCs w:val="22"/>
          <w:lang w:val="hu-HU"/>
        </w:rPr>
        <w:t>Bizonyított, hogy ACE-gátlók, angiotenzin II</w:t>
      </w:r>
      <w:r>
        <w:rPr>
          <w:spacing w:val="-2"/>
          <w:szCs w:val="22"/>
          <w:lang w:val="hu-HU"/>
        </w:rPr>
        <w:noBreakHyphen/>
        <w:t>receptor-blokkolók vagy aliszkirén egyidejű alkalmazása</w:t>
      </w:r>
      <w:r>
        <w:rPr>
          <w:szCs w:val="22"/>
          <w:lang w:val="hu-HU"/>
        </w:rPr>
        <w:t xml:space="preserve"> fokozza a hypotonia, hyperkalaemia és csökkent veseműködés kockázatát (ideértve az akut veseelégtelenséget is). Emiatt a RAAS kettős blokádja ACE-gátlók, angiotenzin II</w:t>
      </w:r>
      <w:r>
        <w:rPr>
          <w:szCs w:val="22"/>
          <w:lang w:val="hu-HU"/>
        </w:rPr>
        <w:noBreakHyphen/>
        <w:t>receptor-blokkolók vagy aliszkirén kombinált alkalmazásával nem ajánlott (lásd 4.5 és 5.1 pont).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Ha a kettős-blokád-kezelést feltétlenül szükségesnek ítélik, akkor az csak szakorvosi felügyelettel, a vesefunkció, az elektrolitszintek és a vérnyomás gyakori és szoros ellenőrzése mellett végezhető.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ACE-gátlók és angiotenzin II</w:t>
      </w:r>
      <w:r>
        <w:rPr>
          <w:szCs w:val="22"/>
          <w:lang w:val="hu-HU"/>
        </w:rPr>
        <w:noBreakHyphen/>
        <w:t>receptor-blokkolók nem alkalmazhatók egyidejűleg diabeteses nephropathiában is szenvedő betegeknél.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Proteáz-gátlók</w:t>
      </w:r>
    </w:p>
    <w:p w:rsidR="00A00261" w:rsidRDefault="00087B68">
      <w:pPr>
        <w:rPr>
          <w:szCs w:val="22"/>
          <w:lang w:val="hu-HU"/>
        </w:rPr>
      </w:pPr>
      <w:r>
        <w:rPr>
          <w:spacing w:val="-2"/>
          <w:szCs w:val="22"/>
          <w:lang w:val="hu-HU"/>
        </w:rPr>
        <w:t>Megnövekedett szisztémás rozuvasztatin</w:t>
      </w:r>
      <w:r>
        <w:rPr>
          <w:spacing w:val="-2"/>
          <w:szCs w:val="22"/>
          <w:lang w:val="hu-HU"/>
        </w:rPr>
        <w:noBreakHyphen/>
        <w:t>expozíciót figyeltek meg a rozuvasztatinnal, továbbá különféle</w:t>
      </w:r>
      <w:r>
        <w:rPr>
          <w:szCs w:val="22"/>
          <w:lang w:val="hu-HU"/>
        </w:rPr>
        <w:t xml:space="preserve"> proteáz</w:t>
      </w:r>
      <w:r>
        <w:rPr>
          <w:szCs w:val="22"/>
          <w:lang w:val="hu-HU"/>
        </w:rPr>
        <w:noBreakHyphen/>
        <w:t>gátlók és ritonavir kombinációjával egyidejűleg kezelt alanyoknál. Proteáz-gátlókkal kezelt HIV</w:t>
      </w:r>
      <w:r>
        <w:rPr>
          <w:szCs w:val="22"/>
          <w:lang w:val="hu-HU"/>
        </w:rPr>
        <w:noBreakHyphen/>
        <w:t>betegeknél mérlegelni kell mind a lipidszintek rozuvasztatinnal elért csökkenéséből származó előnyt, mind az emelkedett rozuvasztatin plazmaszint kialakulásának lehetőségét a rozuvasztatin adásának megkezdésekor és dózisának növelésekor. Az egyidejű alkalmazás proteáz-gátlókkal nem ajánlott, kivéve, ha módosítják a rozuvasztatin adagját (lásd 4.2 és 4.5 pont).</w:t>
      </w:r>
    </w:p>
    <w:p w:rsidR="00A00261" w:rsidRDefault="00A00261">
      <w:pPr>
        <w:rPr>
          <w:szCs w:val="22"/>
          <w:u w:val="single"/>
          <w:lang w:val="hu-HU"/>
        </w:rPr>
      </w:pPr>
    </w:p>
    <w:p w:rsidR="00A00261" w:rsidRDefault="00087B68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Súlyos, bőrt érintő mellékhatások</w:t>
      </w:r>
    </w:p>
    <w:p w:rsidR="00A00261" w:rsidRDefault="00087B68">
      <w:pPr>
        <w:pStyle w:val="Szvegtrzs"/>
        <w:kinsoku w:val="0"/>
        <w:overflowPunct w:val="0"/>
        <w:spacing w:before="136"/>
        <w:ind w:right="136"/>
        <w:rPr>
          <w:lang w:val="hu-HU"/>
        </w:rPr>
      </w:pPr>
      <w:r>
        <w:rPr>
          <w:szCs w:val="22"/>
          <w:lang w:val="hu-HU"/>
        </w:rPr>
        <w:t xml:space="preserve">A rozuvasztatin-kezeléssel kapcsolatban súlyos, bőrt érintő mellékhatásokat jelentettek, beleértve a </w:t>
      </w:r>
      <w:r>
        <w:rPr>
          <w:bCs/>
          <w:spacing w:val="-1"/>
          <w:lang w:val="hu-HU"/>
        </w:rPr>
        <w:t>Stevens–Johnson-szindrómát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(SJS)</w:t>
      </w:r>
      <w:r>
        <w:rPr>
          <w:bCs/>
          <w:spacing w:val="-2"/>
          <w:lang w:val="hu-HU"/>
        </w:rPr>
        <w:t xml:space="preserve"> </w:t>
      </w:r>
      <w:r>
        <w:rPr>
          <w:bCs/>
          <w:lang w:val="hu-HU"/>
        </w:rPr>
        <w:t xml:space="preserve">és </w:t>
      </w:r>
      <w:r>
        <w:rPr>
          <w:bCs/>
          <w:spacing w:val="-2"/>
          <w:lang w:val="hu-HU"/>
        </w:rPr>
        <w:t>az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eosinophiliával</w:t>
      </w:r>
      <w:r>
        <w:rPr>
          <w:bCs/>
          <w:spacing w:val="1"/>
          <w:lang w:val="hu-HU"/>
        </w:rPr>
        <w:t xml:space="preserve"> </w:t>
      </w:r>
      <w:r>
        <w:rPr>
          <w:bCs/>
          <w:spacing w:val="-1"/>
          <w:lang w:val="hu-HU"/>
        </w:rPr>
        <w:t>és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szisztémás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tünetekkel</w:t>
      </w:r>
      <w:r>
        <w:rPr>
          <w:bCs/>
          <w:spacing w:val="1"/>
          <w:lang w:val="hu-HU"/>
        </w:rPr>
        <w:t xml:space="preserve"> </w:t>
      </w:r>
      <w:r>
        <w:rPr>
          <w:bCs/>
          <w:spacing w:val="-1"/>
          <w:lang w:val="hu-HU"/>
        </w:rPr>
        <w:t>járó</w:t>
      </w:r>
      <w:r>
        <w:rPr>
          <w:bCs/>
          <w:spacing w:val="51"/>
          <w:lang w:val="hu-HU"/>
        </w:rPr>
        <w:t xml:space="preserve"> </w:t>
      </w:r>
      <w:r>
        <w:rPr>
          <w:bCs/>
          <w:spacing w:val="-1"/>
          <w:lang w:val="hu-HU"/>
        </w:rPr>
        <w:t>gyógyszerrreakciót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(drug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reaction</w:t>
      </w:r>
      <w:r>
        <w:rPr>
          <w:bCs/>
          <w:spacing w:val="-3"/>
          <w:lang w:val="hu-HU"/>
        </w:rPr>
        <w:t xml:space="preserve"> </w:t>
      </w:r>
      <w:r>
        <w:rPr>
          <w:bCs/>
          <w:lang w:val="hu-HU"/>
        </w:rPr>
        <w:t>with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eosinophilia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and systemic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symptoms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 xml:space="preserve">DRESS) </w:t>
      </w:r>
      <w:r>
        <w:rPr>
          <w:bCs/>
          <w:lang w:val="hu-HU"/>
        </w:rPr>
        <w:t>is,</w:t>
      </w:r>
      <w:r>
        <w:rPr>
          <w:bCs/>
          <w:spacing w:val="81"/>
          <w:lang w:val="hu-HU"/>
        </w:rPr>
        <w:t xml:space="preserve"> </w:t>
      </w:r>
      <w:r>
        <w:rPr>
          <w:bCs/>
          <w:lang w:val="hu-HU"/>
        </w:rPr>
        <w:t xml:space="preserve">amely </w:t>
      </w:r>
      <w:r>
        <w:rPr>
          <w:bCs/>
          <w:spacing w:val="-1"/>
          <w:lang w:val="hu-HU"/>
        </w:rPr>
        <w:t>életveszélyes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vagy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halálos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kimenetű</w:t>
      </w:r>
      <w:r>
        <w:rPr>
          <w:bCs/>
          <w:spacing w:val="-3"/>
          <w:lang w:val="hu-HU"/>
        </w:rPr>
        <w:t xml:space="preserve"> </w:t>
      </w:r>
      <w:r>
        <w:rPr>
          <w:bCs/>
          <w:lang w:val="hu-HU"/>
        </w:rPr>
        <w:t>is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lehet.</w:t>
      </w:r>
      <w:r>
        <w:rPr>
          <w:bCs/>
          <w:spacing w:val="-3"/>
          <w:lang w:val="hu-HU"/>
        </w:rPr>
        <w:t xml:space="preserve"> </w:t>
      </w:r>
      <w:r>
        <w:rPr>
          <w:bCs/>
          <w:lang w:val="hu-HU"/>
        </w:rPr>
        <w:t>A</w:t>
      </w:r>
      <w:r>
        <w:rPr>
          <w:bCs/>
          <w:spacing w:val="-1"/>
          <w:lang w:val="hu-HU"/>
        </w:rPr>
        <w:t xml:space="preserve"> beteget</w:t>
      </w:r>
      <w:r>
        <w:rPr>
          <w:bCs/>
          <w:lang w:val="hu-HU"/>
        </w:rPr>
        <w:t xml:space="preserve"> a </w:t>
      </w:r>
      <w:r>
        <w:rPr>
          <w:bCs/>
          <w:spacing w:val="-1"/>
          <w:lang w:val="hu-HU"/>
        </w:rPr>
        <w:t>gyógyszer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rendelésekor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tájékoztatni</w:t>
      </w:r>
      <w:r>
        <w:rPr>
          <w:bCs/>
          <w:spacing w:val="79"/>
          <w:lang w:val="hu-HU"/>
        </w:rPr>
        <w:t xml:space="preserve"> </w:t>
      </w:r>
      <w:r>
        <w:rPr>
          <w:bCs/>
          <w:lang w:val="hu-HU"/>
        </w:rPr>
        <w:t>kell</w:t>
      </w:r>
      <w:r>
        <w:rPr>
          <w:bCs/>
          <w:spacing w:val="-2"/>
          <w:lang w:val="hu-HU"/>
        </w:rPr>
        <w:t xml:space="preserve"> </w:t>
      </w:r>
      <w:r>
        <w:rPr>
          <w:bCs/>
          <w:lang w:val="hu-HU"/>
        </w:rPr>
        <w:t xml:space="preserve">a </w:t>
      </w:r>
      <w:r>
        <w:rPr>
          <w:bCs/>
          <w:spacing w:val="-1"/>
          <w:lang w:val="hu-HU"/>
        </w:rPr>
        <w:t>súlyos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bőrreakciók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jeleiről</w:t>
      </w:r>
      <w:r>
        <w:rPr>
          <w:bCs/>
          <w:spacing w:val="-2"/>
          <w:lang w:val="hu-HU"/>
        </w:rPr>
        <w:t xml:space="preserve"> </w:t>
      </w:r>
      <w:r>
        <w:rPr>
          <w:bCs/>
          <w:lang w:val="hu-HU"/>
        </w:rPr>
        <w:t xml:space="preserve">és </w:t>
      </w:r>
      <w:r>
        <w:rPr>
          <w:bCs/>
          <w:spacing w:val="-1"/>
          <w:lang w:val="hu-HU"/>
        </w:rPr>
        <w:t>tüneteiről,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továbbá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szoros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felügyelet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szükséges.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Amennyiben</w:t>
      </w:r>
      <w:r>
        <w:rPr>
          <w:bCs/>
          <w:spacing w:val="71"/>
          <w:lang w:val="hu-HU"/>
        </w:rPr>
        <w:t xml:space="preserve"> </w:t>
      </w:r>
      <w:r>
        <w:rPr>
          <w:bCs/>
          <w:lang w:val="hu-HU"/>
        </w:rPr>
        <w:t>ezen</w:t>
      </w:r>
      <w:r>
        <w:rPr>
          <w:bCs/>
          <w:spacing w:val="-1"/>
          <w:lang w:val="hu-HU"/>
        </w:rPr>
        <w:t xml:space="preserve"> reakciókra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utaló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 xml:space="preserve">jelek </w:t>
      </w:r>
      <w:r>
        <w:rPr>
          <w:bCs/>
          <w:lang w:val="hu-HU"/>
        </w:rPr>
        <w:t xml:space="preserve">és </w:t>
      </w:r>
      <w:r>
        <w:rPr>
          <w:bCs/>
          <w:spacing w:val="-1"/>
          <w:lang w:val="hu-HU"/>
        </w:rPr>
        <w:t>tünetek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jelentkeznek</w:t>
      </w:r>
      <w:r>
        <w:rPr>
          <w:bCs/>
          <w:spacing w:val="-3"/>
          <w:lang w:val="hu-HU"/>
        </w:rPr>
        <w:t xml:space="preserve"> </w:t>
      </w:r>
      <w:r>
        <w:rPr>
          <w:bCs/>
          <w:lang w:val="hu-HU"/>
        </w:rPr>
        <w:t>a Roxiper</w:t>
      </w:r>
      <w:r>
        <w:rPr>
          <w:bCs/>
          <w:spacing w:val="-1"/>
          <w:lang w:val="hu-HU"/>
        </w:rPr>
        <w:t xml:space="preserve"> alkalmazását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azonnal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fel</w:t>
      </w:r>
      <w:r>
        <w:rPr>
          <w:bCs/>
          <w:spacing w:val="55"/>
          <w:lang w:val="hu-HU"/>
        </w:rPr>
        <w:t xml:space="preserve"> </w:t>
      </w:r>
      <w:r>
        <w:rPr>
          <w:bCs/>
          <w:lang w:val="hu-HU"/>
        </w:rPr>
        <w:t>kell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függeszteni,</w:t>
      </w:r>
      <w:r>
        <w:rPr>
          <w:bCs/>
          <w:lang w:val="hu-HU"/>
        </w:rPr>
        <w:t xml:space="preserve"> és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más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kezelés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lehetőségét</w:t>
      </w:r>
      <w:r>
        <w:rPr>
          <w:bCs/>
          <w:lang w:val="hu-HU"/>
        </w:rPr>
        <w:t xml:space="preserve"> </w:t>
      </w:r>
      <w:r>
        <w:rPr>
          <w:bCs/>
          <w:spacing w:val="-2"/>
          <w:lang w:val="hu-HU"/>
        </w:rPr>
        <w:t>kell</w:t>
      </w:r>
      <w:r>
        <w:rPr>
          <w:bCs/>
          <w:spacing w:val="1"/>
          <w:lang w:val="hu-HU"/>
        </w:rPr>
        <w:t xml:space="preserve"> </w:t>
      </w:r>
      <w:r>
        <w:rPr>
          <w:bCs/>
          <w:spacing w:val="-1"/>
          <w:lang w:val="hu-HU"/>
        </w:rPr>
        <w:t>megfontolni.</w:t>
      </w:r>
    </w:p>
    <w:p w:rsidR="00A00261" w:rsidRDefault="00087B68">
      <w:pPr>
        <w:pStyle w:val="Szvegtrzs"/>
        <w:kinsoku w:val="0"/>
        <w:overflowPunct w:val="0"/>
        <w:spacing w:before="164" w:line="266" w:lineRule="auto"/>
        <w:ind w:right="191"/>
        <w:rPr>
          <w:lang w:val="hu-HU"/>
        </w:rPr>
      </w:pPr>
      <w:r>
        <w:rPr>
          <w:bCs/>
          <w:lang w:val="hu-HU"/>
        </w:rPr>
        <w:t xml:space="preserve">Ha a </w:t>
      </w:r>
      <w:r>
        <w:rPr>
          <w:bCs/>
          <w:spacing w:val="-1"/>
          <w:lang w:val="hu-HU"/>
        </w:rPr>
        <w:t>betegnél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súlyos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mellékhatás</w:t>
      </w:r>
      <w:r>
        <w:rPr>
          <w:bCs/>
          <w:spacing w:val="-2"/>
          <w:lang w:val="hu-HU"/>
        </w:rPr>
        <w:t xml:space="preserve"> </w:t>
      </w:r>
      <w:r>
        <w:rPr>
          <w:bCs/>
          <w:lang w:val="hu-HU"/>
        </w:rPr>
        <w:t xml:space="preserve">– </w:t>
      </w:r>
      <w:r>
        <w:rPr>
          <w:bCs/>
          <w:spacing w:val="-1"/>
          <w:lang w:val="hu-HU"/>
        </w:rPr>
        <w:t>például</w:t>
      </w:r>
      <w:r>
        <w:rPr>
          <w:bCs/>
          <w:spacing w:val="1"/>
          <w:lang w:val="hu-HU"/>
        </w:rPr>
        <w:t xml:space="preserve"> </w:t>
      </w:r>
      <w:r>
        <w:rPr>
          <w:bCs/>
          <w:spacing w:val="-1"/>
          <w:lang w:val="hu-HU"/>
        </w:rPr>
        <w:t>SJS vagy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 xml:space="preserve">DRESS </w:t>
      </w:r>
      <w:r>
        <w:rPr>
          <w:bCs/>
          <w:lang w:val="hu-HU"/>
        </w:rPr>
        <w:t xml:space="preserve">– </w:t>
      </w:r>
      <w:r>
        <w:rPr>
          <w:bCs/>
          <w:spacing w:val="-1"/>
          <w:lang w:val="hu-HU"/>
        </w:rPr>
        <w:t>jelentkezik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a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Roxiper</w:t>
      </w:r>
      <w:r>
        <w:rPr>
          <w:bCs/>
          <w:spacing w:val="61"/>
          <w:lang w:val="hu-HU"/>
        </w:rPr>
        <w:t xml:space="preserve"> </w:t>
      </w:r>
      <w:r>
        <w:rPr>
          <w:bCs/>
          <w:spacing w:val="-1"/>
          <w:lang w:val="hu-HU"/>
        </w:rPr>
        <w:t>alkalmazása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során,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akkor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ezeknél</w:t>
      </w:r>
      <w:r>
        <w:rPr>
          <w:bCs/>
          <w:spacing w:val="1"/>
          <w:lang w:val="hu-HU"/>
        </w:rPr>
        <w:t xml:space="preserve"> </w:t>
      </w:r>
      <w:r>
        <w:rPr>
          <w:bCs/>
          <w:lang w:val="hu-HU"/>
        </w:rPr>
        <w:t xml:space="preserve">a </w:t>
      </w:r>
      <w:r>
        <w:rPr>
          <w:bCs/>
          <w:spacing w:val="-1"/>
          <w:lang w:val="hu-HU"/>
        </w:rPr>
        <w:t>betegnél</w:t>
      </w:r>
      <w:r>
        <w:rPr>
          <w:bCs/>
          <w:spacing w:val="-2"/>
          <w:lang w:val="hu-HU"/>
        </w:rPr>
        <w:t xml:space="preserve"> </w:t>
      </w:r>
      <w:r>
        <w:rPr>
          <w:bCs/>
          <w:lang w:val="hu-HU"/>
        </w:rPr>
        <w:t xml:space="preserve">a </w:t>
      </w:r>
      <w:r>
        <w:rPr>
          <w:bCs/>
          <w:spacing w:val="-1"/>
          <w:lang w:val="hu-HU"/>
        </w:rPr>
        <w:t>Roxiper-kezelés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újrakezdése</w:t>
      </w:r>
      <w:r>
        <w:rPr>
          <w:bCs/>
          <w:lang w:val="hu-HU"/>
        </w:rPr>
        <w:t xml:space="preserve"> a</w:t>
      </w:r>
      <w:r>
        <w:rPr>
          <w:bCs/>
          <w:spacing w:val="69"/>
          <w:lang w:val="hu-HU"/>
        </w:rPr>
        <w:t xml:space="preserve"> </w:t>
      </w:r>
      <w:r>
        <w:rPr>
          <w:bCs/>
          <w:spacing w:val="-1"/>
          <w:lang w:val="hu-HU"/>
        </w:rPr>
        <w:t>későbbiekben</w:t>
      </w:r>
      <w:r>
        <w:rPr>
          <w:bCs/>
          <w:spacing w:val="-3"/>
          <w:lang w:val="hu-HU"/>
        </w:rPr>
        <w:t xml:space="preserve"> </w:t>
      </w:r>
      <w:r>
        <w:rPr>
          <w:bCs/>
          <w:lang w:val="hu-HU"/>
        </w:rPr>
        <w:t>is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tilos.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pStyle w:val="Cmsor2"/>
        <w:keepNext/>
      </w:pPr>
      <w:r>
        <w:t>4.5</w:t>
      </w:r>
      <w:r>
        <w:tab/>
        <w:t>Gyógyszerkölcsönhatások és egyéb interakciók</w:t>
      </w:r>
    </w:p>
    <w:p w:rsidR="00A00261" w:rsidRDefault="00A00261">
      <w:pPr>
        <w:keepNext/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keepNext/>
        <w:rPr>
          <w:u w:val="single"/>
          <w:lang w:val="hu-HU"/>
        </w:rPr>
      </w:pPr>
      <w:r>
        <w:rPr>
          <w:u w:val="single"/>
          <w:lang w:val="hu-HU"/>
        </w:rPr>
        <w:t>A perindoprilre és az indapamidra vonatkozóan</w:t>
      </w:r>
    </w:p>
    <w:p w:rsidR="00A00261" w:rsidRDefault="00A00261">
      <w:pPr>
        <w:keepNext/>
        <w:rPr>
          <w:lang w:val="hu-HU"/>
        </w:rPr>
      </w:pPr>
    </w:p>
    <w:p w:rsidR="00A00261" w:rsidRDefault="00087B68">
      <w:pPr>
        <w:keepNext/>
        <w:rPr>
          <w:i/>
          <w:iCs/>
          <w:szCs w:val="22"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Az egyidejű alkalmazásuk nem ajánlott:</w:t>
      </w:r>
    </w:p>
    <w:p w:rsidR="00A00261" w:rsidRDefault="00A00261">
      <w:pPr>
        <w:rPr>
          <w:lang w:val="hu-HU"/>
        </w:rPr>
      </w:pPr>
    </w:p>
    <w:p w:rsidR="00A00261" w:rsidRDefault="00087B68">
      <w:pPr>
        <w:rPr>
          <w:lang w:val="hu-HU"/>
        </w:rPr>
      </w:pPr>
      <w:r>
        <w:rPr>
          <w:i/>
          <w:lang w:val="hu-HU"/>
        </w:rPr>
        <w:t xml:space="preserve">Lítium: </w:t>
      </w:r>
      <w:r>
        <w:rPr>
          <w:lang w:val="hu-HU"/>
        </w:rPr>
        <w:t>A lítium szérum koncentrációjának és toxicitásának reverzibilis növekedéséről számoltak be lítium és ACE-gátlók egyidejű alkalmazása során. A perindopril és indapamid kombináció együttes alkalmazása lítiummal nem ajánlott – azonban, ha ez a kombináció szükségesnek bizonyul, akkor gondosan monitorozni kell a lítium szérumszintjét (lásd 4.4 pont).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i/>
          <w:szCs w:val="22"/>
          <w:u w:val="single"/>
          <w:lang w:val="hu-HU" w:eastAsia="en-US"/>
        </w:rPr>
      </w:pPr>
      <w:r>
        <w:rPr>
          <w:i/>
          <w:szCs w:val="22"/>
          <w:u w:val="single"/>
          <w:lang w:val="hu-HU" w:eastAsia="en-US"/>
        </w:rPr>
        <w:t>Az egyidejű alkalmazás fokozott körültekintést igényel</w:t>
      </w:r>
      <w:r>
        <w:rPr>
          <w:i/>
          <w:szCs w:val="22"/>
          <w:lang w:val="hu-HU" w:eastAsia="en-US"/>
        </w:rPr>
        <w:t>:</w:t>
      </w:r>
    </w:p>
    <w:p w:rsidR="00A00261" w:rsidRDefault="00A00261">
      <w:pPr>
        <w:widowControl w:val="0"/>
        <w:rPr>
          <w:iCs/>
          <w:szCs w:val="22"/>
          <w:lang w:val="hu-HU"/>
        </w:rPr>
      </w:pPr>
    </w:p>
    <w:p w:rsidR="00A00261" w:rsidRDefault="00087B68">
      <w:pPr>
        <w:widowControl w:val="0"/>
        <w:rPr>
          <w:iCs/>
          <w:szCs w:val="22"/>
          <w:lang w:val="hu-HU"/>
        </w:rPr>
      </w:pPr>
      <w:r>
        <w:rPr>
          <w:i/>
          <w:iCs/>
          <w:szCs w:val="22"/>
          <w:lang w:val="hu-HU"/>
        </w:rPr>
        <w:t>Baklofén:</w:t>
      </w:r>
      <w:r>
        <w:rPr>
          <w:iCs/>
          <w:szCs w:val="22"/>
          <w:lang w:val="hu-HU"/>
        </w:rPr>
        <w:t xml:space="preserve"> Potencírozza a vérnyomáscsökkentő hatást. A vérnyomást és a vesefunkciót folyamatosan monitorozni kell, és szükség esetén ennek megfelelően kell módosítani a vérnyomáscsökkentő adagját.</w:t>
      </w:r>
    </w:p>
    <w:p w:rsidR="00A00261" w:rsidRDefault="00A00261">
      <w:pPr>
        <w:widowControl w:val="0"/>
        <w:rPr>
          <w:iCs/>
          <w:szCs w:val="22"/>
          <w:lang w:val="hu-HU"/>
        </w:rPr>
      </w:pPr>
    </w:p>
    <w:p w:rsidR="00A00261" w:rsidRDefault="00087B68">
      <w:pPr>
        <w:widowControl w:val="0"/>
        <w:rPr>
          <w:bCs/>
          <w:szCs w:val="22"/>
          <w:lang w:val="hu-HU"/>
        </w:rPr>
      </w:pPr>
      <w:r>
        <w:rPr>
          <w:i/>
          <w:iCs/>
          <w:szCs w:val="22"/>
          <w:lang w:val="hu-HU"/>
        </w:rPr>
        <w:t xml:space="preserve">Nem-szteroid gyulladásgátlók (NSAID-ok) (ideértve az acetilszalicilsavat is </w:t>
      </w:r>
      <w:r>
        <w:rPr>
          <w:bCs/>
          <w:i/>
          <w:szCs w:val="22"/>
          <w:lang w:val="hu-HU"/>
        </w:rPr>
        <w:t xml:space="preserve">3 g/nap </w:t>
      </w:r>
      <w:r>
        <w:rPr>
          <w:i/>
          <w:iCs/>
          <w:szCs w:val="22"/>
          <w:lang w:val="hu-HU"/>
        </w:rPr>
        <w:t>vagy nagyobb dózisban):</w:t>
      </w:r>
      <w:r>
        <w:rPr>
          <w:iCs/>
          <w:szCs w:val="22"/>
          <w:lang w:val="hu-HU"/>
        </w:rPr>
        <w:t xml:space="preserve"> ACE-gátlókat </w:t>
      </w:r>
      <w:r>
        <w:rPr>
          <w:iCs/>
          <w:spacing w:val="-2"/>
          <w:szCs w:val="22"/>
          <w:lang w:val="hu-HU"/>
        </w:rPr>
        <w:t>nem-szteroid gyulladásgátló gyógyszerekkel (pl. gyulladáscsökkentő dózisban adott acetilszalicilsavval,</w:t>
      </w:r>
      <w:r>
        <w:rPr>
          <w:iCs/>
          <w:szCs w:val="22"/>
          <w:lang w:val="hu-HU"/>
        </w:rPr>
        <w:t xml:space="preserve"> </w:t>
      </w:r>
      <w:r>
        <w:rPr>
          <w:bCs/>
          <w:szCs w:val="22"/>
          <w:lang w:val="hu-HU"/>
        </w:rPr>
        <w:t xml:space="preserve">COX-2-gátlókkal vagy nem-szelektív NSAID-okkal) együtt adva gyengülhet a vérnyomáscsökkentő hatás. ACE-gátlók és NSAID-ok egyidejű alkalmazása fokozza a veseműködés romlásának (akár akut </w:t>
      </w:r>
      <w:r>
        <w:rPr>
          <w:bCs/>
          <w:spacing w:val="-4"/>
          <w:szCs w:val="22"/>
          <w:lang w:val="hu-HU"/>
        </w:rPr>
        <w:t>veseelégtelenség esetleges kialakulásának) és a szérum káliumszint emelkedésének fokozott kockázatát</w:t>
      </w:r>
      <w:r>
        <w:rPr>
          <w:bCs/>
          <w:szCs w:val="22"/>
          <w:lang w:val="hu-HU"/>
        </w:rPr>
        <w:t xml:space="preserve">, legfőképpen a veseműködés már fennálló károsodása esetén. Ezt a kombinációt – különösen </w:t>
      </w:r>
      <w:r>
        <w:rPr>
          <w:bCs/>
          <w:spacing w:val="-2"/>
          <w:szCs w:val="22"/>
          <w:lang w:val="hu-HU"/>
        </w:rPr>
        <w:t>az időseknél – körültekintően kell alkalmazni. Gondoskodni kell a betegek megfelelő hidráltságáról,</w:t>
      </w:r>
      <w:r>
        <w:rPr>
          <w:bCs/>
          <w:szCs w:val="22"/>
          <w:lang w:val="hu-HU"/>
        </w:rPr>
        <w:t xml:space="preserve"> továbbá megfontolandó a veseműködés monitorozása az egyidejű kezelés megkezdése után, ill. ezt követően időszakosan.</w:t>
      </w:r>
    </w:p>
    <w:p w:rsidR="00A00261" w:rsidRDefault="00A00261">
      <w:pPr>
        <w:widowControl w:val="0"/>
        <w:rPr>
          <w:bCs/>
          <w:szCs w:val="22"/>
          <w:lang w:val="hu-HU"/>
        </w:rPr>
      </w:pPr>
    </w:p>
    <w:p w:rsidR="00A00261" w:rsidRDefault="00087B68">
      <w:pPr>
        <w:keepNext/>
        <w:widowControl w:val="0"/>
        <w:rPr>
          <w:bCs/>
          <w:i/>
          <w:szCs w:val="22"/>
          <w:lang w:val="hu-HU"/>
        </w:rPr>
      </w:pPr>
      <w:r>
        <w:rPr>
          <w:bCs/>
          <w:i/>
          <w:szCs w:val="22"/>
          <w:u w:val="single"/>
          <w:lang w:val="hu-HU"/>
        </w:rPr>
        <w:t>Az egyidejű alkalmazás körültekintést igényel</w:t>
      </w:r>
      <w:r>
        <w:rPr>
          <w:bCs/>
          <w:i/>
          <w:szCs w:val="22"/>
          <w:lang w:val="hu-HU"/>
        </w:rPr>
        <w:t>:</w:t>
      </w:r>
    </w:p>
    <w:p w:rsidR="00A00261" w:rsidRDefault="00A00261">
      <w:pPr>
        <w:keepNext/>
        <w:widowControl w:val="0"/>
        <w:rPr>
          <w:iCs/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i/>
          <w:iCs/>
          <w:szCs w:val="22"/>
          <w:lang w:val="hu-HU"/>
        </w:rPr>
        <w:t xml:space="preserve">Imipramin-szerű (triciklusos) antidepresszánsok, neuroleptikumok: </w:t>
      </w:r>
      <w:r>
        <w:rPr>
          <w:szCs w:val="22"/>
          <w:lang w:val="hu-HU"/>
        </w:rPr>
        <w:t>A vérnyomáscsökkentő hatás fokozódása és az orthostaticus hypotonia kockázatának növekedése várható (additív hatás).</w:t>
      </w:r>
    </w:p>
    <w:p w:rsidR="00A00261" w:rsidRDefault="00A00261">
      <w:pPr>
        <w:widowControl w:val="0"/>
        <w:rPr>
          <w:iCs/>
          <w:szCs w:val="22"/>
          <w:lang w:val="hu-HU"/>
        </w:rPr>
      </w:pPr>
    </w:p>
    <w:p w:rsidR="00A00261" w:rsidRDefault="00087B68">
      <w:pPr>
        <w:rPr>
          <w:u w:val="single"/>
          <w:lang w:val="hu-HU"/>
        </w:rPr>
      </w:pPr>
      <w:r>
        <w:rPr>
          <w:u w:val="single"/>
          <w:lang w:val="hu-HU"/>
        </w:rPr>
        <w:t>A perindoprilre vonatkozóan</w:t>
      </w:r>
    </w:p>
    <w:p w:rsidR="00A00261" w:rsidRDefault="00A00261">
      <w:pPr>
        <w:keepNext/>
        <w:rPr>
          <w:szCs w:val="22"/>
          <w:lang w:val="hu-HU"/>
        </w:rPr>
      </w:pPr>
    </w:p>
    <w:p w:rsidR="00A00261" w:rsidRDefault="00087B68">
      <w:pPr>
        <w:rPr>
          <w:bCs/>
          <w:iCs/>
          <w:szCs w:val="22"/>
          <w:lang w:val="hu-HU"/>
        </w:rPr>
      </w:pPr>
      <w:r>
        <w:rPr>
          <w:bCs/>
          <w:iCs/>
          <w:szCs w:val="22"/>
          <w:lang w:val="hu-HU"/>
        </w:rPr>
        <w:t>A klinikai vizsgálati adatok azt mutatták, hogy a renin-angiotenzin-aldoszteron rendszer (RAAS) ACE-gátlók, angiotenzin II-receptor-blokkolók vagy aliszkirén együttes alkalmazásával elért kettős blokádja nagyobb gyakorisággal okoz mellékhatásokat – pl. hypotoniát, hyperkalaemiát és beszűkült veseműködést (beleértve az akut veseelégtelenséget is), mint a csak egy, RAAS-re ható szer alkalmazása (lásd 4.3, 4.4 és 5.1 pont).</w:t>
      </w:r>
    </w:p>
    <w:p w:rsidR="00A00261" w:rsidRDefault="00A00261">
      <w:pPr>
        <w:autoSpaceDN w:val="0"/>
        <w:adjustRightInd w:val="0"/>
        <w:rPr>
          <w:rFonts w:eastAsia="Calibri"/>
          <w:b/>
          <w:bCs/>
          <w:i/>
          <w:iCs/>
          <w:color w:val="000000"/>
          <w:szCs w:val="22"/>
          <w:highlight w:val="yellow"/>
          <w:lang w:val="hu-HU" w:eastAsia="hu-HU"/>
        </w:rPr>
      </w:pPr>
    </w:p>
    <w:p w:rsidR="00A00261" w:rsidRDefault="00087B68">
      <w:pPr>
        <w:autoSpaceDN w:val="0"/>
        <w:adjustRightInd w:val="0"/>
        <w:rPr>
          <w:rFonts w:eastAsia="Calibri"/>
          <w:bCs/>
          <w:i/>
          <w:iCs/>
          <w:color w:val="000000"/>
          <w:szCs w:val="22"/>
          <w:u w:val="single"/>
          <w:lang w:val="hu-HU" w:eastAsia="hu-HU"/>
        </w:rPr>
      </w:pPr>
      <w:r>
        <w:rPr>
          <w:rFonts w:eastAsia="Calibri"/>
          <w:bCs/>
          <w:i/>
          <w:iCs/>
          <w:color w:val="000000"/>
          <w:szCs w:val="22"/>
          <w:u w:val="single"/>
          <w:lang w:val="hu-HU" w:eastAsia="hu-HU"/>
        </w:rPr>
        <w:t xml:space="preserve">Az angiooedema kialakulásának kockázatát növelő gyógyszerek 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/>
        </w:rPr>
        <w:t>Az ACE-gátlók egyidejű alkalmazása szakubitril/valzartánnal ellenjavallt az angiooedema kialakulásának fokozott kockázata miatt (lásd 4.3 és 4.4 pont).</w:t>
      </w:r>
      <w:r>
        <w:rPr>
          <w:szCs w:val="22"/>
          <w:lang w:val="hu-HU" w:eastAsia="en-US"/>
        </w:rPr>
        <w:t xml:space="preserve"> A </w:t>
      </w:r>
      <w:r>
        <w:rPr>
          <w:rFonts w:eastAsia="Calibri"/>
          <w:color w:val="000000"/>
          <w:szCs w:val="22"/>
          <w:lang w:val="hu-HU"/>
        </w:rPr>
        <w:t>szakubitril/valzartán</w:t>
      </w:r>
      <w:r>
        <w:rPr>
          <w:szCs w:val="22"/>
          <w:lang w:val="hu-HU" w:eastAsia="en-US"/>
        </w:rPr>
        <w:t>-</w:t>
      </w:r>
      <w:r>
        <w:rPr>
          <w:rFonts w:eastAsia="Calibri"/>
          <w:color w:val="000000"/>
          <w:szCs w:val="22"/>
          <w:lang w:val="hu-HU"/>
        </w:rPr>
        <w:t>kezelést tilos elkezdeni a perindopril</w:t>
      </w:r>
      <w:r>
        <w:rPr>
          <w:rFonts w:eastAsia="Calibri"/>
          <w:color w:val="000000"/>
          <w:szCs w:val="22"/>
          <w:lang w:val="hu-HU"/>
        </w:rPr>
        <w:noBreakHyphen/>
        <w:t>kezelés utolsó adagjának bevételét követő 36 órán belül. A perindopril</w:t>
      </w:r>
      <w:r>
        <w:rPr>
          <w:rFonts w:eastAsia="Calibri"/>
          <w:color w:val="000000"/>
          <w:szCs w:val="22"/>
          <w:lang w:val="hu-HU"/>
        </w:rPr>
        <w:noBreakHyphen/>
        <w:t>kezelést tilos elkezdeni a szakubitril/valzartán utolsó adagjának bevételét követő 36 órán belül (lásd 4.3. és 4.4 pont)</w:t>
      </w:r>
      <w:r>
        <w:rPr>
          <w:szCs w:val="22"/>
          <w:lang w:val="hu-HU" w:eastAsia="en-US"/>
        </w:rPr>
        <w:t>.</w:t>
      </w:r>
    </w:p>
    <w:p w:rsidR="00A00261" w:rsidRDefault="00087B68">
      <w:pPr>
        <w:autoSpaceDE w:val="0"/>
        <w:rPr>
          <w:rFonts w:eastAsia="Calibri"/>
          <w:color w:val="000000"/>
          <w:szCs w:val="22"/>
          <w:lang w:val="hu-HU"/>
        </w:rPr>
      </w:pPr>
      <w:r>
        <w:rPr>
          <w:rFonts w:eastAsia="Calibri"/>
          <w:color w:val="000000"/>
          <w:szCs w:val="22"/>
          <w:lang w:val="hu-HU"/>
        </w:rPr>
        <w:t xml:space="preserve">Az ACE-gátlók egyidejű alkalmazása racekadotrillal, mTOR-gátlókkal (például szirolimusz, everolimusz, temszirolimusz) és </w:t>
      </w:r>
      <w:r>
        <w:rPr>
          <w:szCs w:val="22"/>
          <w:lang w:val="hu-HU" w:eastAsia="en-US"/>
        </w:rPr>
        <w:t>gliptinekkel (például linagliptin, szaxagliptin, szitagliptin,</w:t>
      </w:r>
      <w:r>
        <w:rPr>
          <w:rFonts w:eastAsia="Calibri"/>
          <w:color w:val="000000"/>
          <w:szCs w:val="22"/>
          <w:lang w:val="hu-HU"/>
        </w:rPr>
        <w:t xml:space="preserve"> vildagliptin) az angiooedema kialakulásának fokozott kockázatához vezethet (lásd 4.4 pont).</w:t>
      </w:r>
    </w:p>
    <w:p w:rsidR="00A00261" w:rsidRDefault="00A00261">
      <w:pPr>
        <w:rPr>
          <w:bCs/>
          <w:iCs/>
          <w:szCs w:val="22"/>
          <w:lang w:val="hu-HU"/>
        </w:rPr>
      </w:pPr>
    </w:p>
    <w:p w:rsidR="00A00261" w:rsidRDefault="00087B68">
      <w:pPr>
        <w:rPr>
          <w:bCs/>
          <w:i/>
          <w:iCs/>
          <w:szCs w:val="22"/>
          <w:u w:val="single"/>
          <w:lang w:val="hu-HU"/>
        </w:rPr>
      </w:pPr>
      <w:r>
        <w:rPr>
          <w:bCs/>
          <w:i/>
          <w:iCs/>
          <w:szCs w:val="22"/>
          <w:u w:val="single"/>
          <w:lang w:val="hu-HU"/>
        </w:rPr>
        <w:t>Hyperkalaemiát előidéző gyógyszerek</w:t>
      </w:r>
    </w:p>
    <w:p w:rsidR="00A00261" w:rsidRDefault="00087B68">
      <w:pPr>
        <w:rPr>
          <w:bCs/>
          <w:iCs/>
          <w:szCs w:val="22"/>
          <w:lang w:val="hu-HU"/>
        </w:rPr>
      </w:pPr>
      <w:r>
        <w:rPr>
          <w:bCs/>
          <w:iCs/>
          <w:szCs w:val="22"/>
          <w:lang w:val="hu-HU"/>
        </w:rPr>
        <w:t>Bár a szérum káliumszintje általában a normáltartományon belül marad, egyes Roxiper-rel kezelt betegeknél hyperkalaemia fordulhat elő. Egyes gyógyszerek vagy terápiás csoportok fokozhatják a hyperkalaemia kialakulását: aliszkirén, káliumsók, káliummegtakarító diuretikumok (pl. spironolakton, triamteren vagy amilorid), ACE-gátlók, angiotenzin II-receptor-antagonisták, NSAID</w:t>
      </w:r>
      <w:r>
        <w:rPr>
          <w:bCs/>
          <w:iCs/>
          <w:szCs w:val="22"/>
          <w:lang w:val="hu-HU"/>
        </w:rPr>
        <w:noBreakHyphen/>
        <w:t xml:space="preserve">ok, heparinok, immunszuppresszív szerek, mint pl. ciklosporin vagy takrolimusz, trimetoprim és a ko-trimoxazol (trimetoprim/szulfametoxazol), ugyanis ismert, hogy a trimetoprim a </w:t>
      </w:r>
      <w:r>
        <w:rPr>
          <w:bCs/>
          <w:iCs/>
          <w:szCs w:val="22"/>
          <w:lang w:val="hu-HU"/>
        </w:rPr>
        <w:lastRenderedPageBreak/>
        <w:t>káliummegtakarító diuretikumokhoz, például az amiloridhoz, hasonló hatást fekt ki. Ezeknek a gyógyszereknek a kombinációja fokozza a hyperkalaemia kockázatát. Ezért a Roxiper együttes adása a fent említett gyógyszerekkel nem ajánlott. Amennyiben az együttadás indokolt, megfelelő óvatossággal és a szérum káliumszintjének gyakori monitorozása mellett kell ezeket alkalmazni.</w:t>
      </w:r>
    </w:p>
    <w:p w:rsidR="00A00261" w:rsidRDefault="00A00261">
      <w:pPr>
        <w:rPr>
          <w:bCs/>
          <w:iCs/>
          <w:szCs w:val="22"/>
          <w:lang w:val="hu-HU"/>
        </w:rPr>
      </w:pPr>
    </w:p>
    <w:p w:rsidR="00A00261" w:rsidRDefault="00087B68">
      <w:pPr>
        <w:keepNext/>
        <w:rPr>
          <w:bCs/>
          <w:i/>
          <w:iCs/>
          <w:szCs w:val="22"/>
          <w:u w:val="single"/>
          <w:lang w:val="hu-HU"/>
        </w:rPr>
      </w:pPr>
      <w:r>
        <w:rPr>
          <w:bCs/>
          <w:i/>
          <w:iCs/>
          <w:szCs w:val="22"/>
          <w:u w:val="single"/>
          <w:lang w:val="hu-HU"/>
        </w:rPr>
        <w:t>Az egyidejű alkalmazás ellenjavallt (lásd 4.3 pont)</w:t>
      </w:r>
    </w:p>
    <w:p w:rsidR="00A00261" w:rsidRDefault="00A00261">
      <w:pPr>
        <w:rPr>
          <w:bCs/>
          <w:iCs/>
          <w:szCs w:val="22"/>
          <w:lang w:val="hu-HU"/>
        </w:rPr>
      </w:pPr>
    </w:p>
    <w:p w:rsidR="00A00261" w:rsidRDefault="00087B68">
      <w:pPr>
        <w:rPr>
          <w:bCs/>
          <w:i/>
          <w:iCs/>
          <w:szCs w:val="22"/>
          <w:lang w:val="hu-HU"/>
        </w:rPr>
      </w:pPr>
      <w:r>
        <w:rPr>
          <w:bCs/>
          <w:i/>
          <w:iCs/>
          <w:szCs w:val="22"/>
          <w:lang w:val="hu-HU"/>
        </w:rPr>
        <w:t>Aliszkirén</w:t>
      </w:r>
    </w:p>
    <w:p w:rsidR="00A00261" w:rsidRDefault="00087B68">
      <w:pPr>
        <w:rPr>
          <w:bCs/>
          <w:iCs/>
          <w:szCs w:val="22"/>
          <w:lang w:val="hu-HU"/>
        </w:rPr>
      </w:pPr>
      <w:r>
        <w:rPr>
          <w:bCs/>
          <w:iCs/>
          <w:szCs w:val="22"/>
          <w:lang w:val="hu-HU"/>
        </w:rPr>
        <w:t>Diabetes mellitusban szenvedő vagy károsodott veseműködésű betegek esetén a hyperkalaemia és a romló vesefunkció kockázata, valamint a cardiovascularis morbiditás és mortalitás egyaránt fokozott.</w:t>
      </w:r>
    </w:p>
    <w:p w:rsidR="00A00261" w:rsidRDefault="00A00261">
      <w:pPr>
        <w:rPr>
          <w:bCs/>
          <w:i/>
          <w:iCs/>
          <w:szCs w:val="22"/>
          <w:lang w:val="hu-HU"/>
        </w:rPr>
      </w:pPr>
    </w:p>
    <w:p w:rsidR="00A00261" w:rsidRDefault="00087B68">
      <w:pPr>
        <w:rPr>
          <w:bCs/>
          <w:i/>
          <w:iCs/>
          <w:szCs w:val="22"/>
          <w:lang w:val="hu-HU"/>
        </w:rPr>
      </w:pPr>
      <w:r>
        <w:rPr>
          <w:bCs/>
          <w:i/>
          <w:iCs/>
          <w:szCs w:val="22"/>
          <w:lang w:val="hu-HU"/>
        </w:rPr>
        <w:t>Extrakorporális kezelések</w:t>
      </w:r>
    </w:p>
    <w:p w:rsidR="00A00261" w:rsidRDefault="00087B68">
      <w:pPr>
        <w:rPr>
          <w:bCs/>
          <w:iCs/>
          <w:szCs w:val="22"/>
          <w:lang w:val="hu-HU"/>
        </w:rPr>
      </w:pPr>
      <w:r>
        <w:rPr>
          <w:bCs/>
          <w:iCs/>
          <w:szCs w:val="22"/>
          <w:lang w:val="hu-HU"/>
        </w:rPr>
        <w:t>Extrakorporális kezelések, melyek során a vér negatív töltésű felületekkel érintkezik, mint például nagy átáramlású dializáló vagy hemofiltrációs membránok (pl. poliakrilonitril membránok) és dextrán</w:t>
      </w:r>
      <w:r>
        <w:rPr>
          <w:bCs/>
          <w:iCs/>
          <w:szCs w:val="22"/>
          <w:lang w:val="hu-HU"/>
        </w:rPr>
        <w:noBreakHyphen/>
        <w:t>szulfáttal történő alacsony denzitású lipoprotein-aferezis, a súlyos anaphylactoid reakciók fokozott veszélye miatt (lásd 4.3 pont). Amennyiben ilyen kezelés szükséges, megfontolandó más típusú dializáló membrán vagy egy másik csoportba tartozó vérnyomáscsökkentő szer alkalmazása.</w:t>
      </w:r>
    </w:p>
    <w:p w:rsidR="00A00261" w:rsidRDefault="00A00261">
      <w:pPr>
        <w:rPr>
          <w:bCs/>
          <w:i/>
          <w:iCs/>
          <w:szCs w:val="22"/>
          <w:lang w:val="hu-HU"/>
        </w:rPr>
      </w:pPr>
    </w:p>
    <w:p w:rsidR="00A00261" w:rsidRDefault="00087B68">
      <w:pPr>
        <w:rPr>
          <w:i/>
          <w:iCs/>
          <w:szCs w:val="22"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Az egyidejű alkalmazás nem ajánlott:</w:t>
      </w:r>
    </w:p>
    <w:p w:rsidR="00A00261" w:rsidRDefault="00A00261">
      <w:pPr>
        <w:widowControl w:val="0"/>
        <w:tabs>
          <w:tab w:val="left" w:pos="284"/>
          <w:tab w:val="left" w:pos="709"/>
        </w:tabs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i/>
          <w:szCs w:val="22"/>
          <w:lang w:val="hu-HU"/>
        </w:rPr>
        <w:t>Aliszkirén</w:t>
      </w:r>
      <w:r>
        <w:rPr>
          <w:szCs w:val="22"/>
          <w:lang w:val="hu-HU"/>
        </w:rPr>
        <w:t xml:space="preserve"> </w:t>
      </w:r>
    </w:p>
    <w:p w:rsidR="00A00261" w:rsidRDefault="00087B68">
      <w:pPr>
        <w:rPr>
          <w:bCs/>
          <w:iCs/>
          <w:szCs w:val="22"/>
          <w:lang w:val="hu-HU"/>
        </w:rPr>
      </w:pPr>
      <w:r>
        <w:rPr>
          <w:bCs/>
          <w:szCs w:val="22"/>
          <w:lang w:val="hu-HU"/>
        </w:rPr>
        <w:t xml:space="preserve">Azoknál a betegeknél, akik nem szenvednek diabetesben vagy a veseműködésük nem károsodott, a hyperkalaemia és a romló vesefunkció kockázata, valamint a cardiovascularis morbiditás és mortalitás egyaránt fokozott </w:t>
      </w:r>
      <w:r>
        <w:rPr>
          <w:bCs/>
          <w:iCs/>
          <w:szCs w:val="22"/>
          <w:lang w:val="hu-HU"/>
        </w:rPr>
        <w:t>(lásd</w:t>
      </w:r>
      <w:r>
        <w:rPr>
          <w:bCs/>
          <w:i/>
          <w:iCs/>
          <w:szCs w:val="22"/>
          <w:lang w:val="hu-HU"/>
        </w:rPr>
        <w:t xml:space="preserve"> </w:t>
      </w:r>
      <w:r>
        <w:rPr>
          <w:bCs/>
          <w:iCs/>
          <w:szCs w:val="22"/>
          <w:lang w:val="hu-HU"/>
        </w:rPr>
        <w:t>4.4 pont).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bCs/>
          <w:szCs w:val="22"/>
          <w:lang w:val="hu-HU"/>
        </w:rPr>
      </w:pPr>
      <w:r>
        <w:rPr>
          <w:bCs/>
          <w:i/>
          <w:szCs w:val="22"/>
          <w:lang w:val="hu-HU"/>
        </w:rPr>
        <w:t>ACE-gátló és angiotenzinreceptor-blokkoló egyidejű alkalmazása</w:t>
      </w:r>
    </w:p>
    <w:p w:rsidR="00A00261" w:rsidRDefault="00087B68">
      <w:pPr>
        <w:rPr>
          <w:szCs w:val="22"/>
          <w:lang w:val="hu-HU"/>
        </w:rPr>
      </w:pPr>
      <w:r>
        <w:rPr>
          <w:bCs/>
          <w:szCs w:val="22"/>
          <w:lang w:val="hu-HU"/>
        </w:rPr>
        <w:t>Atheroscleroticus betegségben, szívelégtelenségben vagy célszervi károsodással járó diabetesben szenvedő betegeknél, ACE-gátló és angiotenzinreceptor-blokkoló egyidejű alkalmazása esetén a szakirodalomban nagyobb gyakorisággal számoltak be hypotonia, syncope, hyperkalaemia és romló vesefunkció (beleértve az akut veseelégtelenséget is) előfordulásáról, mint a renin</w:t>
      </w:r>
      <w:r>
        <w:rPr>
          <w:bCs/>
          <w:szCs w:val="22"/>
          <w:lang w:val="hu-HU"/>
        </w:rPr>
        <w:noBreakHyphen/>
        <w:t>angiotenzin</w:t>
      </w:r>
      <w:r>
        <w:rPr>
          <w:bCs/>
          <w:szCs w:val="22"/>
          <w:lang w:val="hu-HU"/>
        </w:rPr>
        <w:noBreakHyphen/>
        <w:t>aldoszteron rendszerre ható monoterápia esetén. A kettős blokád (pl. egy ACE</w:t>
      </w:r>
      <w:r>
        <w:rPr>
          <w:bCs/>
          <w:szCs w:val="22"/>
          <w:lang w:val="hu-HU"/>
        </w:rPr>
        <w:noBreakHyphen/>
        <w:t>inhibitor és egy angiotenzin II</w:t>
      </w:r>
      <w:r>
        <w:rPr>
          <w:bCs/>
          <w:szCs w:val="22"/>
          <w:lang w:val="hu-HU"/>
        </w:rPr>
        <w:noBreakHyphen/>
        <w:t>receptor-antagonista kombinációja) alkalmazását egyedi esetekre kell korlátozni, a vesefunkció, a káliumszint és a vérnyomás szoros ellenőrzése mellett (lásd 4.4 pont).</w:t>
      </w:r>
    </w:p>
    <w:p w:rsidR="00A00261" w:rsidRDefault="00A00261">
      <w:pPr>
        <w:rPr>
          <w:b/>
          <w:bCs/>
          <w:szCs w:val="22"/>
          <w:lang w:val="hu-HU"/>
        </w:rPr>
      </w:pPr>
    </w:p>
    <w:p w:rsidR="00A00261" w:rsidRDefault="00087B68">
      <w:pPr>
        <w:rPr>
          <w:bCs/>
          <w:szCs w:val="22"/>
          <w:lang w:val="hu-HU"/>
        </w:rPr>
      </w:pPr>
      <w:r>
        <w:rPr>
          <w:bCs/>
          <w:i/>
          <w:szCs w:val="22"/>
          <w:lang w:val="hu-HU"/>
        </w:rPr>
        <w:t>Esztramusztin</w:t>
      </w:r>
    </w:p>
    <w:p w:rsidR="00A00261" w:rsidRDefault="00087B68">
      <w:pPr>
        <w:rPr>
          <w:szCs w:val="22"/>
          <w:lang w:val="hu-HU"/>
        </w:rPr>
      </w:pPr>
      <w:r>
        <w:rPr>
          <w:bCs/>
          <w:szCs w:val="22"/>
          <w:lang w:val="hu-HU"/>
        </w:rPr>
        <w:t>Mellékhatások, mint pl. angioneuroticus oedema (angiooedema) előfordulásának kockázata fokozódik.</w:t>
      </w:r>
    </w:p>
    <w:p w:rsidR="00A00261" w:rsidRDefault="00A00261">
      <w:pPr>
        <w:rPr>
          <w:bCs/>
          <w:i/>
          <w:iCs/>
          <w:szCs w:val="22"/>
          <w:lang w:val="hu-HU"/>
        </w:rPr>
      </w:pPr>
    </w:p>
    <w:p w:rsidR="00A00261" w:rsidRDefault="00087B68">
      <w:pPr>
        <w:keepNext/>
        <w:rPr>
          <w:bCs/>
          <w:iCs/>
          <w:szCs w:val="22"/>
          <w:lang w:val="hu-HU"/>
        </w:rPr>
      </w:pPr>
      <w:r>
        <w:rPr>
          <w:bCs/>
          <w:i/>
          <w:iCs/>
          <w:szCs w:val="22"/>
          <w:lang w:val="hu-HU"/>
        </w:rPr>
        <w:t>Káliummegtakarító vízhajtók (spironolakton, triamteren, egyedül vagy kombinációban), kálium(sók)</w:t>
      </w:r>
    </w:p>
    <w:p w:rsidR="00A00261" w:rsidRDefault="00087B68">
      <w:pPr>
        <w:tabs>
          <w:tab w:val="left" w:pos="567"/>
        </w:tabs>
        <w:rPr>
          <w:szCs w:val="22"/>
          <w:lang w:val="hu-HU"/>
        </w:rPr>
      </w:pPr>
      <w:r>
        <w:rPr>
          <w:bCs/>
          <w:szCs w:val="22"/>
          <w:lang w:val="hu-HU"/>
        </w:rPr>
        <w:t>Hyperkalaemia (esetenként halálos), különösen vesekárosodással együtt (additív hyperkalaemiás hatások). A perindoprilnek a fent említett gyógyszerekkel történő kombinációja nem ajánlott. Amennyiben együttes adásuk indokolt, ez fokozott óvatossággal és a szérum káliumszint gyakori ellenőrzése mellett történjen. Spironolakton szívelégtelenségben történő alkalmazásához lásd a „</w:t>
      </w:r>
      <w:r>
        <w:rPr>
          <w:iCs/>
          <w:szCs w:val="22"/>
          <w:lang w:val="hu-HU"/>
        </w:rPr>
        <w:t>Különleges elővigyázatosságot igénylő kombinációk</w:t>
      </w:r>
      <w:r>
        <w:rPr>
          <w:bCs/>
          <w:szCs w:val="22"/>
          <w:lang w:val="hu-HU"/>
        </w:rPr>
        <w:t>” című részt.</w:t>
      </w:r>
    </w:p>
    <w:p w:rsidR="00A00261" w:rsidRDefault="00A00261">
      <w:pPr>
        <w:rPr>
          <w:iCs/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i/>
          <w:szCs w:val="22"/>
          <w:u w:val="single"/>
          <w:lang w:val="hu-HU" w:eastAsia="en-US"/>
        </w:rPr>
      </w:pPr>
      <w:r>
        <w:rPr>
          <w:i/>
          <w:szCs w:val="22"/>
          <w:u w:val="single"/>
          <w:lang w:val="hu-HU" w:eastAsia="en-US"/>
        </w:rPr>
        <w:t>Az egyidejű alkalmazás fokozott körültekintést igényel</w:t>
      </w:r>
      <w:r>
        <w:rPr>
          <w:i/>
          <w:szCs w:val="22"/>
          <w:lang w:val="hu-HU" w:eastAsia="en-US"/>
        </w:rPr>
        <w:t>:</w:t>
      </w:r>
    </w:p>
    <w:p w:rsidR="00A00261" w:rsidRDefault="00A00261">
      <w:pPr>
        <w:rPr>
          <w:iCs/>
          <w:szCs w:val="22"/>
          <w:lang w:val="hu-HU" w:eastAsia="en-US"/>
        </w:rPr>
      </w:pPr>
    </w:p>
    <w:p w:rsidR="00A00261" w:rsidRDefault="00087B68">
      <w:pPr>
        <w:rPr>
          <w:szCs w:val="22"/>
          <w:lang w:val="hu-HU" w:eastAsia="en-US"/>
        </w:rPr>
      </w:pPr>
      <w:r>
        <w:rPr>
          <w:i/>
          <w:szCs w:val="22"/>
          <w:lang w:val="hu-HU" w:eastAsia="en-US"/>
        </w:rPr>
        <w:t>Antidiabetikumok (inzulin, orális vércukorszint-csökkentő hatású vegyületek – kaptoprillel és enalaprillel kapcsolatban jelentették):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Epidemiológiai vizsgálatok arra utaltak, hogy az ACE-gátlók és antidiabetikumok (inzulinok, orális antidiabetikumok) együttes alkalmazása fokozhatja a vércukorszint-csökkentő hatást és a hypoglykaemia kockázatát. Ez a jelenség nagyobb valószínűséggel fordul elő a kombinációs kezelés első heteiben, valamint vesekárosodásban szenvedő betegek esetén.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rPr>
          <w:i/>
          <w:szCs w:val="22"/>
          <w:lang w:val="hu-HU"/>
        </w:rPr>
      </w:pPr>
      <w:r>
        <w:rPr>
          <w:i/>
          <w:szCs w:val="22"/>
          <w:lang w:val="hu-HU"/>
        </w:rPr>
        <w:t>Nem-káliummegtakarító diuretikumok: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 xml:space="preserve">Diuretikus terápiában részesülő betegeknél – különösen azoknál, akiknél volumen- és/vagy sóhiányos állapot áll fenn – kifejezett vérnyomáscsökkenés tapasztalható az ACE-gátló-kezelés megkezdését követően. A hipotenzív hatás kialakulásának esélyét mérsékelni lehet a diuretikus kezelés </w:t>
      </w:r>
      <w:r>
        <w:rPr>
          <w:szCs w:val="22"/>
          <w:lang w:val="hu-HU"/>
        </w:rPr>
        <w:lastRenderedPageBreak/>
        <w:t>felfüggesztésével és a perindopril-kezelés alacsony és fokozatosan emelkedő dózisokkal történő megkezdése előtt a volumen- vagy sóbevitel fokozásával.</w:t>
      </w:r>
    </w:p>
    <w:p w:rsidR="00A00261" w:rsidRDefault="00087B68">
      <w:pPr>
        <w:rPr>
          <w:szCs w:val="22"/>
          <w:lang w:val="hu-HU"/>
        </w:rPr>
      </w:pPr>
      <w:r>
        <w:rPr>
          <w:i/>
          <w:szCs w:val="22"/>
          <w:lang w:val="hu-HU"/>
        </w:rPr>
        <w:t>Artériás hypertoniában</w:t>
      </w:r>
      <w:r>
        <w:rPr>
          <w:szCs w:val="22"/>
          <w:lang w:val="hu-HU"/>
        </w:rPr>
        <w:t>, ha a korábbi diuretikus terápia volumen-/sóhiányos állapotot okozott, vagy a diuretikus kezelést kell felfüggeszteni az ACE-gátló-kezelés megkezdése előtt, ebben az esetben egy nem-káliummegtakarító diuretikumot lehet ezután újra alkalmazni, vagy az ACE</w:t>
      </w:r>
      <w:r>
        <w:rPr>
          <w:szCs w:val="22"/>
          <w:lang w:val="hu-HU"/>
        </w:rPr>
        <w:noBreakHyphen/>
        <w:t>gátló-kezelést kell alacsony és fokozatosan emelkedő dózisokkal elkezdeni.</w:t>
      </w:r>
    </w:p>
    <w:p w:rsidR="00A00261" w:rsidRDefault="00087B68">
      <w:pPr>
        <w:rPr>
          <w:szCs w:val="22"/>
          <w:lang w:val="hu-HU"/>
        </w:rPr>
      </w:pPr>
      <w:r>
        <w:rPr>
          <w:i/>
          <w:szCs w:val="22"/>
          <w:lang w:val="hu-HU"/>
        </w:rPr>
        <w:t>Diuretikummal kezelt pangásos szívelégtelenségben</w:t>
      </w:r>
      <w:r>
        <w:rPr>
          <w:szCs w:val="22"/>
          <w:lang w:val="hu-HU"/>
        </w:rPr>
        <w:t xml:space="preserve"> az ACE-gátló-kezelést nagyon alacsony dózissal kell megkezdeni, lehetőség szerint az egyidejűleg alkalmazott nem-káliummegtakarító diuretikum dózisának csökkentését követően.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vesefunkciót (szérum-kreatininszint) minden esetben rendszeresen ellenőrizni kell az ACE</w:t>
      </w:r>
      <w:r>
        <w:rPr>
          <w:szCs w:val="22"/>
          <w:lang w:val="hu-HU"/>
        </w:rPr>
        <w:noBreakHyphen/>
        <w:t>gátló</w:t>
      </w:r>
      <w:r>
        <w:rPr>
          <w:szCs w:val="22"/>
          <w:lang w:val="hu-HU"/>
        </w:rPr>
        <w:noBreakHyphen/>
        <w:t>kezelés első heteiben.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i/>
          <w:szCs w:val="22"/>
          <w:lang w:val="hu-HU"/>
        </w:rPr>
        <w:t>Káliummegtakarító diuretikumok (eplerenon, spironolakton):</w:t>
      </w:r>
      <w:r>
        <w:rPr>
          <w:szCs w:val="22"/>
          <w:lang w:val="hu-HU"/>
        </w:rPr>
        <w:t xml:space="preserve"> napi 12,5 mg – 50 mg eplerenon vagy spironolakton és alacsony dózisú ACE-gátló: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NYHA II.-IV. stádiumú szívelégtelenség (ejekciós frakció &lt; 40%) kezelése, valamint korábbi ACE</w:t>
      </w:r>
      <w:r>
        <w:rPr>
          <w:szCs w:val="22"/>
          <w:lang w:val="hu-HU"/>
        </w:rPr>
        <w:noBreakHyphen/>
        <w:t>gátló- és kacsdiuretikum-kezelés esetén nő a hyperkalaemia kockázata (potenciálisan halálos), különösen a kombinációra vonatkozó előírási ajánlások be nem tartása esetében.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kombinációs kezelés megkezdése előtt ellenőrizni kell, hogy nem áll-e fenn hyperkalaemia és vesekárosodás. A kezelés első hónapjában a kálium- és kreatininszint fokozott ellenőrzése ajánlott hetente egyszer, majd havonta.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widowControl w:val="0"/>
        <w:rPr>
          <w:bCs/>
          <w:i/>
          <w:szCs w:val="22"/>
          <w:lang w:val="hu-HU"/>
        </w:rPr>
      </w:pPr>
      <w:r>
        <w:rPr>
          <w:bCs/>
          <w:i/>
          <w:szCs w:val="22"/>
          <w:u w:val="single"/>
          <w:lang w:val="hu-HU"/>
        </w:rPr>
        <w:t>Az egyidejű alkalmazás körültekintést igényel</w:t>
      </w:r>
      <w:r>
        <w:rPr>
          <w:bCs/>
          <w:i/>
          <w:szCs w:val="22"/>
          <w:lang w:val="hu-HU"/>
        </w:rPr>
        <w:t>: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/>
        </w:rPr>
      </w:pPr>
      <w:r>
        <w:rPr>
          <w:i/>
          <w:szCs w:val="22"/>
          <w:lang w:val="hu-HU"/>
        </w:rPr>
        <w:t>Vérnyomáscsökkentők és értágítók</w:t>
      </w:r>
      <w:r>
        <w:rPr>
          <w:szCs w:val="22"/>
          <w:lang w:val="hu-HU"/>
        </w:rPr>
        <w:t xml:space="preserve">: ezeknek a szereknek az </w:t>
      </w:r>
      <w:r>
        <w:rPr>
          <w:bCs/>
          <w:iCs/>
          <w:szCs w:val="22"/>
          <w:lang w:val="hu-HU"/>
        </w:rPr>
        <w:t xml:space="preserve">egyidejű alkalmazása fokozhatja a perindopril vérnyomáscsökkentő hatását. </w:t>
      </w:r>
      <w:r>
        <w:rPr>
          <w:szCs w:val="22"/>
          <w:lang w:val="hu-HU"/>
        </w:rPr>
        <w:t>Nitroglicerinnel és más nitrátokkal vagy egyéb értágítókkal történő együttadásuk további vérnyomáseséshez vezethet.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widowControl w:val="0"/>
        <w:rPr>
          <w:szCs w:val="22"/>
          <w:lang w:val="hu-HU" w:eastAsia="en-US"/>
        </w:rPr>
      </w:pPr>
      <w:r>
        <w:rPr>
          <w:i/>
          <w:spacing w:val="-4"/>
          <w:szCs w:val="22"/>
          <w:lang w:val="hu-HU" w:eastAsia="en-US"/>
        </w:rPr>
        <w:t>Allopurinol, citosztatikumok, immunszuppresszív szerek, szisztémás kortikoszteroidok vagy prokainamid:</w:t>
      </w:r>
      <w:r>
        <w:rPr>
          <w:szCs w:val="22"/>
          <w:lang w:val="hu-HU" w:eastAsia="en-US"/>
        </w:rPr>
        <w:t xml:space="preserve"> Ezeknek a gyógyszereknek az egyidejű alkalmazása ACE-gátlókkal a leukopenia kockázatának fokozódásához vezethet (lásd 4.4 pont).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autoSpaceDE w:val="0"/>
        <w:autoSpaceDN w:val="0"/>
        <w:adjustRightInd w:val="0"/>
        <w:rPr>
          <w:szCs w:val="22"/>
          <w:lang w:val="hu-HU"/>
        </w:rPr>
      </w:pPr>
      <w:r>
        <w:rPr>
          <w:i/>
          <w:szCs w:val="22"/>
          <w:lang w:val="hu-HU"/>
        </w:rPr>
        <w:t>Anesztetikumok:</w:t>
      </w:r>
      <w:r>
        <w:rPr>
          <w:szCs w:val="22"/>
          <w:lang w:val="hu-HU"/>
        </w:rPr>
        <w:t xml:space="preserve"> Az ACE-gátlók fokozhatják bizonyos anesztetikumok vérnyomáscsökkentő hatását (lásd 4.4 pont).</w:t>
      </w:r>
    </w:p>
    <w:p w:rsidR="00A00261" w:rsidRDefault="00A00261">
      <w:pPr>
        <w:suppressAutoHyphens/>
        <w:rPr>
          <w:szCs w:val="22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>
        <w:rPr>
          <w:i/>
          <w:szCs w:val="22"/>
          <w:lang w:val="hu-HU"/>
        </w:rPr>
        <w:t>Arany:</w:t>
      </w:r>
      <w:r>
        <w:rPr>
          <w:szCs w:val="22"/>
          <w:lang w:val="hu-HU"/>
        </w:rPr>
        <w:t xml:space="preserve"> Injekciós aranykészítménnyel (nátrium-aurotiomalát) és ACE-gátlókkal (pl. perindoprillel) egyidejűleg kezelt betegeknél ritkán beszámoltak nitritoid reakciókról (tüneteik többek között: az arc kipirulása, hányinger, hányás és hypotonia).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bCs/>
          <w:i/>
          <w:iCs/>
          <w:szCs w:val="22"/>
          <w:lang w:val="hu-HU"/>
        </w:rPr>
        <w:t>Szimpatomimetikumok:</w:t>
      </w:r>
      <w:r>
        <w:rPr>
          <w:bCs/>
          <w:iCs/>
          <w:szCs w:val="22"/>
          <w:lang w:val="hu-HU"/>
        </w:rPr>
        <w:t xml:space="preserve"> a szimpatomimetikumok mérsékelhetik az ACE-gátlók antihipertenzív hatását.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:rsidR="00A00261" w:rsidRDefault="00087B68">
      <w:pPr>
        <w:keepNext/>
        <w:rPr>
          <w:u w:val="single"/>
          <w:lang w:val="hu-HU"/>
        </w:rPr>
      </w:pPr>
      <w:r>
        <w:rPr>
          <w:u w:val="single"/>
          <w:lang w:val="hu-HU"/>
        </w:rPr>
        <w:t>Az indapamidra vonatkozóan</w:t>
      </w:r>
    </w:p>
    <w:p w:rsidR="00A00261" w:rsidRDefault="00A00261">
      <w:pPr>
        <w:keepNext/>
        <w:rPr>
          <w:szCs w:val="22"/>
          <w:lang w:val="hu-HU"/>
        </w:rPr>
      </w:pPr>
    </w:p>
    <w:p w:rsidR="00A00261" w:rsidRDefault="00087B68">
      <w:pPr>
        <w:rPr>
          <w:i/>
          <w:iCs/>
          <w:szCs w:val="22"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Az egyidejű alkalmazás fokozott körültekintést igényel: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>
        <w:rPr>
          <w:i/>
          <w:spacing w:val="-4"/>
          <w:szCs w:val="22"/>
          <w:lang w:val="hu-HU"/>
        </w:rPr>
        <w:t>Torsades de pointes-t kiváltó gyógyszerek:</w:t>
      </w:r>
      <w:r>
        <w:rPr>
          <w:spacing w:val="-4"/>
          <w:szCs w:val="22"/>
          <w:lang w:val="hu-HU"/>
        </w:rPr>
        <w:t xml:space="preserve"> Hypokalaemia kockázata miatt, az indapamidot körültekintően</w:t>
      </w:r>
      <w:r>
        <w:rPr>
          <w:szCs w:val="22"/>
          <w:lang w:val="hu-HU"/>
        </w:rPr>
        <w:t xml:space="preserve"> kell alkalmazni, amikor </w:t>
      </w:r>
      <w:r>
        <w:rPr>
          <w:i/>
          <w:szCs w:val="22"/>
          <w:lang w:val="hu-HU"/>
        </w:rPr>
        <w:t>torsade de pointes-</w:t>
      </w:r>
      <w:r>
        <w:rPr>
          <w:szCs w:val="22"/>
          <w:lang w:val="hu-HU"/>
        </w:rPr>
        <w:t xml:space="preserve">t kiváltó gyógyszerekkel adják együtt, mint például, de nem kizárólagosan az IA. </w:t>
      </w:r>
      <w:r>
        <w:rPr>
          <w:spacing w:val="-2"/>
          <w:szCs w:val="22"/>
          <w:lang w:val="hu-HU"/>
        </w:rPr>
        <w:t xml:space="preserve">osztályú antiarritmiás szerekkel (pl. kinidin, hidrokinidin, dizopiramid), III. osztályú antiarritmiás szerekkel </w:t>
      </w:r>
      <w:r>
        <w:rPr>
          <w:spacing w:val="-4"/>
          <w:szCs w:val="22"/>
          <w:lang w:val="hu-HU"/>
        </w:rPr>
        <w:t xml:space="preserve">(pl. </w:t>
      </w:r>
      <w:r>
        <w:rPr>
          <w:spacing w:val="-4"/>
          <w:szCs w:val="22"/>
          <w:lang w:val="hu-HU" w:eastAsia="en-US"/>
        </w:rPr>
        <w:t>amiodaron, dofetilid, ibutilid, bretilium, szotalol</w:t>
      </w:r>
      <w:r>
        <w:rPr>
          <w:spacing w:val="-4"/>
          <w:szCs w:val="22"/>
          <w:lang w:val="hu-HU"/>
        </w:rPr>
        <w:t xml:space="preserve">), egyes neuroleptikumokkal, a fenotiazinokkal (pl. </w:t>
      </w:r>
      <w:r>
        <w:rPr>
          <w:spacing w:val="-4"/>
          <w:szCs w:val="22"/>
          <w:lang w:val="hu-HU" w:eastAsia="en-US"/>
        </w:rPr>
        <w:t>klórpromazin, ciamemazin,</w:t>
      </w:r>
      <w:r>
        <w:rPr>
          <w:szCs w:val="22"/>
          <w:lang w:val="hu-HU" w:eastAsia="en-US"/>
        </w:rPr>
        <w:t xml:space="preserve"> </w:t>
      </w:r>
      <w:r>
        <w:rPr>
          <w:spacing w:val="-2"/>
          <w:szCs w:val="22"/>
          <w:lang w:val="hu-HU" w:eastAsia="en-US"/>
        </w:rPr>
        <w:t>levomepromazin, tioridazin, trifluoperazin</w:t>
      </w:r>
      <w:r>
        <w:rPr>
          <w:spacing w:val="-2"/>
          <w:szCs w:val="22"/>
          <w:lang w:val="hu-HU"/>
        </w:rPr>
        <w:t xml:space="preserve">), benzamidokkal (pl. </w:t>
      </w:r>
      <w:r>
        <w:rPr>
          <w:spacing w:val="-2"/>
          <w:szCs w:val="22"/>
          <w:lang w:val="hu-HU" w:eastAsia="en-US"/>
        </w:rPr>
        <w:t>amiszulprid, szulpirid, szultoprid, tiaprid</w:t>
      </w:r>
      <w:r>
        <w:rPr>
          <w:spacing w:val="-2"/>
          <w:szCs w:val="22"/>
          <w:lang w:val="hu-HU"/>
        </w:rPr>
        <w:t>),</w:t>
      </w:r>
      <w:r>
        <w:rPr>
          <w:szCs w:val="22"/>
          <w:lang w:val="hu-HU"/>
        </w:rPr>
        <w:t xml:space="preserve"> </w:t>
      </w:r>
      <w:r>
        <w:rPr>
          <w:spacing w:val="-2"/>
          <w:szCs w:val="22"/>
          <w:lang w:val="hu-HU"/>
        </w:rPr>
        <w:t>butirofenonokkal (pl. droperidol, haloperidol), egyéb neuroleptikumokkal (pl. pimozid), egyéb hatóanyagokkal</w:t>
      </w:r>
      <w:r>
        <w:rPr>
          <w:szCs w:val="22"/>
          <w:lang w:val="hu-HU"/>
        </w:rPr>
        <w:t xml:space="preserve"> (pl. bepridil, cizaprid, difemanil, iv. eritromicin, halofantrin, mizolasztin, moxifloxacin, pentamidin, sparfloxacin, </w:t>
      </w:r>
      <w:r>
        <w:rPr>
          <w:i/>
          <w:szCs w:val="22"/>
          <w:lang w:val="hu-HU"/>
        </w:rPr>
        <w:t>iv.</w:t>
      </w:r>
      <w:r>
        <w:rPr>
          <w:szCs w:val="22"/>
          <w:lang w:val="hu-HU"/>
        </w:rPr>
        <w:t xml:space="preserve"> vinkamin, metadon, asztemizol, terfenadin). A hypokalaemia kialakulását meg kell előzni és ha szükséges, korrigálni kell: monitorozni kell a QT-szakaszt.</w:t>
      </w:r>
    </w:p>
    <w:p w:rsidR="00A00261" w:rsidRDefault="00A00261">
      <w:pPr>
        <w:widowControl w:val="0"/>
        <w:tabs>
          <w:tab w:val="left" w:pos="567"/>
        </w:tabs>
        <w:suppressAutoHyphens/>
        <w:rPr>
          <w:szCs w:val="22"/>
          <w:lang w:val="hu-HU" w:eastAsia="en-US"/>
        </w:rPr>
      </w:pPr>
    </w:p>
    <w:p w:rsidR="00A00261" w:rsidRDefault="00087B68">
      <w:pPr>
        <w:keepNext/>
        <w:rPr>
          <w:szCs w:val="22"/>
          <w:lang w:val="hu-HU"/>
        </w:rPr>
      </w:pPr>
      <w:r>
        <w:rPr>
          <w:i/>
          <w:szCs w:val="22"/>
          <w:lang w:val="hu-HU" w:eastAsia="en-US"/>
        </w:rPr>
        <w:t xml:space="preserve">Káliumszint-csökkentő gyógyszerek: amfotericin B </w:t>
      </w:r>
      <w:r>
        <w:rPr>
          <w:i/>
          <w:szCs w:val="22"/>
          <w:lang w:val="hu-HU"/>
        </w:rPr>
        <w:t>(iv.)</w:t>
      </w:r>
      <w:r>
        <w:rPr>
          <w:i/>
          <w:szCs w:val="22"/>
          <w:lang w:val="hu-HU" w:eastAsia="en-US"/>
        </w:rPr>
        <w:t>, glükokortikoidok és mineralokortikoidok (</w:t>
      </w:r>
      <w:r>
        <w:rPr>
          <w:i/>
          <w:szCs w:val="22"/>
          <w:lang w:val="hu-HU"/>
        </w:rPr>
        <w:t>szisztémás alkalmazása</w:t>
      </w:r>
      <w:r>
        <w:rPr>
          <w:i/>
          <w:szCs w:val="22"/>
          <w:lang w:val="hu-HU" w:eastAsia="en-US"/>
        </w:rPr>
        <w:t xml:space="preserve">), tetrakozaktid, bélfalizgató hashajtók: </w:t>
      </w:r>
      <w:r>
        <w:rPr>
          <w:szCs w:val="22"/>
          <w:lang w:val="hu-HU" w:eastAsia="en-US"/>
        </w:rPr>
        <w:t xml:space="preserve">Fokozott a </w:t>
      </w:r>
      <w:r>
        <w:rPr>
          <w:spacing w:val="-2"/>
          <w:szCs w:val="22"/>
          <w:lang w:val="hu-HU" w:eastAsia="en-US"/>
        </w:rPr>
        <w:t xml:space="preserve">hypokalaemia kockázata </w:t>
      </w:r>
      <w:r>
        <w:rPr>
          <w:spacing w:val="-2"/>
          <w:szCs w:val="22"/>
          <w:lang w:val="hu-HU" w:eastAsia="en-US"/>
        </w:rPr>
        <w:lastRenderedPageBreak/>
        <w:t xml:space="preserve">(additív hatás). </w:t>
      </w:r>
      <w:r>
        <w:rPr>
          <w:spacing w:val="-2"/>
          <w:szCs w:val="22"/>
          <w:lang w:val="hu-HU"/>
        </w:rPr>
        <w:t>Monitorozni és szükség szerint korrigálni</w:t>
      </w:r>
      <w:r>
        <w:rPr>
          <w:spacing w:val="-2"/>
          <w:szCs w:val="22"/>
          <w:lang w:val="hu-HU" w:eastAsia="en-US"/>
        </w:rPr>
        <w:t xml:space="preserve"> </w:t>
      </w:r>
      <w:r>
        <w:rPr>
          <w:spacing w:val="-2"/>
          <w:szCs w:val="22"/>
          <w:lang w:val="hu-HU"/>
        </w:rPr>
        <w:t>kell a káliumszintet;</w:t>
      </w:r>
      <w:r>
        <w:rPr>
          <w:szCs w:val="22"/>
          <w:lang w:val="hu-HU"/>
        </w:rPr>
        <w:t xml:space="preserve"> szívglikozid-kezelés esetén különösen körültekintő mérlegelés szükséges</w:t>
      </w:r>
      <w:r>
        <w:rPr>
          <w:szCs w:val="22"/>
          <w:lang w:val="hu-HU" w:eastAsia="en-US"/>
        </w:rPr>
        <w:t>.</w:t>
      </w:r>
      <w:r>
        <w:rPr>
          <w:szCs w:val="22"/>
          <w:lang w:val="hu-HU"/>
        </w:rPr>
        <w:t xml:space="preserve"> Nem-bélfalizgató hatású hashajtókat kell alkalmazni.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i/>
          <w:szCs w:val="22"/>
          <w:lang w:val="hu-HU"/>
        </w:rPr>
        <w:t>Digitálisz-készítmények:</w:t>
      </w:r>
      <w:r>
        <w:rPr>
          <w:szCs w:val="22"/>
          <w:lang w:val="hu-HU"/>
        </w:rPr>
        <w:t xml:space="preserve"> A hypokalaemia és/vagy hypomagnesaemia hajlamosít a digitálisz toxikus hatásaira. Ellenőrizni kell a plazma kálium- és magnéziumszintjét, valamint az EKG-t, és szükség szerint módosítani kell a kezelést.</w:t>
      </w:r>
    </w:p>
    <w:p w:rsidR="00A00261" w:rsidRDefault="00A00261">
      <w:pPr>
        <w:rPr>
          <w:i/>
          <w:szCs w:val="22"/>
          <w:lang w:val="hu-HU" w:eastAsia="en-US"/>
        </w:rPr>
      </w:pPr>
    </w:p>
    <w:p w:rsidR="00A00261" w:rsidRDefault="00087B68">
      <w:pPr>
        <w:rPr>
          <w:szCs w:val="22"/>
          <w:lang w:val="hu-HU" w:eastAsia="en-US"/>
        </w:rPr>
      </w:pPr>
      <w:r>
        <w:rPr>
          <w:i/>
          <w:szCs w:val="22"/>
          <w:lang w:val="hu-HU" w:eastAsia="en-US"/>
        </w:rPr>
        <w:t xml:space="preserve">Allopurinol: </w:t>
      </w:r>
      <w:r>
        <w:rPr>
          <w:szCs w:val="22"/>
          <w:lang w:val="hu-HU" w:eastAsia="en-US"/>
        </w:rPr>
        <w:t>Az indapamiddal történő egyidejű kezelés növelheti az allopurinollal szembeni túlérzékenységi reakciók előfordulását.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keepNext/>
        <w:widowControl w:val="0"/>
        <w:rPr>
          <w:bCs/>
          <w:i/>
          <w:szCs w:val="22"/>
          <w:lang w:val="hu-HU"/>
        </w:rPr>
      </w:pPr>
      <w:r>
        <w:rPr>
          <w:bCs/>
          <w:i/>
          <w:szCs w:val="22"/>
          <w:u w:val="single"/>
          <w:lang w:val="hu-HU"/>
        </w:rPr>
        <w:t>Az egyidejű alkalmazás körültekintést igényel</w:t>
      </w:r>
      <w:r>
        <w:rPr>
          <w:bCs/>
          <w:i/>
          <w:szCs w:val="22"/>
          <w:lang w:val="hu-HU"/>
        </w:rPr>
        <w:t>:</w:t>
      </w:r>
    </w:p>
    <w:p w:rsidR="00A00261" w:rsidRDefault="00A00261">
      <w:pPr>
        <w:keepNext/>
        <w:rPr>
          <w:szCs w:val="22"/>
          <w:lang w:val="hu-HU" w:eastAsia="en-US"/>
        </w:rPr>
      </w:pPr>
    </w:p>
    <w:p w:rsidR="00A00261" w:rsidRDefault="00087B68">
      <w:pPr>
        <w:widowControl w:val="0"/>
        <w:rPr>
          <w:i/>
          <w:szCs w:val="22"/>
          <w:lang w:val="hu-HU" w:eastAsia="en-US"/>
        </w:rPr>
      </w:pPr>
      <w:r>
        <w:rPr>
          <w:i/>
          <w:szCs w:val="22"/>
          <w:lang w:val="hu-HU" w:eastAsia="en-US"/>
        </w:rPr>
        <w:t>Káliummegtakarító diuretikumok (amilorid, spironolakton, triamteren)</w:t>
      </w:r>
    </w:p>
    <w:p w:rsidR="00A00261" w:rsidRDefault="00087B68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Habár a racionális kombinációk hasznosak bizonyos betegek esetében, hypokalaemia vagy hyperkalaemia (főleg veseelégtelenségben szenvedő vagy diabeteses betegeknél) mégis előfordulhat. A plazma káliumszintet és az EKG-t ellenőrizni kell, és ha szükséges, a terápián változtatni kell.</w:t>
      </w:r>
    </w:p>
    <w:p w:rsidR="00A00261" w:rsidRDefault="00A00261">
      <w:pPr>
        <w:keepNext/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/>
        </w:rPr>
      </w:pPr>
      <w:r>
        <w:rPr>
          <w:bCs/>
          <w:i/>
          <w:szCs w:val="22"/>
          <w:lang w:val="hu-HU"/>
        </w:rPr>
        <w:t xml:space="preserve">Metformin: </w:t>
      </w:r>
      <w:r>
        <w:rPr>
          <w:szCs w:val="22"/>
          <w:lang w:val="hu-HU"/>
        </w:rPr>
        <w:t xml:space="preserve">Diuretikumokhoz (különösen a kacsdiuretikumokhoz) kapcsolódó, </w:t>
      </w:r>
      <w:r>
        <w:rPr>
          <w:spacing w:val="-2"/>
          <w:szCs w:val="22"/>
          <w:lang w:val="hu-HU"/>
        </w:rPr>
        <w:t>funkcionális veseelégtelenség miatt a metformin tejsavacidózist okozhat. Ne alkalmazzunk metformint</w:t>
      </w:r>
      <w:r>
        <w:rPr>
          <w:szCs w:val="22"/>
          <w:lang w:val="hu-HU"/>
        </w:rPr>
        <w:t>, ha a szérum kreatininszint meghaladja férfiaknál a 15 mg/l (135 mikromol/l) és nőknél a 12 mg/l (110 mikromol/l) szintet.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 w:eastAsia="en-US"/>
        </w:rPr>
      </w:pPr>
      <w:r>
        <w:rPr>
          <w:i/>
          <w:spacing w:val="-2"/>
          <w:szCs w:val="22"/>
          <w:lang w:val="hu-HU" w:eastAsia="en-US"/>
        </w:rPr>
        <w:t xml:space="preserve">Jódtartalmú kontrasztanyagok: </w:t>
      </w:r>
      <w:r>
        <w:rPr>
          <w:spacing w:val="-2"/>
          <w:szCs w:val="22"/>
          <w:lang w:val="hu-HU" w:eastAsia="en-US"/>
        </w:rPr>
        <w:t>Diuretikum okozta kiszáradás esetén fokozott az akut veseelégtelenség</w:t>
      </w:r>
      <w:r>
        <w:rPr>
          <w:szCs w:val="22"/>
          <w:lang w:val="hu-HU" w:eastAsia="en-US"/>
        </w:rPr>
        <w:t xml:space="preserve"> </w:t>
      </w:r>
      <w:r>
        <w:rPr>
          <w:spacing w:val="-2"/>
          <w:szCs w:val="22"/>
          <w:lang w:val="hu-HU" w:eastAsia="en-US"/>
        </w:rPr>
        <w:t>kockázata – különösen, ha nagy mennyiségben adnak jódtartalmú kontrasztanyagot. Rehidrációt kell végezni</w:t>
      </w:r>
      <w:r>
        <w:rPr>
          <w:szCs w:val="22"/>
          <w:lang w:val="hu-HU" w:eastAsia="en-US"/>
        </w:rPr>
        <w:t xml:space="preserve"> a jód tartalmú kontrasztanyag alkalmazása előtt.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rPr>
          <w:bCs/>
          <w:szCs w:val="22"/>
          <w:lang w:val="hu-HU"/>
        </w:rPr>
      </w:pPr>
      <w:r>
        <w:rPr>
          <w:bCs/>
          <w:i/>
          <w:spacing w:val="-2"/>
          <w:szCs w:val="22"/>
          <w:lang w:val="hu-HU"/>
        </w:rPr>
        <w:t xml:space="preserve">Kalcium(sók): </w:t>
      </w:r>
      <w:r>
        <w:rPr>
          <w:bCs/>
          <w:spacing w:val="-2"/>
          <w:szCs w:val="22"/>
          <w:lang w:val="hu-HU"/>
        </w:rPr>
        <w:t>A vizelettel történő csökkent kalciumürítés következményeként fennáll a hypercalcaemia</w:t>
      </w:r>
      <w:r>
        <w:rPr>
          <w:bCs/>
          <w:szCs w:val="22"/>
          <w:lang w:val="hu-HU"/>
        </w:rPr>
        <w:t xml:space="preserve"> kockázata.</w:t>
      </w:r>
    </w:p>
    <w:p w:rsidR="00A00261" w:rsidRDefault="00A00261">
      <w:pPr>
        <w:rPr>
          <w:bCs/>
          <w:szCs w:val="22"/>
          <w:lang w:val="hu-HU"/>
        </w:rPr>
      </w:pPr>
    </w:p>
    <w:p w:rsidR="00A00261" w:rsidRDefault="00087B68">
      <w:pPr>
        <w:rPr>
          <w:bCs/>
          <w:szCs w:val="22"/>
          <w:lang w:val="hu-HU"/>
        </w:rPr>
      </w:pPr>
      <w:r>
        <w:rPr>
          <w:bCs/>
          <w:i/>
          <w:szCs w:val="22"/>
          <w:lang w:val="hu-HU"/>
        </w:rPr>
        <w:t>Ciklosporin, takrolimusz:</w:t>
      </w:r>
      <w:r>
        <w:rPr>
          <w:bCs/>
          <w:szCs w:val="22"/>
          <w:lang w:val="hu-HU"/>
        </w:rPr>
        <w:t xml:space="preserve"> A kreatininszint emelkedésének fokozott kockázata – a keringő ciklosporin szintjének növekedése nélkül –só- és folyadékhiány nélkül is fennáll.</w:t>
      </w:r>
    </w:p>
    <w:p w:rsidR="00A00261" w:rsidRDefault="00A00261">
      <w:pPr>
        <w:rPr>
          <w:bCs/>
          <w:szCs w:val="22"/>
          <w:lang w:val="hu-HU"/>
        </w:rPr>
      </w:pPr>
    </w:p>
    <w:p w:rsidR="00A00261" w:rsidRDefault="00087B68">
      <w:pPr>
        <w:rPr>
          <w:bCs/>
          <w:szCs w:val="22"/>
          <w:lang w:val="hu-HU"/>
        </w:rPr>
      </w:pPr>
      <w:r>
        <w:rPr>
          <w:bCs/>
          <w:i/>
          <w:szCs w:val="22"/>
          <w:lang w:val="hu-HU"/>
        </w:rPr>
        <w:t>Kortikoszteroidok, tetrakozaktid (szisztémásan adagolva):</w:t>
      </w:r>
      <w:r>
        <w:rPr>
          <w:bCs/>
          <w:szCs w:val="22"/>
          <w:lang w:val="hu-HU"/>
        </w:rPr>
        <w:t xml:space="preserve"> csökken az antihipertenzív hatás (fokozott víz-/nátriumretenció a kortikoszteroid hatása következtében).</w:t>
      </w:r>
    </w:p>
    <w:p w:rsidR="00A00261" w:rsidRDefault="00A00261">
      <w:pPr>
        <w:rPr>
          <w:bCs/>
          <w:szCs w:val="22"/>
          <w:lang w:val="hu-HU"/>
        </w:rPr>
      </w:pPr>
    </w:p>
    <w:p w:rsidR="00A00261" w:rsidRDefault="00087B68">
      <w:pPr>
        <w:rPr>
          <w:u w:val="single"/>
          <w:lang w:val="hu-HU"/>
        </w:rPr>
      </w:pPr>
      <w:r>
        <w:rPr>
          <w:u w:val="single"/>
          <w:lang w:val="hu-HU"/>
        </w:rPr>
        <w:t>A rozuvasztatinra vonatkozóan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widowControl w:val="0"/>
        <w:rPr>
          <w:i/>
          <w:szCs w:val="22"/>
          <w:u w:val="single"/>
          <w:lang w:val="hu-HU"/>
        </w:rPr>
      </w:pPr>
      <w:r>
        <w:rPr>
          <w:i/>
          <w:szCs w:val="22"/>
          <w:u w:val="single"/>
          <w:lang w:val="hu-HU"/>
        </w:rPr>
        <w:t>Az egyidejűleg adott gyógyszerek hatása a rozuvasztatinra</w:t>
      </w:r>
    </w:p>
    <w:p w:rsidR="00A00261" w:rsidRDefault="00A00261">
      <w:pPr>
        <w:widowControl w:val="0"/>
        <w:rPr>
          <w:bCs/>
          <w:szCs w:val="22"/>
          <w:u w:val="single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bCs/>
          <w:i/>
          <w:szCs w:val="22"/>
          <w:lang w:val="hu-HU"/>
        </w:rPr>
        <w:t>Transzportfehérje</w:t>
      </w:r>
      <w:r>
        <w:rPr>
          <w:bCs/>
          <w:i/>
          <w:szCs w:val="22"/>
          <w:lang w:val="hu-HU"/>
        </w:rPr>
        <w:noBreakHyphen/>
        <w:t>gátlók:</w:t>
      </w:r>
      <w:r>
        <w:rPr>
          <w:i/>
          <w:szCs w:val="22"/>
          <w:lang w:val="hu-HU"/>
        </w:rPr>
        <w:t xml:space="preserve"> </w:t>
      </w:r>
      <w:r>
        <w:rPr>
          <w:szCs w:val="22"/>
          <w:lang w:val="hu-HU"/>
        </w:rPr>
        <w:t xml:space="preserve">A rozuvasztatin bizonyos transzportfehérjék (többek között a hepaticus uptake transzporter OATP1B1 és efflux transzporter BCRP) szubsztrátja. A rozuvasztatin és az ezen </w:t>
      </w:r>
      <w:r>
        <w:rPr>
          <w:spacing w:val="-2"/>
          <w:szCs w:val="22"/>
          <w:lang w:val="hu-HU"/>
        </w:rPr>
        <w:t>transzportfehérjéket gátló gyógyszerek egyidejű alkalmazása a rozuvasztatin plazmakoncentráció</w:t>
      </w:r>
      <w:r>
        <w:rPr>
          <w:szCs w:val="22"/>
          <w:lang w:val="hu-HU"/>
        </w:rPr>
        <w:t xml:space="preserve"> növekedését és a myopathia fokozott kockázatát eredményezheti (lásd 4.2, 4.4 és 4.5 pont, valamint 1. táblázat).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i/>
          <w:szCs w:val="22"/>
          <w:lang w:val="hu-HU"/>
        </w:rPr>
        <w:t>Ciklosporin:</w:t>
      </w:r>
      <w:r>
        <w:rPr>
          <w:szCs w:val="22"/>
          <w:lang w:val="hu-HU"/>
        </w:rPr>
        <w:t xml:space="preserve"> Rozuvasztatin és ciklosporin egyidejű alkalmazásakor a rozuvasztatin AUC-értéke </w:t>
      </w:r>
      <w:r>
        <w:rPr>
          <w:spacing w:val="-2"/>
          <w:szCs w:val="22"/>
          <w:lang w:val="hu-HU"/>
        </w:rPr>
        <w:t>átlagosan hétszer magasabb volt az egészséges önkénteseknél mértnél (lásd 1. táblázat). A rozuvasztatin</w:t>
      </w:r>
      <w:r>
        <w:rPr>
          <w:szCs w:val="22"/>
          <w:lang w:val="hu-HU"/>
        </w:rPr>
        <w:t xml:space="preserve"> ellenjavallt egyidejűleg ciklosporinnal is kezelt betegeknél (lásd 4.3 pont). Az egyidejű alkalmazás nem befolyásolta a ciklosporin plazmakoncentrációját.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i/>
          <w:szCs w:val="22"/>
          <w:lang w:val="hu-HU"/>
        </w:rPr>
        <w:t xml:space="preserve">Proteáz-gátlók: </w:t>
      </w:r>
      <w:r>
        <w:rPr>
          <w:szCs w:val="22"/>
          <w:lang w:val="hu-HU"/>
        </w:rPr>
        <w:t>Bár a kölcsönhatás pontos mechanizmusa nem ismert, proteáz-gátló egyidejű adása nagymértékben növelheti a rozuvasztatin</w:t>
      </w:r>
      <w:r>
        <w:rPr>
          <w:szCs w:val="22"/>
          <w:lang w:val="hu-HU"/>
        </w:rPr>
        <w:noBreakHyphen/>
        <w:t>expozíciót (lásd 1. táblázat). Egy farmakokinetikai vizsgálatban például 10 mg rozuvasztatin és kétfajta proteáz-gátlót tartalmazó kombinált készítmény (300 mg atazanavir/100 mg ritonavir) egyidejű alkalmazása egészséges önkénteseknél a rozuvasztatin dinamikus egyensúlyi állapotban mért AUC</w:t>
      </w:r>
      <w:r>
        <w:rPr>
          <w:szCs w:val="22"/>
          <w:vertAlign w:val="subscript"/>
          <w:lang w:val="hu-HU"/>
        </w:rPr>
        <w:t>(0-24)</w:t>
      </w:r>
      <w:r>
        <w:rPr>
          <w:szCs w:val="22"/>
          <w:lang w:val="hu-HU"/>
        </w:rPr>
        <w:noBreakHyphen/>
        <w:t>értékének körülbelül háromszoros, és C</w:t>
      </w:r>
      <w:r>
        <w:rPr>
          <w:szCs w:val="22"/>
          <w:vertAlign w:val="subscript"/>
          <w:lang w:val="hu-HU"/>
        </w:rPr>
        <w:t>max</w:t>
      </w:r>
      <w:r>
        <w:rPr>
          <w:szCs w:val="22"/>
          <w:lang w:val="hu-HU"/>
        </w:rPr>
        <w:noBreakHyphen/>
        <w:t xml:space="preserve">értékének </w:t>
      </w:r>
      <w:r>
        <w:rPr>
          <w:spacing w:val="-2"/>
          <w:szCs w:val="22"/>
          <w:lang w:val="hu-HU"/>
        </w:rPr>
        <w:t xml:space="preserve">körülbelül hétszeres növekedésével járt együtt. Rozuvasztatin és néhány proteáz-gátló kombinációjának </w:t>
      </w:r>
      <w:r>
        <w:rPr>
          <w:spacing w:val="-2"/>
          <w:szCs w:val="22"/>
          <w:lang w:val="hu-HU"/>
        </w:rPr>
        <w:lastRenderedPageBreak/>
        <w:t>egyidejű alkalmazása azt követően mérlegelhető, miután a rozuvasztatin-expozíció várható növekedése</w:t>
      </w:r>
      <w:r>
        <w:rPr>
          <w:szCs w:val="22"/>
          <w:lang w:val="hu-HU"/>
        </w:rPr>
        <w:t xml:space="preserve"> alapján gondosan megfontolták a rozuvasztatin dózisának módosítását (lásd 4.2, 4.4 és 4.5 pont, valamint 1. táblázat).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i/>
          <w:szCs w:val="22"/>
          <w:lang w:val="hu-HU"/>
        </w:rPr>
        <w:t>Gemfibrozil és más lipidszintcsökkentő szerek:</w:t>
      </w:r>
      <w:r>
        <w:rPr>
          <w:szCs w:val="22"/>
          <w:lang w:val="hu-HU"/>
        </w:rPr>
        <w:t xml:space="preserve"> Rozuvasztatin és gemfibrozil egyidejű alkalmazásának eredményeként kétszeresére nőttek a rozuvasztatin C</w:t>
      </w:r>
      <w:r>
        <w:rPr>
          <w:szCs w:val="22"/>
          <w:vertAlign w:val="subscript"/>
          <w:lang w:val="hu-HU"/>
        </w:rPr>
        <w:t>max</w:t>
      </w:r>
      <w:r>
        <w:rPr>
          <w:szCs w:val="22"/>
          <w:lang w:val="hu-HU"/>
        </w:rPr>
        <w:t>- és AUC-értékei (lásd 4.4 pont).</w:t>
      </w:r>
    </w:p>
    <w:p w:rsidR="00A00261" w:rsidRDefault="00087B68">
      <w:pPr>
        <w:widowControl w:val="0"/>
        <w:rPr>
          <w:szCs w:val="22"/>
          <w:lang w:val="hu-HU"/>
        </w:rPr>
      </w:pPr>
      <w:r>
        <w:rPr>
          <w:spacing w:val="-4"/>
          <w:szCs w:val="22"/>
          <w:lang w:val="hu-HU"/>
        </w:rPr>
        <w:t>Specifikus interakciós vizsgálatokból származó adatok alapján, fenofibráttal nem várható farmakokinetikai</w:t>
      </w:r>
      <w:r>
        <w:rPr>
          <w:szCs w:val="22"/>
          <w:lang w:val="hu-HU"/>
        </w:rPr>
        <w:t xml:space="preserve"> szempontból lényeges kölcsönhatás, bár farmakodinámiás interakció kialakulhat. A gemfibrozil, a fenofibrát, más fibrátok és a niacin (nikotinsav) lipidszintet csökkentő dózisai (≥ 1 g/nap) HMG</w:t>
      </w:r>
      <w:r>
        <w:rPr>
          <w:szCs w:val="22"/>
          <w:lang w:val="hu-HU"/>
        </w:rPr>
        <w:noBreakHyphen/>
        <w:t>CoA</w:t>
      </w:r>
      <w:r>
        <w:rPr>
          <w:szCs w:val="22"/>
          <w:lang w:val="hu-HU"/>
        </w:rPr>
        <w:noBreakHyphen/>
        <w:t>reduktáz-inhibitorokkal egyidejűleg adva, növelik a myopathia kockázatát – valószínűleg azért, mert ezek a készítmények monoterápiaként alkalmazva is előidézhetnek myopathiát. A 30 mg</w:t>
      </w:r>
      <w:r>
        <w:rPr>
          <w:szCs w:val="22"/>
          <w:lang w:val="hu-HU"/>
        </w:rPr>
        <w:noBreakHyphen/>
        <w:t>os és 40 mg</w:t>
      </w:r>
      <w:r>
        <w:rPr>
          <w:szCs w:val="22"/>
          <w:lang w:val="hu-HU"/>
        </w:rPr>
        <w:noBreakHyphen/>
        <w:t>os dózis ellenjavallott fibrátok egyidejű alkalmazásakor (lásd 4.4 pont). Ezeknél a betegeknél a kezelést szintén 5 mg-os dózissal kell megkezdeni.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i/>
          <w:szCs w:val="22"/>
          <w:lang w:val="hu-HU"/>
        </w:rPr>
        <w:t xml:space="preserve">Ezetimib: </w:t>
      </w:r>
      <w:r>
        <w:rPr>
          <w:szCs w:val="22"/>
          <w:lang w:val="hu-HU"/>
        </w:rPr>
        <w:t xml:space="preserve">10 mg rozuvasztatin és 10 mg ezetimib egyidejű alkalmazása hypercholesterinaemiás </w:t>
      </w:r>
      <w:r>
        <w:rPr>
          <w:spacing w:val="-4"/>
          <w:szCs w:val="22"/>
          <w:lang w:val="hu-HU"/>
        </w:rPr>
        <w:t>betegeknél a rozuvasztatin AUC-értékének 1,2</w:t>
      </w:r>
      <w:r>
        <w:rPr>
          <w:spacing w:val="-4"/>
          <w:szCs w:val="22"/>
          <w:lang w:val="hu-HU"/>
        </w:rPr>
        <w:noBreakHyphen/>
        <w:t>szeres emelkedését idézte elő (1. táblázat). Mindazonáltal,</w:t>
      </w:r>
      <w:r>
        <w:rPr>
          <w:szCs w:val="22"/>
          <w:lang w:val="hu-HU"/>
        </w:rPr>
        <w:t xml:space="preserve"> </w:t>
      </w:r>
      <w:r>
        <w:rPr>
          <w:spacing w:val="-4"/>
          <w:szCs w:val="22"/>
          <w:lang w:val="hu-HU"/>
        </w:rPr>
        <w:t>mellékhatások tekintetében nem zárható ki a rozuvasztatin és az ezetimib között fellépő farmakodinámiás</w:t>
      </w:r>
      <w:r>
        <w:rPr>
          <w:szCs w:val="22"/>
          <w:lang w:val="hu-HU"/>
        </w:rPr>
        <w:t xml:space="preserve"> interakció (lásd 4.4 pont).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i/>
          <w:szCs w:val="22"/>
          <w:lang w:val="hu-HU"/>
        </w:rPr>
        <w:t>Antacid:</w:t>
      </w:r>
      <w:r>
        <w:rPr>
          <w:szCs w:val="22"/>
          <w:lang w:val="hu-HU"/>
        </w:rPr>
        <w:t xml:space="preserve"> Alumínium</w:t>
      </w:r>
      <w:r>
        <w:rPr>
          <w:szCs w:val="22"/>
          <w:lang w:val="hu-HU"/>
        </w:rPr>
        <w:noBreakHyphen/>
        <w:t xml:space="preserve"> és magnézium</w:t>
      </w:r>
      <w:r>
        <w:rPr>
          <w:szCs w:val="22"/>
          <w:lang w:val="hu-HU"/>
        </w:rPr>
        <w:noBreakHyphen/>
        <w:t>hidroxid</w:t>
      </w:r>
      <w:r>
        <w:rPr>
          <w:szCs w:val="22"/>
          <w:lang w:val="hu-HU"/>
        </w:rPr>
        <w:noBreakHyphen/>
        <w:t>tartalmú antacid szuszpenzió, valamint rozuvasztatin együtt adása a rozuvasztatin plazmakoncentráció kb. 50%</w:t>
      </w:r>
      <w:r>
        <w:rPr>
          <w:szCs w:val="22"/>
          <w:lang w:val="hu-HU"/>
        </w:rPr>
        <w:noBreakHyphen/>
        <w:t>os csökkenését eredményezte. Ez a hatás mérséklődött, amikor a savkötőt 2 órával a rozuvasztatin bevétele után alkalmazták. Ennek az interakciónak a klinikai jelentőségét nem vizsgálták.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bCs/>
          <w:i/>
          <w:spacing w:val="-2"/>
          <w:szCs w:val="22"/>
          <w:lang w:val="hu-HU"/>
        </w:rPr>
        <w:t>Eritromicin:</w:t>
      </w:r>
      <w:r>
        <w:rPr>
          <w:bCs/>
          <w:spacing w:val="-2"/>
          <w:szCs w:val="22"/>
          <w:lang w:val="hu-HU"/>
        </w:rPr>
        <w:t xml:space="preserve"> </w:t>
      </w:r>
      <w:r>
        <w:rPr>
          <w:spacing w:val="-2"/>
          <w:szCs w:val="22"/>
          <w:lang w:val="hu-HU"/>
        </w:rPr>
        <w:t>Rozuvasztatin és eritromicin egyidejű alkalmazása a rozuvasztatin AUC-értékének 20%</w:t>
      </w:r>
      <w:r>
        <w:rPr>
          <w:spacing w:val="-2"/>
          <w:szCs w:val="22"/>
          <w:lang w:val="hu-HU"/>
        </w:rPr>
        <w:noBreakHyphen/>
        <w:t>os, C</w:t>
      </w:r>
      <w:r>
        <w:rPr>
          <w:szCs w:val="22"/>
          <w:vertAlign w:val="subscript"/>
          <w:lang w:val="hu-HU"/>
        </w:rPr>
        <w:t>max</w:t>
      </w:r>
      <w:r>
        <w:rPr>
          <w:szCs w:val="22"/>
          <w:lang w:val="hu-HU"/>
        </w:rPr>
        <w:noBreakHyphen/>
        <w:t>értékének 30%</w:t>
      </w:r>
      <w:r>
        <w:rPr>
          <w:szCs w:val="22"/>
          <w:lang w:val="hu-HU"/>
        </w:rPr>
        <w:noBreakHyphen/>
        <w:t>os csökkenését eredményezte. Ezt a kölcsönhatást a bélmotilitás eritromicin által kiváltott fokozódása okozhatja.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i/>
          <w:szCs w:val="22"/>
          <w:lang w:val="hu-HU"/>
        </w:rPr>
        <w:t>Citokróm P450 enzimek:</w:t>
      </w:r>
      <w:r>
        <w:rPr>
          <w:i/>
          <w:iCs/>
          <w:szCs w:val="22"/>
          <w:lang w:val="hu-HU"/>
        </w:rPr>
        <w:t xml:space="preserve"> In vitro</w:t>
      </w:r>
      <w:r>
        <w:rPr>
          <w:szCs w:val="22"/>
          <w:lang w:val="hu-HU"/>
        </w:rPr>
        <w:t xml:space="preserve"> és </w:t>
      </w:r>
      <w:r>
        <w:rPr>
          <w:i/>
          <w:iCs/>
          <w:szCs w:val="22"/>
          <w:lang w:val="hu-HU"/>
        </w:rPr>
        <w:t>in vivo</w:t>
      </w:r>
      <w:r>
        <w:rPr>
          <w:szCs w:val="22"/>
          <w:lang w:val="hu-HU"/>
        </w:rPr>
        <w:t xml:space="preserve"> vizsgálatok eredményei azt mutatják, hogy a rozuvasztatin nem gátolja és nem is indukálja a P450 izoenzimeket. Ezen felül, a rozuvasztatin gyenge szubsztrátja ezeknek az izoenzimeknek. Ennél fogva, a citokróm P450 közvetítésével zajló metabolizmus következményeként nem várhatók gyógyszerkölcsönhatások. Nem figyeltek meg klinikai szempontból </w:t>
      </w:r>
      <w:r>
        <w:rPr>
          <w:spacing w:val="-2"/>
          <w:szCs w:val="22"/>
          <w:lang w:val="hu-HU"/>
        </w:rPr>
        <w:t xml:space="preserve">lényeges kölcsönhatásokat a rozuvasztatin és flukonazol (CYP2C9 és CYP3A4 gátló) vagy ketokonazol </w:t>
      </w:r>
      <w:r>
        <w:rPr>
          <w:szCs w:val="22"/>
          <w:lang w:val="hu-HU"/>
        </w:rPr>
        <w:t>(CYP2A6 és CYP3A4 gátló) között.</w:t>
      </w:r>
    </w:p>
    <w:p w:rsidR="00A00261" w:rsidRDefault="00A00261">
      <w:pPr>
        <w:widowControl w:val="0"/>
        <w:rPr>
          <w:i/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i/>
          <w:szCs w:val="22"/>
          <w:lang w:val="hu-HU"/>
        </w:rPr>
        <w:t xml:space="preserve">Tikagrelor: </w:t>
      </w:r>
      <w:r>
        <w:rPr>
          <w:szCs w:val="22"/>
          <w:lang w:val="hu-HU"/>
        </w:rPr>
        <w:t>A tikagrelor befolyásolhatja a rozuvasztatin vesén át történő kiválasztását, ezáltal növelheti a rozuvasztatin akkumulációjának kockázatát. Bár a pontos mechanizmus nem ismert, néhány esetben a tikagrelor és a rozuvasztatin együttes alkalmazása a vesefunkció romlásához, megnövekedett CPK-szinthez, és rhabdomyolysis kialakulásához vezetett.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i/>
          <w:szCs w:val="22"/>
          <w:lang w:val="hu-HU"/>
        </w:rPr>
        <w:t>A rozuvasztatin dózismódosítását igénylő interakciók (lásd még 1. táblázat):</w:t>
      </w:r>
      <w:r>
        <w:rPr>
          <w:szCs w:val="22"/>
          <w:lang w:val="hu-HU"/>
        </w:rPr>
        <w:t xml:space="preserve"> Amikor a rozuvasztatint </w:t>
      </w:r>
      <w:r>
        <w:rPr>
          <w:spacing w:val="-2"/>
          <w:szCs w:val="22"/>
          <w:lang w:val="hu-HU"/>
        </w:rPr>
        <w:t>egyidejűleg szükséges alkalmazni más, olyan gyógyszerekkel, amelyek ismerten növelik a rozuvasztatin</w:t>
      </w:r>
      <w:r>
        <w:rPr>
          <w:szCs w:val="22"/>
          <w:lang w:val="hu-HU"/>
        </w:rPr>
        <w:noBreakHyphen/>
      </w:r>
      <w:r>
        <w:rPr>
          <w:spacing w:val="-2"/>
          <w:szCs w:val="22"/>
          <w:lang w:val="hu-HU"/>
        </w:rPr>
        <w:t>expozíciót, akkor módosítani kell a rozuvasztatin dózisait. A kezdő adag napi egyszer 5 mg rozuvasztatin</w:t>
      </w:r>
      <w:r>
        <w:rPr>
          <w:szCs w:val="22"/>
          <w:lang w:val="hu-HU"/>
        </w:rPr>
        <w:t xml:space="preserve"> legyen, ha az expozíció (AUC) várható növekedése kb. 2</w:t>
      </w:r>
      <w:r>
        <w:rPr>
          <w:szCs w:val="22"/>
          <w:lang w:val="hu-HU"/>
        </w:rPr>
        <w:noBreakHyphen/>
        <w:t>szeres vagy nagyobb. A rozuvasztatin maximális napi dózisát úgy kell módosítani, hogy a várható rozuvasztatin-expozíció lehetőleg ne haladja meg a napi 40 mg rozuvasztatin alkalmazásakor interakciót kiváltó gyógyszer nélkül mért értéket, például 20 mg rozuvasztatin + gemfibrozil (1,9</w:t>
      </w:r>
      <w:r>
        <w:rPr>
          <w:szCs w:val="22"/>
          <w:lang w:val="hu-HU"/>
        </w:rPr>
        <w:noBreakHyphen/>
        <w:t>szeres növekedés), vagy 10 mg rozuvasztatin + ritonavir/atazanavir kombinációval (3,1</w:t>
      </w:r>
      <w:r>
        <w:rPr>
          <w:szCs w:val="22"/>
          <w:lang w:val="hu-HU"/>
        </w:rPr>
        <w:noBreakHyphen/>
        <w:t>szeres növekedés).</w:t>
      </w:r>
    </w:p>
    <w:p w:rsidR="00A00261" w:rsidRDefault="00A00261">
      <w:pPr>
        <w:rPr>
          <w:lang w:val="hu-HU"/>
        </w:rPr>
      </w:pPr>
    </w:p>
    <w:p w:rsidR="00A00261" w:rsidRDefault="00087B68">
      <w:pPr>
        <w:rPr>
          <w:lang w:val="hu-HU"/>
        </w:rPr>
      </w:pPr>
      <w:r>
        <w:rPr>
          <w:lang w:val="hu-HU"/>
        </w:rPr>
        <w:t xml:space="preserve">Amennyiben a megfigyelés alapján a gyógyszer a rozuvasztatin AUC értékét kevesebb mint kétszeresére növeli, úgy a kezdő adagot nem szükséges csökkenteni, de a rozuvasztatin dózis 20 mg fölé emelése óvatosságot igényel. </w:t>
      </w:r>
    </w:p>
    <w:p w:rsidR="00A00261" w:rsidRDefault="00A00261">
      <w:pPr>
        <w:keepNext/>
        <w:rPr>
          <w:b/>
          <w:bCs/>
          <w:szCs w:val="22"/>
          <w:lang w:val="hu-HU"/>
        </w:rPr>
      </w:pPr>
    </w:p>
    <w:p w:rsidR="00A00261" w:rsidRDefault="00087B68">
      <w:pPr>
        <w:keepNext/>
        <w:rPr>
          <w:b/>
          <w:bCs/>
          <w:lang w:val="hu-HU"/>
        </w:rPr>
      </w:pPr>
      <w:r>
        <w:rPr>
          <w:b/>
          <w:bCs/>
          <w:szCs w:val="22"/>
          <w:lang w:val="hu-HU"/>
        </w:rPr>
        <w:t xml:space="preserve">1. táblázat: Az egyidejűleg alkalmazott gyógyszerek </w:t>
      </w:r>
      <w:r>
        <w:rPr>
          <w:b/>
          <w:bCs/>
          <w:lang w:val="hu-HU"/>
        </w:rPr>
        <w:t>rozuvasztatin</w:t>
      </w:r>
      <w:r>
        <w:rPr>
          <w:b/>
          <w:bCs/>
          <w:lang w:val="hu-HU"/>
        </w:rPr>
        <w:noBreakHyphen/>
        <w:t>expozícióra gyakorolt hatása</w:t>
      </w:r>
      <w:r>
        <w:rPr>
          <w:b/>
          <w:bCs/>
          <w:szCs w:val="22"/>
          <w:lang w:val="hu-HU"/>
        </w:rPr>
        <w:t xml:space="preserve"> (AUC; csökkenő nagyságrendben) a közölt klinikai vizsgálatokból</w:t>
      </w:r>
    </w:p>
    <w:p w:rsidR="00A00261" w:rsidRDefault="00A00261">
      <w:pPr>
        <w:keepNext/>
        <w:rPr>
          <w:lang w:val="hu-H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2693"/>
        <w:gridCol w:w="2268"/>
      </w:tblGrid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keepNext/>
              <w:rPr>
                <w:b/>
                <w:szCs w:val="22"/>
                <w:lang w:val="hu-HU" w:eastAsia="zh-CN"/>
              </w:rPr>
            </w:pPr>
            <w:r>
              <w:rPr>
                <w:b/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693" w:type="dxa"/>
          </w:tcPr>
          <w:p w:rsidR="00A00261" w:rsidRDefault="00087B68">
            <w:pPr>
              <w:keepNext/>
              <w:jc w:val="center"/>
              <w:rPr>
                <w:b/>
                <w:szCs w:val="22"/>
                <w:lang w:val="hu-HU" w:eastAsia="zh-CN"/>
              </w:rPr>
            </w:pPr>
            <w:r>
              <w:rPr>
                <w:b/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2268" w:type="dxa"/>
          </w:tcPr>
          <w:p w:rsidR="00A00261" w:rsidRDefault="00087B68">
            <w:pPr>
              <w:keepNext/>
              <w:jc w:val="center"/>
              <w:rPr>
                <w:b/>
                <w:szCs w:val="22"/>
                <w:lang w:val="hu-HU" w:eastAsia="zh-CN"/>
              </w:rPr>
            </w:pPr>
            <w:r>
              <w:rPr>
                <w:b/>
                <w:szCs w:val="22"/>
                <w:lang w:val="hu-HU" w:eastAsia="zh-CN"/>
              </w:rPr>
              <w:t>Rozuvasztatin AUC</w:t>
            </w:r>
            <w:r>
              <w:rPr>
                <w:b/>
                <w:szCs w:val="22"/>
                <w:vertAlign w:val="superscript"/>
                <w:lang w:val="hu-HU" w:eastAsia="zh-CN"/>
              </w:rPr>
              <w:t xml:space="preserve">* </w:t>
            </w:r>
            <w:r>
              <w:rPr>
                <w:b/>
                <w:szCs w:val="22"/>
                <w:lang w:val="hu-HU" w:eastAsia="zh-CN"/>
              </w:rPr>
              <w:t>változása</w:t>
            </w:r>
          </w:p>
        </w:tc>
      </w:tr>
      <w:tr w:rsidR="00A00261">
        <w:trPr>
          <w:cantSplit/>
        </w:trPr>
        <w:tc>
          <w:tcPr>
            <w:tcW w:w="9322" w:type="dxa"/>
            <w:gridSpan w:val="3"/>
            <w:vAlign w:val="center"/>
          </w:tcPr>
          <w:p w:rsidR="00A00261" w:rsidRDefault="00087B68">
            <w:pPr>
              <w:keepNext/>
              <w:rPr>
                <w:szCs w:val="22"/>
                <w:lang w:val="hu-HU" w:eastAsia="zh-CN"/>
              </w:rPr>
            </w:pPr>
            <w:r>
              <w:rPr>
                <w:b/>
                <w:lang w:val="hu-HU" w:eastAsia="zh-CN"/>
              </w:rPr>
              <w:t>A rozuvasztatin AUC értékének 2-szeres vagy nagyobb mértékű növekedése</w:t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Szofoszbuvir/velpataszvir/voxilaprevir (400 mg - 100 mg - 100 mg) + voxilaprevir (100 mg) napi egyszer, 15 napig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7,4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 xml:space="preserve">Ciklosporin 75 mg napi kétszer </w:t>
            </w:r>
            <w:r>
              <w:rPr>
                <w:szCs w:val="22"/>
                <w:lang w:val="hu-HU" w:eastAsia="zh-CN"/>
              </w:rPr>
              <w:noBreakHyphen/>
              <w:t xml:space="preserve"> 200 mg napi kétszer, 6 hónap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 napi egyszer, 10 nap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7,1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Darolutamid 600 mg napi kétszer, 5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5 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5,2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Regorafenib 160 mg napi egyszer, 14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5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3,8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Atazanavir 300 mg/ritonavir 100 mg napi egyszer, 8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3,1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Roxadusztát 20 mg kétnaponta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t>2,9</w:t>
            </w:r>
            <w:r>
              <w:noBreakHyphen/>
              <w:t xml:space="preserve">szeres </w:t>
            </w:r>
            <w: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Velpataszvir 100 mg napi egyszer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2,7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Ombitaszvir 25 mg/paritaprevir 150 mg/ ritonavir 100 mg napi egyszer/ dazabuvir 400 mg napi kétszer, 14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5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2,6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Teriflunomid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Nem elérhető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t>2,5</w:t>
            </w:r>
            <w:r>
              <w:noBreakHyphen/>
              <w:t xml:space="preserve">szeres </w:t>
            </w:r>
            <w: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Grazoprevir 200 mg/elbasvir 50 mg napi egyszer, 11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2,3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Glekaprevir 400 mg/pibrentaszvir 120 mg napi egyszer, 7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5 mg napi egyszer, 7 nap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 xml:space="preserve">2,2 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Lopinavir 400 mg/ritonavir 100 mg napi kétszer, 17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20 mg napi egyszer, 7 nap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2,1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t>Kapmatinib 400 mg napi kétszer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t>2,1</w:t>
            </w:r>
            <w:r>
              <w:noBreakHyphen/>
              <w:t xml:space="preserve">szeres </w:t>
            </w:r>
            <w: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Klopidogrel 300 mg</w:t>
            </w:r>
            <w:r>
              <w:rPr>
                <w:szCs w:val="22"/>
                <w:lang w:val="hu-HU" w:eastAsia="zh-CN"/>
              </w:rPr>
              <w:noBreakHyphen/>
              <w:t>os telítő adag, 75 mg</w:t>
            </w:r>
            <w:r>
              <w:rPr>
                <w:szCs w:val="22"/>
                <w:lang w:val="hu-HU" w:eastAsia="zh-CN"/>
              </w:rPr>
              <w:noBreakHyphen/>
              <w:t>mal folytatva 24 óránként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t>Fosztamatinib 100 mg napi kétszer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t>2,0</w:t>
            </w:r>
            <w:r>
              <w:noBreakHyphen/>
              <w:t xml:space="preserve">szeres </w:t>
            </w:r>
            <w: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lang w:val="hu-HU"/>
              </w:rPr>
            </w:pPr>
            <w:r>
              <w:rPr>
                <w:lang w:val="hu-HU"/>
              </w:rPr>
              <w:t>Tafamidisz 61 mg napi kétszer a kezelés 1</w:t>
            </w:r>
            <w:r>
              <w:rPr>
                <w:lang w:val="hu-HU"/>
              </w:rPr>
              <w:noBreakHyphen/>
              <w:t>2. napján, napi egyszer a kezelés 3-9. napján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</w:pPr>
            <w:r>
              <w:t>2,0</w:t>
            </w:r>
            <w:r>
              <w:noBreakHyphen/>
              <w:t xml:space="preserve">szeres </w:t>
            </w:r>
            <w: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A00261">
            <w:pPr>
              <w:rPr>
                <w:szCs w:val="22"/>
                <w:lang w:val="hu-HU" w:eastAsia="zh-CN"/>
              </w:rPr>
            </w:pPr>
          </w:p>
        </w:tc>
        <w:tc>
          <w:tcPr>
            <w:tcW w:w="2693" w:type="dxa"/>
          </w:tcPr>
          <w:p w:rsidR="00A00261" w:rsidRDefault="00A00261">
            <w:pPr>
              <w:jc w:val="center"/>
              <w:rPr>
                <w:szCs w:val="22"/>
                <w:lang w:val="hu-HU" w:eastAsia="zh-CN"/>
              </w:rPr>
            </w:pPr>
          </w:p>
        </w:tc>
        <w:tc>
          <w:tcPr>
            <w:tcW w:w="2268" w:type="dxa"/>
          </w:tcPr>
          <w:p w:rsidR="00A00261" w:rsidRDefault="00A00261">
            <w:pPr>
              <w:jc w:val="center"/>
              <w:rPr>
                <w:szCs w:val="22"/>
                <w:lang w:val="hu-HU" w:eastAsia="zh-CN"/>
              </w:rPr>
            </w:pPr>
          </w:p>
        </w:tc>
      </w:tr>
      <w:tr w:rsidR="00A00261">
        <w:trPr>
          <w:cantSplit/>
        </w:trPr>
        <w:tc>
          <w:tcPr>
            <w:tcW w:w="9322" w:type="dxa"/>
            <w:gridSpan w:val="3"/>
          </w:tcPr>
          <w:p w:rsidR="00A00261" w:rsidRDefault="00087B68">
            <w:pPr>
              <w:keepNext/>
              <w:rPr>
                <w:b/>
                <w:szCs w:val="22"/>
                <w:lang w:val="hu-HU" w:eastAsia="zh-CN"/>
              </w:rPr>
            </w:pPr>
            <w:bookmarkStart w:id="1" w:name="_Hlk31666578"/>
            <w:r>
              <w:rPr>
                <w:b/>
                <w:szCs w:val="22"/>
                <w:lang w:val="hu-HU" w:eastAsia="zh-CN"/>
              </w:rPr>
              <w:t>A rozuvasztatin AUC értékének kevesebb mint 2-szeres mértékű növekedése</w:t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keepNext/>
              <w:rPr>
                <w:b/>
                <w:szCs w:val="22"/>
                <w:lang w:val="hu-HU" w:eastAsia="zh-CN"/>
              </w:rPr>
            </w:pPr>
            <w:r>
              <w:rPr>
                <w:b/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693" w:type="dxa"/>
          </w:tcPr>
          <w:p w:rsidR="00A00261" w:rsidRDefault="00087B68">
            <w:pPr>
              <w:keepNext/>
              <w:jc w:val="center"/>
              <w:rPr>
                <w:b/>
                <w:szCs w:val="22"/>
                <w:lang w:val="hu-HU" w:eastAsia="zh-CN"/>
              </w:rPr>
            </w:pPr>
            <w:r>
              <w:rPr>
                <w:b/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2268" w:type="dxa"/>
          </w:tcPr>
          <w:p w:rsidR="00A00261" w:rsidRDefault="00087B68">
            <w:pPr>
              <w:keepNext/>
              <w:jc w:val="center"/>
              <w:rPr>
                <w:b/>
                <w:szCs w:val="22"/>
                <w:lang w:val="hu-HU" w:eastAsia="zh-CN"/>
              </w:rPr>
            </w:pPr>
            <w:r>
              <w:rPr>
                <w:b/>
                <w:szCs w:val="22"/>
                <w:lang w:val="hu-HU" w:eastAsia="zh-CN"/>
              </w:rPr>
              <w:t>Rozuvasztatin AUC</w:t>
            </w:r>
            <w:r>
              <w:rPr>
                <w:b/>
                <w:szCs w:val="22"/>
                <w:vertAlign w:val="superscript"/>
                <w:lang w:val="hu-HU" w:eastAsia="zh-CN"/>
              </w:rPr>
              <w:t xml:space="preserve">* </w:t>
            </w:r>
            <w:r>
              <w:rPr>
                <w:b/>
                <w:szCs w:val="22"/>
                <w:lang w:val="hu-HU" w:eastAsia="zh-CN"/>
              </w:rPr>
              <w:t>változása</w:t>
            </w:r>
          </w:p>
        </w:tc>
      </w:tr>
      <w:bookmarkEnd w:id="1"/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t>Febuxosztát 120 mg napi egyszer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1,9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Gemfibrozil 600 mg napi kétszer, 7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80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1,9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Eltrombopag 75 mg napi egyszer, 5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1,6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Darunavir 600 mg/ritonavir 100 mg napi kétszer, 7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 napi egyszer, 7 nap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1,5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Tipranavir 500 mg/ritonavir 200 mg napi kétszer, 11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1,4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Dronedaron 400 mg napi kétszer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Nem elérhető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1,4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Itrakonazol 200 mg napi egyszer, 5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1,4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  <w:r>
              <w:rPr>
                <w:szCs w:val="22"/>
                <w:vertAlign w:val="superscript"/>
                <w:lang w:val="hu-HU" w:eastAsia="zh-CN"/>
              </w:rPr>
              <w:t>**</w:t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Ezetimib 10 mg napi egyszer, 14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napi egyszer, 14 nap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1,2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  <w:r>
              <w:rPr>
                <w:szCs w:val="22"/>
                <w:vertAlign w:val="superscript"/>
                <w:lang w:val="hu-HU" w:eastAsia="zh-CN"/>
              </w:rPr>
              <w:t>**</w:t>
            </w:r>
          </w:p>
        </w:tc>
      </w:tr>
      <w:tr w:rsidR="00A00261">
        <w:trPr>
          <w:cantSplit/>
        </w:trPr>
        <w:tc>
          <w:tcPr>
            <w:tcW w:w="9322" w:type="dxa"/>
            <w:gridSpan w:val="3"/>
          </w:tcPr>
          <w:p w:rsidR="00A00261" w:rsidRDefault="00A00261">
            <w:pPr>
              <w:jc w:val="center"/>
              <w:rPr>
                <w:szCs w:val="22"/>
                <w:lang w:val="hu-HU" w:eastAsia="zh-CN"/>
              </w:rPr>
            </w:pPr>
          </w:p>
        </w:tc>
      </w:tr>
      <w:tr w:rsidR="00A00261">
        <w:trPr>
          <w:cantSplit/>
        </w:trPr>
        <w:tc>
          <w:tcPr>
            <w:tcW w:w="9322" w:type="dxa"/>
            <w:gridSpan w:val="3"/>
          </w:tcPr>
          <w:p w:rsidR="00A00261" w:rsidRDefault="00087B68">
            <w:pPr>
              <w:keepNext/>
              <w:rPr>
                <w:b/>
                <w:szCs w:val="22"/>
                <w:lang w:val="hu-HU" w:eastAsia="zh-CN"/>
              </w:rPr>
            </w:pPr>
            <w:r>
              <w:rPr>
                <w:b/>
                <w:szCs w:val="22"/>
                <w:lang w:val="hu-HU" w:eastAsia="zh-CN"/>
              </w:rPr>
              <w:t>A rozuvasztatin AUC értékének csökkenése</w:t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keepNext/>
              <w:rPr>
                <w:b/>
                <w:szCs w:val="22"/>
                <w:lang w:val="hu-HU" w:eastAsia="zh-CN"/>
              </w:rPr>
            </w:pPr>
            <w:r>
              <w:rPr>
                <w:b/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693" w:type="dxa"/>
          </w:tcPr>
          <w:p w:rsidR="00A00261" w:rsidRDefault="00087B68">
            <w:pPr>
              <w:keepNext/>
              <w:jc w:val="center"/>
              <w:rPr>
                <w:b/>
                <w:szCs w:val="22"/>
                <w:lang w:val="hu-HU" w:eastAsia="zh-CN"/>
              </w:rPr>
            </w:pPr>
            <w:r>
              <w:rPr>
                <w:b/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2268" w:type="dxa"/>
          </w:tcPr>
          <w:p w:rsidR="00A00261" w:rsidRDefault="00087B68">
            <w:pPr>
              <w:keepNext/>
              <w:jc w:val="center"/>
              <w:rPr>
                <w:b/>
                <w:szCs w:val="22"/>
                <w:lang w:val="hu-HU" w:eastAsia="zh-CN"/>
              </w:rPr>
            </w:pPr>
            <w:r>
              <w:rPr>
                <w:b/>
                <w:szCs w:val="22"/>
                <w:lang w:val="hu-HU" w:eastAsia="zh-CN"/>
              </w:rPr>
              <w:t>Rozuvasztatin AUC</w:t>
            </w:r>
            <w:r>
              <w:rPr>
                <w:b/>
                <w:szCs w:val="22"/>
                <w:vertAlign w:val="superscript"/>
                <w:lang w:val="hu-HU" w:eastAsia="zh-CN"/>
              </w:rPr>
              <w:t xml:space="preserve">* </w:t>
            </w:r>
            <w:r>
              <w:rPr>
                <w:b/>
                <w:szCs w:val="22"/>
                <w:lang w:val="hu-HU" w:eastAsia="zh-CN"/>
              </w:rPr>
              <w:t>változása</w:t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Eritromicin 500 mg napi négyszer, 7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80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 xml:space="preserve">20% </w:t>
            </w:r>
            <w:r>
              <w:rPr>
                <w:szCs w:val="22"/>
                <w:lang w:val="hu-HU" w:eastAsia="zh-CN"/>
              </w:rPr>
              <w:sym w:font="Symbol" w:char="F0AF"/>
            </w:r>
          </w:p>
        </w:tc>
      </w:tr>
      <w:tr w:rsidR="00A00261">
        <w:trPr>
          <w:cantSplit/>
        </w:trPr>
        <w:tc>
          <w:tcPr>
            <w:tcW w:w="4361" w:type="dxa"/>
          </w:tcPr>
          <w:p w:rsidR="00A00261" w:rsidRDefault="00087B68">
            <w:pPr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Baikalin 50 mg napi háromszor, 14 nap</w:t>
            </w:r>
          </w:p>
        </w:tc>
        <w:tc>
          <w:tcPr>
            <w:tcW w:w="2693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2268" w:type="dxa"/>
          </w:tcPr>
          <w:p w:rsidR="00A00261" w:rsidRDefault="00087B68">
            <w:pPr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 xml:space="preserve">47% </w:t>
            </w:r>
            <w:r>
              <w:rPr>
                <w:szCs w:val="22"/>
                <w:lang w:val="hu-HU" w:eastAsia="zh-CN"/>
              </w:rPr>
              <w:sym w:font="Symbol" w:char="F0AF"/>
            </w:r>
          </w:p>
        </w:tc>
      </w:tr>
      <w:tr w:rsidR="00A00261">
        <w:trPr>
          <w:cantSplit/>
        </w:trPr>
        <w:tc>
          <w:tcPr>
            <w:tcW w:w="9322" w:type="dxa"/>
            <w:gridSpan w:val="3"/>
          </w:tcPr>
          <w:p w:rsidR="00A00261" w:rsidRDefault="00087B68">
            <w:pPr>
              <w:widowControl w:val="0"/>
              <w:tabs>
                <w:tab w:val="left" w:pos="284"/>
              </w:tabs>
              <w:suppressAutoHyphens/>
              <w:ind w:left="284" w:hanging="284"/>
              <w:rPr>
                <w:rFonts w:eastAsia="HG Mincho Light J"/>
                <w:sz w:val="20"/>
                <w:szCs w:val="24"/>
                <w:lang w:val="hu-HU" w:eastAsia="zh-CN"/>
              </w:rPr>
            </w:pPr>
            <w:r>
              <w:rPr>
                <w:rFonts w:eastAsia="HG Mincho Light J"/>
                <w:sz w:val="20"/>
                <w:szCs w:val="24"/>
                <w:vertAlign w:val="superscript"/>
                <w:lang w:val="hu-HU" w:eastAsia="zh-CN"/>
              </w:rPr>
              <w:lastRenderedPageBreak/>
              <w:t>*</w:t>
            </w:r>
            <w:r>
              <w:rPr>
                <w:rFonts w:eastAsia="HG Mincho Light J"/>
                <w:szCs w:val="24"/>
                <w:lang w:val="hu-HU"/>
              </w:rPr>
              <w:tab/>
            </w:r>
            <w:r>
              <w:rPr>
                <w:rFonts w:eastAsia="HG Mincho Light J"/>
                <w:sz w:val="20"/>
                <w:szCs w:val="24"/>
                <w:lang w:val="hu-HU" w:eastAsia="zh-CN"/>
              </w:rPr>
              <w:t>Az x</w:t>
            </w:r>
            <w:r>
              <w:rPr>
                <w:rFonts w:eastAsia="HG Mincho Light J"/>
                <w:sz w:val="20"/>
                <w:szCs w:val="24"/>
                <w:lang w:val="hu-HU" w:eastAsia="zh-CN"/>
              </w:rPr>
              <w:noBreakHyphen/>
              <w:t>szeres változásként megadott adat az egyidejű alkalmazás és a rozuvasztatin önmagában történő alkalmazása közötti egyszerű arányszámot mutatja. A %</w:t>
            </w:r>
            <w:r>
              <w:rPr>
                <w:rFonts w:eastAsia="HG Mincho Light J"/>
                <w:sz w:val="20"/>
                <w:szCs w:val="24"/>
                <w:lang w:val="hu-HU" w:eastAsia="zh-CN"/>
              </w:rPr>
              <w:noBreakHyphen/>
              <w:t>ban kifejezett változás a rozuvasztatin önmagában történő alkalmazásához képest mért relatív %</w:t>
            </w:r>
            <w:r>
              <w:rPr>
                <w:rFonts w:eastAsia="HG Mincho Light J"/>
                <w:sz w:val="20"/>
                <w:szCs w:val="24"/>
                <w:lang w:val="hu-HU" w:eastAsia="zh-CN"/>
              </w:rPr>
              <w:noBreakHyphen/>
              <w:t>os eltérést jelenti.</w:t>
            </w:r>
          </w:p>
          <w:p w:rsidR="00A00261" w:rsidRDefault="00087B68">
            <w:pPr>
              <w:widowControl w:val="0"/>
              <w:tabs>
                <w:tab w:val="left" w:pos="284"/>
              </w:tabs>
              <w:suppressAutoHyphens/>
              <w:ind w:left="284"/>
              <w:rPr>
                <w:rFonts w:eastAsia="HG Mincho Light J"/>
                <w:sz w:val="20"/>
                <w:szCs w:val="18"/>
                <w:lang w:val="hu-HU" w:eastAsia="zh-CN"/>
              </w:rPr>
            </w:pPr>
            <w:r>
              <w:rPr>
                <w:rFonts w:eastAsia="HG Mincho Light J"/>
                <w:sz w:val="20"/>
                <w:szCs w:val="24"/>
                <w:lang w:val="hu-HU" w:eastAsia="zh-CN"/>
              </w:rPr>
              <w:t>Növekedés “</w:t>
            </w:r>
            <w:r>
              <w:rPr>
                <w:rFonts w:eastAsia="HG Mincho Light J"/>
                <w:sz w:val="20"/>
                <w:szCs w:val="18"/>
                <w:lang w:val="hu-HU" w:eastAsia="zh-CN"/>
              </w:rPr>
              <w:sym w:font="Symbol" w:char="F0AD"/>
            </w:r>
            <w:r>
              <w:rPr>
                <w:rFonts w:eastAsia="HG Mincho Light J"/>
                <w:sz w:val="20"/>
                <w:szCs w:val="18"/>
                <w:lang w:val="hu-HU" w:eastAsia="zh-CN"/>
              </w:rPr>
              <w:t>”,</w:t>
            </w:r>
            <w:r>
              <w:rPr>
                <w:rFonts w:eastAsia="HG Mincho Light J"/>
                <w:sz w:val="20"/>
                <w:szCs w:val="24"/>
                <w:lang w:val="hu-HU" w:eastAsia="zh-CN"/>
              </w:rPr>
              <w:t xml:space="preserve"> </w:t>
            </w:r>
            <w:r>
              <w:rPr>
                <w:rFonts w:eastAsia="HG Mincho Light J"/>
                <w:sz w:val="20"/>
                <w:szCs w:val="18"/>
                <w:lang w:val="hu-HU" w:eastAsia="zh-CN"/>
              </w:rPr>
              <w:t>csökkenés “</w:t>
            </w:r>
            <w:r>
              <w:rPr>
                <w:rFonts w:eastAsia="HG Mincho Light J"/>
                <w:sz w:val="20"/>
                <w:szCs w:val="18"/>
                <w:lang w:val="hu-HU" w:eastAsia="zh-CN"/>
              </w:rPr>
              <w:sym w:font="Symbol" w:char="F0AF"/>
            </w:r>
            <w:r>
              <w:rPr>
                <w:rFonts w:eastAsia="HG Mincho Light J"/>
                <w:sz w:val="20"/>
                <w:szCs w:val="18"/>
                <w:lang w:val="hu-HU" w:eastAsia="zh-CN"/>
              </w:rPr>
              <w:t>” jellel mutatva.</w:t>
            </w:r>
          </w:p>
          <w:p w:rsidR="00A00261" w:rsidRDefault="00087B68">
            <w:pPr>
              <w:widowControl w:val="0"/>
              <w:tabs>
                <w:tab w:val="left" w:pos="284"/>
              </w:tabs>
              <w:suppressAutoHyphens/>
              <w:ind w:left="284" w:hanging="284"/>
              <w:rPr>
                <w:rFonts w:eastAsia="HG Mincho Light J"/>
                <w:sz w:val="20"/>
                <w:szCs w:val="18"/>
                <w:lang w:val="hu-HU" w:eastAsia="zh-CN"/>
              </w:rPr>
            </w:pPr>
            <w:r>
              <w:rPr>
                <w:rFonts w:eastAsia="HG Mincho Light J"/>
                <w:sz w:val="20"/>
                <w:szCs w:val="24"/>
                <w:vertAlign w:val="superscript"/>
                <w:lang w:val="hu-HU" w:eastAsia="zh-CN"/>
              </w:rPr>
              <w:t>**</w:t>
            </w:r>
            <w:r>
              <w:rPr>
                <w:rFonts w:eastAsia="HG Mincho Light J"/>
                <w:szCs w:val="24"/>
                <w:lang w:val="hu-HU"/>
              </w:rPr>
              <w:tab/>
            </w:r>
            <w:r>
              <w:rPr>
                <w:rFonts w:eastAsia="HG Mincho Light J"/>
                <w:sz w:val="20"/>
                <w:szCs w:val="18"/>
                <w:lang w:val="hu-HU" w:eastAsia="zh-CN"/>
              </w:rPr>
              <w:t xml:space="preserve">Számos interakciós vizsgálatot végeztek különböző Crestor dózisokkal, a táblázat a legszignifikánsabb arányt mutatja. </w:t>
            </w:r>
          </w:p>
          <w:p w:rsidR="00A00261" w:rsidRDefault="00087B68">
            <w:pPr>
              <w:widowControl w:val="0"/>
              <w:tabs>
                <w:tab w:val="left" w:pos="284"/>
              </w:tabs>
              <w:suppressAutoHyphens/>
              <w:ind w:left="284" w:hanging="284"/>
              <w:rPr>
                <w:rFonts w:eastAsia="HG Mincho Light J"/>
                <w:sz w:val="24"/>
                <w:szCs w:val="24"/>
                <w:lang w:val="hu-HU" w:eastAsia="zh-CN"/>
              </w:rPr>
            </w:pPr>
            <w:r>
              <w:rPr>
                <w:rFonts w:eastAsia="HG Mincho Light J"/>
                <w:sz w:val="20"/>
                <w:szCs w:val="18"/>
                <w:lang w:val="hu-HU" w:eastAsia="zh-CN"/>
              </w:rPr>
              <w:t>AUC = görbe alatti terület (</w:t>
            </w:r>
            <w:r>
              <w:rPr>
                <w:rFonts w:eastAsia="HG Mincho Light J"/>
                <w:i/>
                <w:sz w:val="20"/>
                <w:szCs w:val="18"/>
                <w:lang w:val="hu-HU" w:eastAsia="zh-CN"/>
              </w:rPr>
              <w:t>area under curve</w:t>
            </w:r>
            <w:r>
              <w:rPr>
                <w:rFonts w:eastAsia="HG Mincho Light J"/>
                <w:sz w:val="20"/>
                <w:szCs w:val="18"/>
                <w:lang w:val="hu-HU" w:eastAsia="zh-CN"/>
              </w:rPr>
              <w:t>)</w:t>
            </w:r>
          </w:p>
        </w:tc>
      </w:tr>
    </w:tbl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rPr>
          <w:lang w:val="hu-HU"/>
        </w:rPr>
      </w:pPr>
      <w:r>
        <w:rPr>
          <w:lang w:val="hu-HU"/>
        </w:rPr>
        <w:t xml:space="preserve">A következő gyógyszerek/kombinációk rozuvasztatinnal egyidejűleg alkalmazva nem befolyásolták klinikai szempontból szignifikánsan az AUC értékét: </w:t>
      </w:r>
    </w:p>
    <w:p w:rsidR="00A00261" w:rsidRDefault="00087B68">
      <w:pPr>
        <w:rPr>
          <w:lang w:val="hu-HU"/>
        </w:rPr>
      </w:pPr>
      <w:r>
        <w:rPr>
          <w:lang w:val="hu-HU"/>
        </w:rPr>
        <w:t>Aleglitazar 0,3 mg, 7 napig; fenofibrát 67 mg napi háromszor, 7 napig; flukonazol 200 mg napi egyszer, 11 napig; fozamprenavir 700 mg/ritonavir 100 mg napi kétszer, 8 napig; ketokonazol 200 mg napi kétszer, 7 napig; rifampin 450 mg napi egyszer, 7 napig; szilimarin (máriatövis</w:t>
      </w:r>
      <w:r>
        <w:rPr>
          <w:lang w:val="hu-HU"/>
        </w:rPr>
        <w:noBreakHyphen/>
        <w:t>kivonat) 140 mg napi háromszor, 5 napig.</w:t>
      </w:r>
    </w:p>
    <w:p w:rsidR="00A00261" w:rsidRDefault="00A00261">
      <w:pPr>
        <w:widowControl w:val="0"/>
        <w:rPr>
          <w:bCs/>
          <w:szCs w:val="22"/>
          <w:lang w:val="hu-HU"/>
        </w:rPr>
      </w:pPr>
    </w:p>
    <w:p w:rsidR="00A00261" w:rsidRDefault="00087B68">
      <w:pPr>
        <w:keepNext/>
        <w:rPr>
          <w:bCs/>
          <w:i/>
          <w:iCs/>
          <w:szCs w:val="22"/>
          <w:u w:val="single"/>
          <w:lang w:val="hu-HU"/>
        </w:rPr>
      </w:pPr>
      <w:r>
        <w:rPr>
          <w:bCs/>
          <w:i/>
          <w:iCs/>
          <w:szCs w:val="22"/>
          <w:u w:val="single"/>
          <w:lang w:val="hu-HU"/>
        </w:rPr>
        <w:t>A rozuvasztatin hatása más, egyidejűleg adott gyógyszerekre</w:t>
      </w:r>
    </w:p>
    <w:p w:rsidR="00A00261" w:rsidRDefault="00A00261">
      <w:pPr>
        <w:keepNext/>
        <w:rPr>
          <w:bCs/>
          <w:iCs/>
          <w:szCs w:val="22"/>
          <w:u w:val="single"/>
          <w:lang w:val="hu-HU"/>
        </w:rPr>
      </w:pPr>
    </w:p>
    <w:p w:rsidR="00A00261" w:rsidRDefault="00087B68">
      <w:pPr>
        <w:keepNext/>
        <w:rPr>
          <w:szCs w:val="22"/>
          <w:lang w:val="hu-HU"/>
        </w:rPr>
      </w:pPr>
      <w:r>
        <w:rPr>
          <w:bCs/>
          <w:i/>
          <w:iCs/>
          <w:szCs w:val="22"/>
          <w:lang w:val="hu-HU"/>
        </w:rPr>
        <w:t>K</w:t>
      </w:r>
      <w:r>
        <w:rPr>
          <w:bCs/>
          <w:i/>
          <w:iCs/>
          <w:szCs w:val="22"/>
          <w:lang w:val="hu-HU"/>
        </w:rPr>
        <w:noBreakHyphen/>
        <w:t xml:space="preserve">vitamin-antagonisták: </w:t>
      </w:r>
      <w:r>
        <w:rPr>
          <w:szCs w:val="22"/>
          <w:lang w:val="hu-HU"/>
        </w:rPr>
        <w:t>Más HMG</w:t>
      </w:r>
      <w:r>
        <w:rPr>
          <w:szCs w:val="22"/>
          <w:lang w:val="hu-HU"/>
        </w:rPr>
        <w:noBreakHyphen/>
        <w:t>CoA</w:t>
      </w:r>
      <w:r>
        <w:rPr>
          <w:szCs w:val="22"/>
          <w:lang w:val="hu-HU"/>
        </w:rPr>
        <w:noBreakHyphen/>
        <w:t>reduktáz</w:t>
      </w:r>
      <w:r>
        <w:rPr>
          <w:szCs w:val="22"/>
          <w:lang w:val="hu-HU"/>
        </w:rPr>
        <w:noBreakHyphen/>
        <w:t>gátlókhoz hasonlóan, egyidejűleg K</w:t>
      </w:r>
      <w:r>
        <w:rPr>
          <w:szCs w:val="22"/>
          <w:lang w:val="hu-HU"/>
        </w:rPr>
        <w:noBreakHyphen/>
        <w:t>vitamin</w:t>
      </w:r>
      <w:r>
        <w:rPr>
          <w:szCs w:val="22"/>
          <w:lang w:val="hu-HU"/>
        </w:rPr>
        <w:noBreakHyphen/>
        <w:t xml:space="preserve">antagonistákkal (pl. warfarinnal vagy más, kumarin-típusú antikoagulánssal) is kezelt betegeknél a rozuvasztatin-kezelés megkezdése, vagy dózisának emelése az </w:t>
      </w:r>
      <w:r>
        <w:rPr>
          <w:szCs w:val="22"/>
          <w:lang w:val="hu-HU" w:eastAsia="en-GB"/>
        </w:rPr>
        <w:t>International Normalised Ratio (INR) növekedését</w:t>
      </w:r>
      <w:r>
        <w:rPr>
          <w:szCs w:val="22"/>
          <w:lang w:val="hu-HU"/>
        </w:rPr>
        <w:t xml:space="preserve"> eredményezheti. A rozuvasztatin leállítása vagy adagjának csökkentése az INR-érték csökkenésével járhat együtt. Ilyen esetekben az INR megfelelő ellenőrzése szükséges.</w:t>
      </w:r>
    </w:p>
    <w:p w:rsidR="00A00261" w:rsidRDefault="00A00261">
      <w:pPr>
        <w:keepNext/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bCs/>
          <w:i/>
          <w:iCs/>
          <w:szCs w:val="22"/>
          <w:lang w:val="hu-HU"/>
        </w:rPr>
        <w:t>Orális fogamzásgátlók/hormonpótló</w:t>
      </w:r>
      <w:r>
        <w:rPr>
          <w:bCs/>
          <w:i/>
          <w:iCs/>
          <w:szCs w:val="22"/>
          <w:lang w:val="hu-HU"/>
        </w:rPr>
        <w:noBreakHyphen/>
        <w:t>kezelés (HRT):</w:t>
      </w:r>
      <w:r>
        <w:rPr>
          <w:i/>
          <w:szCs w:val="22"/>
          <w:lang w:val="hu-HU"/>
        </w:rPr>
        <w:t xml:space="preserve"> </w:t>
      </w:r>
      <w:r>
        <w:rPr>
          <w:szCs w:val="22"/>
          <w:lang w:val="hu-HU"/>
        </w:rPr>
        <w:t>Rozuvasztatin és orális fogamzásgátlók egyidejű alkalmazásakor az etinil</w:t>
      </w:r>
      <w:r>
        <w:rPr>
          <w:szCs w:val="22"/>
          <w:lang w:val="hu-HU"/>
        </w:rPr>
        <w:noBreakHyphen/>
        <w:t>ösztradiol AUC-értéke 26%</w:t>
      </w:r>
      <w:r>
        <w:rPr>
          <w:szCs w:val="22"/>
          <w:lang w:val="hu-HU"/>
        </w:rPr>
        <w:noBreakHyphen/>
        <w:t>kal, a norgesztrel AUC-értéke 34%</w:t>
      </w:r>
      <w:r>
        <w:rPr>
          <w:szCs w:val="22"/>
          <w:lang w:val="hu-HU"/>
        </w:rPr>
        <w:noBreakHyphen/>
        <w:t>kal nőtt. A plazmaszint emelkedését az orális fogamzásgátló dózisának megválasztásakor figyelembe kell venni. Nincs farmakokinetikai adat olyan betegekről, akiknél a hormonpótló</w:t>
      </w:r>
      <w:r>
        <w:rPr>
          <w:szCs w:val="22"/>
          <w:lang w:val="hu-HU"/>
        </w:rPr>
        <w:noBreakHyphen/>
        <w:t>kezelést és a rozuvasztatint egyidejűleg alkalmazták – ilyen esetekben hasonló hatás nem zárható ki. Mindazonáltal, a klinikai vizsgálatok során kiterjedten alkalmazták a kombinációt nőknél, akik azt jól tolerálták.</w:t>
      </w:r>
    </w:p>
    <w:p w:rsidR="00A00261" w:rsidRDefault="00A00261">
      <w:pPr>
        <w:keepNext/>
        <w:rPr>
          <w:szCs w:val="22"/>
          <w:lang w:val="hu-HU"/>
        </w:rPr>
      </w:pPr>
    </w:p>
    <w:p w:rsidR="00A00261" w:rsidRDefault="00087B68">
      <w:pPr>
        <w:widowControl w:val="0"/>
        <w:rPr>
          <w:bCs/>
          <w:i/>
          <w:iCs/>
          <w:szCs w:val="22"/>
          <w:lang w:val="hu-HU"/>
        </w:rPr>
      </w:pPr>
      <w:r>
        <w:rPr>
          <w:bCs/>
          <w:i/>
          <w:iCs/>
          <w:szCs w:val="22"/>
          <w:lang w:val="hu-HU"/>
        </w:rPr>
        <w:t>Egyéb gyógyszerek:</w:t>
      </w:r>
    </w:p>
    <w:p w:rsidR="00A00261" w:rsidRDefault="00A00261">
      <w:pPr>
        <w:widowControl w:val="0"/>
        <w:rPr>
          <w:bCs/>
          <w:iCs/>
          <w:szCs w:val="22"/>
          <w:u w:val="single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i/>
          <w:szCs w:val="22"/>
          <w:lang w:val="hu-HU"/>
        </w:rPr>
        <w:t xml:space="preserve">Digoxin: </w:t>
      </w:r>
      <w:r>
        <w:rPr>
          <w:szCs w:val="22"/>
          <w:lang w:val="hu-HU"/>
        </w:rPr>
        <w:t>Specifikus gyógyszerkölcsönhatás vizsgálatok adatai alapján, digoxinnal nem várható klinikai szempontból lényeges interakció.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i/>
          <w:spacing w:val="-2"/>
          <w:szCs w:val="22"/>
          <w:lang w:val="hu-HU"/>
        </w:rPr>
        <w:t xml:space="preserve">Fuzidinsav: </w:t>
      </w:r>
      <w:r>
        <w:rPr>
          <w:iCs/>
          <w:spacing w:val="-2"/>
          <w:szCs w:val="22"/>
          <w:lang w:val="hu-HU"/>
        </w:rPr>
        <w:t xml:space="preserve">Interakciós vizsgálatokat nem végeztek a rozuvasztatin és a fuzidinsav alkalmazásával. </w:t>
      </w:r>
      <w:r>
        <w:rPr>
          <w:spacing w:val="-2"/>
          <w:szCs w:val="22"/>
          <w:lang w:val="hu-HU"/>
        </w:rPr>
        <w:t>A myopathia (a rhabdomyolysist is ideértve) kockázatát fokozhatja a szisztémás fuzidinsav</w:t>
      </w:r>
      <w:r>
        <w:rPr>
          <w:szCs w:val="22"/>
          <w:lang w:val="hu-HU"/>
        </w:rPr>
        <w:noBreakHyphen/>
        <w:t xml:space="preserve">készítmények és a sztatinok egyidejű alkalmazása. Ennek a kölcsönhatásnak a mechanizmusa </w:t>
      </w:r>
      <w:r>
        <w:rPr>
          <w:spacing w:val="-4"/>
          <w:szCs w:val="22"/>
          <w:lang w:val="hu-HU"/>
        </w:rPr>
        <w:t>(farmakodinámiás, farmakokinetikai vagy mindkettő) egyelőre ismeretlen. Beszámoltak rhabdomyolysisről</w:t>
      </w:r>
      <w:r>
        <w:rPr>
          <w:szCs w:val="22"/>
          <w:lang w:val="hu-HU"/>
        </w:rPr>
        <w:t xml:space="preserve"> (néhány halálesetről is) olyan betegeknél, akik ezt a kombinációt kapták. Ha a szisztémás fuzidinsav-terápia szükséges, akkor a rozuvasztatin adását a fuzidinsav-kezelés teljes időtartamára fel kell függeszteni. Lásd még 4.4 pont.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widowControl w:val="0"/>
        <w:rPr>
          <w:i/>
          <w:szCs w:val="22"/>
          <w:u w:val="single"/>
          <w:lang w:val="hu-HU"/>
        </w:rPr>
      </w:pPr>
      <w:r>
        <w:rPr>
          <w:i/>
          <w:szCs w:val="22"/>
          <w:lang w:val="hu-HU"/>
        </w:rPr>
        <w:t>Gyermekek és serdülők</w:t>
      </w:r>
    </w:p>
    <w:p w:rsidR="00A00261" w:rsidRDefault="00087B68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A gyógyszerkölcsönhatások mértéke gyermekeknél és serdülőknél nem ismert.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pStyle w:val="Cmsor2"/>
      </w:pPr>
      <w:r>
        <w:t>4.6</w:t>
      </w:r>
      <w:r>
        <w:tab/>
        <w:t>Termékenység, terhesség és szoptatás</w:t>
      </w:r>
    </w:p>
    <w:p w:rsidR="00A00261" w:rsidRDefault="00A00261">
      <w:pPr>
        <w:widowControl w:val="0"/>
        <w:tabs>
          <w:tab w:val="left" w:pos="567"/>
        </w:tabs>
        <w:rPr>
          <w:bCs/>
          <w:szCs w:val="22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 w:eastAsia="en-US"/>
        </w:rPr>
        <w:t xml:space="preserve">A Roxiper filmtabletta </w:t>
      </w:r>
      <w:r>
        <w:rPr>
          <w:szCs w:val="22"/>
          <w:lang w:val="hu-HU"/>
        </w:rPr>
        <w:t>a terhesség és a szoptatás ideje alatt ellenjavallt.</w:t>
      </w:r>
    </w:p>
    <w:p w:rsidR="00A00261" w:rsidRDefault="00A00261">
      <w:pPr>
        <w:widowControl w:val="0"/>
        <w:tabs>
          <w:tab w:val="left" w:pos="567"/>
        </w:tabs>
        <w:rPr>
          <w:bCs/>
          <w:szCs w:val="22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u w:val="single"/>
          <w:lang w:val="hu-HU"/>
        </w:rPr>
        <w:t>Terhesség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ACE-gátló alkalmazása a terhesség első trimeszterében nem javasolt (lásd 4.4 pont). ACE-gátló alkalmazása ellenjavallt a második és harmadik trimeszterben (lásd 4.3 és 4.4 pont).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spacing w:val="-4"/>
          <w:szCs w:val="22"/>
          <w:lang w:val="hu-HU"/>
        </w:rPr>
        <w:t>A terhesség első trimeszterében történt ACE-gátló</w:t>
      </w:r>
      <w:r>
        <w:rPr>
          <w:spacing w:val="-4"/>
          <w:szCs w:val="22"/>
          <w:lang w:val="hu-HU"/>
        </w:rPr>
        <w:noBreakHyphen/>
        <w:t>expozíciót követő teratogenitás kockázatára vonatkozó</w:t>
      </w:r>
      <w:r>
        <w:rPr>
          <w:szCs w:val="22"/>
          <w:lang w:val="hu-HU"/>
        </w:rPr>
        <w:t xml:space="preserve"> epidemiológiai bizonyítékok nem egyértelműek, azonban a kockázat kismértékű növekedése nem zárható ki. Hacsak az ACE-gátlóval történő folyamatos kezelés nem elengedhetetlen, a terhességet </w:t>
      </w:r>
      <w:r>
        <w:rPr>
          <w:spacing w:val="-4"/>
          <w:szCs w:val="22"/>
          <w:lang w:val="hu-HU"/>
        </w:rPr>
        <w:lastRenderedPageBreak/>
        <w:t>tervező betegeket más, olyan vérnyomáscsökkentő gyógyszerre kell átállítani, melynek a biztonságossága</w:t>
      </w:r>
      <w:r>
        <w:rPr>
          <w:szCs w:val="22"/>
          <w:lang w:val="hu-HU"/>
        </w:rPr>
        <w:t xml:space="preserve"> terhességben alátámasztott.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Terhesség megállapításakor az ACE-gátló</w:t>
      </w:r>
      <w:r>
        <w:rPr>
          <w:szCs w:val="22"/>
          <w:lang w:val="hu-HU"/>
        </w:rPr>
        <w:noBreakHyphen/>
        <w:t>kezelést azonnal le kell állítani és szükség esetén más, megfelelő terápiát kell indítani.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</w:p>
    <w:p w:rsidR="00A00261" w:rsidRDefault="00087B68">
      <w:pPr>
        <w:widowControl w:val="0"/>
        <w:rPr>
          <w:szCs w:val="22"/>
          <w:lang w:val="hu-HU" w:eastAsia="en-US"/>
        </w:rPr>
      </w:pPr>
      <w:r>
        <w:rPr>
          <w:szCs w:val="22"/>
          <w:lang w:val="hu-HU"/>
        </w:rPr>
        <w:t>Ismeretes, hogy az ACE-gátlók alkalmazása a második és harmadik trimeszterben embernél magzatkárosodást (csökkent veseműködés, oligohydramnion, a koponya csontosodásának visszamaradása) és újszülöttkori toxicitást (veseelégtelenség, hypotonia, hyperkalaemia) okoz (lásd 5.3 pont). Ha a terhesség második trimeszterétől kezdődően történt ACE-gátló</w:t>
      </w:r>
      <w:r>
        <w:rPr>
          <w:szCs w:val="22"/>
          <w:lang w:val="hu-HU"/>
        </w:rPr>
        <w:noBreakHyphen/>
        <w:t xml:space="preserve">expozíció, akkor </w:t>
      </w:r>
      <w:r>
        <w:rPr>
          <w:szCs w:val="22"/>
          <w:lang w:val="hu-HU" w:eastAsia="en-US"/>
        </w:rPr>
        <w:t>a magzati vesefunkció és a koponya ultrahangos ellenőrzése javasolt. Az ACE-gátlót szedő anyák csecsemőinél fokozottan figyelni kell a hypotonia kialakulására (lásd 4.3 és 4.4 pont).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tabs>
          <w:tab w:val="left" w:pos="567"/>
        </w:tabs>
        <w:autoSpaceDN w:val="0"/>
        <w:adjustRightInd w:val="0"/>
        <w:rPr>
          <w:szCs w:val="22"/>
          <w:lang w:val="hu-HU"/>
        </w:rPr>
      </w:pPr>
      <w:r>
        <w:rPr>
          <w:szCs w:val="22"/>
          <w:lang w:val="hu-HU" w:eastAsia="en-US"/>
        </w:rPr>
        <w:t xml:space="preserve">Az indapamid terhes nőknél történő alkalmazása tekintetében nincs, vagy csak korlátozott mennyiségű információ (kevesebb, mint 300 terhesség esetében) áll rendelkezésre. A terhesség harmadik trimeszterében történt, tartós tiazid-expozíció csökkentheti az anyai plazmatérfogatot, továbbá az uteroplacentalis véráramlást, ami foetoplacentalis ischaemiát és fejlődési visszamaradást okozhat. </w:t>
      </w:r>
      <w:r>
        <w:rPr>
          <w:szCs w:val="22"/>
          <w:lang w:val="hu-HU"/>
        </w:rPr>
        <w:t xml:space="preserve">Állatkísérletek nem igazoltak direkt vagy indirekt káros hatásokat a reproduktív toxicitás tekintetében (lásd 5.3 pont). </w:t>
      </w:r>
      <w:r>
        <w:rPr>
          <w:lang w:val="hu-HU"/>
        </w:rPr>
        <w:t>Elővigyázatosságból az indapamid alkalmazása terhesség során kerülendő.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fogamzóképes nőknek megfelelő fogamzásgátló eljárást kell alkalmazniuk.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Mivel a koleszterin és más, a koleszterin-bioszintézis eredményeként keletkező köztitermékek nélkülözhetetlenek a magzati fejlődéshez, a HMG-CoA-reduktáz gátlásából eredő, lehetséges kockázat a terhesség ideje alatt messze meghaladja a terápia előnyeit. Az állatkísérletek korlátozott értékű bizonyítékokkal támasztották alá a reprodukciós toxicitást (lásd 5.3 pont). Ha a beteg a rozuvasztatin</w:t>
      </w:r>
      <w:r>
        <w:rPr>
          <w:szCs w:val="22"/>
          <w:lang w:val="hu-HU"/>
        </w:rPr>
        <w:noBreakHyphen/>
        <w:t>terápia ideje alatt esik teherbe, a kezelést azonnal le kell állítani.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Szoptatás</w:t>
      </w:r>
    </w:p>
    <w:p w:rsidR="00A00261" w:rsidRDefault="00A00261">
      <w:pPr>
        <w:widowControl w:val="0"/>
        <w:tabs>
          <w:tab w:val="left" w:pos="284"/>
        </w:tabs>
        <w:suppressAutoHyphens/>
        <w:rPr>
          <w:bCs/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284"/>
        </w:tabs>
        <w:suppressAutoHyphens/>
        <w:rPr>
          <w:szCs w:val="22"/>
          <w:lang w:val="hu-HU" w:eastAsia="en-US"/>
        </w:rPr>
      </w:pPr>
      <w:r>
        <w:rPr>
          <w:bCs/>
          <w:szCs w:val="22"/>
          <w:lang w:val="hu-HU" w:eastAsia="en-US"/>
        </w:rPr>
        <w:t>A Roxiper filmtabletta</w:t>
      </w:r>
      <w:r>
        <w:rPr>
          <w:szCs w:val="22"/>
          <w:lang w:val="hu-HU" w:eastAsia="en-US"/>
        </w:rPr>
        <w:t xml:space="preserve"> ellenjavallt a szoptatás alatt.</w:t>
      </w:r>
    </w:p>
    <w:p w:rsidR="00A00261" w:rsidRDefault="00A00261">
      <w:pPr>
        <w:widowControl w:val="0"/>
        <w:tabs>
          <w:tab w:val="left" w:pos="284"/>
        </w:tabs>
        <w:suppressAutoHyphens/>
        <w:rPr>
          <w:szCs w:val="22"/>
          <w:lang w:val="hu-HU" w:eastAsia="en-US"/>
        </w:rPr>
      </w:pPr>
    </w:p>
    <w:p w:rsidR="00A00261" w:rsidRDefault="00087B68">
      <w:pPr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Mivel nincs információ a perindopril szoptatás során történő alkalmazásáról, a perindopril adása nem javasolt. A szoptatás alatt – különösen újszülött vagy koraszülött szoptatása esetén – olyan gyógyszert kell előnyben részesíteni, amelynek szoptatásra vonatkozó biztonságossági profilja jobban alátámasztott.</w:t>
      </w:r>
    </w:p>
    <w:p w:rsidR="00A00261" w:rsidRDefault="00A00261">
      <w:pPr>
        <w:widowControl w:val="0"/>
        <w:tabs>
          <w:tab w:val="left" w:pos="284"/>
        </w:tabs>
        <w:suppressAutoHyphens/>
        <w:rPr>
          <w:szCs w:val="22"/>
          <w:lang w:val="hu-HU" w:eastAsia="en-US"/>
        </w:rPr>
      </w:pPr>
    </w:p>
    <w:p w:rsidR="00A00261" w:rsidRDefault="00087B68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 xml:space="preserve">Az indapamid, illetve az indapamid metabolitjainak </w:t>
      </w:r>
      <w:r>
        <w:rPr>
          <w:iCs/>
          <w:szCs w:val="22"/>
          <w:lang w:val="hu-HU"/>
        </w:rPr>
        <w:t>anyatejbe</w:t>
      </w:r>
      <w:r>
        <w:rPr>
          <w:szCs w:val="22"/>
          <w:lang w:val="hu-HU"/>
        </w:rPr>
        <w:t xml:space="preserve"> történő </w:t>
      </w:r>
      <w:r>
        <w:rPr>
          <w:iCs/>
          <w:szCs w:val="22"/>
          <w:lang w:val="hu-HU"/>
        </w:rPr>
        <w:t>kiválasztódásával</w:t>
      </w:r>
      <w:r>
        <w:rPr>
          <w:szCs w:val="22"/>
          <w:lang w:val="hu-HU"/>
        </w:rPr>
        <w:t xml:space="preserve"> kapcsolatban </w:t>
      </w:r>
      <w:r>
        <w:rPr>
          <w:iCs/>
          <w:szCs w:val="22"/>
          <w:lang w:val="hu-HU"/>
        </w:rPr>
        <w:t>nem áll rendelkezésre elegendő</w:t>
      </w:r>
      <w:r>
        <w:rPr>
          <w:szCs w:val="22"/>
          <w:lang w:val="hu-HU"/>
        </w:rPr>
        <w:t xml:space="preserve"> </w:t>
      </w:r>
      <w:r>
        <w:rPr>
          <w:iCs/>
          <w:szCs w:val="22"/>
          <w:lang w:val="hu-HU"/>
        </w:rPr>
        <w:t xml:space="preserve">információ. Szulfonamid-származékokkal szembeni túlérzékenység, hypokalaemia is előfordulhat. Az újszülöttre/csecsemőre nézve </w:t>
      </w:r>
      <w:r>
        <w:rPr>
          <w:szCs w:val="22"/>
          <w:lang w:val="hu-HU"/>
        </w:rPr>
        <w:t xml:space="preserve">a </w:t>
      </w:r>
      <w:r>
        <w:rPr>
          <w:iCs/>
          <w:szCs w:val="22"/>
          <w:lang w:val="hu-HU"/>
        </w:rPr>
        <w:t>kockázatot nem lehet kizárni</w:t>
      </w:r>
      <w:r>
        <w:rPr>
          <w:szCs w:val="22"/>
          <w:lang w:val="hu-HU"/>
        </w:rPr>
        <w:t>.</w:t>
      </w:r>
    </w:p>
    <w:p w:rsidR="00A00261" w:rsidRDefault="00087B68">
      <w:pPr>
        <w:suppressAutoHyphens/>
        <w:rPr>
          <w:bCs/>
          <w:szCs w:val="22"/>
          <w:lang w:val="hu-HU" w:eastAsia="en-US"/>
        </w:rPr>
      </w:pPr>
      <w:r>
        <w:rPr>
          <w:bCs/>
          <w:szCs w:val="22"/>
          <w:lang w:val="hu-HU" w:eastAsia="en-US"/>
        </w:rPr>
        <w:t xml:space="preserve">Az indapamid szerkezet nagyon hasonlít a tiazid diuretikumokéhoz, amelyeknek a szoptatás alatti alkalmazása az anyatej-elválasztás csökkentésével, vagy teljes gátlásával jár. </w:t>
      </w:r>
    </w:p>
    <w:p w:rsidR="00A00261" w:rsidRDefault="00087B68">
      <w:pPr>
        <w:suppressAutoHyphens/>
        <w:rPr>
          <w:bCs/>
          <w:szCs w:val="22"/>
          <w:lang w:val="hu-HU" w:eastAsia="en-US"/>
        </w:rPr>
      </w:pPr>
      <w:r>
        <w:rPr>
          <w:bCs/>
          <w:szCs w:val="22"/>
          <w:lang w:val="hu-HU" w:eastAsia="en-US"/>
        </w:rPr>
        <w:t>Az indapamid szoptatás alatt nem javasolt.</w:t>
      </w:r>
    </w:p>
    <w:p w:rsidR="00A00261" w:rsidRDefault="00A00261">
      <w:pPr>
        <w:suppressAutoHyphens/>
        <w:rPr>
          <w:bCs/>
          <w:szCs w:val="22"/>
          <w:lang w:val="hu-HU" w:eastAsia="en-US"/>
        </w:rPr>
      </w:pPr>
    </w:p>
    <w:p w:rsidR="00A00261" w:rsidRDefault="00087B68">
      <w:pPr>
        <w:suppressAutoHyphens/>
        <w:rPr>
          <w:szCs w:val="22"/>
          <w:lang w:val="hu-HU"/>
        </w:rPr>
      </w:pPr>
      <w:r>
        <w:rPr>
          <w:bCs/>
          <w:szCs w:val="22"/>
          <w:lang w:val="hu-HU" w:eastAsia="en-US"/>
        </w:rPr>
        <w:t xml:space="preserve">A rozuvasztatin patkányoknál kiválasztódik az anyaállat tejébe. A rendelkezésre álló korlátozott adatok alapján a rozuvaszatin jelen van a humán anyatejben. A rozuvasztatin hatásmechanizmusa miatt fennáll a mellékhatások kockázata csecsemőknél. </w:t>
      </w:r>
    </w:p>
    <w:p w:rsidR="00A00261" w:rsidRDefault="00A00261">
      <w:pPr>
        <w:suppressAutoHyphens/>
        <w:rPr>
          <w:szCs w:val="22"/>
          <w:lang w:val="hu-HU"/>
        </w:rPr>
      </w:pPr>
    </w:p>
    <w:p w:rsidR="00A00261" w:rsidRDefault="00087B68">
      <w:pPr>
        <w:suppressAutoHyphens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Termékenység</w:t>
      </w:r>
    </w:p>
    <w:p w:rsidR="00A00261" w:rsidRDefault="00A00261">
      <w:pPr>
        <w:suppressAutoHyphens/>
        <w:rPr>
          <w:szCs w:val="22"/>
          <w:u w:val="single"/>
          <w:lang w:val="hu-HU"/>
        </w:rPr>
      </w:pPr>
    </w:p>
    <w:p w:rsidR="00A00261" w:rsidRDefault="00087B68">
      <w:pPr>
        <w:suppressAutoHyphens/>
        <w:rPr>
          <w:bCs/>
          <w:i/>
          <w:szCs w:val="22"/>
          <w:u w:val="single"/>
          <w:lang w:val="hu-HU" w:eastAsia="en-US"/>
        </w:rPr>
      </w:pPr>
      <w:r>
        <w:rPr>
          <w:bCs/>
          <w:i/>
          <w:szCs w:val="22"/>
          <w:u w:val="single"/>
          <w:lang w:val="hu-HU" w:eastAsia="en-US"/>
        </w:rPr>
        <w:t>A perindopilra és indapamidra vonatkozóan</w:t>
      </w:r>
    </w:p>
    <w:p w:rsidR="00A00261" w:rsidRDefault="00087B68">
      <w:pPr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Reproduktív toxicitási vizsgálatokban nem befolyásolta a termékenységet nőstény és hím patkányok esetén (lásd 5.3 pont). A humán termékenységre gyakorolt hatás nem valószínűsíthető.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</w:p>
    <w:p w:rsidR="00A00261" w:rsidRDefault="00087B68">
      <w:pPr>
        <w:widowControl w:val="0"/>
        <w:autoSpaceDE w:val="0"/>
        <w:autoSpaceDN w:val="0"/>
        <w:adjustRightInd w:val="0"/>
        <w:rPr>
          <w:i/>
          <w:iCs/>
          <w:szCs w:val="22"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Rozuvasztatinra vonatkozóan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rozuvasztatinnak nincsen a termékenységre gyakorolt ismert hatása.</w:t>
      </w: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:rsidR="00A00261" w:rsidRDefault="00A00261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</w:p>
    <w:p w:rsidR="00A00261" w:rsidRDefault="00087B68">
      <w:pPr>
        <w:pStyle w:val="Cmsor2"/>
      </w:pPr>
      <w:r>
        <w:lastRenderedPageBreak/>
        <w:t>4.7</w:t>
      </w:r>
      <w:r>
        <w:tab/>
        <w:t>A készítmény hatásai a gépjárművezetéshez és a gépek kezeléséhez szükséges képességekre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-142"/>
          <w:tab w:val="left" w:pos="0"/>
          <w:tab w:val="left" w:pos="284"/>
        </w:tabs>
        <w:rPr>
          <w:szCs w:val="22"/>
          <w:lang w:val="hu-HU"/>
        </w:rPr>
      </w:pPr>
      <w:r>
        <w:rPr>
          <w:szCs w:val="22"/>
          <w:lang w:val="hu-HU"/>
        </w:rPr>
        <w:t xml:space="preserve">A Roxiper filmtabletta nem befolyásolja a gépjárművezetéshez és a gépek kezeléséhez szükséges képességeket, </w:t>
      </w:r>
      <w:r>
        <w:rPr>
          <w:spacing w:val="-2"/>
          <w:szCs w:val="22"/>
          <w:lang w:val="hu-HU"/>
        </w:rPr>
        <w:t>azonban egyes betegek esetében az alacsony vérnyomással kapcsolatos egyéni reakciók előfordulhatnak –</w:t>
      </w:r>
      <w:r>
        <w:rPr>
          <w:szCs w:val="22"/>
          <w:lang w:val="hu-HU"/>
        </w:rPr>
        <w:t xml:space="preserve"> különösen a kezelés megkezdésekor, vagy más vérnyomáscsökkentőkkel végzett kombinált kezelés során.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Nem végeztek vizsgálatokat arra vonatkozóan, hogy a rozuvasztatin milyen hatással van a gépjárművezetéshez és a gépek kezeléséhez szükséges képességekre. Ugyanakkor farmakodinámiás tulajdonságai alapján nem valószínű, hogy a rozuvasztatin befolyásolná ezeket a képességeket. Gépjárművezetés és a gépek kezelése során figyelembe kell venni, hogy a kezelés időtartama alatt szédülés jelentkezhet.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Következésképpen, a gépjárművezetéshez és a gépek kezeléséhez szükséges képességek károsodhatnak.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pStyle w:val="Cmsor2"/>
        <w:keepNext/>
      </w:pPr>
      <w:r>
        <w:t>4.8</w:t>
      </w:r>
      <w:r>
        <w:tab/>
        <w:t>Nemkívánatos hatások, mellékhatások</w:t>
      </w:r>
    </w:p>
    <w:p w:rsidR="00A00261" w:rsidRDefault="00A00261">
      <w:pPr>
        <w:keepNext/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i/>
          <w:szCs w:val="22"/>
          <w:lang w:val="hu-HU" w:eastAsia="en-US"/>
        </w:rPr>
        <w:t>a)</w:t>
      </w:r>
      <w:r>
        <w:rPr>
          <w:szCs w:val="22"/>
          <w:lang w:val="hu-HU" w:eastAsia="en-US"/>
        </w:rPr>
        <w:tab/>
        <w:t>A biztonságossági profil összefoglalása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 leggyakrabban jelentett mellékhatások:</w:t>
      </w:r>
    </w:p>
    <w:p w:rsidR="00A00261" w:rsidRDefault="00087B68">
      <w:pPr>
        <w:widowControl w:val="0"/>
        <w:tabs>
          <w:tab w:val="left" w:pos="567"/>
        </w:tabs>
        <w:ind w:left="567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-</w:t>
      </w:r>
      <w:r>
        <w:rPr>
          <w:szCs w:val="22"/>
          <w:lang w:val="hu-HU" w:eastAsia="en-US"/>
        </w:rPr>
        <w:tab/>
        <w:t xml:space="preserve">a </w:t>
      </w:r>
      <w:r>
        <w:rPr>
          <w:b/>
          <w:i/>
          <w:szCs w:val="22"/>
          <w:lang w:val="hu-HU" w:eastAsia="en-US"/>
        </w:rPr>
        <w:t>perindoprilre</w:t>
      </w:r>
      <w:r>
        <w:rPr>
          <w:szCs w:val="22"/>
          <w:lang w:val="hu-HU" w:eastAsia="en-US"/>
        </w:rPr>
        <w:t xml:space="preserve"> vonatkozóan: szédülés, fejfájás, paraesthesia, dysgeusia, látászavarok, vertigo, tinnitus, hypotonia, köhögés, dyspnoe, hasi fájdalom, székrekedés, dyspepsia, diarrhoea, nausea, hányás, pruritus, bőrkiütés, izomgörcsök, és asthenia.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ind w:left="567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-</w:t>
      </w:r>
      <w:r>
        <w:rPr>
          <w:szCs w:val="22"/>
          <w:lang w:val="hu-HU" w:eastAsia="en-US"/>
        </w:rPr>
        <w:tab/>
        <w:t xml:space="preserve">az </w:t>
      </w:r>
      <w:r>
        <w:rPr>
          <w:b/>
          <w:i/>
          <w:szCs w:val="22"/>
          <w:lang w:val="hu-HU" w:eastAsia="en-US"/>
        </w:rPr>
        <w:t>indapamidra</w:t>
      </w:r>
      <w:r>
        <w:rPr>
          <w:szCs w:val="22"/>
          <w:lang w:val="hu-HU" w:eastAsia="en-US"/>
        </w:rPr>
        <w:t xml:space="preserve"> vonatkozóan: hypokalaemia, főleg bőrgyógyászati jellegű túlérzékenységi reakciók olyan személyeknél, akik allergiás, asztmatikus reakciókra és maculopapulosus kiütésekre hajlamosak.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i/>
          <w:szCs w:val="22"/>
          <w:lang w:val="hu-HU" w:eastAsia="en-US"/>
        </w:rPr>
        <w:t>b)</w:t>
      </w:r>
      <w:r>
        <w:rPr>
          <w:szCs w:val="22"/>
          <w:lang w:val="hu-HU" w:eastAsia="en-US"/>
        </w:rPr>
        <w:tab/>
        <w:t>A mellékhatások táblázatos felsorolása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 klinikai vizsgálatok alatt és/vagy a forgalomba hozatalt követően megfigyelt nemkívánatos hatások felsorolása a következő gyakorisági kategóriák szerint történt:</w:t>
      </w:r>
    </w:p>
    <w:p w:rsidR="00A00261" w:rsidRDefault="00087B68">
      <w:pPr>
        <w:numPr>
          <w:ilvl w:val="0"/>
          <w:numId w:val="34"/>
        </w:numPr>
        <w:tabs>
          <w:tab w:val="clear" w:pos="72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Nagyon gyakori: (</w:t>
      </w:r>
      <w:r>
        <w:rPr>
          <w:bCs/>
          <w:i/>
          <w:iCs/>
          <w:szCs w:val="22"/>
          <w:lang w:val="hu-HU"/>
        </w:rPr>
        <w:t xml:space="preserve">≥ </w:t>
      </w:r>
      <w:r>
        <w:rPr>
          <w:szCs w:val="22"/>
          <w:lang w:val="hu-HU"/>
        </w:rPr>
        <w:t>1/10)</w:t>
      </w:r>
    </w:p>
    <w:p w:rsidR="00A00261" w:rsidRDefault="00087B68">
      <w:pPr>
        <w:numPr>
          <w:ilvl w:val="0"/>
          <w:numId w:val="34"/>
        </w:numPr>
        <w:tabs>
          <w:tab w:val="clear" w:pos="72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Gyakori: (</w:t>
      </w:r>
      <w:r>
        <w:rPr>
          <w:bCs/>
          <w:i/>
          <w:iCs/>
          <w:szCs w:val="22"/>
          <w:lang w:val="hu-HU"/>
        </w:rPr>
        <w:t xml:space="preserve">≥ </w:t>
      </w:r>
      <w:r>
        <w:rPr>
          <w:szCs w:val="22"/>
          <w:lang w:val="hu-HU"/>
        </w:rPr>
        <w:t>1/100 – &lt; 1/10)</w:t>
      </w:r>
    </w:p>
    <w:p w:rsidR="00A00261" w:rsidRDefault="00087B68">
      <w:pPr>
        <w:numPr>
          <w:ilvl w:val="0"/>
          <w:numId w:val="34"/>
        </w:numPr>
        <w:tabs>
          <w:tab w:val="clear" w:pos="72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Nem gyakori: (</w:t>
      </w:r>
      <w:r>
        <w:rPr>
          <w:bCs/>
          <w:i/>
          <w:iCs/>
          <w:szCs w:val="22"/>
          <w:lang w:val="hu-HU"/>
        </w:rPr>
        <w:t xml:space="preserve">≥ </w:t>
      </w:r>
      <w:r>
        <w:rPr>
          <w:szCs w:val="22"/>
          <w:lang w:val="hu-HU"/>
        </w:rPr>
        <w:t>1/1000 – &lt; 1/100)</w:t>
      </w:r>
    </w:p>
    <w:p w:rsidR="00A00261" w:rsidRDefault="00087B68">
      <w:pPr>
        <w:numPr>
          <w:ilvl w:val="0"/>
          <w:numId w:val="34"/>
        </w:numPr>
        <w:tabs>
          <w:tab w:val="clear" w:pos="72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Ritka: (</w:t>
      </w:r>
      <w:r>
        <w:rPr>
          <w:bCs/>
          <w:i/>
          <w:iCs/>
          <w:szCs w:val="22"/>
          <w:lang w:val="hu-HU"/>
        </w:rPr>
        <w:t xml:space="preserve">≥ </w:t>
      </w:r>
      <w:r>
        <w:rPr>
          <w:szCs w:val="22"/>
          <w:lang w:val="hu-HU"/>
        </w:rPr>
        <w:t>1/10 000 – &lt; 1/1000)</w:t>
      </w:r>
    </w:p>
    <w:p w:rsidR="00A00261" w:rsidRDefault="00087B68">
      <w:pPr>
        <w:numPr>
          <w:ilvl w:val="0"/>
          <w:numId w:val="34"/>
        </w:numPr>
        <w:tabs>
          <w:tab w:val="clear" w:pos="72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Nagyon ritka: (&lt; 1/10 000)</w:t>
      </w:r>
    </w:p>
    <w:p w:rsidR="00A00261" w:rsidRDefault="00087B68">
      <w:pPr>
        <w:numPr>
          <w:ilvl w:val="0"/>
          <w:numId w:val="34"/>
        </w:numPr>
        <w:tabs>
          <w:tab w:val="clear" w:pos="720"/>
        </w:tabs>
        <w:ind w:left="567" w:hanging="567"/>
        <w:rPr>
          <w:szCs w:val="22"/>
          <w:u w:val="single"/>
          <w:lang w:val="hu-HU"/>
        </w:rPr>
      </w:pPr>
      <w:r>
        <w:rPr>
          <w:szCs w:val="22"/>
          <w:lang w:val="hu-HU"/>
        </w:rPr>
        <w:t>Nem ismert (a gyakoriság a rendelkezésre álló adatokból nem állapítható meg)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tbl>
      <w:tblPr>
        <w:tblW w:w="50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737"/>
        <w:gridCol w:w="3353"/>
        <w:gridCol w:w="1376"/>
        <w:gridCol w:w="1281"/>
        <w:gridCol w:w="1428"/>
      </w:tblGrid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keepNext/>
              <w:rPr>
                <w:szCs w:val="22"/>
                <w:lang w:val="hu-HU"/>
              </w:rPr>
            </w:pPr>
            <w:r>
              <w:rPr>
                <w:b/>
                <w:bCs/>
                <w:szCs w:val="22"/>
                <w:lang w:val="hu-HU"/>
              </w:rPr>
              <w:lastRenderedPageBreak/>
              <w:t>MedDRA</w:t>
            </w:r>
          </w:p>
          <w:p w:rsidR="00A00261" w:rsidRDefault="00087B68">
            <w:pPr>
              <w:keepNext/>
              <w:autoSpaceDE w:val="0"/>
              <w:autoSpaceDN w:val="0"/>
              <w:adjustRightInd w:val="0"/>
              <w:rPr>
                <w:b/>
                <w:bCs/>
                <w:szCs w:val="22"/>
                <w:lang w:val="hu-HU"/>
              </w:rPr>
            </w:pPr>
            <w:r>
              <w:rPr>
                <w:b/>
                <w:bCs/>
                <w:szCs w:val="22"/>
                <w:lang w:val="hu-HU"/>
              </w:rPr>
              <w:t>Szervrendszer-adatbázis</w:t>
            </w:r>
          </w:p>
        </w:tc>
        <w:tc>
          <w:tcPr>
            <w:tcW w:w="1827" w:type="pct"/>
            <w:vMerge w:val="restart"/>
          </w:tcPr>
          <w:p w:rsidR="00A00261" w:rsidRDefault="00087B68">
            <w:pPr>
              <w:keepNext/>
              <w:autoSpaceDE w:val="0"/>
              <w:autoSpaceDN w:val="0"/>
              <w:adjustRightInd w:val="0"/>
              <w:jc w:val="center"/>
              <w:rPr>
                <w:szCs w:val="22"/>
                <w:lang w:val="hu-HU" w:eastAsia="en-US"/>
              </w:rPr>
            </w:pPr>
            <w:r>
              <w:rPr>
                <w:b/>
                <w:bCs/>
                <w:szCs w:val="22"/>
                <w:lang w:val="hu-HU"/>
              </w:rPr>
              <w:t>Mellékhatások</w:t>
            </w:r>
            <w:r>
              <w:rPr>
                <w:szCs w:val="22"/>
                <w:lang w:val="hu-HU" w:eastAsia="en-US"/>
              </w:rPr>
              <w:t xml:space="preserve"> </w:t>
            </w:r>
          </w:p>
        </w:tc>
        <w:tc>
          <w:tcPr>
            <w:tcW w:w="2226" w:type="pct"/>
            <w:gridSpan w:val="3"/>
          </w:tcPr>
          <w:p w:rsidR="00A00261" w:rsidRDefault="00087B68">
            <w:pPr>
              <w:keepNext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b/>
                <w:bCs/>
                <w:szCs w:val="22"/>
                <w:lang w:val="hu-HU"/>
              </w:rPr>
              <w:t>Gyakoriság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tabs>
                <w:tab w:val="center" w:pos="4536"/>
                <w:tab w:val="right" w:pos="9072"/>
              </w:tabs>
              <w:jc w:val="center"/>
              <w:rPr>
                <w:szCs w:val="22"/>
                <w:lang w:val="hu-HU" w:eastAsia="en-US"/>
              </w:rPr>
            </w:pPr>
          </w:p>
        </w:tc>
        <w:tc>
          <w:tcPr>
            <w:tcW w:w="1827" w:type="pct"/>
            <w:vMerge/>
          </w:tcPr>
          <w:p w:rsidR="00A00261" w:rsidRDefault="00A00261">
            <w:pPr>
              <w:keepNext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autoSpaceDE w:val="0"/>
              <w:autoSpaceDN w:val="0"/>
              <w:adjustRightInd w:val="0"/>
              <w:jc w:val="center"/>
              <w:rPr>
                <w:b/>
                <w:bCs/>
                <w:szCs w:val="22"/>
                <w:lang w:val="hu-HU"/>
              </w:rPr>
            </w:pPr>
            <w:r>
              <w:rPr>
                <w:b/>
                <w:bCs/>
                <w:szCs w:val="22"/>
                <w:lang w:val="hu-HU"/>
              </w:rPr>
              <w:t>Perindopril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keepNext/>
              <w:tabs>
                <w:tab w:val="left" w:pos="567"/>
              </w:tabs>
              <w:jc w:val="center"/>
              <w:rPr>
                <w:b/>
                <w:bCs/>
                <w:szCs w:val="22"/>
                <w:lang w:val="hu-HU"/>
              </w:rPr>
            </w:pPr>
            <w:r>
              <w:rPr>
                <w:b/>
                <w:bCs/>
                <w:szCs w:val="22"/>
                <w:lang w:val="hu-HU"/>
              </w:rPr>
              <w:t>Indapamid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b/>
                <w:bCs/>
                <w:szCs w:val="22"/>
                <w:lang w:val="hu-HU"/>
              </w:rPr>
              <w:t>Rozuvasztatin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shd w:val="clear" w:color="auto" w:fill="auto"/>
          </w:tcPr>
          <w:p w:rsidR="00A00261" w:rsidRDefault="00087B68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  <w:r>
              <w:rPr>
                <w:bCs/>
                <w:i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Rhinitis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b/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  <w:r>
              <w:rPr>
                <w:bCs/>
                <w:i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Eosinophilia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gyakori*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Agranulocytosis (lásd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Nagyon 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Aplasticus anaemia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Pancytopenia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Nagyon 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Leukopenia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Nagyon 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Neutropenia (lásd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left" w:pos="567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Haemolyticus anaemia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left" w:pos="567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Thrombocytopenia (lásd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Nagyon 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shd w:val="clear" w:color="auto" w:fill="auto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/>
              </w:rPr>
              <w:t>Immunrendszeri betegségek és tünetek</w:t>
            </w: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Túlérzékenységi reakciók (elsősorban dermatológiai, allergiás és asztmás reakciókra hajlamos egyénekben)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Gyakori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  <w:r>
              <w:rPr>
                <w:bCs/>
                <w:i/>
                <w:szCs w:val="22"/>
                <w:lang w:val="hu-HU"/>
              </w:rPr>
              <w:t>Endokrin betegségek és tünetek</w:t>
            </w: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Diabetes mellitus</w:t>
            </w:r>
            <w:r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Gyakori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megfelelő antidiuretikushormon-termelés szindróma (SIADH)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  <w:r>
              <w:rPr>
                <w:bCs/>
                <w:i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Hypoglykaemia (lásd 4.4 és 4.5 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Nem gyakori*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Hyperkalaemia, a kezelés felfüggesztésekor reverzibilis (lásd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Nem gyakori*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Hyponatraemia (lásd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Nem gyakori*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Nem gyakor</w:t>
            </w:r>
            <w:r>
              <w:rPr>
                <w:szCs w:val="22"/>
                <w:lang w:val="hu-HU" w:eastAsia="en-US"/>
              </w:rPr>
              <w:t>i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Hypercalcaemia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Hypokalaemia (lásd 4.4 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Gyakori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</w:rPr>
            </w:pPr>
            <w:r>
              <w:rPr>
                <w:szCs w:val="22"/>
                <w:lang w:val="hu-HU"/>
              </w:rPr>
              <w:t>Hypochloraemia</w:t>
            </w:r>
          </w:p>
        </w:tc>
        <w:tc>
          <w:tcPr>
            <w:tcW w:w="750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Ritka</w:t>
            </w:r>
          </w:p>
        </w:tc>
        <w:tc>
          <w:tcPr>
            <w:tcW w:w="77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</w:rPr>
            </w:pPr>
            <w:r>
              <w:rPr>
                <w:szCs w:val="22"/>
                <w:lang w:val="hu-HU"/>
              </w:rPr>
              <w:t>Hypomagnesaemia</w:t>
            </w:r>
          </w:p>
        </w:tc>
        <w:tc>
          <w:tcPr>
            <w:tcW w:w="750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Ritka</w:t>
            </w:r>
          </w:p>
        </w:tc>
        <w:tc>
          <w:tcPr>
            <w:tcW w:w="77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/>
              </w:rPr>
              <w:t>Pszichiátriai kórképek</w:t>
            </w: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Megváltozott kedélyállapot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Alvászavar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Zavartság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Nagyon ritka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Depresszió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gyakori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keepNext/>
              <w:widowControl w:val="0"/>
              <w:rPr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/>
              </w:rPr>
              <w:t>Idegrendszeri betegségek és tünetek</w:t>
            </w:r>
          </w:p>
        </w:tc>
        <w:tc>
          <w:tcPr>
            <w:tcW w:w="1827" w:type="pct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Szédülés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Gyakori</w:t>
            </w:r>
          </w:p>
        </w:tc>
        <w:tc>
          <w:tcPr>
            <w:tcW w:w="698" w:type="pct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Gyakori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Fejfájás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Gyakori</w:t>
            </w:r>
          </w:p>
        </w:tc>
        <w:tc>
          <w:tcPr>
            <w:tcW w:w="698" w:type="pct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Gyakori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Paresthesia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Gyakori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Dysgeusia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Gyakori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</w:rPr>
              <w:t>Aluszékonyság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Nem gyakori*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Syncope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Nem gyakori*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Perifériás neuropathia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Polyneuropathia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Emlékezetvesztés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Stroke, a fokozott rizikójú betegeknél valószínűleg másodlagosan, a kifejezett hypotonia miatt (lásd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Nagyon 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Májelégtelenség talaján kialakuló hepaticus encephalopathia (lásd 4.3 és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</w:rPr>
            </w:pPr>
            <w:r>
              <w:rPr>
                <w:szCs w:val="22"/>
              </w:rPr>
              <w:t>Myasthenia gravis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/>
              </w:rPr>
              <w:t>Szembetegségek és szemészeti tünetek</w:t>
            </w: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Látászavar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Gyakori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Myopia (lásd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</w:rPr>
            </w:pPr>
            <w:r>
              <w:rPr>
                <w:szCs w:val="22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Homályos látás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</w:rPr>
            </w:pPr>
            <w:r>
              <w:rPr>
                <w:szCs w:val="22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</w:rPr>
            </w:pPr>
            <w:r>
              <w:rPr>
                <w:szCs w:val="22"/>
              </w:rPr>
              <w:t>Akut zárt zugú glaucoma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</w:rPr>
            </w:pPr>
            <w:r>
              <w:rPr>
                <w:szCs w:val="22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</w:rPr>
            </w:pPr>
            <w:r>
              <w:rPr>
                <w:szCs w:val="22"/>
              </w:rPr>
              <w:t>Choroidealis effusio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</w:rPr>
            </w:pPr>
            <w:r>
              <w:rPr>
                <w:szCs w:val="22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</w:rPr>
            </w:pPr>
            <w:r>
              <w:rPr>
                <w:szCs w:val="22"/>
              </w:rPr>
              <w:t>Ocularis myasthenia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  <w:r>
              <w:rPr>
                <w:bCs/>
                <w:i/>
                <w:szCs w:val="22"/>
                <w:lang w:val="hu-HU"/>
              </w:rPr>
              <w:t>A fül és az egyensúly-érzékelő szerv betegségei és tünetei</w:t>
            </w: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Vertigo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Gyakori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Tinnitus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Gyakori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tabs>
                <w:tab w:val="left" w:pos="567"/>
              </w:tabs>
              <w:rPr>
                <w:bCs/>
                <w:i/>
                <w:szCs w:val="22"/>
                <w:lang w:val="hu-HU"/>
              </w:rPr>
            </w:pPr>
            <w:r>
              <w:rPr>
                <w:bCs/>
                <w:i/>
                <w:szCs w:val="22"/>
                <w:lang w:val="hu-HU"/>
              </w:rPr>
              <w:t>Szívbetegségek és a szívvel kapcsolatos tünetek</w:t>
            </w: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</w:rPr>
              <w:t>Palpitatio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Nem gyakori*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tabs>
                <w:tab w:val="left" w:pos="567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</w:rPr>
              <w:t>Tachycardia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Nem gyakori*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tabs>
                <w:tab w:val="left" w:pos="567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</w:rPr>
              <w:t>Angina pectoris (lásd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Nagyon 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tabs>
                <w:tab w:val="left" w:pos="567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Arrhythmia (többek között bradycardia, kamrai tachycardia és pitvarfibrilláció)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Myocardialis infarctus, a fokozott rizikójú betegeknél valószínűleg másodlagosan, a kifejezett hypotonia miatt (lásd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Nagyon 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rFonts w:eastAsia="Calibri"/>
                <w:i/>
                <w:szCs w:val="22"/>
                <w:lang w:val="hu-HU"/>
              </w:rPr>
              <w:t>Torsades de pointes</w:t>
            </w:r>
            <w:r>
              <w:rPr>
                <w:rFonts w:eastAsia="Calibri"/>
                <w:szCs w:val="22"/>
                <w:lang w:val="hu-HU"/>
              </w:rPr>
              <w:t xml:space="preserve"> (potenciálisan halálos) (lásd 4.4 és 4.5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/>
              </w:rPr>
              <w:t>Érbetegségek és tünetek</w:t>
            </w: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Hypotonia (és hypotoniával kapcsolatos tünetek) (lásd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Gyakori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Vasculitis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Nem gyakori*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Kipirulás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Raynaud-jelenség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  <w:r>
              <w:rPr>
                <w:bCs/>
                <w:i/>
                <w:szCs w:val="22"/>
                <w:lang w:val="hu-HU"/>
              </w:rPr>
              <w:t>Légzőrendszeri, mellkasi és mediastinalis betegségek és tünetek</w:t>
            </w:r>
          </w:p>
        </w:tc>
        <w:tc>
          <w:tcPr>
            <w:tcW w:w="1827" w:type="pct"/>
          </w:tcPr>
          <w:p w:rsidR="00A00261" w:rsidRDefault="00087B68">
            <w:pPr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Köhögés (lásd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Gyakori</w:t>
            </w:r>
          </w:p>
        </w:tc>
        <w:tc>
          <w:tcPr>
            <w:tcW w:w="698" w:type="pct"/>
          </w:tcPr>
          <w:p w:rsidR="00A00261" w:rsidRDefault="00087B68">
            <w:pPr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keepNext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Dyspnoe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Gyakori</w:t>
            </w:r>
          </w:p>
        </w:tc>
        <w:tc>
          <w:tcPr>
            <w:tcW w:w="698" w:type="pct"/>
          </w:tcPr>
          <w:p w:rsidR="00A00261" w:rsidRDefault="00087B68">
            <w:pPr>
              <w:keepNext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Bronchospasmus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Nem gyakori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Eosinophil pneumonia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1827" w:type="pct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Hasi fájdalom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Gyakori</w:t>
            </w:r>
          </w:p>
        </w:tc>
        <w:tc>
          <w:tcPr>
            <w:tcW w:w="698" w:type="pct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Gyakori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Constipatio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Gyakori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Gyakori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Diarrhoea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Gyakori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Dyspepsia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Gyakori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Nausea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Gyakori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Gyakori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Hányás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Gyakori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Nem gyakori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Szájszárazság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Nem gyakori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Pancreatitis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1827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Hepatitis (lásd 4.4.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Nagyon ritka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</w:rPr>
              <w:t>Kóros májfunkció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Sárgaság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1827" w:type="pct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Pruritus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Gyakori</w:t>
            </w:r>
          </w:p>
        </w:tc>
        <w:tc>
          <w:tcPr>
            <w:tcW w:w="698" w:type="pct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gyakori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</w:rPr>
              <w:t>Bőrkiütés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bCs/>
                <w:iCs/>
                <w:szCs w:val="22"/>
              </w:rPr>
              <w:t>Gyakori</w:t>
            </w:r>
          </w:p>
        </w:tc>
        <w:tc>
          <w:tcPr>
            <w:tcW w:w="698" w:type="pct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Nem gyakori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</w:rPr>
              <w:t>Maculopapulosus bőrkiütések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 w:eastAsia="en-US"/>
              </w:rPr>
            </w:pPr>
            <w:r>
              <w:rPr>
                <w:bCs/>
                <w:iCs/>
                <w:szCs w:val="22"/>
              </w:rPr>
              <w:t>Gyakori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 xml:space="preserve">Urticaria </w:t>
            </w:r>
            <w:r>
              <w:rPr>
                <w:szCs w:val="22"/>
              </w:rPr>
              <w:t>(lásd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698" w:type="pct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 w:eastAsia="en-US"/>
              </w:rPr>
            </w:pPr>
            <w:r>
              <w:rPr>
                <w:bCs/>
                <w:iCs/>
                <w:szCs w:val="22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Angiooedema (lásd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698" w:type="pct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bCs/>
                <w:iCs/>
                <w:szCs w:val="22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Purpura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Hyperhidrosis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bCs/>
                <w:iCs/>
                <w:szCs w:val="22"/>
              </w:rPr>
              <w:t>Nem gyakori</w:t>
            </w:r>
          </w:p>
        </w:tc>
        <w:tc>
          <w:tcPr>
            <w:tcW w:w="698" w:type="pct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Fényérzékenységi reakciók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bCs/>
                <w:iCs/>
                <w:szCs w:val="22"/>
              </w:rPr>
              <w:t>Nem gyakori*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bCs/>
                <w:iCs/>
                <w:szCs w:val="22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Pemphigoid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bCs/>
                <w:iCs/>
                <w:szCs w:val="22"/>
              </w:rPr>
              <w:t>Nem gyakori*</w:t>
            </w:r>
          </w:p>
        </w:tc>
        <w:tc>
          <w:tcPr>
            <w:tcW w:w="698" w:type="pct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bCs/>
                <w:szCs w:val="22"/>
              </w:rPr>
              <w:t>A psoriasis súlyosbodása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bCs/>
                <w:iCs/>
                <w:szCs w:val="22"/>
              </w:rPr>
              <w:t>Ritka*</w:t>
            </w:r>
          </w:p>
        </w:tc>
        <w:tc>
          <w:tcPr>
            <w:tcW w:w="698" w:type="pct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Erythema multiforme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Nagyon ritka</w:t>
            </w:r>
          </w:p>
        </w:tc>
        <w:tc>
          <w:tcPr>
            <w:tcW w:w="698" w:type="pct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</w:rPr>
              <w:t>Toxicus epidermalis necrolysis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bCs/>
                <w:iCs/>
                <w:szCs w:val="22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Stevens–Johnson-szindróma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</w:p>
        </w:tc>
        <w:tc>
          <w:tcPr>
            <w:tcW w:w="1827" w:type="pct"/>
          </w:tcPr>
          <w:p w:rsidR="00A00261" w:rsidRDefault="00087B6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-HU" w:eastAsia="en-US"/>
              </w:rPr>
              <w:t>Eosinophiliával és szisztémás tünetekkel járó gyógyszerreakció (DRESS)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</w:pPr>
            <w:r>
              <w:rPr>
                <w:szCs w:val="22"/>
                <w:lang w:val="hu-HU"/>
              </w:rPr>
              <w:t>Nem ismert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/>
              </w:rPr>
              <w:t>A csont- és izomrendszer, valamint a kötőszövet betegségei és tünetei</w:t>
            </w:r>
          </w:p>
        </w:tc>
        <w:tc>
          <w:tcPr>
            <w:tcW w:w="1827" w:type="pct"/>
          </w:tcPr>
          <w:p w:rsidR="00A00261" w:rsidRDefault="00087B68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</w:rPr>
              <w:t>Izomgörcsök</w:t>
            </w:r>
          </w:p>
        </w:tc>
        <w:tc>
          <w:tcPr>
            <w:tcW w:w="750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t>Gyakori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  <w:tc>
          <w:tcPr>
            <w:tcW w:w="77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Előzetesen fennálló akut disszeminált lupus erythematosus lehetséges súlyosbodása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bCs/>
                <w:iCs/>
                <w:szCs w:val="22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Arthralgia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bCs/>
                <w:iCs/>
                <w:szCs w:val="22"/>
              </w:rPr>
              <w:t>Nem gyakori*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bCs/>
                <w:iCs/>
                <w:szCs w:val="22"/>
              </w:rPr>
              <w:t>Nagyon 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</w:rPr>
            </w:pPr>
            <w:r>
              <w:rPr>
                <w:szCs w:val="22"/>
              </w:rPr>
              <w:t>Myalgia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bCs/>
                <w:iCs/>
                <w:szCs w:val="22"/>
              </w:rPr>
            </w:pPr>
            <w:r>
              <w:rPr>
                <w:bCs/>
                <w:iCs/>
                <w:szCs w:val="22"/>
              </w:rPr>
              <w:t>Nem gyakori*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bCs/>
                <w:iCs/>
                <w:szCs w:val="22"/>
              </w:rPr>
            </w:pPr>
            <w:r>
              <w:t>Gyakori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Myopathia (beleértve a myositist)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Rhabdomyolysis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  <w:r>
              <w:rPr>
                <w:spacing w:val="-4"/>
                <w:szCs w:val="22"/>
                <w:lang w:val="hu-HU"/>
              </w:rPr>
              <w:t>Izomgyengeség</w:t>
            </w:r>
          </w:p>
        </w:tc>
        <w:tc>
          <w:tcPr>
            <w:tcW w:w="750" w:type="pct"/>
            <w:vAlign w:val="center"/>
          </w:tcPr>
          <w:p w:rsidR="00A00261" w:rsidRDefault="00A00261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A00261">
            <w:pPr>
              <w:widowControl w:val="0"/>
              <w:jc w:val="center"/>
              <w:rPr>
                <w:szCs w:val="22"/>
                <w:lang w:val="hu-HU"/>
              </w:rPr>
            </w:pP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  <w:r>
              <w:rPr>
                <w:spacing w:val="-4"/>
                <w:szCs w:val="22"/>
                <w:lang w:val="hu-HU"/>
              </w:rPr>
              <w:t>Lupus-szerű szindróma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  <w:r>
              <w:rPr>
                <w:spacing w:val="-4"/>
                <w:szCs w:val="22"/>
                <w:lang w:val="hu-HU"/>
              </w:rPr>
              <w:t>Izomszakadás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pacing w:val="-4"/>
                <w:szCs w:val="22"/>
                <w:lang w:val="hu-HU"/>
              </w:rPr>
              <w:t>Ín-rendellenességek, olykor szövődményként</w:t>
            </w:r>
            <w:r>
              <w:rPr>
                <w:szCs w:val="22"/>
                <w:lang w:val="hu-HU"/>
              </w:rPr>
              <w:t xml:space="preserve"> ínrupturával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Immunmediált nekrotizáló myopathia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/>
              </w:rPr>
              <w:t>Vese- és húgyúti betegségek és tünetek</w:t>
            </w: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Veseelégtelenség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Nem gyakori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Akut veseelégtelenség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Ritka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Anuria/Oliguria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Ritka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Haematuria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keepNext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/>
              </w:rPr>
              <w:t>A nemi szervekkel és az emlőkkel kapcsolatos betegségek és tünetek</w:t>
            </w:r>
          </w:p>
        </w:tc>
        <w:tc>
          <w:tcPr>
            <w:tcW w:w="1827" w:type="pct"/>
          </w:tcPr>
          <w:p w:rsidR="00A00261" w:rsidRDefault="00087B68">
            <w:pPr>
              <w:keepNext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Erectilis dysfunctio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gyakori</w:t>
            </w:r>
          </w:p>
        </w:tc>
        <w:tc>
          <w:tcPr>
            <w:tcW w:w="698" w:type="pct"/>
          </w:tcPr>
          <w:p w:rsidR="00A00261" w:rsidRDefault="00087B68">
            <w:pPr>
              <w:keepNext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keepNext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keepNext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Gynaecomastia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keepNext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widowControl w:val="0"/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/>
              </w:rPr>
            </w:pPr>
            <w:r>
              <w:rPr>
                <w:bCs/>
                <w:i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Asthenia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Gyakori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Gyakori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Mellkasi fájdalom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bCs/>
                <w:iCs/>
                <w:szCs w:val="22"/>
              </w:rPr>
              <w:t>Nem gyakori*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</w:rPr>
              <w:t>Rossz közérzet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bCs/>
                <w:iCs/>
                <w:szCs w:val="22"/>
              </w:rPr>
              <w:t>Nem gyakori*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Perifériás ödéma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bCs/>
                <w:iCs/>
                <w:szCs w:val="22"/>
              </w:rPr>
              <w:t>Nem gyakori*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Pyrexia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bCs/>
                <w:iCs/>
                <w:szCs w:val="22"/>
              </w:rPr>
              <w:t>Nem gyakori*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Fáradtság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Ritka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 w:val="restart"/>
            <w:shd w:val="clear" w:color="auto" w:fill="auto"/>
          </w:tcPr>
          <w:p w:rsidR="00A00261" w:rsidRDefault="00087B68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1827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</w:rPr>
              <w:t>Karbamidszint-emelkedés a vérben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bCs/>
                <w:iCs/>
                <w:szCs w:val="22"/>
              </w:rPr>
              <w:t>Nem gyakori</w:t>
            </w:r>
            <w:r>
              <w:rPr>
                <w:szCs w:val="22"/>
              </w:rPr>
              <w:t>*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Kreatininszint-emelkedés a vérben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bCs/>
                <w:iCs/>
                <w:szCs w:val="22"/>
              </w:rPr>
              <w:t>Nem gyakori</w:t>
            </w:r>
            <w:r>
              <w:rPr>
                <w:szCs w:val="22"/>
              </w:rPr>
              <w:t>*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</w:rPr>
              <w:t>Bilirubinszint-emelkedés a vérben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</w:rPr>
            </w:pPr>
            <w:r>
              <w:rPr>
                <w:szCs w:val="22"/>
              </w:rPr>
              <w:t>Májenzimszint-emelkedés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</w:rPr>
            </w:pPr>
            <w:r>
              <w:rPr>
                <w:szCs w:val="22"/>
              </w:rPr>
              <w:t>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bCs/>
                <w:iCs/>
                <w:szCs w:val="22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</w:rPr>
              <w:t>Ritka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A hemoglobin- és hematokritszint csökkenése (lásd 4.4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</w:rPr>
            </w:pPr>
            <w:r>
              <w:rPr>
                <w:bCs/>
                <w:iCs/>
                <w:szCs w:val="22"/>
              </w:rPr>
              <w:t>Nagyon ritka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bCs/>
                <w:iCs/>
                <w:szCs w:val="22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Vércukorszint-emelkedés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Gyakori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szCs w:val="22"/>
                <w:lang w:val="hu-HU" w:eastAsia="en-US"/>
              </w:rPr>
            </w:pPr>
          </w:p>
        </w:tc>
        <w:tc>
          <w:tcPr>
            <w:tcW w:w="1827" w:type="pct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Húgysavszint-emelkedés a vérben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vMerge/>
            <w:shd w:val="clear" w:color="auto" w:fill="auto"/>
          </w:tcPr>
          <w:p w:rsidR="00A00261" w:rsidRDefault="00A00261">
            <w:pPr>
              <w:widowControl w:val="0"/>
              <w:tabs>
                <w:tab w:val="center" w:pos="4536"/>
                <w:tab w:val="right" w:pos="9072"/>
              </w:tabs>
              <w:rPr>
                <w:szCs w:val="22"/>
                <w:lang w:val="hu-HU" w:eastAsia="en-US"/>
              </w:rPr>
            </w:pPr>
          </w:p>
        </w:tc>
        <w:tc>
          <w:tcPr>
            <w:tcW w:w="1827" w:type="pct"/>
            <w:vAlign w:val="center"/>
          </w:tcPr>
          <w:p w:rsidR="00A00261" w:rsidRDefault="00087B68">
            <w:pPr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QT-szakasz megnyúlás az EKG-n (lásd 4.4 és 4.5 pont)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bCs/>
                <w:iCs/>
                <w:szCs w:val="22"/>
              </w:rPr>
              <w:t>Nem ismert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  <w:tr w:rsidR="00A00261">
        <w:trPr>
          <w:cantSplit/>
          <w:tblHeader/>
        </w:trPr>
        <w:tc>
          <w:tcPr>
            <w:tcW w:w="947" w:type="pct"/>
            <w:shd w:val="clear" w:color="auto" w:fill="auto"/>
          </w:tcPr>
          <w:p w:rsidR="00A00261" w:rsidRDefault="00087B68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/>
              </w:rPr>
              <w:t>Sérülés, mérgezés és a beavatkozással kapcsolatos szövődmények</w:t>
            </w:r>
          </w:p>
        </w:tc>
        <w:tc>
          <w:tcPr>
            <w:tcW w:w="1827" w:type="pct"/>
            <w:vAlign w:val="center"/>
          </w:tcPr>
          <w:p w:rsidR="00A00261" w:rsidRDefault="00087B68">
            <w:pPr>
              <w:keepNext/>
              <w:widowControl w:val="0"/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>
              <w:rPr>
                <w:szCs w:val="22"/>
              </w:rPr>
              <w:t>Elesés</w:t>
            </w:r>
          </w:p>
        </w:tc>
        <w:tc>
          <w:tcPr>
            <w:tcW w:w="750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</w:rPr>
              <w:t>Nem gyakori*</w:t>
            </w:r>
          </w:p>
        </w:tc>
        <w:tc>
          <w:tcPr>
            <w:tcW w:w="698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—</w:t>
            </w:r>
          </w:p>
        </w:tc>
        <w:tc>
          <w:tcPr>
            <w:tcW w:w="778" w:type="pct"/>
            <w:vAlign w:val="center"/>
          </w:tcPr>
          <w:p w:rsidR="00A00261" w:rsidRDefault="00087B68">
            <w:pPr>
              <w:keepNext/>
              <w:widowControl w:val="0"/>
              <w:tabs>
                <w:tab w:val="left" w:pos="567"/>
              </w:tabs>
              <w:jc w:val="center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—</w:t>
            </w:r>
          </w:p>
        </w:tc>
      </w:tr>
    </w:tbl>
    <w:p w:rsidR="00A00261" w:rsidRDefault="00087B68">
      <w:pPr>
        <w:widowControl w:val="0"/>
        <w:tabs>
          <w:tab w:val="left" w:pos="284"/>
        </w:tabs>
        <w:ind w:left="284" w:hanging="284"/>
        <w:rPr>
          <w:i/>
          <w:iCs/>
          <w:szCs w:val="22"/>
          <w:lang w:val="hu-HU" w:eastAsia="en-US"/>
        </w:rPr>
      </w:pPr>
      <w:r>
        <w:rPr>
          <w:iCs/>
          <w:szCs w:val="22"/>
          <w:lang w:val="hu-HU" w:eastAsia="en-US"/>
        </w:rPr>
        <w:t>*</w:t>
      </w:r>
      <w:r>
        <w:rPr>
          <w:iCs/>
          <w:szCs w:val="22"/>
          <w:lang w:val="hu-HU" w:eastAsia="en-US"/>
        </w:rPr>
        <w:tab/>
      </w:r>
      <w:r>
        <w:rPr>
          <w:i/>
          <w:iCs/>
          <w:szCs w:val="22"/>
          <w:lang w:val="hu-HU" w:eastAsia="en-US"/>
        </w:rPr>
        <w:t>A gyakoriság a klinikai vizsgálatok során észlelt mellékhatások spontán jelentéséből adódik.</w:t>
      </w:r>
    </w:p>
    <w:p w:rsidR="00A00261" w:rsidRDefault="00087B68">
      <w:pPr>
        <w:widowControl w:val="0"/>
        <w:tabs>
          <w:tab w:val="left" w:pos="284"/>
        </w:tabs>
        <w:ind w:left="284" w:hanging="284"/>
        <w:rPr>
          <w:szCs w:val="22"/>
          <w:lang w:val="hu-HU" w:eastAsia="en-US"/>
        </w:rPr>
      </w:pPr>
      <w:r>
        <w:rPr>
          <w:iCs/>
          <w:szCs w:val="22"/>
          <w:vertAlign w:val="superscript"/>
          <w:lang w:val="hu-HU" w:eastAsia="en-US"/>
        </w:rPr>
        <w:t>1</w:t>
      </w:r>
      <w:r>
        <w:rPr>
          <w:iCs/>
          <w:szCs w:val="22"/>
          <w:lang w:val="hu-HU" w:eastAsia="en-US"/>
        </w:rPr>
        <w:tab/>
      </w:r>
      <w:r>
        <w:rPr>
          <w:i/>
          <w:iCs/>
          <w:szCs w:val="22"/>
          <w:lang w:val="hu-HU" w:eastAsia="en-US"/>
        </w:rPr>
        <w:t xml:space="preserve">A gyakoriság a kockázati tényezők fennállásától vagy hiányától függ (éhomi vér glükózszint </w:t>
      </w:r>
      <w:r>
        <w:rPr>
          <w:i/>
          <w:szCs w:val="22"/>
          <w:lang w:val="hu-HU" w:eastAsia="en-US"/>
        </w:rPr>
        <w:t>≥ 5,6 mmol/l, BMI &gt; 30 kg/m</w:t>
      </w:r>
      <w:r>
        <w:rPr>
          <w:i/>
          <w:szCs w:val="22"/>
          <w:vertAlign w:val="superscript"/>
          <w:lang w:val="hu-HU" w:eastAsia="en-US"/>
        </w:rPr>
        <w:t>2</w:t>
      </w:r>
      <w:r>
        <w:rPr>
          <w:i/>
          <w:szCs w:val="22"/>
          <w:lang w:val="hu-HU" w:eastAsia="en-US"/>
        </w:rPr>
        <w:t>, hypertriglyceridaemia, hypertonia a kórtörténetben).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Más HMG-CoA-reduktáz</w:t>
      </w:r>
      <w:r>
        <w:rPr>
          <w:szCs w:val="22"/>
          <w:lang w:val="hu-HU"/>
        </w:rPr>
        <w:noBreakHyphen/>
        <w:t>gátlókhoz hasonlóan, a nemkívánatos mellékhatások incidenciája dózisfüggő tendenciát mutat.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b/>
          <w:iCs/>
          <w:szCs w:val="22"/>
          <w:u w:val="single"/>
          <w:lang w:val="hu-HU" w:eastAsia="en-US"/>
        </w:rPr>
      </w:pPr>
      <w:r>
        <w:rPr>
          <w:b/>
          <w:iCs/>
          <w:szCs w:val="22"/>
          <w:u w:val="single"/>
          <w:lang w:val="hu-HU" w:eastAsia="en-US"/>
        </w:rPr>
        <w:t>További információ a rozuvasztatinnal kapcsolatban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i/>
          <w:iCs/>
          <w:szCs w:val="22"/>
          <w:u w:val="single"/>
          <w:lang w:val="hu-HU" w:eastAsia="en-US"/>
        </w:rPr>
      </w:pPr>
      <w:r>
        <w:rPr>
          <w:i/>
          <w:iCs/>
          <w:szCs w:val="22"/>
          <w:u w:val="single"/>
          <w:lang w:val="hu-HU" w:eastAsia="en-US"/>
        </w:rPr>
        <w:t>Egyéb kiválasztott mellékhatások leírása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  <w:r>
        <w:rPr>
          <w:i/>
          <w:iCs/>
          <w:szCs w:val="22"/>
          <w:lang w:val="hu-HU" w:eastAsia="en-US"/>
        </w:rPr>
        <w:t>Renális hatások:</w:t>
      </w:r>
      <w:r>
        <w:rPr>
          <w:iCs/>
          <w:szCs w:val="22"/>
          <w:lang w:val="hu-HU" w:eastAsia="en-US"/>
        </w:rPr>
        <w:t xml:space="preserve"> Rozuvasztatinnal kezelt betegeknél tesztcsíkkal kimutatott, zömmel tubuláris eredetű proteinuriát figyeltek meg. A vizelet fehérjetartalmának növekedését nullától, illetve nyomnyi mennyiségtől</w:t>
      </w:r>
      <w:r>
        <w:rPr>
          <w:iCs/>
          <w:spacing w:val="-2"/>
          <w:szCs w:val="22"/>
          <w:lang w:val="hu-HU" w:eastAsia="en-US"/>
        </w:rPr>
        <w:t xml:space="preserve"> </w:t>
      </w:r>
      <w:r>
        <w:rPr>
          <w:iCs/>
          <w:szCs w:val="22"/>
          <w:lang w:val="hu-HU" w:eastAsia="en-US"/>
        </w:rPr>
        <w:t xml:space="preserve">kétkeresztes vagy ennél magasabb értékig </w:t>
      </w:r>
      <w:r>
        <w:rPr>
          <w:iCs/>
          <w:spacing w:val="-2"/>
          <w:szCs w:val="22"/>
          <w:lang w:val="hu-HU" w:eastAsia="en-US"/>
        </w:rPr>
        <w:t>a betegek</w:t>
      </w:r>
      <w:r>
        <w:rPr>
          <w:iCs/>
          <w:szCs w:val="22"/>
          <w:lang w:val="hu-HU" w:eastAsia="en-US"/>
        </w:rPr>
        <w:t xml:space="preserve"> &lt; 1%-ánál észlelték a 10 mg-os vagy 20 mg-os dózisokkal, ill. kb. 3%-ánál a 40 mg-os adaggal végzett kezelés során. A </w:t>
      </w:r>
      <w:r>
        <w:rPr>
          <w:iCs/>
          <w:spacing w:val="-2"/>
          <w:szCs w:val="22"/>
          <w:lang w:val="hu-HU" w:eastAsia="en-US"/>
        </w:rPr>
        <w:t xml:space="preserve">fehérjetartalom kismértékű növekedését nulláról, illetve nyomnyi mennyiségről egy keresztre </w:t>
      </w:r>
      <w:r>
        <w:rPr>
          <w:iCs/>
          <w:szCs w:val="22"/>
          <w:lang w:val="hu-HU" w:eastAsia="en-US"/>
        </w:rPr>
        <w:t>észlelték a 20 mg-os dózis alkalmazásakor. Az esetek többségében, a terápia folytatása mellett spontán csökken vagy megszűnik a proteinuria. A klinikai vizsgálatok adatai, valamint a forgalomba hozatalt követően ezidáig szerzett tapasztalatok alapján nem igazolódott ok</w:t>
      </w:r>
      <w:r>
        <w:rPr>
          <w:iCs/>
          <w:szCs w:val="22"/>
          <w:lang w:val="hu-HU" w:eastAsia="en-US"/>
        </w:rPr>
        <w:noBreakHyphen/>
        <w:t>okozati összefüggés a proteinuria és az akut vagy progresszív vesebetegség kialakulása között.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:rsidR="00A00261" w:rsidRDefault="00087B68">
      <w:pPr>
        <w:tabs>
          <w:tab w:val="left" w:pos="567"/>
        </w:tabs>
        <w:rPr>
          <w:iCs/>
          <w:szCs w:val="22"/>
          <w:lang w:val="hu-HU" w:eastAsia="en-US"/>
        </w:rPr>
      </w:pPr>
      <w:r>
        <w:rPr>
          <w:iCs/>
          <w:szCs w:val="22"/>
          <w:lang w:val="hu-HU" w:eastAsia="en-US"/>
        </w:rPr>
        <w:t>Haematuriát is megfigyeltek rozuvasztatinnal kezelt betegeknél, azonban a klinikai vizsgálatok adatai alapján ez ritkán fordul elő.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:rsidR="00A00261" w:rsidRDefault="00087B68">
      <w:pPr>
        <w:rPr>
          <w:spacing w:val="-2"/>
          <w:szCs w:val="22"/>
          <w:lang w:val="hu-HU"/>
        </w:rPr>
      </w:pPr>
      <w:r>
        <w:rPr>
          <w:i/>
          <w:iCs/>
          <w:szCs w:val="22"/>
          <w:lang w:val="hu-HU" w:eastAsia="en-US"/>
        </w:rPr>
        <w:t>A vázizomzatra kifejtett hatások:</w:t>
      </w:r>
      <w:r>
        <w:rPr>
          <w:iCs/>
          <w:szCs w:val="22"/>
          <w:lang w:val="hu-HU" w:eastAsia="en-US"/>
        </w:rPr>
        <w:t xml:space="preserve"> </w:t>
      </w:r>
      <w:r>
        <w:rPr>
          <w:szCs w:val="22"/>
          <w:lang w:val="hu-HU"/>
        </w:rPr>
        <w:t xml:space="preserve">A vázizmokon érvényesülő hatásokról (pl. myalgia, myopathia – a myositist is ideértve, ritkán rhabdomyolysis – akut veseelégtelenséggel vagy anélkül) számoltak be rozuvasztatinnal kezelt betegeknél mindegyik dózis, de legfőképpen a 20 mg-nál nagyobb adag </w:t>
      </w:r>
      <w:r>
        <w:rPr>
          <w:spacing w:val="-2"/>
          <w:szCs w:val="22"/>
          <w:lang w:val="hu-HU"/>
        </w:rPr>
        <w:t>alkalmazásakor.</w:t>
      </w:r>
    </w:p>
    <w:p w:rsidR="00A00261" w:rsidRDefault="00A00261">
      <w:pPr>
        <w:rPr>
          <w:spacing w:val="-2"/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pacing w:val="-2"/>
          <w:szCs w:val="22"/>
          <w:lang w:val="hu-HU"/>
        </w:rPr>
        <w:t>Rozuvasztatin-kezelésben részesülő betegeknél is megfigyelték a CK</w:t>
      </w:r>
      <w:r>
        <w:rPr>
          <w:spacing w:val="-2"/>
          <w:szCs w:val="22"/>
          <w:lang w:val="hu-HU"/>
        </w:rPr>
        <w:noBreakHyphen/>
        <w:t>szint dózisfüggő</w:t>
      </w:r>
      <w:r>
        <w:rPr>
          <w:szCs w:val="22"/>
          <w:lang w:val="hu-HU"/>
        </w:rPr>
        <w:t xml:space="preserve"> </w:t>
      </w:r>
      <w:r>
        <w:rPr>
          <w:spacing w:val="-4"/>
          <w:szCs w:val="22"/>
          <w:lang w:val="hu-HU"/>
        </w:rPr>
        <w:t>emelkedését; az esetek többségében ez enyhe, tünetmentes és átmeneti volt. Ha a CK</w:t>
      </w:r>
      <w:r>
        <w:rPr>
          <w:spacing w:val="-4"/>
          <w:szCs w:val="22"/>
          <w:lang w:val="hu-HU"/>
        </w:rPr>
        <w:noBreakHyphen/>
        <w:t>szint megemelkedik</w:t>
      </w:r>
      <w:r>
        <w:rPr>
          <w:szCs w:val="22"/>
          <w:lang w:val="hu-HU"/>
        </w:rPr>
        <w:t xml:space="preserve"> (&gt; 5×ULN), a kezelést le kell állítani (lásd 4.4 pont).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:rsidR="00A00261" w:rsidRDefault="00087B68">
      <w:pPr>
        <w:rPr>
          <w:szCs w:val="22"/>
          <w:lang w:val="hu-HU"/>
        </w:rPr>
      </w:pPr>
      <w:r>
        <w:rPr>
          <w:i/>
          <w:iCs/>
          <w:szCs w:val="22"/>
          <w:lang w:val="hu-HU" w:eastAsia="en-US"/>
        </w:rPr>
        <w:t xml:space="preserve">A májra kifejtett hatások: </w:t>
      </w:r>
      <w:r>
        <w:rPr>
          <w:szCs w:val="22"/>
          <w:lang w:val="hu-HU"/>
        </w:rPr>
        <w:t>Más HMG-CoA-reduktáz</w:t>
      </w:r>
      <w:r>
        <w:rPr>
          <w:szCs w:val="22"/>
          <w:lang w:val="hu-HU"/>
        </w:rPr>
        <w:noBreakHyphen/>
        <w:t>gátlókhoz hasonlóan, kevés számú, rozuvasztatint szedő betegnél is megfigyelték a szérum transzaminázok dózisfüggő emelkedését; ez az esetek zömében enyhe, tünetmentes és átmeneti volt.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:rsidR="00A00261" w:rsidRDefault="00087B68">
      <w:pPr>
        <w:keepNext/>
        <w:rPr>
          <w:szCs w:val="22"/>
          <w:lang w:val="hu-HU"/>
        </w:rPr>
      </w:pPr>
      <w:r>
        <w:rPr>
          <w:szCs w:val="22"/>
          <w:lang w:val="hu-HU"/>
        </w:rPr>
        <w:t>A következő nemkívánatos hatásokról számoltak be egyes sztatinokkal kapcsolatban:</w:t>
      </w:r>
    </w:p>
    <w:p w:rsidR="00A00261" w:rsidRDefault="00087B68">
      <w:pPr>
        <w:tabs>
          <w:tab w:val="left" w:pos="567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 nemi működések zavara;</w:t>
      </w:r>
    </w:p>
    <w:p w:rsidR="00A00261" w:rsidRDefault="00087B68">
      <w:pPr>
        <w:tabs>
          <w:tab w:val="left" w:pos="567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interstitialis tüdőbetegség – kivételes esetekben, mindenekelőtt hosszú távú kezelés során (lásd 4.4 pont).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rhabdomyolysis, valamint a súlyos vese- és májszövődmények (főként a májtranszaminázok emelkedett szintje) bejelentési gyakorisága a 40 mg-os dózis alkalmazásakor nagyobb.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Gyermekek és serdülők</w:t>
      </w:r>
    </w:p>
    <w:p w:rsidR="00A00261" w:rsidRDefault="00087B68">
      <w:pPr>
        <w:pStyle w:val="Normal1"/>
        <w:rPr>
          <w:b/>
          <w:bCs/>
          <w:color w:val="auto"/>
          <w:sz w:val="22"/>
          <w:szCs w:val="22"/>
          <w:lang w:val="hu-HU"/>
        </w:rPr>
      </w:pPr>
      <w:r>
        <w:rPr>
          <w:bCs/>
          <w:color w:val="auto"/>
          <w:sz w:val="22"/>
          <w:szCs w:val="22"/>
          <w:lang w:val="hu-HU"/>
        </w:rPr>
        <w:t>A kreatin-kináz</w:t>
      </w:r>
      <w:r>
        <w:rPr>
          <w:bCs/>
          <w:color w:val="auto"/>
          <w:sz w:val="22"/>
          <w:szCs w:val="22"/>
          <w:lang w:val="hu-HU"/>
        </w:rPr>
        <w:noBreakHyphen/>
        <w:t xml:space="preserve">szint </w:t>
      </w:r>
      <w:r>
        <w:rPr>
          <w:color w:val="auto"/>
          <w:sz w:val="22"/>
          <w:szCs w:val="22"/>
          <w:lang w:val="hu-HU"/>
        </w:rPr>
        <w:t xml:space="preserve">&gt; 10×ULN </w:t>
      </w:r>
      <w:r>
        <w:rPr>
          <w:bCs/>
          <w:color w:val="auto"/>
          <w:sz w:val="22"/>
          <w:szCs w:val="22"/>
          <w:lang w:val="hu-HU"/>
        </w:rPr>
        <w:t xml:space="preserve">emelkedését </w:t>
      </w:r>
      <w:r>
        <w:rPr>
          <w:color w:val="auto"/>
          <w:sz w:val="22"/>
          <w:szCs w:val="22"/>
          <w:lang w:val="hu-HU"/>
        </w:rPr>
        <w:t>és mozgás vagy fokozott fizikai aktivitást követően jelentkező izomtüneteket gyakrabban figyeltek meg egy 52 hetes,</w:t>
      </w:r>
      <w:r>
        <w:rPr>
          <w:b/>
          <w:bCs/>
          <w:color w:val="auto"/>
          <w:sz w:val="22"/>
          <w:szCs w:val="22"/>
          <w:lang w:val="hu-HU"/>
        </w:rPr>
        <w:t xml:space="preserve"> </w:t>
      </w:r>
      <w:r>
        <w:rPr>
          <w:color w:val="auto"/>
          <w:sz w:val="22"/>
          <w:szCs w:val="22"/>
          <w:lang w:val="hu-HU"/>
        </w:rPr>
        <w:t xml:space="preserve">gyermekek és serdülők körében végzett klinikai vizsgálatban, mint felnőtteknél (lásd 4.4 pont). Más szempontból, a rozuvasztatin </w:t>
      </w:r>
      <w:r>
        <w:rPr>
          <w:color w:val="auto"/>
          <w:sz w:val="22"/>
          <w:szCs w:val="22"/>
          <w:lang w:val="hu-HU"/>
        </w:rPr>
        <w:lastRenderedPageBreak/>
        <w:t>biztonságossági jellemzői gyermekek és serdülők esetében is hasonlók voltak, mint felnőtteknél.</w:t>
      </w:r>
    </w:p>
    <w:p w:rsidR="00A00261" w:rsidRDefault="00A00261">
      <w:pPr>
        <w:widowControl w:val="0"/>
        <w:tabs>
          <w:tab w:val="left" w:pos="567"/>
        </w:tabs>
        <w:rPr>
          <w:bCs/>
          <w:iCs/>
          <w:szCs w:val="22"/>
          <w:u w:val="single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b/>
          <w:iCs/>
          <w:szCs w:val="22"/>
          <w:u w:val="single"/>
          <w:lang w:val="hu-HU" w:eastAsia="en-US"/>
        </w:rPr>
      </w:pPr>
      <w:r>
        <w:rPr>
          <w:b/>
          <w:iCs/>
          <w:szCs w:val="22"/>
          <w:u w:val="single"/>
          <w:lang w:val="hu-HU" w:eastAsia="en-US"/>
        </w:rPr>
        <w:t>További információ az indapamiddal kapcsolatban</w:t>
      </w:r>
    </w:p>
    <w:p w:rsidR="00A00261" w:rsidRDefault="00A00261">
      <w:pPr>
        <w:widowControl w:val="0"/>
        <w:tabs>
          <w:tab w:val="left" w:pos="567"/>
        </w:tabs>
        <w:rPr>
          <w:i/>
          <w:iCs/>
          <w:szCs w:val="22"/>
          <w:u w:val="single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i/>
          <w:iCs/>
          <w:szCs w:val="22"/>
          <w:u w:val="single"/>
          <w:lang w:val="hu-HU" w:eastAsia="en-US"/>
        </w:rPr>
      </w:pPr>
      <w:r>
        <w:rPr>
          <w:i/>
          <w:iCs/>
          <w:szCs w:val="22"/>
          <w:u w:val="single"/>
          <w:lang w:val="hu-HU" w:eastAsia="en-US"/>
        </w:rPr>
        <w:t>Egyes kiválasztott mellékhatások leírása</w:t>
      </w:r>
    </w:p>
    <w:p w:rsidR="00A00261" w:rsidRDefault="00A00261">
      <w:pPr>
        <w:widowControl w:val="0"/>
        <w:tabs>
          <w:tab w:val="left" w:pos="567"/>
        </w:tabs>
        <w:rPr>
          <w:i/>
          <w:iCs/>
          <w:szCs w:val="22"/>
          <w:u w:val="single"/>
          <w:lang w:val="hu-HU" w:eastAsia="en-US"/>
        </w:rPr>
      </w:pPr>
    </w:p>
    <w:p w:rsidR="00A00261" w:rsidRDefault="00087B68">
      <w:pPr>
        <w:pStyle w:val="Szvegtrzs"/>
        <w:kinsoku w:val="0"/>
        <w:overflowPunct w:val="0"/>
        <w:spacing w:before="28"/>
        <w:rPr>
          <w:lang w:val="hu-HU"/>
        </w:rPr>
      </w:pPr>
      <w:r>
        <w:rPr>
          <w:bCs/>
          <w:spacing w:val="-1"/>
          <w:lang w:val="hu-HU"/>
        </w:rPr>
        <w:t>Az</w:t>
      </w:r>
      <w:r>
        <w:rPr>
          <w:bCs/>
          <w:spacing w:val="-2"/>
          <w:lang w:val="hu-HU"/>
        </w:rPr>
        <w:t xml:space="preserve"> </w:t>
      </w:r>
      <w:r>
        <w:rPr>
          <w:bCs/>
          <w:lang w:val="hu-HU"/>
        </w:rPr>
        <w:t xml:space="preserve">1,5 </w:t>
      </w:r>
      <w:r>
        <w:rPr>
          <w:bCs/>
          <w:spacing w:val="-1"/>
          <w:lang w:val="hu-HU"/>
        </w:rPr>
        <w:t>mg-os</w:t>
      </w:r>
      <w:r>
        <w:rPr>
          <w:bCs/>
          <w:spacing w:val="-2"/>
          <w:lang w:val="hu-HU"/>
        </w:rPr>
        <w:t xml:space="preserve"> </w:t>
      </w:r>
      <w:r>
        <w:rPr>
          <w:bCs/>
          <w:lang w:val="hu-HU"/>
        </w:rPr>
        <w:t xml:space="preserve">és </w:t>
      </w:r>
      <w:r>
        <w:rPr>
          <w:bCs/>
          <w:spacing w:val="-1"/>
          <w:lang w:val="hu-HU"/>
        </w:rPr>
        <w:t>2,5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mg-os</w:t>
      </w:r>
      <w:r>
        <w:rPr>
          <w:bCs/>
          <w:spacing w:val="-5"/>
          <w:lang w:val="hu-HU"/>
        </w:rPr>
        <w:t xml:space="preserve"> </w:t>
      </w:r>
      <w:r>
        <w:rPr>
          <w:bCs/>
          <w:spacing w:val="-1"/>
          <w:lang w:val="hu-HU"/>
        </w:rPr>
        <w:t>indapamid-adagot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összehasonlító</w:t>
      </w:r>
      <w:r>
        <w:rPr>
          <w:bCs/>
          <w:spacing w:val="-3"/>
          <w:lang w:val="hu-HU"/>
        </w:rPr>
        <w:t xml:space="preserve"> </w:t>
      </w:r>
      <w:r>
        <w:rPr>
          <w:bCs/>
          <w:lang w:val="hu-HU"/>
        </w:rPr>
        <w:t>II.</w:t>
      </w:r>
      <w:r>
        <w:rPr>
          <w:bCs/>
          <w:spacing w:val="-3"/>
          <w:lang w:val="hu-HU"/>
        </w:rPr>
        <w:t xml:space="preserve"> </w:t>
      </w:r>
      <w:r>
        <w:rPr>
          <w:bCs/>
          <w:lang w:val="hu-HU"/>
        </w:rPr>
        <w:t>és</w:t>
      </w:r>
      <w:r>
        <w:rPr>
          <w:bCs/>
          <w:spacing w:val="-1"/>
          <w:lang w:val="hu-HU"/>
        </w:rPr>
        <w:t xml:space="preserve"> III.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fázisú vizsgálatok</w:t>
      </w:r>
      <w:r>
        <w:rPr>
          <w:bCs/>
          <w:spacing w:val="-3"/>
          <w:lang w:val="hu-HU"/>
        </w:rPr>
        <w:t xml:space="preserve"> </w:t>
      </w:r>
      <w:r>
        <w:rPr>
          <w:bCs/>
          <w:lang w:val="hu-HU"/>
        </w:rPr>
        <w:t>során</w:t>
      </w:r>
      <w:r>
        <w:rPr>
          <w:bCs/>
          <w:spacing w:val="-3"/>
          <w:lang w:val="hu-HU"/>
        </w:rPr>
        <w:t xml:space="preserve"> </w:t>
      </w:r>
      <w:r>
        <w:rPr>
          <w:bCs/>
          <w:lang w:val="hu-HU"/>
        </w:rPr>
        <w:t xml:space="preserve">a </w:t>
      </w:r>
      <w:r>
        <w:rPr>
          <w:bCs/>
          <w:spacing w:val="-1"/>
          <w:lang w:val="hu-HU"/>
        </w:rPr>
        <w:t>plazma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káliumszintjének</w:t>
      </w:r>
      <w:r>
        <w:rPr>
          <w:bCs/>
          <w:spacing w:val="-4"/>
          <w:lang w:val="hu-HU"/>
        </w:rPr>
        <w:t xml:space="preserve"> </w:t>
      </w:r>
      <w:r>
        <w:rPr>
          <w:bCs/>
          <w:spacing w:val="-1"/>
          <w:lang w:val="hu-HU"/>
        </w:rPr>
        <w:t>elemzése</w:t>
      </w:r>
      <w:r>
        <w:rPr>
          <w:bCs/>
          <w:lang w:val="hu-HU"/>
        </w:rPr>
        <w:t xml:space="preserve"> az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indapamid dózisfüggő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hatását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mutatta</w:t>
      </w:r>
      <w:r>
        <w:rPr>
          <w:bCs/>
          <w:spacing w:val="-5"/>
          <w:lang w:val="hu-HU"/>
        </w:rPr>
        <w:t xml:space="preserve"> </w:t>
      </w:r>
      <w:r>
        <w:rPr>
          <w:bCs/>
          <w:lang w:val="hu-HU"/>
        </w:rPr>
        <w:t>ki:</w:t>
      </w:r>
    </w:p>
    <w:p w:rsidR="00A00261" w:rsidRDefault="00087B68">
      <w:pPr>
        <w:pStyle w:val="Szvegtrzs"/>
        <w:widowControl w:val="0"/>
        <w:numPr>
          <w:ilvl w:val="0"/>
          <w:numId w:val="45"/>
        </w:numPr>
        <w:tabs>
          <w:tab w:val="clear" w:pos="8505"/>
          <w:tab w:val="left" w:pos="536"/>
        </w:tabs>
        <w:kinsoku w:val="0"/>
        <w:overflowPunct w:val="0"/>
        <w:autoSpaceDE w:val="0"/>
        <w:autoSpaceDN w:val="0"/>
        <w:adjustRightInd w:val="0"/>
        <w:ind w:right="158" w:hanging="535"/>
        <w:rPr>
          <w:lang w:val="hu-HU"/>
        </w:rPr>
      </w:pPr>
      <w:r>
        <w:rPr>
          <w:bCs/>
          <w:lang w:val="hu-HU"/>
        </w:rPr>
        <w:t>1,5 mg</w:t>
      </w:r>
      <w:r>
        <w:rPr>
          <w:bCs/>
          <w:spacing w:val="-1"/>
          <w:lang w:val="hu-HU"/>
        </w:rPr>
        <w:t xml:space="preserve"> dózisú indapamid:</w:t>
      </w:r>
      <w:r>
        <w:rPr>
          <w:bCs/>
          <w:spacing w:val="-2"/>
          <w:lang w:val="hu-HU"/>
        </w:rPr>
        <w:t xml:space="preserve"> </w:t>
      </w:r>
      <w:r>
        <w:rPr>
          <w:bCs/>
          <w:lang w:val="hu-HU"/>
        </w:rPr>
        <w:t>A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klinikai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vizsgálatok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alatt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4-6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hetes</w:t>
      </w:r>
      <w:r>
        <w:rPr>
          <w:bCs/>
          <w:lang w:val="hu-HU"/>
        </w:rPr>
        <w:t xml:space="preserve"> </w:t>
      </w:r>
      <w:r>
        <w:rPr>
          <w:bCs/>
          <w:spacing w:val="-2"/>
          <w:lang w:val="hu-HU"/>
        </w:rPr>
        <w:t>kezelés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után hypokalaemiát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(káliumszint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&lt; 3,4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mmol/l)</w:t>
      </w:r>
      <w:r>
        <w:rPr>
          <w:bCs/>
          <w:spacing w:val="-2"/>
          <w:lang w:val="hu-HU"/>
        </w:rPr>
        <w:t xml:space="preserve"> </w:t>
      </w:r>
      <w:r>
        <w:rPr>
          <w:bCs/>
          <w:lang w:val="hu-HU"/>
        </w:rPr>
        <w:t xml:space="preserve">a </w:t>
      </w:r>
      <w:r>
        <w:rPr>
          <w:bCs/>
          <w:spacing w:val="-1"/>
          <w:lang w:val="hu-HU"/>
        </w:rPr>
        <w:t xml:space="preserve">betegek </w:t>
      </w:r>
      <w:r>
        <w:rPr>
          <w:bCs/>
          <w:spacing w:val="-2"/>
          <w:lang w:val="hu-HU"/>
        </w:rPr>
        <w:t>10%-ánál</w:t>
      </w:r>
      <w:r>
        <w:rPr>
          <w:bCs/>
          <w:spacing w:val="3"/>
          <w:lang w:val="hu-HU"/>
        </w:rPr>
        <w:t xml:space="preserve"> </w:t>
      </w:r>
      <w:r>
        <w:rPr>
          <w:bCs/>
          <w:spacing w:val="-1"/>
          <w:lang w:val="hu-HU"/>
        </w:rPr>
        <w:t>észleltek,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illetve</w:t>
      </w:r>
      <w:r>
        <w:rPr>
          <w:bCs/>
          <w:lang w:val="hu-HU"/>
        </w:rPr>
        <w:t xml:space="preserve"> </w:t>
      </w:r>
      <w:r>
        <w:rPr>
          <w:bCs/>
          <w:spacing w:val="-2"/>
          <w:lang w:val="hu-HU"/>
        </w:rPr>
        <w:t>&lt; 3,2</w:t>
      </w:r>
      <w:r>
        <w:rPr>
          <w:bCs/>
          <w:spacing w:val="2"/>
          <w:lang w:val="hu-HU"/>
        </w:rPr>
        <w:t xml:space="preserve"> </w:t>
      </w:r>
      <w:r>
        <w:rPr>
          <w:bCs/>
          <w:spacing w:val="-1"/>
          <w:lang w:val="hu-HU"/>
        </w:rPr>
        <w:t>mmol/l</w:t>
      </w:r>
      <w:r>
        <w:rPr>
          <w:bCs/>
          <w:spacing w:val="1"/>
          <w:lang w:val="hu-HU"/>
        </w:rPr>
        <w:t xml:space="preserve"> </w:t>
      </w:r>
      <w:r>
        <w:rPr>
          <w:bCs/>
          <w:spacing w:val="-1"/>
          <w:lang w:val="hu-HU"/>
        </w:rPr>
        <w:t>értéket</w:t>
      </w:r>
      <w:r>
        <w:rPr>
          <w:bCs/>
          <w:lang w:val="hu-HU"/>
        </w:rPr>
        <w:t xml:space="preserve"> a </w:t>
      </w:r>
      <w:r>
        <w:rPr>
          <w:bCs/>
          <w:spacing w:val="-1"/>
          <w:lang w:val="hu-HU"/>
        </w:rPr>
        <w:t>betegek</w:t>
      </w:r>
      <w:r>
        <w:rPr>
          <w:bCs/>
          <w:spacing w:val="59"/>
          <w:lang w:val="hu-HU"/>
        </w:rPr>
        <w:t xml:space="preserve"> </w:t>
      </w:r>
      <w:r>
        <w:rPr>
          <w:bCs/>
          <w:spacing w:val="-1"/>
          <w:lang w:val="hu-HU"/>
        </w:rPr>
        <w:t>4%-ánál.</w:t>
      </w:r>
      <w:r>
        <w:rPr>
          <w:bCs/>
          <w:lang w:val="hu-HU"/>
        </w:rPr>
        <w:t xml:space="preserve"> 12 </w:t>
      </w:r>
      <w:r>
        <w:rPr>
          <w:bCs/>
          <w:spacing w:val="-1"/>
          <w:lang w:val="hu-HU"/>
        </w:rPr>
        <w:t>hetes kezelés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 xml:space="preserve">után </w:t>
      </w:r>
      <w:r>
        <w:rPr>
          <w:bCs/>
          <w:lang w:val="hu-HU"/>
        </w:rPr>
        <w:t xml:space="preserve">a </w:t>
      </w:r>
      <w:r>
        <w:rPr>
          <w:bCs/>
          <w:spacing w:val="-1"/>
          <w:lang w:val="hu-HU"/>
        </w:rPr>
        <w:t>kálium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plazmaszintjének átlagos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csökkenése</w:t>
      </w:r>
      <w:r>
        <w:rPr>
          <w:bCs/>
          <w:spacing w:val="-2"/>
          <w:lang w:val="hu-HU"/>
        </w:rPr>
        <w:t xml:space="preserve"> </w:t>
      </w:r>
      <w:r>
        <w:rPr>
          <w:bCs/>
          <w:lang w:val="hu-HU"/>
        </w:rPr>
        <w:t xml:space="preserve">0,23 </w:t>
      </w:r>
      <w:r>
        <w:rPr>
          <w:bCs/>
          <w:spacing w:val="-1"/>
          <w:lang w:val="hu-HU"/>
        </w:rPr>
        <w:t>mmol/l</w:t>
      </w:r>
      <w:r>
        <w:rPr>
          <w:bCs/>
          <w:spacing w:val="1"/>
          <w:lang w:val="hu-HU"/>
        </w:rPr>
        <w:t xml:space="preserve"> </w:t>
      </w:r>
      <w:r>
        <w:rPr>
          <w:bCs/>
          <w:spacing w:val="-1"/>
          <w:lang w:val="hu-HU"/>
        </w:rPr>
        <w:t>volt.</w:t>
      </w:r>
    </w:p>
    <w:p w:rsidR="00A00261" w:rsidRDefault="00087B68">
      <w:pPr>
        <w:pStyle w:val="Szvegtrzs"/>
        <w:widowControl w:val="0"/>
        <w:numPr>
          <w:ilvl w:val="0"/>
          <w:numId w:val="45"/>
        </w:numPr>
        <w:tabs>
          <w:tab w:val="clear" w:pos="8505"/>
          <w:tab w:val="left" w:pos="536"/>
        </w:tabs>
        <w:kinsoku w:val="0"/>
        <w:overflowPunct w:val="0"/>
        <w:autoSpaceDE w:val="0"/>
        <w:autoSpaceDN w:val="0"/>
        <w:adjustRightInd w:val="0"/>
        <w:spacing w:before="28" w:line="265" w:lineRule="auto"/>
        <w:ind w:right="103" w:hanging="535"/>
        <w:rPr>
          <w:lang w:val="hu-HU"/>
        </w:rPr>
      </w:pPr>
      <w:r>
        <w:rPr>
          <w:bCs/>
          <w:lang w:val="hu-HU"/>
        </w:rPr>
        <w:t xml:space="preserve">2,5 mg </w:t>
      </w:r>
      <w:r>
        <w:rPr>
          <w:bCs/>
          <w:spacing w:val="-1"/>
          <w:lang w:val="hu-HU"/>
        </w:rPr>
        <w:t>dózisú indapamid:</w:t>
      </w:r>
      <w:r>
        <w:rPr>
          <w:bCs/>
          <w:spacing w:val="-2"/>
          <w:lang w:val="hu-HU"/>
        </w:rPr>
        <w:t xml:space="preserve"> </w:t>
      </w:r>
      <w:r>
        <w:rPr>
          <w:bCs/>
          <w:lang w:val="hu-HU"/>
        </w:rPr>
        <w:t>A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klinikai</w:t>
      </w:r>
      <w:r>
        <w:rPr>
          <w:bCs/>
          <w:spacing w:val="-2"/>
          <w:lang w:val="hu-HU"/>
        </w:rPr>
        <w:t xml:space="preserve"> </w:t>
      </w:r>
      <w:r>
        <w:rPr>
          <w:bCs/>
          <w:spacing w:val="-1"/>
          <w:lang w:val="hu-HU"/>
        </w:rPr>
        <w:t>vizsgálatok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alatt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4-6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hetes kezelés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után hypokalaemiát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(káliumszint</w:t>
      </w:r>
      <w:r>
        <w:rPr>
          <w:bCs/>
          <w:spacing w:val="1"/>
          <w:lang w:val="hu-HU"/>
        </w:rPr>
        <w:t xml:space="preserve"> </w:t>
      </w:r>
      <w:r>
        <w:rPr>
          <w:bCs/>
          <w:spacing w:val="-1"/>
          <w:lang w:val="hu-HU"/>
        </w:rPr>
        <w:t>&lt; 3,4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mmol/l)</w:t>
      </w:r>
      <w:r>
        <w:rPr>
          <w:bCs/>
          <w:spacing w:val="-2"/>
          <w:lang w:val="hu-HU"/>
        </w:rPr>
        <w:t xml:space="preserve"> </w:t>
      </w:r>
      <w:r>
        <w:rPr>
          <w:bCs/>
          <w:lang w:val="hu-HU"/>
        </w:rPr>
        <w:t xml:space="preserve">a </w:t>
      </w:r>
      <w:r>
        <w:rPr>
          <w:bCs/>
          <w:spacing w:val="-1"/>
          <w:lang w:val="hu-HU"/>
        </w:rPr>
        <w:t xml:space="preserve">betegek </w:t>
      </w:r>
      <w:r>
        <w:rPr>
          <w:bCs/>
          <w:spacing w:val="-2"/>
          <w:lang w:val="hu-HU"/>
        </w:rPr>
        <w:t>25%-ánál</w:t>
      </w:r>
      <w:r>
        <w:rPr>
          <w:bCs/>
          <w:spacing w:val="3"/>
          <w:lang w:val="hu-HU"/>
        </w:rPr>
        <w:t xml:space="preserve"> </w:t>
      </w:r>
      <w:r>
        <w:rPr>
          <w:bCs/>
          <w:spacing w:val="-1"/>
          <w:lang w:val="hu-HU"/>
        </w:rPr>
        <w:t>észleltek,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illetve</w:t>
      </w:r>
      <w:r>
        <w:rPr>
          <w:bCs/>
          <w:lang w:val="hu-HU"/>
        </w:rPr>
        <w:t xml:space="preserve"> </w:t>
      </w:r>
      <w:r>
        <w:rPr>
          <w:bCs/>
          <w:spacing w:val="-2"/>
          <w:lang w:val="hu-HU"/>
        </w:rPr>
        <w:t>&lt; 3,2</w:t>
      </w:r>
      <w:r>
        <w:rPr>
          <w:bCs/>
          <w:spacing w:val="2"/>
          <w:lang w:val="hu-HU"/>
        </w:rPr>
        <w:t xml:space="preserve"> </w:t>
      </w:r>
      <w:r>
        <w:rPr>
          <w:bCs/>
          <w:spacing w:val="-1"/>
          <w:lang w:val="hu-HU"/>
        </w:rPr>
        <w:t>mmol/l</w:t>
      </w:r>
      <w:r>
        <w:rPr>
          <w:bCs/>
          <w:spacing w:val="1"/>
          <w:lang w:val="hu-HU"/>
        </w:rPr>
        <w:t xml:space="preserve"> </w:t>
      </w:r>
      <w:r>
        <w:rPr>
          <w:bCs/>
          <w:spacing w:val="-1"/>
          <w:lang w:val="hu-HU"/>
        </w:rPr>
        <w:t>értéket</w:t>
      </w:r>
      <w:r>
        <w:rPr>
          <w:bCs/>
          <w:lang w:val="hu-HU"/>
        </w:rPr>
        <w:t xml:space="preserve"> a </w:t>
      </w:r>
      <w:r>
        <w:rPr>
          <w:bCs/>
          <w:spacing w:val="-1"/>
          <w:lang w:val="hu-HU"/>
        </w:rPr>
        <w:t>betegek</w:t>
      </w:r>
      <w:r>
        <w:rPr>
          <w:bCs/>
          <w:spacing w:val="57"/>
          <w:lang w:val="hu-HU"/>
        </w:rPr>
        <w:t xml:space="preserve"> </w:t>
      </w:r>
      <w:r>
        <w:rPr>
          <w:bCs/>
          <w:spacing w:val="-1"/>
          <w:lang w:val="hu-HU"/>
        </w:rPr>
        <w:t>10%-ánál.</w:t>
      </w:r>
      <w:r>
        <w:rPr>
          <w:bCs/>
          <w:lang w:val="hu-HU"/>
        </w:rPr>
        <w:t xml:space="preserve"> 12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hetes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kezelés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 xml:space="preserve">után </w:t>
      </w:r>
      <w:r>
        <w:rPr>
          <w:bCs/>
          <w:lang w:val="hu-HU"/>
        </w:rPr>
        <w:t xml:space="preserve">a </w:t>
      </w:r>
      <w:r>
        <w:rPr>
          <w:bCs/>
          <w:spacing w:val="-1"/>
          <w:lang w:val="hu-HU"/>
        </w:rPr>
        <w:t>kálium</w:t>
      </w:r>
      <w:r>
        <w:rPr>
          <w:bCs/>
          <w:spacing w:val="1"/>
          <w:lang w:val="hu-HU"/>
        </w:rPr>
        <w:t xml:space="preserve"> </w:t>
      </w:r>
      <w:r>
        <w:rPr>
          <w:bCs/>
          <w:spacing w:val="-1"/>
          <w:lang w:val="hu-HU"/>
        </w:rPr>
        <w:t>plazmaszintjének átlagos</w:t>
      </w:r>
      <w:r>
        <w:rPr>
          <w:bCs/>
          <w:lang w:val="hu-HU"/>
        </w:rPr>
        <w:t xml:space="preserve"> </w:t>
      </w:r>
      <w:r>
        <w:rPr>
          <w:bCs/>
          <w:spacing w:val="-1"/>
          <w:lang w:val="hu-HU"/>
        </w:rPr>
        <w:t>csökkenése</w:t>
      </w:r>
      <w:r>
        <w:rPr>
          <w:bCs/>
          <w:lang w:val="hu-HU"/>
        </w:rPr>
        <w:t xml:space="preserve"> 0,41</w:t>
      </w:r>
      <w:r>
        <w:rPr>
          <w:bCs/>
          <w:spacing w:val="-3"/>
          <w:lang w:val="hu-HU"/>
        </w:rPr>
        <w:t xml:space="preserve"> </w:t>
      </w:r>
      <w:r>
        <w:rPr>
          <w:bCs/>
          <w:spacing w:val="-1"/>
          <w:lang w:val="hu-HU"/>
        </w:rPr>
        <w:t>mmol/l volt.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:rsidR="00A00261" w:rsidRDefault="00087B68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Feltételezett mellékhatások bejelentése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sz w:val="22"/>
            <w:szCs w:val="22"/>
            <w:lang w:val="hu-HU"/>
          </w:rPr>
          <w:t>V. függelékben</w:t>
        </w:r>
      </w:hyperlink>
      <w:r>
        <w:rPr>
          <w:szCs w:val="22"/>
          <w:lang w:val="hu-HU"/>
        </w:rPr>
        <w:t xml:space="preserve"> található elérhetőségek valamelyikén keresztül.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:rsidR="00A00261" w:rsidRDefault="00087B68">
      <w:pPr>
        <w:pStyle w:val="Cmsor2"/>
      </w:pPr>
      <w:r>
        <w:t>4.9</w:t>
      </w:r>
      <w:r>
        <w:tab/>
        <w:t>Túladagolás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Tünetek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Túladagolás esetén a legvalószínűbb mellékhatás a hypotonia, olykor </w:t>
      </w:r>
      <w:r>
        <w:rPr>
          <w:szCs w:val="22"/>
          <w:lang w:val="hu-HU"/>
        </w:rPr>
        <w:t xml:space="preserve">hányingerrel, hányással, izomgörcsökkel, szédüléssel, álmossággal, szellemi zavarodottsággal, oliguriával társul – utóbbi anuriává súlyosbodhat </w:t>
      </w:r>
      <w:r>
        <w:rPr>
          <w:szCs w:val="22"/>
          <w:lang w:val="hu-HU" w:eastAsia="en-US"/>
        </w:rPr>
        <w:t xml:space="preserve">(hypovolaemia következtében). </w:t>
      </w:r>
      <w:r>
        <w:rPr>
          <w:szCs w:val="22"/>
          <w:lang w:val="hu-HU"/>
        </w:rPr>
        <w:t>Só- és vízháztartási zavarok (alacsony nátrium- és káliumszint)</w:t>
      </w:r>
      <w:r>
        <w:rPr>
          <w:szCs w:val="22"/>
          <w:lang w:val="hu-HU" w:eastAsia="en-US"/>
        </w:rPr>
        <w:t xml:space="preserve"> előfordulhatnak.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u w:val="single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Kezelés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 xml:space="preserve">Túladagolás esetére nincs speciális kezelés. Túladagolás esetén tüneti kezelést kell alkalmazni és </w:t>
      </w:r>
      <w:r>
        <w:rPr>
          <w:spacing w:val="-4"/>
          <w:szCs w:val="22"/>
          <w:lang w:val="hu-HU"/>
        </w:rPr>
        <w:t>szükség szerint támogató intézkedéseket tenni. Első intézkedésként a lenyelt gyógyszert gyomormosással</w:t>
      </w:r>
      <w:r>
        <w:rPr>
          <w:spacing w:val="-2"/>
          <w:szCs w:val="22"/>
          <w:lang w:val="hu-HU"/>
        </w:rPr>
        <w:t xml:space="preserve"> és/vagy aktív szén adásával gyorsan el kell távolítani. Ezt követően szakintézményben</w:t>
      </w:r>
      <w:r>
        <w:rPr>
          <w:szCs w:val="22"/>
          <w:lang w:val="hu-HU"/>
        </w:rPr>
        <w:t xml:space="preserve"> helyre kell állítani a folyadék- és elektrolit-háztartás egyensúlyát és ezt mindaddig folytatni kell, amíg annak értékei nem normalizálódnak.</w:t>
      </w:r>
      <w:r>
        <w:rPr>
          <w:szCs w:val="22"/>
          <w:lang w:val="hu-HU" w:eastAsia="en-US"/>
        </w:rPr>
        <w:t xml:space="preserve"> Ha kifejezett hypotonia alakul ki, akkor a beteget hanyatt kell fektetni úgy, hogy a feje mélyebben legyen, mint az alsó végtagjai. Ha szükséges, akkor </w:t>
      </w:r>
      <w:r>
        <w:rPr>
          <w:bCs/>
          <w:iCs/>
          <w:szCs w:val="22"/>
          <w:lang w:val="hu-HU"/>
        </w:rPr>
        <w:t xml:space="preserve">intravénás infúzióban </w:t>
      </w:r>
      <w:r>
        <w:rPr>
          <w:szCs w:val="22"/>
          <w:lang w:val="hu-HU" w:eastAsia="en-US"/>
        </w:rPr>
        <w:t xml:space="preserve">izotóniás nátrium-klorid </w:t>
      </w:r>
      <w:r>
        <w:rPr>
          <w:szCs w:val="22"/>
          <w:lang w:val="hu-HU"/>
        </w:rPr>
        <w:t>adható vagy egyéb volumen-expanziós eljárás alkalmazható</w:t>
      </w:r>
      <w:r>
        <w:rPr>
          <w:szCs w:val="22"/>
          <w:lang w:val="hu-HU" w:eastAsia="en-US"/>
        </w:rPr>
        <w:t xml:space="preserve">. </w:t>
      </w:r>
      <w:r>
        <w:rPr>
          <w:szCs w:val="22"/>
          <w:lang w:val="hu-HU"/>
        </w:rPr>
        <w:t>A májfunkciót és a CK</w:t>
      </w:r>
      <w:r>
        <w:rPr>
          <w:szCs w:val="22"/>
          <w:lang w:val="hu-HU"/>
        </w:rPr>
        <w:noBreakHyphen/>
        <w:t>szintet monitorozni kell.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perindoprilát – a perindopril aktív formája – </w:t>
      </w:r>
      <w:r>
        <w:rPr>
          <w:szCs w:val="22"/>
          <w:lang w:val="hu-HU"/>
        </w:rPr>
        <w:t>dializálható (lásd 5.2 pont)</w:t>
      </w:r>
      <w:r>
        <w:rPr>
          <w:szCs w:val="22"/>
          <w:lang w:val="hu-HU" w:eastAsia="en-US"/>
        </w:rPr>
        <w:t>. A rozuvasztatin esetében valószínűtlen, hogy a hemodialízis előnyösnek bizonyul.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pStyle w:val="Cmsor1"/>
        <w:keepNext/>
      </w:pPr>
      <w:r>
        <w:t>5.</w:t>
      </w:r>
      <w:r>
        <w:tab/>
        <w:t>FARMAKOLÓGIAI TULAJDONSÁGOK</w:t>
      </w:r>
    </w:p>
    <w:p w:rsidR="00A00261" w:rsidRDefault="00A00261">
      <w:pPr>
        <w:rPr>
          <w:lang w:val="hu-HU"/>
        </w:rPr>
      </w:pPr>
    </w:p>
    <w:p w:rsidR="00A00261" w:rsidRDefault="00087B68">
      <w:pPr>
        <w:pStyle w:val="Cmsor2"/>
      </w:pPr>
      <w:r>
        <w:t>5.1</w:t>
      </w:r>
      <w:r>
        <w:tab/>
        <w:t>Farmakodinámiás tulajdonságok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Farmakoterápiás csoport: Lipidszintet módosító anyagok, Lipidszintet módosító anyagok, kombinációk, ATC kód: C10BX13.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 w:eastAsia="en-US"/>
        </w:rPr>
      </w:pPr>
      <w:r>
        <w:rPr>
          <w:bCs/>
          <w:szCs w:val="22"/>
          <w:lang w:val="hu-HU" w:eastAsia="en-US"/>
        </w:rPr>
        <w:t>A Roxiper filmtabletta a perindopril-terc-butil-amin (</w:t>
      </w:r>
      <w:r>
        <w:rPr>
          <w:szCs w:val="22"/>
          <w:lang w:val="hu-HU" w:eastAsia="en-US"/>
        </w:rPr>
        <w:t>angiotenzin-konvertáló enzimgátló), az indapamid (klórszulfamoil vízhajtó) és a rozuvasztatin (szelektív és kompetitív HMG-</w:t>
      </w:r>
      <w:r>
        <w:rPr>
          <w:szCs w:val="22"/>
          <w:lang w:val="hu-HU" w:eastAsia="en-US"/>
        </w:rPr>
        <w:noBreakHyphen/>
        <w:t>CoA</w:t>
      </w:r>
      <w:r>
        <w:rPr>
          <w:szCs w:val="22"/>
          <w:lang w:val="hu-HU" w:eastAsia="en-US"/>
        </w:rPr>
        <w:noBreakHyphen/>
        <w:t>reduktáz</w:t>
      </w:r>
      <w:r>
        <w:rPr>
          <w:szCs w:val="22"/>
          <w:lang w:val="hu-HU" w:eastAsia="en-US"/>
        </w:rPr>
        <w:noBreakHyphen/>
        <w:t>gátló) kombinációja.</w:t>
      </w:r>
      <w:r>
        <w:rPr>
          <w:bCs/>
          <w:szCs w:val="22"/>
          <w:lang w:val="hu-HU" w:eastAsia="en-US"/>
        </w:rPr>
        <w:t xml:space="preserve"> Farmakológiai tulajdonságai az egyes összetevők saját </w:t>
      </w:r>
      <w:r>
        <w:rPr>
          <w:bCs/>
          <w:szCs w:val="22"/>
          <w:lang w:val="hu-HU" w:eastAsia="en-US"/>
        </w:rPr>
        <w:lastRenderedPageBreak/>
        <w:t>farmakológiai tulajdonságaiból származnak, ezekhez hozzáadódik a perindopril és indapamid kombinálásából eredő, additív-szinergista hatás</w:t>
      </w:r>
      <w:r>
        <w:rPr>
          <w:szCs w:val="22"/>
          <w:lang w:val="hu-HU" w:eastAsia="en-US"/>
        </w:rPr>
        <w:t>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keepNext/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Hatásmechanizmus</w:t>
      </w:r>
    </w:p>
    <w:p w:rsidR="00A00261" w:rsidRDefault="00A00261">
      <w:pPr>
        <w:keepNext/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</w:p>
    <w:p w:rsidR="00A00261" w:rsidRDefault="00087B68">
      <w:pPr>
        <w:keepNext/>
        <w:widowControl w:val="0"/>
        <w:autoSpaceDE w:val="0"/>
        <w:autoSpaceDN w:val="0"/>
        <w:adjustRightInd w:val="0"/>
        <w:rPr>
          <w:i/>
          <w:szCs w:val="22"/>
          <w:u w:val="single"/>
          <w:lang w:val="hu-HU"/>
        </w:rPr>
      </w:pPr>
      <w:r>
        <w:rPr>
          <w:i/>
          <w:szCs w:val="22"/>
          <w:u w:val="single"/>
          <w:lang w:val="hu-HU"/>
        </w:rPr>
        <w:t>A perindoprilre vonatkozóan</w:t>
      </w:r>
    </w:p>
    <w:p w:rsidR="00A00261" w:rsidRDefault="00087B68">
      <w:pPr>
        <w:tabs>
          <w:tab w:val="left" w:pos="0"/>
          <w:tab w:val="left" w:pos="284"/>
        </w:tabs>
        <w:rPr>
          <w:szCs w:val="22"/>
          <w:lang w:val="hu-HU" w:eastAsia="en-US"/>
        </w:rPr>
      </w:pPr>
      <w:r>
        <w:rPr>
          <w:spacing w:val="-2"/>
          <w:szCs w:val="22"/>
          <w:lang w:val="hu-HU" w:eastAsia="en-US"/>
        </w:rPr>
        <w:t>A perindopril az angiotenzin I-et angiotenzin II-vé – érösszehúzó hatású anyaggá – átalakító angiotenzin</w:t>
      </w:r>
      <w:r>
        <w:rPr>
          <w:spacing w:val="-2"/>
          <w:szCs w:val="22"/>
          <w:lang w:val="hu-HU" w:eastAsia="en-US"/>
        </w:rPr>
        <w:noBreakHyphen/>
        <w:t xml:space="preserve">konvertáló enzim inhibitora (ACE-gátló). Ezen felül, az enzim serkenti a mellékvesekéreg </w:t>
      </w:r>
      <w:r>
        <w:rPr>
          <w:spacing w:val="-2"/>
          <w:szCs w:val="22"/>
          <w:lang w:val="hu-HU"/>
        </w:rPr>
        <w:t>aldoszteron-</w:t>
      </w:r>
      <w:r>
        <w:rPr>
          <w:szCs w:val="22"/>
          <w:lang w:val="hu-HU"/>
        </w:rPr>
        <w:t>szekrécióját, és elősegíti az értágító hatású bradikinin lebontását inaktív heptapeptidekké</w:t>
      </w:r>
      <w:r>
        <w:rPr>
          <w:szCs w:val="22"/>
          <w:lang w:val="hu-HU" w:eastAsia="en-US"/>
        </w:rPr>
        <w:t>.</w:t>
      </w:r>
    </w:p>
    <w:p w:rsidR="00A00261" w:rsidRDefault="00A00261">
      <w:pPr>
        <w:tabs>
          <w:tab w:val="left" w:pos="0"/>
          <w:tab w:val="left" w:pos="284"/>
        </w:tabs>
        <w:rPr>
          <w:szCs w:val="22"/>
          <w:lang w:val="hu-HU" w:eastAsia="en-US"/>
        </w:rPr>
      </w:pPr>
    </w:p>
    <w:p w:rsidR="00A00261" w:rsidRDefault="00087B68">
      <w:pPr>
        <w:tabs>
          <w:tab w:val="left" w:pos="0"/>
          <w:tab w:val="left" w:pos="284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Ennek eredményeként:</w:t>
      </w:r>
    </w:p>
    <w:p w:rsidR="00A00261" w:rsidRDefault="00087B68">
      <w:pPr>
        <w:pStyle w:val="EMEAEnBodyText"/>
        <w:numPr>
          <w:ilvl w:val="0"/>
          <w:numId w:val="13"/>
        </w:numPr>
        <w:spacing w:before="0" w:after="0"/>
        <w:jc w:val="left"/>
        <w:rPr>
          <w:szCs w:val="22"/>
          <w:lang w:val="hu-HU"/>
        </w:rPr>
      </w:pPr>
      <w:r>
        <w:rPr>
          <w:szCs w:val="22"/>
          <w:lang w:val="hu-HU"/>
        </w:rPr>
        <w:t>csökken az aldoszteron-szekréció,</w:t>
      </w:r>
    </w:p>
    <w:p w:rsidR="00A00261" w:rsidRDefault="00087B68">
      <w:pPr>
        <w:pStyle w:val="EMEAEnBodyText"/>
        <w:numPr>
          <w:ilvl w:val="0"/>
          <w:numId w:val="13"/>
        </w:numPr>
        <w:spacing w:before="0" w:after="0"/>
        <w:jc w:val="left"/>
        <w:rPr>
          <w:szCs w:val="22"/>
          <w:lang w:val="hu-HU"/>
        </w:rPr>
      </w:pPr>
      <w:r>
        <w:rPr>
          <w:szCs w:val="22"/>
          <w:lang w:val="hu-HU"/>
        </w:rPr>
        <w:t>nő a plazma reninaktivitása, mert az aldoszteron többé már nem fejt ki negatív feedback hatást,</w:t>
      </w:r>
    </w:p>
    <w:p w:rsidR="00A00261" w:rsidRDefault="00087B68">
      <w:pPr>
        <w:numPr>
          <w:ilvl w:val="0"/>
          <w:numId w:val="13"/>
        </w:numPr>
        <w:rPr>
          <w:szCs w:val="22"/>
          <w:lang w:val="hu-HU"/>
        </w:rPr>
      </w:pPr>
      <w:r>
        <w:rPr>
          <w:szCs w:val="22"/>
          <w:lang w:val="hu-HU"/>
        </w:rPr>
        <w:t>csökken a teljes perifériás ellenállás, elsődlegesen az izmok és a vesék ereire kifejtett hatás miatt, amit a krónikus kezelés során nem kísér só- és vízretenció vagy reflex-tachycardia.</w:t>
      </w:r>
    </w:p>
    <w:p w:rsidR="00A00261" w:rsidRDefault="00087B68">
      <w:pPr>
        <w:pStyle w:val="llb"/>
        <w:rPr>
          <w:szCs w:val="22"/>
          <w:lang w:val="hu-HU" w:eastAsia="en-US"/>
        </w:rPr>
      </w:pPr>
      <w:r>
        <w:rPr>
          <w:szCs w:val="22"/>
          <w:lang w:val="hu-HU" w:eastAsia="en-US"/>
        </w:rPr>
        <w:t>A perindopril vérnyomáscsökkentő hatása érvényesül alacsony vagy normális reninkoncentrációjú betegeknél egyaránt.</w:t>
      </w:r>
    </w:p>
    <w:p w:rsidR="00A00261" w:rsidRDefault="00A00261">
      <w:pPr>
        <w:pStyle w:val="llb"/>
        <w:rPr>
          <w:szCs w:val="22"/>
          <w:lang w:val="hu-HU" w:eastAsia="en-US"/>
        </w:rPr>
      </w:pPr>
    </w:p>
    <w:p w:rsidR="00A00261" w:rsidRDefault="00087B68">
      <w:pPr>
        <w:pStyle w:val="llb"/>
        <w:rPr>
          <w:szCs w:val="22"/>
          <w:lang w:val="hu-HU" w:eastAsia="en-US"/>
        </w:rPr>
      </w:pPr>
      <w:r>
        <w:rPr>
          <w:szCs w:val="22"/>
          <w:lang w:val="hu-HU" w:eastAsia="en-US"/>
        </w:rPr>
        <w:t>A perindopril aktív metabolitján, a perindopriláton keresztül hat, a többi metabolitja inaktív.</w:t>
      </w:r>
    </w:p>
    <w:p w:rsidR="00A00261" w:rsidRDefault="00087B68">
      <w:pPr>
        <w:pStyle w:val="llb"/>
        <w:rPr>
          <w:szCs w:val="22"/>
          <w:lang w:val="hu-HU" w:eastAsia="en-US"/>
        </w:rPr>
      </w:pPr>
      <w:r>
        <w:rPr>
          <w:szCs w:val="22"/>
          <w:lang w:val="hu-HU" w:eastAsia="en-US"/>
        </w:rPr>
        <w:t>A perindopril csökkenti a szív munkáját:</w:t>
      </w:r>
    </w:p>
    <w:p w:rsidR="00A00261" w:rsidRDefault="00087B68">
      <w:pPr>
        <w:numPr>
          <w:ilvl w:val="0"/>
          <w:numId w:val="12"/>
        </w:numPr>
        <w:rPr>
          <w:szCs w:val="22"/>
          <w:lang w:val="hu-HU" w:eastAsia="en-US"/>
        </w:rPr>
      </w:pPr>
      <w:r>
        <w:rPr>
          <w:szCs w:val="22"/>
          <w:lang w:val="hu-HU" w:eastAsia="en-US"/>
        </w:rPr>
        <w:t>a vénákra kifejtett értágító hatás következtében – amit valószínűleg a prosztaglandinok metabolizmusának a megváltozása okoz – csökken az előterhelés (preload);</w:t>
      </w:r>
    </w:p>
    <w:p w:rsidR="00A00261" w:rsidRDefault="00087B68">
      <w:pPr>
        <w:numPr>
          <w:ilvl w:val="0"/>
          <w:numId w:val="12"/>
        </w:numPr>
        <w:tabs>
          <w:tab w:val="left" w:pos="709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 teljes perifériás rezisztencia csökkenése miatt csökken az utóterhelés (afterload).</w:t>
      </w:r>
    </w:p>
    <w:p w:rsidR="00A00261" w:rsidRDefault="00A00261">
      <w:pPr>
        <w:tabs>
          <w:tab w:val="left" w:pos="709"/>
        </w:tabs>
        <w:rPr>
          <w:szCs w:val="22"/>
          <w:lang w:val="hu-HU" w:eastAsia="en-US"/>
        </w:rPr>
      </w:pPr>
    </w:p>
    <w:p w:rsidR="00A00261" w:rsidRDefault="00087B68">
      <w:pPr>
        <w:tabs>
          <w:tab w:val="left" w:pos="709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Szívelégtelenségben szenvedő betegeken elvégzett vizsgálatok szerint:</w:t>
      </w:r>
    </w:p>
    <w:p w:rsidR="00A00261" w:rsidRDefault="00087B68">
      <w:pPr>
        <w:numPr>
          <w:ilvl w:val="0"/>
          <w:numId w:val="14"/>
        </w:numPr>
        <w:rPr>
          <w:szCs w:val="22"/>
          <w:lang w:val="hu-HU" w:eastAsia="en-US"/>
        </w:rPr>
      </w:pPr>
      <w:r>
        <w:rPr>
          <w:szCs w:val="22"/>
          <w:lang w:val="hu-HU" w:eastAsia="en-US"/>
        </w:rPr>
        <w:t>csökkent a bal és a jobb kamrai telődési nyomás,</w:t>
      </w:r>
    </w:p>
    <w:p w:rsidR="00A00261" w:rsidRDefault="00087B68">
      <w:pPr>
        <w:numPr>
          <w:ilvl w:val="0"/>
          <w:numId w:val="14"/>
        </w:numPr>
        <w:rPr>
          <w:szCs w:val="22"/>
          <w:lang w:val="hu-HU" w:eastAsia="en-US"/>
        </w:rPr>
      </w:pPr>
      <w:r>
        <w:rPr>
          <w:szCs w:val="22"/>
          <w:lang w:val="hu-HU" w:eastAsia="en-US"/>
        </w:rPr>
        <w:t>csökkent a teljes perifériás érellenállás,</w:t>
      </w:r>
    </w:p>
    <w:p w:rsidR="00A00261" w:rsidRDefault="00087B68">
      <w:pPr>
        <w:numPr>
          <w:ilvl w:val="0"/>
          <w:numId w:val="14"/>
        </w:numPr>
        <w:tabs>
          <w:tab w:val="left" w:pos="709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nőtt a perctérfogat és javult a szívindex,</w:t>
      </w:r>
    </w:p>
    <w:p w:rsidR="00A00261" w:rsidRDefault="00087B68">
      <w:pPr>
        <w:numPr>
          <w:ilvl w:val="0"/>
          <w:numId w:val="14"/>
        </w:numPr>
        <w:tabs>
          <w:tab w:val="left" w:pos="709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nőtt az izmok regionális véráramlása.</w:t>
      </w:r>
    </w:p>
    <w:p w:rsidR="00A00261" w:rsidRDefault="00087B68">
      <w:pPr>
        <w:tabs>
          <w:tab w:val="left" w:pos="709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 fizikai terhelési próba úgyszintén javulást mutatott.</w:t>
      </w:r>
    </w:p>
    <w:p w:rsidR="00A00261" w:rsidRDefault="00A00261">
      <w:pPr>
        <w:tabs>
          <w:tab w:val="left" w:pos="709"/>
        </w:tabs>
        <w:rPr>
          <w:szCs w:val="22"/>
          <w:lang w:val="hu-HU" w:eastAsia="en-US"/>
        </w:rPr>
      </w:pPr>
    </w:p>
    <w:p w:rsidR="00A00261" w:rsidRDefault="00087B68">
      <w:pPr>
        <w:tabs>
          <w:tab w:val="left" w:pos="709"/>
        </w:tabs>
        <w:rPr>
          <w:i/>
          <w:szCs w:val="22"/>
          <w:u w:val="single"/>
          <w:lang w:val="hu-HU" w:eastAsia="en-US"/>
        </w:rPr>
      </w:pPr>
      <w:r>
        <w:rPr>
          <w:i/>
          <w:szCs w:val="22"/>
          <w:u w:val="single"/>
          <w:lang w:val="hu-HU" w:eastAsia="en-US"/>
        </w:rPr>
        <w:t>Az indapamidra vonatkozóan</w:t>
      </w:r>
    </w:p>
    <w:p w:rsidR="00A00261" w:rsidRDefault="00087B68">
      <w:pPr>
        <w:tabs>
          <w:tab w:val="left" w:pos="284"/>
          <w:tab w:val="left" w:pos="567"/>
          <w:tab w:val="left" w:pos="709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Az indapamid indolgyűrűt tartalmazó szulfonamid-származék, farmakológiai szempontból a tiazid csoportba tartozó vízhajtókkal rokon vegyület. Az indapamid gátolja a nátrium visszaszívódását a vesekéreg dilúciós szegmensében. Fokozza a vizelettel történő nátrium- és klorid-kiválasztást, továbbá kisebb mértékben a kálium- és a magnéziumürítést, ezáltal növeli a vizelet-elválasztást és vérnyomáscsökkentő hatást fejt ki.</w:t>
      </w:r>
    </w:p>
    <w:p w:rsidR="00A00261" w:rsidRDefault="00A00261">
      <w:pPr>
        <w:tabs>
          <w:tab w:val="left" w:pos="284"/>
          <w:tab w:val="left" w:pos="567"/>
          <w:tab w:val="left" w:pos="709"/>
        </w:tabs>
        <w:rPr>
          <w:szCs w:val="22"/>
          <w:lang w:val="hu-HU" w:eastAsia="en-US"/>
        </w:rPr>
      </w:pPr>
    </w:p>
    <w:p w:rsidR="00A00261" w:rsidRDefault="00087B68">
      <w:pPr>
        <w:tabs>
          <w:tab w:val="left" w:pos="284"/>
          <w:tab w:val="left" w:pos="567"/>
          <w:tab w:val="left" w:pos="709"/>
        </w:tabs>
        <w:rPr>
          <w:i/>
          <w:szCs w:val="22"/>
          <w:u w:val="single"/>
          <w:lang w:val="hu-HU" w:eastAsia="en-US"/>
        </w:rPr>
      </w:pPr>
      <w:r>
        <w:rPr>
          <w:i/>
          <w:szCs w:val="22"/>
          <w:u w:val="single"/>
          <w:lang w:val="hu-HU" w:eastAsia="en-US"/>
        </w:rPr>
        <w:t>A rozuvasztatinra vonatkozóan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rozuvasztatin a HMG-CoA-reduktáz szelektív és kompetitív inhibitora. Ez az enzim felelős a 3-hidroxi</w:t>
      </w:r>
      <w:r>
        <w:rPr>
          <w:szCs w:val="22"/>
          <w:lang w:val="hu-HU"/>
        </w:rPr>
        <w:noBreakHyphen/>
        <w:t xml:space="preserve">3-metil-glutaril-koenzim-A átalakulásáért mevalonáttá, azaz a koleszterin előanyagává és az </w:t>
      </w:r>
      <w:r>
        <w:rPr>
          <w:spacing w:val="-2"/>
          <w:szCs w:val="22"/>
          <w:lang w:val="hu-HU"/>
        </w:rPr>
        <w:t>átalakulás sebességének meghatározásáért. A rozuvasztatin hatását elsősorban a májban, a koleszterinszint-</w:t>
      </w:r>
      <w:r>
        <w:rPr>
          <w:szCs w:val="22"/>
          <w:lang w:val="hu-HU"/>
        </w:rPr>
        <w:t>csökkentés célszervében fejti ki.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rozuvasztatin a májban növeli a sejtek felszínén található LDL-receptorok számát, ezáltal fokozza az LDL-koleszterin felvételét és katabolizmusát. Ezen felül, csökkenti a májban a VLDL-koleszterin szintézisét és ily módon az VLDL- és –LDL-részecskék összmennyiségét.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Farmakodinámiás hatások</w:t>
      </w:r>
    </w:p>
    <w:p w:rsidR="00A00261" w:rsidRDefault="00A00261">
      <w:pPr>
        <w:tabs>
          <w:tab w:val="left" w:pos="284"/>
          <w:tab w:val="left" w:pos="567"/>
          <w:tab w:val="left" w:pos="709"/>
        </w:tabs>
        <w:rPr>
          <w:szCs w:val="22"/>
          <w:lang w:val="hu-HU" w:eastAsia="en-US"/>
        </w:rPr>
      </w:pPr>
    </w:p>
    <w:p w:rsidR="00A00261" w:rsidRDefault="00087B68">
      <w:pPr>
        <w:tabs>
          <w:tab w:val="left" w:pos="709"/>
        </w:tabs>
        <w:rPr>
          <w:i/>
          <w:szCs w:val="22"/>
          <w:u w:val="single"/>
          <w:lang w:val="hu-HU" w:eastAsia="en-US"/>
        </w:rPr>
      </w:pPr>
      <w:r>
        <w:rPr>
          <w:i/>
          <w:szCs w:val="22"/>
          <w:u w:val="single"/>
          <w:lang w:val="hu-HU" w:eastAsia="en-US"/>
        </w:rPr>
        <w:t>A perindopril/indapamid kombinációra vonatkozóan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/>
        </w:rPr>
        <w:t>Hypertoniás betegeknél, a p</w:t>
      </w:r>
      <w:r>
        <w:rPr>
          <w:bCs/>
          <w:iCs/>
          <w:szCs w:val="22"/>
          <w:lang w:val="hu-HU"/>
        </w:rPr>
        <w:t>erindopril/indapamid</w:t>
      </w:r>
      <w:r>
        <w:rPr>
          <w:szCs w:val="22"/>
          <w:lang w:val="hu-HU"/>
        </w:rPr>
        <w:t xml:space="preserve"> életkortól függetlenül, dózisfüggően csökkenti mind a diasztolés, mind a szisztolés artériás vérnyomást, fekvő és álló helyzetben egyaránt. Ez az antihipertenzív hatás 24 órán át tart. A vérnyomáscsökkenés kevesebb mint egy hónap alatt kialakul – tachyphylaxia nélkül – és a kezelés leállításakor sem lép fel „rebound” hatás. </w:t>
      </w:r>
      <w:r>
        <w:rPr>
          <w:szCs w:val="22"/>
          <w:lang w:val="hu-HU" w:eastAsia="en-US"/>
        </w:rPr>
        <w:t>A klinikai vizsgálatok során a perindopril és az indapamid együttes alkalmazása szinergikus vérnyomáscsökkentő hatást ért el, a két szer monoterápiás alkalmazásához képest.</w:t>
      </w:r>
    </w:p>
    <w:p w:rsidR="00A00261" w:rsidRDefault="00A00261">
      <w:pPr>
        <w:tabs>
          <w:tab w:val="left" w:pos="709"/>
        </w:tabs>
        <w:rPr>
          <w:szCs w:val="22"/>
          <w:lang w:val="hu-HU" w:eastAsia="en-US"/>
        </w:rPr>
      </w:pPr>
    </w:p>
    <w:p w:rsidR="00A00261" w:rsidRDefault="00087B68">
      <w:pPr>
        <w:tabs>
          <w:tab w:val="left" w:pos="-142"/>
          <w:tab w:val="left" w:pos="284"/>
          <w:tab w:val="left" w:pos="709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 multicentrikus, randomizált, kettős vak, aktívkontrollos PICXEL vizsgálatban az enalapril</w:t>
      </w:r>
      <w:r>
        <w:rPr>
          <w:szCs w:val="22"/>
          <w:lang w:val="hu-HU" w:eastAsia="en-US"/>
        </w:rPr>
        <w:noBreakHyphen/>
        <w:t>monoterápiához viszonyítva, echokardiográfiával mérték fel a perindopril/indapamid kombináció balkamra</w:t>
      </w:r>
      <w:r>
        <w:rPr>
          <w:szCs w:val="22"/>
          <w:lang w:val="hu-HU" w:eastAsia="en-US"/>
        </w:rPr>
        <w:noBreakHyphen/>
        <w:t>hypertrophiára (LVH) kifejtett hatását.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Az egy évig tartó PICXEL vizsgálatban a balkamra</w:t>
      </w:r>
      <w:r>
        <w:rPr>
          <w:szCs w:val="22"/>
          <w:lang w:val="hu-HU" w:eastAsia="en-US"/>
        </w:rPr>
        <w:noBreakHyphen/>
        <w:t xml:space="preserve">hypertrophiás, hypertoniás betegeket (a balkamra </w:t>
      </w:r>
      <w:r>
        <w:rPr>
          <w:spacing w:val="-2"/>
          <w:szCs w:val="22"/>
          <w:lang w:val="hu-HU" w:eastAsia="en-US"/>
        </w:rPr>
        <w:t>hypertrophiát a balkamra tömegindex [LVMI] alapján határozták meg, ami férfiak esetében &gt; 120 g/m</w:t>
      </w:r>
      <w:r>
        <w:rPr>
          <w:spacing w:val="-2"/>
          <w:szCs w:val="22"/>
          <w:vertAlign w:val="superscript"/>
          <w:lang w:val="hu-HU" w:eastAsia="en-US"/>
        </w:rPr>
        <w:t>2</w:t>
      </w:r>
      <w:r>
        <w:rPr>
          <w:spacing w:val="-2"/>
          <w:szCs w:val="22"/>
          <w:lang w:val="hu-HU" w:eastAsia="en-US"/>
        </w:rPr>
        <w:t>,</w:t>
      </w:r>
      <w:r>
        <w:rPr>
          <w:szCs w:val="22"/>
          <w:lang w:val="hu-HU" w:eastAsia="en-US"/>
        </w:rPr>
        <w:t xml:space="preserve"> nők esetében pedig &gt; 100 g/m</w:t>
      </w:r>
      <w:r>
        <w:rPr>
          <w:szCs w:val="22"/>
          <w:vertAlign w:val="superscript"/>
          <w:lang w:val="hu-HU" w:eastAsia="en-US"/>
        </w:rPr>
        <w:t>2</w:t>
      </w:r>
      <w:r>
        <w:rPr>
          <w:szCs w:val="22"/>
          <w:lang w:val="hu-HU" w:eastAsia="en-US"/>
        </w:rPr>
        <w:t xml:space="preserve"> volt) randomizálták egy éven át, napi egyszer adott 2 mg perindoprillel </w:t>
      </w:r>
      <w:r>
        <w:rPr>
          <w:spacing w:val="-2"/>
          <w:szCs w:val="22"/>
          <w:lang w:val="hu-HU" w:eastAsia="en-US"/>
        </w:rPr>
        <w:t>+ 0,625 mg indapamiddal, vagy 10 mg enalaprillel végzett kezelésre. A dózist a vérnyomáskontrolltól függően</w:t>
      </w:r>
      <w:r>
        <w:rPr>
          <w:szCs w:val="22"/>
          <w:lang w:val="hu-HU" w:eastAsia="en-US"/>
        </w:rPr>
        <w:t xml:space="preserve"> módosították maximum napi egyszer adott 8 mg perindopril + 2,5 mg indapamid, vagy </w:t>
      </w:r>
      <w:r>
        <w:rPr>
          <w:spacing w:val="-2"/>
          <w:szCs w:val="22"/>
          <w:lang w:val="hu-HU" w:eastAsia="en-US"/>
        </w:rPr>
        <w:t>maximum napi egyszer 40 mg enalapril adagig. Csak a betegek 34%-a maradt a kiindulási, 2 mg perindopril</w:t>
      </w:r>
      <w:r>
        <w:rPr>
          <w:szCs w:val="22"/>
          <w:lang w:val="hu-HU" w:eastAsia="en-US"/>
        </w:rPr>
        <w:t xml:space="preserve"> + 0,625 mg indapamid adagon (szemben a 10 mg enalapril-kezelésben részesülők 20%-ával).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A kezelés befejezésekor, a teljes randomizált betegpopulációt tekintve, az LVMI szignifikánsan nagyobb mértékben csökkent a perindopril/indapamid</w:t>
      </w:r>
      <w:r>
        <w:rPr>
          <w:szCs w:val="22"/>
          <w:lang w:val="hu-HU" w:eastAsia="en-US"/>
        </w:rPr>
        <w:noBreakHyphen/>
        <w:t>csoportban (-10,1 g/m²), mint az enalaprilcsoportban (-1,1 g/m²). A LVMI változását tekintve, a csoportok közti különbség -8,3 volt (95%-os CI: -11,5, -5,0); p &lt; 0,0001). Az LVMI-re a 8 mg perindopril/2,5 mg indapamid kombináció nagyobb hatással volt.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rPr>
          <w:bCs/>
          <w:iCs/>
          <w:szCs w:val="22"/>
          <w:lang w:val="hu-HU" w:eastAsia="en-US"/>
        </w:rPr>
      </w:pPr>
      <w:r>
        <w:rPr>
          <w:szCs w:val="22"/>
          <w:lang w:val="hu-HU" w:eastAsia="en-US"/>
        </w:rPr>
        <w:t>A</w:t>
      </w:r>
      <w:r>
        <w:rPr>
          <w:bCs/>
          <w:iCs/>
          <w:szCs w:val="22"/>
          <w:lang w:val="hu-HU" w:eastAsia="en-US"/>
        </w:rPr>
        <w:t xml:space="preserve"> randomizált populációban a csoportátlagok közötti, becsült különbség a szisztolés vérnyomás esetében -5,8 Hgmm (95%-os CI: -7,9, -3,7; p &lt; 0,0001), a diasztolés vérnyomás esetében -2,3 Hgmm (95%-os CI: -3,6, -0,9; p = 0,0004) volt, a perindopril/indapamid</w:t>
      </w:r>
      <w:r>
        <w:rPr>
          <w:bCs/>
          <w:iCs/>
          <w:szCs w:val="22"/>
          <w:lang w:val="hu-HU" w:eastAsia="en-US"/>
        </w:rPr>
        <w:noBreakHyphen/>
        <w:t>csoport javára.</w:t>
      </w:r>
    </w:p>
    <w:p w:rsidR="00A00261" w:rsidRDefault="00A00261">
      <w:pPr>
        <w:rPr>
          <w:bCs/>
          <w:iCs/>
          <w:szCs w:val="22"/>
          <w:lang w:val="hu-HU" w:eastAsia="en-US"/>
        </w:rPr>
      </w:pPr>
    </w:p>
    <w:p w:rsidR="00A00261" w:rsidRDefault="00087B68">
      <w:pPr>
        <w:rPr>
          <w:bCs/>
          <w:i/>
          <w:iCs/>
          <w:szCs w:val="22"/>
          <w:u w:val="single"/>
          <w:lang w:val="hu-HU" w:eastAsia="en-US"/>
        </w:rPr>
      </w:pPr>
      <w:r>
        <w:rPr>
          <w:bCs/>
          <w:i/>
          <w:iCs/>
          <w:szCs w:val="22"/>
          <w:u w:val="single"/>
          <w:lang w:val="hu-HU" w:eastAsia="en-US"/>
        </w:rPr>
        <w:t>A perindoprilre vonatkozóan</w:t>
      </w:r>
    </w:p>
    <w:p w:rsidR="00A00261" w:rsidRDefault="00087B68">
      <w:pPr>
        <w:tabs>
          <w:tab w:val="left" w:pos="0"/>
          <w:tab w:val="left" w:pos="284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perindopril a hypertonia mindegyik súlyossági fokozatában, azaz enyhe, közepesen súlyos vagy súlyos esetekben egyaránt hatásos. A szisztolés és a diasztolés vérnyomás csökkenése mind fekvő, mind álló helyzetben megfigyelhető. A vérnyomáscsökkentő hatás az egyszeri adag bevétele után 4 és 6 óra </w:t>
      </w:r>
      <w:r>
        <w:rPr>
          <w:spacing w:val="-2"/>
          <w:szCs w:val="22"/>
          <w:lang w:val="hu-HU" w:eastAsia="en-US"/>
        </w:rPr>
        <w:t>között tetőzik és 24 órán át fennmarad. Az angiotenzin-konvertáló enzim aktivitására kifejtett, reziduális</w:t>
      </w:r>
      <w:r>
        <w:rPr>
          <w:szCs w:val="22"/>
          <w:lang w:val="hu-HU" w:eastAsia="en-US"/>
        </w:rPr>
        <w:t xml:space="preserve"> blokkoló hatás nagyfokú, </w:t>
      </w:r>
      <w:r>
        <w:rPr>
          <w:szCs w:val="22"/>
          <w:lang w:val="hu-HU"/>
        </w:rPr>
        <w:t>24 órán át körülbelül 80%-os.</w:t>
      </w:r>
    </w:p>
    <w:p w:rsidR="00A00261" w:rsidRDefault="00087B68">
      <w:pPr>
        <w:tabs>
          <w:tab w:val="left" w:pos="0"/>
          <w:tab w:val="left" w:pos="284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 gyógyszerre reagáló betegeknél a normális vérnyomás egy hónap után érhető el, és tachyphylaxia nélkül fennmarad.</w:t>
      </w:r>
    </w:p>
    <w:p w:rsidR="00A00261" w:rsidRDefault="00A00261">
      <w:pPr>
        <w:tabs>
          <w:tab w:val="left" w:pos="0"/>
          <w:tab w:val="left" w:pos="284"/>
        </w:tabs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A kezelés leállítása nem jár „rebound” vérnyomás-emelkedéssel.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tabs>
          <w:tab w:val="left" w:pos="0"/>
          <w:tab w:val="left" w:pos="284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perindopril értágító hatású, helyreállítja a nagy artériás törzsek elaszticitását, és a rezisztencia </w:t>
      </w:r>
      <w:r>
        <w:rPr>
          <w:spacing w:val="-2"/>
          <w:szCs w:val="22"/>
          <w:lang w:val="hu-HU" w:eastAsia="en-US"/>
        </w:rPr>
        <w:t>artériákban korrigálja a hisztomorfometriás elváltozásokat, továbbá mérsékli a balkamra</w:t>
      </w:r>
      <w:r>
        <w:rPr>
          <w:spacing w:val="-2"/>
          <w:szCs w:val="22"/>
          <w:lang w:val="hu-HU" w:eastAsia="en-US"/>
        </w:rPr>
        <w:noBreakHyphen/>
        <w:t>hypertrophiát.</w:t>
      </w:r>
    </w:p>
    <w:p w:rsidR="00A00261" w:rsidRDefault="00087B68">
      <w:pPr>
        <w:tabs>
          <w:tab w:val="left" w:pos="0"/>
          <w:tab w:val="left" w:pos="284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Ha szükséges, a tiazid diuretikum hozzáadása additív szinergizmushoz vezet.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Angiotenzin-konvertáló enzimgátló és tiazid diuretikum kombinálása csökkenti a diuretikum</w:t>
      </w:r>
      <w:r>
        <w:rPr>
          <w:szCs w:val="22"/>
          <w:lang w:val="hu-HU" w:eastAsia="en-US"/>
        </w:rPr>
        <w:noBreakHyphen/>
        <w:t>monoterápiával járó hypokalaemia kockázatát.</w:t>
      </w:r>
    </w:p>
    <w:p w:rsidR="00A00261" w:rsidRDefault="00A00261">
      <w:pPr>
        <w:tabs>
          <w:tab w:val="left" w:pos="709"/>
        </w:tabs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/>
        </w:rPr>
      </w:pPr>
      <w:r>
        <w:rPr>
          <w:i/>
          <w:szCs w:val="22"/>
          <w:lang w:val="hu-HU"/>
        </w:rPr>
        <w:t>A renin-angiotenzin-aldoszteron rendszer (RAAS) kettős blokádja, klinikai vizsgálati adatok: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Két nagyszabású, randomizált, kontrollos vizsgálat (ONTARGET [ONgoing Telmisartan Alone and in combination with Ramipril Global Endpoint Trial] és VA NEPHRON-D [The Veterans Affairs Nephropathy in Diabetes]) vizsgálta az ACE-gátló és angiotenzin II</w:t>
      </w:r>
      <w:r>
        <w:rPr>
          <w:szCs w:val="22"/>
          <w:lang w:val="hu-HU"/>
        </w:rPr>
        <w:noBreakHyphen/>
        <w:t>receptor blokkoló kombinált alkalmazását.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Az ONTARGET vizsgálatot olyan betegeken végezték, akiknek a kórtörténetében szív-érrendszeri, vagy agyi érbetegség, vagy célszerv-károsodást okozó 2-es típusú diabetes mellitus szerepelt. A VA NEPHRON</w:t>
      </w:r>
      <w:r>
        <w:rPr>
          <w:szCs w:val="22"/>
          <w:lang w:val="hu-HU"/>
        </w:rPr>
        <w:noBreakHyphen/>
        <w:t>D vizsgálatot 2-es típusú diabetesben és diabeteses nephropathiában szenvedő betegeken végezték.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Ezek a vizsgálatok nem mutattak ki szignifikáns, előnyös hatásokat a renalis és/vagy cardiovascularis kimenetel és a mortalitás vonatkozásában, ugyanakkor a monoterápia során megfigyelthez képest nőtt a hyperkalaemia, az akut veseelégtelenség és/vagy a hypotonia kockázata. A hasonló farmakodinámiás tulajdonságok alapján, ezek az eredmények más ACE-gátlókra és angiotenzin II</w:t>
      </w:r>
      <w:r>
        <w:rPr>
          <w:szCs w:val="22"/>
          <w:lang w:val="hu-HU"/>
        </w:rPr>
        <w:noBreakHyphen/>
        <w:t>receptor</w:t>
      </w:r>
      <w:r>
        <w:rPr>
          <w:szCs w:val="22"/>
          <w:lang w:val="hu-HU"/>
        </w:rPr>
        <w:noBreakHyphen/>
        <w:t>blokkolókra nézve is relevánsak.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Emiatt az ACE-gátlók és angiotenzin II</w:t>
      </w:r>
      <w:r>
        <w:rPr>
          <w:szCs w:val="22"/>
          <w:lang w:val="hu-HU"/>
        </w:rPr>
        <w:noBreakHyphen/>
        <w:t>receptor</w:t>
      </w:r>
      <w:r>
        <w:rPr>
          <w:szCs w:val="22"/>
          <w:lang w:val="hu-HU"/>
        </w:rPr>
        <w:noBreakHyphen/>
        <w:t>blokkolók nem alkalmazhatók egyidejűleg diabeteses nephropathiában szenvedő betegeknél.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lastRenderedPageBreak/>
        <w:t xml:space="preserve">Az ALTITUDE (Aliskiren Trial in Type 2 Diabetes Using Cardiovascular and Renal Disease Endpoints) vizsgálatot arra tervezték, hogy megállapítsák, vajon előnyös-e a standard ACE-gátló- vagy </w:t>
      </w:r>
      <w:r>
        <w:rPr>
          <w:spacing w:val="-2"/>
          <w:szCs w:val="22"/>
          <w:lang w:val="hu-HU"/>
        </w:rPr>
        <w:t>angiotenzin II</w:t>
      </w:r>
      <w:r>
        <w:rPr>
          <w:spacing w:val="-2"/>
          <w:szCs w:val="22"/>
          <w:lang w:val="hu-HU"/>
        </w:rPr>
        <w:noBreakHyphen/>
        <w:t>receptor</w:t>
      </w:r>
      <w:r>
        <w:rPr>
          <w:spacing w:val="-2"/>
          <w:szCs w:val="22"/>
          <w:lang w:val="hu-HU"/>
        </w:rPr>
        <w:noBreakHyphen/>
        <w:t>blokkoló</w:t>
      </w:r>
      <w:r>
        <w:rPr>
          <w:spacing w:val="-2"/>
          <w:szCs w:val="22"/>
          <w:lang w:val="hu-HU"/>
        </w:rPr>
        <w:noBreakHyphen/>
        <w:t xml:space="preserve">kezelést aliszkirénnel kiegészíteni, 2-es típusú diabetesben és krónikus </w:t>
      </w:r>
      <w:r>
        <w:rPr>
          <w:szCs w:val="22"/>
          <w:lang w:val="hu-HU"/>
        </w:rPr>
        <w:t xml:space="preserve">vesebetegségben, illetve szív-érrendszeri betegségben, vagy mindkettőben szenvedő betegeknél. A </w:t>
      </w:r>
      <w:r>
        <w:rPr>
          <w:spacing w:val="-2"/>
          <w:szCs w:val="22"/>
          <w:lang w:val="hu-HU"/>
        </w:rPr>
        <w:t>vizsgálatot idő előtt leállították, mert megnőtt a mellékhatások kockázata. A szív</w:t>
      </w:r>
      <w:r>
        <w:rPr>
          <w:spacing w:val="-2"/>
          <w:szCs w:val="22"/>
          <w:lang w:val="hu-HU"/>
        </w:rPr>
        <w:noBreakHyphen/>
        <w:t>érrendszeri</w:t>
      </w:r>
      <w:r>
        <w:rPr>
          <w:szCs w:val="22"/>
          <w:lang w:val="hu-HU"/>
        </w:rPr>
        <w:t xml:space="preserve"> </w:t>
      </w:r>
      <w:r>
        <w:rPr>
          <w:spacing w:val="-2"/>
          <w:szCs w:val="22"/>
          <w:lang w:val="hu-HU"/>
        </w:rPr>
        <w:t>halálozás és a stroke is nagyobb számban fordult elő az aliszkiréncsoportban, mint a placebocsoportban,</w:t>
      </w:r>
      <w:r>
        <w:rPr>
          <w:szCs w:val="22"/>
          <w:lang w:val="hu-HU"/>
        </w:rPr>
        <w:t xml:space="preserve"> és mellékhatásokról, illetve releváns, súlyos mellékhatásokról (hyperkalaemia, hypotonia és veseműködési zavar) is gyakrabban számoltak be az aliszkiréncsoportban, mint a placebocsoportban.</w:t>
      </w:r>
    </w:p>
    <w:p w:rsidR="00A00261" w:rsidRDefault="00A00261">
      <w:pPr>
        <w:pStyle w:val="llb"/>
        <w:rPr>
          <w:szCs w:val="22"/>
          <w:lang w:val="hu-HU" w:eastAsia="en-US"/>
        </w:rPr>
      </w:pPr>
    </w:p>
    <w:p w:rsidR="00A00261" w:rsidRDefault="00087B68">
      <w:pPr>
        <w:tabs>
          <w:tab w:val="left" w:pos="0"/>
          <w:tab w:val="left" w:pos="284"/>
        </w:tabs>
        <w:rPr>
          <w:i/>
          <w:szCs w:val="22"/>
          <w:u w:val="single"/>
          <w:lang w:val="hu-HU" w:eastAsia="en-US"/>
        </w:rPr>
      </w:pPr>
      <w:r>
        <w:rPr>
          <w:i/>
          <w:szCs w:val="22"/>
          <w:u w:val="single"/>
          <w:lang w:val="hu-HU" w:eastAsia="en-US"/>
        </w:rPr>
        <w:t>Az indapamidra vonatkozóan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A monoterápiaként adott indapamid vérnyomáscsökkentő hatása 24 órán át érvényesül. Ez a hatás már olyan adagoknál is jelentkezik, amelyek diuretikus hatása minimális.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Vérnyomáscsökkentő hatás arányos az artériás compliance javulásával, valamint a teljes és az arteriolás perifériás érellenállás csökkenésével. Az indapamid mérsékli a balkamra</w:t>
      </w:r>
      <w:r>
        <w:rPr>
          <w:szCs w:val="22"/>
          <w:lang w:val="hu-HU" w:eastAsia="en-US"/>
        </w:rPr>
        <w:noBreakHyphen/>
        <w:t>hypertrophiát.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A tiazid diuretikumok és a tiazid-szerű diuretikumok adagját túllépve a vérnyomáscsökkentő hatás tetőzik, a mellékhatások száma azonban tovább nő. Ha a kezelés nem hatásos, az adagot nem szabad növelni.</w:t>
      </w:r>
    </w:p>
    <w:p w:rsidR="00A00261" w:rsidRDefault="00087B68">
      <w:pPr>
        <w:tabs>
          <w:tab w:val="left" w:pos="0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Kimutatták továbbá, hogy a hypertoniás betegek esetében az indapamid rövid, közép és hosszú távon:</w:t>
      </w:r>
    </w:p>
    <w:p w:rsidR="00A00261" w:rsidRDefault="00087B68">
      <w:pPr>
        <w:numPr>
          <w:ilvl w:val="0"/>
          <w:numId w:val="15"/>
        </w:numPr>
        <w:tabs>
          <w:tab w:val="clear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nincs hatással a lipidek, vagyis a trigliceridek, az LDL-koleszterin és a HDL-koleszterin anyagcseréjére;</w:t>
      </w:r>
    </w:p>
    <w:p w:rsidR="00A00261" w:rsidRDefault="00087B68">
      <w:pPr>
        <w:numPr>
          <w:ilvl w:val="0"/>
          <w:numId w:val="15"/>
        </w:numPr>
        <w:tabs>
          <w:tab w:val="clear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nincs hatással a szénhidrát-anyagcserére – még cukorbeteg hypertoniás betegeknél sem.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tabs>
          <w:tab w:val="left" w:pos="0"/>
          <w:tab w:val="left" w:pos="284"/>
        </w:tabs>
        <w:rPr>
          <w:i/>
          <w:szCs w:val="22"/>
          <w:u w:val="single"/>
          <w:lang w:val="hu-HU" w:eastAsia="en-US"/>
        </w:rPr>
      </w:pPr>
      <w:r>
        <w:rPr>
          <w:i/>
          <w:szCs w:val="22"/>
          <w:u w:val="single"/>
          <w:lang w:val="hu-HU" w:eastAsia="en-US"/>
        </w:rPr>
        <w:t>A rozuvasztatinra vonatkozóan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rozuvasztatin csökkenti az emelkedett LDL-koleszterin-, összkoleszterin- és triglicerid szintet, valamint emeli a HDL-koleszterin szintjét. Csökkenti továbbá az ApoB-, a nem-HDL-C-, a VLDL-C-, a VLDL-TG-szintet, és emeli az ApoA-I-szintet (lásd 3. táblázat). A rozuvasztatin ezen felül csökkenti az LDL-C/HDL-C, az össz C/HDL-C, a nem-HDL-C/HDL-C és az ApoB/ApoA-I hányadosokat is.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pStyle w:val="WW-Hivatkozsjegyzk-fej"/>
        <w:keepNext/>
        <w:spacing w:before="0"/>
        <w:ind w:left="1440" w:hanging="1440"/>
        <w:rPr>
          <w:rFonts w:ascii="Times New Roman" w:hAnsi="Times New Roman" w:cs="Times New Roman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 táblázat: </w:t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bCs w:val="0"/>
          <w:color w:val="auto"/>
          <w:sz w:val="22"/>
          <w:szCs w:val="22"/>
        </w:rPr>
        <w:t>Dózis-hatás összefüggés primaer hypercholesterinaemiás (IIa és IIb típusú) betegeknél (a kiindulási értéktől mért, korrigált átlagos százalékos változás).</w:t>
      </w:r>
    </w:p>
    <w:p w:rsidR="00A00261" w:rsidRDefault="00A00261">
      <w:pPr>
        <w:rPr>
          <w:szCs w:val="22"/>
          <w:lang w:val="hu-HU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3"/>
        <w:gridCol w:w="834"/>
        <w:gridCol w:w="1073"/>
        <w:gridCol w:w="954"/>
        <w:gridCol w:w="1073"/>
        <w:gridCol w:w="597"/>
        <w:gridCol w:w="1667"/>
        <w:gridCol w:w="835"/>
        <w:gridCol w:w="1086"/>
      </w:tblGrid>
      <w:tr w:rsidR="00A00261">
        <w:trPr>
          <w:cantSplit/>
        </w:trPr>
        <w:tc>
          <w:tcPr>
            <w:tcW w:w="960" w:type="dxa"/>
          </w:tcPr>
          <w:p w:rsidR="00A00261" w:rsidRDefault="00087B68">
            <w:pPr>
              <w:jc w:val="center"/>
              <w:rPr>
                <w:b/>
                <w:szCs w:val="22"/>
                <w:lang w:val="hu-HU"/>
              </w:rPr>
            </w:pPr>
            <w:r>
              <w:rPr>
                <w:b/>
                <w:szCs w:val="22"/>
                <w:lang w:val="hu-HU"/>
              </w:rPr>
              <w:t>Adag</w:t>
            </w:r>
          </w:p>
        </w:tc>
        <w:tc>
          <w:tcPr>
            <w:tcW w:w="840" w:type="dxa"/>
          </w:tcPr>
          <w:p w:rsidR="00A00261" w:rsidRDefault="00087B68">
            <w:pPr>
              <w:jc w:val="center"/>
              <w:rPr>
                <w:b/>
                <w:szCs w:val="22"/>
                <w:lang w:val="hu-HU"/>
              </w:rPr>
            </w:pPr>
            <w:r>
              <w:rPr>
                <w:b/>
                <w:szCs w:val="22"/>
                <w:lang w:val="hu-HU"/>
              </w:rPr>
              <w:t>N</w:t>
            </w:r>
          </w:p>
        </w:tc>
        <w:tc>
          <w:tcPr>
            <w:tcW w:w="1080" w:type="dxa"/>
          </w:tcPr>
          <w:p w:rsidR="00A00261" w:rsidRDefault="00087B68">
            <w:pPr>
              <w:jc w:val="center"/>
              <w:rPr>
                <w:b/>
                <w:szCs w:val="22"/>
                <w:lang w:val="hu-HU"/>
              </w:rPr>
            </w:pPr>
            <w:r>
              <w:rPr>
                <w:b/>
                <w:szCs w:val="22"/>
                <w:lang w:val="hu-HU"/>
              </w:rPr>
              <w:t>LDL-C</w:t>
            </w:r>
          </w:p>
        </w:tc>
        <w:tc>
          <w:tcPr>
            <w:tcW w:w="960" w:type="dxa"/>
          </w:tcPr>
          <w:p w:rsidR="00A00261" w:rsidRDefault="00087B68">
            <w:pPr>
              <w:jc w:val="center"/>
              <w:rPr>
                <w:b/>
                <w:szCs w:val="22"/>
                <w:lang w:val="hu-HU"/>
              </w:rPr>
            </w:pPr>
            <w:r>
              <w:rPr>
                <w:b/>
                <w:szCs w:val="22"/>
                <w:lang w:val="hu-HU"/>
              </w:rPr>
              <w:t>Össz-C</w:t>
            </w:r>
          </w:p>
        </w:tc>
        <w:tc>
          <w:tcPr>
            <w:tcW w:w="1080" w:type="dxa"/>
          </w:tcPr>
          <w:p w:rsidR="00A00261" w:rsidRDefault="00087B68">
            <w:pPr>
              <w:jc w:val="center"/>
              <w:rPr>
                <w:b/>
                <w:szCs w:val="22"/>
                <w:lang w:val="hu-HU"/>
              </w:rPr>
            </w:pPr>
            <w:r>
              <w:rPr>
                <w:b/>
                <w:szCs w:val="22"/>
                <w:lang w:val="hu-HU"/>
              </w:rPr>
              <w:t>HDL-C</w:t>
            </w:r>
          </w:p>
        </w:tc>
        <w:tc>
          <w:tcPr>
            <w:tcW w:w="600" w:type="dxa"/>
          </w:tcPr>
          <w:p w:rsidR="00A00261" w:rsidRDefault="00087B68">
            <w:pPr>
              <w:jc w:val="center"/>
              <w:rPr>
                <w:b/>
                <w:szCs w:val="22"/>
                <w:lang w:val="hu-HU"/>
              </w:rPr>
            </w:pPr>
            <w:r>
              <w:rPr>
                <w:b/>
                <w:szCs w:val="22"/>
                <w:lang w:val="hu-HU"/>
              </w:rPr>
              <w:t>TG</w:t>
            </w:r>
          </w:p>
        </w:tc>
        <w:tc>
          <w:tcPr>
            <w:tcW w:w="1680" w:type="dxa"/>
          </w:tcPr>
          <w:p w:rsidR="00A00261" w:rsidRDefault="00087B68">
            <w:pPr>
              <w:jc w:val="center"/>
              <w:rPr>
                <w:b/>
                <w:szCs w:val="22"/>
                <w:lang w:val="hu-HU"/>
              </w:rPr>
            </w:pPr>
            <w:r>
              <w:rPr>
                <w:b/>
                <w:szCs w:val="22"/>
                <w:lang w:val="hu-HU"/>
              </w:rPr>
              <w:t>Nem HDL-C</w:t>
            </w:r>
          </w:p>
        </w:tc>
        <w:tc>
          <w:tcPr>
            <w:tcW w:w="840" w:type="dxa"/>
          </w:tcPr>
          <w:p w:rsidR="00A00261" w:rsidRDefault="00087B68">
            <w:pPr>
              <w:jc w:val="center"/>
              <w:rPr>
                <w:b/>
                <w:szCs w:val="22"/>
                <w:lang w:val="hu-HU"/>
              </w:rPr>
            </w:pPr>
            <w:r>
              <w:rPr>
                <w:b/>
                <w:szCs w:val="22"/>
                <w:lang w:val="hu-HU"/>
              </w:rPr>
              <w:t>ApoB</w:t>
            </w:r>
          </w:p>
        </w:tc>
        <w:tc>
          <w:tcPr>
            <w:tcW w:w="1093" w:type="dxa"/>
          </w:tcPr>
          <w:p w:rsidR="00A00261" w:rsidRDefault="00087B68">
            <w:pPr>
              <w:jc w:val="center"/>
              <w:rPr>
                <w:b/>
                <w:szCs w:val="22"/>
                <w:lang w:val="hu-HU"/>
              </w:rPr>
            </w:pPr>
            <w:r>
              <w:rPr>
                <w:b/>
                <w:szCs w:val="22"/>
                <w:lang w:val="hu-HU"/>
              </w:rPr>
              <w:t>ApoA-I</w:t>
            </w:r>
          </w:p>
        </w:tc>
      </w:tr>
      <w:tr w:rsidR="00A00261">
        <w:trPr>
          <w:cantSplit/>
        </w:trPr>
        <w:tc>
          <w:tcPr>
            <w:tcW w:w="96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Placebo</w:t>
            </w:r>
          </w:p>
        </w:tc>
        <w:tc>
          <w:tcPr>
            <w:tcW w:w="84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13</w:t>
            </w:r>
          </w:p>
        </w:tc>
        <w:tc>
          <w:tcPr>
            <w:tcW w:w="10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-7</w:t>
            </w:r>
          </w:p>
        </w:tc>
        <w:tc>
          <w:tcPr>
            <w:tcW w:w="96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-5</w:t>
            </w:r>
          </w:p>
        </w:tc>
        <w:tc>
          <w:tcPr>
            <w:tcW w:w="10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3</w:t>
            </w:r>
          </w:p>
        </w:tc>
        <w:tc>
          <w:tcPr>
            <w:tcW w:w="60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-3</w:t>
            </w:r>
          </w:p>
        </w:tc>
        <w:tc>
          <w:tcPr>
            <w:tcW w:w="16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-7</w:t>
            </w:r>
          </w:p>
        </w:tc>
        <w:tc>
          <w:tcPr>
            <w:tcW w:w="84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-3</w:t>
            </w:r>
          </w:p>
        </w:tc>
        <w:tc>
          <w:tcPr>
            <w:tcW w:w="1093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0</w:t>
            </w:r>
          </w:p>
        </w:tc>
      </w:tr>
      <w:tr w:rsidR="00A00261">
        <w:trPr>
          <w:cantSplit/>
        </w:trPr>
        <w:tc>
          <w:tcPr>
            <w:tcW w:w="96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5</w:t>
            </w:r>
          </w:p>
        </w:tc>
        <w:tc>
          <w:tcPr>
            <w:tcW w:w="84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17</w:t>
            </w:r>
          </w:p>
        </w:tc>
        <w:tc>
          <w:tcPr>
            <w:tcW w:w="10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-45</w:t>
            </w:r>
          </w:p>
        </w:tc>
        <w:tc>
          <w:tcPr>
            <w:tcW w:w="96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-33</w:t>
            </w:r>
          </w:p>
        </w:tc>
        <w:tc>
          <w:tcPr>
            <w:tcW w:w="10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13</w:t>
            </w:r>
          </w:p>
        </w:tc>
        <w:tc>
          <w:tcPr>
            <w:tcW w:w="60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-35</w:t>
            </w:r>
          </w:p>
        </w:tc>
        <w:tc>
          <w:tcPr>
            <w:tcW w:w="16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-44</w:t>
            </w:r>
          </w:p>
        </w:tc>
        <w:tc>
          <w:tcPr>
            <w:tcW w:w="84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-38</w:t>
            </w:r>
          </w:p>
        </w:tc>
        <w:tc>
          <w:tcPr>
            <w:tcW w:w="1093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4</w:t>
            </w:r>
          </w:p>
        </w:tc>
      </w:tr>
      <w:tr w:rsidR="00A00261">
        <w:trPr>
          <w:cantSplit/>
        </w:trPr>
        <w:tc>
          <w:tcPr>
            <w:tcW w:w="96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10</w:t>
            </w:r>
          </w:p>
        </w:tc>
        <w:tc>
          <w:tcPr>
            <w:tcW w:w="84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17</w:t>
            </w:r>
          </w:p>
        </w:tc>
        <w:tc>
          <w:tcPr>
            <w:tcW w:w="10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-52</w:t>
            </w:r>
          </w:p>
        </w:tc>
        <w:tc>
          <w:tcPr>
            <w:tcW w:w="96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-36</w:t>
            </w:r>
          </w:p>
        </w:tc>
        <w:tc>
          <w:tcPr>
            <w:tcW w:w="10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14</w:t>
            </w:r>
          </w:p>
        </w:tc>
        <w:tc>
          <w:tcPr>
            <w:tcW w:w="60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-10</w:t>
            </w:r>
          </w:p>
        </w:tc>
        <w:tc>
          <w:tcPr>
            <w:tcW w:w="16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-48</w:t>
            </w:r>
          </w:p>
        </w:tc>
        <w:tc>
          <w:tcPr>
            <w:tcW w:w="84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-42</w:t>
            </w:r>
          </w:p>
        </w:tc>
        <w:tc>
          <w:tcPr>
            <w:tcW w:w="1093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4</w:t>
            </w:r>
          </w:p>
        </w:tc>
      </w:tr>
      <w:tr w:rsidR="00A00261">
        <w:trPr>
          <w:cantSplit/>
        </w:trPr>
        <w:tc>
          <w:tcPr>
            <w:tcW w:w="96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20</w:t>
            </w:r>
          </w:p>
        </w:tc>
        <w:tc>
          <w:tcPr>
            <w:tcW w:w="84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17</w:t>
            </w:r>
          </w:p>
        </w:tc>
        <w:tc>
          <w:tcPr>
            <w:tcW w:w="10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-55</w:t>
            </w:r>
          </w:p>
        </w:tc>
        <w:tc>
          <w:tcPr>
            <w:tcW w:w="96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-40</w:t>
            </w:r>
          </w:p>
        </w:tc>
        <w:tc>
          <w:tcPr>
            <w:tcW w:w="10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8</w:t>
            </w:r>
          </w:p>
        </w:tc>
        <w:tc>
          <w:tcPr>
            <w:tcW w:w="60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-23</w:t>
            </w:r>
          </w:p>
        </w:tc>
        <w:tc>
          <w:tcPr>
            <w:tcW w:w="16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-51</w:t>
            </w:r>
          </w:p>
        </w:tc>
        <w:tc>
          <w:tcPr>
            <w:tcW w:w="84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-46</w:t>
            </w:r>
          </w:p>
        </w:tc>
        <w:tc>
          <w:tcPr>
            <w:tcW w:w="1093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5</w:t>
            </w:r>
          </w:p>
        </w:tc>
      </w:tr>
      <w:tr w:rsidR="00A00261">
        <w:trPr>
          <w:cantSplit/>
        </w:trPr>
        <w:tc>
          <w:tcPr>
            <w:tcW w:w="96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40</w:t>
            </w:r>
          </w:p>
        </w:tc>
        <w:tc>
          <w:tcPr>
            <w:tcW w:w="84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18</w:t>
            </w:r>
          </w:p>
        </w:tc>
        <w:tc>
          <w:tcPr>
            <w:tcW w:w="10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-63</w:t>
            </w:r>
          </w:p>
        </w:tc>
        <w:tc>
          <w:tcPr>
            <w:tcW w:w="96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-46</w:t>
            </w:r>
          </w:p>
        </w:tc>
        <w:tc>
          <w:tcPr>
            <w:tcW w:w="10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10</w:t>
            </w:r>
          </w:p>
        </w:tc>
        <w:tc>
          <w:tcPr>
            <w:tcW w:w="60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-28</w:t>
            </w:r>
          </w:p>
        </w:tc>
        <w:tc>
          <w:tcPr>
            <w:tcW w:w="168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-60</w:t>
            </w:r>
          </w:p>
        </w:tc>
        <w:tc>
          <w:tcPr>
            <w:tcW w:w="840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-54</w:t>
            </w:r>
          </w:p>
        </w:tc>
        <w:tc>
          <w:tcPr>
            <w:tcW w:w="1093" w:type="dxa"/>
          </w:tcPr>
          <w:p w:rsidR="00A00261" w:rsidRDefault="00087B68">
            <w:pPr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0</w:t>
            </w:r>
          </w:p>
        </w:tc>
      </w:tr>
    </w:tbl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terápiás hatás a kezelés megkezdésétől számított 1 héten belül mutatkozik és 2 héten belül eléri a maximális terápiás válasz 90%-át. A maximális terápiás válasz általában a negyedik hétre alakul ki és ezután állandó marad.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rozuvasztatin rasszra, nemre és életkorra tekintet nélkül hatásos hypertriglyceridaemiával vagy anélkül jelentkező, hypercholesterinaemiás felnőtteknél, továbbá különleges betegcsoportokban, pl. diabeteses vagy a familiaris hypercholesterinaemiás betegeknél.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III. fázisú vizsgálatok</w:t>
      </w:r>
      <w:r>
        <w:rPr>
          <w:szCs w:val="22"/>
          <w:lang w:val="hu-HU"/>
        </w:rPr>
        <w:t xml:space="preserve"> </w:t>
      </w:r>
      <w:r>
        <w:rPr>
          <w:szCs w:val="22"/>
          <w:lang w:val="hu-HU" w:eastAsia="en-US"/>
        </w:rPr>
        <w:t>összevont adatai alapján, a rozuvasztatin hatásosnak bizonyult a IIa és IIb típusú hypercholesterinaemiában szenvedő betegek (a kiindulási LDL-C</w:t>
      </w:r>
      <w:r>
        <w:rPr>
          <w:szCs w:val="22"/>
          <w:lang w:val="hu-HU" w:eastAsia="en-US"/>
        </w:rPr>
        <w:noBreakHyphen/>
        <w:t>érték középértéke megközelítőleg 4,8 mmol/1) többségének kezelésében, az Európai Atherosclerosis Társaság (EAS; 1998) elfogadott irányelveiben megfogalmazott célérték elérésében. A 10 mg rozuvasztatinnal kezelt betegek kb. 80%</w:t>
      </w:r>
      <w:r>
        <w:rPr>
          <w:szCs w:val="22"/>
          <w:lang w:val="hu-HU" w:eastAsia="en-US"/>
        </w:rPr>
        <w:noBreakHyphen/>
        <w:t>a érte el az EAS irányelvekben kitűzött LDL-koleszterin-célértéket (&lt; 3 mmol/1).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Egy nagy vizsgálatban 435 heterozygota familiaris hypercholesterinaemiás beteget kezeltek forszírozott dózistitrálással, 20-80 mg adagban alkalmazott rozuvasztatinnal. Mindegyik dózis előnyös hatással volt a lipidparaméterekre és a célértékig történő kezelésre. A 40 mg-os napi adag elérését </w:t>
      </w:r>
      <w:r>
        <w:rPr>
          <w:szCs w:val="22"/>
          <w:lang w:val="hu-HU" w:eastAsia="en-US"/>
        </w:rPr>
        <w:lastRenderedPageBreak/>
        <w:t>követően (12 hetes kezelés után) 53%-kal csökkent az LDL-koleszterin-szint. A betegek harminhárom százalékánál (33%) érte el az EAS irányelvekben kitűzött LDL-koleszterin-célértéket (&lt; 3 mmol/1).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Egy nyílt elrendezésű, forszírozott dózistitrálással, 42 homozygota familiaris hypercholesterinaemiás beteg részvételével elvégzett vizsgálat a 20-40 mg rozuvasztatinra adott válaszukat értékelte. A teljes populációban 22%-os volt az LDL-koleszterin</w:t>
      </w:r>
      <w:r>
        <w:rPr>
          <w:szCs w:val="22"/>
          <w:lang w:val="hu-HU" w:eastAsia="en-US"/>
        </w:rPr>
        <w:noBreakHyphen/>
        <w:t>szint átlagos csökkenése.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Korlátozott betegszámú klinikai vizsgálatokban, fenofibráttal együtt adva a rozuvasztatin additív hatásúnak bizonyult a trigliceridszint csökkentésében, niacinnal kombinálva pedig a HDL</w:t>
      </w:r>
      <w:r>
        <w:rPr>
          <w:szCs w:val="22"/>
          <w:lang w:val="hu-HU" w:eastAsia="en-US"/>
        </w:rPr>
        <w:noBreakHyphen/>
        <w:t>koleszterin</w:t>
      </w:r>
      <w:r>
        <w:rPr>
          <w:szCs w:val="22"/>
          <w:lang w:val="hu-HU" w:eastAsia="en-US"/>
        </w:rPr>
        <w:noBreakHyphen/>
        <w:t>szint emelésében (lásd 4.4 pont).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Egy multicentrikus, kettős vak, placebokontrollos klinikai vizsgálatban (METEOR) 984, 45-70 éves, koszorúér-betegség tekintetében alacsony kockázatú (Framingham kockázati besorolás szerint: </w:t>
      </w:r>
      <w:r>
        <w:rPr>
          <w:spacing w:val="-2"/>
          <w:szCs w:val="22"/>
          <w:lang w:val="hu-HU" w:eastAsia="en-US"/>
        </w:rPr>
        <w:t>&lt; 10% tíz éven belül), továbbá átlagosan 4,0 mmol/l (154,5 mg/dl) LDL</w:t>
      </w:r>
      <w:r>
        <w:rPr>
          <w:spacing w:val="-2"/>
          <w:szCs w:val="22"/>
          <w:lang w:val="hu-HU" w:eastAsia="en-US"/>
        </w:rPr>
        <w:noBreakHyphen/>
        <w:t>koleszterin</w:t>
      </w:r>
      <w:r>
        <w:rPr>
          <w:spacing w:val="-2"/>
          <w:szCs w:val="22"/>
          <w:lang w:val="hu-HU" w:eastAsia="en-US"/>
        </w:rPr>
        <w:noBreakHyphen/>
        <w:t>szintű, szubklinikai</w:t>
      </w:r>
      <w:r>
        <w:rPr>
          <w:szCs w:val="22"/>
          <w:lang w:val="hu-HU" w:eastAsia="en-US"/>
        </w:rPr>
        <w:t xml:space="preserve"> atherosclerosisban (Carotid Intima Media Thickness – CIMT méréssel meghatározva) szenvedő beteget randomizáltak 2 éven át napi egyszer 40 mg rozuvasztatin-, vagy placebokezelésre. A rozuvasztatin a placebóhoz képest szignifikáns mértékben lassította az arteria carotis 12  pontján mért maximális CIMT progresszióját (–0,0145 mm/év [95%-os CI: </w:t>
      </w:r>
      <w:r>
        <w:rPr>
          <w:szCs w:val="22"/>
          <w:lang w:val="hu-HU" w:eastAsia="en-US"/>
        </w:rPr>
        <w:noBreakHyphen/>
        <w:t xml:space="preserve">0,0196, </w:t>
      </w:r>
      <w:r>
        <w:rPr>
          <w:szCs w:val="22"/>
          <w:lang w:val="hu-HU" w:eastAsia="en-US"/>
        </w:rPr>
        <w:noBreakHyphen/>
        <w:t>0,0093; p &lt; 0,0001]). A rozuvasztatint szedő csoportban az eltérés a kiindulási értéktől –0,0014 mm/év volt (</w:t>
      </w:r>
      <w:r>
        <w:rPr>
          <w:szCs w:val="22"/>
          <w:lang w:val="hu-HU" w:eastAsia="en-US"/>
        </w:rPr>
        <w:noBreakHyphen/>
        <w:t>0,12%/év [nem szignifikáns]), szemben a placebocsoportban észlelt +0,0131 mm/év (1,12%/év (p &lt; 0,0001)) progresszióval. A CIMT csökkenése és a szív-érrendszeri szövődmények kockázatának csökkenése között még nem mutattak ki közvetlen összefüggést. A METEOR vizsgálatban tanulmányozott populáció koszorúér-betegség tekintetében alacsony kockázatú és nem célcsoportja a rozuvasztatin 40 mg dózisával végzett kezelésnek. A 40 mg</w:t>
      </w:r>
      <w:r>
        <w:rPr>
          <w:szCs w:val="22"/>
          <w:lang w:val="hu-HU" w:eastAsia="en-US"/>
        </w:rPr>
        <w:noBreakHyphen/>
        <w:t>os dózis csak a magas szív-érrendszeri kockázatú, súlyos hypercholesterinaemiás betegeknek rendelhető (lásd 4.2 pont).</w:t>
      </w:r>
    </w:p>
    <w:p w:rsidR="00A00261" w:rsidRDefault="00A00261">
      <w:pPr>
        <w:pStyle w:val="NormlWeb"/>
        <w:widowControl w:val="0"/>
        <w:spacing w:before="0" w:beforeAutospacing="0" w:after="0"/>
        <w:rPr>
          <w:color w:val="auto"/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JUPITER vizsgálatban (Justification for the Use of Statins in Primary Prevention: An Interventional Trial Evaluating Rosuvastatin) a rozuvasztatinnak a jelentős atheroscleroticus szív-érrendszeri szövődmények előfordulására kifejtett hatását vizsgálták 17.802  (≥ 50 éves) férfin és (≥ 60 éves) nőn.</w:t>
      </w:r>
    </w:p>
    <w:p w:rsidR="00A00261" w:rsidRDefault="00A00261">
      <w:pPr>
        <w:pStyle w:val="NormlWeb"/>
        <w:widowControl w:val="0"/>
        <w:spacing w:before="0" w:beforeAutospacing="0" w:after="0"/>
        <w:rPr>
          <w:color w:val="auto"/>
          <w:szCs w:val="22"/>
          <w:lang w:val="hu-HU"/>
        </w:rPr>
      </w:pPr>
    </w:p>
    <w:p w:rsidR="00A00261" w:rsidRDefault="00087B68">
      <w:pPr>
        <w:pStyle w:val="NormlWeb"/>
        <w:widowControl w:val="0"/>
        <w:spacing w:before="0" w:beforeAutospacing="0" w:after="0"/>
        <w:rPr>
          <w:color w:val="auto"/>
          <w:szCs w:val="22"/>
          <w:lang w:val="hu-HU"/>
        </w:rPr>
      </w:pPr>
      <w:r>
        <w:rPr>
          <w:color w:val="auto"/>
          <w:szCs w:val="22"/>
          <w:lang w:val="hu-HU"/>
        </w:rPr>
        <w:t>A vizsgálat résztvevőit random válogatással, a placebóval (n = 8901), vagy napi egyszer 20 mg rozuvasztatinnal (n = 8901) kezelt csoportokba sorolták, majd átlagosan 2 éven át követték.</w:t>
      </w:r>
    </w:p>
    <w:p w:rsidR="00A00261" w:rsidRDefault="00A00261">
      <w:pPr>
        <w:pStyle w:val="NormlWeb"/>
        <w:widowControl w:val="0"/>
        <w:spacing w:before="0" w:beforeAutospacing="0" w:after="0"/>
        <w:rPr>
          <w:color w:val="auto"/>
          <w:szCs w:val="22"/>
          <w:lang w:val="hu-HU"/>
        </w:rPr>
      </w:pPr>
    </w:p>
    <w:p w:rsidR="00A00261" w:rsidRDefault="00087B68">
      <w:pPr>
        <w:pStyle w:val="NormlWeb"/>
        <w:widowControl w:val="0"/>
        <w:spacing w:before="0" w:beforeAutospacing="0" w:after="0"/>
        <w:rPr>
          <w:color w:val="auto"/>
          <w:szCs w:val="22"/>
          <w:lang w:val="hu-HU"/>
        </w:rPr>
      </w:pPr>
      <w:r>
        <w:rPr>
          <w:color w:val="auto"/>
          <w:szCs w:val="22"/>
          <w:lang w:val="hu-HU"/>
        </w:rPr>
        <w:t>Az LDL</w:t>
      </w:r>
      <w:r>
        <w:rPr>
          <w:color w:val="auto"/>
          <w:szCs w:val="22"/>
          <w:lang w:val="hu-HU"/>
        </w:rPr>
        <w:noBreakHyphen/>
        <w:t>koleszterin-szint a rozuvasztatincsoportban 45%</w:t>
      </w:r>
      <w:r>
        <w:rPr>
          <w:color w:val="auto"/>
          <w:szCs w:val="22"/>
          <w:lang w:val="hu-HU"/>
        </w:rPr>
        <w:noBreakHyphen/>
        <w:t>kal csökkent (p &lt; 0,001) a placebocsoporthoz képest.</w:t>
      </w:r>
    </w:p>
    <w:p w:rsidR="00A00261" w:rsidRDefault="00A00261">
      <w:pPr>
        <w:pStyle w:val="NormlWeb"/>
        <w:widowControl w:val="0"/>
        <w:spacing w:before="0" w:beforeAutospacing="0" w:after="0"/>
        <w:rPr>
          <w:color w:val="auto"/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 xml:space="preserve">Egy az alanyok magas kockázatú (kiinduláskor &gt; 20% Framingham rizikópontszám, n = 1558) alcsoportjának </w:t>
      </w:r>
      <w:r>
        <w:rPr>
          <w:i/>
          <w:szCs w:val="22"/>
          <w:lang w:val="hu-HU"/>
        </w:rPr>
        <w:t>post hoc</w:t>
      </w:r>
      <w:r>
        <w:rPr>
          <w:szCs w:val="22"/>
          <w:lang w:val="hu-HU"/>
        </w:rPr>
        <w:t xml:space="preserve"> elemzése szerint, a rozuvasztatin-kezelésben részesülőknél szignifikáns (p = 0,028) csökkenés mutatkozott a szív-érrendszeri halálozás, stroke, és myocardialis infarctus összetett végpontjában a placebocsoporthoz képes. Az abszolút kockázatcsökkenés a szövődmények gyakoriságaként kifejezve 8,8/1000 beteg-év volt. A teljes halálozás nem változott </w:t>
      </w:r>
      <w:r>
        <w:rPr>
          <w:spacing w:val="-2"/>
          <w:szCs w:val="22"/>
          <w:lang w:val="hu-HU"/>
        </w:rPr>
        <w:t xml:space="preserve">ebben a magas kockázatú csoportban (p = 0,193). Egy, az alanyok kiinduláskor </w:t>
      </w:r>
      <w:r>
        <w:rPr>
          <w:rFonts w:ascii="Symbol" w:hAnsi="Symbol"/>
          <w:spacing w:val="-2"/>
          <w:szCs w:val="22"/>
          <w:lang w:val="hu-HU"/>
        </w:rPr>
        <w:t></w:t>
      </w:r>
      <w:r>
        <w:rPr>
          <w:spacing w:val="-2"/>
          <w:szCs w:val="22"/>
          <w:lang w:val="hu-HU"/>
        </w:rPr>
        <w:t> 5% SCORE pontszámú</w:t>
      </w:r>
      <w:r>
        <w:rPr>
          <w:szCs w:val="22"/>
          <w:lang w:val="hu-HU"/>
        </w:rPr>
        <w:t xml:space="preserve"> (extrapolálva a 65 év feletti alanyok beszámításához), magas kockázatú alcsoportjában (n = 9302), a rozuvasztatin</w:t>
      </w:r>
      <w:r>
        <w:rPr>
          <w:szCs w:val="22"/>
          <w:lang w:val="hu-HU"/>
        </w:rPr>
        <w:noBreakHyphen/>
        <w:t>kezelésben részesülőknél, a placebóhoz viszonyítva, szignifikáns (p = 0,0003) csökkenés mutatkozott az együttes végpont (szív-érrendszeri halálozás, stroke, és myocardialis infarctus) tekintetében. Az abszolút kockázatcsökkenés az események arányában 5,1/1000 beteg-év volt. A teljes halálozás nem változott ebben a magas kockázatú csoportban (p = 0,076).</w:t>
      </w:r>
    </w:p>
    <w:p w:rsidR="00A00261" w:rsidRDefault="00A00261">
      <w:pPr>
        <w:pStyle w:val="NormlWeb"/>
        <w:widowControl w:val="0"/>
        <w:spacing w:before="0" w:beforeAutospacing="0" w:after="0"/>
        <w:rPr>
          <w:color w:val="auto"/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JUPITER vizsgálatban a rozuvasztatint szedő személyek 6,6%</w:t>
      </w:r>
      <w:r>
        <w:rPr>
          <w:szCs w:val="22"/>
          <w:lang w:val="hu-HU"/>
        </w:rPr>
        <w:noBreakHyphen/>
        <w:t>a, és placebót kapó személyek 6,2%</w:t>
      </w:r>
      <w:r>
        <w:rPr>
          <w:szCs w:val="22"/>
          <w:lang w:val="hu-HU"/>
        </w:rPr>
        <w:noBreakHyphen/>
      </w:r>
      <w:r>
        <w:rPr>
          <w:spacing w:val="-2"/>
          <w:szCs w:val="22"/>
          <w:lang w:val="hu-HU"/>
        </w:rPr>
        <w:t>a hagyta abba a vizsgálati készítmény szedését nemkívánatos esemény miatt. A terápia felfüggesztéséhez</w:t>
      </w:r>
      <w:r>
        <w:rPr>
          <w:szCs w:val="22"/>
          <w:lang w:val="hu-HU"/>
        </w:rPr>
        <w:t xml:space="preserve"> vezető, leggyakoribb nemkívánatos események: myalgia (rozuvasztatin 0,3%, placebo 0,2%), hasi fájdalom (rozuvasztatin 0,03%, placebo 0,02%), és bőrkiütés (rozuvasztatin 0,02%, placebo 0,03%) voltak. A leggyakrabban előforduló, a placebocsoportban észlelttel azonos, vagy azt meghaladó gyakorisággal észlelt nemkívánatos események: húgyúti fertőzés (rozuvasztatin 8,7%, placebo 8,6%), rhinopharyngitis (rozuvasztatin 7,6%, placebo 7,2%), hátfájás (rozuvasztatin 7,6%, placebo 6,9%) és myalgia (rozuvasztatin 7,6%, placebo 6,6%) voltak.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lastRenderedPageBreak/>
        <w:t xml:space="preserve">Gyermekek és serdülők 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Roxiper gyermekeknél történő alkalmazásával kapcsolatban nem áll rendelkezésre adat.</w:t>
      </w:r>
    </w:p>
    <w:p w:rsidR="00A00261" w:rsidRDefault="00A00261">
      <w:pPr>
        <w:pStyle w:val="NormlWeb"/>
        <w:widowControl w:val="0"/>
        <w:spacing w:before="0" w:beforeAutospacing="0" w:after="0"/>
        <w:rPr>
          <w:color w:val="auto"/>
          <w:szCs w:val="22"/>
          <w:lang w:val="hu-HU"/>
        </w:rPr>
      </w:pPr>
    </w:p>
    <w:p w:rsidR="00A00261" w:rsidRDefault="00087B68">
      <w:pPr>
        <w:pStyle w:val="Cmsor2"/>
      </w:pPr>
      <w:r>
        <w:t>5.2</w:t>
      </w:r>
      <w:r>
        <w:tab/>
        <w:t>Farmakokinetikai tulajdonságok</w:t>
      </w:r>
    </w:p>
    <w:p w:rsidR="00A00261" w:rsidRDefault="00A00261">
      <w:pPr>
        <w:keepNext/>
        <w:widowControl w:val="0"/>
        <w:tabs>
          <w:tab w:val="left" w:pos="567"/>
        </w:tabs>
        <w:rPr>
          <w:bCs/>
          <w:szCs w:val="22"/>
          <w:lang w:val="hu-HU" w:eastAsia="en-US"/>
        </w:rPr>
      </w:pPr>
    </w:p>
    <w:p w:rsidR="00A00261" w:rsidRDefault="00087B68">
      <w:pPr>
        <w:widowControl w:val="0"/>
        <w:rPr>
          <w:i/>
          <w:szCs w:val="22"/>
          <w:u w:val="single"/>
          <w:lang w:val="hu-HU" w:eastAsia="en-US"/>
        </w:rPr>
      </w:pPr>
      <w:r>
        <w:rPr>
          <w:i/>
          <w:szCs w:val="22"/>
          <w:u w:val="single"/>
          <w:lang w:val="hu-HU" w:eastAsia="en-US"/>
        </w:rPr>
        <w:t xml:space="preserve">A </w:t>
      </w:r>
      <w:r>
        <w:rPr>
          <w:bCs/>
          <w:i/>
          <w:iCs/>
          <w:szCs w:val="22"/>
          <w:u w:val="single"/>
          <w:lang w:val="hu-HU" w:eastAsia="en-US"/>
        </w:rPr>
        <w:t>perindoprilre vonatkozóan</w:t>
      </w:r>
    </w:p>
    <w:p w:rsidR="00A00261" w:rsidRDefault="00A002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u w:val="single"/>
          <w:lang w:val="hu-HU" w:eastAsia="en-US"/>
        </w:rPr>
      </w:pPr>
    </w:p>
    <w:p w:rsidR="00A00261" w:rsidRDefault="00087B68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Felszívódás és biohasznosulás</w:t>
      </w:r>
    </w:p>
    <w:p w:rsidR="00A00261" w:rsidRDefault="00087B68">
      <w:pPr>
        <w:widowControl w:val="0"/>
        <w:rPr>
          <w:szCs w:val="22"/>
          <w:lang w:val="hu-HU" w:eastAsia="en-US"/>
        </w:rPr>
      </w:pPr>
      <w:r>
        <w:rPr>
          <w:spacing w:val="-2"/>
          <w:szCs w:val="22"/>
          <w:lang w:val="hu-HU" w:eastAsia="en-US"/>
        </w:rPr>
        <w:t>A szájon át adott perindopril felszívódása gyors, egy órán belül eléri a csúcskoncentrációt. A perindopril</w:t>
      </w:r>
      <w:r>
        <w:rPr>
          <w:szCs w:val="22"/>
          <w:lang w:val="hu-HU" w:eastAsia="en-US"/>
        </w:rPr>
        <w:t xml:space="preserve"> felezési ideje a plazmában 1 óra.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Eloszlás</w:t>
      </w:r>
    </w:p>
    <w:p w:rsidR="00A00261" w:rsidRDefault="00087B68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lang w:val="hu-HU" w:eastAsia="en-US"/>
        </w:rPr>
      </w:pPr>
      <w:r>
        <w:rPr>
          <w:iCs/>
          <w:szCs w:val="22"/>
          <w:lang w:val="hu-HU" w:eastAsia="en-US"/>
        </w:rPr>
        <w:t>A nem kötött perindoprilát eloszlási térfogata kb. 0,2 l/kg. A perindoprilát kb. 20%-a kötődik plazmafehérjékhez, elsősorban angiotenzin-konvertáló enzimhez, azonban ez koncentrációfüggő.</w:t>
      </w:r>
    </w:p>
    <w:p w:rsidR="00A00261" w:rsidRDefault="00A002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lang w:val="hu-HU" w:eastAsia="en-US"/>
        </w:rPr>
      </w:pPr>
    </w:p>
    <w:p w:rsidR="00A00261" w:rsidRDefault="00087B68">
      <w:pPr>
        <w:keepNext/>
        <w:widowControl w:val="0"/>
        <w:numPr>
          <w:ilvl w:val="12"/>
          <w:numId w:val="0"/>
        </w:numPr>
        <w:tabs>
          <w:tab w:val="left" w:pos="567"/>
        </w:tabs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Biotranszformáció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A perindopril „prodrug”. Az alkalmazott perindopril dózis 27%-a aktív perindoprilát metabolitként jut el a véráramba. Az aktív perindoprilát mellett a perindoprilból további 5 metabolit keletkezik, ezek mind inaktívak. A perindoprilát maximális plazmakoncentrációja 3-4 órán alatt alakul ki.</w:t>
      </w:r>
    </w:p>
    <w:p w:rsidR="00A00261" w:rsidRDefault="00087B68">
      <w:pPr>
        <w:rPr>
          <w:bCs/>
          <w:iCs/>
          <w:strike/>
          <w:szCs w:val="22"/>
          <w:lang w:val="hu-HU" w:eastAsia="en-US"/>
        </w:rPr>
      </w:pPr>
      <w:r>
        <w:rPr>
          <w:bCs/>
          <w:iCs/>
          <w:spacing w:val="-4"/>
          <w:szCs w:val="22"/>
          <w:lang w:val="hu-HU" w:eastAsia="en-US"/>
        </w:rPr>
        <w:t>Mivel az étkezés csökkenti a perindopriláttá történő átalakulást és ezáltal a biohasznosulást, a perindopril</w:t>
      </w:r>
      <w:r>
        <w:rPr>
          <w:bCs/>
          <w:iCs/>
          <w:spacing w:val="-4"/>
          <w:szCs w:val="22"/>
          <w:lang w:val="hu-HU" w:eastAsia="en-US"/>
        </w:rPr>
        <w:noBreakHyphen/>
      </w:r>
      <w:r>
        <w:rPr>
          <w:bCs/>
          <w:iCs/>
          <w:szCs w:val="22"/>
          <w:lang w:val="hu-HU" w:eastAsia="en-US"/>
        </w:rPr>
        <w:t>terc-butil-amint napi egyszeri dózisban, reggel, étkezés előtt, szájon át kell alkalmazni.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Elimináció</w:t>
      </w:r>
    </w:p>
    <w:p w:rsidR="00A00261" w:rsidRDefault="00087B68">
      <w:pPr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 perindoprilát a vizelettel választódik ki; a nem kötött frakció terminális felezési ideje hozzávetőleg 17 óra és ennek eredményeként 4 napon belül dinamikus egyensúlyi állapot alakul ki.</w:t>
      </w:r>
    </w:p>
    <w:p w:rsidR="00A00261" w:rsidRDefault="00A002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lang w:val="hu-HU" w:eastAsia="en-US"/>
        </w:rPr>
      </w:pPr>
    </w:p>
    <w:p w:rsidR="00A00261" w:rsidRDefault="00087B68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Linearitás/nem-linearitás</w:t>
      </w:r>
    </w:p>
    <w:p w:rsidR="00A00261" w:rsidRDefault="00087B68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A perindopril dózisa és plazmaexpozíciója között lineáris összefüggést bizonyítottak.</w:t>
      </w:r>
    </w:p>
    <w:p w:rsidR="00A00261" w:rsidRDefault="00A002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u w:val="single"/>
          <w:lang w:val="hu-HU" w:eastAsia="en-US"/>
        </w:rPr>
      </w:pPr>
    </w:p>
    <w:p w:rsidR="00A00261" w:rsidRDefault="00087B68">
      <w:pPr>
        <w:keepNext/>
        <w:widowControl w:val="0"/>
        <w:numPr>
          <w:ilvl w:val="12"/>
          <w:numId w:val="0"/>
        </w:numPr>
        <w:tabs>
          <w:tab w:val="left" w:pos="567"/>
        </w:tabs>
        <w:rPr>
          <w:i/>
          <w:iCs/>
          <w:szCs w:val="22"/>
          <w:lang w:val="hu-HU" w:eastAsia="en-US"/>
        </w:rPr>
      </w:pPr>
      <w:r>
        <w:rPr>
          <w:i/>
          <w:iCs/>
          <w:szCs w:val="22"/>
          <w:lang w:val="hu-HU" w:eastAsia="en-US"/>
        </w:rPr>
        <w:t>Idősek</w:t>
      </w:r>
    </w:p>
    <w:p w:rsidR="00A00261" w:rsidRDefault="00087B68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  <w:lang w:val="hu-HU" w:eastAsia="en-US"/>
        </w:rPr>
      </w:pPr>
      <w:r>
        <w:rPr>
          <w:szCs w:val="22"/>
          <w:lang w:val="hu-HU" w:eastAsia="en-US"/>
        </w:rPr>
        <w:t>Időseknél, továbbá szív- vagy veseelégtelenségben szenvedő betegeknél csökken a perindoprilát eliminációja.</w:t>
      </w:r>
    </w:p>
    <w:p w:rsidR="00A00261" w:rsidRDefault="00A002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  <w:lang w:val="hu-HU" w:eastAsia="en-US"/>
        </w:rPr>
      </w:pPr>
    </w:p>
    <w:p w:rsidR="00A00261" w:rsidRDefault="00087B68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/>
          <w:iCs/>
          <w:szCs w:val="22"/>
          <w:lang w:val="hu-HU" w:eastAsia="en-US"/>
        </w:rPr>
      </w:pPr>
      <w:r>
        <w:rPr>
          <w:i/>
          <w:iCs/>
          <w:szCs w:val="22"/>
          <w:lang w:val="hu-HU" w:eastAsia="en-US"/>
        </w:rPr>
        <w:t>Vesekárosodás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Vesekárosodásban, a károsodás fokától (kreatinin-clearance) függően kívánatos az adag módosítása.</w:t>
      </w:r>
    </w:p>
    <w:p w:rsidR="00A00261" w:rsidRDefault="00087B68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A perindoprilát dialízis clearance-e 70 ml/perc.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keepNext/>
        <w:rPr>
          <w:i/>
          <w:szCs w:val="22"/>
          <w:lang w:val="hu-HU" w:eastAsia="en-US"/>
        </w:rPr>
      </w:pPr>
      <w:r>
        <w:rPr>
          <w:i/>
          <w:szCs w:val="22"/>
          <w:lang w:val="hu-HU" w:eastAsia="en-US"/>
        </w:rPr>
        <w:t>Cirrhosis</w:t>
      </w:r>
    </w:p>
    <w:p w:rsidR="00A00261" w:rsidRDefault="00087B68">
      <w:pPr>
        <w:rPr>
          <w:iCs/>
          <w:szCs w:val="22"/>
          <w:lang w:val="hu-HU" w:eastAsia="en-US"/>
        </w:rPr>
      </w:pPr>
      <w:r>
        <w:rPr>
          <w:spacing w:val="-2"/>
          <w:szCs w:val="22"/>
          <w:lang w:val="hu-HU" w:eastAsia="en-US"/>
        </w:rPr>
        <w:t>Cirrhosisos betegeknél megváltozik a perindopril kinetikája, felére csökken az anyamolekula hepaticus</w:t>
      </w:r>
      <w:r>
        <w:rPr>
          <w:szCs w:val="22"/>
          <w:lang w:val="hu-HU" w:eastAsia="en-US"/>
        </w:rPr>
        <w:t xml:space="preserve"> clearance-e. A képződő perindoprilát mennyisége azonban nem csökken, ezért nem szükséges dózismódosítás (lásd 4.2 és 4.4 pont)</w:t>
      </w:r>
      <w:r>
        <w:rPr>
          <w:iCs/>
          <w:szCs w:val="22"/>
          <w:lang w:val="hu-HU" w:eastAsia="en-US"/>
        </w:rPr>
        <w:t>.</w:t>
      </w:r>
    </w:p>
    <w:p w:rsidR="00A00261" w:rsidRDefault="00A002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u w:val="single"/>
          <w:lang w:val="hu-HU" w:eastAsia="en-US"/>
        </w:rPr>
      </w:pPr>
    </w:p>
    <w:p w:rsidR="00A00261" w:rsidRDefault="00087B68">
      <w:pPr>
        <w:widowControl w:val="0"/>
        <w:rPr>
          <w:i/>
          <w:szCs w:val="22"/>
          <w:u w:val="single"/>
          <w:lang w:val="hu-HU" w:eastAsia="en-US"/>
        </w:rPr>
      </w:pPr>
      <w:r>
        <w:rPr>
          <w:i/>
          <w:szCs w:val="22"/>
          <w:u w:val="single"/>
          <w:lang w:val="hu-HU" w:eastAsia="en-US"/>
        </w:rPr>
        <w:t xml:space="preserve">Az </w:t>
      </w:r>
      <w:r>
        <w:rPr>
          <w:i/>
          <w:iCs/>
          <w:szCs w:val="22"/>
          <w:u w:val="single"/>
          <w:lang w:val="hu-HU" w:eastAsia="en-US"/>
        </w:rPr>
        <w:t>indapamidra vonatkozóan</w:t>
      </w:r>
    </w:p>
    <w:p w:rsidR="00A00261" w:rsidRDefault="00A002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u w:val="single"/>
          <w:lang w:val="hu-HU" w:eastAsia="en-US"/>
        </w:rPr>
      </w:pPr>
    </w:p>
    <w:p w:rsidR="00A00261" w:rsidRDefault="00087B68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Felszívódás</w:t>
      </w:r>
    </w:p>
    <w:p w:rsidR="00A00261" w:rsidRDefault="00087B68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Az indapamid gyorsan és teljes mértékben felszívódik az emésztőrendszerből.</w:t>
      </w:r>
    </w:p>
    <w:p w:rsidR="00A00261" w:rsidRDefault="00087B68">
      <w:pPr>
        <w:tabs>
          <w:tab w:val="left" w:pos="-142"/>
          <w:tab w:val="left" w:pos="0"/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Emberben a plazma csúcskoncentráció a gyógyszer orális alkalmazása után kb. egy óra múlva alakul ki. </w:t>
      </w:r>
    </w:p>
    <w:p w:rsidR="00A00261" w:rsidRDefault="00A00261">
      <w:pPr>
        <w:tabs>
          <w:tab w:val="left" w:pos="-142"/>
          <w:tab w:val="left" w:pos="0"/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Eloszlás</w:t>
      </w:r>
    </w:p>
    <w:p w:rsidR="00A00261" w:rsidRDefault="00087B68">
      <w:pPr>
        <w:tabs>
          <w:tab w:val="left" w:pos="-142"/>
          <w:tab w:val="left" w:pos="0"/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 plazmaproteinekhez történő kötődés 79%.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Elimináció</w:t>
      </w:r>
    </w:p>
    <w:p w:rsidR="00A00261" w:rsidRDefault="00087B68">
      <w:pPr>
        <w:widowControl w:val="0"/>
        <w:tabs>
          <w:tab w:val="left" w:pos="0"/>
        </w:tabs>
        <w:rPr>
          <w:szCs w:val="22"/>
          <w:lang w:val="hu-HU" w:eastAsia="en-US"/>
        </w:rPr>
      </w:pPr>
      <w:r>
        <w:rPr>
          <w:spacing w:val="-4"/>
          <w:szCs w:val="22"/>
          <w:lang w:val="hu-HU" w:eastAsia="en-US"/>
        </w:rPr>
        <w:t>Az eliminációs felezési idő 14-24 óra (átlagosan 18 óra). Az ismételt alkalmazás nem okoz akkumulációt.</w:t>
      </w:r>
      <w:r>
        <w:rPr>
          <w:szCs w:val="22"/>
          <w:lang w:val="hu-HU" w:eastAsia="en-US"/>
        </w:rPr>
        <w:t xml:space="preserve"> Kiválasztása inaktív metabolitok formájában, főleg a vizelettel (a dózis 70%-a) és a széklettel (22%) történik.</w:t>
      </w:r>
    </w:p>
    <w:p w:rsidR="00A00261" w:rsidRDefault="00A00261">
      <w:pPr>
        <w:widowControl w:val="0"/>
        <w:tabs>
          <w:tab w:val="left" w:pos="0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/>
          <w:iCs/>
          <w:szCs w:val="22"/>
          <w:lang w:val="hu-HU" w:eastAsia="en-US"/>
        </w:rPr>
      </w:pPr>
      <w:r>
        <w:rPr>
          <w:i/>
          <w:iCs/>
          <w:szCs w:val="22"/>
          <w:lang w:val="hu-HU" w:eastAsia="en-US"/>
        </w:rPr>
        <w:lastRenderedPageBreak/>
        <w:t>Vesekárosodás</w:t>
      </w:r>
    </w:p>
    <w:p w:rsidR="00A00261" w:rsidRDefault="00087B68">
      <w:pPr>
        <w:tabs>
          <w:tab w:val="left" w:pos="-142"/>
          <w:tab w:val="left" w:pos="0"/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 veseelégtelenségben szenvedő betegeknél a farmakokinetika változatlan.</w:t>
      </w:r>
    </w:p>
    <w:p w:rsidR="00A00261" w:rsidRDefault="00A00261">
      <w:pPr>
        <w:widowControl w:val="0"/>
        <w:rPr>
          <w:szCs w:val="22"/>
          <w:lang w:val="hu-HU" w:eastAsia="en-US"/>
        </w:rPr>
      </w:pPr>
    </w:p>
    <w:p w:rsidR="00A00261" w:rsidRDefault="00087B68">
      <w:pPr>
        <w:keepNext/>
        <w:widowControl w:val="0"/>
        <w:rPr>
          <w:i/>
          <w:szCs w:val="22"/>
          <w:u w:val="single"/>
          <w:lang w:val="hu-HU" w:eastAsia="en-US"/>
        </w:rPr>
      </w:pPr>
      <w:r>
        <w:rPr>
          <w:i/>
          <w:szCs w:val="22"/>
          <w:u w:val="single"/>
          <w:lang w:val="hu-HU" w:eastAsia="en-US"/>
        </w:rPr>
        <w:t>A rozuvasztatinra vonatkozóan</w:t>
      </w:r>
    </w:p>
    <w:p w:rsidR="00A00261" w:rsidRDefault="00A00261">
      <w:pPr>
        <w:rPr>
          <w:lang w:val="hu-HU"/>
        </w:rPr>
      </w:pPr>
    </w:p>
    <w:p w:rsidR="00A00261" w:rsidRDefault="00087B68">
      <w:pPr>
        <w:keepNext/>
        <w:rPr>
          <w:u w:val="single"/>
          <w:lang w:val="hu-HU"/>
        </w:rPr>
      </w:pPr>
      <w:r>
        <w:rPr>
          <w:u w:val="single"/>
          <w:lang w:val="hu-HU"/>
        </w:rPr>
        <w:t>Felszívódás</w:t>
      </w:r>
    </w:p>
    <w:p w:rsidR="00A00261" w:rsidRDefault="00087B68">
      <w:pPr>
        <w:rPr>
          <w:szCs w:val="22"/>
          <w:lang w:val="hu-HU"/>
        </w:rPr>
      </w:pPr>
      <w:r>
        <w:rPr>
          <w:i/>
          <w:szCs w:val="22"/>
          <w:lang w:val="hu-HU"/>
        </w:rPr>
        <w:t>Per os</w:t>
      </w:r>
      <w:r>
        <w:rPr>
          <w:szCs w:val="22"/>
          <w:lang w:val="hu-HU"/>
        </w:rPr>
        <w:t xml:space="preserve"> adagolást követően megközelítőleg 5 óra múlva alakul ki a rozuvasztatin maximális plazmakoncentrációja. Az abszolút biohasznosulás kb. 20%.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/>
        </w:rPr>
      </w:pPr>
    </w:p>
    <w:p w:rsidR="00A00261" w:rsidRDefault="00087B68">
      <w:pPr>
        <w:pStyle w:val="NormlWeb"/>
        <w:widowControl w:val="0"/>
        <w:spacing w:before="0" w:beforeAutospacing="0" w:after="0"/>
        <w:rPr>
          <w:color w:val="auto"/>
          <w:szCs w:val="22"/>
          <w:u w:val="single"/>
          <w:lang w:val="hu-HU"/>
        </w:rPr>
      </w:pPr>
      <w:r>
        <w:rPr>
          <w:bCs/>
          <w:color w:val="auto"/>
          <w:szCs w:val="22"/>
          <w:u w:val="single"/>
          <w:lang w:val="hu-HU"/>
        </w:rPr>
        <w:t>Eloszlás</w:t>
      </w:r>
    </w:p>
    <w:p w:rsidR="00A00261" w:rsidRDefault="00087B68">
      <w:pPr>
        <w:rPr>
          <w:szCs w:val="22"/>
          <w:lang w:val="hu-HU"/>
        </w:rPr>
      </w:pPr>
      <w:r>
        <w:rPr>
          <w:spacing w:val="-2"/>
          <w:szCs w:val="22"/>
          <w:lang w:val="hu-HU"/>
        </w:rPr>
        <w:t>A rozuvasztatint nagymértékben veszi fel a máj, a koleszterin szintézis és az LDL-koleszterin-clearance</w:t>
      </w:r>
      <w:r>
        <w:rPr>
          <w:szCs w:val="22"/>
          <w:lang w:val="hu-HU"/>
        </w:rPr>
        <w:t xml:space="preserve"> elsődleges helye. A rozuvasztatin eloszlási térfogata megközelítőleg 134 liter. A rozuvasztatin kb. 90%-a kötődik a plazmafehérjékhez, főként az albuminhoz.</w:t>
      </w:r>
    </w:p>
    <w:p w:rsidR="00A00261" w:rsidRDefault="00A00261">
      <w:pPr>
        <w:pStyle w:val="NormlWeb"/>
        <w:widowControl w:val="0"/>
        <w:spacing w:before="0" w:beforeAutospacing="0" w:after="0"/>
        <w:rPr>
          <w:bCs/>
          <w:i/>
          <w:color w:val="auto"/>
          <w:szCs w:val="22"/>
          <w:lang w:val="hu-HU"/>
        </w:rPr>
      </w:pPr>
    </w:p>
    <w:p w:rsidR="00A00261" w:rsidRDefault="00087B68">
      <w:pPr>
        <w:keepNext/>
        <w:rPr>
          <w:u w:val="single"/>
          <w:lang w:val="hu-HU"/>
        </w:rPr>
      </w:pPr>
      <w:r>
        <w:rPr>
          <w:u w:val="single"/>
          <w:lang w:val="hu-HU"/>
        </w:rPr>
        <w:t>Biotranszformáció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 xml:space="preserve">A rozuvasztatin korlátozott mértékű metabolizmuson megy keresztül (körülbelül 10%). Emberi májsejteken végzett, </w:t>
      </w:r>
      <w:r>
        <w:rPr>
          <w:i/>
          <w:szCs w:val="22"/>
          <w:lang w:val="hu-HU"/>
        </w:rPr>
        <w:t>in vitro</w:t>
      </w:r>
      <w:r>
        <w:rPr>
          <w:szCs w:val="22"/>
          <w:lang w:val="hu-HU"/>
        </w:rPr>
        <w:t xml:space="preserve"> metabolit vizsgálatok szerint a rozuvasztatin a citokróm P450-alapú metabolizmus gyenge szubsztrátja. A folyamatban főleg a CYP2C9 izoenzim vesz részt, a 2C19, 3A4 és 2D6 kevésbé. Legfőképpen N-dezmetil- és lakton-metabolitok képződnek. Az N-dezmetil metabolit kb. 50%-kal kevésbé aktív, mint a rozuvasztatin, a lakton metabolitot klinikai szempontból inaktívnak </w:t>
      </w:r>
      <w:r>
        <w:rPr>
          <w:spacing w:val="-4"/>
          <w:szCs w:val="22"/>
          <w:lang w:val="hu-HU"/>
        </w:rPr>
        <w:t>tekintik. A vérkeringésben a HMG-CoA-reduktáz-inhibitor-aktivitás több mint 90%-ban rozuvasztatinnak</w:t>
      </w:r>
      <w:r>
        <w:rPr>
          <w:szCs w:val="22"/>
          <w:lang w:val="hu-HU"/>
        </w:rPr>
        <w:t xml:space="preserve"> tulajdonítható.</w:t>
      </w:r>
    </w:p>
    <w:p w:rsidR="00A00261" w:rsidRDefault="00A00261">
      <w:pPr>
        <w:pStyle w:val="NormlWeb"/>
        <w:widowControl w:val="0"/>
        <w:spacing w:before="0" w:beforeAutospacing="0" w:after="0"/>
        <w:rPr>
          <w:bCs/>
          <w:color w:val="auto"/>
          <w:szCs w:val="22"/>
          <w:lang w:val="hu-HU"/>
        </w:rPr>
      </w:pPr>
    </w:p>
    <w:p w:rsidR="00A00261" w:rsidRDefault="00087B68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>Elimináció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rozuvasztatin körülbelül 90%-a választódik ki változatlan formában a székletbe (felszívódott és fel nem szívódott hatóanyag), a fennmaradó hányad a vizelettel távozik.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vizeletbe kb. 5% választódik ki változatlan formában. Az eliminációs felezési idő a plazmában kb. 20 óra. Az elimináció felezési ideje nagyobb dózisok esetén sem növekszik.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plazma-clearance mértani átlaga kb. 50 1iter/óra (variációs együttható 21,7%). Más HMG</w:t>
      </w:r>
      <w:r>
        <w:rPr>
          <w:szCs w:val="22"/>
          <w:lang w:val="hu-HU"/>
        </w:rPr>
        <w:noBreakHyphen/>
        <w:t>CoA</w:t>
      </w:r>
      <w:r>
        <w:rPr>
          <w:szCs w:val="22"/>
          <w:lang w:val="hu-HU"/>
        </w:rPr>
        <w:noBreakHyphen/>
        <w:t>reduktáz</w:t>
      </w:r>
      <w:r>
        <w:rPr>
          <w:szCs w:val="22"/>
          <w:lang w:val="hu-HU"/>
        </w:rPr>
        <w:noBreakHyphen/>
        <w:t>gátlókhoz hasonlóan, a rozuvasztatin felvétele a májba az OATP-C membrántranszporter közvetítésével történik. Ez a transzporter fontos a rozuvasztatin májban zajló eliminációjában.</w:t>
      </w:r>
    </w:p>
    <w:p w:rsidR="00A00261" w:rsidRDefault="00A00261">
      <w:pPr>
        <w:pStyle w:val="NormlWeb"/>
        <w:widowControl w:val="0"/>
        <w:spacing w:before="0" w:beforeAutospacing="0" w:after="0"/>
        <w:rPr>
          <w:bCs/>
          <w:i/>
          <w:color w:val="auto"/>
          <w:szCs w:val="22"/>
          <w:lang w:val="hu-HU"/>
        </w:rPr>
      </w:pPr>
    </w:p>
    <w:p w:rsidR="00A00261" w:rsidRDefault="00087B68">
      <w:pPr>
        <w:rPr>
          <w:bCs/>
          <w:szCs w:val="22"/>
          <w:u w:val="single"/>
          <w:lang w:val="hu-HU"/>
        </w:rPr>
      </w:pPr>
      <w:r>
        <w:rPr>
          <w:bCs/>
          <w:szCs w:val="22"/>
          <w:u w:val="single"/>
          <w:lang w:val="hu-HU"/>
        </w:rPr>
        <w:t>Linearitás/</w:t>
      </w:r>
      <w:r>
        <w:rPr>
          <w:szCs w:val="22"/>
          <w:u w:val="single"/>
          <w:lang w:val="hu-HU"/>
        </w:rPr>
        <w:t>nem-linearitás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szisztémás rozuvasztatin-expozíció a dózis nagyságával arányosan nő. A farmakokinetikai paraméterek napi többszöri dózis alkalmazása után sem változnak.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i/>
          <w:iCs/>
          <w:szCs w:val="22"/>
          <w:lang w:val="hu-HU"/>
        </w:rPr>
        <w:t>Életkor és nem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Felnőtteknél az életkornak és a nemnek nem volt klinikai szempontból jelentős hatása a rozuvasztatin farmakokinetikájára. Heterozygota familiaris hypercholesterinaemiás gyermekeknél és serdülőknél a rozuvasztatin</w:t>
      </w:r>
      <w:r>
        <w:rPr>
          <w:szCs w:val="22"/>
          <w:lang w:val="hu-HU"/>
        </w:rPr>
        <w:noBreakHyphen/>
        <w:t>expozíciója hasonló vagy alacsonyabb volt a felnőtt önkénteseknél észlelthez (lásd a „Gyermekek és serdülők” részt lentebb).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keepNext/>
        <w:rPr>
          <w:b/>
          <w:bCs/>
          <w:szCs w:val="22"/>
          <w:lang w:val="hu-HU"/>
        </w:rPr>
      </w:pPr>
      <w:r>
        <w:rPr>
          <w:i/>
          <w:iCs/>
          <w:szCs w:val="22"/>
          <w:lang w:val="hu-HU"/>
        </w:rPr>
        <w:t>Népcsoportok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Farmakokinetikai vizsgálatok során ázsiai (japán, kínai, filippino, vietnámi és koreai) alanyoknál kb. kétszeres medián AUC- és C</w:t>
      </w:r>
      <w:r>
        <w:rPr>
          <w:szCs w:val="22"/>
          <w:vertAlign w:val="subscript"/>
          <w:lang w:val="hu-HU"/>
        </w:rPr>
        <w:t>max</w:t>
      </w:r>
      <w:r>
        <w:rPr>
          <w:szCs w:val="22"/>
          <w:lang w:val="hu-HU"/>
        </w:rPr>
        <w:noBreakHyphen/>
        <w:t>emelkedést tapasztaltak a kaukázusiakéhoz viszonyítva. Ázsiai</w:t>
      </w:r>
      <w:r>
        <w:rPr>
          <w:szCs w:val="22"/>
          <w:lang w:val="hu-HU"/>
        </w:rPr>
        <w:noBreakHyphen/>
        <w:t>indiaiaknál kb. 1,3-szoros a medián AUC és C</w:t>
      </w:r>
      <w:r>
        <w:rPr>
          <w:szCs w:val="22"/>
          <w:vertAlign w:val="subscript"/>
          <w:lang w:val="hu-HU"/>
        </w:rPr>
        <w:t>max</w:t>
      </w:r>
      <w:r>
        <w:rPr>
          <w:szCs w:val="22"/>
          <w:lang w:val="hu-HU"/>
        </w:rPr>
        <w:t xml:space="preserve"> növekedése. A populációs farmakokinetikai analízis nem mutatott ki klinikai szempontból lényeges különbségeket a szer farmakokinetikájában europid, ill. feketebőrű népcsoportok között.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pStyle w:val="NormlWeb"/>
        <w:widowControl w:val="0"/>
        <w:spacing w:before="0" w:beforeAutospacing="0" w:after="0"/>
        <w:rPr>
          <w:bCs/>
          <w:i/>
          <w:color w:val="auto"/>
          <w:szCs w:val="22"/>
          <w:lang w:val="hu-HU"/>
        </w:rPr>
      </w:pPr>
      <w:r>
        <w:rPr>
          <w:bCs/>
          <w:i/>
          <w:color w:val="auto"/>
          <w:szCs w:val="22"/>
          <w:lang w:val="hu-HU"/>
        </w:rPr>
        <w:t>Vesekárosodás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Az egyik, különböző fokú vesekárosodásban szenvedő betegeknél végzett vizsgálatban, az enyhe</w:t>
      </w:r>
      <w:r>
        <w:rPr>
          <w:szCs w:val="22"/>
          <w:lang w:val="hu-HU"/>
        </w:rPr>
        <w:noBreakHyphen/>
        <w:t xml:space="preserve">közepesen súlyos vesebetegség nem befolyásolta a rozuvasztatin vagy az N-dezmetil metabolit </w:t>
      </w:r>
      <w:r>
        <w:rPr>
          <w:spacing w:val="-2"/>
          <w:szCs w:val="22"/>
          <w:lang w:val="hu-HU"/>
        </w:rPr>
        <w:t>plazmakoncentrációját. Súlyos vesekárosodásban (kreatinin</w:t>
      </w:r>
      <w:r>
        <w:rPr>
          <w:spacing w:val="-2"/>
          <w:szCs w:val="22"/>
          <w:lang w:val="hu-HU"/>
        </w:rPr>
        <w:noBreakHyphen/>
        <w:t>clearance &lt; 30 ml/perc) szenvedő betegeknél</w:t>
      </w:r>
      <w:r>
        <w:rPr>
          <w:szCs w:val="22"/>
          <w:lang w:val="hu-HU"/>
        </w:rPr>
        <w:t xml:space="preserve"> </w:t>
      </w:r>
      <w:r>
        <w:rPr>
          <w:spacing w:val="-2"/>
          <w:szCs w:val="22"/>
          <w:lang w:val="hu-HU"/>
        </w:rPr>
        <w:t>a rozuvasztatin plazmakoncentráció háromszor, az N-dezmetil metabolit plazmakoncentráció kilencszer</w:t>
      </w:r>
      <w:r>
        <w:rPr>
          <w:szCs w:val="22"/>
          <w:lang w:val="hu-HU"/>
        </w:rPr>
        <w:t xml:space="preserve"> volt magasabb az egészséges önkéntesekénél. Hemodializált betegeknél a rozuvasztatin </w:t>
      </w:r>
      <w:r>
        <w:rPr>
          <w:szCs w:val="22"/>
          <w:lang w:val="hu-HU"/>
        </w:rPr>
        <w:lastRenderedPageBreak/>
        <w:t>egyensúlyi plazmakoncentrációja kb. 50%-kal volt magasabb az egészséges önkéntesekéhez viszonyítva.</w:t>
      </w:r>
    </w:p>
    <w:p w:rsidR="00A00261" w:rsidRDefault="00A00261">
      <w:pPr>
        <w:pStyle w:val="NormlWeb"/>
        <w:widowControl w:val="0"/>
        <w:spacing w:before="0" w:beforeAutospacing="0" w:after="0"/>
        <w:rPr>
          <w:bCs/>
          <w:i/>
          <w:color w:val="auto"/>
          <w:szCs w:val="22"/>
          <w:lang w:val="hu-HU"/>
        </w:rPr>
      </w:pPr>
    </w:p>
    <w:p w:rsidR="00A00261" w:rsidRDefault="00087B68">
      <w:pPr>
        <w:pStyle w:val="NormlWeb"/>
        <w:keepNext/>
        <w:widowControl w:val="0"/>
        <w:spacing w:before="0" w:beforeAutospacing="0" w:after="0"/>
        <w:rPr>
          <w:bCs/>
          <w:i/>
          <w:color w:val="auto"/>
          <w:szCs w:val="22"/>
          <w:lang w:val="hu-HU"/>
        </w:rPr>
      </w:pPr>
      <w:r>
        <w:rPr>
          <w:bCs/>
          <w:i/>
          <w:color w:val="auto"/>
          <w:szCs w:val="22"/>
          <w:lang w:val="hu-HU"/>
        </w:rPr>
        <w:t>Májkárosodás</w:t>
      </w: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 xml:space="preserve">Az egyik, különböző súlyosságú májkárosodásban szenvedő betegeken elvégzett vizsgálatban, 7-es vagy alacsonyabb Child–Pugh-pontszám esetén nem bizonyítottak fokozott rozuvasztatin-expozíciót. </w:t>
      </w:r>
      <w:r>
        <w:rPr>
          <w:spacing w:val="-2"/>
          <w:szCs w:val="22"/>
          <w:lang w:val="hu-HU"/>
        </w:rPr>
        <w:t>Azonban két betegnél, akik Child–Pugh-pontszáma 8 és 9 volt, a szisztémás expozíció legalább kétszer</w:t>
      </w:r>
      <w:r>
        <w:rPr>
          <w:szCs w:val="22"/>
          <w:lang w:val="hu-HU"/>
        </w:rPr>
        <w:t xml:space="preserve"> nagyobb volt az alacsonyabb Child–Pugh-pontszámú betegeknél észlelthez képest. Kilenc feletti Child–Pugh-pontszámú betegekkel nincs tapasztalat.</w:t>
      </w:r>
    </w:p>
    <w:p w:rsidR="00A00261" w:rsidRDefault="00A002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u w:val="single"/>
          <w:lang w:val="hu-HU" w:eastAsia="en-US"/>
        </w:rPr>
      </w:pPr>
    </w:p>
    <w:p w:rsidR="00A00261" w:rsidRDefault="00087B68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/>
          <w:iCs/>
          <w:szCs w:val="22"/>
          <w:lang w:val="hu-HU" w:eastAsia="en-US"/>
        </w:rPr>
      </w:pPr>
      <w:r>
        <w:rPr>
          <w:i/>
          <w:iCs/>
          <w:szCs w:val="22"/>
          <w:lang w:val="hu-HU" w:eastAsia="en-US"/>
        </w:rPr>
        <w:t>Genetikai polimorfizmusok</w:t>
      </w:r>
    </w:p>
    <w:p w:rsidR="00A00261" w:rsidRDefault="00087B68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lang w:val="hu-HU" w:eastAsia="en-US"/>
        </w:rPr>
      </w:pPr>
      <w:r>
        <w:rPr>
          <w:iCs/>
          <w:szCs w:val="22"/>
          <w:lang w:val="hu-HU" w:eastAsia="en-US"/>
        </w:rPr>
        <w:t>A HMG</w:t>
      </w:r>
      <w:r>
        <w:rPr>
          <w:iCs/>
          <w:szCs w:val="22"/>
          <w:lang w:val="hu-HU" w:eastAsia="en-US"/>
        </w:rPr>
        <w:noBreakHyphen/>
        <w:t>CoA</w:t>
      </w:r>
      <w:r>
        <w:rPr>
          <w:iCs/>
          <w:szCs w:val="22"/>
          <w:lang w:val="hu-HU" w:eastAsia="en-US"/>
        </w:rPr>
        <w:noBreakHyphen/>
        <w:t>reduktáz</w:t>
      </w:r>
      <w:r>
        <w:rPr>
          <w:iCs/>
          <w:szCs w:val="22"/>
          <w:lang w:val="hu-HU" w:eastAsia="en-US"/>
        </w:rPr>
        <w:noBreakHyphen/>
        <w:t>inhibitorok (pl. rozuvasztatin) eltávolításában OATP1B1 és BCRP transzportfehérjék működnek közre. Az SLCO1B1 (OATP1B1) és/vagy ABCG2 (BCRP) genetikai polimorfizmust hordozó betegeknél fennáll a fokozott rozuvasztatin</w:t>
      </w:r>
      <w:r>
        <w:rPr>
          <w:iCs/>
          <w:szCs w:val="22"/>
          <w:lang w:val="hu-HU" w:eastAsia="en-US"/>
        </w:rPr>
        <w:noBreakHyphen/>
        <w:t>expozíció kockázata. Az SLCO1B1 c.521CC és az ABCG2 c.421AA egyedi polimorfizmusok magasabb rozuvasztatin</w:t>
      </w:r>
      <w:r>
        <w:rPr>
          <w:iCs/>
          <w:szCs w:val="22"/>
          <w:lang w:val="hu-HU" w:eastAsia="en-US"/>
        </w:rPr>
        <w:noBreakHyphen/>
        <w:t xml:space="preserve">expozícióval (AUC) járnak, mint az SLCO1B1 c.521TT vagy az ABCG2 c.421CC genotípusok. Ezt a </w:t>
      </w:r>
      <w:r>
        <w:rPr>
          <w:iCs/>
          <w:spacing w:val="-2"/>
          <w:szCs w:val="22"/>
          <w:lang w:val="hu-HU" w:eastAsia="en-US"/>
        </w:rPr>
        <w:t>specifikus genotipizálást a klinikai gyakorlatban nem alkalmazzák. Mindazonáltal azoknál a betegeknél,</w:t>
      </w:r>
      <w:r>
        <w:rPr>
          <w:iCs/>
          <w:szCs w:val="22"/>
          <w:lang w:val="hu-HU" w:eastAsia="en-US"/>
        </w:rPr>
        <w:t xml:space="preserve"> akik tudottan hordozzák ezeket a polimorfizmus típusokat, alacsonyabb napi rozuvasztatin dózis javasolt</w:t>
      </w:r>
    </w:p>
    <w:p w:rsidR="00A00261" w:rsidRDefault="00A002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Cs/>
          <w:szCs w:val="22"/>
          <w:lang w:val="hu-HU" w:eastAsia="en-US"/>
        </w:rPr>
      </w:pPr>
    </w:p>
    <w:p w:rsidR="00A00261" w:rsidRDefault="00087B68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i/>
          <w:iCs/>
          <w:szCs w:val="22"/>
          <w:lang w:val="hu-HU" w:eastAsia="en-US"/>
        </w:rPr>
      </w:pPr>
      <w:r>
        <w:rPr>
          <w:i/>
          <w:iCs/>
          <w:szCs w:val="22"/>
          <w:lang w:val="hu-HU" w:eastAsia="en-US"/>
        </w:rPr>
        <w:t>Gyermekek és serdülők</w:t>
      </w:r>
    </w:p>
    <w:p w:rsidR="00A00261" w:rsidRDefault="00087B68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Két, heterozygota familiaris hypercholesterinaemiában szenvedő, 10 - és betöltött 18 év közötti vagy 6 </w:t>
      </w:r>
      <w:r>
        <w:rPr>
          <w:szCs w:val="22"/>
          <w:lang w:val="hu-HU"/>
        </w:rPr>
        <w:noBreakHyphen/>
        <w:t xml:space="preserve"> és betöltött 18 év közötti gyermekek és serdülők (összesen 214 beteg) körében, rozuvasztatinnal (tablettában adva) végzett farmakokinetikai vizsgálat igazolta, hogy az expozíció gyermekeknél összehasonlíthatónak vagy alacsonyabbnak tűnik, mint a felnőtt betegeknél.</w:t>
      </w:r>
      <w:r>
        <w:rPr>
          <w:szCs w:val="22"/>
          <w:lang w:val="hu-HU" w:eastAsia="hu-HU"/>
        </w:rPr>
        <w:t xml:space="preserve"> A rozuvasztatin</w:t>
      </w:r>
      <w:r>
        <w:rPr>
          <w:szCs w:val="22"/>
          <w:lang w:val="hu-HU"/>
        </w:rPr>
        <w:noBreakHyphen/>
      </w:r>
      <w:r>
        <w:rPr>
          <w:szCs w:val="22"/>
          <w:lang w:val="hu-HU" w:eastAsia="hu-HU"/>
        </w:rPr>
        <w:t>expozíció a dózis és az idő tekintetében egy 2</w:t>
      </w:r>
      <w:r>
        <w:rPr>
          <w:szCs w:val="22"/>
          <w:lang w:val="hu-HU"/>
        </w:rPr>
        <w:t> év</w:t>
      </w:r>
      <w:r>
        <w:rPr>
          <w:szCs w:val="22"/>
          <w:lang w:val="hu-HU" w:eastAsia="hu-HU"/>
        </w:rPr>
        <w:t>es időszak alatt megbecsülhető volt.</w:t>
      </w:r>
    </w:p>
    <w:p w:rsidR="00A00261" w:rsidRDefault="00A00261">
      <w:pPr>
        <w:widowControl w:val="0"/>
        <w:tabs>
          <w:tab w:val="left" w:pos="567"/>
        </w:tabs>
        <w:rPr>
          <w:bCs/>
          <w:szCs w:val="22"/>
          <w:lang w:val="hu-HU" w:eastAsia="en-US"/>
        </w:rPr>
      </w:pPr>
    </w:p>
    <w:p w:rsidR="00A00261" w:rsidRDefault="00087B68">
      <w:pPr>
        <w:pStyle w:val="Cmsor2"/>
        <w:keepNext/>
      </w:pPr>
      <w:r>
        <w:t>5.3</w:t>
      </w:r>
      <w:r>
        <w:tab/>
        <w:t>A preklinikai biztonságossági vizsgálatok eredményei</w:t>
      </w:r>
    </w:p>
    <w:p w:rsidR="00A00261" w:rsidRDefault="00A00261">
      <w:pPr>
        <w:keepNext/>
        <w:widowControl w:val="0"/>
        <w:tabs>
          <w:tab w:val="left" w:pos="-142"/>
          <w:tab w:val="left" w:pos="0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-142"/>
          <w:tab w:val="left" w:pos="0"/>
        </w:tabs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A perindopril/indapamid kombinációra vonatkozóan</w:t>
      </w:r>
    </w:p>
    <w:p w:rsidR="00A00261" w:rsidRDefault="00A00261">
      <w:pPr>
        <w:widowControl w:val="0"/>
        <w:tabs>
          <w:tab w:val="left" w:pos="-142"/>
          <w:tab w:val="left" w:pos="0"/>
        </w:tabs>
        <w:rPr>
          <w:szCs w:val="22"/>
          <w:lang w:val="hu-HU" w:eastAsia="en-US"/>
        </w:rPr>
      </w:pPr>
    </w:p>
    <w:p w:rsidR="00A00261" w:rsidRDefault="00087B68">
      <w:pPr>
        <w:tabs>
          <w:tab w:val="left" w:pos="-142"/>
          <w:tab w:val="left" w:pos="0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perindopril/indapamid kombináció toxicitása valamivel nagyobb </w:t>
      </w:r>
      <w:r>
        <w:rPr>
          <w:szCs w:val="22"/>
          <w:lang w:val="hu-HU"/>
        </w:rPr>
        <w:t>az egyes összetevőiénél</w:t>
      </w:r>
      <w:r>
        <w:rPr>
          <w:szCs w:val="22"/>
          <w:lang w:val="hu-HU" w:eastAsia="en-US"/>
        </w:rPr>
        <w:t>. Úgy tűnik, hogy a veseelváltozások tekintetében patkányban nincs potencírozó hatás. Kutyában azonban a kombináció gastrointestinalis toxicitást idéz elő és úgy tűnik, hogy patkányban az anyaállatnál jelentkező toxikus hatások (a perindoprilhez viszonyítva) fokozottak voltak.</w:t>
      </w:r>
    </w:p>
    <w:p w:rsidR="00A00261" w:rsidRDefault="00087B68">
      <w:pPr>
        <w:tabs>
          <w:tab w:val="left" w:pos="-142"/>
          <w:tab w:val="left" w:pos="0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Mindazonáltal, ezek a nemkívánatos hatások olyan dózisszinteknél jelentkeztek, amelyeket igencsak jelentős biztonsági tartomány választ el az alkalmazott terápiás adagoktól.</w:t>
      </w:r>
    </w:p>
    <w:p w:rsidR="00A00261" w:rsidRDefault="00087B68">
      <w:pPr>
        <w:tabs>
          <w:tab w:val="left" w:pos="-142"/>
          <w:tab w:val="left" w:pos="0"/>
        </w:tabs>
        <w:rPr>
          <w:bCs/>
          <w:szCs w:val="22"/>
          <w:lang w:val="hu-HU" w:eastAsia="en-US"/>
        </w:rPr>
      </w:pPr>
      <w:r>
        <w:rPr>
          <w:szCs w:val="22"/>
          <w:lang w:val="hu-HU" w:eastAsia="en-US"/>
        </w:rPr>
        <w:t>A perindoprillel és az indapamiddal külön-külön elvégzett preklinikai vizsgálatok során nem észleltek genotoxikus vagy rákkeltő hatást</w:t>
      </w:r>
      <w:r>
        <w:rPr>
          <w:bCs/>
          <w:szCs w:val="22"/>
          <w:lang w:val="hu-HU" w:eastAsia="en-US"/>
        </w:rPr>
        <w:t>. A rerprodukciós toxicitási vizsgálatok során nem mutatott sem embriotoxikus, sem teratogén hatást és a termékenységet nem károsította.</w:t>
      </w:r>
    </w:p>
    <w:p w:rsidR="00A00261" w:rsidRDefault="00A00261">
      <w:pPr>
        <w:widowControl w:val="0"/>
        <w:rPr>
          <w:bCs/>
          <w:szCs w:val="22"/>
          <w:lang w:val="hu-HU" w:eastAsia="en-US"/>
        </w:rPr>
      </w:pPr>
    </w:p>
    <w:p w:rsidR="00A00261" w:rsidRDefault="00087B68">
      <w:pPr>
        <w:widowControl w:val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A rozuvasztatinra vonatkozóan</w:t>
      </w:r>
    </w:p>
    <w:p w:rsidR="00A00261" w:rsidRDefault="00A00261">
      <w:pPr>
        <w:widowControl w:val="0"/>
        <w:rPr>
          <w:szCs w:val="22"/>
          <w:lang w:val="hu-HU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 xml:space="preserve">A hagyományos – farmakológiai biztonságossági, ismételt adagolású dózistoxicitási, genotoxicitási, </w:t>
      </w:r>
      <w:r>
        <w:rPr>
          <w:spacing w:val="-2"/>
          <w:szCs w:val="22"/>
          <w:lang w:val="hu-HU"/>
        </w:rPr>
        <w:t>karcinogenitási, reprodukcióra-, és fejlődésre kifejtett toxicitási – vizsgálatokból származó nem-klinikai</w:t>
      </w:r>
      <w:r>
        <w:rPr>
          <w:szCs w:val="22"/>
          <w:lang w:val="hu-HU"/>
        </w:rPr>
        <w:t xml:space="preserve"> jellegű adatok azt igazolták, hogy a készítmény alkalmazásakor humán vonatkozásban különleges kockázat nem várható. A hERG</w:t>
      </w:r>
      <w:r>
        <w:rPr>
          <w:szCs w:val="22"/>
          <w:lang w:val="hu-HU"/>
        </w:rPr>
        <w:noBreakHyphen/>
        <w:t xml:space="preserve">re </w:t>
      </w:r>
      <w:r>
        <w:rPr>
          <w:lang w:val="hu-HU" w:eastAsia="en-US"/>
        </w:rPr>
        <w:t>(</w:t>
      </w:r>
      <w:r>
        <w:rPr>
          <w:rStyle w:val="Kiemelt"/>
          <w:i w:val="0"/>
          <w:iCs w:val="0"/>
          <w:lang w:val="hu-HU" w:eastAsia="en-US"/>
        </w:rPr>
        <w:t>human Ether</w:t>
      </w:r>
      <w:r>
        <w:rPr>
          <w:rStyle w:val="Kiemelt"/>
          <w:i w:val="0"/>
          <w:iCs w:val="0"/>
          <w:lang w:val="hu-HU" w:eastAsia="en-US"/>
        </w:rPr>
        <w:noBreakHyphen/>
        <w:t>à</w:t>
      </w:r>
      <w:r>
        <w:rPr>
          <w:rStyle w:val="Kiemelt"/>
          <w:i w:val="0"/>
          <w:iCs w:val="0"/>
          <w:lang w:val="hu-HU" w:eastAsia="en-US"/>
        </w:rPr>
        <w:noBreakHyphen/>
        <w:t>go</w:t>
      </w:r>
      <w:r>
        <w:rPr>
          <w:rStyle w:val="Kiemelt"/>
          <w:i w:val="0"/>
          <w:iCs w:val="0"/>
          <w:lang w:val="hu-HU" w:eastAsia="en-US"/>
        </w:rPr>
        <w:noBreakHyphen/>
        <w:t xml:space="preserve">go Related Gene) </w:t>
      </w:r>
      <w:r>
        <w:rPr>
          <w:szCs w:val="22"/>
          <w:lang w:val="hu-HU"/>
        </w:rPr>
        <w:t xml:space="preserve">kifejtett hatásokat vizsgáló specifikus teszteket nem értékelték. A következő mellékhatásokat klinikai vizsgálatokban nem, csak állatkísérletekben észlelték a </w:t>
      </w:r>
      <w:r>
        <w:rPr>
          <w:spacing w:val="-2"/>
          <w:szCs w:val="22"/>
          <w:lang w:val="hu-HU"/>
        </w:rPr>
        <w:t>klinikai expozíciós szintekhez hasonló expozíció mellett figyelték meg. Az ismételt adagolás toxicitását</w:t>
      </w:r>
      <w:r>
        <w:rPr>
          <w:szCs w:val="22"/>
          <w:lang w:val="hu-HU"/>
        </w:rPr>
        <w:t xml:space="preserve"> </w:t>
      </w:r>
      <w:r>
        <w:rPr>
          <w:spacing w:val="-4"/>
          <w:szCs w:val="22"/>
          <w:lang w:val="hu-HU"/>
        </w:rPr>
        <w:t xml:space="preserve">értékelő </w:t>
      </w:r>
      <w:r>
        <w:rPr>
          <w:szCs w:val="22"/>
          <w:lang w:val="hu-HU"/>
        </w:rPr>
        <w:t xml:space="preserve">vizsgálatokban valószínűleg a rozuvasztatin farmakológiai hatásának tulajdonítható patológiás szöveti elváltozásokat észleltek egerek és patkányok májában, ill. kisebb mértékben kutyák epehólyagjában – a </w:t>
      </w:r>
      <w:r>
        <w:rPr>
          <w:spacing w:val="-4"/>
          <w:szCs w:val="22"/>
          <w:lang w:val="hu-HU"/>
        </w:rPr>
        <w:t>majmokéban azonban nem. Ezen felül, nagy dózisok alkalmazásakor a here toxikus károsodását észlelték</w:t>
      </w:r>
      <w:r>
        <w:rPr>
          <w:szCs w:val="22"/>
          <w:lang w:val="hu-HU"/>
        </w:rPr>
        <w:t xml:space="preserve"> majmoknál és kutyáknál. Patkányoknál egyértelműen megmutatkozott a reprodukciós toxicitás az egy alomban született kölykök csökkent számában, a kisebb születési súlyokban, valamint az életképesség csökkenésében. Ezt a hatást az anyaállatra nézve toxikus dózisok mellett figyelték meg, amikor a szisztémás expozíció többszörösen meghaladta a terápiás expozíciót.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A00261">
      <w:pPr>
        <w:widowControl w:val="0"/>
        <w:tabs>
          <w:tab w:val="left" w:pos="567"/>
        </w:tabs>
        <w:rPr>
          <w:bCs/>
          <w:szCs w:val="22"/>
          <w:lang w:val="hu-HU" w:eastAsia="en-US"/>
        </w:rPr>
      </w:pPr>
    </w:p>
    <w:p w:rsidR="00A00261" w:rsidRDefault="00087B68">
      <w:pPr>
        <w:pStyle w:val="Cmsor1"/>
        <w:keepNext/>
      </w:pPr>
      <w:r>
        <w:t>6.</w:t>
      </w:r>
      <w:r>
        <w:tab/>
        <w:t>GYÓGYSZERÉSZETI JELLEMZŐK</w:t>
      </w:r>
    </w:p>
    <w:p w:rsidR="00A00261" w:rsidRDefault="00A00261">
      <w:pPr>
        <w:keepNext/>
        <w:rPr>
          <w:lang w:val="hu-HU"/>
        </w:rPr>
      </w:pPr>
    </w:p>
    <w:p w:rsidR="00A00261" w:rsidRDefault="00087B68">
      <w:pPr>
        <w:pStyle w:val="Cmsor2"/>
      </w:pPr>
      <w:r>
        <w:t>6.1</w:t>
      </w:r>
      <w:r>
        <w:tab/>
        <w:t>Segédanyagok felsorolása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rPr>
          <w:u w:val="single"/>
          <w:lang w:val="hu-HU" w:eastAsia="en-US"/>
        </w:rPr>
      </w:pPr>
      <w:r>
        <w:rPr>
          <w:u w:val="single"/>
          <w:lang w:val="hu-HU" w:eastAsia="en-US"/>
        </w:rPr>
        <w:t>Tablettamag</w:t>
      </w:r>
    </w:p>
    <w:p w:rsidR="00A00261" w:rsidRDefault="00087B68">
      <w:pPr>
        <w:rPr>
          <w:lang w:val="hu-HU" w:eastAsia="en-US"/>
        </w:rPr>
      </w:pPr>
      <w:r>
        <w:rPr>
          <w:lang w:val="hu-HU" w:eastAsia="en-US"/>
        </w:rPr>
        <w:t>mikrokristályos cellulóz (200 LM típusú)</w:t>
      </w:r>
    </w:p>
    <w:p w:rsidR="00A00261" w:rsidRDefault="00087B68">
      <w:pPr>
        <w:rPr>
          <w:lang w:val="hu-HU" w:eastAsia="en-US"/>
        </w:rPr>
      </w:pPr>
      <w:r>
        <w:rPr>
          <w:lang w:val="hu-HU" w:eastAsia="en-US"/>
        </w:rPr>
        <w:t>mikrokristályos cellulóz (112 típusú)</w:t>
      </w:r>
    </w:p>
    <w:p w:rsidR="00A00261" w:rsidRDefault="00087B68">
      <w:pPr>
        <w:rPr>
          <w:lang w:val="hu-HU" w:eastAsia="en-US"/>
        </w:rPr>
      </w:pPr>
      <w:r>
        <w:rPr>
          <w:lang w:val="hu-HU" w:eastAsia="en-US"/>
        </w:rPr>
        <w:t>kroszpovidon (A típusú)</w:t>
      </w:r>
    </w:p>
    <w:p w:rsidR="00A00261" w:rsidRDefault="00087B68">
      <w:pPr>
        <w:rPr>
          <w:lang w:val="hu-HU" w:eastAsia="en-US"/>
        </w:rPr>
      </w:pPr>
      <w:r>
        <w:rPr>
          <w:lang w:val="hu-HU"/>
        </w:rPr>
        <w:t>vízmentes kolloid szilícium-dioxid</w:t>
      </w:r>
    </w:p>
    <w:p w:rsidR="00A00261" w:rsidRDefault="00087B68">
      <w:pPr>
        <w:rPr>
          <w:lang w:val="hu-HU" w:eastAsia="en-US"/>
        </w:rPr>
      </w:pPr>
      <w:r>
        <w:rPr>
          <w:lang w:val="hu-HU"/>
        </w:rPr>
        <w:t>magnézium-sztearát (E470b)</w:t>
      </w:r>
    </w:p>
    <w:p w:rsidR="00A00261" w:rsidRDefault="00A00261">
      <w:pPr>
        <w:rPr>
          <w:lang w:val="hu-HU" w:eastAsia="en-US"/>
        </w:rPr>
      </w:pPr>
    </w:p>
    <w:p w:rsidR="00A00261" w:rsidRDefault="00087B68">
      <w:pPr>
        <w:rPr>
          <w:u w:val="single"/>
          <w:lang w:val="hu-HU" w:eastAsia="en-US"/>
        </w:rPr>
      </w:pPr>
      <w:r>
        <w:rPr>
          <w:u w:val="single"/>
          <w:lang w:val="hu-HU" w:eastAsia="en-US"/>
        </w:rPr>
        <w:t>Filmbevonat</w:t>
      </w:r>
    </w:p>
    <w:p w:rsidR="00A00261" w:rsidRDefault="00087B68">
      <w:pPr>
        <w:numPr>
          <w:ilvl w:val="0"/>
          <w:numId w:val="15"/>
        </w:numPr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 xml:space="preserve">Roxiper </w:t>
      </w:r>
      <w:r>
        <w:rPr>
          <w:szCs w:val="22"/>
          <w:u w:val="single"/>
          <w:lang w:val="hu-HU"/>
        </w:rPr>
        <w:t>10 mg</w:t>
      </w:r>
      <w:r>
        <w:rPr>
          <w:szCs w:val="22"/>
          <w:u w:val="single"/>
          <w:lang w:val="hu-HU" w:eastAsia="en-US"/>
        </w:rPr>
        <w:t>/</w:t>
      </w:r>
      <w:r>
        <w:rPr>
          <w:szCs w:val="22"/>
          <w:u w:val="single"/>
          <w:lang w:val="hu-HU"/>
        </w:rPr>
        <w:t>4 mg/1,25 mg</w:t>
      </w:r>
      <w:r>
        <w:rPr>
          <w:szCs w:val="22"/>
          <w:u w:val="single"/>
          <w:lang w:val="hu-HU" w:eastAsia="en-US"/>
        </w:rPr>
        <w:t xml:space="preserve"> filmtabletta</w:t>
      </w:r>
    </w:p>
    <w:p w:rsidR="00A00261" w:rsidRDefault="00087B68">
      <w:pPr>
        <w:numPr>
          <w:ilvl w:val="0"/>
          <w:numId w:val="15"/>
        </w:numPr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Roxiper 20 mg/4 mg/1,25 mg filmtabletta</w:t>
      </w:r>
    </w:p>
    <w:p w:rsidR="00A00261" w:rsidRDefault="00087B68">
      <w:pPr>
        <w:numPr>
          <w:ilvl w:val="0"/>
          <w:numId w:val="15"/>
        </w:numPr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Roxiper 20 mg/8 mg/2,5 mg filmtabletta</w:t>
      </w:r>
    </w:p>
    <w:p w:rsidR="00A00261" w:rsidRDefault="00087B68">
      <w:pPr>
        <w:ind w:left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poli(vinil-alkohol)</w:t>
      </w:r>
    </w:p>
    <w:p w:rsidR="00A00261" w:rsidRDefault="00087B68">
      <w:pPr>
        <w:ind w:left="567"/>
        <w:rPr>
          <w:szCs w:val="22"/>
          <w:lang w:val="hu-HU"/>
        </w:rPr>
      </w:pPr>
      <w:r>
        <w:rPr>
          <w:szCs w:val="22"/>
          <w:lang w:val="hu-HU"/>
        </w:rPr>
        <w:t>titán-dioxid (E171)</w:t>
      </w:r>
    </w:p>
    <w:p w:rsidR="00A00261" w:rsidRDefault="00087B68">
      <w:pPr>
        <w:ind w:left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makrogol 3350</w:t>
      </w:r>
    </w:p>
    <w:p w:rsidR="00A00261" w:rsidRDefault="00087B68">
      <w:pPr>
        <w:ind w:left="567"/>
        <w:rPr>
          <w:szCs w:val="22"/>
          <w:lang w:val="hu-HU"/>
        </w:rPr>
      </w:pPr>
      <w:r>
        <w:rPr>
          <w:szCs w:val="22"/>
          <w:lang w:val="hu-HU"/>
        </w:rPr>
        <w:t>talkum</w:t>
      </w:r>
    </w:p>
    <w:p w:rsidR="00A00261" w:rsidRDefault="00087B68">
      <w:pPr>
        <w:ind w:left="567"/>
        <w:rPr>
          <w:szCs w:val="22"/>
          <w:lang w:val="hu-HU"/>
        </w:rPr>
      </w:pPr>
      <w:r>
        <w:rPr>
          <w:szCs w:val="22"/>
          <w:lang w:val="hu-HU"/>
        </w:rPr>
        <w:t>vörös vas-oxid (E172)</w:t>
      </w:r>
    </w:p>
    <w:p w:rsidR="00A00261" w:rsidRDefault="00087B68">
      <w:pPr>
        <w:ind w:left="567"/>
        <w:rPr>
          <w:szCs w:val="22"/>
          <w:lang w:val="hu-HU"/>
        </w:rPr>
      </w:pPr>
      <w:r>
        <w:rPr>
          <w:szCs w:val="22"/>
          <w:lang w:val="hu-HU"/>
        </w:rPr>
        <w:t>fekete vas-oxid (E172)</w:t>
      </w:r>
    </w:p>
    <w:p w:rsidR="00A00261" w:rsidRDefault="00087B68">
      <w:pPr>
        <w:ind w:left="567"/>
        <w:rPr>
          <w:szCs w:val="22"/>
          <w:lang w:val="hu-HU"/>
        </w:rPr>
      </w:pPr>
      <w:r>
        <w:rPr>
          <w:szCs w:val="22"/>
          <w:lang w:val="hu-HU"/>
        </w:rPr>
        <w:t>sárga vas-oxid (E172)</w:t>
      </w:r>
    </w:p>
    <w:p w:rsidR="00A00261" w:rsidRDefault="00087B68">
      <w:pPr>
        <w:keepNext/>
        <w:numPr>
          <w:ilvl w:val="0"/>
          <w:numId w:val="15"/>
        </w:numPr>
        <w:rPr>
          <w:szCs w:val="22"/>
          <w:u w:val="single"/>
          <w:lang w:val="hu-HU"/>
        </w:rPr>
      </w:pPr>
      <w:r>
        <w:rPr>
          <w:szCs w:val="22"/>
          <w:u w:val="single"/>
          <w:lang w:val="hu-HU" w:eastAsia="en-US"/>
        </w:rPr>
        <w:t>Roxiper 10 mg/8 mg/2,5 mg filmtabletta</w:t>
      </w:r>
    </w:p>
    <w:p w:rsidR="00A00261" w:rsidRDefault="00087B68">
      <w:pPr>
        <w:keepNext/>
        <w:ind w:left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poli(vinil-alkohol)</w:t>
      </w:r>
    </w:p>
    <w:p w:rsidR="00A00261" w:rsidRDefault="00087B68">
      <w:pPr>
        <w:keepNext/>
        <w:ind w:left="567"/>
        <w:rPr>
          <w:szCs w:val="22"/>
          <w:lang w:val="hu-HU"/>
        </w:rPr>
      </w:pPr>
      <w:r>
        <w:rPr>
          <w:szCs w:val="22"/>
          <w:lang w:val="hu-HU"/>
        </w:rPr>
        <w:t>titán-dioxid (E171)</w:t>
      </w:r>
    </w:p>
    <w:p w:rsidR="00A00261" w:rsidRDefault="00087B68">
      <w:pPr>
        <w:ind w:left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makrogol 3350</w:t>
      </w:r>
    </w:p>
    <w:p w:rsidR="00A00261" w:rsidRDefault="00087B68">
      <w:pPr>
        <w:ind w:left="567"/>
        <w:rPr>
          <w:szCs w:val="22"/>
          <w:lang w:val="hu-HU"/>
        </w:rPr>
      </w:pPr>
      <w:r>
        <w:rPr>
          <w:szCs w:val="22"/>
          <w:lang w:val="hu-HU"/>
        </w:rPr>
        <w:t>talkum</w:t>
      </w:r>
    </w:p>
    <w:p w:rsidR="00A00261" w:rsidRDefault="00087B68">
      <w:pPr>
        <w:ind w:left="567"/>
        <w:rPr>
          <w:szCs w:val="22"/>
          <w:lang w:val="hu-HU"/>
        </w:rPr>
      </w:pPr>
      <w:r>
        <w:rPr>
          <w:szCs w:val="22"/>
          <w:lang w:val="hu-HU"/>
        </w:rPr>
        <w:t>vörös vas-oxid (E172)</w:t>
      </w:r>
    </w:p>
    <w:p w:rsidR="00A00261" w:rsidRDefault="00A00261">
      <w:pPr>
        <w:rPr>
          <w:szCs w:val="22"/>
          <w:lang w:val="hu-HU" w:eastAsia="en-US"/>
        </w:rPr>
      </w:pPr>
    </w:p>
    <w:p w:rsidR="00A00261" w:rsidRDefault="00087B68">
      <w:pPr>
        <w:pStyle w:val="Cmsor2"/>
      </w:pPr>
      <w:r>
        <w:t>6.2</w:t>
      </w:r>
      <w:r>
        <w:tab/>
        <w:t>Inkompatibilitások</w:t>
      </w:r>
    </w:p>
    <w:p w:rsidR="00A00261" w:rsidRDefault="00A00261">
      <w:pPr>
        <w:rPr>
          <w:szCs w:val="22"/>
          <w:lang w:val="hu-HU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Nem értelmezhető.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pStyle w:val="Cmsor2"/>
      </w:pPr>
      <w:r>
        <w:t>6.3</w:t>
      </w:r>
      <w:r>
        <w:tab/>
        <w:t>Felhasználhatósági időtartam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  <w:r>
        <w:rPr>
          <w:szCs w:val="22"/>
          <w:lang w:val="hu-HU" w:eastAsia="en-US"/>
        </w:rPr>
        <w:t>3 év</w:t>
      </w:r>
    </w:p>
    <w:p w:rsidR="00A00261" w:rsidRDefault="00A002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:rsidR="00A00261" w:rsidRDefault="00087B68">
      <w:pPr>
        <w:pStyle w:val="Cmsor2"/>
      </w:pPr>
      <w:r>
        <w:t>6.4</w:t>
      </w:r>
      <w:r>
        <w:tab/>
        <w:t>Különleges tárolási előírások</w:t>
      </w:r>
    </w:p>
    <w:p w:rsidR="00A00261" w:rsidRDefault="00A00261">
      <w:pPr>
        <w:widowControl w:val="0"/>
        <w:tabs>
          <w:tab w:val="left" w:pos="567"/>
        </w:tabs>
        <w:rPr>
          <w:i/>
          <w:iCs/>
          <w:szCs w:val="22"/>
          <w:lang w:val="hu-HU" w:eastAsia="en-US"/>
        </w:rPr>
      </w:pPr>
    </w:p>
    <w:p w:rsidR="00A00261" w:rsidRDefault="00087B68">
      <w:pPr>
        <w:rPr>
          <w:szCs w:val="22"/>
          <w:lang w:val="hu-HU"/>
        </w:rPr>
      </w:pPr>
      <w:r>
        <w:rPr>
          <w:szCs w:val="22"/>
          <w:lang w:val="hu-HU"/>
        </w:rPr>
        <w:t>A fénytől való védelem érdekében az eredeti csomagolásban tárolandó.</w:t>
      </w:r>
    </w:p>
    <w:p w:rsidR="00A00261" w:rsidRDefault="00087B6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Ez a gyógyszer különleges tárolási hőmérsékletet nem igényel.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pStyle w:val="Cmsor2"/>
        <w:rPr>
          <w:lang w:eastAsia="en-US"/>
        </w:rPr>
      </w:pPr>
      <w:r>
        <w:rPr>
          <w:lang w:eastAsia="en-US"/>
        </w:rPr>
        <w:t>6.5</w:t>
      </w:r>
      <w:r>
        <w:rPr>
          <w:lang w:eastAsia="en-US"/>
        </w:rPr>
        <w:tab/>
        <w:t>Csomagolás típusa és kiszerelése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Buborékcsomagolás (OPA/Alu/PVC//Al): 10, 20, 30, 60, 90 vagy 100 filmtabletta, dobozban.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bCs/>
          <w:szCs w:val="22"/>
          <w:lang w:val="hu-HU" w:eastAsia="en-US"/>
        </w:rPr>
        <w:t>Nem feltétlenül mindegyik kiszerelés kerül kereskedelmi forgalomba.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pStyle w:val="Cmsor2"/>
        <w:rPr>
          <w:lang w:eastAsia="en-US"/>
        </w:rPr>
      </w:pPr>
      <w:r>
        <w:rPr>
          <w:lang w:eastAsia="en-US"/>
        </w:rPr>
        <w:t>6.6</w:t>
      </w:r>
      <w:r>
        <w:rPr>
          <w:lang w:eastAsia="en-US"/>
        </w:rPr>
        <w:tab/>
        <w:t>A megsemmisítésre vonatkozó különleges óvintézkedések és egyéb, a készítmény kezelésével kapcsolatos információk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spacing w:line="240" w:lineRule="exact"/>
        <w:rPr>
          <w:szCs w:val="22"/>
          <w:lang w:val="hu-HU" w:eastAsia="hu-HU"/>
        </w:rPr>
      </w:pPr>
      <w:r>
        <w:rPr>
          <w:szCs w:val="22"/>
          <w:lang w:val="hu-HU" w:eastAsia="hu-HU"/>
        </w:rPr>
        <w:t xml:space="preserve">Bármilyen fel nem használt </w:t>
      </w:r>
      <w:r>
        <w:rPr>
          <w:szCs w:val="22"/>
          <w:lang w:val="hu-HU"/>
        </w:rPr>
        <w:t>gyógyszer</w:t>
      </w:r>
      <w:r>
        <w:rPr>
          <w:szCs w:val="22"/>
          <w:lang w:val="hu-HU" w:eastAsia="hu-HU"/>
        </w:rPr>
        <w:t xml:space="preserve">, illetve hulladékanyag megsemmisítését a </w:t>
      </w:r>
      <w:r>
        <w:rPr>
          <w:szCs w:val="22"/>
          <w:lang w:val="hu-HU"/>
        </w:rPr>
        <w:t xml:space="preserve">gyógyszerekre vonatkozó </w:t>
      </w:r>
      <w:r>
        <w:rPr>
          <w:szCs w:val="22"/>
          <w:lang w:val="hu-HU" w:eastAsia="hu-HU"/>
        </w:rPr>
        <w:t>előírások szerint kell végrehajtani.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pStyle w:val="Normal1"/>
        <w:rPr>
          <w:color w:val="auto"/>
          <w:sz w:val="22"/>
          <w:lang w:val="hu-HU"/>
        </w:rPr>
      </w:pPr>
      <w:r>
        <w:rPr>
          <w:b/>
          <w:color w:val="auto"/>
          <w:sz w:val="22"/>
          <w:lang w:val="hu-HU"/>
        </w:rPr>
        <w:t>Megjegyzés:</w:t>
      </w:r>
      <w:r>
        <w:rPr>
          <w:color w:val="auto"/>
          <w:sz w:val="22"/>
          <w:lang w:val="hu-HU"/>
        </w:rPr>
        <w:t xml:space="preserve"> </w:t>
      </w:r>
      <w:r>
        <w:rPr>
          <w:rFonts w:ascii="Wingdings" w:hAnsi="Wingdings"/>
          <w:color w:val="auto"/>
          <w:sz w:val="22"/>
          <w:lang w:val="hu-HU"/>
        </w:rPr>
        <w:t></w:t>
      </w:r>
      <w:r>
        <w:rPr>
          <w:color w:val="auto"/>
          <w:sz w:val="22"/>
          <w:lang w:val="hu-HU"/>
        </w:rPr>
        <w:t xml:space="preserve"> (egy keresztes)</w:t>
      </w:r>
    </w:p>
    <w:p w:rsidR="00A00261" w:rsidRDefault="00087B68">
      <w:pPr>
        <w:pStyle w:val="Normal1"/>
        <w:rPr>
          <w:b/>
          <w:color w:val="auto"/>
          <w:sz w:val="22"/>
          <w:u w:val="single"/>
          <w:lang w:val="hu-HU"/>
        </w:rPr>
      </w:pPr>
      <w:r>
        <w:rPr>
          <w:b/>
          <w:color w:val="auto"/>
          <w:sz w:val="22"/>
          <w:lang w:val="hu-HU"/>
        </w:rPr>
        <w:lastRenderedPageBreak/>
        <w:t>Osztályozás: II. csoport</w:t>
      </w:r>
    </w:p>
    <w:p w:rsidR="00A00261" w:rsidRDefault="00087B68">
      <w:pPr>
        <w:pStyle w:val="Normal1"/>
        <w:rPr>
          <w:color w:val="auto"/>
          <w:sz w:val="22"/>
          <w:lang w:val="hu-HU"/>
        </w:rPr>
      </w:pPr>
      <w:r>
        <w:rPr>
          <w:color w:val="auto"/>
          <w:sz w:val="22"/>
          <w:lang w:val="hu-HU"/>
        </w:rPr>
        <w:t>Kizárólag orvosi rendelvényhez kötött gyógyszer (V).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pStyle w:val="Cmsor1"/>
      </w:pPr>
      <w:r>
        <w:t>7.</w:t>
      </w:r>
      <w:r>
        <w:tab/>
        <w:t>A FORGALOMBA HOZATALI ENGEDÉLY JOGOSULTJA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jc w:val="both"/>
        <w:rPr>
          <w:szCs w:val="22"/>
          <w:lang w:val="hu-HU" w:eastAsia="en-US"/>
        </w:rPr>
      </w:pPr>
      <w:r>
        <w:rPr>
          <w:bCs/>
          <w:szCs w:val="22"/>
          <w:lang w:val="hu-HU" w:eastAsia="en-US"/>
        </w:rPr>
        <w:t>KRKA, d.d., Novo mesto</w:t>
      </w:r>
    </w:p>
    <w:p w:rsidR="00A00261" w:rsidRDefault="00087B68">
      <w:pPr>
        <w:widowControl w:val="0"/>
        <w:tabs>
          <w:tab w:val="left" w:pos="567"/>
        </w:tabs>
        <w:jc w:val="both"/>
        <w:rPr>
          <w:szCs w:val="22"/>
          <w:lang w:val="hu-HU" w:eastAsia="en-US"/>
        </w:rPr>
      </w:pPr>
      <w:r>
        <w:rPr>
          <w:szCs w:val="22"/>
          <w:lang w:val="hu-HU" w:eastAsia="en-US"/>
        </w:rPr>
        <w:t>Šmarješka cesta 6</w:t>
      </w:r>
    </w:p>
    <w:p w:rsidR="00A00261" w:rsidRDefault="00087B68">
      <w:pPr>
        <w:widowControl w:val="0"/>
        <w:tabs>
          <w:tab w:val="left" w:pos="567"/>
        </w:tabs>
        <w:jc w:val="both"/>
        <w:rPr>
          <w:szCs w:val="22"/>
          <w:lang w:val="hu-HU" w:eastAsia="en-US"/>
        </w:rPr>
      </w:pPr>
      <w:r>
        <w:rPr>
          <w:szCs w:val="22"/>
          <w:lang w:val="hu-HU" w:eastAsia="en-US"/>
        </w:rPr>
        <w:t>8501 Novo mesto, Szlovénia</w:t>
      </w:r>
    </w:p>
    <w:p w:rsidR="00A00261" w:rsidRDefault="00A00261">
      <w:pPr>
        <w:widowControl w:val="0"/>
        <w:tabs>
          <w:tab w:val="left" w:pos="567"/>
        </w:tabs>
        <w:jc w:val="both"/>
        <w:rPr>
          <w:szCs w:val="22"/>
          <w:lang w:val="hu-HU" w:eastAsia="en-US"/>
        </w:rPr>
      </w:pP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pStyle w:val="Cmsor1"/>
      </w:pPr>
      <w:r>
        <w:t>8.</w:t>
      </w:r>
      <w:r>
        <w:tab/>
        <w:t>A FORGALOMBA HOZATALI ENGEDÉLY SZÁMA(I)</w:t>
      </w:r>
    </w:p>
    <w:p w:rsidR="00A00261" w:rsidRDefault="00A00261">
      <w:pPr>
        <w:widowControl w:val="0"/>
        <w:tabs>
          <w:tab w:val="left" w:pos="567"/>
        </w:tabs>
        <w:rPr>
          <w:i/>
          <w:szCs w:val="22"/>
          <w:lang w:val="hu-HU" w:eastAsia="en-US"/>
        </w:rPr>
      </w:pPr>
    </w:p>
    <w:p w:rsidR="00A00261" w:rsidRDefault="00087B68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Roxiper 10 mg/4 mg/1,25 mg filmtabletta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OGYI-T-23443/01</w:t>
      </w:r>
      <w:r>
        <w:rPr>
          <w:szCs w:val="22"/>
          <w:lang w:val="de-DE"/>
        </w:rPr>
        <w:tab/>
        <w:t>10×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OGYI-T-23443/02</w:t>
      </w:r>
      <w:r>
        <w:rPr>
          <w:szCs w:val="22"/>
          <w:lang w:val="de-DE"/>
        </w:rPr>
        <w:tab/>
        <w:t>20×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OGYI-T-23443/03</w:t>
      </w:r>
      <w:r>
        <w:rPr>
          <w:szCs w:val="22"/>
          <w:lang w:val="de-DE"/>
        </w:rPr>
        <w:tab/>
        <w:t>30×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OGYI-T-23443/04</w:t>
      </w:r>
      <w:r>
        <w:rPr>
          <w:szCs w:val="22"/>
          <w:lang w:val="de-DE"/>
        </w:rPr>
        <w:tab/>
        <w:t>60×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OGYI-T-23443/05</w:t>
      </w:r>
      <w:r>
        <w:rPr>
          <w:szCs w:val="22"/>
          <w:lang w:val="de-DE"/>
        </w:rPr>
        <w:tab/>
        <w:t>90×</w:t>
      </w:r>
    </w:p>
    <w:p w:rsidR="00A00261" w:rsidRDefault="00A00261">
      <w:pPr>
        <w:rPr>
          <w:szCs w:val="22"/>
          <w:lang w:val="de-DE"/>
        </w:rPr>
      </w:pPr>
    </w:p>
    <w:p w:rsidR="00A00261" w:rsidRDefault="00087B68">
      <w:pPr>
        <w:rPr>
          <w:szCs w:val="22"/>
          <w:u w:val="single"/>
          <w:lang w:val="de-DE"/>
        </w:rPr>
      </w:pPr>
      <w:r>
        <w:rPr>
          <w:szCs w:val="22"/>
          <w:u w:val="single"/>
          <w:lang w:val="de-DE"/>
        </w:rPr>
        <w:t>Roxiper 20 mg/4 mg/1,25 mg filmtabletta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OGYI-T-23443/06</w:t>
      </w:r>
      <w:r>
        <w:rPr>
          <w:szCs w:val="22"/>
          <w:lang w:val="de-DE"/>
        </w:rPr>
        <w:tab/>
        <w:t>10×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OGYI-T-23443/07</w:t>
      </w:r>
      <w:r>
        <w:rPr>
          <w:szCs w:val="22"/>
          <w:lang w:val="de-DE"/>
        </w:rPr>
        <w:tab/>
        <w:t>20×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OGYI-T-23443/08</w:t>
      </w:r>
      <w:r>
        <w:rPr>
          <w:szCs w:val="22"/>
          <w:lang w:val="de-DE"/>
        </w:rPr>
        <w:tab/>
        <w:t>30×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OGYI-T-23443/09</w:t>
      </w:r>
      <w:r>
        <w:rPr>
          <w:szCs w:val="22"/>
          <w:lang w:val="de-DE"/>
        </w:rPr>
        <w:tab/>
        <w:t>60×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OGYI-T-23443/10</w:t>
      </w:r>
      <w:r>
        <w:rPr>
          <w:szCs w:val="22"/>
          <w:lang w:val="de-DE"/>
        </w:rPr>
        <w:tab/>
        <w:t>90×</w:t>
      </w:r>
    </w:p>
    <w:p w:rsidR="00A00261" w:rsidRDefault="00A00261">
      <w:pPr>
        <w:rPr>
          <w:szCs w:val="22"/>
          <w:lang w:val="de-DE"/>
        </w:rPr>
      </w:pPr>
    </w:p>
    <w:p w:rsidR="00A00261" w:rsidRDefault="00087B68">
      <w:pPr>
        <w:rPr>
          <w:szCs w:val="22"/>
          <w:u w:val="single"/>
          <w:lang w:val="de-DE"/>
        </w:rPr>
      </w:pPr>
      <w:r>
        <w:rPr>
          <w:szCs w:val="22"/>
          <w:u w:val="single"/>
          <w:lang w:val="de-DE"/>
        </w:rPr>
        <w:t>Roxiper 10 mg/8 mg/2,5 mg filmtabletta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OGYI-T-23443/11</w:t>
      </w:r>
      <w:r>
        <w:rPr>
          <w:szCs w:val="22"/>
          <w:lang w:val="de-DE"/>
        </w:rPr>
        <w:tab/>
        <w:t>10×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OGYI-T-23443/12</w:t>
      </w:r>
      <w:r>
        <w:rPr>
          <w:szCs w:val="22"/>
          <w:lang w:val="de-DE"/>
        </w:rPr>
        <w:tab/>
        <w:t>20×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OGYI-T-23443/13</w:t>
      </w:r>
      <w:r>
        <w:rPr>
          <w:szCs w:val="22"/>
          <w:lang w:val="de-DE"/>
        </w:rPr>
        <w:tab/>
        <w:t>30×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OGYI-T-23443/14</w:t>
      </w:r>
      <w:r>
        <w:rPr>
          <w:szCs w:val="22"/>
          <w:lang w:val="de-DE"/>
        </w:rPr>
        <w:tab/>
        <w:t>60×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OGYI-T-23443/15</w:t>
      </w:r>
      <w:r>
        <w:rPr>
          <w:szCs w:val="22"/>
          <w:lang w:val="de-DE"/>
        </w:rPr>
        <w:tab/>
        <w:t>90×</w:t>
      </w:r>
    </w:p>
    <w:p w:rsidR="00A00261" w:rsidRDefault="00A00261">
      <w:pPr>
        <w:rPr>
          <w:szCs w:val="22"/>
          <w:lang w:val="de-DE"/>
        </w:rPr>
      </w:pPr>
    </w:p>
    <w:p w:rsidR="00A00261" w:rsidRDefault="00087B68">
      <w:pPr>
        <w:rPr>
          <w:szCs w:val="22"/>
          <w:u w:val="single"/>
          <w:lang w:val="de-DE"/>
        </w:rPr>
      </w:pPr>
      <w:r>
        <w:rPr>
          <w:szCs w:val="22"/>
          <w:u w:val="single"/>
          <w:lang w:val="de-DE"/>
        </w:rPr>
        <w:t>Roxiper 20 mg/8 mg/2,5 mg filmtabletta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OGYI-T-23443/16</w:t>
      </w:r>
      <w:r>
        <w:rPr>
          <w:szCs w:val="22"/>
          <w:lang w:val="de-DE"/>
        </w:rPr>
        <w:tab/>
        <w:t>10×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OGYI-T-23443/17</w:t>
      </w:r>
      <w:r>
        <w:rPr>
          <w:szCs w:val="22"/>
          <w:lang w:val="de-DE"/>
        </w:rPr>
        <w:tab/>
        <w:t>20×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OGYI-T-23443/18</w:t>
      </w:r>
      <w:r>
        <w:rPr>
          <w:szCs w:val="22"/>
          <w:lang w:val="de-DE"/>
        </w:rPr>
        <w:tab/>
        <w:t>30×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OGYI-T-23443/19</w:t>
      </w:r>
      <w:r>
        <w:rPr>
          <w:szCs w:val="22"/>
          <w:lang w:val="de-DE"/>
        </w:rPr>
        <w:tab/>
        <w:t>60×</w:t>
      </w:r>
    </w:p>
    <w:p w:rsidR="00A00261" w:rsidRDefault="00087B68">
      <w:pPr>
        <w:tabs>
          <w:tab w:val="right" w:pos="2835"/>
        </w:tabs>
        <w:rPr>
          <w:szCs w:val="22"/>
          <w:lang w:val="de-DE"/>
        </w:rPr>
      </w:pPr>
      <w:r>
        <w:rPr>
          <w:szCs w:val="22"/>
          <w:lang w:val="de-DE"/>
        </w:rPr>
        <w:t>OGYI-T-23443/20</w:t>
      </w:r>
      <w:r>
        <w:rPr>
          <w:szCs w:val="22"/>
          <w:lang w:val="de-DE"/>
        </w:rPr>
        <w:tab/>
        <w:t>90×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pStyle w:val="Cmsor1"/>
        <w:keepNext/>
      </w:pPr>
      <w:r>
        <w:t>9.</w:t>
      </w:r>
      <w:r>
        <w:tab/>
        <w:t>A FORGALOMBA HOZATALI ENGEDÉLY ELSŐ KIADÁSÁNAK / MEGÚJÍTÁSÁNAK DÁTUMA</w:t>
      </w:r>
    </w:p>
    <w:p w:rsidR="00A00261" w:rsidRDefault="00A00261">
      <w:pPr>
        <w:widowControl w:val="0"/>
        <w:tabs>
          <w:tab w:val="left" w:pos="567"/>
        </w:tabs>
        <w:rPr>
          <w:i/>
          <w:szCs w:val="22"/>
          <w:lang w:val="hu-HU" w:eastAsia="en-US"/>
        </w:rPr>
      </w:pPr>
    </w:p>
    <w:p w:rsidR="00A00261" w:rsidRDefault="00087B68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iCs/>
          <w:szCs w:val="22"/>
          <w:lang w:val="hu-HU" w:eastAsia="en-US"/>
        </w:rPr>
      </w:pPr>
      <w:r>
        <w:rPr>
          <w:szCs w:val="22"/>
          <w:lang w:val="hu-HU" w:eastAsia="en-US"/>
        </w:rPr>
        <w:t>A forgalomba hozatali engedély első kiadásának dátuma: 2018. október 4.</w:t>
      </w:r>
    </w:p>
    <w:p w:rsidR="00A00261" w:rsidRDefault="00087B68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iCs/>
          <w:szCs w:val="22"/>
          <w:lang w:val="hu-HU" w:eastAsia="en-US"/>
        </w:rPr>
      </w:pPr>
      <w:r>
        <w:rPr>
          <w:iCs/>
          <w:szCs w:val="22"/>
          <w:lang w:val="hu-HU" w:eastAsia="en-US"/>
        </w:rPr>
        <w:t>A forgalomba hozatali engedély megújításának dátuma: 2024. június 18.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087B68" w:rsidRDefault="00087B68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pStyle w:val="Cmsor1"/>
      </w:pPr>
      <w:r>
        <w:t>10.</w:t>
      </w:r>
      <w:r>
        <w:tab/>
        <w:t>A SZÖVEG ELLENŐRZÉSÉNEK DÁTUMA</w:t>
      </w:r>
    </w:p>
    <w:p w:rsidR="00A00261" w:rsidRDefault="00A002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A00261" w:rsidRDefault="00087B68">
      <w:pPr>
        <w:widowControl w:val="0"/>
        <w:rPr>
          <w:szCs w:val="22"/>
          <w:lang w:val="hu-HU"/>
        </w:rPr>
      </w:pPr>
      <w:r>
        <w:rPr>
          <w:szCs w:val="22"/>
        </w:rPr>
        <w:t>2026. június 12.</w:t>
      </w:r>
    </w:p>
    <w:sectPr w:rsidR="00A00261"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7" w:h="16840" w:code="9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261" w:rsidRDefault="00087B68">
      <w:r>
        <w:separator/>
      </w:r>
    </w:p>
    <w:p w:rsidR="00A00261" w:rsidRDefault="00A00261"/>
  </w:endnote>
  <w:endnote w:type="continuationSeparator" w:id="0">
    <w:p w:rsidR="00A00261" w:rsidRDefault="00087B68">
      <w:r>
        <w:continuationSeparator/>
      </w:r>
    </w:p>
    <w:p w:rsidR="00A00261" w:rsidRDefault="00A00261"/>
    <w:p w:rsidR="00A00261" w:rsidRDefault="00087B68">
      <w:r>
        <w:rPr>
          <w:sz w:val="18"/>
          <w:szCs w:val="18"/>
        </w:rPr>
        <w:fldChar w:fldCharType="begin"/>
      </w:r>
      <w:r>
        <w:rPr>
          <w:sz w:val="18"/>
          <w:szCs w:val="18"/>
        </w:rPr>
        <w:instrText>PAGE   \* MERGEFORMAT</w:instrText>
      </w:r>
      <w:r>
        <w:rPr>
          <w:sz w:val="18"/>
          <w:szCs w:val="18"/>
        </w:rPr>
        <w:fldChar w:fldCharType="separate"/>
      </w:r>
      <w:r>
        <w:rPr>
          <w:noProof/>
          <w:sz w:val="18"/>
          <w:szCs w:val="18"/>
          <w:lang w:val="hu-HU"/>
        </w:rPr>
        <w:t>5</w:t>
      </w:r>
      <w:r>
        <w:rPr>
          <w:sz w:val="18"/>
          <w:szCs w:val="18"/>
        </w:rPr>
        <w:fldChar w:fldCharType="end"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261" w:rsidRDefault="00087B68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A00261" w:rsidRDefault="00A00261">
    <w:pPr>
      <w:pStyle w:val="llb"/>
      <w:ind w:right="360"/>
    </w:pPr>
  </w:p>
  <w:p w:rsidR="00A00261" w:rsidRDefault="00A0026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261" w:rsidRDefault="00A00261">
    <w:pPr>
      <w:pStyle w:val="llb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352" w:rsidRDefault="00CE4352">
    <w:pPr>
      <w:pStyle w:val="llb"/>
      <w:rPr>
        <w:sz w:val="18"/>
        <w:szCs w:val="18"/>
      </w:rPr>
    </w:pPr>
    <w:r w:rsidRPr="00CE4352">
      <w:rPr>
        <w:sz w:val="18"/>
        <w:szCs w:val="18"/>
      </w:rPr>
      <w:t>NNGYK/ETGY/20777/2026</w:t>
    </w:r>
  </w:p>
  <w:p w:rsidR="00CE4352" w:rsidRDefault="00CE4352">
    <w:pPr>
      <w:pStyle w:val="llb"/>
      <w:rPr>
        <w:sz w:val="18"/>
        <w:szCs w:val="18"/>
      </w:rPr>
    </w:pPr>
    <w:r>
      <w:rPr>
        <w:sz w:val="18"/>
        <w:szCs w:val="18"/>
      </w:rPr>
      <w:t>NNGYK/ETGY/20778</w:t>
    </w:r>
    <w:r w:rsidRPr="00CE4352">
      <w:rPr>
        <w:sz w:val="18"/>
        <w:szCs w:val="18"/>
      </w:rPr>
      <w:t>/2026</w:t>
    </w:r>
  </w:p>
  <w:p w:rsidR="00CE4352" w:rsidRDefault="00CE4352">
    <w:pPr>
      <w:pStyle w:val="llb"/>
      <w:rPr>
        <w:sz w:val="18"/>
        <w:szCs w:val="18"/>
      </w:rPr>
    </w:pPr>
    <w:r>
      <w:rPr>
        <w:sz w:val="18"/>
        <w:szCs w:val="18"/>
      </w:rPr>
      <w:t>NNGYK/ETGY/20779</w:t>
    </w:r>
    <w:r w:rsidRPr="00CE4352">
      <w:rPr>
        <w:sz w:val="18"/>
        <w:szCs w:val="18"/>
      </w:rPr>
      <w:t>/2026</w:t>
    </w:r>
  </w:p>
  <w:p w:rsidR="00A00261" w:rsidRDefault="00CE4352">
    <w:pPr>
      <w:pStyle w:val="llb"/>
    </w:pPr>
    <w:r>
      <w:rPr>
        <w:sz w:val="18"/>
        <w:szCs w:val="18"/>
      </w:rPr>
      <w:t>NNGYK/ETGY/20780</w:t>
    </w:r>
    <w:r w:rsidRPr="00CE4352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261" w:rsidRDefault="00087B68">
      <w:r>
        <w:separator/>
      </w:r>
    </w:p>
    <w:p w:rsidR="00A00261" w:rsidRDefault="00A00261"/>
  </w:footnote>
  <w:footnote w:type="continuationSeparator" w:id="0">
    <w:p w:rsidR="00A00261" w:rsidRDefault="00087B68">
      <w:r>
        <w:continuationSeparator/>
      </w:r>
    </w:p>
    <w:p w:rsidR="00A00261" w:rsidRDefault="00A002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2" w:name="TableTag1"/>
  <w:bookmarkEnd w:id="2"/>
  <w:p w:rsidR="00A00261" w:rsidRDefault="00087B68">
    <w:pPr>
      <w:pStyle w:val="lfej"/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 w:rsidR="00BD62A7" w:rsidRPr="00BD62A7">
      <w:rPr>
        <w:noProof/>
        <w:sz w:val="18"/>
        <w:szCs w:val="18"/>
        <w:lang w:val="hu-HU"/>
      </w:rPr>
      <w:t>33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5" w15:restartNumberingAfterBreak="0">
    <w:nsid w:val="00000405"/>
    <w:multiLevelType w:val="multilevel"/>
    <w:tmpl w:val="00000888"/>
    <w:lvl w:ilvl="0">
      <w:numFmt w:val="bullet"/>
      <w:lvlText w:val="-"/>
      <w:lvlJc w:val="left"/>
      <w:pPr>
        <w:ind w:left="535" w:hanging="428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1">
      <w:numFmt w:val="bullet"/>
      <w:lvlText w:val="•"/>
      <w:lvlJc w:val="left"/>
      <w:pPr>
        <w:ind w:left="1438" w:hanging="428"/>
      </w:pPr>
    </w:lvl>
    <w:lvl w:ilvl="2">
      <w:numFmt w:val="bullet"/>
      <w:lvlText w:val="•"/>
      <w:lvlJc w:val="left"/>
      <w:pPr>
        <w:ind w:left="2341" w:hanging="428"/>
      </w:pPr>
    </w:lvl>
    <w:lvl w:ilvl="3">
      <w:numFmt w:val="bullet"/>
      <w:lvlText w:val="•"/>
      <w:lvlJc w:val="left"/>
      <w:pPr>
        <w:ind w:left="3244" w:hanging="428"/>
      </w:pPr>
    </w:lvl>
    <w:lvl w:ilvl="4">
      <w:numFmt w:val="bullet"/>
      <w:lvlText w:val="•"/>
      <w:lvlJc w:val="left"/>
      <w:pPr>
        <w:ind w:left="4147" w:hanging="428"/>
      </w:pPr>
    </w:lvl>
    <w:lvl w:ilvl="5">
      <w:numFmt w:val="bullet"/>
      <w:lvlText w:val="•"/>
      <w:lvlJc w:val="left"/>
      <w:pPr>
        <w:ind w:left="5050" w:hanging="428"/>
      </w:pPr>
    </w:lvl>
    <w:lvl w:ilvl="6">
      <w:numFmt w:val="bullet"/>
      <w:lvlText w:val="•"/>
      <w:lvlJc w:val="left"/>
      <w:pPr>
        <w:ind w:left="5953" w:hanging="428"/>
      </w:pPr>
    </w:lvl>
    <w:lvl w:ilvl="7">
      <w:numFmt w:val="bullet"/>
      <w:lvlText w:val="•"/>
      <w:lvlJc w:val="left"/>
      <w:pPr>
        <w:ind w:left="6857" w:hanging="428"/>
      </w:pPr>
    </w:lvl>
    <w:lvl w:ilvl="8">
      <w:numFmt w:val="bullet"/>
      <w:lvlText w:val="•"/>
      <w:lvlJc w:val="left"/>
      <w:pPr>
        <w:ind w:left="7760" w:hanging="428"/>
      </w:pPr>
    </w:lvl>
  </w:abstractNum>
  <w:abstractNum w:abstractNumId="6" w15:restartNumberingAfterBreak="0">
    <w:nsid w:val="0647707B"/>
    <w:multiLevelType w:val="hybridMultilevel"/>
    <w:tmpl w:val="C04CDEA4"/>
    <w:lvl w:ilvl="0" w:tplc="6B2251C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hint="default"/>
        <w:b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FA52FD"/>
    <w:multiLevelType w:val="hybridMultilevel"/>
    <w:tmpl w:val="17FC78C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B26AFE"/>
    <w:multiLevelType w:val="hybridMultilevel"/>
    <w:tmpl w:val="A70C1D56"/>
    <w:lvl w:ilvl="0" w:tplc="000000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726C2D"/>
    <w:multiLevelType w:val="hybridMultilevel"/>
    <w:tmpl w:val="AE28DF8A"/>
    <w:lvl w:ilvl="0" w:tplc="10120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3306E"/>
    <w:multiLevelType w:val="hybridMultilevel"/>
    <w:tmpl w:val="50BE170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522432"/>
    <w:multiLevelType w:val="hybridMultilevel"/>
    <w:tmpl w:val="A7748990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F56403"/>
    <w:multiLevelType w:val="hybridMultilevel"/>
    <w:tmpl w:val="075A4434"/>
    <w:lvl w:ilvl="0" w:tplc="10120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41F8E"/>
    <w:multiLevelType w:val="hybridMultilevel"/>
    <w:tmpl w:val="91608288"/>
    <w:lvl w:ilvl="0" w:tplc="6B2251C0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 w:hint="default"/>
        <w:b/>
        <w:i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8F7F69"/>
    <w:multiLevelType w:val="hybridMultilevel"/>
    <w:tmpl w:val="8632BA62"/>
    <w:lvl w:ilvl="0" w:tplc="BF90B16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C78D5"/>
    <w:multiLevelType w:val="hybridMultilevel"/>
    <w:tmpl w:val="CD025332"/>
    <w:lvl w:ilvl="0" w:tplc="040E0001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hint="default"/>
        <w:b/>
        <w:i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D56817"/>
    <w:multiLevelType w:val="hybridMultilevel"/>
    <w:tmpl w:val="0ABC34C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0A3779"/>
    <w:multiLevelType w:val="hybridMultilevel"/>
    <w:tmpl w:val="BAFE31A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6B75EA"/>
    <w:multiLevelType w:val="hybridMultilevel"/>
    <w:tmpl w:val="D172A99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C00E5D"/>
    <w:multiLevelType w:val="hybridMultilevel"/>
    <w:tmpl w:val="2D46389E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D02178"/>
    <w:multiLevelType w:val="hybridMultilevel"/>
    <w:tmpl w:val="12CC6CEA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D97838"/>
    <w:multiLevelType w:val="hybridMultilevel"/>
    <w:tmpl w:val="B108F5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26463"/>
    <w:multiLevelType w:val="multilevel"/>
    <w:tmpl w:val="0000000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3" w15:restartNumberingAfterBreak="0">
    <w:nsid w:val="3DCD32BE"/>
    <w:multiLevelType w:val="hybridMultilevel"/>
    <w:tmpl w:val="321CBBD4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EA0780"/>
    <w:multiLevelType w:val="hybridMultilevel"/>
    <w:tmpl w:val="415CC216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9F2A4D"/>
    <w:multiLevelType w:val="multilevel"/>
    <w:tmpl w:val="CD025332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A74970"/>
    <w:multiLevelType w:val="hybridMultilevel"/>
    <w:tmpl w:val="79CE56B0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C0B0BDAA">
      <w:start w:val="1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2B0AB0"/>
    <w:multiLevelType w:val="hybridMultilevel"/>
    <w:tmpl w:val="A320822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B83610"/>
    <w:multiLevelType w:val="hybridMultilevel"/>
    <w:tmpl w:val="A4225DE0"/>
    <w:lvl w:ilvl="0" w:tplc="10120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1F31F4"/>
    <w:multiLevelType w:val="hybridMultilevel"/>
    <w:tmpl w:val="24B48BA4"/>
    <w:lvl w:ilvl="0" w:tplc="000000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FF4167"/>
    <w:multiLevelType w:val="hybridMultilevel"/>
    <w:tmpl w:val="7826CFBA"/>
    <w:lvl w:ilvl="0" w:tplc="61D6DA8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065A06"/>
    <w:multiLevelType w:val="hybridMultilevel"/>
    <w:tmpl w:val="BC14D498"/>
    <w:lvl w:ilvl="0" w:tplc="000000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140501"/>
    <w:multiLevelType w:val="hybridMultilevel"/>
    <w:tmpl w:val="2D043EF8"/>
    <w:lvl w:ilvl="0" w:tplc="10120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1206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B04F86"/>
    <w:multiLevelType w:val="hybridMultilevel"/>
    <w:tmpl w:val="218200AE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C0B0BDAA">
      <w:start w:val="1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373F3E"/>
    <w:multiLevelType w:val="hybridMultilevel"/>
    <w:tmpl w:val="A83EDF5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E8440B"/>
    <w:multiLevelType w:val="hybridMultilevel"/>
    <w:tmpl w:val="62C463E6"/>
    <w:lvl w:ilvl="0" w:tplc="3BFC8B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2F26B7"/>
    <w:multiLevelType w:val="hybridMultilevel"/>
    <w:tmpl w:val="97C83D50"/>
    <w:lvl w:ilvl="0" w:tplc="C4C8BF60"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D94948"/>
    <w:multiLevelType w:val="hybridMultilevel"/>
    <w:tmpl w:val="0F22FB0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9A76DC"/>
    <w:multiLevelType w:val="hybridMultilevel"/>
    <w:tmpl w:val="1116BF42"/>
    <w:lvl w:ilvl="0" w:tplc="064CE8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07051A"/>
    <w:multiLevelType w:val="hybridMultilevel"/>
    <w:tmpl w:val="D70ECEB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DE78EB"/>
    <w:multiLevelType w:val="hybridMultilevel"/>
    <w:tmpl w:val="25E2AF42"/>
    <w:lvl w:ilvl="0" w:tplc="3C2A8D10"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99724C"/>
    <w:multiLevelType w:val="hybridMultilevel"/>
    <w:tmpl w:val="25FCB3C6"/>
    <w:lvl w:ilvl="0" w:tplc="A45E2800">
      <w:start w:val="1"/>
      <w:numFmt w:val="bullet"/>
      <w:lvlText w:val="­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3"/>
  </w:num>
  <w:num w:numId="3">
    <w:abstractNumId w:val="30"/>
  </w:num>
  <w:num w:numId="4">
    <w:abstractNumId w:val="17"/>
  </w:num>
  <w:num w:numId="5">
    <w:abstractNumId w:val="32"/>
  </w:num>
  <w:num w:numId="6">
    <w:abstractNumId w:val="19"/>
  </w:num>
  <w:num w:numId="7">
    <w:abstractNumId w:val="24"/>
  </w:num>
  <w:num w:numId="8">
    <w:abstractNumId w:val="20"/>
  </w:num>
  <w:num w:numId="9">
    <w:abstractNumId w:val="39"/>
  </w:num>
  <w:num w:numId="10">
    <w:abstractNumId w:val="28"/>
  </w:num>
  <w:num w:numId="11">
    <w:abstractNumId w:val="9"/>
  </w:num>
  <w:num w:numId="12">
    <w:abstractNumId w:val="34"/>
  </w:num>
  <w:num w:numId="13">
    <w:abstractNumId w:val="26"/>
  </w:num>
  <w:num w:numId="14">
    <w:abstractNumId w:val="23"/>
  </w:num>
  <w:num w:numId="15">
    <w:abstractNumId w:val="11"/>
  </w:num>
  <w:num w:numId="16">
    <w:abstractNumId w:val="21"/>
  </w:num>
  <w:num w:numId="17">
    <w:abstractNumId w:val="27"/>
  </w:num>
  <w:num w:numId="18">
    <w:abstractNumId w:val="10"/>
  </w:num>
  <w:num w:numId="19">
    <w:abstractNumId w:val="18"/>
  </w:num>
  <w:num w:numId="20">
    <w:abstractNumId w:val="35"/>
  </w:num>
  <w:num w:numId="21">
    <w:abstractNumId w:val="7"/>
  </w:num>
  <w:num w:numId="22">
    <w:abstractNumId w:val="12"/>
  </w:num>
  <w:num w:numId="23">
    <w:abstractNumId w:val="41"/>
  </w:num>
  <w:num w:numId="24">
    <w:abstractNumId w:val="16"/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  <w:num w:numId="30">
    <w:abstractNumId w:val="25"/>
  </w:num>
  <w:num w:numId="31">
    <w:abstractNumId w:val="13"/>
  </w:num>
  <w:num w:numId="32">
    <w:abstractNumId w:val="37"/>
  </w:num>
  <w:num w:numId="33">
    <w:abstractNumId w:val="42"/>
  </w:num>
  <w:num w:numId="34">
    <w:abstractNumId w:val="6"/>
  </w:num>
  <w:num w:numId="35">
    <w:abstractNumId w:val="4"/>
  </w:num>
  <w:num w:numId="36">
    <w:abstractNumId w:val="0"/>
  </w:num>
  <w:num w:numId="37">
    <w:abstractNumId w:val="22"/>
  </w:num>
  <w:num w:numId="38">
    <w:abstractNumId w:val="29"/>
  </w:num>
  <w:num w:numId="39">
    <w:abstractNumId w:val="8"/>
  </w:num>
  <w:num w:numId="40">
    <w:abstractNumId w:val="31"/>
  </w:num>
  <w:num w:numId="41">
    <w:abstractNumId w:val="36"/>
  </w:num>
  <w:num w:numId="42">
    <w:abstractNumId w:val="38"/>
  </w:num>
  <w:num w:numId="43">
    <w:abstractNumId w:val="14"/>
  </w:num>
  <w:num w:numId="44">
    <w:abstractNumId w:val="43"/>
  </w:num>
  <w:num w:numId="45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de-DE" w:vendorID="64" w:dllVersion="131078" w:nlCheck="1" w:checkStyle="0"/>
  <w:activeWritingStyle w:appName="MSWord" w:lang="en-GB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261"/>
    <w:rsid w:val="00087B68"/>
    <w:rsid w:val="00A00261"/>
    <w:rsid w:val="00BD62A7"/>
    <w:rsid w:val="00CE4352"/>
    <w:rsid w:val="00D8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E753E2A-CB14-490F-8949-C5E9640F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val="en-GB"/>
    </w:rPr>
  </w:style>
  <w:style w:type="paragraph" w:styleId="Cmsor1">
    <w:name w:val="heading 1"/>
    <w:basedOn w:val="Norml"/>
    <w:next w:val="Norml"/>
    <w:qFormat/>
    <w:pPr>
      <w:widowControl w:val="0"/>
      <w:tabs>
        <w:tab w:val="left" w:pos="567"/>
      </w:tabs>
      <w:ind w:left="567" w:hanging="567"/>
      <w:outlineLvl w:val="0"/>
    </w:pPr>
    <w:rPr>
      <w:b/>
      <w:szCs w:val="22"/>
      <w:lang w:val="hu-HU" w:eastAsia="en-US"/>
    </w:rPr>
  </w:style>
  <w:style w:type="paragraph" w:styleId="Cmsor2">
    <w:name w:val="heading 2"/>
    <w:basedOn w:val="Norml"/>
    <w:next w:val="Norml"/>
    <w:qFormat/>
    <w:pPr>
      <w:ind w:left="567" w:hanging="567"/>
      <w:outlineLvl w:val="1"/>
    </w:pPr>
    <w:rPr>
      <w:b/>
      <w:bCs/>
      <w:szCs w:val="22"/>
      <w:lang w:val="hu-HU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  <w:lang w:val="en-US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sz w:val="24"/>
      <w:lang w:val="x-none" w:eastAsia="x-none"/>
    </w:rPr>
  </w:style>
  <w:style w:type="paragraph" w:styleId="llb">
    <w:name w:val="footer"/>
    <w:basedOn w:val="Norml"/>
    <w:link w:val="llbChar"/>
    <w:uiPriority w:val="99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en-US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rPr>
      <w:rFonts w:ascii="Courier New" w:hAnsi="Courier New"/>
      <w:sz w:val="20"/>
    </w:rPr>
  </w:style>
  <w:style w:type="paragraph" w:styleId="Kpalrs">
    <w:name w:val="caption"/>
    <w:basedOn w:val="Norml"/>
    <w:next w:val="Norml"/>
    <w:qFormat/>
    <w:pPr>
      <w:jc w:val="both"/>
    </w:pPr>
  </w:style>
  <w:style w:type="paragraph" w:customStyle="1" w:styleId="Naslov1">
    <w:name w:val="Naslov1"/>
    <w:basedOn w:val="Cmsor1"/>
    <w:rPr>
      <w:bCs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pPr>
      <w:numPr>
        <w:ilvl w:val="12"/>
      </w:numPr>
      <w:tabs>
        <w:tab w:val="left" w:pos="8505"/>
      </w:tabs>
      <w:ind w:right="-2"/>
    </w:pPr>
  </w:style>
  <w:style w:type="paragraph" w:styleId="Szvegtrzs2">
    <w:name w:val="Body Text 2"/>
    <w:basedOn w:val="Norml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Brezseznama1">
    <w:name w:val="Brez seznama1"/>
    <w:next w:val="Nemlista"/>
    <w:semiHidden/>
  </w:style>
  <w:style w:type="paragraph" w:styleId="Vgjegyzetszvege">
    <w:name w:val="endnote text"/>
    <w:basedOn w:val="Norml"/>
    <w:semiHidden/>
    <w:pPr>
      <w:tabs>
        <w:tab w:val="left" w:pos="567"/>
      </w:tabs>
    </w:pPr>
    <w:rPr>
      <w:lang w:eastAsia="en-US"/>
    </w:rPr>
  </w:style>
  <w:style w:type="numbering" w:customStyle="1" w:styleId="Brezseznama2">
    <w:name w:val="Brez seznama2"/>
    <w:next w:val="Nemlista"/>
    <w:semiHidden/>
  </w:style>
  <w:style w:type="numbering" w:customStyle="1" w:styleId="Brezseznama3">
    <w:name w:val="Brez seznama3"/>
    <w:next w:val="Nemlista"/>
    <w:semiHidden/>
  </w:style>
  <w:style w:type="paragraph" w:styleId="Cm">
    <w:name w:val="Title"/>
    <w:basedOn w:val="Norml"/>
    <w:qFormat/>
    <w:pPr>
      <w:jc w:val="center"/>
    </w:pPr>
    <w:rPr>
      <w:b/>
      <w:lang w:eastAsia="en-US"/>
    </w:rPr>
  </w:style>
  <w:style w:type="numbering" w:customStyle="1" w:styleId="Brezseznama4">
    <w:name w:val="Brez seznama4"/>
    <w:next w:val="Nemlista"/>
    <w:semiHidden/>
  </w:style>
  <w:style w:type="numbering" w:customStyle="1" w:styleId="Brezseznama5">
    <w:name w:val="Brez seznama5"/>
    <w:next w:val="Nemlista"/>
    <w:uiPriority w:val="99"/>
    <w:semiHidden/>
    <w:unhideWhenUsed/>
  </w:style>
  <w:style w:type="character" w:customStyle="1" w:styleId="lfejChar">
    <w:name w:val="Élőfej Char"/>
    <w:link w:val="lfej"/>
    <w:uiPriority w:val="99"/>
    <w:rPr>
      <w:sz w:val="24"/>
    </w:rPr>
  </w:style>
  <w:style w:type="paragraph" w:customStyle="1" w:styleId="TitleB">
    <w:name w:val="Title B"/>
    <w:basedOn w:val="Norml"/>
    <w:qFormat/>
    <w:pPr>
      <w:widowControl w:val="0"/>
      <w:tabs>
        <w:tab w:val="left" w:pos="567"/>
      </w:tabs>
      <w:ind w:left="567" w:hanging="567"/>
    </w:pPr>
    <w:rPr>
      <w:b/>
      <w:bCs/>
      <w:noProof/>
      <w:szCs w:val="22"/>
      <w:lang w:val="en-US" w:eastAsia="en-US"/>
    </w:rPr>
  </w:style>
  <w:style w:type="paragraph" w:customStyle="1" w:styleId="TitleA">
    <w:name w:val="Title A"/>
    <w:basedOn w:val="Norml"/>
    <w:qFormat/>
    <w:pPr>
      <w:widowControl w:val="0"/>
      <w:jc w:val="center"/>
      <w:outlineLvl w:val="0"/>
    </w:pPr>
    <w:rPr>
      <w:b/>
      <w:noProof/>
      <w:szCs w:val="22"/>
      <w:lang w:eastAsia="en-US"/>
    </w:rPr>
  </w:style>
  <w:style w:type="paragraph" w:styleId="Vltozat">
    <w:name w:val="Revision"/>
    <w:hidden/>
    <w:uiPriority w:val="99"/>
    <w:semiHidden/>
    <w:rPr>
      <w:sz w:val="24"/>
    </w:rPr>
  </w:style>
  <w:style w:type="paragraph" w:styleId="Buborkszveg">
    <w:name w:val="Balloon Text"/>
    <w:basedOn w:val="Norml"/>
    <w:link w:val="BuborkszvegChar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</w:rPr>
  </w:style>
  <w:style w:type="numbering" w:customStyle="1" w:styleId="Brezseznama6">
    <w:name w:val="Brez seznama6"/>
    <w:next w:val="Nemlista"/>
    <w:uiPriority w:val="99"/>
    <w:semiHidden/>
    <w:unhideWhenUsed/>
  </w:style>
  <w:style w:type="paragraph" w:customStyle="1" w:styleId="BodytextAgency">
    <w:name w:val="Body text (Agency)"/>
    <w:basedOn w:val="Norml"/>
    <w:link w:val="BodytextAgencyChar"/>
    <w:pPr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  <w:lang w:val="en-GB" w:eastAsia="en-GB"/>
    </w:rPr>
  </w:style>
  <w:style w:type="paragraph" w:styleId="Szvegtrzsbehzssal">
    <w:name w:val="Body Text Indent"/>
    <w:basedOn w:val="Norml"/>
    <w:link w:val="SzvegtrzsbehzssalChar"/>
    <w:pPr>
      <w:spacing w:after="120"/>
      <w:ind w:left="283"/>
    </w:pPr>
    <w:rPr>
      <w:sz w:val="24"/>
      <w:lang w:eastAsia="x-none"/>
    </w:rPr>
  </w:style>
  <w:style w:type="character" w:customStyle="1" w:styleId="SzvegtrzsbehzssalChar">
    <w:name w:val="Szövegtörzs behúzással Char"/>
    <w:link w:val="Szvegtrzsbehzssal"/>
    <w:rPr>
      <w:sz w:val="24"/>
      <w:lang w:val="en-GB"/>
    </w:rPr>
  </w:style>
  <w:style w:type="paragraph" w:customStyle="1" w:styleId="a">
    <w:name w:val="("/>
    <w:pPr>
      <w:tabs>
        <w:tab w:val="center" w:pos="4819"/>
        <w:tab w:val="right" w:pos="9071"/>
      </w:tabs>
    </w:pPr>
    <w:rPr>
      <w:lang w:val="fr-FR" w:eastAsia="fr-FR"/>
    </w:rPr>
  </w:style>
  <w:style w:type="paragraph" w:styleId="Szvegtrzs3">
    <w:name w:val="Body Text 3"/>
    <w:basedOn w:val="Norml"/>
    <w:link w:val="Szvegtrzs3Char"/>
    <w:pPr>
      <w:spacing w:after="120"/>
    </w:pPr>
    <w:rPr>
      <w:sz w:val="16"/>
      <w:szCs w:val="16"/>
      <w:lang w:eastAsia="x-none"/>
    </w:rPr>
  </w:style>
  <w:style w:type="character" w:customStyle="1" w:styleId="Szvegtrzs3Char">
    <w:name w:val="Szövegtörzs 3 Char"/>
    <w:link w:val="Szvegtrzs3"/>
    <w:rPr>
      <w:sz w:val="16"/>
      <w:szCs w:val="16"/>
      <w:lang w:val="en-GB"/>
    </w:rPr>
  </w:style>
  <w:style w:type="paragraph" w:customStyle="1" w:styleId="A-TableText">
    <w:name w:val="A-Table Text"/>
    <w:pPr>
      <w:spacing w:before="60" w:after="60"/>
    </w:pPr>
    <w:rPr>
      <w:sz w:val="22"/>
      <w:szCs w:val="22"/>
      <w:lang w:val="en-GB" w:eastAsia="en-US"/>
    </w:rPr>
  </w:style>
  <w:style w:type="paragraph" w:customStyle="1" w:styleId="A-TableTitle">
    <w:name w:val="A-Table Title"/>
    <w:next w:val="Norml"/>
    <w:pPr>
      <w:keepNext/>
      <w:tabs>
        <w:tab w:val="left" w:pos="1800"/>
      </w:tabs>
      <w:spacing w:after="120" w:line="280" w:lineRule="atLeast"/>
      <w:ind w:left="1800" w:hanging="1800"/>
    </w:pPr>
    <w:rPr>
      <w:b/>
      <w:bCs/>
      <w:sz w:val="24"/>
      <w:szCs w:val="24"/>
      <w:lang w:val="en-GB" w:eastAsia="en-US"/>
    </w:rPr>
  </w:style>
  <w:style w:type="paragraph" w:customStyle="1" w:styleId="A-TableHeader">
    <w:name w:val="A-Table Header"/>
    <w:next w:val="A-TableText"/>
    <w:pPr>
      <w:keepNext/>
      <w:spacing w:before="60" w:after="60"/>
    </w:pPr>
    <w:rPr>
      <w:b/>
      <w:bCs/>
      <w:sz w:val="22"/>
      <w:szCs w:val="22"/>
      <w:lang w:val="en-GB" w:eastAsia="en-US"/>
    </w:rPr>
  </w:style>
  <w:style w:type="paragraph" w:styleId="NormlWeb">
    <w:name w:val="Normal (Web)"/>
    <w:basedOn w:val="Norml"/>
    <w:pPr>
      <w:spacing w:before="100" w:beforeAutospacing="1" w:after="69"/>
    </w:pPr>
    <w:rPr>
      <w:color w:val="000000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  <w:lang w:eastAsia="x-none"/>
    </w:rPr>
  </w:style>
  <w:style w:type="character" w:customStyle="1" w:styleId="JegyzetszvegChar">
    <w:name w:val="Jegyzetszöveg Char"/>
    <w:link w:val="Jegyzetszveg"/>
    <w:rPr>
      <w:lang w:val="en-GB"/>
    </w:rPr>
  </w:style>
  <w:style w:type="paragraph" w:customStyle="1" w:styleId="Normal1">
    <w:name w:val="Normal1"/>
    <w:basedOn w:val="Norml"/>
    <w:pPr>
      <w:widowControl w:val="0"/>
      <w:suppressAutoHyphens/>
    </w:pPr>
    <w:rPr>
      <w:rFonts w:eastAsia="HG Mincho Light J"/>
      <w:color w:val="000000"/>
      <w:sz w:val="20"/>
      <w:szCs w:val="24"/>
      <w:lang w:val="en-US"/>
    </w:rPr>
  </w:style>
  <w:style w:type="paragraph" w:customStyle="1" w:styleId="WW-Hivatkozsjegyzk-fej">
    <w:name w:val="WW-Hivatkozásjegyzék-fej"/>
    <w:basedOn w:val="Norml"/>
    <w:next w:val="Norml"/>
    <w:pPr>
      <w:widowControl w:val="0"/>
      <w:suppressAutoHyphens/>
      <w:spacing w:before="120"/>
    </w:pPr>
    <w:rPr>
      <w:rFonts w:ascii="Arial" w:eastAsia="HG Mincho Light J" w:hAnsi="Arial" w:cs="Arial"/>
      <w:b/>
      <w:bCs/>
      <w:color w:val="000000"/>
      <w:sz w:val="24"/>
      <w:szCs w:val="24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rPr>
      <w:b/>
      <w:bCs/>
      <w:lang w:eastAsia="sl-SI"/>
    </w:rPr>
  </w:style>
  <w:style w:type="character" w:customStyle="1" w:styleId="MegjegyzstrgyaChar">
    <w:name w:val="Megjegyzés tárgya Char"/>
    <w:link w:val="Megjegyzstrgya"/>
    <w:rPr>
      <w:b/>
      <w:bCs/>
      <w:lang w:val="en-GB" w:eastAsia="sl-SI"/>
    </w:rPr>
  </w:style>
  <w:style w:type="character" w:customStyle="1" w:styleId="llbChar">
    <w:name w:val="Élőláb Char"/>
    <w:link w:val="llb"/>
    <w:uiPriority w:val="99"/>
    <w:rPr>
      <w:sz w:val="22"/>
      <w:lang w:val="en-GB" w:eastAsia="sl-SI"/>
    </w:rPr>
  </w:style>
  <w:style w:type="character" w:customStyle="1" w:styleId="Kiemelt">
    <w:name w:val="Kiemelt"/>
    <w:rPr>
      <w:i/>
      <w:iCs/>
    </w:rPr>
  </w:style>
  <w:style w:type="paragraph" w:customStyle="1" w:styleId="Norml11">
    <w:name w:val="Normál 11"/>
    <w:rPr>
      <w:sz w:val="22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4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3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0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3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0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7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7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5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7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5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5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4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6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5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0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46595-EF14-48B4-929D-8BF3FD88E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34</Pages>
  <Words>12577</Words>
  <Characters>95020</Characters>
  <Application>Microsoft Office Word</Application>
  <DocSecurity>0</DocSecurity>
  <Lines>791</Lines>
  <Paragraphs>214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Roxiper filmtabletta – Alkalmazási előírás</vt:lpstr>
      <vt:lpstr>Roxiper filmtabletta – Alkalmazási előírás</vt:lpstr>
      <vt:lpstr>Roxiper filmtabletta – Alkalmazási előírás</vt:lpstr>
    </vt:vector>
  </TitlesOfParts>
  <Company>Krka, d.d.</Company>
  <LinksUpToDate>false</LinksUpToDate>
  <CharactersWithSpaces>107383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Roxiper filmtabletta – Alkalmazási előírás</dc:title>
  <dc:subject>Alkalmazási előírás</dc:subject>
  <dc:creator>Krka, d.d., Novo mesto</dc:creator>
  <cp:keywords>rozuvasztatin; perindopril-terc-butil-amin; indapamid</cp:keywords>
  <cp:lastModifiedBy>HU OGYI 49.1</cp:lastModifiedBy>
  <cp:revision>5</cp:revision>
  <cp:lastPrinted>2019-03-21T09:38:00Z</cp:lastPrinted>
  <dcterms:created xsi:type="dcterms:W3CDTF">2026-09-14T14:10:00Z</dcterms:created>
  <dcterms:modified xsi:type="dcterms:W3CDTF">2026-09-17T08:59:00Z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p_title">
    <vt:lpwstr/>
  </property>
  <property fmtid="{D5CDD505-2E9C-101B-9397-08002B2CF9AE}" pid="3" name="ph_inn_name">
    <vt:lpwstr/>
  </property>
  <property fmtid="{D5CDD505-2E9C-101B-9397-08002B2CF9AE}" pid="4" name="ph_pharm_form">
    <vt:lpwstr/>
  </property>
  <property fmtid="{D5CDD505-2E9C-101B-9397-08002B2CF9AE}" pid="5" name="ph_unit_measure">
    <vt:lpwstr/>
  </property>
  <property fmtid="{D5CDD505-2E9C-101B-9397-08002B2CF9AE}" pid="6" name="mp_first_effective_date">
    <vt:lpwstr/>
  </property>
  <property fmtid="{D5CDD505-2E9C-101B-9397-08002B2CF9AE}" pid="7" name="mp_updated_effective_date">
    <vt:lpwstr/>
  </property>
  <property fmtid="{D5CDD505-2E9C-101B-9397-08002B2CF9AE}" pid="8" name="object_name">
    <vt:lpwstr>PI_Text112130_1</vt:lpwstr>
  </property>
  <property fmtid="{D5CDD505-2E9C-101B-9397-08002B2CF9AE}" pid="9" name="ph_strength_custom">
    <vt:lpwstr/>
  </property>
  <property fmtid="{D5CDD505-2E9C-101B-9397-08002B2CF9AE}" pid="10" name="mp_document_code">
    <vt:lpwstr/>
  </property>
  <property fmtid="{D5CDD505-2E9C-101B-9397-08002B2CF9AE}" pid="11" name="drz1">
    <vt:lpwstr/>
  </property>
  <property fmtid="{D5CDD505-2E9C-101B-9397-08002B2CF9AE}" pid="12" name="drz2">
    <vt:lpwstr/>
  </property>
  <property fmtid="{D5CDD505-2E9C-101B-9397-08002B2CF9AE}" pid="13" name="drz3">
    <vt:lpwstr/>
  </property>
  <property fmtid="{D5CDD505-2E9C-101B-9397-08002B2CF9AE}" pid="14" name="drz4">
    <vt:lpwstr/>
  </property>
  <property fmtid="{D5CDD505-2E9C-101B-9397-08002B2CF9AE}" pid="15" name="drz5">
    <vt:lpwstr/>
  </property>
  <property fmtid="{D5CDD505-2E9C-101B-9397-08002B2CF9AE}" pid="16" name="drz6">
    <vt:lpwstr/>
  </property>
  <property fmtid="{D5CDD505-2E9C-101B-9397-08002B2CF9AE}" pid="17" name="drz7">
    <vt:lpwstr/>
  </property>
  <property fmtid="{D5CDD505-2E9C-101B-9397-08002B2CF9AE}" pid="18" name="drz8">
    <vt:lpwstr/>
  </property>
  <property fmtid="{D5CDD505-2E9C-101B-9397-08002B2CF9AE}" pid="19" name="drz9">
    <vt:lpwstr/>
  </property>
  <property fmtid="{D5CDD505-2E9C-101B-9397-08002B2CF9AE}" pid="20" name="drz10">
    <vt:lpwstr/>
  </property>
  <property fmtid="{D5CDD505-2E9C-101B-9397-08002B2CF9AE}" pid="21" name="RMS_drz1">
    <vt:lpwstr/>
  </property>
  <property fmtid="{D5CDD505-2E9C-101B-9397-08002B2CF9AE}" pid="22" name="RMS_drz2">
    <vt:lpwstr/>
  </property>
  <property fmtid="{D5CDD505-2E9C-101B-9397-08002B2CF9AE}" pid="23" name="RMS_drz3">
    <vt:lpwstr/>
  </property>
  <property fmtid="{D5CDD505-2E9C-101B-9397-08002B2CF9AE}" pid="24" name="RMS_drz4">
    <vt:lpwstr/>
  </property>
  <property fmtid="{D5CDD505-2E9C-101B-9397-08002B2CF9AE}" pid="25" name="RMS_drz5">
    <vt:lpwstr/>
  </property>
</Properties>
</file>