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DD3C4" w14:textId="10BF64A5" w:rsidR="00B3283F" w:rsidRPr="00074E44" w:rsidRDefault="00B3283F" w:rsidP="00A17448">
      <w:pPr>
        <w:pStyle w:val="Default"/>
        <w:rPr>
          <w:sz w:val="22"/>
          <w:lang w:val="en-US"/>
        </w:rPr>
      </w:pPr>
      <w:r w:rsidRPr="00074E44">
        <w:rPr>
          <w:rFonts w:ascii="Times New Roman" w:hAnsi="Times New Roman" w:cs="Times New Roman"/>
          <w:b/>
          <w:sz w:val="22"/>
          <w:lang w:val="en-US"/>
        </w:rPr>
        <w:t>1.</w:t>
      </w:r>
      <w:r w:rsidRPr="00074E44">
        <w:rPr>
          <w:rFonts w:ascii="Times New Roman" w:hAnsi="Times New Roman" w:cs="Times New Roman"/>
          <w:b/>
          <w:sz w:val="22"/>
          <w:lang w:val="en-US"/>
        </w:rPr>
        <w:tab/>
        <w:t>A GYÓGYSZER NEVE</w:t>
      </w:r>
    </w:p>
    <w:p w14:paraId="18020702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lang w:val="en-US"/>
        </w:rPr>
      </w:pPr>
    </w:p>
    <w:p w14:paraId="20D3947F" w14:textId="18D5F5CE" w:rsidR="00B3283F" w:rsidRPr="00FC51A2" w:rsidRDefault="00435A31" w:rsidP="00A17448">
      <w:pPr>
        <w:shd w:val="clear" w:color="auto" w:fill="FFFFFF" w:themeFill="background1"/>
        <w:rPr>
          <w:sz w:val="22"/>
          <w:lang w:val="en-US"/>
        </w:rPr>
      </w:pPr>
      <w:r>
        <w:rPr>
          <w:sz w:val="22"/>
          <w:lang w:val="en-US"/>
        </w:rPr>
        <w:t>Febuxostat PharOS</w:t>
      </w:r>
      <w:r w:rsidR="00B3283F" w:rsidRPr="00FC51A2">
        <w:rPr>
          <w:sz w:val="22"/>
          <w:lang w:val="en-US"/>
        </w:rPr>
        <w:t xml:space="preserve"> 80 mg filmtabletta</w:t>
      </w:r>
    </w:p>
    <w:p w14:paraId="6FF48B86" w14:textId="6343982E" w:rsidR="00B3283F" w:rsidRPr="00FC51A2" w:rsidRDefault="00435A31" w:rsidP="00A17448">
      <w:pPr>
        <w:rPr>
          <w:sz w:val="22"/>
          <w:lang w:val="en-US"/>
        </w:rPr>
      </w:pPr>
      <w:r>
        <w:rPr>
          <w:sz w:val="22"/>
          <w:lang w:val="en-US"/>
        </w:rPr>
        <w:t>Febuxostat PharOS</w:t>
      </w:r>
      <w:r w:rsidR="00924A0D">
        <w:rPr>
          <w:sz w:val="22"/>
          <w:lang w:val="en-US"/>
        </w:rPr>
        <w:t xml:space="preserve"> </w:t>
      </w:r>
      <w:r w:rsidR="00B3283F" w:rsidRPr="00FC51A2">
        <w:rPr>
          <w:sz w:val="22"/>
          <w:lang w:val="en-US"/>
        </w:rPr>
        <w:t>120 mg filmtabletta</w:t>
      </w:r>
    </w:p>
    <w:p w14:paraId="13998726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en-US"/>
        </w:rPr>
      </w:pPr>
    </w:p>
    <w:p w14:paraId="03E26CD6" w14:textId="77777777" w:rsidR="00856A07" w:rsidRPr="00FC51A2" w:rsidRDefault="00856A07" w:rsidP="00A17448">
      <w:pPr>
        <w:shd w:val="clear" w:color="auto" w:fill="FFFFFF" w:themeFill="background1"/>
        <w:rPr>
          <w:sz w:val="22"/>
          <w:lang w:val="en-US"/>
        </w:rPr>
      </w:pPr>
    </w:p>
    <w:p w14:paraId="207611C8" w14:textId="77777777" w:rsidR="00B3283F" w:rsidRPr="00FC51A2" w:rsidRDefault="00B3283F" w:rsidP="00A17448">
      <w:pPr>
        <w:pStyle w:val="Bodytext21"/>
        <w:shd w:val="clear" w:color="auto" w:fill="FFFFFF" w:themeFill="background1"/>
        <w:spacing w:before="0" w:after="0"/>
        <w:ind w:firstLine="0"/>
        <w:rPr>
          <w:sz w:val="22"/>
          <w:szCs w:val="22"/>
          <w:lang w:val="hu-HU"/>
        </w:rPr>
      </w:pPr>
      <w:r w:rsidRPr="00FC51A2">
        <w:rPr>
          <w:b/>
          <w:sz w:val="22"/>
          <w:szCs w:val="22"/>
          <w:lang w:val="en-US"/>
        </w:rPr>
        <w:t>2.</w:t>
      </w:r>
      <w:r w:rsidRPr="00FC51A2">
        <w:rPr>
          <w:b/>
          <w:sz w:val="22"/>
          <w:szCs w:val="22"/>
          <w:lang w:val="en-US"/>
        </w:rPr>
        <w:tab/>
      </w:r>
      <w:r w:rsidRPr="00FC51A2">
        <w:rPr>
          <w:b/>
          <w:sz w:val="22"/>
          <w:lang w:val="en-US"/>
        </w:rPr>
        <w:t>MINŐSÉGI ÉS MENNYISÉGI ÖSSZETÉTEL</w:t>
      </w:r>
    </w:p>
    <w:p w14:paraId="6C94D66F" w14:textId="77777777" w:rsidR="00B3283F" w:rsidRPr="00FC51A2" w:rsidRDefault="00B3283F" w:rsidP="00A17448">
      <w:pPr>
        <w:shd w:val="clear" w:color="auto" w:fill="FFFFFF" w:themeFill="background1"/>
        <w:rPr>
          <w:color w:val="000000"/>
          <w:sz w:val="22"/>
          <w:szCs w:val="22"/>
        </w:rPr>
      </w:pPr>
    </w:p>
    <w:p w14:paraId="24F343AE" w14:textId="22362995" w:rsidR="00B3283F" w:rsidRPr="00A17448" w:rsidRDefault="00435A31" w:rsidP="00A17448">
      <w:pPr>
        <w:shd w:val="clear" w:color="auto" w:fill="FFFFFF" w:themeFill="background1"/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>Febuxostat PharOS</w:t>
      </w:r>
      <w:r w:rsidR="004179AF" w:rsidRPr="00A17448">
        <w:rPr>
          <w:color w:val="000000"/>
          <w:sz w:val="22"/>
          <w:szCs w:val="22"/>
          <w:u w:val="single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</w:rPr>
        <w:t>80</w:t>
      </w:r>
      <w:r w:rsidR="00B3283F" w:rsidRPr="00A17448">
        <w:rPr>
          <w:color w:val="000000"/>
          <w:sz w:val="22"/>
          <w:u w:val="single"/>
        </w:rPr>
        <w:t xml:space="preserve"> mg filmtabletta:</w:t>
      </w:r>
      <w:r w:rsidR="00B3283F" w:rsidRPr="00A17448">
        <w:rPr>
          <w:color w:val="000000"/>
          <w:sz w:val="22"/>
          <w:szCs w:val="22"/>
          <w:u w:val="single"/>
        </w:rPr>
        <w:t xml:space="preserve"> </w:t>
      </w:r>
    </w:p>
    <w:p w14:paraId="23783EA8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en-US"/>
        </w:rPr>
      </w:pPr>
      <w:r w:rsidRPr="00FC51A2">
        <w:rPr>
          <w:color w:val="000000"/>
          <w:sz w:val="22"/>
        </w:rPr>
        <w:t>80 mg febuxosztát (hemihidrát</w:t>
      </w:r>
      <w:r w:rsidR="00A60D47">
        <w:rPr>
          <w:color w:val="000000"/>
          <w:sz w:val="22"/>
        </w:rPr>
        <w:t xml:space="preserve"> formájában</w:t>
      </w:r>
      <w:r w:rsidRPr="00FC51A2">
        <w:rPr>
          <w:color w:val="000000"/>
          <w:sz w:val="22"/>
        </w:rPr>
        <w:t>) filmtablettánként</w:t>
      </w:r>
    </w:p>
    <w:p w14:paraId="570881B4" w14:textId="77777777" w:rsidR="00B3283F" w:rsidRPr="00FC51A2" w:rsidRDefault="00B3283F" w:rsidP="00A17448">
      <w:pPr>
        <w:shd w:val="clear" w:color="auto" w:fill="FFFFFF" w:themeFill="background1"/>
        <w:rPr>
          <w:color w:val="000000"/>
          <w:sz w:val="22"/>
        </w:rPr>
      </w:pPr>
    </w:p>
    <w:p w14:paraId="7C64CBF3" w14:textId="1B9B71FF" w:rsidR="00B3283F" w:rsidRPr="00A17448" w:rsidRDefault="00435A31" w:rsidP="00A17448">
      <w:pPr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>Febuxostat PharOS</w:t>
      </w:r>
      <w:r w:rsidR="00924A0D">
        <w:rPr>
          <w:color w:val="000000"/>
          <w:sz w:val="22"/>
          <w:u w:val="single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</w:rPr>
        <w:t>120</w:t>
      </w:r>
      <w:r w:rsidR="00B3283F" w:rsidRPr="00A17448">
        <w:rPr>
          <w:color w:val="000000"/>
          <w:sz w:val="22"/>
          <w:u w:val="single"/>
        </w:rPr>
        <w:t xml:space="preserve"> mg filmtabletta:</w:t>
      </w:r>
      <w:r w:rsidR="00B3283F" w:rsidRPr="00A17448">
        <w:rPr>
          <w:color w:val="000000"/>
          <w:sz w:val="22"/>
          <w:szCs w:val="22"/>
          <w:u w:val="single"/>
        </w:rPr>
        <w:t xml:space="preserve"> </w:t>
      </w:r>
    </w:p>
    <w:p w14:paraId="41F12941" w14:textId="77777777" w:rsidR="00B3283F" w:rsidRPr="00FC51A2" w:rsidRDefault="00B3283F" w:rsidP="00A17448">
      <w:pPr>
        <w:rPr>
          <w:sz w:val="22"/>
          <w:lang w:val="en-US"/>
        </w:rPr>
      </w:pPr>
      <w:r w:rsidRPr="00FC51A2">
        <w:rPr>
          <w:sz w:val="22"/>
          <w:lang w:val="en-US"/>
        </w:rPr>
        <w:t>120 mg febuxosztát (hemihidrát</w:t>
      </w:r>
      <w:r w:rsidR="00A60D47">
        <w:rPr>
          <w:sz w:val="22"/>
          <w:lang w:val="en-US"/>
        </w:rPr>
        <w:t xml:space="preserve"> formájában</w:t>
      </w:r>
      <w:r w:rsidRPr="00FC51A2">
        <w:rPr>
          <w:sz w:val="22"/>
          <w:lang w:val="en-US"/>
        </w:rPr>
        <w:t>) filmtablettánként</w:t>
      </w:r>
    </w:p>
    <w:p w14:paraId="5BC885BE" w14:textId="77777777" w:rsidR="00B3283F" w:rsidRPr="00FC51A2" w:rsidRDefault="00B3283F" w:rsidP="00A17448">
      <w:pPr>
        <w:rPr>
          <w:sz w:val="22"/>
          <w:u w:val="single"/>
          <w:lang w:val="en-US"/>
        </w:rPr>
      </w:pPr>
    </w:p>
    <w:p w14:paraId="36BFAFC7" w14:textId="77777777" w:rsidR="00B3283F" w:rsidRPr="00FC51A2" w:rsidRDefault="00B3283F" w:rsidP="00A17448">
      <w:pPr>
        <w:rPr>
          <w:rFonts w:eastAsia="Courier New"/>
          <w:sz w:val="22"/>
          <w:u w:val="single"/>
          <w:lang w:val="en-US"/>
        </w:rPr>
      </w:pPr>
      <w:r w:rsidRPr="00FC51A2">
        <w:rPr>
          <w:rFonts w:eastAsia="Courier New"/>
          <w:sz w:val="22"/>
          <w:u w:val="single"/>
          <w:lang w:val="en-US"/>
        </w:rPr>
        <w:t>Ismert hatású segédanyag (ok):</w:t>
      </w:r>
    </w:p>
    <w:p w14:paraId="72C73264" w14:textId="357112FD" w:rsidR="00B3283F" w:rsidRPr="00A17448" w:rsidRDefault="00435A31" w:rsidP="00A17448">
      <w:pPr>
        <w:rPr>
          <w:sz w:val="22"/>
          <w:u w:val="single"/>
          <w:lang w:val="en-US"/>
        </w:rPr>
      </w:pPr>
      <w:r>
        <w:rPr>
          <w:sz w:val="22"/>
          <w:u w:val="single"/>
          <w:lang w:val="en-US"/>
        </w:rPr>
        <w:t>Febuxostat PharOS</w:t>
      </w:r>
      <w:r w:rsidR="004179AF" w:rsidRPr="00A17448">
        <w:rPr>
          <w:sz w:val="22"/>
          <w:u w:val="single"/>
          <w:lang w:val="en-US"/>
        </w:rPr>
        <w:t xml:space="preserve"> </w:t>
      </w:r>
      <w:r w:rsidR="00B3283F" w:rsidRPr="00A17448">
        <w:rPr>
          <w:sz w:val="22"/>
          <w:u w:val="single"/>
          <w:lang w:val="en-US"/>
        </w:rPr>
        <w:t>80 mg filmtabletta:</w:t>
      </w:r>
    </w:p>
    <w:p w14:paraId="5EE52302" w14:textId="77777777" w:rsidR="00B3283F" w:rsidRPr="00FC51A2" w:rsidRDefault="00B3283F" w:rsidP="00A17448">
      <w:pPr>
        <w:rPr>
          <w:sz w:val="22"/>
          <w:lang w:val="en-US"/>
        </w:rPr>
      </w:pPr>
      <w:r w:rsidRPr="00FC51A2">
        <w:rPr>
          <w:sz w:val="22"/>
          <w:lang w:val="en-US"/>
        </w:rPr>
        <w:t>72</w:t>
      </w:r>
      <w:r w:rsidR="005A2902">
        <w:rPr>
          <w:sz w:val="22"/>
          <w:lang w:val="en-US"/>
        </w:rPr>
        <w:t>,</w:t>
      </w:r>
      <w:r w:rsidRPr="00FC51A2">
        <w:rPr>
          <w:sz w:val="22"/>
          <w:lang w:val="en-US"/>
        </w:rPr>
        <w:t>68 mg laktóz (monohidrát</w:t>
      </w:r>
      <w:r w:rsidR="00A60D47">
        <w:rPr>
          <w:sz w:val="22"/>
          <w:lang w:val="en-US"/>
        </w:rPr>
        <w:t xml:space="preserve"> formájában</w:t>
      </w:r>
      <w:r w:rsidRPr="00FC51A2">
        <w:rPr>
          <w:sz w:val="22"/>
          <w:lang w:val="en-US"/>
        </w:rPr>
        <w:t>) filmtablettánként</w:t>
      </w:r>
    </w:p>
    <w:p w14:paraId="177CE729" w14:textId="77777777" w:rsidR="00B3283F" w:rsidRPr="00FC51A2" w:rsidRDefault="00B3283F" w:rsidP="00A17448">
      <w:pPr>
        <w:rPr>
          <w:sz w:val="22"/>
          <w:szCs w:val="22"/>
          <w:lang w:val="en-US"/>
        </w:rPr>
      </w:pPr>
    </w:p>
    <w:p w14:paraId="2DBCC4CC" w14:textId="4DF23519" w:rsidR="00B3283F" w:rsidRPr="00A17448" w:rsidRDefault="00435A31" w:rsidP="00A17448">
      <w:pPr>
        <w:rPr>
          <w:sz w:val="22"/>
          <w:u w:val="single"/>
          <w:lang w:val="en-US"/>
        </w:rPr>
      </w:pPr>
      <w:r>
        <w:rPr>
          <w:sz w:val="22"/>
          <w:u w:val="single"/>
          <w:lang w:val="en-US"/>
        </w:rPr>
        <w:t>Febuxostat PharOS</w:t>
      </w:r>
      <w:r w:rsidR="004179AF" w:rsidRPr="00A17448">
        <w:rPr>
          <w:sz w:val="22"/>
          <w:u w:val="single"/>
          <w:lang w:val="en-US"/>
        </w:rPr>
        <w:t xml:space="preserve"> </w:t>
      </w:r>
      <w:r w:rsidR="00B3283F" w:rsidRPr="00A17448">
        <w:rPr>
          <w:sz w:val="22"/>
          <w:u w:val="single"/>
          <w:lang w:val="en-US"/>
        </w:rPr>
        <w:t>120 mg filmtabletta:</w:t>
      </w:r>
    </w:p>
    <w:p w14:paraId="3DD682BA" w14:textId="77777777" w:rsidR="00B3283F" w:rsidRPr="00FC51A2" w:rsidRDefault="00B3283F" w:rsidP="00A17448">
      <w:pPr>
        <w:rPr>
          <w:sz w:val="22"/>
          <w:lang w:val="en-US"/>
        </w:rPr>
      </w:pPr>
      <w:r w:rsidRPr="00FC51A2">
        <w:rPr>
          <w:sz w:val="22"/>
          <w:lang w:val="en-US"/>
        </w:rPr>
        <w:t>109</w:t>
      </w:r>
      <w:r w:rsidR="005A2902">
        <w:rPr>
          <w:sz w:val="22"/>
          <w:lang w:val="en-US"/>
        </w:rPr>
        <w:t>,</w:t>
      </w:r>
      <w:r w:rsidRPr="00FC51A2">
        <w:rPr>
          <w:sz w:val="22"/>
          <w:lang w:val="en-US"/>
        </w:rPr>
        <w:t>02 mg laktóz (monohidrá</w:t>
      </w:r>
      <w:r w:rsidR="00A92936">
        <w:rPr>
          <w:sz w:val="22"/>
          <w:lang w:val="en-US"/>
        </w:rPr>
        <w:t>t form</w:t>
      </w:r>
      <w:r w:rsidR="00A60D47">
        <w:rPr>
          <w:sz w:val="22"/>
          <w:lang w:val="en-US"/>
        </w:rPr>
        <w:t>ájában</w:t>
      </w:r>
      <w:r w:rsidRPr="00FC51A2">
        <w:rPr>
          <w:sz w:val="22"/>
          <w:lang w:val="en-US"/>
        </w:rPr>
        <w:t>) filmtablettánként</w:t>
      </w:r>
    </w:p>
    <w:p w14:paraId="6961F162" w14:textId="77777777" w:rsidR="00B3283F" w:rsidRPr="00FC51A2" w:rsidRDefault="00B3283F" w:rsidP="00A17448">
      <w:pPr>
        <w:rPr>
          <w:sz w:val="22"/>
          <w:szCs w:val="22"/>
          <w:lang w:val="en-US"/>
        </w:rPr>
      </w:pPr>
    </w:p>
    <w:p w14:paraId="6D76384E" w14:textId="77777777" w:rsidR="00B3283F" w:rsidRPr="0066634C" w:rsidRDefault="00B3283F" w:rsidP="00A17448">
      <w:pPr>
        <w:shd w:val="clear" w:color="auto" w:fill="FFFFFF" w:themeFill="background1"/>
        <w:rPr>
          <w:sz w:val="22"/>
          <w:lang w:val="pt-BR"/>
        </w:rPr>
      </w:pPr>
      <w:r w:rsidRPr="0066634C">
        <w:rPr>
          <w:sz w:val="22"/>
          <w:lang w:val="pt-BR"/>
        </w:rPr>
        <w:t>A segédanyagok teljes listáját lásd a 6.1 pontban.</w:t>
      </w:r>
    </w:p>
    <w:p w14:paraId="6B5B0444" w14:textId="77777777" w:rsidR="00B3283F" w:rsidRPr="0066634C" w:rsidRDefault="00B3283F" w:rsidP="00A17448">
      <w:pPr>
        <w:shd w:val="clear" w:color="auto" w:fill="FFFFFF" w:themeFill="background1"/>
        <w:rPr>
          <w:sz w:val="22"/>
          <w:szCs w:val="22"/>
          <w:lang w:val="pt-BR"/>
        </w:rPr>
      </w:pPr>
    </w:p>
    <w:p w14:paraId="1DBF8F54" w14:textId="77777777" w:rsidR="00A60D47" w:rsidRPr="0066634C" w:rsidRDefault="00A60D47" w:rsidP="00A17448">
      <w:pPr>
        <w:shd w:val="clear" w:color="auto" w:fill="FFFFFF" w:themeFill="background1"/>
        <w:rPr>
          <w:sz w:val="22"/>
          <w:szCs w:val="22"/>
          <w:lang w:val="pt-BR"/>
        </w:rPr>
      </w:pPr>
    </w:p>
    <w:p w14:paraId="58EA4F46" w14:textId="77777777" w:rsidR="00B3283F" w:rsidRPr="0066634C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pt-BR"/>
        </w:rPr>
      </w:pPr>
      <w:r w:rsidRPr="0066634C">
        <w:rPr>
          <w:b/>
          <w:sz w:val="22"/>
          <w:szCs w:val="22"/>
          <w:lang w:val="pt-BR"/>
        </w:rPr>
        <w:t>3.</w:t>
      </w:r>
      <w:r w:rsidRPr="0066634C">
        <w:rPr>
          <w:b/>
          <w:sz w:val="22"/>
          <w:szCs w:val="22"/>
          <w:lang w:val="pt-BR"/>
        </w:rPr>
        <w:tab/>
      </w:r>
      <w:r w:rsidRPr="0066634C">
        <w:rPr>
          <w:b/>
          <w:sz w:val="22"/>
          <w:lang w:val="pt-BR"/>
        </w:rPr>
        <w:t>GYÓGYSZERFORMA</w:t>
      </w:r>
    </w:p>
    <w:p w14:paraId="2FF00E64" w14:textId="77777777" w:rsidR="00B3283F" w:rsidRPr="0066634C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pt-BR"/>
        </w:rPr>
      </w:pPr>
    </w:p>
    <w:p w14:paraId="2764E3A1" w14:textId="77777777" w:rsidR="00B3283F" w:rsidRPr="0066634C" w:rsidRDefault="00B3283F" w:rsidP="00A17448">
      <w:pPr>
        <w:shd w:val="clear" w:color="auto" w:fill="FFFFFF" w:themeFill="background1"/>
        <w:rPr>
          <w:sz w:val="22"/>
          <w:lang w:val="pt-BR"/>
        </w:rPr>
      </w:pPr>
      <w:r w:rsidRPr="0066634C">
        <w:rPr>
          <w:sz w:val="22"/>
          <w:lang w:val="pt-BR"/>
        </w:rPr>
        <w:t>Filmtabletta.</w:t>
      </w:r>
    </w:p>
    <w:p w14:paraId="647D4E09" w14:textId="77777777" w:rsidR="00B3283F" w:rsidRPr="0066634C" w:rsidRDefault="00B3283F" w:rsidP="00A17448">
      <w:pPr>
        <w:shd w:val="clear" w:color="auto" w:fill="FFFFFF" w:themeFill="background1"/>
        <w:rPr>
          <w:sz w:val="22"/>
          <w:lang w:val="pt-BR"/>
        </w:rPr>
      </w:pPr>
    </w:p>
    <w:p w14:paraId="3627921A" w14:textId="763C4298" w:rsidR="00B3283F" w:rsidRPr="0066634C" w:rsidRDefault="00435A31" w:rsidP="00A17448">
      <w:pPr>
        <w:shd w:val="clear" w:color="auto" w:fill="FFFFFF" w:themeFill="background1"/>
        <w:rPr>
          <w:sz w:val="22"/>
          <w:u w:val="single"/>
          <w:lang w:val="pt-BR"/>
        </w:rPr>
      </w:pPr>
      <w:r w:rsidRPr="0066634C">
        <w:rPr>
          <w:sz w:val="22"/>
          <w:u w:val="single"/>
          <w:lang w:val="pt-BR"/>
        </w:rPr>
        <w:t>Febuxostat PharOS</w:t>
      </w:r>
      <w:r w:rsidR="00B3283F" w:rsidRPr="0066634C">
        <w:rPr>
          <w:sz w:val="22"/>
          <w:szCs w:val="22"/>
          <w:u w:val="single"/>
          <w:lang w:val="pt-BR"/>
        </w:rPr>
        <w:t xml:space="preserve"> 80</w:t>
      </w:r>
      <w:r w:rsidR="00B3283F" w:rsidRPr="0066634C">
        <w:rPr>
          <w:sz w:val="22"/>
          <w:u w:val="single"/>
          <w:lang w:val="pt-BR"/>
        </w:rPr>
        <w:t xml:space="preserve"> mg filmtabletta: </w:t>
      </w:r>
    </w:p>
    <w:p w14:paraId="271CB954" w14:textId="77777777" w:rsidR="00B64F3B" w:rsidRPr="0066634C" w:rsidRDefault="00B64F3B" w:rsidP="00A17448">
      <w:pPr>
        <w:widowControl w:val="0"/>
        <w:shd w:val="clear" w:color="auto" w:fill="FFFFFF" w:themeFill="background1"/>
        <w:rPr>
          <w:sz w:val="22"/>
          <w:lang w:val="pt-BR"/>
        </w:rPr>
      </w:pPr>
      <w:r w:rsidRPr="0066634C">
        <w:rPr>
          <w:sz w:val="22"/>
          <w:lang w:val="pt-BR"/>
        </w:rPr>
        <w:t>Halványsárga vagy sárga színű, kapszula alakú</w:t>
      </w:r>
      <w:r w:rsidR="002C0141" w:rsidRPr="0066634C">
        <w:rPr>
          <w:sz w:val="22"/>
          <w:lang w:val="pt-BR"/>
        </w:rPr>
        <w:t>,</w:t>
      </w:r>
      <w:r w:rsidRPr="0066634C">
        <w:rPr>
          <w:sz w:val="22"/>
          <w:lang w:val="pt-BR"/>
        </w:rPr>
        <w:t xml:space="preserve"> </w:t>
      </w:r>
      <w:r w:rsidR="002C0141" w:rsidRPr="0066634C">
        <w:rPr>
          <w:sz w:val="22"/>
          <w:lang w:val="pt-BR"/>
        </w:rPr>
        <w:t xml:space="preserve">16,5 mm x 7,0 mm méretű </w:t>
      </w:r>
      <w:r w:rsidRPr="0066634C">
        <w:rPr>
          <w:sz w:val="22"/>
          <w:lang w:val="pt-BR"/>
        </w:rPr>
        <w:t>filmtabletta, egyik oldalán „80” mélynyomású felirattal ellátva, a másik oldala sima.</w:t>
      </w:r>
    </w:p>
    <w:p w14:paraId="13FE82BE" w14:textId="77777777" w:rsidR="00B3283F" w:rsidRPr="00FC51A2" w:rsidRDefault="00B3283F" w:rsidP="00A17448">
      <w:pPr>
        <w:widowControl w:val="0"/>
        <w:shd w:val="clear" w:color="auto" w:fill="FFFFFF" w:themeFill="background1"/>
        <w:rPr>
          <w:color w:val="000000"/>
          <w:sz w:val="22"/>
          <w:lang w:val="hu-HU"/>
        </w:rPr>
      </w:pPr>
    </w:p>
    <w:p w14:paraId="25EA617B" w14:textId="53B9401F" w:rsidR="00B3283F" w:rsidRPr="00A17448" w:rsidRDefault="00435A31" w:rsidP="00A17448">
      <w:pPr>
        <w:rPr>
          <w:sz w:val="22"/>
          <w:u w:val="single"/>
          <w:lang w:val="hu-HU"/>
        </w:rPr>
      </w:pPr>
      <w:r>
        <w:rPr>
          <w:sz w:val="22"/>
          <w:u w:val="single"/>
          <w:lang w:val="hu-HU"/>
        </w:rPr>
        <w:t>Febuxostat PharOS</w:t>
      </w:r>
      <w:r w:rsidR="00B3283F" w:rsidRPr="00A17448">
        <w:rPr>
          <w:sz w:val="22"/>
          <w:szCs w:val="22"/>
          <w:u w:val="single"/>
          <w:lang w:val="hu-HU"/>
        </w:rPr>
        <w:t xml:space="preserve"> 120 </w:t>
      </w:r>
      <w:r w:rsidR="00B3283F" w:rsidRPr="00A17448">
        <w:rPr>
          <w:sz w:val="22"/>
          <w:u w:val="single"/>
          <w:lang w:val="hu-HU"/>
        </w:rPr>
        <w:t xml:space="preserve">mg filmtabletta: </w:t>
      </w:r>
    </w:p>
    <w:p w14:paraId="2BAA76D7" w14:textId="77777777" w:rsidR="00B3283F" w:rsidRDefault="00B64F3B" w:rsidP="00A17448">
      <w:pPr>
        <w:rPr>
          <w:sz w:val="22"/>
          <w:lang w:val="hu-HU"/>
        </w:rPr>
      </w:pPr>
      <w:r w:rsidRPr="00FC51A2">
        <w:rPr>
          <w:sz w:val="22"/>
          <w:lang w:val="hu-HU"/>
        </w:rPr>
        <w:t>Halványsárga vagy sárga színű, kapszula alakú</w:t>
      </w:r>
      <w:r w:rsidR="002C0141">
        <w:rPr>
          <w:sz w:val="22"/>
          <w:lang w:val="hu-HU"/>
        </w:rPr>
        <w:t xml:space="preserve">, </w:t>
      </w:r>
      <w:r w:rsidR="002C0141" w:rsidRPr="00FC51A2">
        <w:rPr>
          <w:sz w:val="22"/>
          <w:lang w:val="hu-HU"/>
        </w:rPr>
        <w:t>18,5 mm x 9,0 mm</w:t>
      </w:r>
      <w:r w:rsidR="002C0141">
        <w:rPr>
          <w:sz w:val="22"/>
          <w:lang w:val="hu-HU"/>
        </w:rPr>
        <w:t xml:space="preserve"> méretű</w:t>
      </w:r>
      <w:r w:rsidRPr="00FC51A2">
        <w:rPr>
          <w:sz w:val="22"/>
          <w:lang w:val="hu-HU"/>
        </w:rPr>
        <w:t xml:space="preserve"> filmtabletta, egyik oldalán „120” mélynyomású feliratta</w:t>
      </w:r>
      <w:r w:rsidR="002C0141">
        <w:rPr>
          <w:sz w:val="22"/>
          <w:lang w:val="hu-HU"/>
        </w:rPr>
        <w:t>l ellátva, a másik oldala sima.</w:t>
      </w:r>
    </w:p>
    <w:p w14:paraId="459DD0B3" w14:textId="77777777" w:rsidR="002C0141" w:rsidRPr="00FC51A2" w:rsidRDefault="002C0141" w:rsidP="00A17448">
      <w:pPr>
        <w:rPr>
          <w:sz w:val="22"/>
          <w:lang w:val="hu-HU"/>
        </w:rPr>
      </w:pPr>
    </w:p>
    <w:p w14:paraId="525C3E84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7D71F7A" w14:textId="77777777" w:rsidR="00B3283F" w:rsidRPr="00FC51A2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0" w:name="_Toc441573734"/>
      <w:r w:rsidRPr="00FC51A2">
        <w:rPr>
          <w:b/>
          <w:kern w:val="28"/>
          <w:sz w:val="22"/>
          <w:szCs w:val="22"/>
          <w:lang w:val="hu-HU"/>
        </w:rPr>
        <w:t>4.</w:t>
      </w:r>
      <w:r w:rsidRPr="00FC51A2">
        <w:rPr>
          <w:b/>
          <w:kern w:val="28"/>
          <w:sz w:val="22"/>
          <w:szCs w:val="22"/>
          <w:lang w:val="hu-HU"/>
        </w:rPr>
        <w:tab/>
      </w:r>
      <w:bookmarkEnd w:id="0"/>
      <w:r w:rsidRPr="00FC51A2">
        <w:rPr>
          <w:b/>
          <w:kern w:val="28"/>
          <w:sz w:val="22"/>
          <w:lang w:val="hu-HU"/>
        </w:rPr>
        <w:t>KLINIKAI JELLEMZŐK</w:t>
      </w:r>
    </w:p>
    <w:p w14:paraId="52DF56C6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sz w:val="22"/>
          <w:szCs w:val="22"/>
          <w:lang w:val="hu-HU"/>
        </w:rPr>
      </w:pPr>
      <w:bookmarkStart w:id="1" w:name="_Toc441573735"/>
    </w:p>
    <w:p w14:paraId="5D10C065" w14:textId="0E8EAABF" w:rsidR="00B3283F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r w:rsidRPr="00FC51A2">
        <w:rPr>
          <w:b/>
          <w:sz w:val="22"/>
          <w:szCs w:val="22"/>
          <w:lang w:val="hu-HU"/>
        </w:rPr>
        <w:t>4.1</w:t>
      </w:r>
      <w:r w:rsidRPr="00FC51A2">
        <w:rPr>
          <w:b/>
          <w:sz w:val="22"/>
          <w:szCs w:val="22"/>
          <w:lang w:val="hu-HU"/>
        </w:rPr>
        <w:tab/>
      </w:r>
      <w:bookmarkEnd w:id="1"/>
      <w:r w:rsidRPr="00FC51A2">
        <w:rPr>
          <w:b/>
          <w:sz w:val="22"/>
          <w:lang w:val="hu-HU"/>
        </w:rPr>
        <w:t>Terápiás javallatok</w:t>
      </w:r>
    </w:p>
    <w:p w14:paraId="12392187" w14:textId="77777777" w:rsidR="00717C98" w:rsidRPr="00FC51A2" w:rsidRDefault="00717C98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</w:p>
    <w:p w14:paraId="66B1D40E" w14:textId="4D042289" w:rsidR="001B1FBB" w:rsidRPr="00A17448" w:rsidRDefault="00435A31" w:rsidP="001B1FBB">
      <w:pPr>
        <w:shd w:val="clear" w:color="auto" w:fill="FFFFFF"/>
        <w:rPr>
          <w:sz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Febuxostat PharOS</w:t>
      </w:r>
      <w:r w:rsidR="00655912">
        <w:rPr>
          <w:sz w:val="22"/>
          <w:szCs w:val="22"/>
          <w:u w:val="single"/>
          <w:lang w:val="hu-HU"/>
        </w:rPr>
        <w:t xml:space="preserve"> </w:t>
      </w:r>
      <w:r w:rsidR="001B1FBB" w:rsidRPr="00A17448">
        <w:rPr>
          <w:sz w:val="22"/>
          <w:szCs w:val="22"/>
          <w:u w:val="single"/>
          <w:lang w:val="hu-HU"/>
        </w:rPr>
        <w:t>80</w:t>
      </w:r>
      <w:r w:rsidR="001B1FBB" w:rsidRPr="00A17448">
        <w:rPr>
          <w:sz w:val="22"/>
          <w:u w:val="single"/>
          <w:lang w:val="hu-HU"/>
        </w:rPr>
        <w:t xml:space="preserve"> mg filmtabletta és </w:t>
      </w:r>
      <w:r>
        <w:rPr>
          <w:sz w:val="22"/>
          <w:szCs w:val="22"/>
          <w:u w:val="single"/>
          <w:lang w:val="hu-HU"/>
        </w:rPr>
        <w:t>Febuxostat PharOS</w:t>
      </w:r>
      <w:r w:rsidR="00655912">
        <w:rPr>
          <w:sz w:val="22"/>
          <w:szCs w:val="22"/>
          <w:u w:val="single"/>
          <w:lang w:val="hu-HU"/>
        </w:rPr>
        <w:t xml:space="preserve"> </w:t>
      </w:r>
      <w:r w:rsidR="001B1FBB" w:rsidRPr="00A17448">
        <w:rPr>
          <w:sz w:val="22"/>
          <w:szCs w:val="22"/>
          <w:u w:val="single"/>
          <w:lang w:val="hu-HU"/>
        </w:rPr>
        <w:t>120</w:t>
      </w:r>
      <w:r w:rsidR="001B1FBB" w:rsidRPr="00A17448">
        <w:rPr>
          <w:sz w:val="22"/>
          <w:u w:val="single"/>
          <w:lang w:val="hu-HU"/>
        </w:rPr>
        <w:t xml:space="preserve"> mg filmtabletta: </w:t>
      </w:r>
    </w:p>
    <w:p w14:paraId="4F211678" w14:textId="32ADAEDF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r w:rsidR="00435A31">
        <w:rPr>
          <w:sz w:val="22"/>
          <w:lang w:val="hu-HU"/>
        </w:rPr>
        <w:t>Febuxostat PharOS</w:t>
      </w:r>
      <w:r w:rsidRPr="00FC51A2">
        <w:rPr>
          <w:sz w:val="22"/>
          <w:lang w:val="hu-HU"/>
        </w:rPr>
        <w:t xml:space="preserve"> krónikus h</w:t>
      </w:r>
      <w:r w:rsidR="00063F45" w:rsidRPr="00A17448">
        <w:rPr>
          <w:sz w:val="22"/>
          <w:lang w:val="hu-HU"/>
        </w:rPr>
        <w:t>y</w:t>
      </w:r>
      <w:r w:rsidRPr="00FC51A2">
        <w:rPr>
          <w:sz w:val="22"/>
          <w:lang w:val="hu-HU"/>
        </w:rPr>
        <w:t>peruri</w:t>
      </w:r>
      <w:r w:rsidR="00063F45" w:rsidRPr="00A17448">
        <w:rPr>
          <w:sz w:val="22"/>
          <w:lang w:val="hu-HU"/>
        </w:rPr>
        <w:t>cae</w:t>
      </w:r>
      <w:r w:rsidRPr="00FC51A2">
        <w:rPr>
          <w:sz w:val="22"/>
          <w:lang w:val="hu-HU"/>
        </w:rPr>
        <w:t>mia kezelésére javallott olyan állapotokban, amikor a húgysavlerakódás már bekövetkezett (beleértve tophusok és/vagy arthritis urica fennállását vagy kórelőzményét).</w:t>
      </w:r>
    </w:p>
    <w:p w14:paraId="4367DD53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02A289EE" w14:textId="2E60B4F2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655912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  <w:lang w:val="hu-HU"/>
        </w:rPr>
        <w:t>120</w:t>
      </w:r>
      <w:r w:rsidR="00B3283F" w:rsidRPr="00A17448">
        <w:rPr>
          <w:color w:val="000000"/>
          <w:sz w:val="22"/>
          <w:u w:val="single"/>
          <w:lang w:val="hu-HU"/>
        </w:rPr>
        <w:t xml:space="preserve"> mg</w:t>
      </w:r>
      <w:r w:rsidR="001B1FBB" w:rsidRPr="00A17448">
        <w:rPr>
          <w:color w:val="000000"/>
          <w:sz w:val="22"/>
          <w:u w:val="single"/>
          <w:lang w:val="hu-HU"/>
        </w:rPr>
        <w:t xml:space="preserve"> filmtabletta</w:t>
      </w:r>
    </w:p>
    <w:p w14:paraId="30921B98" w14:textId="61573854" w:rsidR="00B3283F" w:rsidRPr="00FC51A2" w:rsidRDefault="00B3283F" w:rsidP="00A17448">
      <w:pPr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</w:t>
      </w:r>
      <w:r w:rsidR="00435A31">
        <w:rPr>
          <w:color w:val="000000"/>
          <w:sz w:val="22"/>
          <w:lang w:val="hu-HU"/>
        </w:rPr>
        <w:t>Febuxostat PharOS</w:t>
      </w:r>
      <w:r w:rsidRPr="00FC51A2">
        <w:rPr>
          <w:color w:val="000000"/>
          <w:sz w:val="22"/>
          <w:szCs w:val="22"/>
          <w:lang w:val="hu-HU"/>
        </w:rPr>
        <w:t xml:space="preserve"> </w:t>
      </w:r>
      <w:r w:rsidR="00063F45" w:rsidRPr="00FC51A2">
        <w:rPr>
          <w:color w:val="000000"/>
          <w:sz w:val="22"/>
          <w:szCs w:val="22"/>
          <w:lang w:val="hu-HU"/>
        </w:rPr>
        <w:t>hyperuricaemia</w:t>
      </w:r>
      <w:r w:rsidRPr="00FC51A2">
        <w:rPr>
          <w:color w:val="000000"/>
          <w:sz w:val="22"/>
          <w:lang w:val="hu-HU"/>
        </w:rPr>
        <w:t xml:space="preserve"> megelőzésére és kezelésére javallott rosszindulatú </w:t>
      </w:r>
      <w:r w:rsidR="00A60D47">
        <w:rPr>
          <w:color w:val="000000"/>
          <w:sz w:val="22"/>
          <w:lang w:val="hu-HU"/>
        </w:rPr>
        <w:t>hematológiai kórképek</w:t>
      </w:r>
      <w:r w:rsidRPr="00FC51A2">
        <w:rPr>
          <w:color w:val="000000"/>
          <w:sz w:val="22"/>
          <w:lang w:val="hu-HU"/>
        </w:rPr>
        <w:t xml:space="preserve"> miatt kemoterápiás kezelés alatt álló olyan felnőtt betegeknél, akiknél a </w:t>
      </w:r>
      <w:r w:rsidR="001C0683">
        <w:rPr>
          <w:color w:val="000000"/>
          <w:sz w:val="22"/>
          <w:lang w:val="hu-HU"/>
        </w:rPr>
        <w:t>tumor lysis szindróma</w:t>
      </w:r>
      <w:r w:rsidRPr="00FC51A2">
        <w:rPr>
          <w:color w:val="000000"/>
          <w:sz w:val="22"/>
          <w:lang w:val="hu-HU"/>
        </w:rPr>
        <w:t xml:space="preserve"> (TLS) kockázata közepes</w:t>
      </w:r>
      <w:r w:rsidR="00E92741" w:rsidRPr="00FC51A2">
        <w:rPr>
          <w:color w:val="000000"/>
          <w:sz w:val="22"/>
          <w:lang w:val="hu-HU"/>
        </w:rPr>
        <w:t xml:space="preserve"> vagy </w:t>
      </w:r>
      <w:r w:rsidRPr="00FC51A2">
        <w:rPr>
          <w:color w:val="000000"/>
          <w:sz w:val="22"/>
          <w:lang w:val="hu-HU"/>
        </w:rPr>
        <w:t>magas.</w:t>
      </w:r>
    </w:p>
    <w:p w14:paraId="70396F88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678B907" w14:textId="6A18C654" w:rsidR="00B3283F" w:rsidRPr="00435A31" w:rsidRDefault="00012F9A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</w:t>
      </w:r>
      <w:r w:rsidR="00B3283F" w:rsidRPr="00435A31">
        <w:rPr>
          <w:sz w:val="22"/>
          <w:lang w:val="hu-HU"/>
        </w:rPr>
        <w:t xml:space="preserve"> </w:t>
      </w:r>
      <w:r w:rsidR="00435A31">
        <w:rPr>
          <w:sz w:val="22"/>
          <w:lang w:val="hu-HU"/>
        </w:rPr>
        <w:t>Febuxostat PharOS</w:t>
      </w:r>
      <w:r w:rsidR="00B3283F" w:rsidRPr="00435A31">
        <w:rPr>
          <w:sz w:val="22"/>
          <w:lang w:val="hu-HU"/>
        </w:rPr>
        <w:t xml:space="preserve"> felnőttek kezelésére javallott.</w:t>
      </w:r>
    </w:p>
    <w:p w14:paraId="405F2EDD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ab/>
      </w:r>
    </w:p>
    <w:p w14:paraId="1E95AEA7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2" w:name="_Toc441573736"/>
      <w:r w:rsidRPr="00FC51A2">
        <w:rPr>
          <w:b/>
          <w:sz w:val="22"/>
          <w:lang w:val="hu-HU"/>
        </w:rPr>
        <w:t>4.2</w:t>
      </w:r>
      <w:r w:rsidRPr="00FC51A2">
        <w:rPr>
          <w:b/>
          <w:sz w:val="22"/>
          <w:szCs w:val="22"/>
          <w:lang w:val="hu-HU"/>
        </w:rPr>
        <w:tab/>
      </w:r>
      <w:bookmarkEnd w:id="2"/>
      <w:r w:rsidRPr="00FC51A2">
        <w:rPr>
          <w:b/>
          <w:sz w:val="22"/>
          <w:lang w:val="hu-HU"/>
        </w:rPr>
        <w:t>Adagolás és alkalmazás</w:t>
      </w:r>
    </w:p>
    <w:p w14:paraId="6F59F264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68B4C93B" w14:textId="77777777" w:rsidR="00B3283F" w:rsidRPr="00FC51A2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FC51A2">
        <w:rPr>
          <w:sz w:val="22"/>
          <w:u w:val="single"/>
          <w:lang w:val="hu-HU"/>
        </w:rPr>
        <w:t>Adagolás</w:t>
      </w:r>
    </w:p>
    <w:p w14:paraId="7A98D3A4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</w:p>
    <w:p w14:paraId="53FC3A68" w14:textId="10ACE047" w:rsidR="00FB0DA4" w:rsidRPr="00A17448" w:rsidRDefault="00435A31" w:rsidP="00FB0DA4">
      <w:pPr>
        <w:widowControl w:val="0"/>
        <w:rPr>
          <w:noProof/>
          <w:sz w:val="22"/>
          <w:szCs w:val="22"/>
          <w:u w:val="single"/>
          <w:lang w:val="hu-HU" w:eastAsia="en-US"/>
        </w:rPr>
      </w:pPr>
      <w:r>
        <w:rPr>
          <w:noProof/>
          <w:sz w:val="22"/>
          <w:szCs w:val="22"/>
          <w:u w:val="single"/>
          <w:lang w:val="hu-HU" w:eastAsia="en-US"/>
        </w:rPr>
        <w:lastRenderedPageBreak/>
        <w:t>Febuxostat PharOS</w:t>
      </w:r>
      <w:r w:rsidR="00FB0DA4" w:rsidRPr="00A17448">
        <w:rPr>
          <w:noProof/>
          <w:sz w:val="22"/>
          <w:szCs w:val="22"/>
          <w:u w:val="single"/>
          <w:lang w:val="hu-HU" w:eastAsia="en-US"/>
        </w:rPr>
        <w:t xml:space="preserve"> 80 mg filmtabletta és </w:t>
      </w:r>
      <w:r>
        <w:rPr>
          <w:noProof/>
          <w:sz w:val="22"/>
          <w:szCs w:val="22"/>
          <w:u w:val="single"/>
          <w:lang w:val="hu-HU" w:eastAsia="en-US"/>
        </w:rPr>
        <w:t>Febuxostat PharOS</w:t>
      </w:r>
      <w:r w:rsidR="00FB0DA4" w:rsidRPr="00A17448">
        <w:rPr>
          <w:noProof/>
          <w:sz w:val="22"/>
          <w:szCs w:val="22"/>
          <w:u w:val="single"/>
          <w:lang w:val="hu-HU" w:eastAsia="en-US"/>
        </w:rPr>
        <w:t xml:space="preserve"> 120 mg filmtabletta:</w:t>
      </w:r>
    </w:p>
    <w:p w14:paraId="0E597D21" w14:textId="4515C70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FC51A2">
        <w:rPr>
          <w:i/>
          <w:sz w:val="22"/>
          <w:lang w:val="hu-HU"/>
        </w:rPr>
        <w:t xml:space="preserve">Köszvény: </w:t>
      </w:r>
      <w:r w:rsidR="00012F9A"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="00435A31">
        <w:rPr>
          <w:sz w:val="22"/>
          <w:lang w:val="hu-HU"/>
        </w:rPr>
        <w:t>Febuxostat PharOS</w:t>
      </w:r>
      <w:r w:rsidRPr="00FC51A2">
        <w:rPr>
          <w:sz w:val="22"/>
          <w:lang w:val="hu-HU"/>
        </w:rPr>
        <w:t xml:space="preserve"> javasolt </w:t>
      </w:r>
      <w:r w:rsidRPr="00A17448">
        <w:rPr>
          <w:i/>
          <w:sz w:val="22"/>
          <w:lang w:val="hu-HU"/>
        </w:rPr>
        <w:t>per os</w:t>
      </w:r>
      <w:r w:rsidRPr="00FC51A2">
        <w:rPr>
          <w:sz w:val="22"/>
          <w:lang w:val="hu-HU"/>
        </w:rPr>
        <w:t xml:space="preserve"> adagja naponta egyszer 80 mg, étkezéstől függetlenül. Ha a szérumhúgysavszint 2-4 hét elteltével 6 mg/dl (357 </w:t>
      </w:r>
      <w:r w:rsidRPr="00FC51A2">
        <w:rPr>
          <w:sz w:val="22"/>
          <w:lang w:val="en-US"/>
        </w:rPr>
        <w:t>μ</w:t>
      </w:r>
      <w:r w:rsidRPr="00FC51A2">
        <w:rPr>
          <w:sz w:val="22"/>
          <w:lang w:val="hu-HU"/>
        </w:rPr>
        <w:t>mol/l) felett van, megfontola</w:t>
      </w:r>
      <w:r w:rsidR="00F24464" w:rsidRPr="00FC51A2">
        <w:rPr>
          <w:sz w:val="22"/>
          <w:lang w:val="hu-HU"/>
        </w:rPr>
        <w:t>nd</w:t>
      </w:r>
      <w:r w:rsidRPr="00FC51A2">
        <w:rPr>
          <w:sz w:val="22"/>
          <w:lang w:val="hu-HU"/>
        </w:rPr>
        <w:t xml:space="preserve">ó </w:t>
      </w:r>
      <w:r w:rsidR="00F24464" w:rsidRPr="00FC51A2">
        <w:rPr>
          <w:sz w:val="22"/>
          <w:lang w:val="hu-HU"/>
        </w:rPr>
        <w:t xml:space="preserve">a </w:t>
      </w:r>
      <w:r w:rsidRPr="00FC51A2">
        <w:rPr>
          <w:sz w:val="22"/>
          <w:lang w:val="hu-HU"/>
        </w:rPr>
        <w:t>naponta egyszer</w:t>
      </w:r>
      <w:r w:rsidR="00F24464" w:rsidRPr="00FC51A2">
        <w:rPr>
          <w:sz w:val="22"/>
          <w:lang w:val="hu-HU"/>
        </w:rPr>
        <w:t>i</w:t>
      </w:r>
      <w:r w:rsidRPr="00FC51A2">
        <w:rPr>
          <w:sz w:val="22"/>
          <w:lang w:val="hu-HU"/>
        </w:rPr>
        <w:t xml:space="preserve"> 120 mg </w:t>
      </w:r>
      <w:r w:rsidR="00435A31">
        <w:rPr>
          <w:sz w:val="22"/>
          <w:szCs w:val="22"/>
          <w:lang w:val="hu-HU"/>
        </w:rPr>
        <w:t>Febuxostat PharOS</w:t>
      </w:r>
      <w:r w:rsidRPr="00FC51A2">
        <w:rPr>
          <w:sz w:val="22"/>
          <w:szCs w:val="22"/>
          <w:lang w:val="hu-HU"/>
        </w:rPr>
        <w:t xml:space="preserve"> adása. </w:t>
      </w:r>
    </w:p>
    <w:p w14:paraId="1A220A32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6EDE447" w14:textId="6F8136C6" w:rsidR="00B3283F" w:rsidRPr="00FC51A2" w:rsidRDefault="00012F9A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A</w:t>
      </w:r>
      <w:r w:rsidR="00B3283F" w:rsidRPr="00FC51A2">
        <w:rPr>
          <w:sz w:val="22"/>
          <w:lang w:val="hu-HU"/>
        </w:rPr>
        <w:t xml:space="preserve"> </w:t>
      </w:r>
      <w:r w:rsidR="00435A31">
        <w:rPr>
          <w:sz w:val="22"/>
          <w:lang w:val="hu-HU"/>
        </w:rPr>
        <w:t>Febuxostat PharOS</w:t>
      </w:r>
      <w:r w:rsidR="00B3283F" w:rsidRPr="00FC51A2">
        <w:rPr>
          <w:sz w:val="22"/>
          <w:lang w:val="hu-HU"/>
        </w:rPr>
        <w:t xml:space="preserve"> elég gyorsan hat ahhoz, hogy lehetővé tegye a szérumhúgysavszint 2 hét elteltével történő ismételt meghatározását. A kezelés célja a szérumhúgysavszint 6 mg/dl (357 </w:t>
      </w:r>
      <w:r w:rsidR="00B3283F" w:rsidRPr="00FC51A2">
        <w:rPr>
          <w:sz w:val="22"/>
          <w:lang w:val="en-US"/>
        </w:rPr>
        <w:t>μ</w:t>
      </w:r>
      <w:r w:rsidR="00B3283F" w:rsidRPr="00FC51A2">
        <w:rPr>
          <w:sz w:val="22"/>
          <w:lang w:val="hu-HU"/>
        </w:rPr>
        <w:t>mol/l) alá történő csökkentése és ezen az értéken tartása.</w:t>
      </w:r>
    </w:p>
    <w:p w14:paraId="0F5B2F8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83BA05E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köszvény fellángolásának megelőzésére legalább 6 hónapos profilaxis javasolt (lásd 4.4 pont).</w:t>
      </w:r>
    </w:p>
    <w:p w14:paraId="62840AD1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E9FD781" w14:textId="09A5751A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655912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  <w:lang w:val="hu-HU"/>
        </w:rPr>
        <w:t>120</w:t>
      </w:r>
      <w:r w:rsidR="00B3283F" w:rsidRPr="00A17448">
        <w:rPr>
          <w:color w:val="000000"/>
          <w:sz w:val="22"/>
          <w:u w:val="single"/>
          <w:lang w:val="hu-HU"/>
        </w:rPr>
        <w:t xml:space="preserve">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551B5910" w14:textId="6AB5740D" w:rsidR="00B3283F" w:rsidRPr="00FC51A2" w:rsidRDefault="001C0683" w:rsidP="00A17448">
      <w:pPr>
        <w:rPr>
          <w:color w:val="000000"/>
          <w:sz w:val="22"/>
          <w:lang w:val="hu-HU"/>
        </w:rPr>
      </w:pPr>
      <w:r>
        <w:rPr>
          <w:i/>
          <w:color w:val="000000"/>
          <w:sz w:val="22"/>
          <w:lang w:val="hu-HU"/>
        </w:rPr>
        <w:t>Tumor lysis szindróma</w:t>
      </w:r>
      <w:r w:rsidR="00B3283F" w:rsidRPr="00A17448">
        <w:rPr>
          <w:i/>
          <w:color w:val="000000"/>
          <w:sz w:val="22"/>
          <w:lang w:val="hu-HU"/>
        </w:rPr>
        <w:t xml:space="preserve">: </w:t>
      </w:r>
      <w:r w:rsidR="00012F9A" w:rsidRPr="00FC51A2">
        <w:rPr>
          <w:color w:val="000000"/>
          <w:sz w:val="22"/>
          <w:lang w:val="hu-HU"/>
        </w:rPr>
        <w:t>A</w:t>
      </w:r>
      <w:r w:rsidR="00B3283F" w:rsidRPr="00FC51A2">
        <w:rPr>
          <w:color w:val="000000"/>
          <w:sz w:val="22"/>
          <w:lang w:val="hu-HU"/>
        </w:rPr>
        <w:t xml:space="preserve"> </w:t>
      </w:r>
      <w:r w:rsidR="00435A31">
        <w:rPr>
          <w:color w:val="000000"/>
          <w:sz w:val="22"/>
          <w:lang w:val="hu-HU"/>
        </w:rPr>
        <w:t>Febuxostat PharOS</w:t>
      </w:r>
      <w:r w:rsidR="00B3283F" w:rsidRPr="00FC51A2">
        <w:rPr>
          <w:sz w:val="22"/>
          <w:szCs w:val="22"/>
          <w:lang w:val="hu-HU" w:bidi="hu"/>
        </w:rPr>
        <w:t xml:space="preserve"> javasolt</w:t>
      </w:r>
      <w:r w:rsidR="00B3283F" w:rsidRPr="00FC51A2">
        <w:rPr>
          <w:color w:val="000000"/>
          <w:sz w:val="22"/>
          <w:lang w:val="hu-HU"/>
        </w:rPr>
        <w:t xml:space="preserve"> szájon keresztül alkalmazandó adagja 120 mg naponta egyszer, étkezéstől függetlenül.</w:t>
      </w:r>
    </w:p>
    <w:p w14:paraId="1534958E" w14:textId="729234AC" w:rsidR="00B3283F" w:rsidRPr="00FC51A2" w:rsidRDefault="00012F9A" w:rsidP="00A17448">
      <w:pPr>
        <w:rPr>
          <w:sz w:val="22"/>
          <w:lang w:val="hu-HU"/>
        </w:rPr>
      </w:pPr>
      <w:r w:rsidRPr="00FC51A2">
        <w:rPr>
          <w:color w:val="000000"/>
          <w:sz w:val="22"/>
          <w:lang w:val="hu-HU"/>
        </w:rPr>
        <w:t>A</w:t>
      </w:r>
      <w:r w:rsidR="00B3283F" w:rsidRPr="00FC51A2">
        <w:rPr>
          <w:color w:val="000000"/>
          <w:sz w:val="22"/>
          <w:lang w:val="hu-HU"/>
        </w:rPr>
        <w:t xml:space="preserve"> </w:t>
      </w:r>
      <w:r w:rsidR="00435A31">
        <w:rPr>
          <w:color w:val="000000"/>
          <w:sz w:val="22"/>
          <w:lang w:val="hu-HU"/>
        </w:rPr>
        <w:t>Febuxostat PharOS</w:t>
      </w:r>
      <w:r w:rsidR="00B3283F" w:rsidRPr="00FC51A2">
        <w:rPr>
          <w:sz w:val="22"/>
          <w:szCs w:val="22"/>
          <w:lang w:val="hu-HU" w:bidi="hu"/>
        </w:rPr>
        <w:t xml:space="preserve"> </w:t>
      </w:r>
      <w:r w:rsidR="001B1FBB">
        <w:rPr>
          <w:sz w:val="22"/>
          <w:szCs w:val="22"/>
          <w:lang w:val="hu-HU" w:bidi="hu"/>
        </w:rPr>
        <w:t>adását</w:t>
      </w:r>
      <w:r w:rsidR="001B1FBB" w:rsidRPr="00FC51A2">
        <w:rPr>
          <w:color w:val="000000"/>
          <w:sz w:val="22"/>
          <w:lang w:val="hu-HU"/>
        </w:rPr>
        <w:t xml:space="preserve"> </w:t>
      </w:r>
      <w:r w:rsidR="00B3283F" w:rsidRPr="00FC51A2">
        <w:rPr>
          <w:color w:val="000000"/>
          <w:sz w:val="22"/>
          <w:lang w:val="hu-HU"/>
        </w:rPr>
        <w:t xml:space="preserve">két nappal a citotoxikus terápia elkezdése előtt kell kezdeni, és legalább 7 napon át kell folytatni. A kezelés </w:t>
      </w:r>
      <w:r w:rsidR="00A90451">
        <w:rPr>
          <w:color w:val="000000"/>
          <w:sz w:val="22"/>
          <w:lang w:val="hu-HU"/>
        </w:rPr>
        <w:t xml:space="preserve">időtartama </w:t>
      </w:r>
      <w:r w:rsidR="00B3283F" w:rsidRPr="00FC51A2">
        <w:rPr>
          <w:color w:val="000000"/>
          <w:sz w:val="22"/>
          <w:lang w:val="hu-HU"/>
        </w:rPr>
        <w:t>legfeljebb 9 nap</w:t>
      </w:r>
      <w:r w:rsidR="00A90451">
        <w:rPr>
          <w:color w:val="000000"/>
          <w:sz w:val="22"/>
          <w:lang w:val="hu-HU"/>
        </w:rPr>
        <w:t>ra</w:t>
      </w:r>
      <w:r w:rsidR="00B3283F" w:rsidRPr="00FC51A2">
        <w:rPr>
          <w:color w:val="000000"/>
          <w:sz w:val="22"/>
          <w:lang w:val="hu-HU"/>
        </w:rPr>
        <w:t xml:space="preserve"> meghosszabbítható a kemoterápia időtartama függvényében, a klinikai megítélés alapján.</w:t>
      </w:r>
    </w:p>
    <w:p w14:paraId="1D5A1ACA" w14:textId="77777777" w:rsidR="00B3283F" w:rsidRPr="00FC51A2" w:rsidRDefault="00B3283F" w:rsidP="00A17448">
      <w:pPr>
        <w:rPr>
          <w:i/>
          <w:sz w:val="22"/>
          <w:lang w:val="hu-HU"/>
        </w:rPr>
      </w:pPr>
    </w:p>
    <w:p w14:paraId="24C285AF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>Idős</w:t>
      </w:r>
      <w:r w:rsidR="00F7557B" w:rsidRPr="00FC51A2">
        <w:rPr>
          <w:i/>
          <w:sz w:val="22"/>
          <w:lang w:val="hu-HU"/>
        </w:rPr>
        <w:t>ek</w:t>
      </w:r>
      <w:r w:rsidRPr="00FC51A2">
        <w:rPr>
          <w:i/>
          <w:sz w:val="22"/>
          <w:lang w:val="hu-HU"/>
        </w:rPr>
        <w:t xml:space="preserve"> </w:t>
      </w:r>
    </w:p>
    <w:p w14:paraId="558F5D4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Idős korban nem szükséges az adagolás módosítása (lásd 5.2 pont).</w:t>
      </w:r>
    </w:p>
    <w:p w14:paraId="77FAF476" w14:textId="77777777" w:rsidR="00B3283F" w:rsidRPr="00FC51A2" w:rsidRDefault="00B3283F" w:rsidP="00A17448">
      <w:pPr>
        <w:pStyle w:val="Bodytext21"/>
        <w:shd w:val="clear" w:color="auto" w:fill="FFFFFF" w:themeFill="background1"/>
        <w:spacing w:before="0" w:after="0" w:line="514" w:lineRule="exact"/>
        <w:ind w:firstLine="0"/>
        <w:rPr>
          <w:b/>
          <w:i/>
          <w:sz w:val="22"/>
          <w:szCs w:val="22"/>
          <w:lang w:val="hu-HU"/>
        </w:rPr>
      </w:pPr>
      <w:r w:rsidRPr="00FC51A2">
        <w:rPr>
          <w:i/>
          <w:sz w:val="22"/>
          <w:szCs w:val="22"/>
          <w:lang w:val="hu-HU"/>
        </w:rPr>
        <w:t>Vesekάrosodά</w:t>
      </w:r>
      <w:r w:rsidRPr="00FC51A2">
        <w:rPr>
          <w:b/>
          <w:i/>
          <w:sz w:val="22"/>
          <w:szCs w:val="22"/>
          <w:lang w:val="hu-HU"/>
        </w:rPr>
        <w:t>s</w:t>
      </w:r>
    </w:p>
    <w:p w14:paraId="71815A7C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hatásosságot és biztonságosságot súlyos vesekárosodásban szenvedő betegeknél (kreatinin-clearance &lt;30 ml/perc) nem értékelték teljes körűen (lásd 5.2 pont). </w:t>
      </w:r>
    </w:p>
    <w:p w14:paraId="0A793E9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Az enyhe</w:t>
      </w:r>
      <w:r w:rsidR="002A47E6">
        <w:rPr>
          <w:sz w:val="22"/>
          <w:lang w:val="hu-HU"/>
        </w:rPr>
        <w:t xml:space="preserve"> vagy </w:t>
      </w:r>
      <w:r w:rsidRPr="00FC51A2">
        <w:rPr>
          <w:sz w:val="22"/>
          <w:lang w:val="hu-HU"/>
        </w:rPr>
        <w:t xml:space="preserve">középsúlyos vesekárosodásban szenvedő betegek adagját nem szükséges módosítani. </w:t>
      </w:r>
    </w:p>
    <w:p w14:paraId="6861C2FF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0982A2AE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 xml:space="preserve">Májkárosodás </w:t>
      </w:r>
    </w:p>
    <w:p w14:paraId="73A7B238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febuxosztát hatásosságát és biztonságosságát súlyos májkárosodásban szenvedő </w:t>
      </w:r>
      <w:r w:rsidR="001B1FBB" w:rsidRPr="00FC51A2">
        <w:rPr>
          <w:sz w:val="22"/>
          <w:lang w:val="hu-HU"/>
        </w:rPr>
        <w:t xml:space="preserve">betegeknél </w:t>
      </w:r>
      <w:r w:rsidRPr="00FC51A2">
        <w:rPr>
          <w:sz w:val="22"/>
          <w:lang w:val="hu-HU"/>
        </w:rPr>
        <w:t>(Child</w:t>
      </w:r>
      <w:r w:rsidR="002A47E6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Pugh C stádium) nem vizsgálták. </w:t>
      </w:r>
    </w:p>
    <w:p w14:paraId="036CF35A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i/>
          <w:sz w:val="22"/>
          <w:lang w:val="hu-HU"/>
        </w:rPr>
        <w:t>Köszvény</w:t>
      </w:r>
      <w:r w:rsidRPr="00FC51A2">
        <w:rPr>
          <w:sz w:val="22"/>
          <w:lang w:val="hu-HU"/>
        </w:rPr>
        <w:t>: A javasolt adag enyhe májkárosodásban szenvedő betegek számára 80 mg. Kevés adat áll rendelkezésre közepes mértékű májkárosodásban szenvedő betegekről.</w:t>
      </w:r>
    </w:p>
    <w:p w14:paraId="05C0717B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2CE2E7C" w14:textId="6DFBA0B8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B3283F" w:rsidRPr="00A17448">
        <w:rPr>
          <w:color w:val="000000"/>
          <w:sz w:val="22"/>
          <w:u w:val="single"/>
          <w:lang w:val="hu-HU"/>
        </w:rPr>
        <w:t xml:space="preserve"> 120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7ADA2ABA" w14:textId="77777777" w:rsidR="00B3283F" w:rsidRPr="00FC51A2" w:rsidRDefault="001C0683" w:rsidP="00A17448">
      <w:pPr>
        <w:rPr>
          <w:color w:val="000000"/>
          <w:sz w:val="22"/>
          <w:lang w:val="hu-HU"/>
        </w:rPr>
      </w:pPr>
      <w:r>
        <w:rPr>
          <w:color w:val="000000"/>
          <w:sz w:val="22"/>
          <w:lang w:val="hu-HU"/>
        </w:rPr>
        <w:t>Tumor lysis szindróma</w:t>
      </w:r>
      <w:r w:rsidR="00B3283F" w:rsidRPr="00FC51A2">
        <w:rPr>
          <w:color w:val="000000"/>
          <w:sz w:val="22"/>
          <w:lang w:val="hu-HU"/>
        </w:rPr>
        <w:t xml:space="preserve">: a </w:t>
      </w:r>
      <w:r w:rsidR="004A3578" w:rsidRPr="00FC51A2">
        <w:rPr>
          <w:color w:val="000000"/>
          <w:sz w:val="22"/>
          <w:lang w:val="hu-HU"/>
        </w:rPr>
        <w:t>III.</w:t>
      </w:r>
      <w:r w:rsidR="00B3283F" w:rsidRPr="00FC51A2">
        <w:rPr>
          <w:color w:val="000000"/>
          <w:sz w:val="22"/>
          <w:lang w:val="hu-HU"/>
        </w:rPr>
        <w:t xml:space="preserve"> fázisú </w:t>
      </w:r>
      <w:r w:rsidR="00B5115B" w:rsidRPr="00FC51A2">
        <w:rPr>
          <w:color w:val="000000"/>
          <w:sz w:val="22"/>
          <w:lang w:val="hu-HU"/>
        </w:rPr>
        <w:t xml:space="preserve">kulcsfontosságú </w:t>
      </w:r>
      <w:r w:rsidR="00B3283F" w:rsidRPr="00FC51A2">
        <w:rPr>
          <w:color w:val="000000"/>
          <w:sz w:val="22"/>
          <w:lang w:val="hu-HU"/>
        </w:rPr>
        <w:t xml:space="preserve">vizsgálatban (FLORENCE) csak a súlyos májelégtelenségben szenvedő </w:t>
      </w:r>
      <w:r w:rsidR="00B5115B">
        <w:rPr>
          <w:color w:val="000000"/>
          <w:sz w:val="22"/>
          <w:lang w:val="hu-HU"/>
        </w:rPr>
        <w:t>betegek</w:t>
      </w:r>
      <w:r w:rsidR="00B5115B" w:rsidRPr="00FC51A2">
        <w:rPr>
          <w:color w:val="000000"/>
          <w:sz w:val="22"/>
          <w:lang w:val="hu-HU"/>
        </w:rPr>
        <w:t xml:space="preserve"> </w:t>
      </w:r>
      <w:r w:rsidR="00B3283F" w:rsidRPr="00FC51A2">
        <w:rPr>
          <w:color w:val="000000"/>
          <w:sz w:val="22"/>
          <w:lang w:val="hu-HU"/>
        </w:rPr>
        <w:t>vizsgálati részvételét zárták ki. A vizsgálatba bevont betegek</w:t>
      </w:r>
      <w:r w:rsidR="00B5115B">
        <w:rPr>
          <w:color w:val="000000"/>
          <w:sz w:val="22"/>
          <w:lang w:val="hu-HU"/>
        </w:rPr>
        <w:t>nél</w:t>
      </w:r>
      <w:r w:rsidR="00B3283F" w:rsidRPr="00FC51A2">
        <w:rPr>
          <w:color w:val="000000"/>
          <w:sz w:val="22"/>
          <w:lang w:val="hu-HU"/>
        </w:rPr>
        <w:t xml:space="preserve"> a májfunkció alapján dózismódosításra nem volt szükség.</w:t>
      </w:r>
    </w:p>
    <w:p w14:paraId="1EA6200D" w14:textId="77777777" w:rsidR="00B3283F" w:rsidRPr="00FC51A2" w:rsidRDefault="00B3283F" w:rsidP="00A17448">
      <w:pPr>
        <w:rPr>
          <w:sz w:val="22"/>
          <w:lang w:val="hu-HU"/>
        </w:rPr>
      </w:pPr>
    </w:p>
    <w:p w14:paraId="66285D93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>Gyermekek</w:t>
      </w:r>
      <w:r w:rsidRPr="00FC51A2">
        <w:rPr>
          <w:i/>
          <w:sz w:val="22"/>
          <w:szCs w:val="22"/>
          <w:lang w:val="hu-HU"/>
        </w:rPr>
        <w:t xml:space="preserve"> </w:t>
      </w:r>
      <w:r w:rsidR="00767B49" w:rsidRPr="00FC51A2">
        <w:rPr>
          <w:i/>
          <w:sz w:val="22"/>
          <w:szCs w:val="22"/>
          <w:lang w:val="hu-HU"/>
        </w:rPr>
        <w:t>és serdülők</w:t>
      </w:r>
    </w:p>
    <w:p w14:paraId="359ABBDA" w14:textId="77777777" w:rsidR="00B3283F" w:rsidRPr="00FC51A2" w:rsidRDefault="00012F9A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A</w:t>
      </w:r>
      <w:r w:rsidR="00B3283F" w:rsidRPr="00FC51A2">
        <w:rPr>
          <w:sz w:val="22"/>
          <w:szCs w:val="22"/>
          <w:lang w:val="hu-HU"/>
        </w:rPr>
        <w:t xml:space="preserve"> febuxosztát</w:t>
      </w:r>
      <w:r w:rsidR="00B3283F" w:rsidRPr="00FC51A2">
        <w:rPr>
          <w:sz w:val="22"/>
          <w:lang w:val="hu-HU"/>
        </w:rPr>
        <w:t xml:space="preserve"> biztonságosságát és hatásosságát 18 évesnél fiatalabb </w:t>
      </w:r>
      <w:r w:rsidR="00D342D7" w:rsidRPr="00FC51A2">
        <w:rPr>
          <w:sz w:val="22"/>
          <w:lang w:val="hu-HU"/>
        </w:rPr>
        <w:t xml:space="preserve">gyermekek és serdülők </w:t>
      </w:r>
      <w:r w:rsidR="00B3283F" w:rsidRPr="00FC51A2">
        <w:rPr>
          <w:sz w:val="22"/>
          <w:lang w:val="hu-HU"/>
        </w:rPr>
        <w:t>esetén nem igazolták. Nincsenek rendelkezésre álló adatok.</w:t>
      </w:r>
    </w:p>
    <w:p w14:paraId="0C255FCF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0D931DD" w14:textId="77777777" w:rsidR="00B3283F" w:rsidRPr="00FC51A2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FC51A2">
        <w:rPr>
          <w:sz w:val="22"/>
          <w:u w:val="single"/>
          <w:lang w:val="hu-HU"/>
        </w:rPr>
        <w:t>Az alkalmazás módja</w:t>
      </w:r>
    </w:p>
    <w:p w14:paraId="775A9E75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Szájon át történő alkalmazás</w:t>
      </w:r>
    </w:p>
    <w:p w14:paraId="6A7DF107" w14:textId="6951A4F5" w:rsidR="00DB096C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 xml:space="preserve">A </w:t>
      </w:r>
      <w:r w:rsidR="00435A31">
        <w:rPr>
          <w:sz w:val="22"/>
          <w:lang w:val="hu-HU"/>
        </w:rPr>
        <w:t>Febuxostat PharOS</w:t>
      </w:r>
      <w:r w:rsidR="001B1FBB">
        <w:rPr>
          <w:sz w:val="22"/>
          <w:lang w:val="hu-HU"/>
        </w:rPr>
        <w:t>-</w:t>
      </w:r>
      <w:r w:rsidRPr="00FC51A2">
        <w:rPr>
          <w:sz w:val="22"/>
          <w:lang w:val="hu-HU"/>
        </w:rPr>
        <w:t>t szájon át kell szedni, étkezés közben vagy attól függetlenül is bevehető.</w:t>
      </w:r>
    </w:p>
    <w:p w14:paraId="7C94839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8882C56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3" w:name="_Toc441573737"/>
      <w:r w:rsidRPr="00FC51A2">
        <w:rPr>
          <w:b/>
          <w:sz w:val="22"/>
          <w:lang w:val="hu-HU"/>
        </w:rPr>
        <w:t>4.3</w:t>
      </w:r>
      <w:r w:rsidRPr="00FC51A2">
        <w:rPr>
          <w:b/>
          <w:sz w:val="22"/>
          <w:szCs w:val="22"/>
          <w:lang w:val="hu-HU"/>
        </w:rPr>
        <w:tab/>
      </w:r>
      <w:bookmarkEnd w:id="3"/>
      <w:r w:rsidRPr="00FC51A2">
        <w:rPr>
          <w:b/>
          <w:sz w:val="22"/>
          <w:lang w:val="hu-HU"/>
        </w:rPr>
        <w:t>Ellenjavallatok</w:t>
      </w:r>
    </w:p>
    <w:p w14:paraId="4B19D75A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3967780E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készítmény hatóanyagával vagy a 6.1 pontban felsorolt bármely segédanyagával szembeni túlérzékenység (lásd még 4.8 pont).</w:t>
      </w:r>
    </w:p>
    <w:p w14:paraId="51757B30" w14:textId="77777777" w:rsidR="00D63074" w:rsidRPr="00FC51A2" w:rsidRDefault="00D63074" w:rsidP="00A17448">
      <w:pPr>
        <w:shd w:val="clear" w:color="auto" w:fill="FFFFFF" w:themeFill="background1"/>
        <w:rPr>
          <w:sz w:val="22"/>
          <w:lang w:val="hu-HU"/>
        </w:rPr>
      </w:pPr>
    </w:p>
    <w:p w14:paraId="2303D2EE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4" w:name="_Toc441573738"/>
      <w:r w:rsidRPr="00FC51A2">
        <w:rPr>
          <w:b/>
          <w:sz w:val="22"/>
          <w:szCs w:val="22"/>
          <w:lang w:val="hu-HU"/>
        </w:rPr>
        <w:t>4.4</w:t>
      </w:r>
      <w:r w:rsidRPr="00FC51A2">
        <w:rPr>
          <w:b/>
          <w:sz w:val="22"/>
          <w:szCs w:val="22"/>
          <w:lang w:val="hu-HU"/>
        </w:rPr>
        <w:tab/>
      </w:r>
      <w:bookmarkEnd w:id="4"/>
      <w:r w:rsidRPr="00FC51A2">
        <w:rPr>
          <w:b/>
          <w:sz w:val="22"/>
          <w:lang w:val="hu-HU"/>
        </w:rPr>
        <w:t>Különleges figyelmeztetések és az alkalmazással kapcsolatos óvintézkedések</w:t>
      </w:r>
    </w:p>
    <w:p w14:paraId="64BFBCEA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2ABF4FA6" w14:textId="77777777" w:rsidR="00B3283F" w:rsidRPr="00FC51A2" w:rsidRDefault="00B3283F" w:rsidP="00F7557B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szCs w:val="22"/>
          <w:lang w:val="hu-HU"/>
        </w:rPr>
        <w:t>Szív</w:t>
      </w:r>
      <w:r w:rsidRPr="00FC51A2">
        <w:rPr>
          <w:i/>
          <w:sz w:val="22"/>
          <w:lang w:val="hu-HU"/>
        </w:rPr>
        <w:t>- és érrendszeri betegségek</w:t>
      </w:r>
    </w:p>
    <w:p w14:paraId="085F69B3" w14:textId="1A93294E" w:rsidR="00B3283F" w:rsidRDefault="00B3283F" w:rsidP="00A17448">
      <w:pPr>
        <w:pStyle w:val="Szvegtrzs"/>
        <w:spacing w:after="0"/>
        <w:rPr>
          <w:i/>
          <w:sz w:val="22"/>
          <w:u w:val="single"/>
          <w:lang w:val="hu-HU"/>
        </w:rPr>
      </w:pPr>
      <w:r w:rsidRPr="00FC51A2">
        <w:rPr>
          <w:i/>
          <w:sz w:val="22"/>
          <w:u w:val="single"/>
          <w:lang w:val="hu-HU"/>
        </w:rPr>
        <w:t xml:space="preserve">A krónikus </w:t>
      </w:r>
      <w:r w:rsidR="00063F45" w:rsidRPr="00FC51A2">
        <w:rPr>
          <w:i/>
          <w:sz w:val="22"/>
          <w:u w:val="single"/>
          <w:lang w:val="hu-HU"/>
        </w:rPr>
        <w:t>hyperuricaemia</w:t>
      </w:r>
      <w:r w:rsidRPr="00FC51A2">
        <w:rPr>
          <w:i/>
          <w:sz w:val="22"/>
          <w:u w:val="single"/>
          <w:lang w:val="hu-HU"/>
        </w:rPr>
        <w:t xml:space="preserve"> kezelése</w:t>
      </w:r>
    </w:p>
    <w:p w14:paraId="6683B145" w14:textId="1984CB89" w:rsidR="00074E44" w:rsidRPr="00074E44" w:rsidRDefault="00074E44" w:rsidP="00074E44">
      <w:pPr>
        <w:spacing w:after="120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gyógyszer kifejlesztése és a gyógyszer engedélyezését követő egyik vizsgálat (CARES) során az előzetesen fennálló jelentős cardiovascularis betegségben (pl. myocardialis infarctus, stroke vagy </w:t>
      </w:r>
      <w:r w:rsidRPr="00074E44">
        <w:rPr>
          <w:sz w:val="22"/>
          <w:lang w:val="hu-HU"/>
        </w:rPr>
        <w:lastRenderedPageBreak/>
        <w:t>instabil angina) szenvedő betegek körében febuxosztát kezelés mellett magasabb volt a fatális kimenetelű cardiovascularis események száma, mint az allopurinol esetében.</w:t>
      </w:r>
    </w:p>
    <w:p w14:paraId="65348925" w14:textId="77777777" w:rsidR="00074E44" w:rsidRPr="00074E44" w:rsidRDefault="00074E44" w:rsidP="00074E44">
      <w:pPr>
        <w:spacing w:after="120"/>
        <w:rPr>
          <w:sz w:val="22"/>
          <w:lang w:val="hu-HU"/>
        </w:rPr>
      </w:pPr>
      <w:r w:rsidRPr="00074E44">
        <w:rPr>
          <w:sz w:val="22"/>
          <w:lang w:val="hu-HU"/>
        </w:rPr>
        <w:t>A gyógyszer engedélyezését követő további vizsgálatok egyike (FAST) során azonban a febuxosztát nem volt inferior az allopurinolhoz képest sem a fatális kimenetelű, sem a nem fatális kimenetelű cardiovascularis események incidenciáját tekintve.</w:t>
      </w:r>
    </w:p>
    <w:p w14:paraId="1AA4424C" w14:textId="2B7E2B8E" w:rsidR="00074E44" w:rsidRPr="00FC51A2" w:rsidRDefault="00074E44" w:rsidP="00074E44">
      <w:pPr>
        <w:pStyle w:val="Szvegtrzs"/>
        <w:spacing w:after="0"/>
        <w:rPr>
          <w:i/>
          <w:sz w:val="22"/>
          <w:u w:val="single"/>
          <w:lang w:val="hu-HU"/>
        </w:rPr>
      </w:pPr>
      <w:r w:rsidRPr="00074E44">
        <w:rPr>
          <w:sz w:val="22"/>
          <w:lang w:val="hu-HU"/>
        </w:rPr>
        <w:t>E betegcsoport kezelése során óvatosan kell eljárni, és a betegeket rendszeresen monitorozni kell. A febuxosztát cardiovascularis biztonságosságával kapcsolatos további részleteket lásd a 4.8 és 5.1 pontban.</w:t>
      </w:r>
    </w:p>
    <w:p w14:paraId="334988F5" w14:textId="77777777" w:rsidR="00B3283F" w:rsidRPr="00FC51A2" w:rsidRDefault="00B3283F" w:rsidP="00A17448">
      <w:pPr>
        <w:pStyle w:val="Szvegtrzs"/>
        <w:shd w:val="clear" w:color="auto" w:fill="FFFFFF" w:themeFill="background1"/>
        <w:rPr>
          <w:sz w:val="22"/>
          <w:lang w:val="hu-HU"/>
        </w:rPr>
      </w:pPr>
    </w:p>
    <w:p w14:paraId="2717DBFF" w14:textId="7C323D6B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B3283F" w:rsidRPr="00A17448">
        <w:rPr>
          <w:color w:val="000000"/>
          <w:sz w:val="22"/>
          <w:u w:val="single"/>
          <w:lang w:val="hu-HU"/>
        </w:rPr>
        <w:t xml:space="preserve"> 120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595F99EE" w14:textId="77777777" w:rsidR="00B3283F" w:rsidRPr="00FC51A2" w:rsidRDefault="00B3283F" w:rsidP="00A17448">
      <w:pPr>
        <w:rPr>
          <w:i/>
          <w:color w:val="000000"/>
          <w:sz w:val="22"/>
          <w:u w:val="single"/>
          <w:lang w:val="hu-HU"/>
        </w:rPr>
      </w:pPr>
      <w:r w:rsidRPr="00FC51A2">
        <w:rPr>
          <w:i/>
          <w:color w:val="000000"/>
          <w:sz w:val="22"/>
          <w:u w:val="single"/>
          <w:lang w:val="hu-HU"/>
        </w:rPr>
        <w:t xml:space="preserve">A </w:t>
      </w:r>
      <w:r w:rsidR="00063F45" w:rsidRPr="00FC51A2">
        <w:rPr>
          <w:i/>
          <w:color w:val="000000"/>
          <w:sz w:val="22"/>
          <w:u w:val="single"/>
          <w:lang w:val="hu-HU"/>
        </w:rPr>
        <w:t>hyperuricaemia</w:t>
      </w:r>
      <w:r w:rsidRPr="00FC51A2">
        <w:rPr>
          <w:i/>
          <w:color w:val="000000"/>
          <w:sz w:val="22"/>
          <w:u w:val="single"/>
          <w:lang w:val="hu-HU"/>
        </w:rPr>
        <w:t xml:space="preserve"> megelőzése és kezelése TLS kockázatának kitett betegeknél</w:t>
      </w:r>
    </w:p>
    <w:p w14:paraId="43A12690" w14:textId="77777777" w:rsidR="00994793" w:rsidRPr="00FC51A2" w:rsidRDefault="00994793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kemoterápiában részesülő, </w:t>
      </w:r>
      <w:r w:rsidR="00E60F00" w:rsidRPr="00074E44">
        <w:rPr>
          <w:color w:val="000000"/>
          <w:sz w:val="22"/>
          <w:szCs w:val="22"/>
          <w:lang w:val="hu-HU"/>
        </w:rPr>
        <w:t xml:space="preserve">malignus </w:t>
      </w:r>
      <w:r w:rsidR="00E907D5" w:rsidRPr="00074E44">
        <w:rPr>
          <w:color w:val="000000"/>
          <w:sz w:val="22"/>
          <w:szCs w:val="22"/>
          <w:lang w:val="hu-HU"/>
        </w:rPr>
        <w:t>hemat</w:t>
      </w:r>
      <w:r w:rsidR="00E60F00" w:rsidRPr="00074E44">
        <w:rPr>
          <w:color w:val="000000"/>
          <w:sz w:val="22"/>
          <w:szCs w:val="22"/>
          <w:lang w:val="hu-HU"/>
        </w:rPr>
        <w:t xml:space="preserve">ológiai kórképekben </w:t>
      </w:r>
      <w:r w:rsidRPr="00FC51A2">
        <w:rPr>
          <w:color w:val="000000"/>
          <w:sz w:val="22"/>
          <w:lang w:val="hu-HU"/>
        </w:rPr>
        <w:t xml:space="preserve">szenvedő betegeknél, akiknél a </w:t>
      </w:r>
      <w:r w:rsidR="001C0683">
        <w:rPr>
          <w:color w:val="000000"/>
          <w:sz w:val="22"/>
          <w:lang w:val="hu-HU"/>
        </w:rPr>
        <w:t>tumor lysis szindróma</w:t>
      </w:r>
      <w:r w:rsidRPr="00FC51A2">
        <w:rPr>
          <w:color w:val="000000"/>
          <w:sz w:val="22"/>
          <w:lang w:val="hu-HU"/>
        </w:rPr>
        <w:t xml:space="preserve"> (TLS) kockázata közepes vagy magas, és febuxosztát kezelést kapnak, cardialis monitorozást kell végezni, ha ez klinikailag indokolt.</w:t>
      </w:r>
    </w:p>
    <w:p w14:paraId="185139C2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F2179FA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 xml:space="preserve">Gyógyszerallergia </w:t>
      </w:r>
      <w:r w:rsidR="00E60F00">
        <w:rPr>
          <w:i/>
          <w:sz w:val="22"/>
          <w:lang w:val="hu-HU"/>
        </w:rPr>
        <w:t>és</w:t>
      </w:r>
      <w:r w:rsidRPr="00FC51A2">
        <w:rPr>
          <w:i/>
          <w:sz w:val="22"/>
          <w:lang w:val="hu-HU"/>
        </w:rPr>
        <w:t xml:space="preserve"> túlérzékenység </w:t>
      </w:r>
    </w:p>
    <w:p w14:paraId="425155F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forgalomba hozatal</w:t>
      </w:r>
      <w:r w:rsidR="00D504B0" w:rsidRPr="00FC51A2">
        <w:rPr>
          <w:sz w:val="22"/>
          <w:lang w:val="hu-HU"/>
        </w:rPr>
        <w:t>t követően</w:t>
      </w:r>
      <w:r w:rsidRPr="00FC51A2">
        <w:rPr>
          <w:sz w:val="22"/>
          <w:lang w:val="hu-HU"/>
        </w:rPr>
        <w:t xml:space="preserve"> ritkán súlyos allergiás</w:t>
      </w:r>
      <w:r w:rsidR="00F62F2D">
        <w:rPr>
          <w:sz w:val="22"/>
          <w:lang w:val="hu-HU"/>
        </w:rPr>
        <w:t xml:space="preserve"> </w:t>
      </w:r>
      <w:r w:rsidR="004D62F9">
        <w:rPr>
          <w:sz w:val="22"/>
          <w:lang w:val="hu-HU"/>
        </w:rPr>
        <w:t>vagy</w:t>
      </w:r>
      <w:r w:rsidR="00F62F2D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túlérzékenységi reakciókat</w:t>
      </w:r>
      <w:r w:rsidR="00E60F00">
        <w:rPr>
          <w:sz w:val="22"/>
          <w:lang w:val="hu-HU"/>
        </w:rPr>
        <w:t xml:space="preserve"> –</w:t>
      </w:r>
      <w:r w:rsidRPr="00FC51A2">
        <w:rPr>
          <w:sz w:val="22"/>
          <w:lang w:val="hu-HU"/>
        </w:rPr>
        <w:t xml:space="preserve"> az életet veszélyeztető Stevens</w:t>
      </w:r>
      <w:r w:rsidR="00087B0B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>Johnson</w:t>
      </w:r>
      <w:r w:rsidR="00087B0B"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>szindrómát, toxicus epidermalis necrolysist is beleértve</w:t>
      </w:r>
      <w:r w:rsidR="00E60F00">
        <w:rPr>
          <w:sz w:val="22"/>
          <w:lang w:val="hu-HU"/>
        </w:rPr>
        <w:t xml:space="preserve"> –</w:t>
      </w:r>
      <w:r w:rsidRPr="00FC51A2">
        <w:rPr>
          <w:sz w:val="22"/>
          <w:lang w:val="hu-HU"/>
        </w:rPr>
        <w:t xml:space="preserve"> és akut anaphylaxiás reakciókat</w:t>
      </w:r>
      <w:r w:rsidR="00F62F2D">
        <w:rPr>
          <w:sz w:val="22"/>
          <w:lang w:val="hu-HU"/>
        </w:rPr>
        <w:t xml:space="preserve"> vagy </w:t>
      </w:r>
      <w:r w:rsidRPr="00FC51A2">
        <w:rPr>
          <w:sz w:val="22"/>
          <w:lang w:val="hu-HU"/>
        </w:rPr>
        <w:t>so</w:t>
      </w:r>
      <w:r w:rsidR="00EF1E42">
        <w:rPr>
          <w:sz w:val="22"/>
          <w:lang w:val="hu-HU"/>
        </w:rPr>
        <w:t>k</w:t>
      </w:r>
      <w:r w:rsidRPr="00FC51A2">
        <w:rPr>
          <w:sz w:val="22"/>
          <w:lang w:val="hu-HU"/>
        </w:rPr>
        <w:t xml:space="preserve">kot észleltek. </w:t>
      </w:r>
      <w:r w:rsidRPr="00074E44">
        <w:rPr>
          <w:sz w:val="22"/>
          <w:lang w:val="hu-HU"/>
        </w:rPr>
        <w:t>A legtöbb esetben ezek a reakciók a febuxosztát-kezelés első hónapjában léptek fel. Néhány, de nem mindegyik beteg, az allopurinollal kapcsolatos korábbi túlérzékenységről vagy vesekárosodásról számolt be. A súlyos túlérzékenységi reakciók, beleértve az eozinofíliával és szisztémás tünetekkel járó gyógyszerreakciót (DRESS</w:t>
      </w:r>
      <w:r w:rsidR="00D504B0" w:rsidRPr="00074E44">
        <w:rPr>
          <w:sz w:val="22"/>
          <w:lang w:val="hu-HU"/>
        </w:rPr>
        <w:t>-</w:t>
      </w:r>
      <w:r w:rsidRPr="00074E44">
        <w:rPr>
          <w:sz w:val="22"/>
          <w:lang w:val="hu-HU"/>
        </w:rPr>
        <w:t xml:space="preserve">szindróma) néhány esetben lázzal, hematológiai, renalis vagy hepaticus érintettséggel jártak. </w:t>
      </w:r>
    </w:p>
    <w:p w14:paraId="455CD9F3" w14:textId="77777777" w:rsidR="00DB096C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>A betegeket tájékoztatni kell az allergia</w:t>
      </w:r>
      <w:r w:rsidR="00D90F6D" w:rsidRPr="00074E44">
        <w:rPr>
          <w:sz w:val="22"/>
          <w:lang w:val="hu-HU"/>
        </w:rPr>
        <w:t xml:space="preserve"> </w:t>
      </w:r>
      <w:r w:rsidR="005A2902" w:rsidRPr="00074E44">
        <w:rPr>
          <w:sz w:val="22"/>
          <w:lang w:val="hu-HU"/>
        </w:rPr>
        <w:t>illetve</w:t>
      </w:r>
      <w:r w:rsidR="00B06620" w:rsidRPr="00074E44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 xml:space="preserve">túlérzékenységi reakciók okozta panaszokról és tünetekről, valamint gondosan követni kell a tüneteket (lásd 4.8 pont). A febuxosztát-kezelést </w:t>
      </w:r>
      <w:r w:rsidR="004D62F9" w:rsidRPr="00074E44">
        <w:rPr>
          <w:sz w:val="22"/>
          <w:lang w:val="hu-HU"/>
        </w:rPr>
        <w:t xml:space="preserve">azonnal </w:t>
      </w:r>
      <w:r w:rsidRPr="00074E44">
        <w:rPr>
          <w:sz w:val="22"/>
          <w:lang w:val="hu-HU"/>
        </w:rPr>
        <w:t>abba kell hagyni, amennyiben súlyos allergiás</w:t>
      </w:r>
      <w:r w:rsidR="00E60F00" w:rsidRPr="00074E44">
        <w:rPr>
          <w:sz w:val="22"/>
          <w:lang w:val="hu-HU"/>
        </w:rPr>
        <w:t xml:space="preserve"> vagy </w:t>
      </w:r>
      <w:r w:rsidRPr="00074E44">
        <w:rPr>
          <w:sz w:val="22"/>
          <w:lang w:val="hu-HU"/>
        </w:rPr>
        <w:t>túlérzékenységi reakciók lépnek fel, ideértve a Stevens</w:t>
      </w:r>
      <w:r w:rsidR="00D504B0" w:rsidRPr="00074E44">
        <w:rPr>
          <w:sz w:val="22"/>
          <w:lang w:val="hu-HU"/>
        </w:rPr>
        <w:t>–</w:t>
      </w:r>
      <w:r w:rsidRPr="00074E44">
        <w:rPr>
          <w:sz w:val="22"/>
          <w:lang w:val="hu-HU"/>
        </w:rPr>
        <w:t>Johnson</w:t>
      </w:r>
      <w:r w:rsidR="00D504B0" w:rsidRPr="00074E44">
        <w:rPr>
          <w:sz w:val="22"/>
          <w:lang w:val="hu-HU"/>
        </w:rPr>
        <w:t>-</w:t>
      </w:r>
      <w:r w:rsidRPr="00074E44">
        <w:rPr>
          <w:sz w:val="22"/>
          <w:lang w:val="hu-HU"/>
        </w:rPr>
        <w:t xml:space="preserve">szindromát is, mivel a kezelés korai megszakítása jobb prognózist jelent. Amennyiben a betegnél </w:t>
      </w:r>
      <w:r w:rsidR="00F62F2D" w:rsidRPr="00074E44">
        <w:rPr>
          <w:sz w:val="22"/>
          <w:lang w:val="hu-HU"/>
        </w:rPr>
        <w:t xml:space="preserve">allergiás vagy </w:t>
      </w:r>
      <w:r w:rsidRPr="00074E44">
        <w:rPr>
          <w:sz w:val="22"/>
          <w:lang w:val="hu-HU"/>
        </w:rPr>
        <w:t>túlérzékenységi reakciók lépnek fel</w:t>
      </w:r>
      <w:r w:rsidR="00913480" w:rsidRPr="00074E44">
        <w:rPr>
          <w:sz w:val="22"/>
          <w:lang w:val="hu-HU"/>
        </w:rPr>
        <w:t xml:space="preserve"> –</w:t>
      </w:r>
      <w:r w:rsidRPr="00074E44">
        <w:rPr>
          <w:sz w:val="22"/>
          <w:lang w:val="hu-HU"/>
        </w:rPr>
        <w:t xml:space="preserve"> ideértve a Stevens</w:t>
      </w:r>
      <w:r w:rsidR="00D504B0" w:rsidRPr="00074E44">
        <w:rPr>
          <w:sz w:val="22"/>
          <w:lang w:val="hu-HU"/>
        </w:rPr>
        <w:t>–</w:t>
      </w:r>
      <w:r w:rsidRPr="00074E44">
        <w:rPr>
          <w:sz w:val="22"/>
          <w:lang w:val="hu-HU"/>
        </w:rPr>
        <w:t>Johnson</w:t>
      </w:r>
      <w:r w:rsidR="00D504B0" w:rsidRPr="00074E44">
        <w:rPr>
          <w:sz w:val="22"/>
          <w:lang w:val="hu-HU"/>
        </w:rPr>
        <w:t>-</w:t>
      </w:r>
      <w:r w:rsidRPr="00074E44">
        <w:rPr>
          <w:sz w:val="22"/>
          <w:lang w:val="hu-HU"/>
        </w:rPr>
        <w:t>szindrómát, valamint akut anaphylaxiás reakciók</w:t>
      </w:r>
      <w:r w:rsidR="00913480" w:rsidRPr="00074E44">
        <w:rPr>
          <w:sz w:val="22"/>
          <w:lang w:val="hu-HU"/>
        </w:rPr>
        <w:t>at</w:t>
      </w:r>
      <w:r w:rsidR="00B06620" w:rsidRPr="00074E44">
        <w:rPr>
          <w:sz w:val="22"/>
          <w:lang w:val="hu-HU"/>
        </w:rPr>
        <w:t xml:space="preserve"> vagy </w:t>
      </w:r>
      <w:r w:rsidRPr="00074E44">
        <w:rPr>
          <w:sz w:val="22"/>
          <w:lang w:val="hu-HU"/>
        </w:rPr>
        <w:t>so</w:t>
      </w:r>
      <w:r w:rsidR="00EF1E42" w:rsidRPr="00074E44">
        <w:rPr>
          <w:sz w:val="22"/>
          <w:lang w:val="hu-HU"/>
        </w:rPr>
        <w:t>k</w:t>
      </w:r>
      <w:r w:rsidRPr="00074E44">
        <w:rPr>
          <w:sz w:val="22"/>
          <w:lang w:val="hu-HU"/>
        </w:rPr>
        <w:t>k</w:t>
      </w:r>
      <w:r w:rsidR="00913480" w:rsidRPr="00074E44">
        <w:rPr>
          <w:sz w:val="22"/>
          <w:lang w:val="hu-HU"/>
        </w:rPr>
        <w:t>ot</w:t>
      </w:r>
      <w:r w:rsidRPr="00074E44">
        <w:rPr>
          <w:sz w:val="22"/>
          <w:lang w:val="hu-HU"/>
        </w:rPr>
        <w:t>,</w:t>
      </w:r>
      <w:r w:rsidR="005A2902" w:rsidRPr="00074E44">
        <w:rPr>
          <w:sz w:val="22"/>
          <w:lang w:val="hu-HU"/>
        </w:rPr>
        <w:t xml:space="preserve"> – </w:t>
      </w:r>
      <w:r w:rsidRPr="00074E44">
        <w:rPr>
          <w:sz w:val="22"/>
          <w:lang w:val="hu-HU"/>
        </w:rPr>
        <w:t xml:space="preserve">a febuxosztát szedését </w:t>
      </w:r>
      <w:r w:rsidR="007C3B2E" w:rsidRPr="00074E44">
        <w:rPr>
          <w:sz w:val="22"/>
          <w:lang w:val="hu-HU"/>
        </w:rPr>
        <w:t xml:space="preserve">ennél a betegnél </w:t>
      </w:r>
      <w:r w:rsidRPr="00074E44">
        <w:rPr>
          <w:sz w:val="22"/>
          <w:lang w:val="hu-HU"/>
        </w:rPr>
        <w:t>soha többé nem lehet újrakezdeni.</w:t>
      </w:r>
    </w:p>
    <w:p w14:paraId="16220F9A" w14:textId="77777777" w:rsidR="00DB096C" w:rsidRPr="00074E44" w:rsidRDefault="00DB096C" w:rsidP="00A17448">
      <w:pPr>
        <w:shd w:val="clear" w:color="auto" w:fill="FFFFFF" w:themeFill="background1"/>
        <w:rPr>
          <w:sz w:val="22"/>
          <w:lang w:val="hu-HU"/>
        </w:rPr>
      </w:pPr>
    </w:p>
    <w:p w14:paraId="33BD55FF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074E44">
        <w:rPr>
          <w:i/>
          <w:sz w:val="22"/>
          <w:lang w:val="hu-HU"/>
        </w:rPr>
        <w:t xml:space="preserve">Heveny köszvényes rohamok (köszvény fellángolása) </w:t>
      </w:r>
    </w:p>
    <w:p w14:paraId="0198E35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febuxosztát-kezelést csak a heveny köszvényes roham teljes megszűnése után szabad elkezdeni. A köszvény fellángolása következhet be a kezelés kezdetén a változó szérumhúgysavszint miatt, ami a szövetekben lerakódott húgysav mobilizálását eredményezi (lásd 4.8 és 5.1 pont). A febuxosztát-kezelés kezdetekor a köszvény fellángolásának megelőzése céljából </w:t>
      </w:r>
      <w:r w:rsidR="007163A7" w:rsidRPr="00074E44">
        <w:rPr>
          <w:sz w:val="22"/>
          <w:lang w:val="hu-HU"/>
        </w:rPr>
        <w:t xml:space="preserve">legalább 6 hónapon keresztül ajánlatos </w:t>
      </w:r>
      <w:r w:rsidRPr="00074E44">
        <w:rPr>
          <w:sz w:val="22"/>
          <w:lang w:val="hu-HU"/>
        </w:rPr>
        <w:t xml:space="preserve">NSAID-ot vagy kolchicint adni (lásd 4.2 pont). </w:t>
      </w:r>
    </w:p>
    <w:p w14:paraId="61555F6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Ha a febuxosztát-kezelés ideje alatt következik be a köszvény fellángolása, a febuxosztát-kezelést nem szabad abbahagyni. A fellángolást a febuxosztát-kezeléssel párhuzamosan, az adott beteg számára megfelelő módon kell kezelni. A folyamatos febuxosztát-kezelés csökkenti a fellángolások gyakoriságát és intenzitását.</w:t>
      </w:r>
    </w:p>
    <w:p w14:paraId="233B0A55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B081820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Xantin-lerakódás </w:t>
      </w:r>
    </w:p>
    <w:p w14:paraId="709254C5" w14:textId="77777777" w:rsidR="00B3283F" w:rsidRPr="00435A31" w:rsidRDefault="0055171C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J</w:t>
      </w:r>
      <w:r w:rsidR="00B3283F" w:rsidRPr="00435A31">
        <w:rPr>
          <w:sz w:val="22"/>
          <w:lang w:val="hu-HU"/>
        </w:rPr>
        <w:t xml:space="preserve">elentősen fokozott húgysav képződés esetén (pl. rosszindulatú </w:t>
      </w:r>
      <w:r w:rsidR="00643105" w:rsidRPr="00435A31">
        <w:rPr>
          <w:sz w:val="22"/>
          <w:lang w:val="hu-HU"/>
        </w:rPr>
        <w:t>megbetegedés</w:t>
      </w:r>
      <w:r w:rsidR="00B3283F" w:rsidRPr="00435A31">
        <w:rPr>
          <w:sz w:val="22"/>
          <w:lang w:val="hu-HU"/>
        </w:rPr>
        <w:t xml:space="preserve"> és annak kezelése során, Lesch–Nyhan-szindrómában) a vizelet abszolút xantin koncentrációja némely ritka esetben oly mértékben emelkedhet, hogy emiatt lerakódás következhet be a húgyutakban. </w:t>
      </w:r>
    </w:p>
    <w:p w14:paraId="38CAFEE8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u w:val="single"/>
          <w:lang w:val="hu-HU"/>
        </w:rPr>
      </w:pPr>
    </w:p>
    <w:p w14:paraId="5EA1CF24" w14:textId="5DC69EC1" w:rsidR="00B3283F" w:rsidRPr="00435A31" w:rsidRDefault="00435A31" w:rsidP="00A17448">
      <w:pPr>
        <w:rPr>
          <w:color w:val="000000"/>
          <w:sz w:val="22"/>
          <w:u w:val="single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655912" w:rsidRPr="00435A31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435A31">
        <w:rPr>
          <w:color w:val="000000"/>
          <w:sz w:val="22"/>
          <w:szCs w:val="22"/>
          <w:u w:val="single"/>
          <w:lang w:val="hu-HU"/>
        </w:rPr>
        <w:t>120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color w:val="000000"/>
          <w:sz w:val="22"/>
          <w:u w:val="single"/>
          <w:lang w:val="hu-HU"/>
        </w:rPr>
        <w:t>:</w:t>
      </w:r>
    </w:p>
    <w:p w14:paraId="00946F26" w14:textId="77777777" w:rsidR="00586028" w:rsidRPr="00435A31" w:rsidRDefault="00B3283F" w:rsidP="00586028">
      <w:pPr>
        <w:shd w:val="clear" w:color="auto" w:fill="FFFFFF"/>
        <w:rPr>
          <w:color w:val="000000"/>
          <w:sz w:val="22"/>
          <w:szCs w:val="22"/>
          <w:lang w:val="hu-HU"/>
        </w:rPr>
      </w:pPr>
      <w:r w:rsidRPr="00435A31">
        <w:rPr>
          <w:color w:val="000000"/>
          <w:sz w:val="22"/>
          <w:lang w:val="hu-HU"/>
        </w:rPr>
        <w:t xml:space="preserve">Ezt </w:t>
      </w:r>
      <w:r w:rsidR="00304B7E" w:rsidRPr="00435A31">
        <w:rPr>
          <w:color w:val="000000"/>
          <w:sz w:val="22"/>
          <w:lang w:val="hu-HU"/>
        </w:rPr>
        <w:t xml:space="preserve">nem figyelték meg </w:t>
      </w:r>
      <w:r w:rsidRPr="00435A31">
        <w:rPr>
          <w:color w:val="000000"/>
          <w:sz w:val="22"/>
          <w:lang w:val="hu-HU"/>
        </w:rPr>
        <w:t xml:space="preserve">a </w:t>
      </w:r>
      <w:r w:rsidR="00586028" w:rsidRPr="00435A31">
        <w:rPr>
          <w:color w:val="000000"/>
          <w:sz w:val="22"/>
          <w:szCs w:val="22"/>
          <w:lang w:val="hu-HU"/>
        </w:rPr>
        <w:t>febuxosztát tumor lysis szindrómával kapcsolatban végzett kulcsfontosságú klinikai vizsgálatában.</w:t>
      </w:r>
    </w:p>
    <w:p w14:paraId="5978BAD4" w14:textId="77777777" w:rsidR="00586028" w:rsidRPr="00435A31" w:rsidRDefault="00586028" w:rsidP="00586028">
      <w:pPr>
        <w:rPr>
          <w:sz w:val="22"/>
          <w:szCs w:val="22"/>
          <w:lang w:val="hu-HU"/>
        </w:rPr>
      </w:pPr>
    </w:p>
    <w:p w14:paraId="07A42F70" w14:textId="77777777" w:rsidR="00B3283F" w:rsidRPr="00435A31" w:rsidRDefault="00B3283F" w:rsidP="00A17448">
      <w:pPr>
        <w:rPr>
          <w:sz w:val="22"/>
          <w:lang w:val="hu-HU"/>
        </w:rPr>
      </w:pPr>
      <w:r w:rsidRPr="00435A31">
        <w:rPr>
          <w:sz w:val="22"/>
          <w:lang w:val="hu-HU"/>
        </w:rPr>
        <w:t xml:space="preserve">Mivel a febuxosztáttal nincs tapasztalat, alkalmazása a Lesch–Nyhan-szindrómában szenvedő betegeknél nem </w:t>
      </w:r>
      <w:r w:rsidR="005845A6" w:rsidRPr="00435A31">
        <w:rPr>
          <w:sz w:val="22"/>
          <w:lang w:val="hu-HU"/>
        </w:rPr>
        <w:t>ajánlott</w:t>
      </w:r>
      <w:r w:rsidRPr="00435A31">
        <w:rPr>
          <w:sz w:val="22"/>
          <w:lang w:val="hu-HU"/>
        </w:rPr>
        <w:t>.</w:t>
      </w:r>
    </w:p>
    <w:p w14:paraId="40BC812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AB3881E" w14:textId="7CFD3C19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bookmarkStart w:id="5" w:name="bookmark2"/>
      <w:r w:rsidRPr="00435A31">
        <w:rPr>
          <w:i/>
          <w:sz w:val="22"/>
          <w:lang w:val="hu-HU"/>
        </w:rPr>
        <w:t>Merkaptopurin</w:t>
      </w:r>
      <w:r w:rsidR="00E13914" w:rsidRPr="00435A31">
        <w:rPr>
          <w:i/>
          <w:sz w:val="22"/>
          <w:lang w:val="hu-HU"/>
        </w:rPr>
        <w:t xml:space="preserve">, </w:t>
      </w:r>
      <w:r w:rsidRPr="00435A31">
        <w:rPr>
          <w:i/>
          <w:sz w:val="22"/>
          <w:lang w:val="hu-HU"/>
        </w:rPr>
        <w:t>azatioprin</w:t>
      </w:r>
    </w:p>
    <w:p w14:paraId="1B663F13" w14:textId="77777777" w:rsidR="00074E44" w:rsidRPr="00074E44" w:rsidRDefault="00074E44" w:rsidP="00074E44">
      <w:pPr>
        <w:rPr>
          <w:sz w:val="22"/>
          <w:lang w:val="hu-HU"/>
        </w:rPr>
      </w:pPr>
      <w:r w:rsidRPr="00074E44">
        <w:rPr>
          <w:sz w:val="22"/>
          <w:lang w:val="hu-HU"/>
        </w:rPr>
        <w:t>A febuxosztát adása nem javasolt egyidejűleg merkaptopurinnal/azatioprinnel kezelt betegeknél, mivel a febuxosztát a xantin-oxidáz gátlása révén fokozhatja a merkaptopurin/azatioprin plazmakoncentrációját, ami súlyos toxicitást okozhat.</w:t>
      </w:r>
    </w:p>
    <w:p w14:paraId="3D705F5D" w14:textId="53411190" w:rsidR="00074E44" w:rsidRPr="00074E44" w:rsidRDefault="00074E44" w:rsidP="00074E44">
      <w:pPr>
        <w:rPr>
          <w:sz w:val="22"/>
          <w:lang w:val="hu-HU"/>
        </w:rPr>
      </w:pPr>
      <w:r w:rsidRPr="00074E44">
        <w:rPr>
          <w:sz w:val="22"/>
          <w:lang w:val="hu-HU"/>
        </w:rPr>
        <w:t xml:space="preserve">Amennyiben a kombinált kezelést nem lehet elkerülni, a merkaptopurin/azatioprin </w:t>
      </w:r>
      <w:r w:rsidR="000F0C9C">
        <w:rPr>
          <w:sz w:val="22"/>
          <w:lang w:val="hu-HU"/>
        </w:rPr>
        <w:t>dózis</w:t>
      </w:r>
      <w:r w:rsidRPr="00074E44">
        <w:rPr>
          <w:sz w:val="22"/>
          <w:lang w:val="hu-HU"/>
        </w:rPr>
        <w:t>ának a</w:t>
      </w:r>
      <w:r w:rsidR="00680D2F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 xml:space="preserve">korábban előírt </w:t>
      </w:r>
      <w:r w:rsidR="000F0C9C">
        <w:rPr>
          <w:sz w:val="22"/>
          <w:lang w:val="hu-HU"/>
        </w:rPr>
        <w:t>dózis</w:t>
      </w:r>
      <w:r w:rsidRPr="00074E44">
        <w:rPr>
          <w:sz w:val="22"/>
          <w:lang w:val="hu-HU"/>
        </w:rPr>
        <w:t xml:space="preserve"> 20%-ára vagy annál kevesebbre csökkentése ajánlott a lehetséges hematológiai</w:t>
      </w:r>
      <w:r w:rsidR="00680D2F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>hatások elkerülése érdekében (lásd 4.5 és 5.3 pont).</w:t>
      </w:r>
    </w:p>
    <w:p w14:paraId="19F78871" w14:textId="2CCD9356" w:rsidR="00074E44" w:rsidRPr="00C80E6C" w:rsidRDefault="00074E44" w:rsidP="00C80E6C">
      <w:pPr>
        <w:rPr>
          <w:i/>
          <w:sz w:val="22"/>
          <w:lang w:val="hu-HU"/>
        </w:rPr>
      </w:pPr>
      <w:r w:rsidRPr="00074E44">
        <w:rPr>
          <w:sz w:val="22"/>
          <w:lang w:val="hu-HU"/>
        </w:rPr>
        <w:t>A betegeket szorosan monitorozni kell, és a merkaptopurin/azatioprin dózisát később be kell állítani a</w:t>
      </w:r>
      <w:r w:rsidR="00680D2F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 xml:space="preserve">terápiás válasz </w:t>
      </w:r>
      <w:r w:rsidR="00CE0213" w:rsidRPr="00074E44">
        <w:rPr>
          <w:sz w:val="22"/>
          <w:lang w:val="hu-HU"/>
        </w:rPr>
        <w:t xml:space="preserve">és az </w:t>
      </w:r>
      <w:r w:rsidR="00CE0213" w:rsidRPr="00CE0213">
        <w:rPr>
          <w:sz w:val="22"/>
          <w:lang w:val="hu-HU"/>
        </w:rPr>
        <w:t>esetl</w:t>
      </w:r>
      <w:r w:rsidR="00CE0213">
        <w:rPr>
          <w:sz w:val="22"/>
          <w:lang w:val="hu-HU"/>
        </w:rPr>
        <w:t>eges toxikus hatások megjelenésének</w:t>
      </w:r>
      <w:r w:rsidR="00CE0213" w:rsidRPr="00CE0213">
        <w:rPr>
          <w:sz w:val="22"/>
          <w:lang w:val="hu-HU"/>
        </w:rPr>
        <w:t xml:space="preserve"> </w:t>
      </w:r>
      <w:r w:rsidRPr="00074E44">
        <w:rPr>
          <w:sz w:val="22"/>
          <w:lang w:val="hu-HU"/>
        </w:rPr>
        <w:t>értékelése alapján.</w:t>
      </w:r>
    </w:p>
    <w:p w14:paraId="78944180" w14:textId="77777777" w:rsidR="00B3283F" w:rsidRPr="00C80E6C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AA1C40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Szervátültetésen átesett betegek </w:t>
      </w:r>
    </w:p>
    <w:p w14:paraId="5AEB575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Mivel szervátültetésen átesett betegekkel nincs tapasztalat, ezért a febuxosztát alkalmazása az ilyen betegeknél nem javasolt (lásd még 5.1 pont). </w:t>
      </w:r>
    </w:p>
    <w:p w14:paraId="1182103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5B54B53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Teofillin </w:t>
      </w:r>
    </w:p>
    <w:p w14:paraId="5717893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pt-BR"/>
        </w:rPr>
      </w:pPr>
      <w:r w:rsidRPr="00435A31">
        <w:rPr>
          <w:sz w:val="22"/>
          <w:lang w:val="hu-HU"/>
        </w:rPr>
        <w:t xml:space="preserve">Egészséges önkénteseknél </w:t>
      </w:r>
      <w:r w:rsidR="007B452A" w:rsidRPr="00435A31">
        <w:rPr>
          <w:sz w:val="22"/>
          <w:lang w:val="hu-HU"/>
        </w:rPr>
        <w:t>egyszeri</w:t>
      </w:r>
      <w:r w:rsidRPr="00435A31">
        <w:rPr>
          <w:sz w:val="22"/>
          <w:lang w:val="hu-HU"/>
        </w:rPr>
        <w:t xml:space="preserve"> 80 mg-os febuxosztát és 400 mg-os teofillin adag együttadása nem vezetett farmakokinetikai kölcsönhatáshoz (lásd 4.5 pont). A febuxosztát az egyidejűleg teofillinnel kezelt betegeknek </w:t>
      </w:r>
      <w:r w:rsidR="007B452A" w:rsidRPr="00435A31">
        <w:rPr>
          <w:sz w:val="22"/>
          <w:lang w:val="hu-HU"/>
        </w:rPr>
        <w:t xml:space="preserve">80 mg-os adagban </w:t>
      </w:r>
      <w:r w:rsidRPr="00435A31">
        <w:rPr>
          <w:sz w:val="22"/>
          <w:lang w:val="hu-HU"/>
        </w:rPr>
        <w:t xml:space="preserve">a teofillin plazmaszint emelkedésének veszélye nélkül adható. </w:t>
      </w:r>
      <w:r w:rsidRPr="00435A31">
        <w:rPr>
          <w:sz w:val="22"/>
          <w:lang w:val="pt-BR"/>
        </w:rPr>
        <w:t xml:space="preserve">Nem áll rendelkezésre adat </w:t>
      </w:r>
      <w:r w:rsidR="000F75DD" w:rsidRPr="00435A31">
        <w:rPr>
          <w:sz w:val="22"/>
          <w:lang w:val="pt-BR"/>
        </w:rPr>
        <w:t xml:space="preserve">a </w:t>
      </w:r>
      <w:r w:rsidRPr="00435A31">
        <w:rPr>
          <w:sz w:val="22"/>
          <w:lang w:val="pt-BR"/>
        </w:rPr>
        <w:t>120 mg</w:t>
      </w:r>
      <w:r w:rsidR="000F75DD" w:rsidRPr="00435A31">
        <w:rPr>
          <w:sz w:val="22"/>
          <w:lang w:val="pt-BR"/>
        </w:rPr>
        <w:t>-os</w:t>
      </w:r>
      <w:r w:rsidRPr="00435A31">
        <w:rPr>
          <w:sz w:val="22"/>
          <w:lang w:val="pt-BR"/>
        </w:rPr>
        <w:t xml:space="preserve"> febuxosztát adagra vonatkozóan. </w:t>
      </w:r>
    </w:p>
    <w:p w14:paraId="3CF7E98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pt-BR"/>
        </w:rPr>
      </w:pPr>
    </w:p>
    <w:p w14:paraId="0DC7DFFB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pt-BR"/>
        </w:rPr>
      </w:pPr>
      <w:r w:rsidRPr="00435A31">
        <w:rPr>
          <w:i/>
          <w:sz w:val="22"/>
          <w:lang w:val="pt-BR"/>
        </w:rPr>
        <w:t xml:space="preserve">Májbetegségek </w:t>
      </w:r>
    </w:p>
    <w:p w14:paraId="47E8492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pt-BR"/>
        </w:rPr>
        <w:t xml:space="preserve">Az összevont, </w:t>
      </w:r>
      <w:r w:rsidR="004A3578" w:rsidRPr="00435A31">
        <w:rPr>
          <w:sz w:val="22"/>
          <w:lang w:val="pt-BR"/>
        </w:rPr>
        <w:t>III.</w:t>
      </w:r>
      <w:r w:rsidR="007D5401" w:rsidRPr="00435A31">
        <w:rPr>
          <w:sz w:val="22"/>
          <w:lang w:val="pt-BR"/>
        </w:rPr>
        <w:t xml:space="preserve"> fázisú</w:t>
      </w:r>
      <w:r w:rsidRPr="00435A31">
        <w:rPr>
          <w:sz w:val="22"/>
          <w:lang w:val="pt-BR"/>
        </w:rPr>
        <w:t xml:space="preserve"> klinikai vizsgálatok során enyhe rendellenességeket figyeltek meg a májfunkciós </w:t>
      </w:r>
      <w:r w:rsidR="001964EE" w:rsidRPr="00435A31">
        <w:rPr>
          <w:sz w:val="22"/>
          <w:lang w:val="pt-BR"/>
        </w:rPr>
        <w:t xml:space="preserve">próbák eredményeiben </w:t>
      </w:r>
      <w:r w:rsidRPr="00435A31">
        <w:rPr>
          <w:sz w:val="22"/>
          <w:lang w:val="pt-BR"/>
        </w:rPr>
        <w:t>a febuxosztáttal kezelt betegeknél (5</w:t>
      </w:r>
      <w:r w:rsidRPr="00435A31">
        <w:rPr>
          <w:sz w:val="22"/>
          <w:szCs w:val="22"/>
          <w:lang w:val="pt-BR"/>
        </w:rPr>
        <w:t>.</w:t>
      </w:r>
      <w:r w:rsidRPr="00FC51A2">
        <w:rPr>
          <w:sz w:val="22"/>
          <w:lang w:val="hu-HU"/>
        </w:rPr>
        <w:t xml:space="preserve">0%). Májfunkciós próbák elvégzése javasolt a febuxosztát-kezelés megkezdése előtt, illetve a klinikai mérlegelés alapján </w:t>
      </w:r>
      <w:r w:rsidR="00A37717">
        <w:rPr>
          <w:sz w:val="22"/>
          <w:lang w:val="hu-HU"/>
        </w:rPr>
        <w:t xml:space="preserve">időszakosan azt követően is </w:t>
      </w:r>
      <w:r w:rsidRPr="00FC51A2">
        <w:rPr>
          <w:sz w:val="22"/>
          <w:lang w:val="hu-HU"/>
        </w:rPr>
        <w:t xml:space="preserve">(lásd 5.1 pont). </w:t>
      </w:r>
    </w:p>
    <w:p w14:paraId="354BDE2C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A9718E0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iCs/>
          <w:sz w:val="22"/>
          <w:szCs w:val="22"/>
          <w:lang w:val="hu-HU"/>
        </w:rPr>
        <w:t>Pajzsmirigy</w:t>
      </w:r>
      <w:r w:rsidRPr="00FC51A2">
        <w:rPr>
          <w:i/>
          <w:sz w:val="22"/>
          <w:lang w:val="hu-HU"/>
        </w:rPr>
        <w:t xml:space="preserve">-betegségek </w:t>
      </w:r>
    </w:p>
    <w:p w14:paraId="51A20983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hosszú távú, nyílt, kiterjesztett vizsgálatok során emelkedett TSH-szintet (&gt;5,5 </w:t>
      </w:r>
      <w:r w:rsidRPr="00FC51A2">
        <w:rPr>
          <w:sz w:val="22"/>
        </w:rPr>
        <w:t>μ</w:t>
      </w:r>
      <w:r w:rsidRPr="00FC51A2">
        <w:rPr>
          <w:sz w:val="22"/>
          <w:lang w:val="hu-HU"/>
        </w:rPr>
        <w:t xml:space="preserve">NE/ml) figyeltek meg olyan betegeknél, akik hosszú távú febuxosztát-kezelést kaptak (5,5%). </w:t>
      </w:r>
      <w:r w:rsidR="00DB6F43" w:rsidRPr="00074E44">
        <w:rPr>
          <w:sz w:val="22"/>
          <w:szCs w:val="22"/>
          <w:lang w:val="hu-HU"/>
        </w:rPr>
        <w:t>Körültekintés szükséges, ha megváltozott pajzsmirigyműködésű betegnél alkalmaznak febuxosztátot</w:t>
      </w:r>
      <w:r w:rsidRPr="00FC51A2">
        <w:rPr>
          <w:sz w:val="22"/>
          <w:lang w:val="hu-HU"/>
        </w:rPr>
        <w:t xml:space="preserve"> (lásd 5.1 pont). </w:t>
      </w:r>
    </w:p>
    <w:p w14:paraId="5053D303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AD2ED90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074E44">
        <w:rPr>
          <w:i/>
          <w:sz w:val="22"/>
          <w:lang w:val="hu-HU"/>
        </w:rPr>
        <w:t>Laktóz</w:t>
      </w:r>
    </w:p>
    <w:p w14:paraId="48F06E20" w14:textId="444DEFB7" w:rsidR="00B3283F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 xml:space="preserve">A </w:t>
      </w:r>
      <w:r w:rsidR="00435A31">
        <w:rPr>
          <w:sz w:val="22"/>
          <w:lang w:val="hu-HU"/>
        </w:rPr>
        <w:t>Febuxostat PharOS</w:t>
      </w:r>
      <w:r w:rsidRPr="00074E44">
        <w:rPr>
          <w:sz w:val="22"/>
          <w:lang w:val="hu-HU"/>
        </w:rPr>
        <w:t xml:space="preserve"> </w:t>
      </w:r>
      <w:r w:rsidR="00052BF1" w:rsidRPr="00074E44">
        <w:rPr>
          <w:sz w:val="22"/>
          <w:lang w:val="hu-HU"/>
        </w:rPr>
        <w:t>film</w:t>
      </w:r>
      <w:r w:rsidRPr="00074E44">
        <w:rPr>
          <w:sz w:val="22"/>
          <w:lang w:val="hu-HU"/>
        </w:rPr>
        <w:t xml:space="preserve">tabletta laktózt tartalmaz. Ritkán előforduló, örökletes galaktózintoleranciában, </w:t>
      </w:r>
      <w:r w:rsidR="0064286B" w:rsidRPr="00074E44">
        <w:rPr>
          <w:sz w:val="22"/>
          <w:lang w:val="hu-HU"/>
        </w:rPr>
        <w:t>laktózintoleranciában</w:t>
      </w:r>
      <w:r w:rsidRPr="00074E44">
        <w:rPr>
          <w:sz w:val="22"/>
          <w:lang w:val="hu-HU"/>
        </w:rPr>
        <w:t xml:space="preserve"> vagy glükóz-galaktóz</w:t>
      </w:r>
      <w:r w:rsidR="0064286B" w:rsidRPr="00074E44">
        <w:rPr>
          <w:sz w:val="22"/>
          <w:lang w:val="hu-HU"/>
        </w:rPr>
        <w:t>-</w:t>
      </w:r>
      <w:r w:rsidRPr="00074E44">
        <w:rPr>
          <w:sz w:val="22"/>
          <w:lang w:val="hu-HU"/>
        </w:rPr>
        <w:t>malabszorpcióban a készítmény nem szedhető.</w:t>
      </w:r>
    </w:p>
    <w:p w14:paraId="7C5747AD" w14:textId="38E6C64C" w:rsidR="00074E44" w:rsidRDefault="00074E44" w:rsidP="00A17448">
      <w:pPr>
        <w:shd w:val="clear" w:color="auto" w:fill="FFFFFF" w:themeFill="background1"/>
        <w:rPr>
          <w:sz w:val="22"/>
          <w:lang w:val="hu-HU"/>
        </w:rPr>
      </w:pPr>
    </w:p>
    <w:p w14:paraId="61554E0B" w14:textId="77777777" w:rsidR="00074E44" w:rsidRPr="00C80E6C" w:rsidRDefault="00074E44" w:rsidP="00074E44">
      <w:pPr>
        <w:rPr>
          <w:i/>
          <w:iCs/>
          <w:sz w:val="22"/>
          <w:lang w:val="hu-HU"/>
        </w:rPr>
      </w:pPr>
      <w:r w:rsidRPr="00C80E6C">
        <w:rPr>
          <w:i/>
          <w:iCs/>
          <w:sz w:val="22"/>
          <w:lang w:val="hu-HU"/>
        </w:rPr>
        <w:t>Nátrium</w:t>
      </w:r>
    </w:p>
    <w:p w14:paraId="085218DF" w14:textId="7BAB377D" w:rsidR="00074E44" w:rsidRPr="00074E44" w:rsidRDefault="00074E44" w:rsidP="008F49CE">
      <w:pPr>
        <w:rPr>
          <w:sz w:val="22"/>
          <w:lang w:val="hu-HU"/>
        </w:rPr>
      </w:pPr>
      <w:r w:rsidRPr="00C80E6C">
        <w:rPr>
          <w:sz w:val="22"/>
          <w:lang w:val="hu-HU"/>
        </w:rPr>
        <w:t>A készítmény kevesebb mint 1 mmol (23 mg) nátriumot tartalmaz</w:t>
      </w:r>
      <w:r w:rsidR="008F49CE" w:rsidRPr="008F49CE">
        <w:rPr>
          <w:sz w:val="22"/>
          <w:lang w:val="hu-HU"/>
        </w:rPr>
        <w:t xml:space="preserve"> </w:t>
      </w:r>
      <w:r w:rsidR="008F49CE" w:rsidRPr="00BE3303">
        <w:rPr>
          <w:sz w:val="22"/>
          <w:lang w:val="hu-HU"/>
        </w:rPr>
        <w:t>tablettánként</w:t>
      </w:r>
      <w:r w:rsidRPr="00C80E6C">
        <w:rPr>
          <w:sz w:val="22"/>
          <w:lang w:val="hu-HU"/>
        </w:rPr>
        <w:t xml:space="preserve">, </w:t>
      </w:r>
      <w:r w:rsidR="008F49CE" w:rsidRPr="008F49CE">
        <w:rPr>
          <w:sz w:val="22"/>
          <w:lang w:val="hu-HU"/>
        </w:rPr>
        <w:t>azaz gyakorlatilag „nátriummentes”.</w:t>
      </w:r>
    </w:p>
    <w:bookmarkEnd w:id="5"/>
    <w:p w14:paraId="4ABDA009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7B14E03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6" w:name="_Toc441573739"/>
      <w:r w:rsidRPr="00074E44">
        <w:rPr>
          <w:b/>
          <w:sz w:val="22"/>
          <w:szCs w:val="22"/>
          <w:lang w:val="hu-HU"/>
        </w:rPr>
        <w:t>4.5</w:t>
      </w:r>
      <w:r w:rsidRPr="00074E44">
        <w:rPr>
          <w:b/>
          <w:sz w:val="22"/>
          <w:szCs w:val="22"/>
          <w:lang w:val="hu-HU"/>
        </w:rPr>
        <w:tab/>
      </w:r>
      <w:bookmarkEnd w:id="6"/>
      <w:r w:rsidRPr="00074E44">
        <w:rPr>
          <w:b/>
          <w:sz w:val="22"/>
          <w:lang w:val="hu-HU"/>
        </w:rPr>
        <w:t>Gyógyszerkölcsönhatások és egyéb interakciók</w:t>
      </w:r>
    </w:p>
    <w:p w14:paraId="180AB3A4" w14:textId="77777777" w:rsidR="00B3283F" w:rsidRPr="00074E44" w:rsidRDefault="00B3283F" w:rsidP="00A17448">
      <w:pPr>
        <w:shd w:val="clear" w:color="auto" w:fill="FFFFFF" w:themeFill="background1"/>
        <w:ind w:left="720"/>
        <w:rPr>
          <w:i/>
          <w:sz w:val="22"/>
          <w:lang w:val="hu-HU"/>
        </w:rPr>
      </w:pPr>
    </w:p>
    <w:p w14:paraId="6D9A594A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074E44">
        <w:rPr>
          <w:i/>
          <w:sz w:val="22"/>
          <w:lang w:val="hu-HU"/>
        </w:rPr>
        <w:t>Merkaptopurin</w:t>
      </w:r>
      <w:r w:rsidR="000D53F1" w:rsidRPr="00074E44">
        <w:rPr>
          <w:i/>
          <w:sz w:val="22"/>
          <w:lang w:val="hu-HU"/>
        </w:rPr>
        <w:t xml:space="preserve">, </w:t>
      </w:r>
      <w:r w:rsidRPr="00074E44">
        <w:rPr>
          <w:i/>
          <w:sz w:val="22"/>
          <w:lang w:val="hu-HU"/>
        </w:rPr>
        <w:t>azatioprin</w:t>
      </w:r>
      <w:r w:rsidRPr="00074E44">
        <w:rPr>
          <w:i/>
          <w:sz w:val="22"/>
          <w:szCs w:val="22"/>
          <w:lang w:val="hu-HU"/>
        </w:rPr>
        <w:t xml:space="preserve"> </w:t>
      </w:r>
    </w:p>
    <w:p w14:paraId="55606D5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febuxosztát hatásmechanizmusa a </w:t>
      </w:r>
      <w:r w:rsidR="00A6234F" w:rsidRPr="00435A31">
        <w:rPr>
          <w:sz w:val="22"/>
          <w:lang w:val="hu-HU"/>
        </w:rPr>
        <w:t>xantin-oxidáz (</w:t>
      </w:r>
      <w:r w:rsidRPr="00435A31">
        <w:rPr>
          <w:sz w:val="22"/>
          <w:lang w:val="hu-HU"/>
        </w:rPr>
        <w:t>XO</w:t>
      </w:r>
      <w:r w:rsidR="00A6234F" w:rsidRPr="00435A31">
        <w:rPr>
          <w:sz w:val="22"/>
          <w:lang w:val="hu-HU"/>
        </w:rPr>
        <w:t>)</w:t>
      </w:r>
      <w:r w:rsidRPr="00435A31">
        <w:rPr>
          <w:sz w:val="22"/>
          <w:lang w:val="hu-HU"/>
        </w:rPr>
        <w:t xml:space="preserve"> gátlásán alapul, ezért az egyidejű alkalmazás nem javasolt. </w:t>
      </w:r>
    </w:p>
    <w:p w14:paraId="5F58BEFE" w14:textId="42500196" w:rsidR="00074E44" w:rsidRPr="00435A31" w:rsidRDefault="00B3283F" w:rsidP="00074E44">
      <w:pPr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febuxosztát által történő XO gátlás ezen gyógyszerek plazma-koncentrációjának megnövekedését eredményezheti, mely </w:t>
      </w:r>
      <w:r w:rsidR="00074E44" w:rsidRPr="00435A31">
        <w:rPr>
          <w:sz w:val="22"/>
          <w:lang w:val="hu-HU"/>
        </w:rPr>
        <w:t>mielotoxicitáshoz</w:t>
      </w:r>
      <w:r w:rsidRPr="00435A31">
        <w:rPr>
          <w:sz w:val="22"/>
          <w:lang w:val="hu-HU"/>
        </w:rPr>
        <w:t xml:space="preserve"> </w:t>
      </w:r>
      <w:r w:rsidR="005F5CE6" w:rsidRPr="00435A31">
        <w:rPr>
          <w:sz w:val="22"/>
          <w:lang w:val="hu-HU"/>
        </w:rPr>
        <w:t xml:space="preserve">vezet </w:t>
      </w:r>
      <w:r w:rsidRPr="00435A31">
        <w:rPr>
          <w:sz w:val="22"/>
          <w:lang w:val="hu-HU"/>
        </w:rPr>
        <w:t xml:space="preserve">(lásd 4.4 pont). </w:t>
      </w:r>
    </w:p>
    <w:p w14:paraId="71249A26" w14:textId="1259AAF7" w:rsidR="00074E44" w:rsidRPr="00435A31" w:rsidRDefault="00074E44" w:rsidP="00074E44">
      <w:pPr>
        <w:rPr>
          <w:sz w:val="22"/>
          <w:lang w:val="hu-HU"/>
        </w:rPr>
      </w:pPr>
      <w:r w:rsidRPr="00435A31">
        <w:rPr>
          <w:sz w:val="22"/>
          <w:lang w:val="hu-HU"/>
        </w:rPr>
        <w:t>A febuxosztáttal történő egyidejű alkalmazás esetén a merkaptopurin/azatioprin dózisát a korábban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előírt adag 20%-ára vagy annál kevesebbre kell csökkenteni (lásd 4.4 és 5.3 pont).</w:t>
      </w:r>
    </w:p>
    <w:p w14:paraId="6F503777" w14:textId="503660E8" w:rsidR="00B3283F" w:rsidRPr="00435A31" w:rsidRDefault="00074E44" w:rsidP="00C80E6C">
      <w:pPr>
        <w:rPr>
          <w:sz w:val="22"/>
          <w:lang w:val="hu-HU"/>
        </w:rPr>
      </w:pPr>
      <w:r w:rsidRPr="00435A31">
        <w:rPr>
          <w:sz w:val="22"/>
          <w:lang w:val="hu-HU"/>
        </w:rPr>
        <w:t>A javasolt dózismódosítás megfelelőségét, amely a patkányokon végzett preklinikai adatok modellezési és szimulációs elemzésén alapult, egy egészséges önkénteseken végzett klinikai gyógyszerkölcsönhatási vizsgálat eredményei igazolták, melynek során az alanyok 100 mg azatioprint kaptak önmagában</w:t>
      </w:r>
      <w:r w:rsidR="00680D2F" w:rsidRPr="00435A31">
        <w:rPr>
          <w:sz w:val="22"/>
          <w:lang w:val="hu-HU"/>
        </w:rPr>
        <w:t>,</w:t>
      </w:r>
      <w:r w:rsidRPr="00435A31">
        <w:rPr>
          <w:sz w:val="22"/>
          <w:lang w:val="hu-HU"/>
        </w:rPr>
        <w:t xml:space="preserve"> illetve csökkentett dózisú azatioprint (25 mg) febuxosztáttal (40 mg vagy 120 mg) együtt.</w:t>
      </w:r>
    </w:p>
    <w:p w14:paraId="736CB049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BB3DBA1" w14:textId="14F8BF9D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Gyógyszerkölcsönhatás-vizsgálatokat</w:t>
      </w:r>
      <w:r w:rsidR="00074E44" w:rsidRPr="00435A31">
        <w:rPr>
          <w:sz w:val="22"/>
          <w:lang w:val="hu-HU"/>
        </w:rPr>
        <w:t xml:space="preserve"> más</w:t>
      </w:r>
      <w:r w:rsidRPr="00435A31">
        <w:rPr>
          <w:sz w:val="22"/>
          <w:lang w:val="hu-HU"/>
        </w:rPr>
        <w:t xml:space="preserve"> citotoxikus kemoterápia mellett alkalmazott febuxosztáttal nem végeztek.</w:t>
      </w:r>
    </w:p>
    <w:p w14:paraId="2DFD73C0" w14:textId="7AF277A8" w:rsidR="00B3283F" w:rsidRPr="00435A31" w:rsidRDefault="00435A31" w:rsidP="00A17448">
      <w:pPr>
        <w:rPr>
          <w:color w:val="000000"/>
          <w:sz w:val="22"/>
          <w:shd w:val="clear" w:color="auto" w:fill="D9D9D9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B3283F" w:rsidRPr="00435A31">
        <w:rPr>
          <w:color w:val="000000"/>
          <w:sz w:val="22"/>
          <w:szCs w:val="22"/>
          <w:u w:val="single"/>
          <w:lang w:val="hu-HU"/>
        </w:rPr>
        <w:t xml:space="preserve"> 80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color w:val="000000"/>
          <w:sz w:val="22"/>
          <w:u w:val="single"/>
          <w:lang w:val="hu-HU"/>
        </w:rPr>
        <w:t>: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B3283F" w:rsidRPr="00435A31">
        <w:rPr>
          <w:color w:val="000000"/>
          <w:sz w:val="22"/>
          <w:lang w:val="hu-HU"/>
        </w:rPr>
        <w:t xml:space="preserve">Nincs adat a </w:t>
      </w:r>
      <w:r w:rsidR="000D53F1" w:rsidRPr="00435A31">
        <w:rPr>
          <w:color w:val="000000"/>
          <w:sz w:val="22"/>
          <w:lang w:val="hu-HU"/>
        </w:rPr>
        <w:t xml:space="preserve">citotoxikus </w:t>
      </w:r>
      <w:r w:rsidR="00B3283F" w:rsidRPr="00435A31">
        <w:rPr>
          <w:color w:val="000000"/>
          <w:sz w:val="22"/>
          <w:lang w:val="hu-HU"/>
        </w:rPr>
        <w:t>kezelés során adott febuxosztát</w:t>
      </w:r>
      <w:r w:rsidR="00B3283F" w:rsidRPr="00435A31">
        <w:rPr>
          <w:color w:val="000000"/>
          <w:sz w:val="22"/>
          <w:shd w:val="clear" w:color="auto" w:fill="D9D9D9"/>
          <w:lang w:val="hu-HU"/>
        </w:rPr>
        <w:t xml:space="preserve"> </w:t>
      </w:r>
      <w:r w:rsidR="00B3283F" w:rsidRPr="00435A31">
        <w:rPr>
          <w:color w:val="000000"/>
          <w:sz w:val="22"/>
          <w:lang w:val="hu-HU"/>
        </w:rPr>
        <w:t>biztonságosságáról.</w:t>
      </w:r>
    </w:p>
    <w:p w14:paraId="6F4E526E" w14:textId="77777777" w:rsidR="00B3283F" w:rsidRPr="00435A31" w:rsidRDefault="00B3283F" w:rsidP="00A17448">
      <w:pPr>
        <w:rPr>
          <w:i/>
          <w:sz w:val="22"/>
          <w:lang w:val="hu-HU"/>
        </w:rPr>
      </w:pPr>
    </w:p>
    <w:p w14:paraId="2ABD4351" w14:textId="747547C8" w:rsidR="00B3283F" w:rsidRPr="00435A31" w:rsidRDefault="00435A31" w:rsidP="00A17448">
      <w:pPr>
        <w:rPr>
          <w:color w:val="000000"/>
          <w:sz w:val="22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655912" w:rsidRPr="00435A31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435A31">
        <w:rPr>
          <w:color w:val="000000"/>
          <w:sz w:val="22"/>
          <w:szCs w:val="22"/>
          <w:u w:val="single"/>
          <w:lang w:val="hu-HU"/>
        </w:rPr>
        <w:t>120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color w:val="000000"/>
          <w:sz w:val="22"/>
          <w:u w:val="single"/>
          <w:lang w:val="hu-HU"/>
        </w:rPr>
        <w:t>:</w:t>
      </w:r>
      <w:r w:rsidR="00B3283F" w:rsidRPr="00435A31">
        <w:rPr>
          <w:color w:val="000000"/>
          <w:sz w:val="22"/>
          <w:lang w:val="hu-HU"/>
        </w:rPr>
        <w:t xml:space="preserve"> A </w:t>
      </w:r>
      <w:r w:rsidR="000D53F1" w:rsidRPr="00435A31">
        <w:rPr>
          <w:color w:val="000000"/>
          <w:sz w:val="22"/>
          <w:lang w:val="hu-HU"/>
        </w:rPr>
        <w:t xml:space="preserve">tumor lysis </w:t>
      </w:r>
      <w:r w:rsidR="00B3283F" w:rsidRPr="00435A31">
        <w:rPr>
          <w:color w:val="000000"/>
          <w:sz w:val="22"/>
          <w:lang w:val="hu-HU"/>
        </w:rPr>
        <w:t>szindrómával kapcsolatban végzett kulcsfontosságú vizsgálatban naponta 120 mg febuxosztátot ad</w:t>
      </w:r>
      <w:r w:rsidR="000D53F1" w:rsidRPr="00435A31">
        <w:rPr>
          <w:color w:val="000000"/>
          <w:sz w:val="22"/>
          <w:lang w:val="hu-HU"/>
        </w:rPr>
        <w:t>agol</w:t>
      </w:r>
      <w:r w:rsidR="00B3283F" w:rsidRPr="00435A31">
        <w:rPr>
          <w:color w:val="000000"/>
          <w:sz w:val="22"/>
          <w:lang w:val="hu-HU"/>
        </w:rPr>
        <w:t>tak több kemoterápiás szerrel, köztük monoklonális antitestekkel kezelt betegeknek. A gyógyszer-gyógyszer és gyógyszer-betegség kölcsönhatásokat azonban ebben a vizsgálatban nem tárták fel. Ezért bármely egyidejűleg alkalmazott citotoxikus gyógyszerrel való esetleges kölcsönhatások nem zárhatók ki.</w:t>
      </w:r>
    </w:p>
    <w:p w14:paraId="39CC4FEB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E22CDE0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Roziglitazon</w:t>
      </w:r>
      <w:r w:rsidR="00263EB5" w:rsidRPr="00435A31">
        <w:rPr>
          <w:i/>
          <w:sz w:val="22"/>
          <w:lang w:val="hu-HU"/>
        </w:rPr>
        <w:t xml:space="preserve"> és</w:t>
      </w:r>
      <w:r w:rsidRPr="00435A31">
        <w:rPr>
          <w:i/>
          <w:sz w:val="22"/>
          <w:lang w:val="hu-HU"/>
        </w:rPr>
        <w:t xml:space="preserve"> CYP2C8 szubsztrátok</w:t>
      </w:r>
    </w:p>
    <w:p w14:paraId="4840EC9B" w14:textId="77777777" w:rsidR="00B3283F" w:rsidRPr="00435A31" w:rsidRDefault="00263EB5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In vitro</w:t>
      </w:r>
      <w:r w:rsidRPr="00435A31">
        <w:rPr>
          <w:sz w:val="22"/>
          <w:lang w:val="hu-HU"/>
        </w:rPr>
        <w:t xml:space="preserve"> a</w:t>
      </w:r>
      <w:r w:rsidR="00B3283F" w:rsidRPr="00435A31">
        <w:rPr>
          <w:sz w:val="22"/>
          <w:lang w:val="hu-HU"/>
        </w:rPr>
        <w:t xml:space="preserve"> febuxosztát a CYP2C8 enzim gyenge inhibitorának bizonyult. </w:t>
      </w:r>
      <w:r w:rsidRPr="00435A31">
        <w:rPr>
          <w:sz w:val="22"/>
          <w:lang w:val="hu-HU"/>
        </w:rPr>
        <w:t>E</w:t>
      </w:r>
      <w:r w:rsidR="00B3283F" w:rsidRPr="00435A31">
        <w:rPr>
          <w:sz w:val="22"/>
          <w:lang w:val="hu-HU"/>
        </w:rPr>
        <w:t xml:space="preserve">gészséges önkénteseken végzett vizsgálatban napi 120 mg febuxosztát együttadása egyszeri 4 mg-os orális roziglitazon adaggal nem gyakorolt hatást a roziglitazonnak és metabolitjának, az N-dezmetil-roziglitazonnak a farmakokinetikájára, ami arra utal, hogy a febuxosztát </w:t>
      </w:r>
      <w:r w:rsidR="00A6234F" w:rsidRPr="00435A31">
        <w:rPr>
          <w:i/>
          <w:sz w:val="22"/>
          <w:lang w:val="hu-HU"/>
        </w:rPr>
        <w:t>in vivo</w:t>
      </w:r>
      <w:r w:rsidR="00B3283F" w:rsidRPr="00435A31">
        <w:rPr>
          <w:sz w:val="22"/>
          <w:lang w:val="hu-HU"/>
        </w:rPr>
        <w:t xml:space="preserve"> nem inhibitora a CYP2C8 enzimnek. Tehát a febuxosztát együttadása roziglitazonnal vagy más CYP2C8 szubsztráttal várhatóan nem teszi szükségessé egyik vegyület dózisának módosítását sem.</w:t>
      </w:r>
    </w:p>
    <w:p w14:paraId="7DC1D53D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01E8AB0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Teofillin</w:t>
      </w:r>
    </w:p>
    <w:p w14:paraId="7EBB296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Egy egészséges önkéntesekben febuxosztáttal végzett interakciós vizsgálatban azt tanulmányozták, hogy az XO enzim gátlása miatt megemelkedhet-e a keringésben lévő teofillin</w:t>
      </w:r>
      <w:r w:rsidR="00C10BD1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szintje, mint arról más XO</w:t>
      </w:r>
      <w:r w:rsidR="00C10BD1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>gátlók esetében beszámoltak. Ezen vizsgálat eredményei azt mutatták, hogy napi 80 mg febuxosztát és egyszeri 400 mg teofillin együttadásának nem volt hatása a teofillin farmakokinetikájára vagy biztonságosságára. Ezért nem szükséges különleges óvatosság 80 mg febuxosztát és teofillin egyidejű adásakor. 120 mg</w:t>
      </w:r>
      <w:r w:rsidR="00263EB5" w:rsidRPr="00435A31">
        <w:rPr>
          <w:sz w:val="22"/>
          <w:lang w:val="hu-HU"/>
        </w:rPr>
        <w:t>-os</w:t>
      </w:r>
      <w:r w:rsidRPr="00435A31">
        <w:rPr>
          <w:sz w:val="22"/>
          <w:lang w:val="hu-HU"/>
        </w:rPr>
        <w:t xml:space="preserve"> febuxosztát adagra vonatkozóan nem áll rendelkezésre adat.</w:t>
      </w:r>
    </w:p>
    <w:p w14:paraId="6D3109D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0D5490B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Naprox</w:t>
      </w:r>
      <w:r w:rsidR="00D94691" w:rsidRPr="00435A31">
        <w:rPr>
          <w:i/>
          <w:sz w:val="22"/>
          <w:lang w:val="hu-HU"/>
        </w:rPr>
        <w:t>é</w:t>
      </w:r>
      <w:r w:rsidRPr="00435A31">
        <w:rPr>
          <w:i/>
          <w:sz w:val="22"/>
          <w:lang w:val="hu-HU"/>
        </w:rPr>
        <w:t xml:space="preserve">n és más glükuronidáció-gátlók </w:t>
      </w:r>
    </w:p>
    <w:p w14:paraId="0041B60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febuxosztát metabolizmusa az uridin-difoszfát-glukuronoziltranszferáz (UGT) enzimektől függ. A glükuronidációt gátló gyógyszerek, mint pl. a NSAID-ok és a probenecid, elméletileg befolyásolhatják a febuxosztát eliminációját. Egészséges egyénekben </w:t>
      </w:r>
      <w:r w:rsidR="009879ED" w:rsidRPr="00435A31">
        <w:rPr>
          <w:sz w:val="22"/>
          <w:lang w:val="hu-HU"/>
        </w:rPr>
        <w:t xml:space="preserve">a </w:t>
      </w:r>
      <w:r w:rsidRPr="00435A31">
        <w:rPr>
          <w:sz w:val="22"/>
          <w:lang w:val="hu-HU"/>
        </w:rPr>
        <w:t>febuxosztát és naponta kétszer 250 mg 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 egyidejű alkalmazása emelkedett febuxosztát expozíció</w:t>
      </w:r>
      <w:r w:rsidR="009879ED" w:rsidRPr="00435A31">
        <w:rPr>
          <w:sz w:val="22"/>
          <w:lang w:val="hu-HU"/>
        </w:rPr>
        <w:t>val</w:t>
      </w:r>
      <w:r w:rsidRPr="00435A31">
        <w:rPr>
          <w:sz w:val="22"/>
          <w:lang w:val="hu-HU"/>
        </w:rPr>
        <w:t xml:space="preserve"> </w:t>
      </w:r>
      <w:r w:rsidR="009879ED" w:rsidRPr="00435A31">
        <w:rPr>
          <w:sz w:val="22"/>
          <w:lang w:val="hu-HU"/>
        </w:rPr>
        <w:t xml:space="preserve">járt </w:t>
      </w:r>
      <w:r w:rsidRPr="00435A31">
        <w:rPr>
          <w:sz w:val="22"/>
          <w:lang w:val="hu-HU"/>
        </w:rPr>
        <w:t>(</w:t>
      </w:r>
      <w:r w:rsidR="007B2B87" w:rsidRPr="00435A31">
        <w:rPr>
          <w:sz w:val="22"/>
          <w:lang w:val="hu-HU"/>
        </w:rPr>
        <w:t>c</w:t>
      </w:r>
      <w:r w:rsidR="007B2B87" w:rsidRPr="00435A31">
        <w:rPr>
          <w:sz w:val="22"/>
          <w:vertAlign w:val="subscript"/>
          <w:lang w:val="hu-HU"/>
        </w:rPr>
        <w:t>max</w:t>
      </w:r>
      <w:r w:rsidRPr="00435A31">
        <w:rPr>
          <w:sz w:val="22"/>
          <w:lang w:val="hu-HU"/>
        </w:rPr>
        <w:t xml:space="preserve"> 28%, AUC 41% és t</w:t>
      </w:r>
      <w:r w:rsidRPr="00435A31">
        <w:rPr>
          <w:sz w:val="22"/>
          <w:vertAlign w:val="subscript"/>
          <w:lang w:val="hu-HU"/>
        </w:rPr>
        <w:t>½</w:t>
      </w:r>
      <w:r w:rsidRPr="00435A31">
        <w:rPr>
          <w:sz w:val="22"/>
          <w:lang w:val="hu-HU"/>
        </w:rPr>
        <w:t xml:space="preserve"> 26%). A klinikai vizsgálatok során a 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 vagy más NSAID-ok</w:t>
      </w:r>
      <w:r w:rsidR="00263EB5" w:rsidRPr="00435A31">
        <w:rPr>
          <w:sz w:val="22"/>
          <w:lang w:val="hu-HU"/>
        </w:rPr>
        <w:t xml:space="preserve"> illetve </w:t>
      </w:r>
      <w:r w:rsidRPr="00435A31">
        <w:rPr>
          <w:sz w:val="22"/>
          <w:lang w:val="hu-HU"/>
        </w:rPr>
        <w:t xml:space="preserve">COX-2-gátlók alkalmazása nem állt összefüggésben a mellékhatások gyakoriságának klinikai szempontból </w:t>
      </w:r>
      <w:r w:rsidR="009879ED" w:rsidRPr="00435A31">
        <w:rPr>
          <w:sz w:val="22"/>
          <w:lang w:val="hu-HU"/>
        </w:rPr>
        <w:t xml:space="preserve">szignifikáns </w:t>
      </w:r>
      <w:r w:rsidRPr="00435A31">
        <w:rPr>
          <w:sz w:val="22"/>
          <w:lang w:val="hu-HU"/>
        </w:rPr>
        <w:t xml:space="preserve">növekedésével. </w:t>
      </w:r>
    </w:p>
    <w:p w14:paraId="73F1A8D9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8E77968" w14:textId="77777777" w:rsidR="00DB096C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febuxosztát egyidejűleg alkalmazható 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nnel és sem a febuxosztát, sem a naprox</w:t>
      </w:r>
      <w:r w:rsidR="00D94691" w:rsidRPr="00435A31">
        <w:rPr>
          <w:sz w:val="22"/>
          <w:lang w:val="hu-HU"/>
        </w:rPr>
        <w:t>é</w:t>
      </w:r>
      <w:r w:rsidRPr="00435A31">
        <w:rPr>
          <w:sz w:val="22"/>
          <w:lang w:val="hu-HU"/>
        </w:rPr>
        <w:t>n adagját nem szükséges módosítani.</w:t>
      </w:r>
    </w:p>
    <w:p w14:paraId="0329544A" w14:textId="77777777" w:rsidR="008C4008" w:rsidRPr="00435A31" w:rsidRDefault="008C4008" w:rsidP="00A17448">
      <w:pPr>
        <w:shd w:val="clear" w:color="auto" w:fill="FFFFFF" w:themeFill="background1"/>
        <w:rPr>
          <w:sz w:val="22"/>
          <w:lang w:val="hu-HU"/>
        </w:rPr>
      </w:pPr>
    </w:p>
    <w:p w14:paraId="639355A0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 xml:space="preserve">Glükuronidáció-induktorok </w:t>
      </w:r>
    </w:p>
    <w:p w14:paraId="2648C48E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Az UGT enzimek erős i</w:t>
      </w:r>
      <w:r w:rsidR="00E61B3A" w:rsidRPr="00435A31">
        <w:rPr>
          <w:sz w:val="22"/>
          <w:lang w:val="hu-HU"/>
        </w:rPr>
        <w:t>nduktorai esetleg fokozhatják a</w:t>
      </w:r>
      <w:r w:rsidRPr="00435A31">
        <w:rPr>
          <w:sz w:val="22"/>
          <w:lang w:val="hu-HU"/>
        </w:rPr>
        <w:t xml:space="preserve"> febuxosztát metabolizmusát, és csökkenthetik a hat</w:t>
      </w:r>
      <w:r w:rsidR="00C923F0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>ságát. Emiatt a szérum húgysavszintjének ellenőrzése javasolt 1-2 héttel a glükuronidációt erőteljesen indukáló gyógyszer bevezetése után. Ezzel szemben, az induktorral végzett kezelés elhagyása a febuxosztát plazmaszint emelkedéséhez vezethet.</w:t>
      </w:r>
    </w:p>
    <w:p w14:paraId="50A93581" w14:textId="77777777" w:rsidR="00C923F0" w:rsidRPr="00435A31" w:rsidRDefault="00C923F0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06767F5E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Kolhicin</w:t>
      </w:r>
      <w:r w:rsidR="00C923F0" w:rsidRPr="00435A31">
        <w:rPr>
          <w:i/>
          <w:sz w:val="22"/>
          <w:lang w:val="hu-HU"/>
        </w:rPr>
        <w:t xml:space="preserve">, </w:t>
      </w:r>
      <w:r w:rsidRPr="00435A31">
        <w:rPr>
          <w:i/>
          <w:sz w:val="22"/>
          <w:lang w:val="hu-HU"/>
        </w:rPr>
        <w:t>indometacin</w:t>
      </w:r>
      <w:r w:rsidR="00C923F0" w:rsidRPr="00435A31">
        <w:rPr>
          <w:i/>
          <w:sz w:val="22"/>
          <w:lang w:val="hu-HU"/>
        </w:rPr>
        <w:t xml:space="preserve">, </w:t>
      </w:r>
      <w:r w:rsidRPr="00435A31">
        <w:rPr>
          <w:i/>
          <w:sz w:val="22"/>
          <w:lang w:val="hu-HU"/>
        </w:rPr>
        <w:t>hidroklorotiazid</w:t>
      </w:r>
      <w:r w:rsidR="009879ED" w:rsidRPr="00435A31">
        <w:rPr>
          <w:i/>
          <w:sz w:val="22"/>
          <w:lang w:val="hu-HU"/>
        </w:rPr>
        <w:t xml:space="preserve"> és</w:t>
      </w:r>
      <w:r w:rsidR="00C923F0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 xml:space="preserve">warfarin </w:t>
      </w:r>
    </w:p>
    <w:p w14:paraId="0B00E309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febuxosztát együtt adható kolchicinnel vagy indometacinnal, az adag módosítása sem a febuxosztát, sem az egyidejűleg adott másik hatóanyag esetén sem szükséges.</w:t>
      </w:r>
    </w:p>
    <w:p w14:paraId="3C12985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306B847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Nem szükséges módosítani a febuxosztát adagját, ha hidroklorotiaziddal adják együtt.</w:t>
      </w:r>
    </w:p>
    <w:p w14:paraId="27C6C0C6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0EDE2E18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szükséges módosítani a warfarin adagját, ha febuxosztáttal adják együtt. A febuxosztát (napi egyszer 80 mg vagy 120 mg) és a warfarin együttes alkalmazása egészséges alanyokban nem volt hatással a warfarin farmakokinetikájára. Az INR értéket és a VII. faktor aktivitását sem befolyásolta a febuxosztáttal való együttadás. </w:t>
      </w:r>
    </w:p>
    <w:p w14:paraId="7C9B111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3EC1019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Dezipramin</w:t>
      </w:r>
      <w:r w:rsidR="00C923F0" w:rsidRPr="00435A31">
        <w:rPr>
          <w:i/>
          <w:sz w:val="22"/>
          <w:lang w:val="hu-HU"/>
        </w:rPr>
        <w:t xml:space="preserve"> és</w:t>
      </w:r>
      <w:r w:rsidR="007571AA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 xml:space="preserve">CYP2D6 szubsztrátok </w:t>
      </w:r>
    </w:p>
    <w:p w14:paraId="72328072" w14:textId="77777777" w:rsidR="00B3283F" w:rsidRPr="00435A31" w:rsidRDefault="00263EB5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In vitro</w:t>
      </w:r>
      <w:r w:rsidRPr="00435A31">
        <w:rPr>
          <w:sz w:val="22"/>
          <w:lang w:val="hu-HU"/>
        </w:rPr>
        <w:t xml:space="preserve"> </w:t>
      </w:r>
      <w:r w:rsidR="00B3283F" w:rsidRPr="00435A31">
        <w:rPr>
          <w:sz w:val="22"/>
          <w:lang w:val="hu-HU"/>
        </w:rPr>
        <w:t>A febuxosztát a CYP2D6 gyenge inhibitorának bizonyult. Egészséges alanyokon elvégzett vizsgálat során a nap</w:t>
      </w:r>
      <w:r w:rsidR="009879ED" w:rsidRPr="00435A31">
        <w:rPr>
          <w:sz w:val="22"/>
          <w:lang w:val="hu-HU"/>
        </w:rPr>
        <w:t>i egyszeri</w:t>
      </w:r>
      <w:r w:rsidR="00B3283F" w:rsidRPr="00435A31">
        <w:rPr>
          <w:sz w:val="22"/>
          <w:lang w:val="hu-HU"/>
        </w:rPr>
        <w:t xml:space="preserve"> 1×120 mg dózisban adott </w:t>
      </w:r>
      <w:r w:rsidR="00B3283F" w:rsidRPr="00435A31">
        <w:rPr>
          <w:sz w:val="22"/>
          <w:szCs w:val="22"/>
          <w:lang w:val="hu-HU"/>
        </w:rPr>
        <w:t>febuxosztát</w:t>
      </w:r>
      <w:r w:rsidR="00B3283F" w:rsidRPr="00435A31">
        <w:rPr>
          <w:sz w:val="22"/>
          <w:lang w:val="hu-HU"/>
        </w:rPr>
        <w:t xml:space="preserve"> hatására átlagosan 22%-kal nőtt a CYP2D6</w:t>
      </w:r>
      <w:r w:rsidR="00C923F0" w:rsidRPr="00435A31">
        <w:rPr>
          <w:sz w:val="22"/>
          <w:lang w:val="hu-HU"/>
        </w:rPr>
        <w:t>-</w:t>
      </w:r>
      <w:r w:rsidR="00B3283F" w:rsidRPr="00435A31">
        <w:rPr>
          <w:sz w:val="22"/>
          <w:lang w:val="hu-HU"/>
        </w:rPr>
        <w:t xml:space="preserve">szubsztrát dezipramin AUC-értéke, ami azt jelzi, hogy a febuxosztát </w:t>
      </w:r>
      <w:r w:rsidR="00A6234F" w:rsidRPr="00435A31">
        <w:rPr>
          <w:i/>
          <w:sz w:val="22"/>
          <w:lang w:val="hu-HU"/>
        </w:rPr>
        <w:t>in vivo</w:t>
      </w:r>
      <w:r w:rsidR="00B3283F" w:rsidRPr="00435A31">
        <w:rPr>
          <w:sz w:val="22"/>
          <w:lang w:val="hu-HU"/>
        </w:rPr>
        <w:t xml:space="preserve"> gyenge gátló hatást fejt ki a CYP2D6 enzimre. Ily módon, a febuxosztát és más CYP2D6 szubsztrátok egyidejű alkalmazása során várhatóan nem szükséges az utóbbiak adagjának módosítása.</w:t>
      </w:r>
      <w:r w:rsidR="00B3283F" w:rsidRPr="00435A31">
        <w:rPr>
          <w:sz w:val="22"/>
          <w:szCs w:val="22"/>
          <w:lang w:val="hu-HU"/>
        </w:rPr>
        <w:t xml:space="preserve"> </w:t>
      </w:r>
    </w:p>
    <w:p w14:paraId="16768ECD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5D510BD6" w14:textId="77777777" w:rsidR="00B3283F" w:rsidRPr="00FC51A2" w:rsidRDefault="0055446B" w:rsidP="00A17448">
      <w:pPr>
        <w:shd w:val="clear" w:color="auto" w:fill="FFFFFF" w:themeFill="background1"/>
        <w:rPr>
          <w:i/>
          <w:sz w:val="22"/>
          <w:lang w:val="hu-HU"/>
        </w:rPr>
      </w:pPr>
      <w:r>
        <w:rPr>
          <w:i/>
          <w:sz w:val="22"/>
          <w:lang w:val="hu-HU"/>
        </w:rPr>
        <w:t>Antacidok</w:t>
      </w:r>
    </w:p>
    <w:p w14:paraId="094007E2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Az egyidejűleg bevett, magnézium-hidroxidot és alumínium-hidroxidot tartalmazó </w:t>
      </w:r>
      <w:r w:rsidR="0055446B">
        <w:rPr>
          <w:sz w:val="22"/>
          <w:lang w:val="hu-HU"/>
        </w:rPr>
        <w:t>antacidok</w:t>
      </w:r>
      <w:r w:rsidR="0055446B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bizonyítottan (kb. </w:t>
      </w:r>
      <w:r w:rsidR="001A58C9">
        <w:rPr>
          <w:sz w:val="22"/>
          <w:lang w:val="hu-HU"/>
        </w:rPr>
        <w:t>egy</w:t>
      </w:r>
      <w:r w:rsidRPr="00FC51A2">
        <w:rPr>
          <w:sz w:val="22"/>
          <w:lang w:val="hu-HU"/>
        </w:rPr>
        <w:t xml:space="preserve"> órával) késleltetik a febuxosztát felszívódását és 32%-kal csökkentik a </w:t>
      </w:r>
      <w:r w:rsidR="007B2B87" w:rsidRPr="00FC51A2">
        <w:rPr>
          <w:sz w:val="22"/>
          <w:lang w:val="hu-HU"/>
        </w:rPr>
        <w:t>c</w:t>
      </w:r>
      <w:r w:rsidRPr="00A17448">
        <w:rPr>
          <w:sz w:val="22"/>
          <w:vertAlign w:val="subscript"/>
          <w:lang w:val="hu-HU"/>
        </w:rPr>
        <w:t>max</w:t>
      </w:r>
      <w:r w:rsidR="00C923F0" w:rsidRPr="00FC51A2">
        <w:rPr>
          <w:sz w:val="22"/>
          <w:lang w:val="hu-HU"/>
        </w:rPr>
        <w:t xml:space="preserve"> értéke</w:t>
      </w:r>
      <w:r w:rsidRPr="00FC51A2">
        <w:rPr>
          <w:sz w:val="22"/>
          <w:lang w:val="hu-HU"/>
        </w:rPr>
        <w:t xml:space="preserve">t, az AUC értéke azonban nem változik </w:t>
      </w:r>
      <w:r w:rsidR="0055446B">
        <w:rPr>
          <w:sz w:val="22"/>
          <w:lang w:val="hu-HU"/>
        </w:rPr>
        <w:t>szignifikáns</w:t>
      </w:r>
      <w:r w:rsidR="0055446B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mértékben. Ezért a febuxosztát alkalmazható </w:t>
      </w:r>
      <w:r w:rsidR="0055446B">
        <w:rPr>
          <w:sz w:val="22"/>
          <w:lang w:val="hu-HU"/>
        </w:rPr>
        <w:t>antacidok</w:t>
      </w:r>
      <w:r w:rsidR="0055446B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mellett.</w:t>
      </w:r>
    </w:p>
    <w:p w14:paraId="787B153B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4EA781D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7" w:name="_Toc441573740"/>
      <w:r w:rsidRPr="00FC51A2">
        <w:rPr>
          <w:b/>
          <w:sz w:val="22"/>
          <w:szCs w:val="22"/>
          <w:lang w:val="hu-HU"/>
        </w:rPr>
        <w:t>4.6</w:t>
      </w:r>
      <w:r w:rsidRPr="00FC51A2">
        <w:rPr>
          <w:b/>
          <w:sz w:val="22"/>
          <w:szCs w:val="22"/>
          <w:lang w:val="hu-HU"/>
        </w:rPr>
        <w:tab/>
      </w:r>
      <w:bookmarkEnd w:id="7"/>
      <w:r w:rsidRPr="00FC51A2">
        <w:rPr>
          <w:b/>
          <w:sz w:val="22"/>
          <w:lang w:val="hu-HU"/>
        </w:rPr>
        <w:t>Termékenység, terhesség és szoptatás</w:t>
      </w:r>
    </w:p>
    <w:p w14:paraId="520EB7CB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sz w:val="22"/>
          <w:lang w:val="hu-HU"/>
        </w:rPr>
      </w:pPr>
    </w:p>
    <w:p w14:paraId="19ADB69F" w14:textId="77777777" w:rsidR="00B3283F" w:rsidRPr="00FC51A2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bookmarkStart w:id="8" w:name="bookmark4"/>
      <w:r w:rsidRPr="00FC51A2">
        <w:rPr>
          <w:i/>
          <w:color w:val="000000"/>
          <w:sz w:val="22"/>
          <w:lang w:val="hu-HU"/>
        </w:rPr>
        <w:t xml:space="preserve">Terhesség </w:t>
      </w:r>
    </w:p>
    <w:p w14:paraId="3843BD5D" w14:textId="77777777" w:rsidR="00B3283F" w:rsidRPr="00074E44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rendelkezésre álló, nagyon korlátozott </w:t>
      </w:r>
      <w:r w:rsidR="000021BD" w:rsidRPr="00FC51A2">
        <w:rPr>
          <w:color w:val="000000"/>
          <w:sz w:val="22"/>
          <w:lang w:val="hu-HU"/>
        </w:rPr>
        <w:t xml:space="preserve">mennyiségű </w:t>
      </w:r>
      <w:r w:rsidRPr="00FC51A2">
        <w:rPr>
          <w:color w:val="000000"/>
          <w:sz w:val="22"/>
          <w:lang w:val="hu-HU"/>
        </w:rPr>
        <w:t>adat nem utal a febuxosztát terhességre vagy a magzatra</w:t>
      </w:r>
      <w:r w:rsidR="000021BD" w:rsidRPr="00FC51A2">
        <w:rPr>
          <w:color w:val="000000"/>
          <w:sz w:val="22"/>
          <w:lang w:val="hu-HU"/>
        </w:rPr>
        <w:t xml:space="preserve">, </w:t>
      </w:r>
      <w:r w:rsidRPr="00FC51A2">
        <w:rPr>
          <w:color w:val="000000"/>
          <w:sz w:val="22"/>
          <w:lang w:val="hu-HU"/>
        </w:rPr>
        <w:t>újszülöttre gyakorolt káros hatására. Az állatkísérletek nem utalnak a terhességet, az embrionális</w:t>
      </w:r>
      <w:r w:rsidR="000021BD" w:rsidRPr="00FC51A2">
        <w:rPr>
          <w:color w:val="000000"/>
          <w:sz w:val="22"/>
          <w:lang w:val="hu-HU"/>
        </w:rPr>
        <w:t xml:space="preserve"> és </w:t>
      </w:r>
      <w:r w:rsidRPr="00FC51A2">
        <w:rPr>
          <w:color w:val="000000"/>
          <w:sz w:val="22"/>
          <w:lang w:val="hu-HU"/>
        </w:rPr>
        <w:t xml:space="preserve">magzati fejlődést vagy a szülést közvetlenül vagy közvetett módon károsan befolyásoló hatásra (lásd 5.3 pont). </w:t>
      </w:r>
      <w:r w:rsidRPr="00074E44">
        <w:rPr>
          <w:color w:val="000000"/>
          <w:sz w:val="22"/>
          <w:lang w:val="hu-HU"/>
        </w:rPr>
        <w:t xml:space="preserve">Emberben a potenciális veszély nem ismert. Febuxosztát a terhesség ideje alatt nem alkalmazható. </w:t>
      </w:r>
    </w:p>
    <w:p w14:paraId="19C47D31" w14:textId="77777777" w:rsidR="00B3283F" w:rsidRPr="00074E44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</w:p>
    <w:p w14:paraId="22038390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r w:rsidRPr="00435A31">
        <w:rPr>
          <w:i/>
          <w:color w:val="000000"/>
          <w:sz w:val="22"/>
          <w:lang w:val="hu-HU"/>
        </w:rPr>
        <w:t xml:space="preserve">Szoptatás </w:t>
      </w:r>
    </w:p>
    <w:p w14:paraId="7BDAFF14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Nem ismert, hogy a febuxosztát kiválasztódik-e az emberi anyatejbe. Állatkísérletek során kimutatták, hogy a hatóanyag kiválasztódik az anyatejbe, és a szoptatott utódok fejlődését hátrányosan befolyásolja. </w:t>
      </w:r>
      <w:r w:rsidR="000021BD" w:rsidRPr="00435A31">
        <w:rPr>
          <w:color w:val="000000"/>
          <w:sz w:val="22"/>
          <w:lang w:val="hu-HU"/>
        </w:rPr>
        <w:t xml:space="preserve">Mivel a </w:t>
      </w:r>
      <w:r w:rsidRPr="00435A31">
        <w:rPr>
          <w:color w:val="000000"/>
          <w:sz w:val="22"/>
          <w:lang w:val="hu-HU"/>
        </w:rPr>
        <w:t>szoptatott csecsemőt fenyegető kockázat nem zárható ki</w:t>
      </w:r>
      <w:r w:rsidR="000021BD" w:rsidRPr="00435A31">
        <w:rPr>
          <w:color w:val="000000"/>
          <w:sz w:val="22"/>
          <w:lang w:val="hu-HU"/>
        </w:rPr>
        <w:t>,</w:t>
      </w:r>
      <w:r w:rsidRPr="00435A31">
        <w:rPr>
          <w:color w:val="000000"/>
          <w:sz w:val="22"/>
          <w:lang w:val="hu-HU"/>
        </w:rPr>
        <w:t xml:space="preserve"> </w:t>
      </w:r>
      <w:r w:rsidR="000021BD" w:rsidRPr="00435A31">
        <w:rPr>
          <w:color w:val="000000"/>
          <w:sz w:val="22"/>
          <w:lang w:val="hu-HU"/>
        </w:rPr>
        <w:t>a</w:t>
      </w:r>
      <w:r w:rsidRPr="00435A31">
        <w:rPr>
          <w:color w:val="000000"/>
          <w:sz w:val="22"/>
          <w:lang w:val="hu-HU"/>
        </w:rPr>
        <w:t xml:space="preserve"> febuxosztát nem alkalmazható a szoptatás ideje alatt. </w:t>
      </w:r>
    </w:p>
    <w:p w14:paraId="1B78A551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</w:p>
    <w:p w14:paraId="7E6AE26C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r w:rsidRPr="00435A31">
        <w:rPr>
          <w:i/>
          <w:color w:val="000000"/>
          <w:sz w:val="22"/>
          <w:lang w:val="hu-HU"/>
        </w:rPr>
        <w:t xml:space="preserve">Termékenység </w:t>
      </w:r>
    </w:p>
    <w:p w14:paraId="657D4CCE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reprodukciós állatkísérletek 48 mg/kg/nap adagig nem mutattak a termékenységre gyakorolt, dózisfüggő nemkívánatos eseményeket (lásd 5.3 pont). </w:t>
      </w:r>
      <w:r w:rsidRPr="00435A31">
        <w:rPr>
          <w:color w:val="000000"/>
          <w:sz w:val="22"/>
          <w:szCs w:val="22"/>
          <w:lang w:val="hu-HU" w:eastAsia="el-GR"/>
        </w:rPr>
        <w:t>A febuxosztát</w:t>
      </w:r>
      <w:r w:rsidRPr="00435A31">
        <w:rPr>
          <w:color w:val="000000"/>
          <w:sz w:val="22"/>
          <w:lang w:val="hu-HU"/>
        </w:rPr>
        <w:t xml:space="preserve"> humán termékenységre gyakorolt hatása nem ismert.</w:t>
      </w:r>
    </w:p>
    <w:p w14:paraId="12F8798B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bookmarkStart w:id="9" w:name="bookmark5"/>
      <w:bookmarkEnd w:id="8"/>
    </w:p>
    <w:p w14:paraId="615B82E4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0" w:name="_Toc441573741"/>
      <w:r w:rsidRPr="00435A31">
        <w:rPr>
          <w:b/>
          <w:sz w:val="22"/>
          <w:szCs w:val="22"/>
          <w:lang w:val="hu-HU"/>
        </w:rPr>
        <w:t>4.7</w:t>
      </w:r>
      <w:r w:rsidRPr="00435A31">
        <w:rPr>
          <w:b/>
          <w:sz w:val="22"/>
          <w:szCs w:val="22"/>
          <w:lang w:val="hu-HU"/>
        </w:rPr>
        <w:tab/>
      </w:r>
      <w:bookmarkEnd w:id="10"/>
      <w:r w:rsidRPr="00435A31">
        <w:rPr>
          <w:b/>
          <w:sz w:val="22"/>
          <w:lang w:val="hu-HU"/>
        </w:rPr>
        <w:t>A készítmény hatásai a gépjárművezetéshez és a gépek kezeléséhez szükséges képességekre</w:t>
      </w:r>
    </w:p>
    <w:p w14:paraId="0EB943EA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46F2EBD" w14:textId="38AFFDFD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febuxosztát alkalmazásával kapcsolatban </w:t>
      </w:r>
      <w:r w:rsidR="000021BD" w:rsidRPr="00435A31">
        <w:rPr>
          <w:sz w:val="22"/>
          <w:lang w:val="hu-HU"/>
        </w:rPr>
        <w:t xml:space="preserve">jelentettek </w:t>
      </w:r>
      <w:r w:rsidRPr="00435A31">
        <w:rPr>
          <w:sz w:val="22"/>
          <w:lang w:val="hu-HU"/>
        </w:rPr>
        <w:t xml:space="preserve">aluszékonyságot, szédülést, paraesthesiát és homályos látást. A betegeknek körültekintően kell eljárniuk mielőtt járművet vezetnének, gépeket kezelnének vagy balesetveszélyes tevékenységekben vennének részt, hogy biztosan meggyőződjenek arról, hogy </w:t>
      </w:r>
      <w:r w:rsidR="000021BD" w:rsidRPr="00435A31">
        <w:rPr>
          <w:sz w:val="22"/>
          <w:szCs w:val="22"/>
          <w:lang w:val="hu-HU"/>
        </w:rPr>
        <w:t>a</w:t>
      </w:r>
      <w:r w:rsidRPr="00435A31">
        <w:rPr>
          <w:sz w:val="22"/>
          <w:szCs w:val="22"/>
          <w:lang w:val="hu-HU"/>
        </w:rPr>
        <w:t xml:space="preserve"> </w:t>
      </w:r>
      <w:r w:rsidR="00435A31">
        <w:rPr>
          <w:sz w:val="22"/>
          <w:szCs w:val="22"/>
          <w:lang w:val="hu-HU"/>
        </w:rPr>
        <w:t>Febuxostat PharOS</w:t>
      </w:r>
      <w:r w:rsidR="009B0E06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nem rontja a teljesítőképességüket.</w:t>
      </w:r>
    </w:p>
    <w:bookmarkEnd w:id="9"/>
    <w:p w14:paraId="6860F47B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A8FFB35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1" w:name="_Toc441573742"/>
      <w:r w:rsidRPr="00435A31">
        <w:rPr>
          <w:b/>
          <w:sz w:val="22"/>
          <w:szCs w:val="22"/>
          <w:lang w:val="hu-HU"/>
        </w:rPr>
        <w:t>4.8</w:t>
      </w:r>
      <w:r w:rsidRPr="00435A31">
        <w:rPr>
          <w:b/>
          <w:sz w:val="22"/>
          <w:szCs w:val="22"/>
          <w:lang w:val="hu-HU"/>
        </w:rPr>
        <w:tab/>
      </w:r>
      <w:bookmarkEnd w:id="11"/>
      <w:r w:rsidRPr="00435A31">
        <w:rPr>
          <w:b/>
          <w:sz w:val="22"/>
          <w:lang w:val="hu-HU"/>
        </w:rPr>
        <w:t>Nemkívánatos hatások, mellékhatások</w:t>
      </w:r>
    </w:p>
    <w:p w14:paraId="30A50901" w14:textId="77777777" w:rsidR="00B3283F" w:rsidRPr="00435A31" w:rsidRDefault="00B3283F" w:rsidP="00A17448">
      <w:pPr>
        <w:shd w:val="clear" w:color="auto" w:fill="FFFFFF" w:themeFill="background1"/>
        <w:ind w:left="720"/>
        <w:rPr>
          <w:i/>
          <w:sz w:val="22"/>
          <w:szCs w:val="22"/>
          <w:lang w:val="hu-HU"/>
        </w:rPr>
      </w:pPr>
    </w:p>
    <w:p w14:paraId="465742A8" w14:textId="376971A0" w:rsidR="00B3283F" w:rsidRPr="00435A31" w:rsidRDefault="00B3283F" w:rsidP="00A17448">
      <w:pPr>
        <w:shd w:val="clear" w:color="auto" w:fill="FFFFFF" w:themeFill="background1"/>
        <w:rPr>
          <w:i/>
          <w:sz w:val="22"/>
          <w:szCs w:val="22"/>
          <w:lang w:val="hu-HU"/>
        </w:rPr>
      </w:pPr>
      <w:r w:rsidRPr="00435A31">
        <w:rPr>
          <w:i/>
          <w:sz w:val="22"/>
          <w:lang w:val="hu-HU"/>
        </w:rPr>
        <w:t>A biztonságossági profil összefoglalása</w:t>
      </w:r>
      <w:r w:rsidRPr="00435A31">
        <w:rPr>
          <w:i/>
          <w:sz w:val="22"/>
          <w:szCs w:val="22"/>
          <w:lang w:val="hu-HU"/>
        </w:rPr>
        <w:t xml:space="preserve"> </w:t>
      </w:r>
    </w:p>
    <w:p w14:paraId="6338CDDB" w14:textId="102C282F" w:rsidR="00074E44" w:rsidRPr="00435A31" w:rsidRDefault="00074E44" w:rsidP="00C80E6C">
      <w:pPr>
        <w:rPr>
          <w:i/>
          <w:sz w:val="22"/>
          <w:lang w:val="hu-HU"/>
        </w:rPr>
      </w:pPr>
      <w:r w:rsidRPr="00435A31">
        <w:rPr>
          <w:sz w:val="22"/>
          <w:lang w:val="hu-HU"/>
        </w:rPr>
        <w:t>A klinikai vizsgálatokban (4072 beteget kezeltek legalább 10 mg és 300 mg közötti dózissal), a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forgalomba hozatalt követő biztonságossági vizsgálatokban (FAST vizsgálat: 3001 beteget kezeltek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legalább 80 mg és 120 mg közötti dózissal) és a forgalomba hozatal utáni tapasztalatok alapján a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köszvényes betegeknél leggyakrabban jelentett mellékhatások: a köszvényes rohamok, májműködési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zavarok, hasmenés, hányinger, fejfájás, szédülés, nehézlégzés, bőrkiütés, pruritus, arthralgia, myalgia,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végtagfájdalom, oedema és fáradtság. Ezek a mellékhatások súlyosságukat tekintve többnyire enyhék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vagy közepesen súlyosak voltak. A forgalomba hozatalt követően a febuxosztáttal szemben ritkán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súlyos túlérzékenységi reakciókat tapasztaltak, amelyek közül néhány szisztémás tünetekkel járt, és</w:t>
      </w:r>
      <w:r w:rsidR="00680D2F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ritkán hirtelen szívhalál esetei is előfordultak.</w:t>
      </w:r>
    </w:p>
    <w:p w14:paraId="7EE3366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6DAB8EB8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A mellékhatások táblázatos összefoglalása </w:t>
      </w:r>
    </w:p>
    <w:p w14:paraId="698F1FC1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sz w:val="22"/>
          <w:lang w:val="hu-HU"/>
        </w:rPr>
        <w:t>Az alábbiakban azok a gyakori (≥1/100 – &lt;1/10), nem gyakori (≥1/1000 – &lt;1/100) és ritka (≥1/10 000 – &lt;1/1000), a gyógyszerrel összefüggő mellékhatások kerülnek felsorolásra, amelyek febuxosztáttal kezelt betegekben fordultak elő</w:t>
      </w:r>
      <w:r w:rsidRPr="00435A31">
        <w:rPr>
          <w:i/>
          <w:sz w:val="22"/>
          <w:lang w:val="hu-HU"/>
        </w:rPr>
        <w:t>.</w:t>
      </w:r>
    </w:p>
    <w:p w14:paraId="32C21325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szCs w:val="22"/>
          <w:u w:val="single"/>
          <w:lang w:val="hu-HU"/>
        </w:rPr>
      </w:pPr>
    </w:p>
    <w:p w14:paraId="5A6538B9" w14:textId="10107C7A" w:rsidR="00B3283F" w:rsidRPr="00435A31" w:rsidRDefault="00435A31" w:rsidP="00A17448">
      <w:pPr>
        <w:rPr>
          <w:color w:val="000000"/>
          <w:spacing w:val="2"/>
          <w:sz w:val="22"/>
          <w:lang w:val="hu-HU"/>
        </w:rPr>
      </w:pPr>
      <w:r>
        <w:rPr>
          <w:color w:val="000000"/>
          <w:sz w:val="22"/>
          <w:szCs w:val="22"/>
          <w:u w:val="single"/>
          <w:lang w:val="hu-HU"/>
        </w:rPr>
        <w:t>Febuxostat PharOS</w:t>
      </w:r>
      <w:r w:rsidR="00B3283F" w:rsidRPr="00435A31">
        <w:rPr>
          <w:color w:val="000000"/>
          <w:sz w:val="22"/>
          <w:szCs w:val="22"/>
          <w:u w:val="single"/>
          <w:lang w:val="hu-HU"/>
        </w:rPr>
        <w:t>120</w:t>
      </w:r>
      <w:r w:rsidR="00B3283F" w:rsidRPr="00435A31">
        <w:rPr>
          <w:color w:val="000000"/>
          <w:sz w:val="22"/>
          <w:u w:val="single"/>
          <w:lang w:val="hu-HU"/>
        </w:rPr>
        <w:t xml:space="preserve"> mg</w:t>
      </w:r>
      <w:r w:rsidR="00655912" w:rsidRPr="00435A31">
        <w:rPr>
          <w:color w:val="000000"/>
          <w:sz w:val="22"/>
          <w:u w:val="single"/>
          <w:lang w:val="hu-HU"/>
        </w:rPr>
        <w:t xml:space="preserve"> </w:t>
      </w:r>
      <w:r w:rsidR="00655912" w:rsidRPr="00655912">
        <w:rPr>
          <w:color w:val="000000"/>
          <w:sz w:val="22"/>
          <w:u w:val="single"/>
          <w:lang w:val="hu-HU"/>
        </w:rPr>
        <w:t>filmtabletta</w:t>
      </w:r>
      <w:r w:rsidR="00B3283F" w:rsidRPr="00435A31">
        <w:rPr>
          <w:sz w:val="22"/>
          <w:u w:val="single"/>
          <w:lang w:val="hu-HU"/>
        </w:rPr>
        <w:t>:</w:t>
      </w:r>
    </w:p>
    <w:p w14:paraId="783DF994" w14:textId="77777777" w:rsidR="00B3283F" w:rsidRPr="00435A31" w:rsidRDefault="00B3283F" w:rsidP="00A17448">
      <w:pPr>
        <w:rPr>
          <w:color w:val="000000"/>
          <w:spacing w:val="2"/>
          <w:sz w:val="22"/>
          <w:lang w:val="hu-HU"/>
        </w:rPr>
      </w:pPr>
      <w:r w:rsidRPr="00435A31">
        <w:rPr>
          <w:color w:val="000000"/>
          <w:spacing w:val="2"/>
          <w:sz w:val="22"/>
          <w:lang w:val="hu-HU"/>
        </w:rPr>
        <w:t>A gyakoriságok a köszvényes betegekkel végzett vizsgálatokon és a forgalomba hozatal utáni tapasztalat</w:t>
      </w:r>
      <w:r w:rsidR="00936052" w:rsidRPr="00435A31">
        <w:rPr>
          <w:color w:val="000000"/>
          <w:spacing w:val="2"/>
          <w:sz w:val="22"/>
          <w:lang w:val="hu-HU"/>
        </w:rPr>
        <w:t>ok</w:t>
      </w:r>
      <w:r w:rsidRPr="00435A31">
        <w:rPr>
          <w:color w:val="000000"/>
          <w:spacing w:val="2"/>
          <w:sz w:val="22"/>
          <w:lang w:val="hu-HU"/>
        </w:rPr>
        <w:t>on alapulnak.</w:t>
      </w:r>
    </w:p>
    <w:p w14:paraId="7C9CA3F0" w14:textId="77777777" w:rsidR="00B3283F" w:rsidRPr="00435A31" w:rsidRDefault="00B3283F" w:rsidP="00A17448">
      <w:pPr>
        <w:rPr>
          <w:sz w:val="22"/>
          <w:lang w:val="hu-HU"/>
        </w:rPr>
      </w:pPr>
    </w:p>
    <w:p w14:paraId="204A341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Az egyes gyakorisági csoportokon belül a mellékhatások csökkenő súlyossággal szerepelnek.</w:t>
      </w:r>
    </w:p>
    <w:p w14:paraId="59BCFA3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41D91CF3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41387CDB" w14:textId="210FBEB8" w:rsidR="00936052" w:rsidRPr="00435A31" w:rsidRDefault="00074E44" w:rsidP="00074E44">
      <w:pPr>
        <w:rPr>
          <w:i/>
          <w:sz w:val="22"/>
          <w:szCs w:val="22"/>
          <w:lang w:val="hu-HU"/>
        </w:rPr>
      </w:pPr>
      <w:r w:rsidRPr="00435A31">
        <w:rPr>
          <w:i/>
          <w:sz w:val="22"/>
          <w:szCs w:val="22"/>
          <w:lang w:val="hu-HU"/>
        </w:rPr>
        <w:t>1. táblázat: A köszvényes betegekkel végzett, összevont, III. fázisú, hosszú távú, kiterjesztett klinikai</w:t>
      </w:r>
      <w:r w:rsidR="00680D2F" w:rsidRPr="00435A31">
        <w:rPr>
          <w:i/>
          <w:sz w:val="22"/>
          <w:szCs w:val="22"/>
          <w:lang w:val="hu-HU"/>
        </w:rPr>
        <w:t xml:space="preserve"> </w:t>
      </w:r>
      <w:r w:rsidRPr="00435A31">
        <w:rPr>
          <w:i/>
          <w:sz w:val="22"/>
          <w:szCs w:val="22"/>
          <w:lang w:val="hu-HU"/>
        </w:rPr>
        <w:t>vizsgálatok, a forgalomba hozatalt követő biztonságossági vizsgálatok és a forgalomba hozatal utáni</w:t>
      </w:r>
      <w:r w:rsidR="00680D2F" w:rsidRPr="00435A31">
        <w:rPr>
          <w:i/>
          <w:sz w:val="22"/>
          <w:szCs w:val="22"/>
          <w:lang w:val="hu-HU"/>
        </w:rPr>
        <w:t xml:space="preserve"> </w:t>
      </w:r>
      <w:r w:rsidRPr="00435A31">
        <w:rPr>
          <w:i/>
          <w:sz w:val="22"/>
          <w:szCs w:val="22"/>
          <w:lang w:val="hu-HU"/>
        </w:rPr>
        <w:t>tapasztalatok során észlelt mellékhatások</w:t>
      </w:r>
    </w:p>
    <w:tbl>
      <w:tblPr>
        <w:tblW w:w="9046" w:type="dxa"/>
        <w:tblInd w:w="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8"/>
        <w:gridCol w:w="5848"/>
      </w:tblGrid>
      <w:tr w:rsidR="00B3283F" w:rsidRPr="00FC51A2" w14:paraId="5E12EDEB" w14:textId="77777777" w:rsidTr="00F9057B">
        <w:trPr>
          <w:trHeight w:hRule="exact" w:val="70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AAA96" w14:textId="77777777" w:rsidR="00B3283F" w:rsidRPr="00435A31" w:rsidRDefault="00B3283F" w:rsidP="00F7557B">
            <w:pPr>
              <w:shd w:val="clear" w:color="auto" w:fill="FFFFFF" w:themeFill="background1"/>
              <w:ind w:left="102" w:right="600"/>
              <w:rPr>
                <w:sz w:val="22"/>
                <w:lang w:val="hu-HU"/>
              </w:rPr>
            </w:pPr>
            <w:r w:rsidRPr="00435A31">
              <w:rPr>
                <w:rFonts w:eastAsia="Calibri"/>
                <w:sz w:val="22"/>
                <w:lang w:val="hu-HU"/>
              </w:rPr>
              <w:t>Vérképzőszervi és nyirokrendszeri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F0BD8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35461EA8" w14:textId="5EE49245" w:rsidR="00B3283F" w:rsidRPr="00FC51A2" w:rsidRDefault="00B3283F" w:rsidP="00767B49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Pancytopenia, thrombocytopenia</w:t>
            </w:r>
            <w:r w:rsidR="00074E44" w:rsidRPr="00074E44">
              <w:rPr>
                <w:rFonts w:eastAsia="Calibri"/>
                <w:sz w:val="22"/>
                <w:szCs w:val="22"/>
              </w:rPr>
              <w:t>, agranulocytosis*, anaemia</w:t>
            </w:r>
            <w:r w:rsidR="00074E44" w:rsidRPr="00074E44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5B4130EC" w14:textId="77777777" w:rsidTr="00F9057B">
        <w:trPr>
          <w:trHeight w:hRule="exact" w:val="70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E36E0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Immunrendszeri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BF56F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539376CB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Anaphylaxiás reakció*, gyógyszer</w:t>
            </w:r>
            <w:r w:rsidR="00CC680B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túlérzékenység*</w:t>
            </w:r>
          </w:p>
        </w:tc>
      </w:tr>
      <w:tr w:rsidR="00B3283F" w:rsidRPr="00FC51A2" w14:paraId="3F6C55B6" w14:textId="77777777" w:rsidTr="00C80E6C">
        <w:trPr>
          <w:trHeight w:hRule="exact" w:val="88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EAC24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Endokrin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EDC30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29F1E1B3" w14:textId="181C7C5A" w:rsidR="00B3283F" w:rsidRPr="00FC51A2" w:rsidRDefault="00B3283F" w:rsidP="00767B49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A vér emelkedett pajzsmirigyserkentő hormon szintje</w:t>
            </w:r>
            <w:r w:rsidR="00074E44">
              <w:rPr>
                <w:rFonts w:eastAsia="Calibri"/>
                <w:sz w:val="22"/>
              </w:rPr>
              <w:t xml:space="preserve">, </w:t>
            </w:r>
            <w:r w:rsidR="00074E44" w:rsidRPr="00054711">
              <w:rPr>
                <w:rFonts w:eastAsia="Calibri"/>
                <w:sz w:val="22"/>
                <w:szCs w:val="22"/>
              </w:rPr>
              <w:t>hypothyreosis</w:t>
            </w:r>
            <w:r w:rsidR="00074E44" w:rsidRPr="00C80E6C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924A0D" w14:paraId="06FB951F" w14:textId="77777777" w:rsidTr="00C80E6C">
        <w:trPr>
          <w:trHeight w:hRule="exact" w:val="1417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40"/>
            </w:tblGrid>
            <w:tr w:rsidR="00B3283F" w:rsidRPr="00FC51A2" w14:paraId="1EC14D98" w14:textId="77777777" w:rsidTr="00F9057B">
              <w:trPr>
                <w:trHeight w:val="271"/>
              </w:trPr>
              <w:tc>
                <w:tcPr>
                  <w:tcW w:w="12240" w:type="dxa"/>
                </w:tcPr>
                <w:p w14:paraId="3A20FE1C" w14:textId="77777777" w:rsidR="00B3283F" w:rsidRPr="00FC51A2" w:rsidRDefault="00B3283F" w:rsidP="00936052">
                  <w:pPr>
                    <w:shd w:val="clear" w:color="auto" w:fill="FFFFFF" w:themeFill="background1"/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  <w:r w:rsidRPr="00FC51A2">
                    <w:rPr>
                      <w:sz w:val="22"/>
                    </w:rPr>
                    <w:t>Szembetegségek és</w:t>
                  </w:r>
                  <w:r w:rsidR="00936052">
                    <w:rPr>
                      <w:sz w:val="22"/>
                    </w:rPr>
                    <w:br/>
                  </w:r>
                  <w:r w:rsidRPr="00FC51A2">
                    <w:rPr>
                      <w:sz w:val="22"/>
                    </w:rPr>
                    <w:t xml:space="preserve">szemészeti tünetek </w:t>
                  </w:r>
                </w:p>
              </w:tc>
            </w:tr>
          </w:tbl>
          <w:p w14:paraId="78CA7664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13642" w14:textId="77777777" w:rsidR="00074E44" w:rsidRPr="00435A31" w:rsidRDefault="00074E44" w:rsidP="00074E44">
            <w:pPr>
              <w:ind w:left="99"/>
              <w:rPr>
                <w:rFonts w:eastAsia="Calibri"/>
                <w:sz w:val="22"/>
                <w:szCs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val="single" w:color="000000"/>
                <w:lang w:val="pt-BR"/>
              </w:rPr>
              <w:t>Nem gyakori</w:t>
            </w:r>
          </w:p>
          <w:p w14:paraId="61FB2A96" w14:textId="77777777" w:rsidR="00074E44" w:rsidRPr="00435A31" w:rsidRDefault="00074E44" w:rsidP="00074E44">
            <w:pPr>
              <w:ind w:left="99"/>
              <w:rPr>
                <w:rFonts w:eastAsia="Calibri"/>
                <w:sz w:val="22"/>
                <w:szCs w:val="22"/>
                <w:u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color="000000"/>
                <w:lang w:val="pt-BR"/>
              </w:rPr>
              <w:t>Homályos látás</w:t>
            </w:r>
          </w:p>
          <w:p w14:paraId="7B9DA790" w14:textId="77777777" w:rsidR="00074E44" w:rsidRPr="00435A31" w:rsidRDefault="00074E44" w:rsidP="00074E44">
            <w:pPr>
              <w:ind w:left="99"/>
              <w:rPr>
                <w:rFonts w:eastAsia="Calibri"/>
                <w:sz w:val="22"/>
                <w:szCs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val="single" w:color="000000"/>
                <w:lang w:val="pt-BR"/>
              </w:rPr>
              <w:t>Ritka</w:t>
            </w:r>
          </w:p>
          <w:p w14:paraId="71E8B1D8" w14:textId="55DEEF89" w:rsidR="00B3283F" w:rsidRPr="00435A31" w:rsidRDefault="00074E44" w:rsidP="00767B49">
            <w:pPr>
              <w:shd w:val="clear" w:color="auto" w:fill="FFFFFF" w:themeFill="background1"/>
              <w:ind w:left="99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color="000000"/>
                <w:lang w:val="pt-BR"/>
              </w:rPr>
              <w:t>Retinalis artéria elzáródása</w:t>
            </w:r>
            <w:r w:rsidRPr="00435A31">
              <w:rPr>
                <w:rFonts w:eastAsia="Calibri"/>
                <w:sz w:val="22"/>
                <w:szCs w:val="22"/>
                <w:u w:color="000000"/>
                <w:vertAlign w:val="superscript"/>
                <w:lang w:val="pt-BR"/>
              </w:rPr>
              <w:t>#</w:t>
            </w:r>
          </w:p>
        </w:tc>
      </w:tr>
      <w:tr w:rsidR="00B3283F" w:rsidRPr="00924A0D" w14:paraId="2FA88A2F" w14:textId="77777777" w:rsidTr="00A17448">
        <w:trPr>
          <w:trHeight w:hRule="exact" w:val="1985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47E3B" w14:textId="77777777" w:rsidR="00B3283F" w:rsidRPr="00435A31" w:rsidRDefault="00B3283F" w:rsidP="00F7557B">
            <w:pPr>
              <w:shd w:val="clear" w:color="auto" w:fill="FFFFFF" w:themeFill="background1"/>
              <w:ind w:left="102" w:right="873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Anyagcsere- és táplálkozási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B9192" w14:textId="77777777" w:rsidR="00B3283F" w:rsidRPr="00435A31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>Gyakori***</w:t>
            </w:r>
          </w:p>
          <w:p w14:paraId="21CC7CDC" w14:textId="77777777" w:rsidR="00B3283F" w:rsidRPr="00435A31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Köszvény</w:t>
            </w:r>
            <w:r w:rsidR="00936052" w:rsidRPr="00435A31">
              <w:rPr>
                <w:rFonts w:eastAsia="Calibri"/>
                <w:sz w:val="22"/>
                <w:lang w:val="pt-BR"/>
              </w:rPr>
              <w:t xml:space="preserve"> fellángolása</w:t>
            </w:r>
          </w:p>
          <w:p w14:paraId="3CDED033" w14:textId="77777777" w:rsidR="00B3283F" w:rsidRPr="00435A31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>Nem gyakori</w:t>
            </w:r>
          </w:p>
          <w:p w14:paraId="4AE60AEB" w14:textId="77777777" w:rsidR="00B3283F" w:rsidRPr="00435A31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Diabetes mellitus, hyperlipidemia, csökkent étvágy, testsúlynövekedés</w:t>
            </w:r>
          </w:p>
          <w:p w14:paraId="763DC3C4" w14:textId="77777777" w:rsidR="00B3283F" w:rsidRPr="00435A31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>Ritka</w:t>
            </w:r>
          </w:p>
          <w:p w14:paraId="3A8C33B5" w14:textId="77777777" w:rsidR="00B3283F" w:rsidRPr="00435A31" w:rsidRDefault="00B3283F" w:rsidP="00320EE5">
            <w:pPr>
              <w:shd w:val="clear" w:color="auto" w:fill="FFFFFF" w:themeFill="background1"/>
              <w:ind w:left="99" w:right="360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Testsúlycsökkenés, fokozott étvágy, anorexia</w:t>
            </w:r>
          </w:p>
        </w:tc>
      </w:tr>
      <w:tr w:rsidR="00B3283F" w:rsidRPr="00FC51A2" w14:paraId="38677B10" w14:textId="77777777" w:rsidTr="00F9057B">
        <w:trPr>
          <w:trHeight w:hRule="exact" w:val="140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A0856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Pszichiátriai kórképek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EAE39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2C5E9899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Csökkent libido, álmatlanság</w:t>
            </w:r>
          </w:p>
          <w:p w14:paraId="441101E5" w14:textId="77777777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0E442B65" w14:textId="77777777" w:rsidR="00356201" w:rsidRDefault="00B3283F" w:rsidP="00356201">
            <w:pPr>
              <w:ind w:left="99"/>
              <w:rPr>
                <w:rFonts w:eastAsia="Calibri"/>
                <w:sz w:val="22"/>
                <w:szCs w:val="22"/>
                <w:vertAlign w:val="superscript"/>
              </w:rPr>
            </w:pPr>
            <w:r w:rsidRPr="00FC51A2">
              <w:rPr>
                <w:rFonts w:eastAsia="Calibri"/>
                <w:sz w:val="22"/>
              </w:rPr>
              <w:t>Idegesség</w:t>
            </w:r>
            <w:r w:rsidR="00356201">
              <w:rPr>
                <w:rFonts w:eastAsia="Calibri"/>
                <w:sz w:val="22"/>
              </w:rPr>
              <w:t xml:space="preserve">, </w:t>
            </w:r>
            <w:r w:rsidR="00356201" w:rsidRPr="005B7207">
              <w:rPr>
                <w:rFonts w:eastAsia="Calibri"/>
                <w:sz w:val="22"/>
                <w:szCs w:val="22"/>
              </w:rPr>
              <w:t>, depressziós hangulat</w:t>
            </w:r>
            <w:r w:rsidR="00356201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="00356201" w:rsidRPr="005B7207">
              <w:rPr>
                <w:rFonts w:eastAsia="Calibri"/>
                <w:sz w:val="22"/>
                <w:szCs w:val="22"/>
              </w:rPr>
              <w:t>, alvászavar</w:t>
            </w:r>
            <w:r w:rsidR="00356201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5B827FA3" w14:textId="684181E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</w:p>
        </w:tc>
      </w:tr>
      <w:tr w:rsidR="00B3283F" w:rsidRPr="00FC51A2" w14:paraId="18C426AD" w14:textId="77777777" w:rsidTr="00C80E6C">
        <w:trPr>
          <w:trHeight w:hRule="exact" w:val="199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8EF66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Idegrendszeri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50D0C" w14:textId="77777777" w:rsidR="00B3283F" w:rsidRPr="00FC51A2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Gyakori </w:t>
            </w:r>
          </w:p>
          <w:p w14:paraId="39425BE7" w14:textId="6D982270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Fejfájás</w:t>
            </w:r>
            <w:r w:rsidR="00356201">
              <w:rPr>
                <w:rFonts w:eastAsia="Calibri"/>
                <w:sz w:val="22"/>
                <w:szCs w:val="22"/>
              </w:rPr>
              <w:t xml:space="preserve">, </w:t>
            </w:r>
            <w:r w:rsidR="00356201" w:rsidRPr="005B7207">
              <w:rPr>
                <w:rFonts w:eastAsia="Calibri"/>
                <w:sz w:val="22"/>
                <w:szCs w:val="22"/>
              </w:rPr>
              <w:t>szédülés</w:t>
            </w:r>
          </w:p>
          <w:p w14:paraId="41CC7EE4" w14:textId="77777777" w:rsidR="00B3283F" w:rsidRPr="00FC51A2" w:rsidRDefault="00B3283F" w:rsidP="00087B0B">
            <w:pPr>
              <w:shd w:val="clear" w:color="auto" w:fill="FFFFFF" w:themeFill="background1"/>
              <w:ind w:left="99" w:right="180" w:hanging="1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 xml:space="preserve">Nem gyakori </w:t>
            </w:r>
          </w:p>
          <w:p w14:paraId="011352D2" w14:textId="406E9C17" w:rsidR="00B3283F" w:rsidRDefault="00356201" w:rsidP="00320EE5">
            <w:pPr>
              <w:shd w:val="clear" w:color="auto" w:fill="FFFFFF" w:themeFill="background1"/>
              <w:ind w:left="99" w:right="180" w:hanging="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P</w:t>
            </w:r>
            <w:r w:rsidR="00B3283F" w:rsidRPr="00FC51A2">
              <w:rPr>
                <w:rFonts w:eastAsia="Calibri"/>
                <w:sz w:val="22"/>
              </w:rPr>
              <w:t>araesthesia, hemiparesis, aluszékonyság,</w:t>
            </w:r>
            <w:r>
              <w:t xml:space="preserve"> </w:t>
            </w:r>
            <w:r w:rsidRPr="00626B91">
              <w:rPr>
                <w:rFonts w:eastAsia="Calibri"/>
                <w:sz w:val="22"/>
                <w:szCs w:val="22"/>
              </w:rPr>
              <w:t>letargia</w:t>
            </w:r>
            <w:r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626B91">
              <w:rPr>
                <w:rFonts w:eastAsia="Calibri"/>
                <w:sz w:val="22"/>
                <w:szCs w:val="22"/>
              </w:rPr>
              <w:t>,</w:t>
            </w:r>
            <w:r w:rsidRPr="00D46831">
              <w:rPr>
                <w:rFonts w:eastAsia="Calibri"/>
                <w:sz w:val="22"/>
                <w:szCs w:val="22"/>
              </w:rPr>
              <w:t xml:space="preserve"> </w:t>
            </w:r>
            <w:r w:rsidR="00B3283F" w:rsidRPr="00FC51A2">
              <w:rPr>
                <w:rFonts w:eastAsia="Calibri"/>
                <w:sz w:val="22"/>
              </w:rPr>
              <w:t>ízérzés megváltozása, hypaesthesia, hyposmia</w:t>
            </w:r>
          </w:p>
          <w:p w14:paraId="7D537233" w14:textId="77777777" w:rsidR="00356201" w:rsidRPr="00ED7C31" w:rsidRDefault="00356201" w:rsidP="00356201">
            <w:pPr>
              <w:ind w:left="99" w:right="180" w:hanging="1"/>
              <w:rPr>
                <w:sz w:val="22"/>
                <w:szCs w:val="22"/>
                <w:u w:val="single"/>
              </w:rPr>
            </w:pPr>
            <w:r w:rsidRPr="00ED7C31">
              <w:rPr>
                <w:sz w:val="22"/>
                <w:szCs w:val="22"/>
                <w:u w:val="single"/>
              </w:rPr>
              <w:t>Ritka</w:t>
            </w:r>
          </w:p>
          <w:p w14:paraId="5D2CBFBA" w14:textId="055110D5" w:rsidR="00356201" w:rsidRPr="00FC51A2" w:rsidRDefault="00356201" w:rsidP="00356201">
            <w:pPr>
              <w:shd w:val="clear" w:color="auto" w:fill="FFFFFF" w:themeFill="background1"/>
              <w:ind w:left="99" w:right="180" w:hanging="1"/>
              <w:rPr>
                <w:sz w:val="22"/>
              </w:rPr>
            </w:pPr>
            <w:r w:rsidRPr="00626B91">
              <w:rPr>
                <w:sz w:val="22"/>
                <w:szCs w:val="22"/>
              </w:rPr>
              <w:t>Ageusia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  <w:r w:rsidRPr="00626B91">
              <w:rPr>
                <w:sz w:val="22"/>
                <w:szCs w:val="22"/>
              </w:rPr>
              <w:t>, égő érzés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924A0D" w14:paraId="659100F9" w14:textId="77777777" w:rsidTr="00C80E6C">
        <w:trPr>
          <w:trHeight w:hRule="exact" w:val="1428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C8819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A fül és az egyensúly-érzékelő szerv betegségei és tünetei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ADD1C" w14:textId="77777777" w:rsidR="00356201" w:rsidRPr="00435A31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u w:val="single" w:color="000000"/>
                <w:lang w:val="pt-BR"/>
              </w:rPr>
              <w:t>Nem gyakori</w:t>
            </w:r>
          </w:p>
          <w:p w14:paraId="7C15A6CB" w14:textId="77777777" w:rsidR="00B3283F" w:rsidRPr="00435A31" w:rsidRDefault="00B3283F" w:rsidP="00767B49">
            <w:pPr>
              <w:shd w:val="clear" w:color="auto" w:fill="FFFFFF" w:themeFill="background1"/>
              <w:ind w:left="99" w:right="4320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Tinnitus</w:t>
            </w:r>
          </w:p>
          <w:p w14:paraId="77979935" w14:textId="77777777" w:rsidR="00356201" w:rsidRPr="00435A31" w:rsidRDefault="00356201" w:rsidP="00356201">
            <w:pPr>
              <w:ind w:left="99" w:right="4320"/>
              <w:rPr>
                <w:sz w:val="22"/>
                <w:szCs w:val="22"/>
                <w:u w:val="single"/>
                <w:lang w:val="pt-BR"/>
              </w:rPr>
            </w:pPr>
            <w:r w:rsidRPr="00435A31">
              <w:rPr>
                <w:sz w:val="22"/>
                <w:szCs w:val="22"/>
                <w:u w:val="single"/>
                <w:lang w:val="pt-BR"/>
              </w:rPr>
              <w:t>Ritka</w:t>
            </w:r>
          </w:p>
          <w:p w14:paraId="2295BD6F" w14:textId="0DDD712E" w:rsidR="00356201" w:rsidRPr="00435A31" w:rsidRDefault="00356201" w:rsidP="00356201">
            <w:pPr>
              <w:shd w:val="clear" w:color="auto" w:fill="FFFFFF" w:themeFill="background1"/>
              <w:ind w:left="99" w:right="4320"/>
              <w:rPr>
                <w:sz w:val="22"/>
                <w:lang w:val="pt-BR"/>
              </w:rPr>
            </w:pPr>
            <w:r w:rsidRPr="00435A31">
              <w:rPr>
                <w:sz w:val="22"/>
                <w:szCs w:val="22"/>
                <w:lang w:val="pt-BR"/>
              </w:rPr>
              <w:t>Vertigo</w:t>
            </w:r>
            <w:r w:rsidRPr="00435A31">
              <w:rPr>
                <w:sz w:val="22"/>
                <w:szCs w:val="22"/>
                <w:vertAlign w:val="superscript"/>
                <w:lang w:val="pt-BR"/>
              </w:rPr>
              <w:t>#</w:t>
            </w:r>
          </w:p>
        </w:tc>
      </w:tr>
      <w:tr w:rsidR="00B3283F" w:rsidRPr="00FC51A2" w14:paraId="13DD3EBF" w14:textId="77777777" w:rsidTr="00C80E6C">
        <w:trPr>
          <w:trHeight w:hRule="exact" w:val="211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F2C66" w14:textId="77777777" w:rsidR="00B3283F" w:rsidRPr="00435A31" w:rsidRDefault="00B3283F" w:rsidP="00F7557B">
            <w:pPr>
              <w:shd w:val="clear" w:color="auto" w:fill="FFFFFF" w:themeFill="background1"/>
              <w:ind w:left="102"/>
              <w:rPr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Szívbetegségek és a szívvel kapcsolatos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6F3A9" w14:textId="77777777" w:rsidR="00B3283F" w:rsidRPr="00435A31" w:rsidRDefault="00B3283F" w:rsidP="00F7557B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  <w:lang w:val="pt-BR"/>
              </w:rPr>
            </w:pPr>
            <w:r w:rsidRPr="00435A31">
              <w:rPr>
                <w:rFonts w:eastAsia="Calibri"/>
                <w:sz w:val="22"/>
                <w:u w:val="single" w:color="000000"/>
                <w:lang w:val="pt-BR"/>
              </w:rPr>
              <w:t xml:space="preserve">Nem gyakori </w:t>
            </w:r>
          </w:p>
          <w:p w14:paraId="17AE737D" w14:textId="2CB4F9F7" w:rsidR="004A7CA2" w:rsidRPr="00435A31" w:rsidRDefault="00B3283F" w:rsidP="00AF20AE">
            <w:pPr>
              <w:shd w:val="clear" w:color="auto" w:fill="FFFFFF" w:themeFill="background1"/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>Pitvarfibrilláció, szívdobogásérzés, EKG elváltozások</w:t>
            </w:r>
            <w:r w:rsidR="00356201" w:rsidRPr="00435A31">
              <w:rPr>
                <w:rFonts w:eastAsia="Calibri"/>
                <w:sz w:val="22"/>
                <w:lang w:val="pt-BR"/>
              </w:rPr>
              <w:t xml:space="preserve">, </w:t>
            </w:r>
            <w:r w:rsidR="00356201" w:rsidRPr="00435A31">
              <w:rPr>
                <w:rFonts w:eastAsia="Calibri"/>
                <w:sz w:val="22"/>
                <w:szCs w:val="22"/>
                <w:lang w:val="pt-BR"/>
              </w:rPr>
              <w:t>arrhythmia</w:t>
            </w:r>
            <w:r w:rsidR="00356201" w:rsidRPr="00435A31">
              <w:rPr>
                <w:rFonts w:eastAsia="Calibri"/>
                <w:sz w:val="22"/>
                <w:szCs w:val="22"/>
                <w:vertAlign w:val="superscript"/>
                <w:lang w:val="pt-BR"/>
              </w:rPr>
              <w:t>#</w:t>
            </w:r>
          </w:p>
          <w:p w14:paraId="1A9134C4" w14:textId="77777777" w:rsidR="00B3283F" w:rsidRPr="00435A31" w:rsidRDefault="00B3283F" w:rsidP="00A17448">
            <w:pPr>
              <w:ind w:left="99"/>
              <w:rPr>
                <w:rFonts w:eastAsia="Calibri"/>
                <w:i/>
                <w:sz w:val="22"/>
                <w:lang w:val="pt-BR"/>
              </w:rPr>
            </w:pPr>
            <w:r w:rsidRPr="00435A31">
              <w:rPr>
                <w:rFonts w:eastAsia="Calibri"/>
                <w:i/>
                <w:sz w:val="22"/>
                <w:lang w:val="pt-BR"/>
              </w:rPr>
              <w:t xml:space="preserve">120 mg: </w:t>
            </w:r>
          </w:p>
          <w:p w14:paraId="5ED1C341" w14:textId="77777777" w:rsidR="00B3283F" w:rsidRPr="00435A31" w:rsidRDefault="00B3283F" w:rsidP="00A17448">
            <w:pPr>
              <w:ind w:left="99"/>
              <w:rPr>
                <w:rFonts w:eastAsia="Calibri"/>
                <w:sz w:val="22"/>
                <w:lang w:val="pt-BR"/>
              </w:rPr>
            </w:pPr>
            <w:r w:rsidRPr="00435A31">
              <w:rPr>
                <w:rFonts w:eastAsia="Calibri"/>
                <w:sz w:val="22"/>
                <w:lang w:val="pt-BR"/>
              </w:rPr>
              <w:t xml:space="preserve">bal Tawara-szár blokk (lásd </w:t>
            </w:r>
            <w:r w:rsidR="001C0683" w:rsidRPr="00435A31">
              <w:rPr>
                <w:rFonts w:eastAsia="Calibri"/>
                <w:sz w:val="22"/>
                <w:lang w:val="pt-BR"/>
              </w:rPr>
              <w:t>tumor lysis szindróma</w:t>
            </w:r>
            <w:r w:rsidRPr="00435A31">
              <w:rPr>
                <w:rFonts w:eastAsia="Calibri"/>
                <w:sz w:val="22"/>
                <w:lang w:val="pt-BR"/>
              </w:rPr>
              <w:t xml:space="preserve"> rész), sinus tachycardia (lásd a </w:t>
            </w:r>
            <w:r w:rsidR="001C0683" w:rsidRPr="00435A31">
              <w:rPr>
                <w:rFonts w:eastAsia="Calibri"/>
                <w:sz w:val="22"/>
                <w:lang w:val="pt-BR"/>
              </w:rPr>
              <w:t>tumor lysis szindróma</w:t>
            </w:r>
            <w:r w:rsidRPr="00435A31">
              <w:rPr>
                <w:rFonts w:eastAsia="Calibri"/>
                <w:sz w:val="22"/>
                <w:lang w:val="pt-BR"/>
              </w:rPr>
              <w:t xml:space="preserve"> rész)</w:t>
            </w:r>
          </w:p>
          <w:p w14:paraId="0B6FB6E4" w14:textId="77777777" w:rsidR="00356201" w:rsidRPr="00160332" w:rsidRDefault="00356201" w:rsidP="00356201">
            <w:pPr>
              <w:shd w:val="clear" w:color="auto" w:fill="FFFFFF"/>
              <w:ind w:left="99"/>
              <w:rPr>
                <w:sz w:val="22"/>
                <w:szCs w:val="22"/>
              </w:rPr>
            </w:pPr>
            <w:r w:rsidRPr="00160332">
              <w:rPr>
                <w:sz w:val="22"/>
                <w:szCs w:val="22"/>
              </w:rPr>
              <w:t>Ritka</w:t>
            </w:r>
          </w:p>
          <w:p w14:paraId="4FA1F913" w14:textId="57C7F2C9" w:rsidR="00356201" w:rsidRPr="00FC51A2" w:rsidRDefault="00356201" w:rsidP="00356201">
            <w:pPr>
              <w:ind w:left="99"/>
              <w:rPr>
                <w:sz w:val="22"/>
              </w:rPr>
            </w:pPr>
            <w:r w:rsidRPr="00160332">
              <w:rPr>
                <w:sz w:val="22"/>
                <w:szCs w:val="22"/>
              </w:rPr>
              <w:t>Hirtelen szívhalál*</w:t>
            </w:r>
          </w:p>
        </w:tc>
      </w:tr>
      <w:tr w:rsidR="00B3283F" w:rsidRPr="00FC51A2" w14:paraId="744EB94A" w14:textId="77777777" w:rsidTr="00C80E6C">
        <w:trPr>
          <w:trHeight w:hRule="exact" w:val="1563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CEDFE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Érbetegségek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003037D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1EA9A090" w14:textId="77777777" w:rsidR="004A7CA2" w:rsidRPr="00FC51A2" w:rsidRDefault="00B3283F" w:rsidP="00AF20AE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Magas vérnyomás, kipirulás, hőhullám</w:t>
            </w:r>
          </w:p>
          <w:p w14:paraId="6C817918" w14:textId="77777777" w:rsidR="00B3283F" w:rsidRPr="00A17448" w:rsidRDefault="00B3283F" w:rsidP="00A17448">
            <w:pPr>
              <w:ind w:left="99"/>
              <w:rPr>
                <w:rFonts w:eastAsia="Calibri"/>
                <w:i/>
                <w:sz w:val="22"/>
              </w:rPr>
            </w:pPr>
            <w:r w:rsidRPr="00A17448">
              <w:rPr>
                <w:rFonts w:eastAsia="Calibri"/>
                <w:i/>
                <w:sz w:val="22"/>
              </w:rPr>
              <w:t xml:space="preserve">120 mg: </w:t>
            </w:r>
          </w:p>
          <w:p w14:paraId="38D1ADE1" w14:textId="77777777" w:rsidR="00B3283F" w:rsidRDefault="00B3283F" w:rsidP="00A17448">
            <w:pPr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 xml:space="preserve">vérzés (haemorrhagia) (lásd </w:t>
            </w:r>
            <w:r w:rsidR="001C0683">
              <w:rPr>
                <w:rFonts w:eastAsia="Calibri"/>
                <w:sz w:val="22"/>
              </w:rPr>
              <w:t>tumor lysis szindróma</w:t>
            </w:r>
            <w:r w:rsidRPr="00FC51A2">
              <w:rPr>
                <w:rFonts w:eastAsia="Calibri"/>
                <w:sz w:val="22"/>
              </w:rPr>
              <w:t xml:space="preserve"> rész)</w:t>
            </w:r>
          </w:p>
          <w:p w14:paraId="203A97F1" w14:textId="77777777" w:rsidR="00356201" w:rsidRPr="00ED7C31" w:rsidRDefault="00356201" w:rsidP="00356201">
            <w:pPr>
              <w:ind w:left="99"/>
              <w:rPr>
                <w:sz w:val="22"/>
                <w:szCs w:val="22"/>
                <w:u w:val="single"/>
              </w:rPr>
            </w:pPr>
            <w:r w:rsidRPr="00ED7C31">
              <w:rPr>
                <w:sz w:val="22"/>
                <w:szCs w:val="22"/>
                <w:u w:val="single"/>
              </w:rPr>
              <w:t>Ritka</w:t>
            </w:r>
          </w:p>
          <w:p w14:paraId="3E0F842E" w14:textId="02E3B4CC" w:rsidR="00356201" w:rsidRPr="00FC51A2" w:rsidRDefault="00356201" w:rsidP="00356201">
            <w:pPr>
              <w:ind w:left="99"/>
              <w:rPr>
                <w:sz w:val="22"/>
              </w:rPr>
            </w:pPr>
            <w:r w:rsidRPr="00F57F5C">
              <w:rPr>
                <w:sz w:val="22"/>
                <w:szCs w:val="22"/>
              </w:rPr>
              <w:t>A keringés összeomlása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6316862B" w14:textId="77777777" w:rsidTr="00C80E6C">
        <w:trPr>
          <w:trHeight w:hRule="exact" w:val="199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75142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Légzőrendszeri, mellkasi és mediastinalis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D9EC7" w14:textId="77777777" w:rsidR="00356201" w:rsidRPr="00F57F5C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</w:p>
          <w:p w14:paraId="387138F2" w14:textId="77777777" w:rsidR="00356201" w:rsidRPr="00ED7C31" w:rsidRDefault="00356201" w:rsidP="00356201">
            <w:pPr>
              <w:ind w:left="99"/>
              <w:rPr>
                <w:rFonts w:eastAsia="Calibri"/>
                <w:sz w:val="22"/>
                <w:szCs w:val="22"/>
                <w:u w:color="000000"/>
              </w:rPr>
            </w:pPr>
            <w:r w:rsidRPr="00ED7C31">
              <w:rPr>
                <w:rFonts w:eastAsia="Calibri"/>
                <w:sz w:val="22"/>
                <w:szCs w:val="22"/>
                <w:u w:color="000000"/>
              </w:rPr>
              <w:t>Nehézlégzés</w:t>
            </w:r>
          </w:p>
          <w:p w14:paraId="6AA2711B" w14:textId="77777777" w:rsidR="00356201" w:rsidRPr="00F57F5C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>Nem gyakori</w:t>
            </w:r>
          </w:p>
          <w:p w14:paraId="74DA06CD" w14:textId="77777777" w:rsidR="00356201" w:rsidRPr="00ED7C31" w:rsidRDefault="00356201" w:rsidP="00356201">
            <w:pPr>
              <w:ind w:left="99"/>
              <w:rPr>
                <w:rFonts w:eastAsia="Calibri"/>
                <w:sz w:val="22"/>
                <w:szCs w:val="22"/>
                <w:u w:color="000000"/>
              </w:rPr>
            </w:pPr>
            <w:r w:rsidRPr="00ED7C31">
              <w:rPr>
                <w:rFonts w:eastAsia="Calibri"/>
                <w:sz w:val="22"/>
                <w:szCs w:val="22"/>
                <w:u w:color="000000"/>
              </w:rPr>
              <w:t>Bronchitis, felső légúti fertőzés, alsó légúti fertőzés</w:t>
            </w:r>
            <w:r w:rsidRPr="00ED7C31">
              <w:rPr>
                <w:rFonts w:eastAsia="Calibri"/>
                <w:sz w:val="22"/>
                <w:szCs w:val="22"/>
                <w:u w:color="000000"/>
                <w:vertAlign w:val="superscript"/>
              </w:rPr>
              <w:t>#</w:t>
            </w:r>
            <w:r w:rsidRPr="00ED7C31">
              <w:rPr>
                <w:rFonts w:eastAsia="Calibri"/>
                <w:sz w:val="22"/>
                <w:szCs w:val="22"/>
                <w:u w:color="000000"/>
              </w:rPr>
              <w:t>, köhögés,</w:t>
            </w:r>
          </w:p>
          <w:p w14:paraId="6B43D930" w14:textId="77777777" w:rsidR="00356201" w:rsidRPr="00ED7C31" w:rsidRDefault="00356201" w:rsidP="00356201">
            <w:pPr>
              <w:ind w:left="99"/>
              <w:rPr>
                <w:rFonts w:eastAsia="Calibri"/>
                <w:sz w:val="22"/>
                <w:szCs w:val="22"/>
                <w:u w:color="000000"/>
              </w:rPr>
            </w:pPr>
            <w:r w:rsidRPr="00ED7C31">
              <w:rPr>
                <w:rFonts w:eastAsia="Calibri"/>
                <w:sz w:val="22"/>
                <w:szCs w:val="22"/>
                <w:u w:color="000000"/>
              </w:rPr>
              <w:t>orrfolyás</w:t>
            </w:r>
            <w:r w:rsidRPr="00ED7C31">
              <w:rPr>
                <w:rFonts w:eastAsia="Calibri"/>
                <w:sz w:val="22"/>
                <w:szCs w:val="22"/>
                <w:u w:color="000000"/>
                <w:vertAlign w:val="superscript"/>
              </w:rPr>
              <w:t>#</w:t>
            </w:r>
          </w:p>
          <w:p w14:paraId="24EFE3E0" w14:textId="77777777" w:rsidR="00356201" w:rsidRPr="00F57F5C" w:rsidRDefault="00356201" w:rsidP="00356201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F57F5C">
              <w:rPr>
                <w:rFonts w:eastAsia="Calibri"/>
                <w:sz w:val="22"/>
                <w:szCs w:val="22"/>
                <w:u w:val="single" w:color="000000"/>
              </w:rPr>
              <w:t>Ritka</w:t>
            </w:r>
          </w:p>
          <w:p w14:paraId="0640129B" w14:textId="5635C31C" w:rsidR="00B3283F" w:rsidRPr="00FC51A2" w:rsidRDefault="00356201" w:rsidP="00087B0B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ED7C31">
              <w:rPr>
                <w:rFonts w:eastAsia="Calibri"/>
                <w:sz w:val="22"/>
                <w:szCs w:val="22"/>
                <w:u w:color="000000"/>
              </w:rPr>
              <w:t>Tüdőgyulladás</w:t>
            </w:r>
            <w:r w:rsidRPr="00ED7C31">
              <w:rPr>
                <w:rFonts w:eastAsia="Calibri"/>
                <w:sz w:val="22"/>
                <w:szCs w:val="22"/>
                <w:u w:color="000000"/>
                <w:vertAlign w:val="superscript"/>
              </w:rPr>
              <w:t>#</w:t>
            </w:r>
          </w:p>
        </w:tc>
      </w:tr>
      <w:tr w:rsidR="00B3283F" w:rsidRPr="00FC51A2" w14:paraId="3E314DED" w14:textId="77777777" w:rsidTr="00C80E6C">
        <w:trPr>
          <w:trHeight w:hRule="exact" w:val="3118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612DC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Emésztőrendszeri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E69B3" w14:textId="77777777" w:rsidR="00B3283F" w:rsidRPr="00FC51A2" w:rsidRDefault="00B3283F" w:rsidP="00767B49">
            <w:pPr>
              <w:shd w:val="clear" w:color="auto" w:fill="FFFFFF" w:themeFill="background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Gyakori</w:t>
            </w:r>
          </w:p>
          <w:p w14:paraId="7319C187" w14:textId="77777777" w:rsidR="00B3283F" w:rsidRPr="00FC51A2" w:rsidRDefault="00B3283F" w:rsidP="00087B0B">
            <w:pPr>
              <w:shd w:val="clear" w:color="auto" w:fill="FFFFFF" w:themeFill="background1"/>
              <w:rPr>
                <w:sz w:val="22"/>
              </w:rPr>
            </w:pPr>
            <w:r w:rsidRPr="00FC51A2">
              <w:rPr>
                <w:sz w:val="22"/>
              </w:rPr>
              <w:t>Hasmenés**, hányinger</w:t>
            </w:r>
          </w:p>
          <w:p w14:paraId="3E225F84" w14:textId="77777777" w:rsidR="00B3283F" w:rsidRPr="00FC51A2" w:rsidRDefault="00B3283F" w:rsidP="00320EE5">
            <w:pPr>
              <w:shd w:val="clear" w:color="auto" w:fill="FFFFFF" w:themeFill="background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Nem gyakori</w:t>
            </w:r>
          </w:p>
          <w:p w14:paraId="5A9DA69C" w14:textId="77777777" w:rsidR="00356201" w:rsidRPr="00ED7C31" w:rsidRDefault="00B3283F" w:rsidP="00356201">
            <w:pPr>
              <w:rPr>
                <w:sz w:val="22"/>
                <w:szCs w:val="22"/>
              </w:rPr>
            </w:pPr>
            <w:r w:rsidRPr="00FC51A2">
              <w:rPr>
                <w:sz w:val="22"/>
              </w:rPr>
              <w:t xml:space="preserve">Hasi fájdalom, </w:t>
            </w:r>
            <w:r w:rsidR="00356201" w:rsidRPr="007323E6">
              <w:rPr>
                <w:sz w:val="22"/>
                <w:szCs w:val="22"/>
              </w:rPr>
              <w:t xml:space="preserve">gyomortáji fájdalom </w:t>
            </w:r>
            <w:r w:rsidR="00356201" w:rsidRPr="00ED7C31">
              <w:rPr>
                <w:sz w:val="22"/>
                <w:szCs w:val="22"/>
                <w:vertAlign w:val="superscript"/>
              </w:rPr>
              <w:t>#</w:t>
            </w:r>
            <w:r w:rsidR="00356201" w:rsidRPr="007323E6">
              <w:rPr>
                <w:sz w:val="22"/>
                <w:szCs w:val="22"/>
              </w:rPr>
              <w:t xml:space="preserve">, </w:t>
            </w:r>
            <w:r w:rsidRPr="00FC51A2">
              <w:rPr>
                <w:sz w:val="22"/>
              </w:rPr>
              <w:t>a has felpuffadása, gastro-oesophageális refluxbetegség, hányás, szájszárazság, emésztési panaszok, székrekedés, gyakori szék</w:t>
            </w:r>
            <w:r w:rsidR="00AF20AE" w:rsidRPr="00FC51A2">
              <w:rPr>
                <w:sz w:val="22"/>
              </w:rPr>
              <w:t>let</w:t>
            </w:r>
            <w:r w:rsidRPr="00FC51A2">
              <w:rPr>
                <w:sz w:val="22"/>
              </w:rPr>
              <w:t>ürítés, flatulencia, gastrointestinális diszkomfort</w:t>
            </w:r>
            <w:r w:rsidR="00356201" w:rsidRPr="00ED7C31">
              <w:rPr>
                <w:sz w:val="22"/>
                <w:szCs w:val="22"/>
              </w:rPr>
              <w:t>, szájnyálkahártyafekély,</w:t>
            </w:r>
          </w:p>
          <w:p w14:paraId="6D0D8297" w14:textId="77777777" w:rsidR="00356201" w:rsidRPr="00ED7C31" w:rsidRDefault="00356201" w:rsidP="00356201">
            <w:pPr>
              <w:rPr>
                <w:sz w:val="22"/>
                <w:szCs w:val="22"/>
                <w:lang w:val="en-US"/>
              </w:rPr>
            </w:pPr>
            <w:r w:rsidRPr="00ED7C31">
              <w:rPr>
                <w:sz w:val="22"/>
                <w:szCs w:val="22"/>
                <w:lang w:val="en-US"/>
              </w:rPr>
              <w:t xml:space="preserve">ajakduzzanat </w:t>
            </w:r>
            <w:r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Pr="00ED7C31">
              <w:rPr>
                <w:sz w:val="22"/>
                <w:szCs w:val="22"/>
                <w:lang w:val="en-US"/>
              </w:rPr>
              <w:t>, pancreatitis</w:t>
            </w:r>
          </w:p>
          <w:p w14:paraId="47B70E04" w14:textId="3A57C57B" w:rsidR="00B3283F" w:rsidRPr="00FC51A2" w:rsidRDefault="00B3283F" w:rsidP="00320EE5">
            <w:pPr>
              <w:shd w:val="clear" w:color="auto" w:fill="FFFFFF" w:themeFill="background1"/>
              <w:rPr>
                <w:sz w:val="22"/>
              </w:rPr>
            </w:pPr>
          </w:p>
          <w:p w14:paraId="54A178BB" w14:textId="77777777" w:rsidR="00B3283F" w:rsidRPr="00FC51A2" w:rsidRDefault="00B3283F" w:rsidP="00320EE5">
            <w:pPr>
              <w:shd w:val="clear" w:color="auto" w:fill="FFFFFF" w:themeFill="background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Ritka</w:t>
            </w:r>
          </w:p>
          <w:p w14:paraId="51A19080" w14:textId="678AF8F6" w:rsidR="00B3283F" w:rsidRPr="00FC51A2" w:rsidRDefault="00356201" w:rsidP="00320EE5">
            <w:pPr>
              <w:shd w:val="clear" w:color="auto" w:fill="FFFFFF" w:themeFill="background1"/>
              <w:rPr>
                <w:sz w:val="22"/>
              </w:rPr>
            </w:pPr>
            <w:r w:rsidRPr="007323E6">
              <w:rPr>
                <w:sz w:val="22"/>
                <w:szCs w:val="22"/>
              </w:rPr>
              <w:t xml:space="preserve">Gastrointestinalis perforáció 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  <w:r w:rsidRPr="007323E6">
              <w:rPr>
                <w:sz w:val="22"/>
                <w:szCs w:val="22"/>
              </w:rPr>
              <w:t>, stomatitis</w:t>
            </w:r>
            <w:r w:rsidRPr="00ED7C31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326B00B5" w14:textId="77777777" w:rsidTr="00A17448">
        <w:trPr>
          <w:trHeight w:hRule="exact" w:val="1707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74542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Máj- és epebetegségek, illetve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8A561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</w:p>
          <w:p w14:paraId="336D611E" w14:textId="77777777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Májműködési zavarok**</w:t>
            </w:r>
          </w:p>
          <w:p w14:paraId="06337E70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Nem gyakori</w:t>
            </w:r>
          </w:p>
          <w:p w14:paraId="00864D8E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sz w:val="22"/>
              </w:rPr>
              <w:t>Cholelithiasis</w:t>
            </w:r>
          </w:p>
          <w:p w14:paraId="3B5A0346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Ritka</w:t>
            </w:r>
          </w:p>
          <w:p w14:paraId="073C613C" w14:textId="380F9086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sz w:val="22"/>
              </w:rPr>
              <w:t>Hepatitis, sárgaság*, májkárosodás*</w:t>
            </w:r>
            <w:r w:rsidR="00356201" w:rsidRPr="00ED7C31">
              <w:rPr>
                <w:sz w:val="22"/>
                <w:szCs w:val="22"/>
                <w:lang w:val="en-US"/>
              </w:rPr>
              <w:t>,</w:t>
            </w:r>
            <w:r w:rsidR="00356201">
              <w:t xml:space="preserve"> </w:t>
            </w:r>
            <w:r w:rsidR="00356201" w:rsidRPr="00ED7C31">
              <w:rPr>
                <w:sz w:val="22"/>
                <w:szCs w:val="22"/>
                <w:lang w:val="en-US"/>
              </w:rPr>
              <w:t>cholecystitis</w:t>
            </w:r>
            <w:r w:rsidR="00356201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</w:p>
        </w:tc>
      </w:tr>
      <w:tr w:rsidR="00B3283F" w:rsidRPr="00FC51A2" w14:paraId="23322F74" w14:textId="77777777" w:rsidTr="00C80E6C">
        <w:trPr>
          <w:trHeight w:hRule="exact" w:val="453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6E549" w14:textId="77777777" w:rsidR="00B3283F" w:rsidRPr="00FC51A2" w:rsidRDefault="00B3283F" w:rsidP="00F7557B">
            <w:pPr>
              <w:shd w:val="clear" w:color="auto" w:fill="FFFFFF" w:themeFill="background1"/>
              <w:ind w:left="102" w:right="53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A bőr és a bőr alatti szövet betegségei és tünetei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710EF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</w:p>
          <w:p w14:paraId="3371A4D9" w14:textId="0A103DBD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Bőrkiütés (ideértve a bőrkiütés különböző típusait, melyeket kisebb gyakorisággal jelentettek, lásd lent)</w:t>
            </w:r>
            <w:r w:rsidR="00356201" w:rsidRPr="00ED7C31">
              <w:rPr>
                <w:rFonts w:eastAsia="Calibri"/>
                <w:sz w:val="22"/>
                <w:szCs w:val="22"/>
              </w:rPr>
              <w:t xml:space="preserve"> , </w:t>
            </w:r>
            <w:r w:rsidR="00356201" w:rsidRPr="007323E6">
              <w:rPr>
                <w:rFonts w:eastAsia="Calibri"/>
                <w:sz w:val="22"/>
                <w:szCs w:val="22"/>
              </w:rPr>
              <w:t>pruritus</w:t>
            </w:r>
          </w:p>
          <w:p w14:paraId="29CDF4C5" w14:textId="77777777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Nem gyakori</w:t>
            </w:r>
          </w:p>
          <w:p w14:paraId="5D33FE89" w14:textId="597DF5DE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</w:rPr>
            </w:pPr>
            <w:r w:rsidRPr="00FC51A2">
              <w:rPr>
                <w:sz w:val="22"/>
              </w:rPr>
              <w:t>Dermatitis, urticaria, a bőr elszíneződése, bőrelváltozás, petechiák, macularis kiütés, maculopapularis kiütés, papularis kiütés</w:t>
            </w:r>
            <w:r w:rsidR="00327289" w:rsidRPr="00ED7C31">
              <w:rPr>
                <w:sz w:val="22"/>
                <w:szCs w:val="22"/>
                <w:lang w:val="en-US"/>
              </w:rPr>
              <w:t xml:space="preserve">, </w:t>
            </w:r>
            <w:r w:rsidR="00327289" w:rsidRPr="007323E6">
              <w:rPr>
                <w:sz w:val="22"/>
                <w:szCs w:val="22"/>
                <w:lang w:val="en-US"/>
              </w:rPr>
              <w:t xml:space="preserve">fokozott verejtékezés, alopecia, ekcéma 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="00327289" w:rsidRPr="007323E6">
              <w:rPr>
                <w:sz w:val="22"/>
                <w:szCs w:val="22"/>
                <w:lang w:val="en-US"/>
              </w:rPr>
              <w:t>, erythema,</w:t>
            </w:r>
            <w:r w:rsidR="00327289" w:rsidRPr="00ED7C31">
              <w:rPr>
                <w:sz w:val="22"/>
                <w:szCs w:val="22"/>
              </w:rPr>
              <w:t xml:space="preserve"> </w:t>
            </w:r>
            <w:r w:rsidR="00327289" w:rsidRPr="007323E6">
              <w:rPr>
                <w:sz w:val="22"/>
                <w:szCs w:val="22"/>
                <w:lang w:val="en-US"/>
              </w:rPr>
              <w:t xml:space="preserve">éjszakai verejtékezés 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="00327289" w:rsidRPr="007323E6">
              <w:rPr>
                <w:sz w:val="22"/>
                <w:szCs w:val="22"/>
                <w:lang w:val="en-US"/>
              </w:rPr>
              <w:t>, psoriasis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  <w:r w:rsidR="00327289" w:rsidRPr="007323E6">
              <w:rPr>
                <w:sz w:val="22"/>
                <w:szCs w:val="22"/>
                <w:lang w:val="en-US"/>
              </w:rPr>
              <w:t>, viszketéssel járó kiütés</w:t>
            </w:r>
            <w:r w:rsidR="00327289" w:rsidRPr="00ED7C31">
              <w:rPr>
                <w:sz w:val="22"/>
                <w:szCs w:val="22"/>
                <w:vertAlign w:val="superscript"/>
                <w:lang w:val="en-US"/>
              </w:rPr>
              <w:t>#</w:t>
            </w:r>
          </w:p>
          <w:p w14:paraId="2EB8A6DC" w14:textId="77777777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  <w:u w:val="single"/>
              </w:rPr>
            </w:pPr>
            <w:r w:rsidRPr="00FC51A2">
              <w:rPr>
                <w:sz w:val="22"/>
                <w:u w:val="single"/>
              </w:rPr>
              <w:t>Ritka</w:t>
            </w:r>
          </w:p>
          <w:p w14:paraId="7CE61EA2" w14:textId="4A045843" w:rsidR="00B3283F" w:rsidRPr="00FC51A2" w:rsidRDefault="00B3283F" w:rsidP="00320EE5">
            <w:pPr>
              <w:shd w:val="clear" w:color="auto" w:fill="FFFFFF" w:themeFill="background1"/>
              <w:ind w:left="99" w:right="361"/>
              <w:rPr>
                <w:sz w:val="22"/>
              </w:rPr>
            </w:pPr>
            <w:r w:rsidRPr="00FC51A2">
              <w:rPr>
                <w:sz w:val="22"/>
              </w:rPr>
              <w:t>Toxicus epidermalis necrolysis*, Stevens</w:t>
            </w:r>
            <w:r w:rsidR="00AF20AE" w:rsidRPr="00FC51A2">
              <w:rPr>
                <w:sz w:val="22"/>
              </w:rPr>
              <w:t>–</w:t>
            </w:r>
            <w:r w:rsidRPr="00FC51A2">
              <w:rPr>
                <w:sz w:val="22"/>
              </w:rPr>
              <w:t>Johnson</w:t>
            </w:r>
            <w:r w:rsidR="00AF20AE" w:rsidRPr="00FC51A2">
              <w:rPr>
                <w:sz w:val="22"/>
              </w:rPr>
              <w:t>-</w:t>
            </w:r>
            <w:r w:rsidRPr="00FC51A2">
              <w:rPr>
                <w:sz w:val="22"/>
              </w:rPr>
              <w:t>szindróma*, angiooedema*, eozinofíliával és szisztémás tünetekkel járó gyógyszerreakció*, generalizált kiütés (súlyos)*, exfoliatív kiütés, follicularis kiütés, hólyagos kiütés, pustulosus kiütés, erythematosus kiütés, morbilliform kiütés</w:t>
            </w:r>
          </w:p>
        </w:tc>
      </w:tr>
      <w:tr w:rsidR="00B3283F" w:rsidRPr="00FC51A2" w14:paraId="1B991677" w14:textId="77777777" w:rsidTr="00C80E6C">
        <w:trPr>
          <w:trHeight w:hRule="exact" w:val="368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33FB1" w14:textId="77777777" w:rsidR="00B3283F" w:rsidRPr="00FC51A2" w:rsidRDefault="00B3283F" w:rsidP="00F7557B">
            <w:pPr>
              <w:shd w:val="clear" w:color="auto" w:fill="FFFFFF" w:themeFill="background1"/>
              <w:ind w:left="102" w:right="287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A csont- és izomrendszer, valamint a kötőszövet betegségei és tünetei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3C6FA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Gyakori</w:t>
            </w:r>
          </w:p>
          <w:p w14:paraId="2B055A16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>Arthralgia, myalgia, végtagfájdalom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075DBBBD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Nem gyakori</w:t>
            </w:r>
          </w:p>
          <w:p w14:paraId="31F7E88D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>Arthritis, mozgásszervi fájdalom, izomgyengeség, izomgörcs,</w:t>
            </w:r>
          </w:p>
          <w:p w14:paraId="0EA1271E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 xml:space="preserve">izomfeszülés, bursitis, ízületi duzzanat 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327289">
              <w:rPr>
                <w:rFonts w:eastAsia="Calibri"/>
                <w:sz w:val="22"/>
                <w:szCs w:val="22"/>
              </w:rPr>
              <w:t xml:space="preserve">, hátfájás 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327289">
              <w:rPr>
                <w:rFonts w:eastAsia="Calibri"/>
                <w:sz w:val="22"/>
                <w:szCs w:val="22"/>
              </w:rPr>
              <w:t>,</w:t>
            </w:r>
          </w:p>
          <w:p w14:paraId="57665EB9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>muskuloskeletalis merevség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327289">
              <w:rPr>
                <w:rFonts w:eastAsia="Calibri"/>
                <w:sz w:val="22"/>
                <w:szCs w:val="22"/>
              </w:rPr>
              <w:t>, ízületi merevség</w:t>
            </w:r>
          </w:p>
          <w:p w14:paraId="0D4CBB39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Ritka</w:t>
            </w:r>
          </w:p>
          <w:p w14:paraId="53B72F48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>Rhabdomyolysis*, rotátorköpeny-szindróma #, polymyalgia</w:t>
            </w:r>
          </w:p>
          <w:p w14:paraId="0CD32758" w14:textId="7C3DD595" w:rsidR="00B3283F" w:rsidRPr="00FC51A2" w:rsidRDefault="00327289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327289">
              <w:rPr>
                <w:rFonts w:eastAsia="Calibri"/>
                <w:sz w:val="22"/>
                <w:szCs w:val="22"/>
              </w:rPr>
              <w:t>rheumatica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074E44" w14:paraId="046861E9" w14:textId="77777777" w:rsidTr="00F9057B">
        <w:trPr>
          <w:trHeight w:hRule="exact" w:val="1859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F8F3F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Vese- és húgyúti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750AF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144F1987" w14:textId="25D53346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Veseelégtelenség, vesekövesség, haematuria, pollakisuria, proteinuria,</w:t>
            </w:r>
            <w:r w:rsidR="00327289">
              <w:rPr>
                <w:rFonts w:eastAsia="Calibri"/>
                <w:sz w:val="22"/>
              </w:rPr>
              <w:t xml:space="preserve"> </w:t>
            </w:r>
            <w:r w:rsidR="00327289" w:rsidRPr="00934A59">
              <w:rPr>
                <w:rFonts w:eastAsia="Calibri"/>
                <w:sz w:val="22"/>
                <w:lang w:val="fi-FI"/>
              </w:rPr>
              <w:t>sürgető vizelési inger, húgyúti fertőzés</w:t>
            </w:r>
            <w:r w:rsidR="00327289" w:rsidRPr="00ED7C31">
              <w:rPr>
                <w:rFonts w:eastAsia="Calibri"/>
                <w:sz w:val="22"/>
                <w:vertAlign w:val="superscript"/>
                <w:lang w:val="fi-FI"/>
              </w:rPr>
              <w:t>#</w:t>
            </w:r>
          </w:p>
          <w:p w14:paraId="3992FC40" w14:textId="77777777" w:rsidR="00B3283F" w:rsidRPr="00074E44" w:rsidRDefault="00B3283F" w:rsidP="00320EE5">
            <w:pPr>
              <w:shd w:val="clear" w:color="auto" w:fill="FFFFFF" w:themeFill="background1"/>
              <w:ind w:left="99"/>
              <w:rPr>
                <w:sz w:val="22"/>
                <w:u w:val="single"/>
                <w:lang w:val="de-DE"/>
              </w:rPr>
            </w:pPr>
            <w:r w:rsidRPr="00074E44">
              <w:rPr>
                <w:sz w:val="22"/>
                <w:u w:val="single"/>
                <w:lang w:val="de-DE"/>
              </w:rPr>
              <w:t>Ritka</w:t>
            </w:r>
          </w:p>
          <w:p w14:paraId="56E40388" w14:textId="6B37B1F5" w:rsidR="00B3283F" w:rsidRPr="00074E44" w:rsidRDefault="00B3283F" w:rsidP="00320EE5">
            <w:pPr>
              <w:shd w:val="clear" w:color="auto" w:fill="FFFFFF" w:themeFill="background1"/>
              <w:ind w:left="99"/>
              <w:rPr>
                <w:sz w:val="22"/>
                <w:lang w:val="de-DE"/>
              </w:rPr>
            </w:pPr>
            <w:r w:rsidRPr="00074E44">
              <w:rPr>
                <w:sz w:val="22"/>
                <w:lang w:val="de-DE"/>
              </w:rPr>
              <w:t>Tubulointerstitialis nephritis*</w:t>
            </w:r>
          </w:p>
        </w:tc>
      </w:tr>
      <w:tr w:rsidR="00B3283F" w:rsidRPr="00FC51A2" w14:paraId="6B46A153" w14:textId="77777777" w:rsidTr="00F9057B">
        <w:trPr>
          <w:trHeight w:hRule="exact" w:val="771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0D188" w14:textId="77777777" w:rsidR="00B3283F" w:rsidRPr="00074E44" w:rsidRDefault="00B3283F" w:rsidP="00F7557B">
            <w:pPr>
              <w:shd w:val="clear" w:color="auto" w:fill="FFFFFF" w:themeFill="background1"/>
              <w:ind w:left="102" w:right="307"/>
              <w:rPr>
                <w:sz w:val="22"/>
                <w:lang w:val="de-DE"/>
              </w:rPr>
            </w:pPr>
            <w:r w:rsidRPr="00074E44">
              <w:rPr>
                <w:rFonts w:eastAsia="Calibri"/>
                <w:sz w:val="22"/>
                <w:lang w:val="de-DE"/>
              </w:rPr>
              <w:t>A nemi szervekkel és az emlőkkel kapcsolatos betegségek és tünetek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3167C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5BB28935" w14:textId="77777777" w:rsidR="00B3283F" w:rsidRPr="00FC51A2" w:rsidRDefault="00B3283F" w:rsidP="00087B0B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Erectilis dysfunctio</w:t>
            </w:r>
          </w:p>
        </w:tc>
      </w:tr>
      <w:tr w:rsidR="00B3283F" w:rsidRPr="00FC51A2" w14:paraId="52CE1905" w14:textId="77777777" w:rsidTr="00F9057B">
        <w:trPr>
          <w:trHeight w:hRule="exact" w:val="2042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7DCA6" w14:textId="77777777" w:rsidR="00B3283F" w:rsidRPr="00FC51A2" w:rsidRDefault="00B3283F" w:rsidP="00F7557B">
            <w:pPr>
              <w:shd w:val="clear" w:color="auto" w:fill="FFFFFF" w:themeFill="background1"/>
              <w:ind w:left="102" w:right="508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Általános tünetek, az alkalmazás helyén fellépő reakciók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88A92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Gyakori</w:t>
            </w:r>
          </w:p>
          <w:p w14:paraId="6978DAB4" w14:textId="6DEB3497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 w:rsidRPr="00FC51A2">
              <w:rPr>
                <w:rFonts w:eastAsia="Calibri"/>
                <w:sz w:val="22"/>
              </w:rPr>
              <w:t>Oedema</w:t>
            </w:r>
            <w:r w:rsidR="00327289">
              <w:rPr>
                <w:rFonts w:eastAsia="Calibri"/>
                <w:sz w:val="22"/>
                <w:szCs w:val="22"/>
              </w:rPr>
              <w:t xml:space="preserve">, </w:t>
            </w:r>
            <w:r w:rsidR="00327289" w:rsidRPr="00F522D1">
              <w:rPr>
                <w:rFonts w:eastAsia="Calibri"/>
                <w:sz w:val="22"/>
                <w:szCs w:val="22"/>
              </w:rPr>
              <w:t>fáradtság</w:t>
            </w:r>
          </w:p>
          <w:p w14:paraId="5C6B1929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13B117B5" w14:textId="52B2F585" w:rsidR="00B3283F" w:rsidRPr="00FC51A2" w:rsidRDefault="00327289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M</w:t>
            </w:r>
            <w:r w:rsidR="00B3283F" w:rsidRPr="00FC51A2">
              <w:rPr>
                <w:rFonts w:eastAsia="Calibri"/>
                <w:sz w:val="22"/>
              </w:rPr>
              <w:t>ellkasi fájdalom, mellkasi szorító érzés</w:t>
            </w:r>
            <w:r>
              <w:rPr>
                <w:rFonts w:eastAsia="Calibri"/>
                <w:sz w:val="22"/>
                <w:szCs w:val="22"/>
              </w:rPr>
              <w:t xml:space="preserve">, </w:t>
            </w:r>
            <w:r w:rsidRPr="002B356D">
              <w:rPr>
                <w:rFonts w:eastAsia="Calibri"/>
                <w:sz w:val="22"/>
                <w:szCs w:val="22"/>
              </w:rPr>
              <w:t xml:space="preserve">fájdalom </w:t>
            </w:r>
            <w:r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  <w:r w:rsidRPr="002B356D">
              <w:rPr>
                <w:rFonts w:eastAsia="Calibri"/>
                <w:sz w:val="22"/>
                <w:szCs w:val="22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2B356D">
              <w:rPr>
                <w:rFonts w:eastAsia="Calibri"/>
                <w:sz w:val="22"/>
                <w:szCs w:val="22"/>
              </w:rPr>
              <w:t>rossz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2B356D">
              <w:rPr>
                <w:rFonts w:eastAsia="Calibri"/>
                <w:sz w:val="22"/>
                <w:szCs w:val="22"/>
              </w:rPr>
              <w:t>közérzet</w:t>
            </w:r>
            <w:r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0BE73E1E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4146C3B0" w14:textId="4CEFFB94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Szomjúság</w:t>
            </w:r>
            <w:r w:rsidR="00327289">
              <w:rPr>
                <w:rFonts w:eastAsia="Calibri"/>
                <w:sz w:val="22"/>
                <w:szCs w:val="22"/>
              </w:rPr>
              <w:t xml:space="preserve">, </w:t>
            </w:r>
            <w:r w:rsidR="00327289" w:rsidRPr="002B356D">
              <w:rPr>
                <w:rFonts w:eastAsia="Calibri"/>
                <w:sz w:val="22"/>
                <w:szCs w:val="22"/>
              </w:rPr>
              <w:t>forróságérzet</w:t>
            </w:r>
            <w:r w:rsidR="00327289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  <w:tr w:rsidR="00B3283F" w:rsidRPr="00FC51A2" w14:paraId="5DE1ECAB" w14:textId="77777777" w:rsidTr="00F9057B">
        <w:trPr>
          <w:trHeight w:hRule="exact" w:val="3974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2A5BD" w14:textId="77777777" w:rsidR="00B3283F" w:rsidRPr="00FC51A2" w:rsidRDefault="00B3283F" w:rsidP="00F7557B">
            <w:pPr>
              <w:shd w:val="clear" w:color="auto" w:fill="FFFFFF" w:themeFill="background1"/>
              <w:ind w:left="102"/>
              <w:rPr>
                <w:sz w:val="22"/>
              </w:rPr>
            </w:pPr>
            <w:r w:rsidRPr="00FC51A2">
              <w:rPr>
                <w:rFonts w:eastAsia="Calibri"/>
                <w:sz w:val="22"/>
              </w:rPr>
              <w:t>Laboratóriumi és egyéb vizsgálatok eredményei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D2418" w14:textId="77777777" w:rsidR="00B3283F" w:rsidRPr="00FC51A2" w:rsidRDefault="00B3283F" w:rsidP="00767B4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Nem gyakori</w:t>
            </w:r>
          </w:p>
          <w:p w14:paraId="588AC272" w14:textId="77777777" w:rsidR="00327289" w:rsidRPr="00D46831" w:rsidRDefault="00B3283F" w:rsidP="00327289">
            <w:pPr>
              <w:ind w:left="99"/>
              <w:rPr>
                <w:rFonts w:eastAsia="Calibri"/>
                <w:sz w:val="22"/>
                <w:szCs w:val="22"/>
              </w:rPr>
            </w:pPr>
            <w:r w:rsidRPr="00FC51A2">
              <w:rPr>
                <w:rFonts w:eastAsia="Calibri"/>
                <w:sz w:val="22"/>
              </w:rPr>
              <w:t>Vér emelkedett amilázszintje, thrombocytaszám</w:t>
            </w:r>
            <w:r w:rsidR="008311FA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csökkenés, fehérvérsejtszám</w:t>
            </w:r>
            <w:r w:rsidR="008311FA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csökkenés, lymphocytaszám</w:t>
            </w:r>
            <w:r w:rsidR="008311FA" w:rsidRPr="00FC51A2">
              <w:rPr>
                <w:rFonts w:eastAsia="Calibri"/>
                <w:sz w:val="22"/>
              </w:rPr>
              <w:t>-</w:t>
            </w:r>
            <w:r w:rsidRPr="00FC51A2">
              <w:rPr>
                <w:rFonts w:eastAsia="Calibri"/>
                <w:sz w:val="22"/>
              </w:rPr>
              <w:t>csökkenés, a vér kreatinszint emelkedése, a vér kreatininszint emelkedése, haemoglobinszint csökkenése, a vér karbamidszintjének emelkedése, hypertriglyceridaemia, emelkedett koleszterinszint, csökkent hematokrit, emelkedett laktát-dehidrogenáz (LDH)</w:t>
            </w:r>
            <w:r w:rsidR="00DB4CBA">
              <w:rPr>
                <w:rFonts w:eastAsia="Calibri"/>
                <w:sz w:val="22"/>
              </w:rPr>
              <w:t xml:space="preserve"> </w:t>
            </w:r>
            <w:r w:rsidRPr="00FC51A2">
              <w:rPr>
                <w:rFonts w:eastAsia="Calibri"/>
                <w:sz w:val="22"/>
              </w:rPr>
              <w:t>-szint, a vér káliumszintjének emelkedése</w:t>
            </w:r>
            <w:r w:rsidR="00327289">
              <w:rPr>
                <w:rFonts w:eastAsia="Calibri"/>
                <w:sz w:val="22"/>
                <w:szCs w:val="22"/>
              </w:rPr>
              <w:t xml:space="preserve">, </w:t>
            </w:r>
            <w:r w:rsidR="00327289" w:rsidRPr="002B356D">
              <w:rPr>
                <w:rFonts w:eastAsia="Calibri"/>
                <w:sz w:val="22"/>
                <w:szCs w:val="22"/>
              </w:rPr>
              <w:t>INR</w:t>
            </w:r>
            <w:r w:rsidR="00327289">
              <w:rPr>
                <w:rFonts w:eastAsia="Calibri"/>
                <w:sz w:val="22"/>
                <w:szCs w:val="22"/>
              </w:rPr>
              <w:t xml:space="preserve"> </w:t>
            </w:r>
            <w:r w:rsidR="00327289" w:rsidRPr="002B356D">
              <w:rPr>
                <w:rFonts w:eastAsia="Calibri"/>
                <w:sz w:val="22"/>
                <w:szCs w:val="22"/>
              </w:rPr>
              <w:t>emelkedése</w:t>
            </w:r>
            <w:r w:rsidR="00327289" w:rsidRPr="00ED7C31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  <w:p w14:paraId="041E7DCC" w14:textId="5E526EA5" w:rsidR="00B3283F" w:rsidRPr="00FC51A2" w:rsidRDefault="00B3283F" w:rsidP="00087B0B">
            <w:pPr>
              <w:shd w:val="clear" w:color="auto" w:fill="FFFFFF" w:themeFill="background1"/>
              <w:ind w:left="99"/>
              <w:rPr>
                <w:rFonts w:eastAsia="Calibri"/>
                <w:sz w:val="22"/>
              </w:rPr>
            </w:pPr>
          </w:p>
          <w:p w14:paraId="20CC9CC1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FC51A2">
              <w:rPr>
                <w:rFonts w:eastAsia="Calibri"/>
                <w:sz w:val="22"/>
                <w:u w:val="single" w:color="000000"/>
              </w:rPr>
              <w:t>Ritka</w:t>
            </w:r>
          </w:p>
          <w:p w14:paraId="64A660F1" w14:textId="77777777" w:rsidR="00B3283F" w:rsidRPr="00FC51A2" w:rsidRDefault="00B3283F" w:rsidP="00320EE5">
            <w:pPr>
              <w:shd w:val="clear" w:color="auto" w:fill="FFFFFF" w:themeFill="background1"/>
              <w:ind w:left="99"/>
              <w:rPr>
                <w:sz w:val="22"/>
              </w:rPr>
            </w:pPr>
            <w:r w:rsidRPr="00A17448">
              <w:rPr>
                <w:rFonts w:eastAsia="Calibri"/>
                <w:sz w:val="22"/>
              </w:rPr>
              <w:t xml:space="preserve">Emelkedett vércukorszint, megnyúlt aktivált parciális </w:t>
            </w:r>
            <w:r w:rsidRPr="00FC51A2">
              <w:rPr>
                <w:rFonts w:eastAsia="Calibri"/>
                <w:sz w:val="22"/>
              </w:rPr>
              <w:t>thromboplastin-idő (APTI), vörösvértestszám csökkenés, a vér emelkedett alkalikus</w:t>
            </w:r>
            <w:r w:rsidR="008311FA" w:rsidRPr="00FC51A2">
              <w:rPr>
                <w:rFonts w:eastAsia="Calibri"/>
                <w:sz w:val="22"/>
              </w:rPr>
              <w:t xml:space="preserve"> </w:t>
            </w:r>
            <w:r w:rsidRPr="00FC51A2">
              <w:rPr>
                <w:rFonts w:eastAsia="Calibri"/>
                <w:sz w:val="22"/>
              </w:rPr>
              <w:t>foszfatáz szintje, a vér emelkedett kreatin-foszfokináz szintje*</w:t>
            </w:r>
          </w:p>
        </w:tc>
      </w:tr>
      <w:tr w:rsidR="00327289" w:rsidRPr="00FC51A2" w14:paraId="232A8EA8" w14:textId="77777777" w:rsidTr="00C80E6C">
        <w:trPr>
          <w:trHeight w:hRule="exact" w:val="1553"/>
        </w:trPr>
        <w:tc>
          <w:tcPr>
            <w:tcW w:w="3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74BF3" w14:textId="77777777" w:rsidR="00327289" w:rsidRPr="00435A31" w:rsidRDefault="00327289" w:rsidP="00327289">
            <w:pPr>
              <w:ind w:left="102"/>
              <w:rPr>
                <w:rFonts w:eastAsia="Calibri"/>
                <w:sz w:val="22"/>
                <w:szCs w:val="22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lang w:val="pt-BR"/>
              </w:rPr>
              <w:t>Sérülés, mérgezés és a</w:t>
            </w:r>
          </w:p>
          <w:p w14:paraId="49796854" w14:textId="77777777" w:rsidR="00327289" w:rsidRPr="00435A31" w:rsidRDefault="00327289" w:rsidP="00327289">
            <w:pPr>
              <w:ind w:left="102"/>
              <w:rPr>
                <w:rFonts w:eastAsia="Calibri"/>
                <w:sz w:val="22"/>
                <w:szCs w:val="22"/>
                <w:lang w:val="pt-BR"/>
              </w:rPr>
            </w:pPr>
            <w:r w:rsidRPr="00435A31">
              <w:rPr>
                <w:rFonts w:eastAsia="Calibri"/>
                <w:sz w:val="22"/>
                <w:szCs w:val="22"/>
                <w:lang w:val="pt-BR"/>
              </w:rPr>
              <w:t>beavatkozással kapcsolatos</w:t>
            </w:r>
          </w:p>
          <w:p w14:paraId="1A0DC14C" w14:textId="51A445CE" w:rsidR="00327289" w:rsidRPr="00FC51A2" w:rsidRDefault="00327289" w:rsidP="00327289">
            <w:pPr>
              <w:shd w:val="clear" w:color="auto" w:fill="FFFFFF" w:themeFill="background1"/>
              <w:ind w:left="102"/>
              <w:rPr>
                <w:rFonts w:eastAsia="Calibri"/>
                <w:sz w:val="22"/>
              </w:rPr>
            </w:pPr>
            <w:r w:rsidRPr="00C75C80">
              <w:rPr>
                <w:rFonts w:eastAsia="Calibri"/>
                <w:sz w:val="22"/>
                <w:szCs w:val="22"/>
              </w:rPr>
              <w:t>szövődmények</w:t>
            </w:r>
          </w:p>
        </w:tc>
        <w:tc>
          <w:tcPr>
            <w:tcW w:w="5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BF643" w14:textId="77777777" w:rsidR="00327289" w:rsidRPr="00327289" w:rsidRDefault="00327289" w:rsidP="00327289">
            <w:pPr>
              <w:ind w:left="99"/>
              <w:rPr>
                <w:rFonts w:eastAsia="Calibri"/>
                <w:sz w:val="22"/>
                <w:szCs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  <w:u w:val="single" w:color="000000"/>
              </w:rPr>
              <w:t>Nem gyakori</w:t>
            </w:r>
          </w:p>
          <w:p w14:paraId="1CBD3F1A" w14:textId="07436314" w:rsidR="00327289" w:rsidRPr="00FC51A2" w:rsidRDefault="00327289" w:rsidP="00327289">
            <w:pPr>
              <w:shd w:val="clear" w:color="auto" w:fill="FFFFFF" w:themeFill="background1"/>
              <w:ind w:left="99"/>
              <w:rPr>
                <w:rFonts w:eastAsia="Calibri"/>
                <w:sz w:val="22"/>
                <w:u w:val="single" w:color="000000"/>
              </w:rPr>
            </w:pPr>
            <w:r w:rsidRPr="00327289">
              <w:rPr>
                <w:rFonts w:eastAsia="Calibri"/>
                <w:sz w:val="22"/>
                <w:szCs w:val="22"/>
              </w:rPr>
              <w:t>Contusio</w:t>
            </w:r>
            <w:r w:rsidRPr="00327289">
              <w:rPr>
                <w:rFonts w:eastAsia="Calibri"/>
                <w:sz w:val="22"/>
                <w:szCs w:val="22"/>
                <w:vertAlign w:val="superscript"/>
              </w:rPr>
              <w:t>#</w:t>
            </w:r>
          </w:p>
        </w:tc>
      </w:tr>
    </w:tbl>
    <w:p w14:paraId="3F414446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* A forgalomba hozatal után észlelt mellékhatások </w:t>
      </w:r>
    </w:p>
    <w:p w14:paraId="45E4F756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**A kombinált </w:t>
      </w:r>
      <w:r w:rsidR="004A3578" w:rsidRPr="00A17448">
        <w:rPr>
          <w:sz w:val="22"/>
        </w:rPr>
        <w:t>III.</w:t>
      </w:r>
      <w:r w:rsidR="007D5401" w:rsidRPr="00FC51A2">
        <w:rPr>
          <w:sz w:val="22"/>
        </w:rPr>
        <w:t xml:space="preserve"> fázisú</w:t>
      </w:r>
      <w:r w:rsidRPr="00FC51A2">
        <w:rPr>
          <w:sz w:val="22"/>
        </w:rPr>
        <w:t xml:space="preserve"> vizsgálatokban a kezelés alatt fellépő nem infekciós eredetű hasmenés és a kóros májműködési vizsgálati eredmények gyakoribbak az egyidejűleg kol</w:t>
      </w:r>
      <w:r w:rsidR="00DB4CBA">
        <w:rPr>
          <w:sz w:val="22"/>
        </w:rPr>
        <w:t>c</w:t>
      </w:r>
      <w:r w:rsidRPr="00FC51A2">
        <w:rPr>
          <w:sz w:val="22"/>
        </w:rPr>
        <w:t>hicinnel is kezelt betegeknél</w:t>
      </w:r>
      <w:r w:rsidRPr="00FC51A2">
        <w:rPr>
          <w:sz w:val="22"/>
          <w:szCs w:val="22"/>
        </w:rPr>
        <w:t xml:space="preserve">. </w:t>
      </w:r>
    </w:p>
    <w:p w14:paraId="7BF18A23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 xml:space="preserve">*** Az egyedi, </w:t>
      </w:r>
      <w:r w:rsidR="004A3578" w:rsidRPr="00FC51A2">
        <w:rPr>
          <w:sz w:val="22"/>
        </w:rPr>
        <w:t>III.</w:t>
      </w:r>
      <w:r w:rsidR="007D5401" w:rsidRPr="00FC51A2">
        <w:rPr>
          <w:sz w:val="22"/>
        </w:rPr>
        <w:t xml:space="preserve"> fázisú</w:t>
      </w:r>
      <w:r w:rsidRPr="00FC51A2">
        <w:rPr>
          <w:sz w:val="22"/>
        </w:rPr>
        <w:t xml:space="preserve">, randomizált, kontrollos vizsgálatokban észlelt köszvényes rohamok </w:t>
      </w:r>
    </w:p>
    <w:p w14:paraId="7C4D5021" w14:textId="2DE11BDF" w:rsidR="00B3283F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>előfordulási gyakoriságát lásd az 5.1 pontban.</w:t>
      </w:r>
    </w:p>
    <w:p w14:paraId="431973BB" w14:textId="77777777" w:rsidR="00327289" w:rsidRPr="00D46831" w:rsidRDefault="00327289" w:rsidP="00327289">
      <w:pPr>
        <w:rPr>
          <w:sz w:val="22"/>
          <w:szCs w:val="22"/>
        </w:rPr>
      </w:pPr>
      <w:r w:rsidRPr="00ED7C31">
        <w:rPr>
          <w:sz w:val="22"/>
          <w:szCs w:val="22"/>
          <w:vertAlign w:val="superscript"/>
        </w:rPr>
        <w:t>#</w:t>
      </w:r>
      <w:r w:rsidRPr="00C75C80">
        <w:rPr>
          <w:sz w:val="22"/>
          <w:szCs w:val="22"/>
        </w:rPr>
        <w:t xml:space="preserve"> A forgalomba hozatalt követő biztonságossági vizsgálatokban jelentett mellékhatások.</w:t>
      </w:r>
    </w:p>
    <w:p w14:paraId="2FF6F834" w14:textId="77777777" w:rsidR="00327289" w:rsidRPr="00FC51A2" w:rsidRDefault="00327289" w:rsidP="00A17448">
      <w:pPr>
        <w:shd w:val="clear" w:color="auto" w:fill="FFFFFF" w:themeFill="background1"/>
        <w:rPr>
          <w:sz w:val="22"/>
        </w:rPr>
      </w:pPr>
    </w:p>
    <w:p w14:paraId="3D080616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</w:rPr>
      </w:pPr>
    </w:p>
    <w:p w14:paraId="77DE5CD2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</w:rPr>
      </w:pPr>
      <w:r w:rsidRPr="00FC51A2">
        <w:rPr>
          <w:i/>
          <w:sz w:val="22"/>
        </w:rPr>
        <w:t xml:space="preserve">Kiválasztott mellékhatások leírása </w:t>
      </w:r>
    </w:p>
    <w:p w14:paraId="289BD489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>A forgalomba hozatal után ritkán súlyos allergiás</w:t>
      </w:r>
      <w:r w:rsidR="007D5401" w:rsidRPr="00FC51A2">
        <w:rPr>
          <w:sz w:val="22"/>
        </w:rPr>
        <w:t xml:space="preserve"> </w:t>
      </w:r>
      <w:r w:rsidR="00CD33AC">
        <w:rPr>
          <w:sz w:val="22"/>
        </w:rPr>
        <w:t>és</w:t>
      </w:r>
      <w:r w:rsidR="007D5401" w:rsidRPr="00FC51A2">
        <w:rPr>
          <w:sz w:val="22"/>
        </w:rPr>
        <w:t xml:space="preserve"> </w:t>
      </w:r>
      <w:r w:rsidRPr="00FC51A2">
        <w:rPr>
          <w:sz w:val="22"/>
        </w:rPr>
        <w:t xml:space="preserve">túlérzékenységi reakciókat </w:t>
      </w:r>
      <w:r w:rsidR="00CD33AC">
        <w:rPr>
          <w:sz w:val="22"/>
        </w:rPr>
        <w:t xml:space="preserve">– </w:t>
      </w:r>
      <w:r w:rsidRPr="00FC51A2">
        <w:rPr>
          <w:sz w:val="22"/>
        </w:rPr>
        <w:t>Stevens</w:t>
      </w:r>
      <w:r w:rsidR="007D5401" w:rsidRPr="00FC51A2">
        <w:rPr>
          <w:sz w:val="22"/>
        </w:rPr>
        <w:t>–</w:t>
      </w:r>
      <w:r w:rsidRPr="00FC51A2">
        <w:rPr>
          <w:sz w:val="22"/>
        </w:rPr>
        <w:t>Johnson</w:t>
      </w:r>
      <w:r w:rsidR="007D5401" w:rsidRPr="00FC51A2">
        <w:rPr>
          <w:sz w:val="22"/>
        </w:rPr>
        <w:t>-</w:t>
      </w:r>
      <w:r w:rsidRPr="00FC51A2">
        <w:rPr>
          <w:sz w:val="22"/>
        </w:rPr>
        <w:t>szindrómát és toxicus epidermalis necrolysist is beleértve</w:t>
      </w:r>
      <w:r w:rsidR="00CD33AC">
        <w:rPr>
          <w:sz w:val="22"/>
        </w:rPr>
        <w:t xml:space="preserve"> –</w:t>
      </w:r>
      <w:r w:rsidRPr="00FC51A2">
        <w:rPr>
          <w:sz w:val="22"/>
        </w:rPr>
        <w:t xml:space="preserve"> és akut anaphylaxiás reakciókat</w:t>
      </w:r>
      <w:r w:rsidR="007D5401" w:rsidRPr="00FC51A2">
        <w:rPr>
          <w:sz w:val="22"/>
        </w:rPr>
        <w:t xml:space="preserve"> </w:t>
      </w:r>
      <w:r w:rsidR="00CD33AC">
        <w:rPr>
          <w:sz w:val="22"/>
        </w:rPr>
        <w:t>illetve</w:t>
      </w:r>
      <w:r w:rsidR="007D5401" w:rsidRPr="00FC51A2">
        <w:rPr>
          <w:sz w:val="22"/>
        </w:rPr>
        <w:t xml:space="preserve"> </w:t>
      </w:r>
      <w:r w:rsidRPr="00FC51A2">
        <w:rPr>
          <w:sz w:val="22"/>
        </w:rPr>
        <w:t>so</w:t>
      </w:r>
      <w:r w:rsidR="007D5401" w:rsidRPr="00FC51A2">
        <w:rPr>
          <w:sz w:val="22"/>
        </w:rPr>
        <w:t>k</w:t>
      </w:r>
      <w:r w:rsidRPr="00FC51A2">
        <w:rPr>
          <w:sz w:val="22"/>
        </w:rPr>
        <w:t>kot észleltek. A Stevens</w:t>
      </w:r>
      <w:r w:rsidR="007D5401" w:rsidRPr="00FC51A2">
        <w:rPr>
          <w:sz w:val="22"/>
        </w:rPr>
        <w:t>–</w:t>
      </w:r>
      <w:r w:rsidRPr="00FC51A2">
        <w:rPr>
          <w:sz w:val="22"/>
        </w:rPr>
        <w:t>Johnson</w:t>
      </w:r>
      <w:r w:rsidR="007D5401" w:rsidRPr="00FC51A2">
        <w:rPr>
          <w:sz w:val="22"/>
        </w:rPr>
        <w:t>-</w:t>
      </w:r>
      <w:r w:rsidRPr="00FC51A2">
        <w:rPr>
          <w:sz w:val="22"/>
        </w:rPr>
        <w:t>szindróma és a toxicus epidermalis necrolysis jellemző tünetei a progresszív bőrkiütések, melyek hólyagképződéssel, nyálkahártya léziókkal és szemirritációval társulhatnak A febuxosztáttal kapcsolatos túlérzékenységi reakciók a következő tünetekkel járhatnak: bőrreakciók, melyek beszűrődött maculopapuláris kiütéssel, generalizált vagy exfoliatív kiütéssel, bőrléziókkal, faciális oedemával, lázzal, hematológiai rendellenességekkel (például thrombocytopéniával és eozinofiliával) és egyszeres vagy többszörös szervi érintettséggel (máj és vese, beleértve a tubulointerstitialis nephritist) jellemezhetők (lásd 4.4 pont).</w:t>
      </w:r>
    </w:p>
    <w:p w14:paraId="7D354323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</w:p>
    <w:p w14:paraId="7F5D9ED5" w14:textId="77777777" w:rsidR="00B3283F" w:rsidRPr="00FC51A2" w:rsidRDefault="00B3283F" w:rsidP="00A17448">
      <w:pPr>
        <w:shd w:val="clear" w:color="auto" w:fill="FFFFFF" w:themeFill="background1"/>
        <w:rPr>
          <w:sz w:val="22"/>
        </w:rPr>
      </w:pPr>
      <w:r w:rsidRPr="00FC51A2">
        <w:rPr>
          <w:sz w:val="22"/>
        </w:rPr>
        <w:t>Köszvényes rohamokat gyakran észleltek a kezelés megkezdése után</w:t>
      </w:r>
      <w:r w:rsidR="00CD33AC">
        <w:rPr>
          <w:sz w:val="22"/>
        </w:rPr>
        <w:t>i</w:t>
      </w:r>
      <w:r w:rsidRPr="00FC51A2">
        <w:rPr>
          <w:sz w:val="22"/>
        </w:rPr>
        <w:t xml:space="preserve"> első hónap</w:t>
      </w:r>
      <w:r w:rsidR="00FE350D" w:rsidRPr="00FC51A2">
        <w:rPr>
          <w:sz w:val="22"/>
        </w:rPr>
        <w:t>ok</w:t>
      </w:r>
      <w:r w:rsidRPr="00FC51A2">
        <w:rPr>
          <w:sz w:val="22"/>
        </w:rPr>
        <w:t>ban.</w:t>
      </w:r>
      <w:r w:rsidR="00FE350D" w:rsidRPr="00FC51A2">
        <w:rPr>
          <w:sz w:val="22"/>
        </w:rPr>
        <w:t xml:space="preserve"> </w:t>
      </w:r>
      <w:r w:rsidRPr="00FC51A2">
        <w:rPr>
          <w:sz w:val="22"/>
        </w:rPr>
        <w:t>Ezután a köszvényes rohamok gyakorisága az eltelt idővel arányosan csökkent. A köszvényes roham profilaxisa ajánlott (lásd 4.2 és 4.4 pont).</w:t>
      </w:r>
    </w:p>
    <w:p w14:paraId="45A33ACE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en-US"/>
        </w:rPr>
      </w:pPr>
    </w:p>
    <w:p w14:paraId="2213BA31" w14:textId="5EF1C353" w:rsidR="00B3283F" w:rsidRPr="00A17448" w:rsidRDefault="00435A31" w:rsidP="00A17448">
      <w:pPr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>Febuxostat PharOS</w:t>
      </w:r>
      <w:r w:rsidR="00655912">
        <w:rPr>
          <w:color w:val="000000"/>
          <w:sz w:val="22"/>
          <w:szCs w:val="22"/>
          <w:u w:val="single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</w:rPr>
        <w:t>120</w:t>
      </w:r>
      <w:r w:rsidR="00B3283F" w:rsidRPr="00A17448">
        <w:rPr>
          <w:color w:val="000000"/>
          <w:sz w:val="22"/>
          <w:u w:val="single"/>
        </w:rPr>
        <w:t xml:space="preserve"> mg</w:t>
      </w:r>
      <w:r w:rsidR="00655912">
        <w:rPr>
          <w:color w:val="000000"/>
          <w:sz w:val="22"/>
          <w:u w:val="single"/>
        </w:rPr>
        <w:t xml:space="preserve"> </w:t>
      </w:r>
      <w:r w:rsidR="00655912">
        <w:rPr>
          <w:color w:val="000000"/>
          <w:sz w:val="22"/>
          <w:u w:val="single"/>
          <w:lang w:val="hu-HU"/>
        </w:rPr>
        <w:t>filmtabletta</w:t>
      </w:r>
      <w:r w:rsidR="00B3283F" w:rsidRPr="00A17448">
        <w:rPr>
          <w:color w:val="000000"/>
          <w:sz w:val="22"/>
          <w:u w:val="single"/>
        </w:rPr>
        <w:t>:</w:t>
      </w:r>
    </w:p>
    <w:p w14:paraId="69DABCF8" w14:textId="77777777" w:rsidR="00B3283F" w:rsidRPr="00FC51A2" w:rsidRDefault="001C0683" w:rsidP="00A17448">
      <w:pPr>
        <w:rPr>
          <w:color w:val="000000"/>
          <w:sz w:val="22"/>
          <w:u w:val="single"/>
        </w:rPr>
      </w:pPr>
      <w:r>
        <w:rPr>
          <w:color w:val="000000"/>
          <w:sz w:val="22"/>
          <w:u w:val="single"/>
        </w:rPr>
        <w:t>Tumor lysis szindróma</w:t>
      </w:r>
    </w:p>
    <w:p w14:paraId="079067C4" w14:textId="77777777" w:rsidR="00B3283F" w:rsidRPr="00FC51A2" w:rsidRDefault="00B3283F" w:rsidP="00A17448">
      <w:pPr>
        <w:rPr>
          <w:i/>
          <w:color w:val="000000"/>
          <w:sz w:val="22"/>
        </w:rPr>
      </w:pPr>
      <w:r w:rsidRPr="00FC51A2">
        <w:rPr>
          <w:i/>
          <w:color w:val="000000"/>
          <w:sz w:val="22"/>
        </w:rPr>
        <w:t>A biztonságossági profil összefoglalása</w:t>
      </w:r>
    </w:p>
    <w:p w14:paraId="49E96C5F" w14:textId="77777777" w:rsidR="00B3283F" w:rsidRPr="00FC51A2" w:rsidRDefault="00B3283F" w:rsidP="00A17448">
      <w:pPr>
        <w:rPr>
          <w:color w:val="000000"/>
          <w:sz w:val="22"/>
        </w:rPr>
      </w:pPr>
      <w:r w:rsidRPr="00FC51A2">
        <w:rPr>
          <w:color w:val="000000"/>
          <w:sz w:val="22"/>
        </w:rPr>
        <w:t xml:space="preserve">A randomizált, kettős vak, </w:t>
      </w:r>
      <w:r w:rsidR="004A3578" w:rsidRPr="00FC51A2">
        <w:rPr>
          <w:color w:val="000000"/>
          <w:sz w:val="22"/>
        </w:rPr>
        <w:t>III.</w:t>
      </w:r>
      <w:r w:rsidRPr="00FC51A2">
        <w:rPr>
          <w:color w:val="000000"/>
          <w:sz w:val="22"/>
        </w:rPr>
        <w:t xml:space="preserve"> fázisú</w:t>
      </w:r>
      <w:r w:rsidR="00147E6F">
        <w:rPr>
          <w:color w:val="000000"/>
          <w:sz w:val="22"/>
        </w:rPr>
        <w:t>,</w:t>
      </w:r>
      <w:r w:rsidRPr="00FC51A2">
        <w:rPr>
          <w:color w:val="000000"/>
          <w:sz w:val="22"/>
        </w:rPr>
        <w:t xml:space="preserve"> kulcsfontosságú FLORENCE (FLO-01) vizsgálatban,</w:t>
      </w:r>
      <w:r w:rsidR="00147E6F">
        <w:rPr>
          <w:color w:val="000000"/>
          <w:sz w:val="22"/>
        </w:rPr>
        <w:t xml:space="preserve"> – </w:t>
      </w:r>
      <w:r w:rsidRPr="00FC51A2">
        <w:rPr>
          <w:color w:val="000000"/>
          <w:sz w:val="22"/>
        </w:rPr>
        <w:t>amely a febuxosztátot allopurinollal hasonlította össze</w:t>
      </w:r>
      <w:r w:rsidR="00147E6F">
        <w:rPr>
          <w:color w:val="000000"/>
          <w:sz w:val="22"/>
        </w:rPr>
        <w:t xml:space="preserve"> </w:t>
      </w:r>
      <w:r w:rsidRPr="00FC51A2">
        <w:rPr>
          <w:color w:val="000000"/>
          <w:sz w:val="22"/>
        </w:rPr>
        <w:t>346, rosszindulatú vérképzőszervi megbetegedés miatt kemoterápiás kezelés alatt álló olyan betegnél, akiknél a TLS kockázata közepes</w:t>
      </w:r>
      <w:r w:rsidR="00FE350D" w:rsidRPr="00FC51A2">
        <w:rPr>
          <w:color w:val="000000"/>
          <w:sz w:val="22"/>
        </w:rPr>
        <w:t xml:space="preserve"> vagy </w:t>
      </w:r>
      <w:r w:rsidRPr="00FC51A2">
        <w:rPr>
          <w:color w:val="000000"/>
          <w:sz w:val="22"/>
        </w:rPr>
        <w:t>magas</w:t>
      </w:r>
      <w:r w:rsidR="00147E6F">
        <w:rPr>
          <w:color w:val="000000"/>
          <w:sz w:val="22"/>
        </w:rPr>
        <w:t xml:space="preserve"> –</w:t>
      </w:r>
      <w:r w:rsidRPr="00FC51A2">
        <w:rPr>
          <w:color w:val="000000"/>
          <w:sz w:val="22"/>
        </w:rPr>
        <w:t>, összesen csak 22 betegnél (6,4%) jelentkeztek mellékhatások, mégpedig mindkét kezelési csoportban egyenként 11 (6,4%) betegnél. A mellékhatások többsége enyhe vagy mérsékelt volt.</w:t>
      </w:r>
    </w:p>
    <w:p w14:paraId="1AEF4BC2" w14:textId="77777777" w:rsidR="00B3283F" w:rsidRPr="00FC51A2" w:rsidRDefault="00B3283F" w:rsidP="00A17448">
      <w:pPr>
        <w:rPr>
          <w:color w:val="000000"/>
          <w:sz w:val="22"/>
        </w:rPr>
      </w:pPr>
      <w:r w:rsidRPr="00FC51A2">
        <w:rPr>
          <w:color w:val="000000"/>
          <w:sz w:val="22"/>
        </w:rPr>
        <w:t>Összességében a FLORENCE vizsgálat nem világított rá semmilyen különleges biztonsági aggályra a febuxosztát köszvényre való alkalmazásával kapcsolatos korábbi tapasztalatokon felül, a következő három mellékhatáson kívül (a fenti 1. táblázatban vannak felsorolva).</w:t>
      </w:r>
    </w:p>
    <w:p w14:paraId="693A23BF" w14:textId="77777777" w:rsidR="00B3283F" w:rsidRPr="00FC51A2" w:rsidRDefault="00B3283F" w:rsidP="00A17448">
      <w:pPr>
        <w:rPr>
          <w:color w:val="000000"/>
          <w:sz w:val="22"/>
        </w:rPr>
      </w:pPr>
    </w:p>
    <w:p w14:paraId="767A4128" w14:textId="77777777" w:rsidR="00147E6F" w:rsidRPr="00D46831" w:rsidRDefault="00147E6F" w:rsidP="00147E6F">
      <w:pPr>
        <w:shd w:val="clear" w:color="auto" w:fill="FFFFFF"/>
        <w:rPr>
          <w:color w:val="000000"/>
          <w:sz w:val="22"/>
          <w:szCs w:val="22"/>
        </w:rPr>
      </w:pPr>
      <w:r w:rsidRPr="00D46831">
        <w:rPr>
          <w:color w:val="000000"/>
          <w:sz w:val="22"/>
          <w:szCs w:val="22"/>
        </w:rPr>
        <w:t>Szívbetegségek</w:t>
      </w:r>
      <w:r>
        <w:rPr>
          <w:color w:val="000000"/>
          <w:sz w:val="22"/>
          <w:szCs w:val="22"/>
        </w:rPr>
        <w:t xml:space="preserve"> és a szívvel kapcsolatos tünetek</w:t>
      </w:r>
      <w:r w:rsidRPr="00D46831">
        <w:rPr>
          <w:color w:val="000000"/>
          <w:sz w:val="22"/>
          <w:szCs w:val="22"/>
        </w:rPr>
        <w:t>:</w:t>
      </w:r>
    </w:p>
    <w:p w14:paraId="4B229584" w14:textId="77777777" w:rsidR="00B3283F" w:rsidRPr="00435A31" w:rsidRDefault="00B3283F" w:rsidP="00A17448">
      <w:pPr>
        <w:rPr>
          <w:color w:val="000000"/>
          <w:sz w:val="22"/>
          <w:lang w:val="pt-BR"/>
        </w:rPr>
      </w:pPr>
      <w:r w:rsidRPr="00435A31">
        <w:rPr>
          <w:color w:val="000000"/>
          <w:sz w:val="22"/>
          <w:lang w:val="pt-BR"/>
        </w:rPr>
        <w:t xml:space="preserve">Nem gyakori: </w:t>
      </w:r>
      <w:r w:rsidR="00917502" w:rsidRPr="00435A31">
        <w:rPr>
          <w:color w:val="000000"/>
          <w:sz w:val="22"/>
          <w:lang w:val="pt-BR"/>
        </w:rPr>
        <w:t>b</w:t>
      </w:r>
      <w:r w:rsidRPr="00435A31">
        <w:rPr>
          <w:color w:val="000000"/>
          <w:sz w:val="22"/>
          <w:lang w:val="pt-BR"/>
        </w:rPr>
        <w:t>al Tawara-szár</w:t>
      </w:r>
      <w:r w:rsidR="007059C7" w:rsidRPr="00435A31">
        <w:rPr>
          <w:color w:val="000000"/>
          <w:sz w:val="22"/>
          <w:lang w:val="pt-BR"/>
        </w:rPr>
        <w:t>-</w:t>
      </w:r>
      <w:r w:rsidRPr="00435A31">
        <w:rPr>
          <w:color w:val="000000"/>
          <w:sz w:val="22"/>
          <w:lang w:val="pt-BR"/>
        </w:rPr>
        <w:t>blokk, sinus tachycardia</w:t>
      </w:r>
    </w:p>
    <w:p w14:paraId="08CEB7B5" w14:textId="77777777" w:rsidR="00147E6F" w:rsidRPr="00435A31" w:rsidRDefault="00147E6F" w:rsidP="00A17448">
      <w:pPr>
        <w:rPr>
          <w:color w:val="000000"/>
          <w:sz w:val="22"/>
          <w:lang w:val="pt-BR"/>
        </w:rPr>
      </w:pPr>
    </w:p>
    <w:p w14:paraId="7D6A4A8E" w14:textId="77777777" w:rsidR="00B3283F" w:rsidRPr="00435A31" w:rsidRDefault="00B3283F" w:rsidP="00A17448">
      <w:pPr>
        <w:rPr>
          <w:color w:val="000000"/>
          <w:sz w:val="22"/>
          <w:lang w:val="pt-BR"/>
        </w:rPr>
      </w:pPr>
      <w:r w:rsidRPr="00435A31">
        <w:rPr>
          <w:color w:val="000000"/>
          <w:sz w:val="22"/>
          <w:lang w:val="pt-BR"/>
        </w:rPr>
        <w:t>Érbetegségek</w:t>
      </w:r>
      <w:r w:rsidR="00147E6F" w:rsidRPr="00435A31">
        <w:rPr>
          <w:color w:val="000000"/>
          <w:sz w:val="22"/>
          <w:lang w:val="pt-BR"/>
        </w:rPr>
        <w:t xml:space="preserve"> és tünetek</w:t>
      </w:r>
      <w:r w:rsidRPr="00435A31">
        <w:rPr>
          <w:color w:val="000000"/>
          <w:sz w:val="22"/>
          <w:lang w:val="pt-BR"/>
        </w:rPr>
        <w:t xml:space="preserve">: </w:t>
      </w:r>
    </w:p>
    <w:p w14:paraId="71BB2571" w14:textId="77777777" w:rsidR="00B3283F" w:rsidRPr="00435A31" w:rsidRDefault="00B3283F" w:rsidP="00A17448">
      <w:pPr>
        <w:rPr>
          <w:sz w:val="22"/>
          <w:lang w:val="pt-BR"/>
        </w:rPr>
      </w:pPr>
      <w:r w:rsidRPr="00435A31">
        <w:rPr>
          <w:color w:val="000000"/>
          <w:sz w:val="22"/>
          <w:lang w:val="pt-BR"/>
        </w:rPr>
        <w:t>Nem gyakori: vérzés (haemorrhagia)</w:t>
      </w:r>
    </w:p>
    <w:p w14:paraId="339843A2" w14:textId="77777777" w:rsidR="004A7CA2" w:rsidRPr="00FC51A2" w:rsidRDefault="004A7CA2" w:rsidP="00A17448">
      <w:pPr>
        <w:widowControl w:val="0"/>
        <w:ind w:right="-4"/>
        <w:rPr>
          <w:sz w:val="22"/>
          <w:lang w:val="hu-HU"/>
        </w:rPr>
      </w:pPr>
    </w:p>
    <w:p w14:paraId="736760C2" w14:textId="77777777" w:rsidR="00B3283F" w:rsidRPr="00FC51A2" w:rsidRDefault="00B3283F" w:rsidP="00A17448">
      <w:pPr>
        <w:widowControl w:val="0"/>
        <w:ind w:right="-4"/>
        <w:rPr>
          <w:sz w:val="22"/>
          <w:u w:val="single"/>
          <w:lang w:val="hu-HU"/>
        </w:rPr>
      </w:pPr>
      <w:r w:rsidRPr="00FC51A2">
        <w:rPr>
          <w:sz w:val="22"/>
          <w:u w:val="single"/>
          <w:lang w:val="hu-HU"/>
        </w:rPr>
        <w:t xml:space="preserve">Feltételezett mellékhatások bejelentése </w:t>
      </w:r>
    </w:p>
    <w:p w14:paraId="5FF7FA8B" w14:textId="30DC6C3A" w:rsidR="00B3283F" w:rsidRPr="00FC51A2" w:rsidRDefault="00B3283F" w:rsidP="00A17448">
      <w:pPr>
        <w:widowControl w:val="0"/>
        <w:ind w:right="-4"/>
        <w:rPr>
          <w:sz w:val="22"/>
          <w:szCs w:val="22"/>
          <w:lang w:val="hu-HU"/>
        </w:rPr>
      </w:pPr>
      <w:r w:rsidRPr="00FC51A2">
        <w:rPr>
          <w:sz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</w:t>
      </w:r>
      <w:r w:rsidRPr="00FC51A2">
        <w:rPr>
          <w:sz w:val="22"/>
          <w:szCs w:val="22"/>
          <w:lang w:val="hu-HU"/>
        </w:rPr>
        <w:t xml:space="preserve">hatóság részére </w:t>
      </w:r>
      <w:r w:rsidRPr="00A17448">
        <w:rPr>
          <w:sz w:val="22"/>
          <w:szCs w:val="22"/>
          <w:lang w:val="hu-HU"/>
        </w:rPr>
        <w:t xml:space="preserve">az </w:t>
      </w:r>
      <w:hyperlink r:id="rId8" w:history="1">
        <w:r w:rsidR="00826A86" w:rsidRPr="00826A86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</w:t>
        </w:r>
        <w:bookmarkStart w:id="12" w:name="_Hlt352075914"/>
        <w:bookmarkStart w:id="13" w:name="_Hlt352075915"/>
        <w:r w:rsidR="00826A86" w:rsidRPr="00826A86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g</w:t>
        </w:r>
        <w:bookmarkEnd w:id="12"/>
        <w:bookmarkEnd w:id="13"/>
        <w:r w:rsidR="00826A86" w:rsidRPr="00826A86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elékben</w:t>
        </w:r>
      </w:hyperlink>
      <w:r w:rsidR="00826A86" w:rsidRPr="00826A86">
        <w:rPr>
          <w:rFonts w:eastAsia="SimSun"/>
          <w:snapToGrid w:val="0"/>
          <w:sz w:val="22"/>
          <w:szCs w:val="20"/>
          <w:highlight w:val="lightGray"/>
          <w:lang w:val="hu-HU" w:eastAsia="zh-CN"/>
        </w:rPr>
        <w:t xml:space="preserve"> található elérhetőségek valamelyikén keresztül</w:t>
      </w:r>
      <w:r w:rsidRPr="00A17448">
        <w:rPr>
          <w:sz w:val="22"/>
          <w:szCs w:val="22"/>
          <w:lang w:val="hu-HU"/>
        </w:rPr>
        <w:t>.</w:t>
      </w:r>
    </w:p>
    <w:p w14:paraId="4753A14E" w14:textId="77777777" w:rsidR="00B3283F" w:rsidRPr="00FC51A2" w:rsidRDefault="00B3283F" w:rsidP="00A17448">
      <w:pPr>
        <w:widowControl w:val="0"/>
        <w:shd w:val="clear" w:color="auto" w:fill="FFFFFF" w:themeFill="background1"/>
        <w:ind w:right="-4"/>
        <w:rPr>
          <w:bCs/>
          <w:iCs/>
          <w:sz w:val="22"/>
          <w:szCs w:val="22"/>
          <w:lang w:val="hu-HU"/>
        </w:rPr>
      </w:pPr>
    </w:p>
    <w:p w14:paraId="6E5FFC02" w14:textId="77777777" w:rsidR="00B3283F" w:rsidRPr="00074E44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  <w:r w:rsidRPr="00074E44">
        <w:rPr>
          <w:b/>
          <w:sz w:val="22"/>
          <w:szCs w:val="22"/>
          <w:lang w:val="hu-HU"/>
        </w:rPr>
        <w:t>4.9</w:t>
      </w:r>
      <w:r w:rsidRPr="00074E44">
        <w:rPr>
          <w:b/>
          <w:sz w:val="22"/>
          <w:szCs w:val="22"/>
          <w:lang w:val="hu-HU"/>
        </w:rPr>
        <w:tab/>
      </w:r>
      <w:r w:rsidRPr="00074E44">
        <w:rPr>
          <w:b/>
          <w:sz w:val="22"/>
          <w:lang w:val="hu-HU"/>
        </w:rPr>
        <w:t>Túladagolás</w:t>
      </w:r>
    </w:p>
    <w:p w14:paraId="7353CE49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11DC69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>T</w:t>
      </w:r>
      <w:r w:rsidRPr="00FC51A2">
        <w:rPr>
          <w:sz w:val="22"/>
          <w:lang w:val="en"/>
        </w:rPr>
        <w:t>ύ</w:t>
      </w:r>
      <w:r w:rsidRPr="00074E44">
        <w:rPr>
          <w:sz w:val="22"/>
          <w:lang w:val="hu-HU"/>
        </w:rPr>
        <w:t>ladagolas eset</w:t>
      </w:r>
      <w:r w:rsidR="00A97861" w:rsidRPr="00074E44">
        <w:rPr>
          <w:sz w:val="22"/>
          <w:lang w:val="hu-HU"/>
        </w:rPr>
        <w:t>é</w:t>
      </w:r>
      <w:r w:rsidRPr="00074E44">
        <w:rPr>
          <w:sz w:val="22"/>
          <w:lang w:val="hu-HU"/>
        </w:rPr>
        <w:t>n t</w:t>
      </w:r>
      <w:r w:rsidR="00A97861" w:rsidRPr="00074E44">
        <w:rPr>
          <w:sz w:val="22"/>
          <w:lang w:val="hu-HU"/>
        </w:rPr>
        <w:t>ü</w:t>
      </w:r>
      <w:r w:rsidRPr="00074E44">
        <w:rPr>
          <w:sz w:val="22"/>
          <w:lang w:val="hu-HU"/>
        </w:rPr>
        <w:t xml:space="preserve">neti </w:t>
      </w:r>
      <w:r w:rsidR="007059C7" w:rsidRPr="00074E44">
        <w:rPr>
          <w:sz w:val="22"/>
          <w:lang w:val="hu-HU"/>
        </w:rPr>
        <w:t>é</w:t>
      </w:r>
      <w:r w:rsidRPr="00074E44">
        <w:rPr>
          <w:sz w:val="22"/>
          <w:lang w:val="hu-HU"/>
        </w:rPr>
        <w:t>s szupport</w:t>
      </w:r>
      <w:r w:rsidR="00A97861" w:rsidRPr="00074E44">
        <w:rPr>
          <w:sz w:val="22"/>
          <w:lang w:val="hu-HU"/>
        </w:rPr>
        <w:t>í</w:t>
      </w:r>
      <w:r w:rsidRPr="00074E44">
        <w:rPr>
          <w:sz w:val="22"/>
          <w:lang w:val="hu-HU"/>
        </w:rPr>
        <w:t>v ell</w:t>
      </w:r>
      <w:r w:rsidR="00A97861" w:rsidRPr="00074E44">
        <w:rPr>
          <w:sz w:val="22"/>
          <w:lang w:val="hu-HU"/>
        </w:rPr>
        <w:t>á</w:t>
      </w:r>
      <w:r w:rsidRPr="00074E44">
        <w:rPr>
          <w:sz w:val="22"/>
          <w:lang w:val="hu-HU"/>
        </w:rPr>
        <w:t>t</w:t>
      </w:r>
      <w:r w:rsidR="00A97861" w:rsidRPr="00074E44">
        <w:rPr>
          <w:sz w:val="22"/>
          <w:lang w:val="hu-HU"/>
        </w:rPr>
        <w:t>á</w:t>
      </w:r>
      <w:r w:rsidRPr="00074E44">
        <w:rPr>
          <w:sz w:val="22"/>
          <w:lang w:val="hu-HU"/>
        </w:rPr>
        <w:t>st kell alkalmazni.</w:t>
      </w:r>
    </w:p>
    <w:p w14:paraId="1E57B937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669354B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D2E4E92" w14:textId="77777777" w:rsidR="00B3283F" w:rsidRPr="00074E44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14" w:name="_Toc441573743"/>
      <w:r w:rsidRPr="00074E44">
        <w:rPr>
          <w:b/>
          <w:kern w:val="28"/>
          <w:sz w:val="22"/>
          <w:szCs w:val="22"/>
          <w:lang w:val="hu-HU"/>
        </w:rPr>
        <w:t>5.</w:t>
      </w:r>
      <w:r w:rsidRPr="00074E44">
        <w:rPr>
          <w:b/>
          <w:kern w:val="28"/>
          <w:sz w:val="22"/>
          <w:szCs w:val="22"/>
          <w:lang w:val="hu-HU"/>
        </w:rPr>
        <w:tab/>
      </w:r>
      <w:bookmarkEnd w:id="14"/>
      <w:r w:rsidRPr="00074E44">
        <w:rPr>
          <w:b/>
          <w:kern w:val="28"/>
          <w:sz w:val="22"/>
          <w:lang w:val="hu-HU"/>
        </w:rPr>
        <w:t>FARMAKOLÓGIAI TULAJDONSÁGOK</w:t>
      </w:r>
    </w:p>
    <w:p w14:paraId="64890616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7BB6C08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5" w:name="_Toc441573744"/>
      <w:r w:rsidRPr="00074E44">
        <w:rPr>
          <w:b/>
          <w:sz w:val="22"/>
          <w:lang w:val="hu-HU"/>
        </w:rPr>
        <w:t>5.1</w:t>
      </w:r>
      <w:r w:rsidRPr="00074E44">
        <w:rPr>
          <w:b/>
          <w:sz w:val="22"/>
          <w:szCs w:val="22"/>
          <w:lang w:val="hu-HU"/>
        </w:rPr>
        <w:tab/>
      </w:r>
      <w:bookmarkEnd w:id="15"/>
      <w:r w:rsidRPr="00074E44">
        <w:rPr>
          <w:b/>
          <w:sz w:val="22"/>
          <w:lang w:val="hu-HU"/>
        </w:rPr>
        <w:t>Farmakodinámiás tulajdonságok</w:t>
      </w:r>
    </w:p>
    <w:p w14:paraId="6C2C5A47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7C903AD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lang w:val="hu-HU"/>
        </w:rPr>
        <w:t>Farmakoterápiás csoport: Köszvény elleni készítmények, húgysavképződést gátló készítmények, ATC kód: M04AA03</w:t>
      </w:r>
    </w:p>
    <w:p w14:paraId="442F5833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757789D" w14:textId="77777777" w:rsidR="00B3283F" w:rsidRPr="00435A31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435A31">
        <w:rPr>
          <w:sz w:val="22"/>
          <w:u w:val="single"/>
          <w:lang w:val="hu-HU"/>
        </w:rPr>
        <w:t>Hatásmechanizmus</w:t>
      </w:r>
      <w:r w:rsidRPr="00435A31">
        <w:rPr>
          <w:sz w:val="22"/>
          <w:szCs w:val="22"/>
          <w:u w:val="single"/>
          <w:lang w:val="hu-HU"/>
        </w:rPr>
        <w:t xml:space="preserve"> </w:t>
      </w:r>
    </w:p>
    <w:p w14:paraId="21BB01F1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</w:p>
    <w:p w14:paraId="1E464B6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húgysav emberben a purinanyagcsere végterméke, keletkezésének lépései: hypoxantin → xantin → húgysav. Ezen átalakulás mindkét lépését a xantin</w:t>
      </w:r>
      <w:r w:rsidR="00BE5945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>oxidáz (XO) enzim katalizálja. A febuxosztát 2-aril-tiazol származék, mely terápiás hatását, vagyis a szérumhúgysavszint csökkentését a</w:t>
      </w:r>
      <w:r w:rsidR="00A97861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 xml:space="preserve"> XO szelektív gátlásával fejti ki. A febuxosztát a</w:t>
      </w:r>
      <w:r w:rsidR="00A97861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 xml:space="preserve"> XO erős hatású, nem purinszelektív gátlószere (NP-SIXO); </w:t>
      </w:r>
      <w:r w:rsidR="00A6234F" w:rsidRPr="00435A31">
        <w:rPr>
          <w:i/>
          <w:sz w:val="22"/>
          <w:lang w:val="hu-HU"/>
        </w:rPr>
        <w:t>in vitro</w:t>
      </w:r>
      <w:r w:rsidRPr="00435A31">
        <w:rPr>
          <w:sz w:val="22"/>
          <w:lang w:val="hu-HU"/>
        </w:rPr>
        <w:t xml:space="preserve"> gátló hatásának Ki </w:t>
      </w:r>
      <w:r w:rsidR="00A97861" w:rsidRPr="00435A31">
        <w:rPr>
          <w:sz w:val="22"/>
          <w:lang w:val="hu-HU"/>
        </w:rPr>
        <w:t xml:space="preserve">(gátlási konstans) </w:t>
      </w:r>
      <w:r w:rsidRPr="00435A31">
        <w:rPr>
          <w:sz w:val="22"/>
          <w:lang w:val="hu-HU"/>
        </w:rPr>
        <w:t>értéke kevesebb, mint egy nanomol. A febuxosztát bizonyítottan erőteljesen gátolja a</w:t>
      </w:r>
      <w:r w:rsidR="00A97861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 xml:space="preserve"> XO oxidált és redukált formáját is. Terápiás koncentrációban a febuxosztát nem gátol más, a purin- vagy pirimidinanyagcserében közreműködő enzimeket, nevezetesen a guanin-dezaminázt, a hipoxantin-guanin-foszforibozil-transzferázt, az orotát-foszforibozil-transzferázt, az orotidin-monofoszfát-dekarboxilázt vagy a purinnukleozid-foszforilázt.</w:t>
      </w:r>
    </w:p>
    <w:p w14:paraId="09C7618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0F50083" w14:textId="77777777" w:rsidR="00B3283F" w:rsidRPr="00435A31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r w:rsidRPr="00435A31">
        <w:rPr>
          <w:sz w:val="22"/>
          <w:u w:val="single"/>
          <w:lang w:val="hu-HU"/>
        </w:rPr>
        <w:t>Klinikai hatásosság és biztonságosság</w:t>
      </w:r>
    </w:p>
    <w:p w14:paraId="12216939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szCs w:val="22"/>
          <w:u w:val="single"/>
          <w:lang w:val="hu-HU"/>
        </w:rPr>
      </w:pPr>
    </w:p>
    <w:p w14:paraId="26CE7C10" w14:textId="77777777" w:rsidR="004179AF" w:rsidRPr="00435A31" w:rsidRDefault="00B3283F" w:rsidP="00A17448">
      <w:pPr>
        <w:shd w:val="clear" w:color="auto" w:fill="FFFFFF" w:themeFill="background1"/>
        <w:rPr>
          <w:i/>
          <w:sz w:val="22"/>
          <w:u w:val="single"/>
          <w:lang w:val="hu-HU"/>
        </w:rPr>
      </w:pPr>
      <w:r w:rsidRPr="00435A31">
        <w:rPr>
          <w:i/>
          <w:sz w:val="22"/>
          <w:u w:val="single"/>
          <w:lang w:val="hu-HU"/>
        </w:rPr>
        <w:t>Köszvény</w:t>
      </w:r>
      <w:r w:rsidR="004179AF" w:rsidRPr="00435A31">
        <w:rPr>
          <w:i/>
          <w:sz w:val="22"/>
          <w:u w:val="single"/>
          <w:lang w:val="hu-HU"/>
        </w:rPr>
        <w:t xml:space="preserve"> </w:t>
      </w:r>
    </w:p>
    <w:p w14:paraId="5A7A28CF" w14:textId="77777777" w:rsidR="004179AF" w:rsidRPr="00435A31" w:rsidRDefault="004179AF" w:rsidP="00A17448">
      <w:pPr>
        <w:rPr>
          <w:sz w:val="22"/>
          <w:szCs w:val="22"/>
          <w:lang w:val="hu-HU"/>
        </w:rPr>
      </w:pPr>
    </w:p>
    <w:p w14:paraId="1B7C737B" w14:textId="77777777" w:rsidR="00B3283F" w:rsidRPr="00435A31" w:rsidRDefault="00B3283F" w:rsidP="00A17448">
      <w:pPr>
        <w:rPr>
          <w:i/>
          <w:sz w:val="22"/>
          <w:szCs w:val="22"/>
          <w:u w:val="single"/>
          <w:lang w:val="hu-HU"/>
        </w:rPr>
      </w:pPr>
      <w:r w:rsidRPr="00435A31">
        <w:rPr>
          <w:sz w:val="22"/>
          <w:szCs w:val="22"/>
          <w:lang w:val="hu-HU"/>
        </w:rPr>
        <w:t>A</w:t>
      </w:r>
      <w:r w:rsidRPr="00435A31">
        <w:rPr>
          <w:sz w:val="22"/>
          <w:lang w:val="hu-HU"/>
        </w:rPr>
        <w:t xml:space="preserve"> febuxosztát hat</w:t>
      </w:r>
      <w:r w:rsidR="009D6CAC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 xml:space="preserve">ságát három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 </w:t>
      </w:r>
      <w:r w:rsidR="00921532" w:rsidRPr="00435A31">
        <w:rPr>
          <w:sz w:val="22"/>
          <w:lang w:val="hu-HU"/>
        </w:rPr>
        <w:t xml:space="preserve">kulcsfontosságú </w:t>
      </w:r>
      <w:r w:rsidRPr="00435A31">
        <w:rPr>
          <w:sz w:val="22"/>
          <w:lang w:val="hu-HU"/>
        </w:rPr>
        <w:t>vizsgálat (a következőkben ismertetett APEX és FACT vizsgálat, valamint egy további, a CONFIRMS vizsgálat) bizonyította 4101 hyperuri</w:t>
      </w:r>
      <w:r w:rsidR="007059C7" w:rsidRPr="00435A31">
        <w:rPr>
          <w:sz w:val="22"/>
          <w:lang w:val="hu-HU"/>
        </w:rPr>
        <w:t>c</w:t>
      </w:r>
      <w:r w:rsidRPr="00435A31">
        <w:rPr>
          <w:sz w:val="22"/>
          <w:lang w:val="hu-HU"/>
        </w:rPr>
        <w:t xml:space="preserve">aemiás és köszvényes betegen. Mindegyik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 </w:t>
      </w:r>
      <w:r w:rsidR="005752DC" w:rsidRPr="00435A31">
        <w:rPr>
          <w:sz w:val="22"/>
          <w:lang w:val="hu-HU"/>
        </w:rPr>
        <w:t>kulcsfontosságú</w:t>
      </w:r>
      <w:r w:rsidRPr="00435A31">
        <w:rPr>
          <w:sz w:val="22"/>
          <w:lang w:val="hu-HU"/>
        </w:rPr>
        <w:t xml:space="preserve"> vizsgálatban felülmúlta </w:t>
      </w:r>
      <w:r w:rsidR="00C508D5" w:rsidRPr="00435A31">
        <w:rPr>
          <w:sz w:val="22"/>
          <w:szCs w:val="22"/>
          <w:lang w:val="hu-HU"/>
        </w:rPr>
        <w:t>a</w:t>
      </w:r>
      <w:r w:rsidRPr="00435A31">
        <w:rPr>
          <w:sz w:val="22"/>
          <w:szCs w:val="22"/>
          <w:lang w:val="hu-HU"/>
        </w:rPr>
        <w:t xml:space="preserve"> febuxosztát</w:t>
      </w:r>
      <w:r w:rsidRPr="00435A31">
        <w:rPr>
          <w:sz w:val="22"/>
          <w:lang w:val="hu-HU"/>
        </w:rPr>
        <w:t xml:space="preserve"> az allopurinolt a szérumhúgysavszint csökkentése és szintentartása tekintetében. Az elsődleges hat</w:t>
      </w:r>
      <w:r w:rsidR="00A131EC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>sági végpontot az APEX és a FACT vizsgálatokban azoknak a betegeknek az aránya jelentette, akiknek az utolsó 3 havi szér</w:t>
      </w:r>
      <w:r w:rsidR="00012F9A" w:rsidRPr="00435A31">
        <w:rPr>
          <w:sz w:val="22"/>
          <w:lang w:val="hu-HU"/>
        </w:rPr>
        <w:t>umhúgysavszintje &lt;6.</w:t>
      </w:r>
      <w:r w:rsidRPr="00435A31">
        <w:rPr>
          <w:sz w:val="22"/>
          <w:lang w:val="hu-HU"/>
        </w:rPr>
        <w:t xml:space="preserve">0 mg/dl (357 </w:t>
      </w:r>
      <w:r w:rsidRPr="00FC51A2">
        <w:rPr>
          <w:sz w:val="22"/>
          <w:szCs w:val="22"/>
        </w:rPr>
        <w:t>μ</w:t>
      </w:r>
      <w:r w:rsidRPr="00435A31">
        <w:rPr>
          <w:sz w:val="22"/>
          <w:lang w:val="hu-HU"/>
        </w:rPr>
        <w:t xml:space="preserve">mol/l) volt. A CONFIRMS elnevezésű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 xml:space="preserve"> kiegészítő vizsgálatban, melynek eredményei csak azt követően váltak hozzáférhetővé, hogy </w:t>
      </w:r>
      <w:r w:rsidRPr="00435A31">
        <w:rPr>
          <w:sz w:val="22"/>
          <w:szCs w:val="22"/>
          <w:lang w:val="hu-HU"/>
        </w:rPr>
        <w:t>a febuxosztát</w:t>
      </w:r>
      <w:r w:rsidRPr="00435A31">
        <w:rPr>
          <w:sz w:val="22"/>
          <w:lang w:val="hu-HU"/>
        </w:rPr>
        <w:t xml:space="preserve"> </w:t>
      </w:r>
      <w:r w:rsidR="00C508D5" w:rsidRPr="00435A31">
        <w:rPr>
          <w:sz w:val="22"/>
          <w:lang w:val="hu-HU"/>
        </w:rPr>
        <w:t xml:space="preserve">hatóanyagú készítémény </w:t>
      </w:r>
      <w:r w:rsidRPr="00435A31">
        <w:rPr>
          <w:sz w:val="22"/>
          <w:lang w:val="hu-HU"/>
        </w:rPr>
        <w:t>forgalomba hozatali engedélyét első ízben kiadták, az elsődleges hatásossági végpont azon betegek aránya volt, akiknek szérumhúgysavszi</w:t>
      </w:r>
      <w:r w:rsidR="00012F9A" w:rsidRPr="00435A31">
        <w:rPr>
          <w:sz w:val="22"/>
          <w:lang w:val="hu-HU"/>
        </w:rPr>
        <w:t>ntje az utolsó vizsgálatkor &lt;6.</w:t>
      </w:r>
      <w:r w:rsidRPr="00435A31">
        <w:rPr>
          <w:sz w:val="22"/>
          <w:lang w:val="hu-HU"/>
        </w:rPr>
        <w:t>0 mg/dl volt. Szervátültetésen átesett betegeket nem vontak be ezekbe a vizsgálatokba (lásd 4.2 pont).</w:t>
      </w:r>
    </w:p>
    <w:p w14:paraId="1066E6D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56B27F9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APEX</w:t>
      </w:r>
      <w:r w:rsidR="007475C5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>vizsgálat:</w:t>
      </w:r>
      <w:r w:rsidRPr="00435A31">
        <w:rPr>
          <w:sz w:val="22"/>
          <w:lang w:val="hu-HU"/>
        </w:rPr>
        <w:t xml:space="preserve"> Az „Allopurinol and Placebo-Controlled Efficacy Study of Febuxostat” (APEX) egy </w:t>
      </w:r>
      <w:r w:rsidR="004A3578" w:rsidRPr="00435A31">
        <w:rPr>
          <w:sz w:val="22"/>
          <w:lang w:val="hu-HU"/>
        </w:rPr>
        <w:t>III.</w:t>
      </w:r>
      <w:r w:rsidR="007D5401" w:rsidRPr="00435A31">
        <w:rPr>
          <w:sz w:val="22"/>
          <w:lang w:val="hu-HU"/>
        </w:rPr>
        <w:t xml:space="preserve"> fázisú</w:t>
      </w:r>
      <w:r w:rsidRPr="00435A31">
        <w:rPr>
          <w:sz w:val="22"/>
          <w:lang w:val="hu-HU"/>
        </w:rPr>
        <w:t>, randomizált, kettős</w:t>
      </w:r>
      <w:r w:rsidR="00D044E1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vak, multicentrikus, 28-hetes vizsgálat volt. 1072 beteget </w:t>
      </w:r>
      <w:r w:rsidR="00C508D5" w:rsidRPr="00435A31">
        <w:rPr>
          <w:sz w:val="22"/>
          <w:lang w:val="hu-HU"/>
        </w:rPr>
        <w:t>soroltak be</w:t>
      </w:r>
      <w:r w:rsidRPr="00435A31">
        <w:rPr>
          <w:sz w:val="22"/>
          <w:lang w:val="hu-HU"/>
        </w:rPr>
        <w:t xml:space="preserve">: placebót (n=134), napi egyszeri 80 mg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ot (n=267), napi egyszeri 120 mg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ot (n=269), napi egyszeri 240 mg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ot (n=134) vagy allopurinolt (napi egyszeri 300 mg-ot) kaptak azok a betegek [n=258], akiknél a kiindulási szérumkreatinin ≤1,5 mg/dl illetve napi egyszeri 100 mg-ot kaptak azok a betegek [n=10], akiknél a kiindulási szérumkreatinin &gt;1,5 mg/dl és ≤2,0 mg/dl) </w:t>
      </w:r>
      <w:r w:rsidR="00B633D3" w:rsidRPr="00435A31">
        <w:rPr>
          <w:sz w:val="22"/>
          <w:lang w:val="hu-HU"/>
        </w:rPr>
        <w:t>volt.</w:t>
      </w:r>
      <w:r w:rsidRPr="00435A31">
        <w:rPr>
          <w:sz w:val="22"/>
          <w:lang w:val="hu-HU"/>
        </w:rPr>
        <w:t xml:space="preserve"> A biztonságos adag kiértékelésére 240 mg febuxosztátot (vagyis a javasolt maximális adag kétszeres</w:t>
      </w:r>
      <w:r w:rsidR="00B633D3" w:rsidRPr="00435A31">
        <w:rPr>
          <w:sz w:val="22"/>
          <w:lang w:val="hu-HU"/>
        </w:rPr>
        <w:t>ét</w:t>
      </w:r>
      <w:r w:rsidRPr="00435A31">
        <w:rPr>
          <w:sz w:val="22"/>
          <w:lang w:val="hu-HU"/>
        </w:rPr>
        <w:t>) alkalmaztak.</w:t>
      </w:r>
    </w:p>
    <w:p w14:paraId="18D51075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0E51B1E" w14:textId="77777777" w:rsidR="00B3283F" w:rsidRPr="00435A31" w:rsidRDefault="00B3283F" w:rsidP="00A17448">
      <w:pPr>
        <w:shd w:val="clear" w:color="auto" w:fill="FFFFFF" w:themeFill="background1"/>
        <w:rPr>
          <w:rFonts w:eastAsia="Courier New"/>
          <w:sz w:val="22"/>
          <w:lang w:val="hu-HU"/>
        </w:rPr>
      </w:pPr>
      <w:r w:rsidRPr="00435A31">
        <w:rPr>
          <w:sz w:val="22"/>
          <w:lang w:val="hu-HU"/>
        </w:rPr>
        <w:t>Az APEX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 </w:t>
      </w:r>
      <w:r w:rsidR="00B633D3" w:rsidRPr="00435A31">
        <w:rPr>
          <w:sz w:val="22"/>
          <w:lang w:val="hu-HU"/>
        </w:rPr>
        <w:t>kimutatta</w:t>
      </w:r>
      <w:r w:rsidRPr="00435A31">
        <w:rPr>
          <w:sz w:val="22"/>
          <w:lang w:val="hu-HU"/>
        </w:rPr>
        <w:t xml:space="preserve">, hogy a napi egyszeri 80 mg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 és a napi egyszeri 120 mg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 statisztikailag szignifikánsan felülmúlja az allopurinol hagyományos, 300 mg-os (n=258)</w:t>
      </w:r>
      <w:r w:rsidR="00B633D3" w:rsidRPr="00435A31">
        <w:rPr>
          <w:sz w:val="22"/>
          <w:lang w:val="hu-HU"/>
        </w:rPr>
        <w:t xml:space="preserve"> </w:t>
      </w:r>
      <w:r w:rsidR="007059C7" w:rsidRPr="00435A31">
        <w:rPr>
          <w:sz w:val="22"/>
          <w:lang w:val="hu-HU"/>
        </w:rPr>
        <w:t xml:space="preserve">illetve </w:t>
      </w:r>
      <w:r w:rsidRPr="00435A31">
        <w:rPr>
          <w:sz w:val="22"/>
          <w:lang w:val="hu-HU"/>
        </w:rPr>
        <w:t xml:space="preserve">100 mg-os (n=10) adagjait a szérumhúgysavszint 6,0 mg/dl (357 </w:t>
      </w:r>
      <w:r w:rsidRPr="00FC51A2">
        <w:rPr>
          <w:sz w:val="22"/>
        </w:rPr>
        <w:t>μ</w:t>
      </w:r>
      <w:r w:rsidRPr="00435A31">
        <w:rPr>
          <w:sz w:val="22"/>
          <w:lang w:val="hu-HU"/>
        </w:rPr>
        <w:t>mol) alá csökkentése terén (lásd 2. táblázat és 1. ábra).</w:t>
      </w:r>
    </w:p>
    <w:p w14:paraId="304E13BC" w14:textId="77777777" w:rsidR="00B3283F" w:rsidRPr="00435A31" w:rsidRDefault="00B3283F" w:rsidP="00A17448">
      <w:pPr>
        <w:shd w:val="clear" w:color="auto" w:fill="FFFFFF" w:themeFill="background1"/>
        <w:rPr>
          <w:rFonts w:eastAsia="Courier New"/>
          <w:i/>
          <w:sz w:val="22"/>
          <w:lang w:val="hu-HU"/>
        </w:rPr>
      </w:pPr>
    </w:p>
    <w:p w14:paraId="3E57D1DD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i/>
          <w:sz w:val="22"/>
          <w:lang w:val="hu-HU"/>
        </w:rPr>
        <w:t>FACT</w:t>
      </w:r>
      <w:r w:rsidR="007475C5" w:rsidRPr="00435A31">
        <w:rPr>
          <w:i/>
          <w:sz w:val="22"/>
          <w:lang w:val="hu-HU"/>
        </w:rPr>
        <w:t xml:space="preserve"> </w:t>
      </w:r>
      <w:r w:rsidRPr="00435A31">
        <w:rPr>
          <w:i/>
          <w:sz w:val="22"/>
          <w:lang w:val="hu-HU"/>
        </w:rPr>
        <w:t>vizsgálat:</w:t>
      </w:r>
      <w:r w:rsidRPr="00435A31">
        <w:rPr>
          <w:sz w:val="22"/>
          <w:lang w:val="hu-HU"/>
        </w:rPr>
        <w:t xml:space="preserve"> A </w:t>
      </w:r>
      <w:r w:rsidRPr="00435A31">
        <w:rPr>
          <w:sz w:val="22"/>
          <w:szCs w:val="22"/>
          <w:lang w:val="hu-HU"/>
        </w:rPr>
        <w:t xml:space="preserve">“Febuxostat Allopurinol Controlled Trial” (FACT) egy </w:t>
      </w:r>
      <w:r w:rsidR="004A3578" w:rsidRPr="00435A31">
        <w:rPr>
          <w:sz w:val="22"/>
          <w:szCs w:val="22"/>
          <w:lang w:val="hu-HU"/>
        </w:rPr>
        <w:t>III</w:t>
      </w:r>
      <w:r w:rsidR="007D5401" w:rsidRPr="00435A31">
        <w:rPr>
          <w:sz w:val="22"/>
          <w:szCs w:val="22"/>
          <w:lang w:val="hu-HU"/>
        </w:rPr>
        <w:t>. fázisú</w:t>
      </w:r>
      <w:r w:rsidRPr="00435A31">
        <w:rPr>
          <w:sz w:val="22"/>
          <w:szCs w:val="22"/>
          <w:lang w:val="hu-HU"/>
        </w:rPr>
        <w:t>, randomizált, kettős</w:t>
      </w:r>
      <w:r w:rsidR="00B633D3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vak, multicentrikus, 52</w:t>
      </w:r>
      <w:r w:rsidR="00B633D3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hetes vizsgálat volt. 760 beteget </w:t>
      </w:r>
      <w:r w:rsidR="00B633D3" w:rsidRPr="00435A31">
        <w:rPr>
          <w:sz w:val="22"/>
          <w:szCs w:val="22"/>
          <w:lang w:val="hu-HU"/>
        </w:rPr>
        <w:t>soroltak be az alábbi csoportokba</w:t>
      </w:r>
      <w:r w:rsidRPr="00435A31">
        <w:rPr>
          <w:sz w:val="22"/>
          <w:szCs w:val="22"/>
          <w:lang w:val="hu-HU"/>
        </w:rPr>
        <w:t>: napi egyszeri 80 mg febuxosztát</w:t>
      </w:r>
      <w:r w:rsidRPr="00435A31">
        <w:rPr>
          <w:sz w:val="22"/>
          <w:lang w:val="hu-HU"/>
        </w:rPr>
        <w:t xml:space="preserve"> (n=256), napi egyszeri 120 mg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 (n=251) vagy napi egyszeri 300 mg allopurinol (n=253) kezelésre.</w:t>
      </w:r>
    </w:p>
    <w:p w14:paraId="4A1AD87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02EF0428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FACT</w:t>
      </w:r>
      <w:r w:rsidR="007475C5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vizsgálat során </w:t>
      </w:r>
      <w:r w:rsidR="00E61B3A" w:rsidRPr="00435A31">
        <w:rPr>
          <w:sz w:val="22"/>
          <w:szCs w:val="22"/>
          <w:lang w:val="hu-HU"/>
        </w:rPr>
        <w:t xml:space="preserve">a </w:t>
      </w:r>
      <w:r w:rsidRPr="00435A31">
        <w:rPr>
          <w:sz w:val="22"/>
          <w:szCs w:val="22"/>
          <w:lang w:val="hu-HU"/>
        </w:rPr>
        <w:t>febuxosztát napi egyszeri 80 mg-os és napi egyszeri 120 mg-os kezelési módja is statisztikailag szignifikánsan hatékonyabb volt a szok</w:t>
      </w:r>
      <w:r w:rsidR="00B633D3" w:rsidRPr="00435A31">
        <w:rPr>
          <w:sz w:val="22"/>
          <w:szCs w:val="22"/>
          <w:lang w:val="hu-HU"/>
        </w:rPr>
        <w:t>ás</w:t>
      </w:r>
      <w:r w:rsidRPr="00435A31">
        <w:rPr>
          <w:sz w:val="22"/>
          <w:szCs w:val="22"/>
          <w:lang w:val="hu-HU"/>
        </w:rPr>
        <w:t xml:space="preserve">os 300 mg-os dózisban adott allopurinolnál a szérumhúgysavszint 6,0 mg/dl (357 </w:t>
      </w:r>
      <w:r w:rsidRPr="00FC51A2">
        <w:rPr>
          <w:sz w:val="22"/>
        </w:rPr>
        <w:t>μ</w:t>
      </w:r>
      <w:r w:rsidRPr="00435A31">
        <w:rPr>
          <w:sz w:val="22"/>
          <w:szCs w:val="22"/>
          <w:lang w:val="hu-HU"/>
        </w:rPr>
        <w:t>mol</w:t>
      </w:r>
      <w:r w:rsidR="007059C7" w:rsidRPr="00435A31">
        <w:rPr>
          <w:sz w:val="22"/>
          <w:szCs w:val="22"/>
          <w:lang w:val="hu-HU"/>
        </w:rPr>
        <w:t>/l</w:t>
      </w:r>
      <w:r w:rsidRPr="00435A31">
        <w:rPr>
          <w:sz w:val="22"/>
          <w:szCs w:val="22"/>
          <w:lang w:val="hu-HU"/>
        </w:rPr>
        <w:t>) alá csökkentésében és fenntartásában.</w:t>
      </w:r>
    </w:p>
    <w:p w14:paraId="267F2B7B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77B3C2F5" w14:textId="77777777" w:rsidR="00B3283F" w:rsidRPr="00435A31" w:rsidRDefault="00B3283F" w:rsidP="00F7557B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Az elsődleges </w:t>
      </w:r>
      <w:r w:rsidR="001E2F28" w:rsidRPr="00435A31">
        <w:rPr>
          <w:sz w:val="22"/>
          <w:szCs w:val="22"/>
          <w:lang w:val="hu-HU"/>
        </w:rPr>
        <w:t xml:space="preserve">hatásossági </w:t>
      </w:r>
      <w:r w:rsidRPr="00435A31">
        <w:rPr>
          <w:sz w:val="22"/>
          <w:szCs w:val="22"/>
          <w:lang w:val="hu-HU"/>
        </w:rPr>
        <w:t>végpont eredményeit a 2. táblázat összegezi:</w:t>
      </w:r>
    </w:p>
    <w:p w14:paraId="464B2777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4C35E0D0" w14:textId="77777777" w:rsidR="00B3283F" w:rsidRPr="00435A31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</w:p>
    <w:p w14:paraId="49FE6A92" w14:textId="77777777" w:rsidR="00B3283F" w:rsidRPr="00435A31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  <w:r w:rsidRPr="00435A31">
        <w:rPr>
          <w:b/>
          <w:sz w:val="22"/>
          <w:lang w:val="hu-HU"/>
        </w:rPr>
        <w:t>2. táblázat</w:t>
      </w:r>
    </w:p>
    <w:p w14:paraId="404B492B" w14:textId="77777777" w:rsidR="00B3283F" w:rsidRPr="00435A31" w:rsidRDefault="00B3283F" w:rsidP="00A17448">
      <w:pPr>
        <w:shd w:val="clear" w:color="auto" w:fill="FFFFFF" w:themeFill="background1"/>
        <w:rPr>
          <w:b/>
          <w:sz w:val="22"/>
          <w:lang w:val="hu-HU"/>
        </w:rPr>
      </w:pPr>
      <w:r w:rsidRPr="00435A31">
        <w:rPr>
          <w:b/>
          <w:sz w:val="22"/>
          <w:lang w:val="hu-HU"/>
        </w:rPr>
        <w:t xml:space="preserve">Azon betegek részaránya, akik szérumhúgysavszintje &lt;6,0 mg/dl (357 </w:t>
      </w:r>
      <w:r w:rsidRPr="00FC51A2">
        <w:rPr>
          <w:b/>
          <w:sz w:val="22"/>
        </w:rPr>
        <w:t>μ</w:t>
      </w:r>
      <w:r w:rsidRPr="00435A31">
        <w:rPr>
          <w:b/>
          <w:sz w:val="22"/>
          <w:lang w:val="hu-HU"/>
        </w:rPr>
        <w:t>mol</w:t>
      </w:r>
      <w:r w:rsidR="007059C7" w:rsidRPr="00435A31">
        <w:rPr>
          <w:b/>
          <w:sz w:val="22"/>
          <w:lang w:val="hu-HU"/>
        </w:rPr>
        <w:t>/l</w:t>
      </w:r>
      <w:r w:rsidRPr="00435A31">
        <w:rPr>
          <w:b/>
          <w:sz w:val="22"/>
          <w:lang w:val="hu-HU"/>
        </w:rPr>
        <w:t>) az utolsó</w:t>
      </w:r>
    </w:p>
    <w:p w14:paraId="2342C034" w14:textId="77777777" w:rsidR="00B3283F" w:rsidRPr="00FC51A2" w:rsidRDefault="00B3283F" w:rsidP="00A17448">
      <w:pPr>
        <w:shd w:val="clear" w:color="auto" w:fill="FFFFFF" w:themeFill="background1"/>
        <w:rPr>
          <w:b/>
          <w:sz w:val="22"/>
        </w:rPr>
      </w:pPr>
      <w:r w:rsidRPr="00FC51A2">
        <w:rPr>
          <w:b/>
          <w:sz w:val="22"/>
        </w:rPr>
        <w:t>3 hónap vizitei során.</w:t>
      </w:r>
    </w:p>
    <w:p w14:paraId="52D44C9A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1418"/>
        <w:gridCol w:w="1559"/>
        <w:gridCol w:w="1559"/>
      </w:tblGrid>
      <w:tr w:rsidR="00B3283F" w:rsidRPr="00FC51A2" w14:paraId="5D761CC5" w14:textId="77777777" w:rsidTr="00A17448">
        <w:trPr>
          <w:jc w:val="center"/>
        </w:trPr>
        <w:tc>
          <w:tcPr>
            <w:tcW w:w="1798" w:type="dxa"/>
            <w:shd w:val="clear" w:color="auto" w:fill="auto"/>
          </w:tcPr>
          <w:p w14:paraId="358B9540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Vizsgálat</w:t>
            </w:r>
          </w:p>
        </w:tc>
        <w:tc>
          <w:tcPr>
            <w:tcW w:w="1418" w:type="dxa"/>
            <w:shd w:val="clear" w:color="auto" w:fill="auto"/>
          </w:tcPr>
          <w:p w14:paraId="46E981E8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Febuxosztát 80 mg napi egyszer</w:t>
            </w:r>
          </w:p>
        </w:tc>
        <w:tc>
          <w:tcPr>
            <w:tcW w:w="1559" w:type="dxa"/>
            <w:shd w:val="clear" w:color="auto" w:fill="auto"/>
          </w:tcPr>
          <w:p w14:paraId="072969F7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Febuxosztát 120 mg napi egyszer</w:t>
            </w:r>
          </w:p>
        </w:tc>
        <w:tc>
          <w:tcPr>
            <w:tcW w:w="1559" w:type="dxa"/>
            <w:shd w:val="clear" w:color="auto" w:fill="auto"/>
          </w:tcPr>
          <w:p w14:paraId="5AD2E38C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Allopurinol</w:t>
            </w:r>
          </w:p>
          <w:p w14:paraId="67706240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  <w:vertAlign w:val="superscript"/>
              </w:rPr>
            </w:pPr>
            <w:r w:rsidRPr="00FC51A2">
              <w:rPr>
                <w:sz w:val="22"/>
              </w:rPr>
              <w:t>300</w:t>
            </w:r>
            <w:r w:rsidR="007059C7">
              <w:rPr>
                <w:sz w:val="22"/>
              </w:rPr>
              <w:t xml:space="preserve"> mg illetve</w:t>
            </w:r>
            <w:r w:rsidRPr="00FC51A2">
              <w:rPr>
                <w:sz w:val="22"/>
              </w:rPr>
              <w:t xml:space="preserve"> 100 mg napi egyszer</w:t>
            </w:r>
            <w:r w:rsidRPr="00FC51A2">
              <w:rPr>
                <w:sz w:val="22"/>
                <w:vertAlign w:val="superscript"/>
              </w:rPr>
              <w:t>1</w:t>
            </w:r>
          </w:p>
        </w:tc>
      </w:tr>
      <w:tr w:rsidR="00B3283F" w:rsidRPr="00FC51A2" w14:paraId="6034E71A" w14:textId="77777777" w:rsidTr="00A17448">
        <w:trPr>
          <w:jc w:val="center"/>
        </w:trPr>
        <w:tc>
          <w:tcPr>
            <w:tcW w:w="1798" w:type="dxa"/>
            <w:shd w:val="clear" w:color="auto" w:fill="auto"/>
          </w:tcPr>
          <w:p w14:paraId="173AA482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APEX</w:t>
            </w:r>
          </w:p>
          <w:p w14:paraId="3FC5DB21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(28 hét)</w:t>
            </w:r>
          </w:p>
        </w:tc>
        <w:tc>
          <w:tcPr>
            <w:tcW w:w="1418" w:type="dxa"/>
            <w:shd w:val="clear" w:color="auto" w:fill="auto"/>
          </w:tcPr>
          <w:p w14:paraId="24745AE7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  <w:vertAlign w:val="superscript"/>
              </w:rPr>
            </w:pPr>
            <w:r w:rsidRPr="00FC51A2">
              <w:rPr>
                <w:sz w:val="22"/>
              </w:rPr>
              <w:t xml:space="preserve">48% 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1ED0288F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(n=262)</w:t>
            </w:r>
          </w:p>
        </w:tc>
        <w:tc>
          <w:tcPr>
            <w:tcW w:w="1559" w:type="dxa"/>
            <w:shd w:val="clear" w:color="auto" w:fill="auto"/>
          </w:tcPr>
          <w:p w14:paraId="32B0CB38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 xml:space="preserve">65% </w:t>
            </w:r>
            <w:r w:rsidRPr="00FC51A2">
              <w:rPr>
                <w:sz w:val="22"/>
                <w:vertAlign w:val="superscript"/>
              </w:rPr>
              <w:t>*, #</w:t>
            </w:r>
          </w:p>
          <w:p w14:paraId="4370F1F2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(n=269)</w:t>
            </w:r>
          </w:p>
        </w:tc>
        <w:tc>
          <w:tcPr>
            <w:tcW w:w="1559" w:type="dxa"/>
            <w:shd w:val="clear" w:color="auto" w:fill="auto"/>
          </w:tcPr>
          <w:p w14:paraId="5EFE9925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22%</w:t>
            </w:r>
          </w:p>
          <w:p w14:paraId="6845FE2D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(n=268)</w:t>
            </w:r>
          </w:p>
        </w:tc>
      </w:tr>
      <w:tr w:rsidR="00B3283F" w:rsidRPr="00FC51A2" w14:paraId="245BED4C" w14:textId="77777777" w:rsidTr="00A17448">
        <w:trPr>
          <w:jc w:val="center"/>
        </w:trPr>
        <w:tc>
          <w:tcPr>
            <w:tcW w:w="1798" w:type="dxa"/>
            <w:shd w:val="clear" w:color="auto" w:fill="auto"/>
          </w:tcPr>
          <w:p w14:paraId="6892B9B8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FACT</w:t>
            </w:r>
          </w:p>
          <w:p w14:paraId="5FEBA98C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(52 hét)</w:t>
            </w:r>
          </w:p>
        </w:tc>
        <w:tc>
          <w:tcPr>
            <w:tcW w:w="1418" w:type="dxa"/>
            <w:shd w:val="clear" w:color="auto" w:fill="auto"/>
          </w:tcPr>
          <w:p w14:paraId="6ED45AAA" w14:textId="77777777" w:rsidR="00B3283F" w:rsidRPr="00FC51A2" w:rsidRDefault="00B3283F" w:rsidP="00267374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53%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63A720CB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(n=255)</w:t>
            </w:r>
          </w:p>
        </w:tc>
        <w:tc>
          <w:tcPr>
            <w:tcW w:w="1559" w:type="dxa"/>
            <w:shd w:val="clear" w:color="auto" w:fill="auto"/>
          </w:tcPr>
          <w:p w14:paraId="1DA20176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62%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6B1ECD0D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(n=250)</w:t>
            </w:r>
          </w:p>
        </w:tc>
        <w:tc>
          <w:tcPr>
            <w:tcW w:w="1559" w:type="dxa"/>
            <w:shd w:val="clear" w:color="auto" w:fill="auto"/>
          </w:tcPr>
          <w:p w14:paraId="17AD6CFA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21%</w:t>
            </w:r>
          </w:p>
          <w:p w14:paraId="733A7308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(n=251)</w:t>
            </w:r>
          </w:p>
        </w:tc>
      </w:tr>
      <w:tr w:rsidR="00B3283F" w:rsidRPr="00FC51A2" w14:paraId="0965B66C" w14:textId="77777777" w:rsidTr="00A17448">
        <w:trPr>
          <w:jc w:val="center"/>
        </w:trPr>
        <w:tc>
          <w:tcPr>
            <w:tcW w:w="1798" w:type="dxa"/>
            <w:shd w:val="clear" w:color="auto" w:fill="auto"/>
          </w:tcPr>
          <w:p w14:paraId="75AB4BF5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Összevont eredmények</w:t>
            </w:r>
          </w:p>
        </w:tc>
        <w:tc>
          <w:tcPr>
            <w:tcW w:w="1418" w:type="dxa"/>
            <w:shd w:val="clear" w:color="auto" w:fill="auto"/>
          </w:tcPr>
          <w:p w14:paraId="478DDD8E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51%</w:t>
            </w:r>
            <w:r w:rsidRPr="00FC51A2">
              <w:rPr>
                <w:sz w:val="22"/>
                <w:vertAlign w:val="superscript"/>
              </w:rPr>
              <w:t>*</w:t>
            </w:r>
          </w:p>
          <w:p w14:paraId="28796BA0" w14:textId="77777777" w:rsidR="00B3283F" w:rsidRPr="00FC51A2" w:rsidRDefault="00B3283F" w:rsidP="007059C7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(n=517)</w:t>
            </w:r>
          </w:p>
        </w:tc>
        <w:tc>
          <w:tcPr>
            <w:tcW w:w="1559" w:type="dxa"/>
            <w:shd w:val="clear" w:color="auto" w:fill="auto"/>
          </w:tcPr>
          <w:p w14:paraId="5522A733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63%</w:t>
            </w:r>
            <w:r w:rsidRPr="00FC51A2">
              <w:rPr>
                <w:sz w:val="22"/>
                <w:vertAlign w:val="superscript"/>
              </w:rPr>
              <w:t>*, #</w:t>
            </w:r>
          </w:p>
          <w:p w14:paraId="2D7533B5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(n=519)</w:t>
            </w:r>
          </w:p>
        </w:tc>
        <w:tc>
          <w:tcPr>
            <w:tcW w:w="1559" w:type="dxa"/>
            <w:shd w:val="clear" w:color="auto" w:fill="auto"/>
          </w:tcPr>
          <w:p w14:paraId="044D7AFA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22%</w:t>
            </w:r>
          </w:p>
          <w:p w14:paraId="2B738297" w14:textId="77777777" w:rsidR="00B3283F" w:rsidRPr="00FC51A2" w:rsidRDefault="00B3283F">
            <w:pPr>
              <w:shd w:val="clear" w:color="auto" w:fill="FFFFFF" w:themeFill="background1"/>
              <w:jc w:val="center"/>
              <w:rPr>
                <w:sz w:val="22"/>
              </w:rPr>
            </w:pPr>
            <w:r w:rsidRPr="00FC51A2">
              <w:rPr>
                <w:sz w:val="22"/>
              </w:rPr>
              <w:t>(n=519)</w:t>
            </w:r>
          </w:p>
        </w:tc>
      </w:tr>
      <w:tr w:rsidR="00B3283F" w:rsidRPr="00FC51A2" w14:paraId="0CE607BE" w14:textId="77777777" w:rsidTr="00A17448">
        <w:trPr>
          <w:jc w:val="center"/>
        </w:trPr>
        <w:tc>
          <w:tcPr>
            <w:tcW w:w="6334" w:type="dxa"/>
            <w:gridSpan w:val="4"/>
            <w:shd w:val="clear" w:color="auto" w:fill="auto"/>
          </w:tcPr>
          <w:p w14:paraId="1E13FF5D" w14:textId="77777777" w:rsidR="00B3283F" w:rsidRPr="00FC51A2" w:rsidRDefault="00B3283F" w:rsidP="00267374">
            <w:pPr>
              <w:shd w:val="clear" w:color="auto" w:fill="FFFFFF" w:themeFill="background1"/>
              <w:rPr>
                <w:sz w:val="22"/>
                <w:lang w:val="en-US"/>
              </w:rPr>
            </w:pPr>
            <w:r w:rsidRPr="00FC51A2">
              <w:rPr>
                <w:sz w:val="22"/>
                <w:vertAlign w:val="superscript"/>
                <w:lang w:val="en-US"/>
              </w:rPr>
              <w:t xml:space="preserve">1 </w:t>
            </w:r>
            <w:r w:rsidRPr="00FC51A2">
              <w:rPr>
                <w:sz w:val="22"/>
                <w:lang w:val="en-US"/>
              </w:rPr>
              <w:t>A 100 mg napi egyszeri adaggal (n=10: szérum</w:t>
            </w:r>
            <w:r w:rsidR="00A94CBB" w:rsidRPr="00FC51A2">
              <w:rPr>
                <w:sz w:val="22"/>
                <w:lang w:val="en-US"/>
              </w:rPr>
              <w:t>-</w:t>
            </w:r>
            <w:r w:rsidRPr="00FC51A2">
              <w:rPr>
                <w:sz w:val="22"/>
                <w:lang w:val="en-US"/>
              </w:rPr>
              <w:t>kreatininszint &gt;1,5 – ≤2,0 mg/dl) vagy 300 mg napi egyszeri adaggal (n=509) kezelt betegek eredményeit összevonták az elemzéshez.</w:t>
            </w:r>
          </w:p>
          <w:p w14:paraId="00385A1F" w14:textId="77777777" w:rsidR="00B3283F" w:rsidRPr="00FC51A2" w:rsidRDefault="00B3283F" w:rsidP="00267374">
            <w:pPr>
              <w:shd w:val="clear" w:color="auto" w:fill="FFFFFF" w:themeFill="background1"/>
              <w:rPr>
                <w:sz w:val="22"/>
              </w:rPr>
            </w:pPr>
            <w:r w:rsidRPr="00FC51A2">
              <w:rPr>
                <w:sz w:val="22"/>
                <w:lang w:val="en-US"/>
              </w:rPr>
              <w:t>* p&lt;0,001 vs. allopurinol, # p&lt;0,001 vs. 80 mg</w:t>
            </w:r>
          </w:p>
        </w:tc>
      </w:tr>
    </w:tbl>
    <w:p w14:paraId="6FC3CB81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</w:rPr>
      </w:pPr>
    </w:p>
    <w:p w14:paraId="45630705" w14:textId="77777777" w:rsidR="00012F9A" w:rsidRPr="00FC51A2" w:rsidRDefault="00B3283F" w:rsidP="00AA45C2">
      <w:pPr>
        <w:shd w:val="clear" w:color="auto" w:fill="FFFFFF" w:themeFill="background1"/>
        <w:tabs>
          <w:tab w:val="left" w:pos="7938"/>
        </w:tabs>
        <w:rPr>
          <w:sz w:val="22"/>
          <w:szCs w:val="22"/>
        </w:rPr>
      </w:pPr>
      <w:r w:rsidRPr="00FC51A2">
        <w:rPr>
          <w:sz w:val="22"/>
          <w:szCs w:val="22"/>
        </w:rPr>
        <w:t>A</w:t>
      </w:r>
      <w:r w:rsidRPr="00FC51A2">
        <w:rPr>
          <w:sz w:val="22"/>
        </w:rPr>
        <w:t xml:space="preserve"> </w:t>
      </w:r>
      <w:r w:rsidR="00AA45C2" w:rsidRPr="00FC51A2">
        <w:rPr>
          <w:sz w:val="22"/>
        </w:rPr>
        <w:t>f</w:t>
      </w:r>
      <w:r w:rsidRPr="00FC51A2">
        <w:rPr>
          <w:sz w:val="22"/>
        </w:rPr>
        <w:t xml:space="preserve">ebuxosztát azonnal és tartósan csökkentette a szérumhúgysavszintet. </w:t>
      </w:r>
      <w:r w:rsidRPr="00FC51A2">
        <w:rPr>
          <w:sz w:val="22"/>
          <w:szCs w:val="22"/>
        </w:rPr>
        <w:t xml:space="preserve">A szérum húgysavszintje 6,0 mg/dl (357 μmol/l) alá csökkent a második heti vizitre, és a kezelés ideje alatt mindvégig ezen a szinten maradt. Az átlagos szérumhúgysavszinteket az idő függvényében, a két </w:t>
      </w:r>
      <w:r w:rsidR="004A3578" w:rsidRPr="00FC51A2">
        <w:rPr>
          <w:sz w:val="22"/>
          <w:szCs w:val="22"/>
        </w:rPr>
        <w:t>III. fázisú</w:t>
      </w:r>
      <w:r w:rsidRPr="00FC51A2">
        <w:rPr>
          <w:sz w:val="22"/>
          <w:szCs w:val="22"/>
        </w:rPr>
        <w:t xml:space="preserve"> </w:t>
      </w:r>
      <w:r w:rsidR="005752DC" w:rsidRPr="00FC51A2">
        <w:rPr>
          <w:sz w:val="22"/>
          <w:szCs w:val="22"/>
        </w:rPr>
        <w:t>kulcsfontosságú</w:t>
      </w:r>
      <w:r w:rsidRPr="00FC51A2">
        <w:rPr>
          <w:sz w:val="22"/>
          <w:szCs w:val="22"/>
        </w:rPr>
        <w:t xml:space="preserve"> vizsgálat összes terápiás csoportj</w:t>
      </w:r>
      <w:r w:rsidR="00267374">
        <w:rPr>
          <w:sz w:val="22"/>
          <w:szCs w:val="22"/>
        </w:rPr>
        <w:t>á</w:t>
      </w:r>
      <w:r w:rsidRPr="00FC51A2">
        <w:rPr>
          <w:sz w:val="22"/>
          <w:szCs w:val="22"/>
        </w:rPr>
        <w:t>ra vonatkozóan az 1. ábra szemlélteti.</w:t>
      </w:r>
    </w:p>
    <w:p w14:paraId="03111C6B" w14:textId="77777777" w:rsidR="00012F9A" w:rsidRPr="00FC51A2" w:rsidRDefault="00012F9A" w:rsidP="00AA45C2">
      <w:pPr>
        <w:shd w:val="clear" w:color="auto" w:fill="FFFFFF" w:themeFill="background1"/>
        <w:tabs>
          <w:tab w:val="left" w:pos="7938"/>
        </w:tabs>
        <w:rPr>
          <w:sz w:val="22"/>
          <w:szCs w:val="22"/>
        </w:rPr>
      </w:pPr>
    </w:p>
    <w:p w14:paraId="427BE0EE" w14:textId="77777777" w:rsidR="00655D25" w:rsidRPr="00FC51A2" w:rsidRDefault="00B3283F" w:rsidP="00AA45C2">
      <w:pPr>
        <w:shd w:val="clear" w:color="auto" w:fill="FFFFFF" w:themeFill="background1"/>
        <w:tabs>
          <w:tab w:val="left" w:pos="7938"/>
        </w:tabs>
        <w:rPr>
          <w:b/>
          <w:sz w:val="22"/>
        </w:rPr>
      </w:pPr>
      <w:r w:rsidRPr="00A17448">
        <w:rPr>
          <w:rFonts w:eastAsia="Arial Unicode MS"/>
          <w:sz w:val="22"/>
        </w:rPr>
        <w:t xml:space="preserve">1. </w:t>
      </w:r>
      <w:r w:rsidRPr="00A17448">
        <w:rPr>
          <w:sz w:val="22"/>
        </w:rPr>
        <w:t>ábra</w:t>
      </w:r>
      <w:r w:rsidRPr="00FC51A2">
        <w:rPr>
          <w:b/>
          <w:i/>
          <w:sz w:val="22"/>
        </w:rPr>
        <w:t>:</w:t>
      </w:r>
      <w:r w:rsidRPr="00FC51A2">
        <w:rPr>
          <w:b/>
          <w:sz w:val="22"/>
        </w:rPr>
        <w:t xml:space="preserve"> Átlagos szérumhúgysavszintek összesített eredményei a </w:t>
      </w:r>
      <w:r w:rsidR="004A3578" w:rsidRPr="00FC51A2">
        <w:rPr>
          <w:b/>
          <w:sz w:val="22"/>
        </w:rPr>
        <w:t>III. fázisú</w:t>
      </w:r>
      <w:r w:rsidR="00267374">
        <w:rPr>
          <w:b/>
          <w:sz w:val="22"/>
        </w:rPr>
        <w:t>,</w:t>
      </w:r>
      <w:r w:rsidRPr="00FC51A2">
        <w:rPr>
          <w:b/>
          <w:sz w:val="22"/>
        </w:rPr>
        <w:t xml:space="preserve"> </w:t>
      </w:r>
      <w:r w:rsidR="005752DC" w:rsidRPr="00FC51A2">
        <w:rPr>
          <w:b/>
          <w:sz w:val="22"/>
        </w:rPr>
        <w:t>kulcsfontosságú</w:t>
      </w:r>
      <w:r w:rsidRPr="00FC51A2">
        <w:rPr>
          <w:b/>
          <w:sz w:val="22"/>
        </w:rPr>
        <w:t xml:space="preserve"> vizsgálatokban</w:t>
      </w:r>
    </w:p>
    <w:p w14:paraId="2570DCD0" w14:textId="77777777" w:rsidR="009871E6" w:rsidRPr="00FC51A2" w:rsidRDefault="009871E6" w:rsidP="00A17448">
      <w:pPr>
        <w:shd w:val="clear" w:color="auto" w:fill="FFFFFF" w:themeFill="background1"/>
        <w:ind w:left="720"/>
        <w:rPr>
          <w:sz w:val="22"/>
          <w:szCs w:val="22"/>
        </w:rPr>
      </w:pPr>
      <w:r w:rsidRPr="00FC51A2">
        <w:rPr>
          <w:noProof/>
          <w:lang w:val="hu-HU" w:eastAsia="hu-HU"/>
        </w:rPr>
        <w:drawing>
          <wp:inline distT="0" distB="0" distL="0" distR="0" wp14:anchorId="32C8979F" wp14:editId="546D8467">
            <wp:extent cx="4572000" cy="4023360"/>
            <wp:effectExtent l="0" t="0" r="0" b="0"/>
            <wp:docPr id="2" name="Kép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3D394" w14:textId="77777777" w:rsidR="00B3283F" w:rsidRPr="00FC51A2" w:rsidRDefault="00B3283F" w:rsidP="00A17448">
      <w:pPr>
        <w:shd w:val="clear" w:color="auto" w:fill="FFFFFF" w:themeFill="background1"/>
        <w:ind w:left="720"/>
        <w:rPr>
          <w:sz w:val="22"/>
          <w:szCs w:val="22"/>
        </w:rPr>
      </w:pPr>
    </w:p>
    <w:p w14:paraId="5A68C18F" w14:textId="77777777" w:rsidR="00B3283F" w:rsidRPr="00FC51A2" w:rsidRDefault="00B3283F" w:rsidP="00A17448">
      <w:pPr>
        <w:pStyle w:val="Default"/>
        <w:shd w:val="clear" w:color="auto" w:fill="FFFFFF" w:themeFill="background1"/>
        <w:ind w:left="1134" w:hanging="1134"/>
        <w:rPr>
          <w:rFonts w:ascii="Times New Roman" w:hAnsi="Times New Roman" w:cs="Times New Roman"/>
          <w:lang w:val="hu-HU"/>
        </w:rPr>
      </w:pPr>
      <w:r w:rsidRPr="00FC51A2">
        <w:rPr>
          <w:rFonts w:ascii="Times New Roman" w:hAnsi="Times New Roman" w:cs="Times New Roman"/>
          <w:sz w:val="22"/>
          <w:lang w:val="hu-HU"/>
        </w:rPr>
        <w:t>Megjegyzés:</w:t>
      </w:r>
      <w:r w:rsidR="0003325F" w:rsidRPr="00FC51A2">
        <w:rPr>
          <w:rFonts w:ascii="Times New Roman" w:hAnsi="Times New Roman" w:cs="Times New Roman"/>
          <w:sz w:val="22"/>
          <w:lang w:val="hu-HU"/>
        </w:rPr>
        <w:t xml:space="preserve"> </w:t>
      </w:r>
      <w:r w:rsidRPr="00FC51A2">
        <w:rPr>
          <w:rFonts w:ascii="Times New Roman" w:hAnsi="Times New Roman" w:cs="Times New Roman"/>
          <w:sz w:val="22"/>
          <w:lang w:val="hu-HU"/>
        </w:rPr>
        <w:t>509 beteg napi egyszer 300 mg allopurinolt kapott; 10 beteg, akik szérum</w:t>
      </w:r>
      <w:r w:rsidR="00287A3F">
        <w:rPr>
          <w:rFonts w:ascii="Times New Roman" w:hAnsi="Times New Roman" w:cs="Times New Roman"/>
          <w:sz w:val="22"/>
          <w:lang w:val="hu-HU"/>
        </w:rPr>
        <w:t>-</w:t>
      </w:r>
      <w:r w:rsidRPr="00FC51A2">
        <w:rPr>
          <w:rFonts w:ascii="Times New Roman" w:hAnsi="Times New Roman" w:cs="Times New Roman"/>
          <w:sz w:val="22"/>
          <w:lang w:val="hu-HU"/>
        </w:rPr>
        <w:t>kreatininszintje &gt;1,5 és ≤ 2,0 mg/dl napi egyszer 100 mg allopurinolt kapott (az APEX</w:t>
      </w:r>
      <w:r w:rsidR="007475C5" w:rsidRPr="00FC51A2">
        <w:rPr>
          <w:rFonts w:ascii="Times New Roman" w:hAnsi="Times New Roman" w:cs="Times New Roman"/>
          <w:sz w:val="22"/>
          <w:lang w:val="hu-HU"/>
        </w:rPr>
        <w:t xml:space="preserve"> </w:t>
      </w:r>
      <w:r w:rsidRPr="00FC51A2">
        <w:rPr>
          <w:rFonts w:ascii="Times New Roman" w:hAnsi="Times New Roman" w:cs="Times New Roman"/>
          <w:sz w:val="22"/>
          <w:lang w:val="hu-HU"/>
        </w:rPr>
        <w:t>vizsgálat 268 betege közül 10). A biztonságos adag kiértékelésére 240 mg febuxosztátot alkalmaztak, ami a javasolt maximális adag kétszerese</w:t>
      </w:r>
      <w:r w:rsidRPr="00FC51A2">
        <w:rPr>
          <w:rFonts w:ascii="Times New Roman" w:hAnsi="Times New Roman" w:cs="Times New Roman"/>
          <w:lang w:val="hu-HU"/>
        </w:rPr>
        <w:t xml:space="preserve">. </w:t>
      </w:r>
    </w:p>
    <w:p w14:paraId="7FD68142" w14:textId="77777777" w:rsidR="00B3283F" w:rsidRPr="00FC51A2" w:rsidRDefault="00B3283F" w:rsidP="00A17448">
      <w:pPr>
        <w:shd w:val="clear" w:color="auto" w:fill="FFFFFF" w:themeFill="background1"/>
        <w:tabs>
          <w:tab w:val="left" w:pos="426"/>
        </w:tabs>
        <w:ind w:left="1418" w:hanging="1418"/>
        <w:rPr>
          <w:sz w:val="22"/>
          <w:szCs w:val="22"/>
          <w:lang w:val="hu-HU"/>
        </w:rPr>
      </w:pPr>
    </w:p>
    <w:p w14:paraId="6329B9E9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A17448">
        <w:rPr>
          <w:i/>
          <w:sz w:val="22"/>
          <w:lang w:val="hu-HU"/>
        </w:rPr>
        <w:t>CONFIRMS</w:t>
      </w:r>
      <w:r w:rsidR="007475C5" w:rsidRPr="00A17448">
        <w:rPr>
          <w:i/>
          <w:sz w:val="22"/>
          <w:lang w:val="hu-HU"/>
        </w:rPr>
        <w:t xml:space="preserve"> </w:t>
      </w:r>
      <w:r w:rsidRPr="00A17448">
        <w:rPr>
          <w:i/>
          <w:sz w:val="22"/>
          <w:lang w:val="hu-HU"/>
        </w:rPr>
        <w:t>vizsgálat:</w:t>
      </w:r>
      <w:r w:rsidRPr="00FC51A2">
        <w:rPr>
          <w:sz w:val="22"/>
          <w:lang w:val="hu-HU"/>
        </w:rPr>
        <w:t xml:space="preserve"> A CONFIRMS</w:t>
      </w:r>
      <w:r w:rsidR="007475C5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vizsgálat </w:t>
      </w:r>
      <w:r w:rsidR="002000C2">
        <w:rPr>
          <w:sz w:val="22"/>
          <w:lang w:val="hu-HU"/>
        </w:rPr>
        <w:t xml:space="preserve">egy </w:t>
      </w:r>
      <w:r w:rsidR="004A3578" w:rsidRPr="00FC51A2">
        <w:rPr>
          <w:sz w:val="22"/>
          <w:lang w:val="hu-HU"/>
        </w:rPr>
        <w:t>III. fázisú</w:t>
      </w:r>
      <w:r w:rsidRPr="00FC51A2">
        <w:rPr>
          <w:sz w:val="22"/>
          <w:lang w:val="hu-HU"/>
        </w:rPr>
        <w:t>, randomizált, kontrollos, 26</w:t>
      </w:r>
      <w:r w:rsidR="004E6619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hetes vizsgálat volt, amelynek során köszvényes és hyperuricaemiás betegeknél 40 mg, illetve 80 mg febuxosztát biztonságosságát és hatásosságát értékelték 300 mg, illetve 200 mg allopurinollal összehasonlítva. 2269 beteget </w:t>
      </w:r>
      <w:r w:rsidR="00287A3F">
        <w:rPr>
          <w:sz w:val="22"/>
          <w:lang w:val="hu-HU"/>
        </w:rPr>
        <w:t>soroltak be</w:t>
      </w:r>
      <w:r w:rsidR="00287A3F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 xml:space="preserve">az alábbi csoportokba: naponta egyszer 40 mg </w:t>
      </w:r>
      <w:r w:rsidRPr="00FC51A2">
        <w:rPr>
          <w:sz w:val="22"/>
          <w:szCs w:val="22"/>
          <w:lang w:val="hu-HU"/>
        </w:rPr>
        <w:t>febuxosztát</w:t>
      </w:r>
      <w:r w:rsidRPr="00FC51A2">
        <w:rPr>
          <w:sz w:val="22"/>
          <w:lang w:val="hu-HU"/>
        </w:rPr>
        <w:t xml:space="preserve"> (n=757), naponta egyszer 80 mg </w:t>
      </w:r>
      <w:r w:rsidRPr="00FC51A2">
        <w:rPr>
          <w:sz w:val="22"/>
          <w:szCs w:val="22"/>
          <w:lang w:val="hu-HU"/>
        </w:rPr>
        <w:t>febuxosztát</w:t>
      </w:r>
      <w:r w:rsidRPr="00FC51A2">
        <w:rPr>
          <w:sz w:val="22"/>
          <w:lang w:val="hu-HU"/>
        </w:rPr>
        <w:t xml:space="preserve"> (n=756), illetve naponta egyszer 300 mg vagy 200 mg allopurinol (n=756).</w:t>
      </w:r>
      <w:r w:rsidR="004E6619" w:rsidRPr="00074E44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 betegek legalább 65%-a szenvedett enyhe </w:t>
      </w:r>
      <w:r w:rsidR="004E6619" w:rsidRPr="00435A31">
        <w:rPr>
          <w:sz w:val="22"/>
          <w:szCs w:val="22"/>
          <w:lang w:val="hu-HU"/>
        </w:rPr>
        <w:t>vagy</w:t>
      </w:r>
      <w:r w:rsidRPr="00435A31">
        <w:rPr>
          <w:sz w:val="22"/>
          <w:szCs w:val="22"/>
          <w:lang w:val="hu-HU"/>
        </w:rPr>
        <w:t xml:space="preserve"> közepesen súlyos vesekárosodásban (kreatinin</w:t>
      </w:r>
      <w:r w:rsidR="00287A3F" w:rsidRPr="00435A31">
        <w:rPr>
          <w:sz w:val="22"/>
          <w:szCs w:val="22"/>
          <w:lang w:val="hu-HU"/>
        </w:rPr>
        <w:t>-clearance</w:t>
      </w:r>
      <w:r w:rsidRPr="00435A31">
        <w:rPr>
          <w:sz w:val="22"/>
          <w:szCs w:val="22"/>
          <w:lang w:val="hu-HU"/>
        </w:rPr>
        <w:t xml:space="preserve"> 30-89 ml/min). A 26</w:t>
      </w:r>
      <w:r w:rsidR="004E6619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hetes kezelési periódus alatt kötelező volt a köszvény fellángolásának profilaxisa.</w:t>
      </w:r>
      <w:r w:rsidR="004E6619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Azoknak a betegeknek az aránya, akiknek a szérumhúgysavszintje &lt;6,0 mg/dl (357 </w:t>
      </w:r>
      <w:r w:rsidRPr="00FC51A2">
        <w:rPr>
          <w:sz w:val="22"/>
          <w:lang w:val="en-US"/>
        </w:rPr>
        <w:t>μ</w:t>
      </w:r>
      <w:r w:rsidRPr="00435A31">
        <w:rPr>
          <w:sz w:val="22"/>
          <w:szCs w:val="22"/>
          <w:lang w:val="hu-HU"/>
        </w:rPr>
        <w:t>mol/l) volt az utolsó vizsgálatkor, 45% volt a 40 mg febuxosztát, 67% volt a 80 mg febuxosztát és 42% volt az allopurinol (300/200 mg) csoportban.</w:t>
      </w:r>
    </w:p>
    <w:p w14:paraId="52CE0014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3E5D057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 xml:space="preserve">Elsődleges végpont a károsodott veseműködésű betegek alcsoportjában </w:t>
      </w:r>
    </w:p>
    <w:p w14:paraId="6276619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Az APEX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 a </w:t>
      </w:r>
      <w:r w:rsidR="009F1649" w:rsidRPr="00435A31">
        <w:rPr>
          <w:sz w:val="22"/>
          <w:lang w:val="hu-HU"/>
        </w:rPr>
        <w:t xml:space="preserve">hatásosságot </w:t>
      </w:r>
      <w:r w:rsidRPr="00435A31">
        <w:rPr>
          <w:sz w:val="22"/>
          <w:lang w:val="hu-HU"/>
        </w:rPr>
        <w:t>40 károsodott veseműködésű betegen (azaz a kiindulási szérum</w:t>
      </w:r>
      <w:r w:rsidR="003B1DC9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kreatininszint &gt;1,5 és ≤2,0 mg/dl) értékelte. A károsodott veseműködésű betegeknél, akiket </w:t>
      </w:r>
      <w:r w:rsidR="009F1649" w:rsidRPr="00435A31">
        <w:rPr>
          <w:sz w:val="22"/>
          <w:lang w:val="hu-HU"/>
        </w:rPr>
        <w:t xml:space="preserve">véletlen besorolással az </w:t>
      </w:r>
      <w:r w:rsidRPr="00435A31">
        <w:rPr>
          <w:sz w:val="22"/>
          <w:lang w:val="hu-HU"/>
        </w:rPr>
        <w:t>allopurinol</w:t>
      </w:r>
      <w:r w:rsidR="009F1649" w:rsidRPr="00435A31">
        <w:rPr>
          <w:sz w:val="22"/>
          <w:lang w:val="hu-HU"/>
        </w:rPr>
        <w:t>-csoportba osztottak be</w:t>
      </w:r>
      <w:r w:rsidRPr="00435A31">
        <w:rPr>
          <w:sz w:val="22"/>
          <w:lang w:val="hu-HU"/>
        </w:rPr>
        <w:t xml:space="preserve">, az adagot napi egyszer 100 mg-ra korlátozták. </w:t>
      </w:r>
      <w:r w:rsidRPr="00435A31">
        <w:rPr>
          <w:sz w:val="22"/>
          <w:szCs w:val="22"/>
          <w:lang w:val="hu-HU"/>
        </w:rPr>
        <w:t>A febuxosztát</w:t>
      </w:r>
      <w:r w:rsidRPr="00435A31">
        <w:rPr>
          <w:sz w:val="22"/>
          <w:lang w:val="hu-HU"/>
        </w:rPr>
        <w:t xml:space="preserve"> az elsődleges hat</w:t>
      </w:r>
      <w:r w:rsidR="009F1649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 xml:space="preserve">sági végpontot a betegek 44%-ánál (napi egyszeri 80 mg), 45%-ánál (napi egyszeri 120 mg) és 60%-ánál (napi egyszeri 240 mg) érte el, míg ugyanez 0% volt a napi egyszer 100 mg allopurinol- és a placebocsoportban. </w:t>
      </w:r>
    </w:p>
    <w:p w14:paraId="728B8CDD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EA7E96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volt klinikai szempontból </w:t>
      </w:r>
      <w:r w:rsidR="00287A3F" w:rsidRPr="00435A31">
        <w:rPr>
          <w:sz w:val="22"/>
          <w:lang w:val="hu-HU"/>
        </w:rPr>
        <w:t xml:space="preserve">szignifikáns </w:t>
      </w:r>
      <w:r w:rsidRPr="00435A31">
        <w:rPr>
          <w:sz w:val="22"/>
          <w:lang w:val="hu-HU"/>
        </w:rPr>
        <w:t xml:space="preserve">különbség a szérumhúgysavszint százalékos csökkenésének mértékében az egészséges alanyok vesefunkciójától függően (58% az ép veseműködésű </w:t>
      </w:r>
      <w:r w:rsidR="00287A3F" w:rsidRPr="00435A31">
        <w:rPr>
          <w:sz w:val="22"/>
          <w:lang w:val="hu-HU"/>
        </w:rPr>
        <w:t>és</w:t>
      </w:r>
      <w:r w:rsidRPr="00435A31">
        <w:rPr>
          <w:sz w:val="22"/>
          <w:lang w:val="hu-HU"/>
        </w:rPr>
        <w:t xml:space="preserve"> 55% a nagymértékben károsodott veseműködésű csoportban).</w:t>
      </w:r>
    </w:p>
    <w:p w14:paraId="3AB1FCA5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93612E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CONFIRMS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vizsgálatban a köszvényes és hyperuricaemiás betegeken egy prospektív</w:t>
      </w:r>
      <w:r w:rsidR="00EE7197" w:rsidRPr="00435A31">
        <w:rPr>
          <w:sz w:val="22"/>
          <w:lang w:val="hu-HU"/>
        </w:rPr>
        <w:t>en meghatározott</w:t>
      </w:r>
      <w:r w:rsidRPr="00435A31">
        <w:rPr>
          <w:sz w:val="22"/>
          <w:lang w:val="hu-HU"/>
        </w:rPr>
        <w:t xml:space="preserve"> analízis kimutatta, hogy a febuxosztát 300 mg, illetve 200 mg allopurinolhoz viszonyítva lényegesen hatékonyabban csökkentette 6,0 mg/dl-es érték alá a szérumhúgysavszintet azoknál a köszvényes betegeknél, akik enyhe </w:t>
      </w:r>
      <w:r w:rsidR="00EE7197" w:rsidRPr="00435A31">
        <w:rPr>
          <w:sz w:val="22"/>
          <w:lang w:val="hu-HU"/>
        </w:rPr>
        <w:t>vagy</w:t>
      </w:r>
      <w:r w:rsidRPr="00435A31">
        <w:rPr>
          <w:sz w:val="22"/>
          <w:lang w:val="hu-HU"/>
        </w:rPr>
        <w:t xml:space="preserve"> közepesen súlyos vesekárosodásban szenvedtek (a vizsgált betegek 65%-a).</w:t>
      </w:r>
    </w:p>
    <w:p w14:paraId="0A7FA39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DB303B6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 xml:space="preserve">Elsődleges végpont a ≥10 mg/dl szérumhúgysavszintű betegek alcsoportjában </w:t>
      </w:r>
    </w:p>
    <w:p w14:paraId="37A237A2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betegek kb. 40%-ánál (APEX és FACT összevontan) a kiindulási szérum</w:t>
      </w:r>
      <w:r w:rsidR="00EE7197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húgysavszintje ≥10 mg/d</w:t>
      </w:r>
      <w:r w:rsidR="00E61B3A" w:rsidRPr="00435A31">
        <w:rPr>
          <w:sz w:val="22"/>
          <w:lang w:val="hu-HU"/>
        </w:rPr>
        <w:t>l volt. Ebben az alcsoportban a</w:t>
      </w:r>
      <w:r w:rsidRPr="00435A31">
        <w:rPr>
          <w:sz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febuxosztát</w:t>
      </w:r>
      <w:r w:rsidRPr="00435A31">
        <w:rPr>
          <w:sz w:val="22"/>
          <w:lang w:val="hu-HU"/>
        </w:rPr>
        <w:t xml:space="preserve"> elérte az elsődleges hat</w:t>
      </w:r>
      <w:r w:rsidR="00EE7197" w:rsidRPr="00435A31">
        <w:rPr>
          <w:sz w:val="22"/>
          <w:lang w:val="hu-HU"/>
        </w:rPr>
        <w:t>ásos</w:t>
      </w:r>
      <w:r w:rsidRPr="00435A31">
        <w:rPr>
          <w:sz w:val="22"/>
          <w:lang w:val="hu-HU"/>
        </w:rPr>
        <w:t xml:space="preserve">sági végpontot (szérumhúgysavszint &lt;6,0 mg/dl az utolsó 3 vizit alkalmával) a betegek 41%-ánál (napi egyszeri 80 mg), 48%-ánál (napi egyszeri 120 mg) és 66%-ánál ( napi egyszeri 240 mg), míg ugyanez 9% volt a napi egyszeri 300 mg-os </w:t>
      </w:r>
      <w:r w:rsidR="00287A3F" w:rsidRPr="00435A31">
        <w:rPr>
          <w:sz w:val="22"/>
          <w:lang w:val="hu-HU"/>
        </w:rPr>
        <w:t>és</w:t>
      </w:r>
      <w:r w:rsidR="00EE7197" w:rsidRPr="00435A31">
        <w:rPr>
          <w:sz w:val="22"/>
          <w:lang w:val="hu-HU"/>
        </w:rPr>
        <w:t xml:space="preserve"> </w:t>
      </w:r>
      <w:r w:rsidR="00287A3F" w:rsidRPr="00435A31">
        <w:rPr>
          <w:sz w:val="22"/>
          <w:lang w:val="hu-HU"/>
        </w:rPr>
        <w:t xml:space="preserve">a </w:t>
      </w:r>
      <w:r w:rsidRPr="00435A31">
        <w:rPr>
          <w:sz w:val="22"/>
          <w:lang w:val="hu-HU"/>
        </w:rPr>
        <w:t>100 mg-os allopurinol csoportban és 0% a placebócsoportban.</w:t>
      </w:r>
    </w:p>
    <w:p w14:paraId="653D058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71094D40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CONFIRMS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vizsgálatban az elsődleges hatásossági végpontot elérő betegek aránya (szérumhúgysavszint &lt;6,0 mg/dl az utolsó vizit során) azoknál a betegeknél, akiknél a kindulási szérumhúgysavszint ≥10 mg/dl volt, 27% (66</w:t>
      </w:r>
      <w:r w:rsidR="002000C2" w:rsidRPr="00435A31">
        <w:rPr>
          <w:sz w:val="22"/>
          <w:lang w:val="hu-HU"/>
        </w:rPr>
        <w:t xml:space="preserve"> a </w:t>
      </w:r>
      <w:r w:rsidRPr="00435A31">
        <w:rPr>
          <w:sz w:val="22"/>
          <w:lang w:val="hu-HU"/>
        </w:rPr>
        <w:t>249</w:t>
      </w:r>
      <w:r w:rsidR="002000C2" w:rsidRPr="00435A31">
        <w:rPr>
          <w:sz w:val="22"/>
          <w:lang w:val="hu-HU"/>
        </w:rPr>
        <w:t>-ből</w:t>
      </w:r>
      <w:r w:rsidRPr="00435A31">
        <w:rPr>
          <w:sz w:val="22"/>
          <w:lang w:val="hu-HU"/>
        </w:rPr>
        <w:t>) volt a napi 40 mg febuxosztáttal kezelt, 49% (125</w:t>
      </w:r>
      <w:r w:rsidR="002000C2" w:rsidRPr="00435A31">
        <w:rPr>
          <w:sz w:val="22"/>
          <w:lang w:val="hu-HU"/>
        </w:rPr>
        <w:t xml:space="preserve"> a </w:t>
      </w:r>
      <w:r w:rsidRPr="00435A31">
        <w:rPr>
          <w:sz w:val="22"/>
          <w:lang w:val="hu-HU"/>
        </w:rPr>
        <w:t>254</w:t>
      </w:r>
      <w:r w:rsidR="002000C2" w:rsidRPr="00435A31">
        <w:rPr>
          <w:sz w:val="22"/>
          <w:lang w:val="hu-HU"/>
        </w:rPr>
        <w:t>-ből</w:t>
      </w:r>
      <w:r w:rsidRPr="00435A31">
        <w:rPr>
          <w:sz w:val="22"/>
          <w:lang w:val="hu-HU"/>
        </w:rPr>
        <w:t>) volt a napi 80 mg febuxosztáttal kezelt és 31% (72</w:t>
      </w:r>
      <w:r w:rsidR="002000C2" w:rsidRPr="00435A31">
        <w:rPr>
          <w:sz w:val="22"/>
          <w:lang w:val="hu-HU"/>
        </w:rPr>
        <w:t xml:space="preserve"> a </w:t>
      </w:r>
      <w:r w:rsidRPr="00435A31">
        <w:rPr>
          <w:sz w:val="22"/>
          <w:lang w:val="hu-HU"/>
        </w:rPr>
        <w:t>230</w:t>
      </w:r>
      <w:r w:rsidR="002000C2" w:rsidRPr="00435A31">
        <w:rPr>
          <w:sz w:val="22"/>
          <w:lang w:val="hu-HU"/>
        </w:rPr>
        <w:t>-ból</w:t>
      </w:r>
      <w:r w:rsidRPr="00435A31">
        <w:rPr>
          <w:sz w:val="22"/>
          <w:lang w:val="hu-HU"/>
        </w:rPr>
        <w:t>) volt a 300 mg, illetve 200 mg allopurinollal kezelt csoportokban.</w:t>
      </w:r>
    </w:p>
    <w:p w14:paraId="0CE58837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CA7521D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Klinikai végeredmények: a köszvény fellángolása miatt kezelésre szoruló betegek részaránya</w:t>
      </w:r>
    </w:p>
    <w:p w14:paraId="1A05FBD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APEX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vizsgálat: A </w:t>
      </w:r>
      <w:r w:rsidR="002000C2" w:rsidRPr="00435A31">
        <w:rPr>
          <w:sz w:val="22"/>
          <w:lang w:val="hu-HU"/>
        </w:rPr>
        <w:t>nyolc</w:t>
      </w:r>
      <w:r w:rsidRPr="00435A31">
        <w:rPr>
          <w:sz w:val="22"/>
          <w:lang w:val="hu-HU"/>
        </w:rPr>
        <w:t>hetes profilaxis periódus alatt a résztvevők nagyobb aránya szorult kezelésre a köszvény fellángolása miatt a 120 mg febuxosztát</w:t>
      </w:r>
      <w:r w:rsidR="00287A3F" w:rsidRPr="00435A31">
        <w:rPr>
          <w:sz w:val="22"/>
          <w:lang w:val="hu-HU"/>
        </w:rPr>
        <w:t>tal</w:t>
      </w:r>
      <w:r w:rsidRPr="00435A31">
        <w:rPr>
          <w:sz w:val="22"/>
          <w:lang w:val="hu-HU"/>
        </w:rPr>
        <w:t xml:space="preserve"> kezel</w:t>
      </w:r>
      <w:r w:rsidR="00287A3F" w:rsidRPr="00435A31">
        <w:rPr>
          <w:sz w:val="22"/>
          <w:lang w:val="hu-HU"/>
        </w:rPr>
        <w:t>t</w:t>
      </w:r>
      <w:r w:rsidRPr="00435A31">
        <w:rPr>
          <w:sz w:val="22"/>
          <w:lang w:val="hu-HU"/>
        </w:rPr>
        <w:t xml:space="preserve"> csoportban (36%), mint a 80 mg febuxosztát</w:t>
      </w:r>
      <w:r w:rsidR="00287A3F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 (28%), a 300 mg allopurinol</w:t>
      </w:r>
      <w:r w:rsidR="00287A3F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 xml:space="preserve"> (23%), valamint a placebocsoportban (20%). A köszvény fellángolás</w:t>
      </w:r>
      <w:r w:rsidR="00291935" w:rsidRPr="00435A31">
        <w:rPr>
          <w:sz w:val="22"/>
          <w:lang w:val="hu-HU"/>
        </w:rPr>
        <w:t>ának gyakorisága</w:t>
      </w:r>
      <w:r w:rsidRPr="00435A31">
        <w:rPr>
          <w:sz w:val="22"/>
          <w:lang w:val="hu-HU"/>
        </w:rPr>
        <w:t xml:space="preserve"> növekedett a profilaxis periódus után, </w:t>
      </w:r>
      <w:r w:rsidR="000646B5" w:rsidRPr="00435A31">
        <w:rPr>
          <w:sz w:val="22"/>
          <w:lang w:val="hu-HU"/>
        </w:rPr>
        <w:t>majd</w:t>
      </w:r>
      <w:r w:rsidRPr="00435A31">
        <w:rPr>
          <w:sz w:val="22"/>
          <w:lang w:val="hu-HU"/>
        </w:rPr>
        <w:t xml:space="preserve"> idővel fokozatosan csökkent. A 8. hét és a 28. hét között a vizsgálati alanyok 46-55%-a kapott a köszvény fellángolása miatt kezelést. A vizsgálat utolsó 4 hetében (24-28 hét között) a köszvény fellángolása a vizsgálat</w:t>
      </w:r>
      <w:r w:rsidR="00291935" w:rsidRPr="00435A31">
        <w:rPr>
          <w:sz w:val="22"/>
          <w:lang w:val="hu-HU"/>
        </w:rPr>
        <w:t>ban</w:t>
      </w:r>
      <w:r w:rsidRPr="00435A31">
        <w:rPr>
          <w:sz w:val="22"/>
          <w:lang w:val="hu-HU"/>
        </w:rPr>
        <w:t xml:space="preserve"> </w:t>
      </w:r>
      <w:r w:rsidR="00291935" w:rsidRPr="00435A31">
        <w:rPr>
          <w:sz w:val="22"/>
          <w:lang w:val="hu-HU"/>
        </w:rPr>
        <w:t>résztvevők</w:t>
      </w:r>
      <w:r w:rsidRPr="00435A31">
        <w:rPr>
          <w:sz w:val="22"/>
          <w:lang w:val="hu-HU"/>
        </w:rPr>
        <w:t xml:space="preserve"> 15%-ánál (febuxosztát 80, 120 mg), 14%-ánál (allopurinol 300 mg) és 20%-ánál (placebo) volt megfigyelhető.</w:t>
      </w:r>
    </w:p>
    <w:p w14:paraId="729BA17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78DAF0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FACT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vizsgálat: A</w:t>
      </w:r>
      <w:r w:rsidR="002000C2" w:rsidRPr="00435A31">
        <w:rPr>
          <w:sz w:val="22"/>
          <w:lang w:val="hu-HU"/>
        </w:rPr>
        <w:t xml:space="preserve"> nyolc</w:t>
      </w:r>
      <w:r w:rsidRPr="00435A31">
        <w:rPr>
          <w:sz w:val="22"/>
          <w:lang w:val="hu-HU"/>
        </w:rPr>
        <w:t>hetes profilaxis periódus alatt a résztvevők nagyobb aránya szorult kezelésre a köszvény fellángolása miatt a 120 mg-os febuxoszt</w:t>
      </w:r>
      <w:r w:rsidR="00291935" w:rsidRPr="00435A31">
        <w:rPr>
          <w:sz w:val="22"/>
          <w:lang w:val="hu-HU"/>
        </w:rPr>
        <w:t>tal</w:t>
      </w:r>
      <w:r w:rsidRPr="00435A31">
        <w:rPr>
          <w:sz w:val="22"/>
          <w:lang w:val="hu-HU"/>
        </w:rPr>
        <w:t xml:space="preserve"> kezel</w:t>
      </w:r>
      <w:r w:rsidR="00291935" w:rsidRPr="00435A31">
        <w:rPr>
          <w:sz w:val="22"/>
          <w:lang w:val="hu-HU"/>
        </w:rPr>
        <w:t>t</w:t>
      </w:r>
      <w:r w:rsidRPr="00435A31">
        <w:rPr>
          <w:sz w:val="22"/>
          <w:lang w:val="hu-HU"/>
        </w:rPr>
        <w:t xml:space="preserve"> csoportban (36%), mint a 80 mg-os febuxosztát</w:t>
      </w:r>
      <w:r w:rsidR="00291935" w:rsidRPr="00435A31">
        <w:rPr>
          <w:sz w:val="22"/>
          <w:lang w:val="hu-HU"/>
        </w:rPr>
        <w:t>tal</w:t>
      </w:r>
      <w:r w:rsidRPr="00435A31">
        <w:rPr>
          <w:sz w:val="22"/>
          <w:lang w:val="hu-HU"/>
        </w:rPr>
        <w:t xml:space="preserve"> (22%) és a 300 mg-os allopurinol</w:t>
      </w:r>
      <w:r w:rsidR="00291935" w:rsidRPr="00435A31">
        <w:rPr>
          <w:sz w:val="22"/>
          <w:lang w:val="hu-HU"/>
        </w:rPr>
        <w:t>lal</w:t>
      </w:r>
      <w:r w:rsidRPr="00435A31">
        <w:rPr>
          <w:sz w:val="22"/>
          <w:lang w:val="hu-HU"/>
        </w:rPr>
        <w:t xml:space="preserve"> (21%) kezel</w:t>
      </w:r>
      <w:r w:rsidR="00291935" w:rsidRPr="00435A31">
        <w:rPr>
          <w:sz w:val="22"/>
          <w:lang w:val="hu-HU"/>
        </w:rPr>
        <w:t>t</w:t>
      </w:r>
      <w:r w:rsidRPr="00435A31">
        <w:rPr>
          <w:sz w:val="22"/>
          <w:lang w:val="hu-HU"/>
        </w:rPr>
        <w:t xml:space="preserve"> csoportokban. A </w:t>
      </w:r>
      <w:r w:rsidR="002000C2" w:rsidRPr="00435A31">
        <w:rPr>
          <w:sz w:val="22"/>
          <w:lang w:val="hu-HU"/>
        </w:rPr>
        <w:t>nyolc</w:t>
      </w:r>
      <w:r w:rsidRPr="00435A31">
        <w:rPr>
          <w:sz w:val="22"/>
          <w:lang w:val="hu-HU"/>
        </w:rPr>
        <w:t>hetes profilaxisperiódus után a köszvény</w:t>
      </w:r>
      <w:r w:rsidR="00291935" w:rsidRPr="00435A31">
        <w:rPr>
          <w:sz w:val="22"/>
          <w:lang w:val="hu-HU"/>
        </w:rPr>
        <w:t>es</w:t>
      </w:r>
      <w:r w:rsidRPr="00435A31">
        <w:rPr>
          <w:sz w:val="22"/>
          <w:lang w:val="hu-HU"/>
        </w:rPr>
        <w:t xml:space="preserve"> fellángolás</w:t>
      </w:r>
      <w:r w:rsidR="00291935" w:rsidRPr="00435A31">
        <w:rPr>
          <w:sz w:val="22"/>
          <w:lang w:val="hu-HU"/>
        </w:rPr>
        <w:t>ok gyakorisága</w:t>
      </w:r>
      <w:r w:rsidRPr="00435A31">
        <w:rPr>
          <w:sz w:val="22"/>
          <w:lang w:val="hu-HU"/>
        </w:rPr>
        <w:t xml:space="preserve"> növekedett, majd idővel fokozatosan csökkent. A 8. hét és az 52. hét között a vizsgálat</w:t>
      </w:r>
      <w:r w:rsidR="00291935" w:rsidRPr="00435A31">
        <w:rPr>
          <w:sz w:val="22"/>
          <w:lang w:val="hu-HU"/>
        </w:rPr>
        <w:t>ban résztvevők</w:t>
      </w:r>
      <w:r w:rsidRPr="00435A31">
        <w:rPr>
          <w:sz w:val="22"/>
          <w:lang w:val="hu-HU"/>
        </w:rPr>
        <w:t xml:space="preserve"> 64-70%-a kapott a köszvény fellángolása miatt kezelést. A vizsgálat utolsó 4 hetében (49</w:t>
      </w:r>
      <w:r w:rsidR="00023054" w:rsidRPr="00435A31">
        <w:rPr>
          <w:sz w:val="22"/>
          <w:lang w:val="hu-HU"/>
        </w:rPr>
        <w:t>–</w:t>
      </w:r>
      <w:r w:rsidRPr="00435A31">
        <w:rPr>
          <w:sz w:val="22"/>
          <w:lang w:val="hu-HU"/>
        </w:rPr>
        <w:t>52. hét) a köszvény fellángolása a vizsgálat</w:t>
      </w:r>
      <w:r w:rsidR="00291935" w:rsidRPr="00435A31">
        <w:rPr>
          <w:sz w:val="22"/>
          <w:lang w:val="hu-HU"/>
        </w:rPr>
        <w:t>ban</w:t>
      </w:r>
      <w:r w:rsidRPr="00435A31">
        <w:rPr>
          <w:sz w:val="22"/>
          <w:lang w:val="hu-HU"/>
        </w:rPr>
        <w:t xml:space="preserve"> </w:t>
      </w:r>
      <w:r w:rsidR="00291935" w:rsidRPr="00435A31">
        <w:rPr>
          <w:sz w:val="22"/>
          <w:lang w:val="hu-HU"/>
        </w:rPr>
        <w:t>résztvevők</w:t>
      </w:r>
      <w:r w:rsidRPr="00435A31">
        <w:rPr>
          <w:sz w:val="22"/>
          <w:lang w:val="hu-HU"/>
        </w:rPr>
        <w:t xml:space="preserve"> 6-8%-ánál (febuxosztát 80, 120 mg), illetve 11%-ánál (allopurinol 300 mg) volt megfigyelhető.</w:t>
      </w:r>
    </w:p>
    <w:p w14:paraId="717FF834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561D53B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köszvény fellángolása miatt kezelésre szoruló résztvevők aránya (APEX és FACT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 xml:space="preserve">vizsgálat) </w:t>
      </w:r>
      <w:r w:rsidR="00C318E1" w:rsidRPr="00435A31">
        <w:rPr>
          <w:sz w:val="22"/>
          <w:lang w:val="hu-HU"/>
        </w:rPr>
        <w:t xml:space="preserve">a kezelés utolsó 32 hetében (a 20-24. héttől a 48-52. hétig tartó intervallum) </w:t>
      </w:r>
      <w:r w:rsidRPr="00435A31">
        <w:rPr>
          <w:sz w:val="22"/>
          <w:lang w:val="hu-HU"/>
        </w:rPr>
        <w:t>számszerűen alacsonyabb volt azokban a csoportokban, amelyekben a vizsgálat kezdete után átlagosan &lt;6 mg/dl, &lt;5 mg/dl vagy &lt;4 mg/dl szérumhúgysavszintet sikerült elérni, szemben azzal a csoporttal, amelyiknek átlagos szérumhúgysavszintje ≥6 mg/dl volt</w:t>
      </w:r>
      <w:r w:rsidR="00553A56" w:rsidRPr="00435A31">
        <w:rPr>
          <w:sz w:val="22"/>
          <w:lang w:val="hu-HU"/>
        </w:rPr>
        <w:t>.</w:t>
      </w:r>
    </w:p>
    <w:p w14:paraId="253E1978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A63CCA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CONFIRMS</w:t>
      </w:r>
      <w:r w:rsidR="007475C5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vizsgálat során a köszvény fellángolása miatt kezelésre szoruló betegek aránya (a kezelés első napjától a 6. hónap végéig) 31% volt a napi 80 mg febuxosztáttal kezelt és 25% volt az allopurinollal kezelt csoportokban. Nem mutatkozott különbség a 40 mg illetve a 80 mg febuxosztáttal kezelt csoportok között a köszvény fellángolása miatt kezelésre szoruló betegek arányában.</w:t>
      </w:r>
    </w:p>
    <w:p w14:paraId="41B0495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2FA5A6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>Hosszú távú, nyílt, kiterjesztéses klinikai vizsgálatok</w:t>
      </w:r>
    </w:p>
    <w:p w14:paraId="796C2744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EXCEL</w:t>
      </w:r>
      <w:r w:rsidR="00023054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vizsgálat (C02-021): Az EXCEL</w:t>
      </w:r>
      <w:r w:rsidR="00023054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 xml:space="preserve">vizsgálat egy 3 éven át tartó, </w:t>
      </w:r>
      <w:r w:rsidR="004A3578" w:rsidRPr="00435A31">
        <w:rPr>
          <w:sz w:val="22"/>
          <w:szCs w:val="22"/>
          <w:lang w:val="hu-HU"/>
        </w:rPr>
        <w:t>III. fázisú</w:t>
      </w:r>
      <w:r w:rsidRPr="00435A31">
        <w:rPr>
          <w:sz w:val="22"/>
          <w:szCs w:val="22"/>
          <w:lang w:val="hu-HU"/>
        </w:rPr>
        <w:t>, nyílt, multicentrikus, randomizált, allopurinol</w:t>
      </w:r>
      <w:r w:rsidR="00023054" w:rsidRPr="00435A31">
        <w:rPr>
          <w:sz w:val="22"/>
          <w:szCs w:val="22"/>
          <w:lang w:val="hu-HU"/>
        </w:rPr>
        <w:t>-</w:t>
      </w:r>
      <w:r w:rsidRPr="00435A31">
        <w:rPr>
          <w:sz w:val="22"/>
          <w:szCs w:val="22"/>
          <w:lang w:val="hu-HU"/>
        </w:rPr>
        <w:t xml:space="preserve">kontrollos biztonságossági kiterjesztéses vizsgálat volt, azok számára, akik befejezték a </w:t>
      </w:r>
      <w:r w:rsidR="005752DC" w:rsidRPr="00435A31">
        <w:rPr>
          <w:sz w:val="22"/>
          <w:szCs w:val="22"/>
          <w:lang w:val="hu-HU"/>
        </w:rPr>
        <w:t>kulcsfontosságú</w:t>
      </w:r>
      <w:r w:rsidR="00553A56" w:rsidRPr="00435A31">
        <w:rPr>
          <w:sz w:val="22"/>
          <w:szCs w:val="22"/>
          <w:lang w:val="hu-HU"/>
        </w:rPr>
        <w:t>,</w:t>
      </w:r>
      <w:r w:rsidRPr="00435A31">
        <w:rPr>
          <w:sz w:val="22"/>
          <w:szCs w:val="22"/>
          <w:lang w:val="hu-HU"/>
        </w:rPr>
        <w:t xml:space="preserve"> </w:t>
      </w:r>
      <w:r w:rsidR="004A3578" w:rsidRPr="00435A31">
        <w:rPr>
          <w:sz w:val="22"/>
          <w:szCs w:val="22"/>
          <w:lang w:val="hu-HU"/>
        </w:rPr>
        <w:t>III. fázisú</w:t>
      </w:r>
      <w:r w:rsidRPr="00435A31">
        <w:rPr>
          <w:sz w:val="22"/>
          <w:szCs w:val="22"/>
          <w:lang w:val="hu-HU"/>
        </w:rPr>
        <w:t xml:space="preserve"> (APEX vagy FACT) vizsgálatot. Összesen 1086 beteget vontak be a vizsgálatba az alábbi csoportokba: naponta egyszer 80 mg febuxosztát (n=649), naponta egyszer 120 mg febuxosztát (n=292), illetve naponta egyszer 300 mg vagy 100 mg allopurinol (n=145). A betegek közel 69%-ánál nem volt szükség a kezelés módosítására a fenntartó kezelés beállításához. Azokat a betegeket, akiknél a szérumhúgysavszint három, egymást követő értéke &gt;6 mg/dl volt, kizárták a vizsgálatból.</w:t>
      </w:r>
    </w:p>
    <w:p w14:paraId="452B5ED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A szérumhúgysav</w:t>
      </w:r>
      <w:r w:rsidR="00023054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>értékeket sikerült mindvégig megfelelő szinten tartani (azaz a kezdeti 80 mg febuxosztáttal kezeltek 91%-ánál és a 120 mg-mal kezeltek 93%-ánál mértek a 36. hónapban &lt;6 mg/dl szérumhúgysavszinteket).</w:t>
      </w:r>
    </w:p>
    <w:p w14:paraId="2BE1C010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0E91DF8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3 év alatt összegyűjtött adatok azt bizonyítják, hogy csökkent a köszvény fellángolásá</w:t>
      </w:r>
      <w:r w:rsidR="00BE4A56" w:rsidRPr="00435A31">
        <w:rPr>
          <w:sz w:val="22"/>
          <w:szCs w:val="22"/>
          <w:lang w:val="hu-HU"/>
        </w:rPr>
        <w:t>nak</w:t>
      </w:r>
      <w:r w:rsidRPr="00435A31">
        <w:rPr>
          <w:sz w:val="22"/>
          <w:szCs w:val="22"/>
          <w:lang w:val="hu-HU"/>
        </w:rPr>
        <w:t xml:space="preserve"> előfordulási gyakorisága, és a betegek kevesebb</w:t>
      </w:r>
      <w:r w:rsidR="00023054" w:rsidRPr="00435A31">
        <w:rPr>
          <w:sz w:val="22"/>
          <w:szCs w:val="22"/>
          <w:lang w:val="hu-HU"/>
        </w:rPr>
        <w:t>,</w:t>
      </w:r>
      <w:r w:rsidRPr="00435A31">
        <w:rPr>
          <w:sz w:val="22"/>
          <w:szCs w:val="22"/>
          <w:lang w:val="hu-HU"/>
        </w:rPr>
        <w:t xml:space="preserve"> mint 4%-a szorult kezelésre fellángolás miatt (azaz több mint 96%-uk nem szorult kezelésre fellángolás miatt) a 16</w:t>
      </w:r>
      <w:r w:rsidR="00023054" w:rsidRPr="00435A31">
        <w:rPr>
          <w:sz w:val="22"/>
          <w:szCs w:val="22"/>
          <w:lang w:val="hu-HU"/>
        </w:rPr>
        <w:t>–</w:t>
      </w:r>
      <w:r w:rsidRPr="00435A31">
        <w:rPr>
          <w:sz w:val="22"/>
          <w:szCs w:val="22"/>
          <w:lang w:val="hu-HU"/>
        </w:rPr>
        <w:t>24. és a 30</w:t>
      </w:r>
      <w:r w:rsidR="00023054" w:rsidRPr="00435A31">
        <w:rPr>
          <w:sz w:val="22"/>
          <w:szCs w:val="22"/>
          <w:lang w:val="hu-HU"/>
        </w:rPr>
        <w:t>–</w:t>
      </w:r>
      <w:r w:rsidRPr="00435A31">
        <w:rPr>
          <w:sz w:val="22"/>
          <w:szCs w:val="22"/>
          <w:lang w:val="hu-HU"/>
        </w:rPr>
        <w:t>36.hónapban.</w:t>
      </w:r>
    </w:p>
    <w:p w14:paraId="0D3852D3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4CE1EE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fenntartó kezelésként napi egyszeri </w:t>
      </w:r>
      <w:r w:rsidR="00BE4A56" w:rsidRPr="00435A31">
        <w:rPr>
          <w:sz w:val="22"/>
          <w:lang w:val="hu-HU"/>
        </w:rPr>
        <w:t>8</w:t>
      </w:r>
      <w:r w:rsidRPr="00435A31">
        <w:rPr>
          <w:sz w:val="22"/>
          <w:lang w:val="hu-HU"/>
        </w:rPr>
        <w:t>0 mg febuxosztáttal kezeltek 46%-ánál, a napi egyszeri 120</w:t>
      </w:r>
      <w:r w:rsidR="00023054" w:rsidRPr="00435A31">
        <w:rPr>
          <w:sz w:val="22"/>
          <w:lang w:val="hu-HU"/>
        </w:rPr>
        <w:t> </w:t>
      </w:r>
      <w:r w:rsidRPr="00435A31">
        <w:rPr>
          <w:sz w:val="22"/>
          <w:lang w:val="hu-HU"/>
        </w:rPr>
        <w:t xml:space="preserve">mg-mal kezeltek 38%-ánál a kezelés kezdetén tapintható, primer tophusok teljesen megszűntek az utolsó vizsgálat idejére. </w:t>
      </w:r>
    </w:p>
    <w:p w14:paraId="32844AE0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18394DBE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FOCUS (TMX-01-005 jelzésű) vizsgálat egy 5 éven át tartó, </w:t>
      </w:r>
      <w:r w:rsidR="005752DC" w:rsidRPr="00435A31">
        <w:rPr>
          <w:sz w:val="22"/>
          <w:lang w:val="hu-HU"/>
        </w:rPr>
        <w:t>II</w:t>
      </w:r>
      <w:r w:rsidR="007D5401" w:rsidRPr="00435A31">
        <w:rPr>
          <w:sz w:val="22"/>
          <w:lang w:val="hu-HU"/>
        </w:rPr>
        <w:t>. fázisú</w:t>
      </w:r>
      <w:r w:rsidRPr="00435A31">
        <w:rPr>
          <w:sz w:val="22"/>
          <w:lang w:val="hu-HU"/>
        </w:rPr>
        <w:t xml:space="preserve">, nyílt, multicentrikus, biztonságossági kiterjesztéses vizsgálat volt azok számára, akik befejezték a TMX-00-004 jelzésű, </w:t>
      </w:r>
      <w:r w:rsidR="002000C2" w:rsidRPr="00435A31">
        <w:rPr>
          <w:sz w:val="22"/>
          <w:lang w:val="hu-HU"/>
        </w:rPr>
        <w:t>négy</w:t>
      </w:r>
      <w:r w:rsidRPr="00435A31">
        <w:rPr>
          <w:sz w:val="22"/>
          <w:lang w:val="hu-HU"/>
        </w:rPr>
        <w:t>hetes, kettős</w:t>
      </w:r>
      <w:r w:rsidR="00A93CA0" w:rsidRPr="00435A31">
        <w:rPr>
          <w:sz w:val="22"/>
          <w:lang w:val="hu-HU"/>
        </w:rPr>
        <w:t xml:space="preserve"> </w:t>
      </w:r>
      <w:r w:rsidRPr="00435A31">
        <w:rPr>
          <w:sz w:val="22"/>
          <w:lang w:val="hu-HU"/>
        </w:rPr>
        <w:t>vak febuxosztát vizsgálatot. A vizsgálatba 116, olyan beteget vontak be, akik kezdetben napi egyszeri 80 mg febuxosztát-kezelést kaptak. A betegek 62%-ánál nem volt szükség a dózis módosítására a &lt;6 mg/dl szérumhúgysavszint fenntartásához, és a betegek 38%-ánál volt szükség az adag módosítására a fenntartó kezelés beállításához.</w:t>
      </w:r>
    </w:p>
    <w:p w14:paraId="696827BF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5BC9AD4A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Az utolsó vizsgálatkor &lt;6 mg/dl (357 </w:t>
      </w:r>
      <w:r w:rsidRPr="00FC51A2">
        <w:rPr>
          <w:sz w:val="22"/>
          <w:lang w:val="en-US"/>
        </w:rPr>
        <w:t>μ</w:t>
      </w:r>
      <w:r w:rsidRPr="00435A31">
        <w:rPr>
          <w:sz w:val="22"/>
          <w:lang w:val="hu-HU"/>
        </w:rPr>
        <w:t>mol/l) szérumhúgysavszinttel rendelkező betegek aránya valamennyi febuxosztáttal kezelt csoportban meghaladta a 80%-ot (81</w:t>
      </w:r>
      <w:r w:rsidR="005E2CF1" w:rsidRPr="00435A31">
        <w:rPr>
          <w:sz w:val="22"/>
          <w:lang w:val="hu-HU"/>
        </w:rPr>
        <w:t>–</w:t>
      </w:r>
      <w:r w:rsidRPr="00435A31">
        <w:rPr>
          <w:sz w:val="22"/>
          <w:lang w:val="hu-HU"/>
        </w:rPr>
        <w:t>100%).</w:t>
      </w:r>
    </w:p>
    <w:p w14:paraId="6309E718" w14:textId="77777777" w:rsidR="00B3283F" w:rsidRPr="00435A31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0DF35D30" w14:textId="74BB29CB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</w:t>
      </w:r>
      <w:r w:rsidR="004A3578" w:rsidRPr="00435A31">
        <w:rPr>
          <w:sz w:val="22"/>
          <w:lang w:val="hu-HU"/>
        </w:rPr>
        <w:t>III. fázisú</w:t>
      </w:r>
      <w:r w:rsidRPr="00435A31">
        <w:rPr>
          <w:sz w:val="22"/>
          <w:lang w:val="hu-HU"/>
        </w:rPr>
        <w:t xml:space="preserve"> klinikai vizsgálatok során enyhe rendellenességeket figyeltek meg a májfunkciós tesztek</w:t>
      </w:r>
      <w:r w:rsidR="00BE4A56" w:rsidRPr="00435A31">
        <w:rPr>
          <w:sz w:val="22"/>
          <w:lang w:val="hu-HU"/>
        </w:rPr>
        <w:t xml:space="preserve"> során</w:t>
      </w:r>
      <w:r w:rsidRPr="00435A31">
        <w:rPr>
          <w:sz w:val="22"/>
          <w:lang w:val="hu-HU"/>
        </w:rPr>
        <w:t xml:space="preserve"> a febuxosztáttal kezelt betegeken (5,0%). Ez</w:t>
      </w:r>
      <w:r w:rsidR="0041603D" w:rsidRPr="00435A31">
        <w:rPr>
          <w:sz w:val="22"/>
          <w:lang w:val="hu-HU"/>
        </w:rPr>
        <w:t>ek</w:t>
      </w:r>
      <w:r w:rsidRPr="00435A31">
        <w:rPr>
          <w:sz w:val="22"/>
          <w:lang w:val="hu-HU"/>
        </w:rPr>
        <w:t xml:space="preserve"> gyakoriság</w:t>
      </w:r>
      <w:r w:rsidR="0041603D" w:rsidRPr="00435A31">
        <w:rPr>
          <w:sz w:val="22"/>
          <w:lang w:val="hu-HU"/>
        </w:rPr>
        <w:t>a</w:t>
      </w:r>
      <w:r w:rsidRPr="00435A31">
        <w:rPr>
          <w:sz w:val="22"/>
          <w:lang w:val="hu-HU"/>
        </w:rPr>
        <w:t xml:space="preserve"> hasonló volt az allopurinol kezelés során bejelentetthez (4,2%) (lásd 4.4 pont). Magasabb TSH-szinteket (&gt;5,5 </w:t>
      </w:r>
      <w:r w:rsidRPr="00FC51A2">
        <w:rPr>
          <w:sz w:val="22"/>
          <w:lang w:val="en-US"/>
        </w:rPr>
        <w:t>μ</w:t>
      </w:r>
      <w:r w:rsidRPr="00435A31">
        <w:rPr>
          <w:sz w:val="22"/>
          <w:lang w:val="hu-HU"/>
        </w:rPr>
        <w:t>NE/ml) figyeltek meg hosszú távon febuxosztáttal kezelt betegeknél (5,5%) és allopurinollal kezelt betegek</w:t>
      </w:r>
      <w:r w:rsidR="0041603D" w:rsidRPr="00435A31">
        <w:rPr>
          <w:sz w:val="22"/>
          <w:lang w:val="hu-HU"/>
        </w:rPr>
        <w:t>nél</w:t>
      </w:r>
      <w:r w:rsidRPr="00435A31">
        <w:rPr>
          <w:sz w:val="22"/>
          <w:lang w:val="hu-HU"/>
        </w:rPr>
        <w:t xml:space="preserve"> is (5,8%) a hosszú távú, nyílt, kiterjesztéses vizsgálatok során (lásd 4.4 pont).</w:t>
      </w:r>
    </w:p>
    <w:p w14:paraId="4B3F384C" w14:textId="618FCC21" w:rsidR="00F74C22" w:rsidRPr="00435A31" w:rsidRDefault="00F74C22" w:rsidP="00A17448">
      <w:pPr>
        <w:shd w:val="clear" w:color="auto" w:fill="FFFFFF" w:themeFill="background1"/>
        <w:rPr>
          <w:sz w:val="22"/>
          <w:lang w:val="hu-HU"/>
        </w:rPr>
      </w:pPr>
    </w:p>
    <w:p w14:paraId="234FAE58" w14:textId="77777777" w:rsidR="00F74C22" w:rsidRPr="00435A31" w:rsidRDefault="00F74C22" w:rsidP="00F74C22">
      <w:pPr>
        <w:shd w:val="clear" w:color="auto" w:fill="FFFFFF"/>
        <w:rPr>
          <w:i/>
          <w:iCs/>
          <w:sz w:val="22"/>
          <w:szCs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>Forgalomba hozatalt követő hosszú távú klinikai vizsgálatok</w:t>
      </w:r>
    </w:p>
    <w:p w14:paraId="69491F2E" w14:textId="4D8963C7" w:rsidR="00680D2F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CARES vizsgálat multicentrikus, randomizált, kettős vak, noninferioritási klinikai vizsgálat volt,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amely a cardiovacularis (CV) kimeneteleket hasonlította össze olyan, febuxosztáttal, illetve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allopurinollal kezelt, köszvényben szenvedő betegek esetében, akiknek kórtörténetében súlyos CV</w:t>
      </w:r>
      <w:r w:rsidR="005F5CE6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betegség, így myocardialis infarctus (MI), instabil angina kórházi kezelése, coronaria- vagy cerebralis revaszkularizációs eljárás, kórházi kezelést igénylő tranziens ischemiás roham (TIA), perifériás érbetegség, illetve bizonyítottan mikrovaszkuláris vagy makrovaszkuláris betegséggel járó diabetes szerepelt. A szérumhúgysavszint 6 mg/dl-es érték alá csökkentése céljából a febuxosztát dózisát (függetlenül a vesefunkciótól) 40 mg-tól 80 mg-ig titrálták, az allopurinol dózisát pedig normál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veseműködésű és enyhe vesekárosodásban szenvedő betegeknél 100 mg-os lépésekben 300 mg-tól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600 mg-ig, illetve közepesen súlyos vesekárosodásban szenvedőknél 200 mg-tól 400 mg-ig titrálták.</w:t>
      </w:r>
      <w:r w:rsidR="00680D2F" w:rsidRPr="00435A31">
        <w:rPr>
          <w:sz w:val="22"/>
          <w:szCs w:val="22"/>
          <w:lang w:val="hu-HU"/>
        </w:rPr>
        <w:t xml:space="preserve"> </w:t>
      </w:r>
    </w:p>
    <w:p w14:paraId="67E9017C" w14:textId="3811FAD9" w:rsidR="00F74C22" w:rsidRPr="00435A31" w:rsidRDefault="00F74C22" w:rsidP="00095ECB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 xml:space="preserve">A CARES vizsgálat elsődleges végpontja a MACE (major adverse cardiac events – </w:t>
      </w:r>
      <w:r w:rsidR="00095ECB" w:rsidRPr="00435A31">
        <w:rPr>
          <w:sz w:val="22"/>
          <w:szCs w:val="22"/>
          <w:lang w:val="hu-HU"/>
        </w:rPr>
        <w:t>jelentős cardiovascularis nemkívánatos események</w:t>
      </w:r>
      <w:r w:rsidRPr="00435A31">
        <w:rPr>
          <w:sz w:val="22"/>
          <w:szCs w:val="22"/>
          <w:lang w:val="hu-HU"/>
        </w:rPr>
        <w:t>) első előfordulási ideje volt, ami a nem fatális kimenetelű MI, a nem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fatális kimenetelű stroke, a CV halálozás és a sürgős coronaria revaszkularizációt igénylő instabil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angina kombinációja volt.</w:t>
      </w:r>
    </w:p>
    <w:p w14:paraId="380A93C7" w14:textId="083818C8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Az elsődleges és másodlagos végpontok analízisét intention-to-treat (ITT) elemzés alapján végezték,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minden olyan vizsgálati személy bevonásával, akiket randomizáltak, és akik legalább egy adag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gyógyszert kaptak a kettős vak vizsgálati elrendezésben.</w:t>
      </w:r>
    </w:p>
    <w:p w14:paraId="08D3FBC2" w14:textId="7777777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Összességében a betegek 56,6%-a idő előtt abbahagyta a klinikai vizsgálati kezelést, és a betegek 45%- a nem jelent meg valamennyi viziten.</w:t>
      </w:r>
    </w:p>
    <w:p w14:paraId="698647FC" w14:textId="5902961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Összesen 6190 beteget követtek, átlagosan 32 hónapon keresztül, és a kezelés medián időtartama 728</w:t>
      </w:r>
      <w:r w:rsidR="00680D2F" w:rsidRPr="00435A31">
        <w:rPr>
          <w:sz w:val="22"/>
          <w:szCs w:val="22"/>
          <w:lang w:val="hu-HU"/>
        </w:rPr>
        <w:t> </w:t>
      </w:r>
      <w:r w:rsidRPr="00435A31">
        <w:rPr>
          <w:sz w:val="22"/>
          <w:szCs w:val="22"/>
          <w:lang w:val="hu-HU"/>
        </w:rPr>
        <w:t>nap volt a febuxosztát csoportban (n=3098) és 719 nap az allopurinol csoportban (n=3092).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Az elsődleges MACE-végpont hasonló gyakorisággal fordult elő a febuxosztáttal és az allopurinollal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kezelt csoportokban (a betegek 10,8%-ánál, illetve 10,4%-ánál, hazard ratio [HR] 1,03; a kétoldali,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ismétlődő konfidencia intervallum [CI] 0,89-1,21).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 MACE egyes összetevőinek elemzése során a febuxosztát kezelésnél a CV halálozás aránya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magasabbnak bizonyult, mint az allopurinolnál (a betegek 4,3%-ánál, illetve 3,2%-ánál, HR: 1,34,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95%-os CI: 1,03-1,73). A febuxosztát és az allopurinol csoportokban hasonló volt az előfordulási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gyakorisága a többi MACE-eseménynek, azaz a nem fatális kimenetelű MI-nak (a betegek 3,6%-ánál,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illetve 3,8%-ánál, HR: 0,93, 95%-os CI: 0,72-1,21), a nem fatális kimenetelű stroke-nak (a betegek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2,3%-ánál, illetve 2,3%-ánál, HR: 1,01, 95%-os CI: 0,73-1,41) és a sürgős revaszkularizációt igénylő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instabil anginának (a betegek 1,6%-ánál, illetve 1,8%-ánál, HR: 0,86, 95%-os CI: 0,59-1,26).</w:t>
      </w:r>
    </w:p>
    <w:p w14:paraId="7D90D87D" w14:textId="34727B49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Az össz-mortalitási arány is magasabb volt a febuxosztáttal, mint allopurinollal kezelteknél (a betegek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7,8%-ánál, illetve 6,4%-ánál; HR: 1,22; 95%-os CI: 1,01-1,47), ami elsősorban a magasabb CV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halálozásból adódott a febuxosztát csoportban (lásd 4.4 pont).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 szívelégtelenség miatti hospitalizáció, az ischemiával nem összefüggő, arrhythmiák miatti kórházi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felvételek, a vénás thromboemboliás események és a tranziens ischaemiás rohamok miatti kórházi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kezelések előfordulási gyakorisága hasonló volt a febuxosztát és az allopurinol esetében.</w:t>
      </w:r>
    </w:p>
    <w:p w14:paraId="38CE3257" w14:textId="7777777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</w:p>
    <w:p w14:paraId="2AE13F76" w14:textId="4C89147F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FAST vizsgálat egy prospektív, randomizált, nyílt elrendezésű, vak végpontú vizsgálat volt, amely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febuxosztát cardiovascularis biztonságosságát értékelte az allopurinollal összehasonlítva krónikus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hyperuricaemiás betegeknél (olyan állapotokban, amikor a húgysavlerakódás már bekövetkezett) és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cardiovascularis kockázati tényezőkkel rendelkező betegeknél (tehát legalább 60 éves és legalább egy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egyéb cardiovascularis kockázati tényezővel rendelkező betegek). A bevonásra alkalmas betegek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allopurinol-kezelést kaptak a randomizáció előtt, és szükség szerint dózismódosítást végeztek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kezelőorvos klinikai megítélése, az EULAR ajánlások és a jóváhagyott adagolás alapján. Az allopurinol bevezető fázis végén a &lt;0,36 mmol/l (&lt;6 mg/dl) szérumhúgysav-szinttel rendelkező, illetve az allopurinol legnagyobb tolerált dózisával vagy legnagyobb engedélyezett dózisával kezelt betegeket 1:1 arányban randomizálták febuxosztát- vagy allopurinol-kezelésre. A FAST vizsgálat elsődleges végpontja az APTC események (az ún. Antiplatelet Trialists’ Collaborative, vagyis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„Thrombocytaaggregációt gátló kezelést értékelő klinikai vizsgálatot végzők együttműködése” által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meghatározott események) bármelyikének első előfordulásáig eltelt idő volt, ezek közé tartozott: i)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MI/biomarker-pozitív, nem fatális kimenetelű akut coronaria szindróma (ACS) miatti kórházi felvétel;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ii) nem fatális kimenetelű stroke; iii) cardiovascularis esemény miatti halál. Az elsődleges elemzést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tényleges kezelés időtartama (OT) megközelítés alapján végezték.</w:t>
      </w:r>
    </w:p>
    <w:p w14:paraId="1E4C650A" w14:textId="77777777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Összességében 6128 beteget randomizáltak, 3063-at febuxosztát-kezelésre és 3065-öt allopurinolkezelésre. A febuxosztát csoportban rövidebb volt a kezelés medián időtartama, mint az allopurinol csoportban (1227 nap vs. 1393 nap).</w:t>
      </w:r>
    </w:p>
    <w:p w14:paraId="2A7EC019" w14:textId="4A992982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Az elsődleges OT elemzésben a febuxosztát non-inferior volt az allopurinolhoz viszonyítva az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elsődleges végpont incidenciájának tekintetében, amely 172 febuxosztáttal kezelt betegnél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(1,72/100 betegév), illetve 241 allopurinollal kezelt betegnél (2,05/100 betegév) következett be, és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korrigált relatív hazárd (HR) 0,85 volt (95%-os CI: 0,70, 1,03), p&lt;0,001. Azon betegek alcsoportjában, akiknek kórelőzményében MI, stroke vagy ACS szerepelt, az elsődleges végpont OT elemzése nem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mutatott szignifikáns különbséget a kezelési csoportok között: a febuxosztát-csoportban 65 betegnél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(9,5%), az allopurinol-csoportban 83 betegnél (11.8%) észleltek eseményt; a korrigált relatív hazárd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(HR) 1,02 volt (95%-os CI: 0,74–1,42); p=0,202.</w:t>
      </w:r>
    </w:p>
    <w:p w14:paraId="4176A24A" w14:textId="2E903631" w:rsidR="00F74C22" w:rsidRPr="00435A31" w:rsidRDefault="00F74C22" w:rsidP="00F74C22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febuxosztát-kezelés nem járt együtt a cardiovascularis eredetű halálozás vagy a bármely okból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bekövetkező halálozás megnövekedésével, sem összességében, sem azon betegek alcsoportjában,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akiknek kórelőzményében a kiindulást megelőző MI, stroke vagy ACS szerepelt. Összességében a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febuxosztát-csoportban alacsonyabb volt a halálesetek száma (62 cardiovascularis eredetű halálozás és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108 bármely okból bekövetkező halálozás), mint az allopurinol-csoportban (82 cardiovascularis eredetű halálozás és 174 bármely okból bekövetkező halálozás).</w:t>
      </w:r>
    </w:p>
    <w:p w14:paraId="38D58B6A" w14:textId="41B439EE" w:rsidR="00095ECB" w:rsidRPr="00435A31" w:rsidRDefault="00F74C22" w:rsidP="00C80E6C">
      <w:pPr>
        <w:shd w:val="clear" w:color="auto" w:fill="FFFFFF"/>
        <w:rPr>
          <w:sz w:val="22"/>
          <w:szCs w:val="22"/>
          <w:lang w:val="hu-HU"/>
        </w:rPr>
      </w:pPr>
      <w:r w:rsidRPr="00435A31">
        <w:rPr>
          <w:sz w:val="22"/>
          <w:szCs w:val="22"/>
          <w:lang w:val="hu-HU"/>
        </w:rPr>
        <w:t>A febuxosztát-kezelés mellett nagyobb mértékben csökkent a húgysavszint, mint allopurinol-kezelés</w:t>
      </w:r>
      <w:r w:rsidR="00680D2F" w:rsidRPr="00435A31">
        <w:rPr>
          <w:sz w:val="22"/>
          <w:szCs w:val="22"/>
          <w:lang w:val="hu-HU"/>
        </w:rPr>
        <w:t xml:space="preserve"> </w:t>
      </w:r>
      <w:r w:rsidRPr="00435A31">
        <w:rPr>
          <w:sz w:val="22"/>
          <w:szCs w:val="22"/>
          <w:lang w:val="hu-HU"/>
        </w:rPr>
        <w:t>mellett.</w:t>
      </w:r>
    </w:p>
    <w:p w14:paraId="4C4AA944" w14:textId="77777777" w:rsidR="00E92ADF" w:rsidRPr="00435A31" w:rsidRDefault="00E92ADF" w:rsidP="00A17448">
      <w:pPr>
        <w:shd w:val="clear" w:color="auto" w:fill="FFFFFF" w:themeFill="background1"/>
        <w:rPr>
          <w:i/>
          <w:sz w:val="22"/>
          <w:u w:val="single"/>
          <w:lang w:val="hu-HU"/>
        </w:rPr>
      </w:pPr>
    </w:p>
    <w:p w14:paraId="674C83B2" w14:textId="5245BF10" w:rsidR="00B3283F" w:rsidRPr="00A17448" w:rsidRDefault="00435A31" w:rsidP="00A17448">
      <w:pPr>
        <w:rPr>
          <w:color w:val="000000"/>
          <w:sz w:val="22"/>
          <w:u w:val="single"/>
          <w:lang w:val="hu-HU"/>
        </w:rPr>
      </w:pPr>
      <w:r>
        <w:rPr>
          <w:color w:val="000000"/>
          <w:sz w:val="22"/>
          <w:u w:val="single"/>
          <w:lang w:val="hu-HU"/>
        </w:rPr>
        <w:t>Febuxostat PharOS</w:t>
      </w:r>
      <w:r w:rsidR="00655912">
        <w:rPr>
          <w:color w:val="000000"/>
          <w:sz w:val="22"/>
          <w:szCs w:val="22"/>
          <w:u w:val="single"/>
          <w:lang w:val="hu-HU"/>
        </w:rPr>
        <w:t xml:space="preserve"> </w:t>
      </w:r>
      <w:r w:rsidR="00B3283F" w:rsidRPr="00A17448">
        <w:rPr>
          <w:color w:val="000000"/>
          <w:sz w:val="22"/>
          <w:szCs w:val="22"/>
          <w:u w:val="single"/>
          <w:lang w:val="hu-HU"/>
        </w:rPr>
        <w:t>120</w:t>
      </w:r>
      <w:r w:rsidR="00B3283F" w:rsidRPr="00A17448">
        <w:rPr>
          <w:color w:val="000000"/>
          <w:sz w:val="22"/>
          <w:u w:val="single"/>
          <w:lang w:val="hu-HU"/>
        </w:rPr>
        <w:t xml:space="preserve"> mg</w:t>
      </w:r>
      <w:r w:rsidR="00655912">
        <w:rPr>
          <w:color w:val="000000"/>
          <w:sz w:val="22"/>
          <w:u w:val="single"/>
          <w:lang w:val="hu-HU"/>
        </w:rPr>
        <w:t xml:space="preserve"> filmtabletta</w:t>
      </w:r>
      <w:r w:rsidR="00B3283F" w:rsidRPr="00A17448">
        <w:rPr>
          <w:color w:val="000000"/>
          <w:sz w:val="22"/>
          <w:u w:val="single"/>
          <w:lang w:val="hu-HU"/>
        </w:rPr>
        <w:t>:</w:t>
      </w:r>
    </w:p>
    <w:p w14:paraId="7D653660" w14:textId="77777777" w:rsidR="00B3283F" w:rsidRPr="00FC51A2" w:rsidRDefault="001C0683" w:rsidP="00A17448">
      <w:pPr>
        <w:rPr>
          <w:i/>
          <w:color w:val="000000"/>
          <w:sz w:val="22"/>
          <w:u w:val="single"/>
          <w:lang w:val="hu-HU"/>
        </w:rPr>
      </w:pPr>
      <w:r>
        <w:rPr>
          <w:i/>
          <w:color w:val="000000"/>
          <w:sz w:val="22"/>
          <w:u w:val="single"/>
          <w:lang w:val="hu-HU"/>
        </w:rPr>
        <w:t>Tumor lysis szindróma</w:t>
      </w:r>
    </w:p>
    <w:p w14:paraId="2EE4049A" w14:textId="77777777" w:rsidR="00B3283F" w:rsidRPr="00FC51A2" w:rsidRDefault="00B3283F" w:rsidP="00A17448">
      <w:pPr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 xml:space="preserve">A febuxosztát hatásosságát és biztonságosságát a </w:t>
      </w:r>
      <w:r w:rsidR="001C0683">
        <w:rPr>
          <w:color w:val="000000"/>
          <w:sz w:val="22"/>
          <w:lang w:val="hu-HU"/>
        </w:rPr>
        <w:t>tumor lysis szindróma</w:t>
      </w:r>
      <w:r w:rsidRPr="00FC51A2">
        <w:rPr>
          <w:color w:val="000000"/>
          <w:sz w:val="22"/>
          <w:lang w:val="hu-HU"/>
        </w:rPr>
        <w:t xml:space="preserve"> megelőzésében és kezelésében a FLORENCE (FLO-01) vizsgálatban értékelték. A febuxosztát húgysav</w:t>
      </w:r>
      <w:r w:rsidR="005E2CF1" w:rsidRPr="00FC51A2">
        <w:rPr>
          <w:color w:val="000000"/>
          <w:sz w:val="22"/>
          <w:lang w:val="hu-HU"/>
        </w:rPr>
        <w:t>szint</w:t>
      </w:r>
      <w:r w:rsidRPr="00FC51A2">
        <w:rPr>
          <w:color w:val="000000"/>
          <w:sz w:val="22"/>
          <w:lang w:val="hu-HU"/>
        </w:rPr>
        <w:t xml:space="preserve">csökkentő </w:t>
      </w:r>
      <w:r w:rsidR="0041603D">
        <w:rPr>
          <w:color w:val="000000"/>
          <w:sz w:val="22"/>
          <w:lang w:val="hu-HU"/>
        </w:rPr>
        <w:t>hatása</w:t>
      </w:r>
      <w:r w:rsidR="0041603D" w:rsidRPr="00FC51A2">
        <w:rPr>
          <w:color w:val="000000"/>
          <w:sz w:val="22"/>
          <w:lang w:val="hu-HU"/>
        </w:rPr>
        <w:t xml:space="preserve"> </w:t>
      </w:r>
      <w:r w:rsidR="0041603D">
        <w:rPr>
          <w:color w:val="000000"/>
          <w:sz w:val="22"/>
          <w:lang w:val="hu-HU"/>
        </w:rPr>
        <w:t>erősebbnek</w:t>
      </w:r>
      <w:r w:rsidRPr="00FC51A2">
        <w:rPr>
          <w:color w:val="000000"/>
          <w:sz w:val="22"/>
          <w:lang w:val="hu-HU"/>
        </w:rPr>
        <w:t xml:space="preserve"> és gyorsabbnak bizonyult az allopurinol</w:t>
      </w:r>
      <w:r w:rsidR="0041603D">
        <w:rPr>
          <w:color w:val="000000"/>
          <w:sz w:val="22"/>
          <w:lang w:val="hu-HU"/>
        </w:rPr>
        <w:t>é</w:t>
      </w:r>
      <w:r w:rsidRPr="00FC51A2">
        <w:rPr>
          <w:color w:val="000000"/>
          <w:sz w:val="22"/>
          <w:lang w:val="hu-HU"/>
        </w:rPr>
        <w:t>hoz képest.</w:t>
      </w:r>
    </w:p>
    <w:p w14:paraId="7C914801" w14:textId="77777777" w:rsidR="0041603D" w:rsidRPr="00074E44" w:rsidRDefault="00B3283F" w:rsidP="0041603D">
      <w:pPr>
        <w:shd w:val="clear" w:color="auto" w:fill="FFFFFF"/>
        <w:rPr>
          <w:color w:val="000000"/>
          <w:sz w:val="22"/>
          <w:szCs w:val="22"/>
          <w:lang w:val="hu-HU"/>
        </w:rPr>
      </w:pPr>
      <w:r w:rsidRPr="00FC51A2">
        <w:rPr>
          <w:color w:val="000000"/>
          <w:sz w:val="22"/>
          <w:szCs w:val="22"/>
          <w:lang w:val="hu-HU"/>
        </w:rPr>
        <w:t xml:space="preserve">A FLORENCE egy randomizált (1:1), kettős vak, </w:t>
      </w:r>
      <w:r w:rsidR="004A3578" w:rsidRPr="00FC51A2">
        <w:rPr>
          <w:color w:val="000000"/>
          <w:sz w:val="22"/>
          <w:szCs w:val="22"/>
          <w:lang w:val="hu-HU"/>
        </w:rPr>
        <w:t>III</w:t>
      </w:r>
      <w:r w:rsidRPr="00FC51A2">
        <w:rPr>
          <w:color w:val="000000"/>
          <w:sz w:val="22"/>
          <w:szCs w:val="22"/>
          <w:lang w:val="hu-HU"/>
        </w:rPr>
        <w:t xml:space="preserve">. fázisú, kulcsfontosságú vizsgálat volt, amely a naponta egyszer adott 120 mg febuxosztátot hasonlította össze a naponta 200-600 mg-os dózisban adott allopurinollal (allopurinol átlagos napi adagja [± szórás]: 349,7 ± 112,90 mg) a szérumhúgysavszint csökkenésének tekintetében. Olyan betegek vettek részt a vizsgálatban, </w:t>
      </w:r>
      <w:r w:rsidR="005B3019" w:rsidRPr="00FC51A2">
        <w:rPr>
          <w:color w:val="000000"/>
          <w:sz w:val="22"/>
          <w:szCs w:val="22"/>
          <w:lang w:val="hu-HU"/>
        </w:rPr>
        <w:t>akiknek allopurinol-kezelés javasoltak</w:t>
      </w:r>
      <w:r w:rsidRPr="00FC51A2">
        <w:rPr>
          <w:color w:val="000000"/>
          <w:sz w:val="22"/>
          <w:szCs w:val="22"/>
          <w:lang w:val="hu-HU"/>
        </w:rPr>
        <w:t xml:space="preserve">, illetve </w:t>
      </w:r>
      <w:r w:rsidR="005B3019" w:rsidRPr="00A17448">
        <w:rPr>
          <w:color w:val="000000"/>
          <w:sz w:val="22"/>
          <w:szCs w:val="22"/>
          <w:lang w:val="hu-HU"/>
        </w:rPr>
        <w:t>nem jutottak hozzá raszburikáz kezeléshez</w:t>
      </w:r>
      <w:r w:rsidRPr="00FC51A2">
        <w:rPr>
          <w:color w:val="000000"/>
          <w:sz w:val="22"/>
          <w:szCs w:val="22"/>
          <w:lang w:val="hu-HU"/>
        </w:rPr>
        <w:t xml:space="preserve">. </w:t>
      </w:r>
      <w:r w:rsidR="0041603D" w:rsidRPr="00074E44">
        <w:rPr>
          <w:color w:val="000000"/>
          <w:sz w:val="22"/>
          <w:szCs w:val="22"/>
          <w:lang w:val="hu-HU"/>
        </w:rPr>
        <w:t>Az elsődleges végpontok a szérumhúgysavszint görbe alatti területe (AUC sUA</w:t>
      </w:r>
      <w:r w:rsidR="0041603D" w:rsidRPr="00074E44">
        <w:rPr>
          <w:color w:val="000000"/>
          <w:sz w:val="22"/>
          <w:szCs w:val="22"/>
          <w:vertAlign w:val="subscript"/>
          <w:lang w:val="hu-HU"/>
        </w:rPr>
        <w:t>1-8</w:t>
      </w:r>
      <w:r w:rsidR="0041603D" w:rsidRPr="00074E44">
        <w:rPr>
          <w:color w:val="000000"/>
          <w:sz w:val="22"/>
          <w:szCs w:val="22"/>
          <w:lang w:val="hu-HU"/>
        </w:rPr>
        <w:t>) és a szérum kreatinin (sC) szintjének változása voltak, mindkettő a kiindulástól a 8. napig.</w:t>
      </w:r>
    </w:p>
    <w:p w14:paraId="6C845A2D" w14:textId="77777777" w:rsidR="00B3283F" w:rsidRPr="00FC51A2" w:rsidRDefault="00B3283F" w:rsidP="00A17448">
      <w:pPr>
        <w:rPr>
          <w:color w:val="000000"/>
          <w:sz w:val="22"/>
          <w:lang w:val="hu-HU"/>
        </w:rPr>
      </w:pPr>
      <w:r w:rsidRPr="00FC51A2">
        <w:rPr>
          <w:color w:val="000000"/>
          <w:sz w:val="22"/>
          <w:lang w:val="hu-HU"/>
        </w:rPr>
        <w:t>Összesen 346</w:t>
      </w:r>
      <w:r w:rsidR="002000C2">
        <w:rPr>
          <w:color w:val="000000"/>
          <w:sz w:val="22"/>
          <w:lang w:val="hu-HU"/>
        </w:rPr>
        <w:t xml:space="preserve"> olyan</w:t>
      </w:r>
      <w:r w:rsidRPr="00FC51A2">
        <w:rPr>
          <w:color w:val="000000"/>
          <w:sz w:val="22"/>
          <w:lang w:val="hu-HU"/>
        </w:rPr>
        <w:t xml:space="preserve"> beteget vontak be, akik rosszindulatú vérképzőszer</w:t>
      </w:r>
      <w:r w:rsidR="003C1E60">
        <w:rPr>
          <w:color w:val="000000"/>
          <w:sz w:val="22"/>
          <w:lang w:val="hu-HU"/>
        </w:rPr>
        <w:t>v</w:t>
      </w:r>
      <w:r w:rsidRPr="00FC51A2">
        <w:rPr>
          <w:color w:val="000000"/>
          <w:sz w:val="22"/>
          <w:lang w:val="hu-HU"/>
        </w:rPr>
        <w:t xml:space="preserve">i megbetegedések miatt kemoterápiás kezelés alatt álltak, és akiknél a </w:t>
      </w:r>
      <w:r w:rsidR="001C0683">
        <w:rPr>
          <w:color w:val="000000"/>
          <w:sz w:val="22"/>
          <w:lang w:val="hu-HU"/>
        </w:rPr>
        <w:t>tumor lysis szindróma</w:t>
      </w:r>
      <w:r w:rsidRPr="00FC51A2">
        <w:rPr>
          <w:color w:val="000000"/>
          <w:sz w:val="22"/>
          <w:lang w:val="hu-HU"/>
        </w:rPr>
        <w:t xml:space="preserve"> közepes</w:t>
      </w:r>
      <w:r w:rsidR="005B3019" w:rsidRPr="00FC51A2">
        <w:rPr>
          <w:color w:val="000000"/>
          <w:sz w:val="22"/>
          <w:lang w:val="hu-HU"/>
        </w:rPr>
        <w:t xml:space="preserve"> vagy </w:t>
      </w:r>
      <w:r w:rsidRPr="00FC51A2">
        <w:rPr>
          <w:color w:val="000000"/>
          <w:sz w:val="22"/>
          <w:lang w:val="hu-HU"/>
        </w:rPr>
        <w:t xml:space="preserve">magas </w:t>
      </w:r>
      <w:r w:rsidR="005B3019" w:rsidRPr="00FC51A2">
        <w:rPr>
          <w:color w:val="000000"/>
          <w:sz w:val="22"/>
          <w:lang w:val="hu-HU"/>
        </w:rPr>
        <w:t>kockázata áll</w:t>
      </w:r>
      <w:r w:rsidRPr="00FC51A2">
        <w:rPr>
          <w:color w:val="000000"/>
          <w:sz w:val="22"/>
          <w:lang w:val="hu-HU"/>
        </w:rPr>
        <w:t>t</w:t>
      </w:r>
      <w:r w:rsidR="005B3019" w:rsidRPr="00FC51A2">
        <w:rPr>
          <w:color w:val="000000"/>
          <w:sz w:val="22"/>
          <w:lang w:val="hu-HU"/>
        </w:rPr>
        <w:t xml:space="preserve"> fenn</w:t>
      </w:r>
      <w:r w:rsidRPr="00FC51A2">
        <w:rPr>
          <w:color w:val="000000"/>
          <w:sz w:val="22"/>
          <w:lang w:val="hu-HU"/>
        </w:rPr>
        <w:t>. Az átlagos AUC sUA</w:t>
      </w:r>
      <w:r w:rsidRPr="00A17448">
        <w:rPr>
          <w:color w:val="000000"/>
          <w:sz w:val="22"/>
          <w:vertAlign w:val="subscript"/>
          <w:lang w:val="hu-HU"/>
        </w:rPr>
        <w:t>1-8</w:t>
      </w:r>
      <w:r w:rsidRPr="00FC51A2">
        <w:rPr>
          <w:color w:val="000000"/>
          <w:sz w:val="22"/>
          <w:lang w:val="hu-HU"/>
        </w:rPr>
        <w:t xml:space="preserve"> (mgxh/dl) szignifikánsan alacsonyabb volt a febuxosztát</w:t>
      </w:r>
      <w:r w:rsidR="003C1E60">
        <w:rPr>
          <w:color w:val="000000"/>
          <w:sz w:val="22"/>
          <w:lang w:val="hu-HU"/>
        </w:rPr>
        <w:t>tal kezelt betegeknél</w:t>
      </w:r>
      <w:r w:rsidRPr="00FC51A2">
        <w:rPr>
          <w:color w:val="000000"/>
          <w:sz w:val="22"/>
          <w:lang w:val="hu-HU"/>
        </w:rPr>
        <w:t xml:space="preserve"> (514,0 ± 225,71 szemben 708,0 ± 234.42; a legkisebb négyzetek átlagának különbsége: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196,794 [95%-os konfidencia intervallum: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238,600;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154,988]; p&lt;0,0001). Ezenkívül a húgysav átlagos </w:t>
      </w:r>
      <w:r w:rsidR="003C1E60" w:rsidRPr="00FC51A2">
        <w:rPr>
          <w:color w:val="000000"/>
          <w:sz w:val="22"/>
          <w:lang w:val="hu-HU"/>
        </w:rPr>
        <w:t>szérum</w:t>
      </w:r>
      <w:r w:rsidRPr="00FC51A2">
        <w:rPr>
          <w:color w:val="000000"/>
          <w:sz w:val="22"/>
          <w:lang w:val="hu-HU"/>
        </w:rPr>
        <w:t>szintje szignifikánsan alacsonyabb volt a febuxosztát esetében a kezelés első 24 órájától fogva és azt követő</w:t>
      </w:r>
      <w:r w:rsidR="00E97AC6">
        <w:rPr>
          <w:color w:val="000000"/>
          <w:sz w:val="22"/>
          <w:lang w:val="hu-HU"/>
        </w:rPr>
        <w:t>en</w:t>
      </w:r>
      <w:r w:rsidRPr="00FC51A2">
        <w:rPr>
          <w:color w:val="000000"/>
          <w:sz w:val="22"/>
          <w:lang w:val="hu-HU"/>
        </w:rPr>
        <w:t xml:space="preserve"> </w:t>
      </w:r>
      <w:r w:rsidR="00E97AC6" w:rsidRPr="00FC51A2">
        <w:rPr>
          <w:color w:val="000000"/>
          <w:sz w:val="22"/>
          <w:lang w:val="hu-HU"/>
        </w:rPr>
        <w:t xml:space="preserve">bármely </w:t>
      </w:r>
      <w:r w:rsidRPr="00FC51A2">
        <w:rPr>
          <w:color w:val="000000"/>
          <w:sz w:val="22"/>
          <w:lang w:val="hu-HU"/>
        </w:rPr>
        <w:t>időpontban. Nem volt szignifikáns különbség a</w:t>
      </w:r>
      <w:r w:rsidR="00E97AC6">
        <w:rPr>
          <w:color w:val="000000"/>
          <w:sz w:val="22"/>
          <w:lang w:val="hu-HU"/>
        </w:rPr>
        <w:t>z</w:t>
      </w:r>
      <w:r w:rsidRPr="00FC51A2">
        <w:rPr>
          <w:color w:val="000000"/>
          <w:sz w:val="22"/>
          <w:lang w:val="hu-HU"/>
        </w:rPr>
        <w:t xml:space="preserve"> </w:t>
      </w:r>
      <w:r w:rsidR="00E97AC6" w:rsidRPr="00FC51A2">
        <w:rPr>
          <w:color w:val="000000"/>
          <w:sz w:val="22"/>
          <w:lang w:val="hu-HU"/>
        </w:rPr>
        <w:t xml:space="preserve">átlagos </w:t>
      </w:r>
      <w:r w:rsidRPr="00FC51A2">
        <w:rPr>
          <w:color w:val="000000"/>
          <w:sz w:val="22"/>
          <w:lang w:val="hu-HU"/>
        </w:rPr>
        <w:t>szérum</w:t>
      </w:r>
      <w:r w:rsidR="00E97AC6">
        <w:rPr>
          <w:color w:val="000000"/>
          <w:sz w:val="22"/>
          <w:lang w:val="hu-HU"/>
        </w:rPr>
        <w:t>-</w:t>
      </w:r>
      <w:r w:rsidRPr="00FC51A2">
        <w:rPr>
          <w:color w:val="000000"/>
          <w:sz w:val="22"/>
          <w:lang w:val="hu-HU"/>
        </w:rPr>
        <w:t>kreatininszint változásában (%) a febuxosztát és allopurinol között (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0,83 ± 26,98 szemben </w:t>
      </w:r>
      <w:r w:rsidR="00C36C7F" w:rsidRPr="00FC51A2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>492 ± 16</w:t>
      </w:r>
      <w:r w:rsidR="00287CD3">
        <w:rPr>
          <w:color w:val="000000"/>
          <w:sz w:val="22"/>
          <w:lang w:val="hu-HU"/>
        </w:rPr>
        <w:t>,</w:t>
      </w:r>
      <w:r w:rsidRPr="00FC51A2">
        <w:rPr>
          <w:color w:val="000000"/>
          <w:sz w:val="22"/>
          <w:lang w:val="hu-HU"/>
        </w:rPr>
        <w:t xml:space="preserve">70; a legkisebb négyzetek átlagának különbsége: 4,0970 [95%-os konfidencia intervallum: </w:t>
      </w:r>
      <w:r w:rsidR="00287CD3">
        <w:rPr>
          <w:color w:val="000000"/>
          <w:sz w:val="22"/>
          <w:lang w:val="hu-HU"/>
        </w:rPr>
        <w:t>–</w:t>
      </w:r>
      <w:r w:rsidRPr="00FC51A2">
        <w:rPr>
          <w:color w:val="000000"/>
          <w:sz w:val="22"/>
          <w:lang w:val="hu-HU"/>
        </w:rPr>
        <w:t xml:space="preserve">0,6467 ; 8,8406]; p=0,0903). A másodlagos végpontokat illetően nem észleltek szignifikáns különbséget a laboratóriumi TLS (8,1% és 9,2% a febuxosztát, illetőleg az allopurinol karban; relatív kockázat: 0,875 [95%-os konfidencia intervallum: 0,4408; 1,7369]; p=0,8488), sem a klinikai TLS előfordulásának gyakorisága tekintetében (1,7% és 1,2% a febuxosztát, illetőleg az allopurinol karban; relatív kockázat: 0,994 [95%-os konfidencia intervallum: 0,9691; 1,0199]; p=1,0000). </w:t>
      </w:r>
      <w:r w:rsidR="006212B3" w:rsidRPr="00074E44">
        <w:rPr>
          <w:color w:val="000000"/>
          <w:sz w:val="22"/>
          <w:szCs w:val="22"/>
          <w:lang w:val="hu-HU"/>
        </w:rPr>
        <w:t>A teljes kezelés során felmerülő panaszok és tünetek, előfordulásának gyakorisága 67,6% volt a febuxosztát- és 64,7% az allopurinol-csoportban, valamint a gyógyszer-mellékhatások előfordulásának gyakorisága 6,4% volt mindkét vizsgált hatóanyag esetében.</w:t>
      </w:r>
      <w:r w:rsidRPr="00FC51A2">
        <w:rPr>
          <w:color w:val="000000"/>
          <w:sz w:val="22"/>
          <w:lang w:val="hu-HU"/>
        </w:rPr>
        <w:t xml:space="preserve">. A FLORENCE vizsgálatban a febuxosztát esetében a szérum húgysavszintjének a csökkenése </w:t>
      </w:r>
      <w:r w:rsidRPr="00FC51A2">
        <w:rPr>
          <w:color w:val="000000"/>
          <w:sz w:val="22"/>
          <w:szCs w:val="22"/>
          <w:lang w:val="hu-HU"/>
        </w:rPr>
        <w:t>nagyobb mértékű volt a</w:t>
      </w:r>
      <w:r w:rsidR="002000C2">
        <w:rPr>
          <w:color w:val="000000"/>
          <w:sz w:val="22"/>
          <w:szCs w:val="22"/>
          <w:lang w:val="hu-HU"/>
        </w:rPr>
        <w:t>z</w:t>
      </w:r>
      <w:r w:rsidRPr="00FC51A2">
        <w:rPr>
          <w:color w:val="000000"/>
          <w:sz w:val="22"/>
          <w:szCs w:val="22"/>
          <w:lang w:val="hu-HU"/>
        </w:rPr>
        <w:t xml:space="preserve"> allopurinolhoz képest azon betegeknél, </w:t>
      </w:r>
      <w:r w:rsidR="007D0246" w:rsidRPr="00A17448">
        <w:rPr>
          <w:color w:val="000000"/>
          <w:sz w:val="22"/>
          <w:szCs w:val="22"/>
          <w:lang w:val="hu-HU"/>
        </w:rPr>
        <w:t>akik eredetileg az utóbbi gyógyszert kapták volna</w:t>
      </w:r>
      <w:r w:rsidRPr="00FC51A2">
        <w:rPr>
          <w:color w:val="000000"/>
          <w:sz w:val="22"/>
          <w:szCs w:val="22"/>
          <w:lang w:val="hu-HU"/>
        </w:rPr>
        <w:t>. Jelenleg nincsenek a febuxosztátot a razburikázzal összehasonlító adatok. A febuxosztát hatásosságával és biztonságosságával kapcsolatban nincsenek adatok akut, súlyos TLS-ben szenvedő betegeknél, pl. olyan betegeknél, akiknél egy másik húgysav</w:t>
      </w:r>
      <w:r w:rsidR="006212B3">
        <w:rPr>
          <w:color w:val="000000"/>
          <w:sz w:val="22"/>
          <w:szCs w:val="22"/>
          <w:lang w:val="hu-HU"/>
        </w:rPr>
        <w:t>szint-</w:t>
      </w:r>
      <w:r w:rsidRPr="00FC51A2">
        <w:rPr>
          <w:color w:val="000000"/>
          <w:sz w:val="22"/>
          <w:szCs w:val="22"/>
          <w:lang w:val="hu-HU"/>
        </w:rPr>
        <w:t>csökkentő kezelés</w:t>
      </w:r>
      <w:r w:rsidRPr="00FC51A2">
        <w:rPr>
          <w:color w:val="000000"/>
          <w:sz w:val="22"/>
          <w:lang w:val="hu-HU"/>
        </w:rPr>
        <w:t xml:space="preserve"> sikertelen volt.</w:t>
      </w:r>
    </w:p>
    <w:p w14:paraId="6F8E2697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3B6B4F83" w14:textId="77777777" w:rsidR="00B3283F" w:rsidRPr="00FC51A2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6" w:name="_Toc441573745"/>
      <w:r w:rsidRPr="00FC51A2">
        <w:rPr>
          <w:b/>
          <w:sz w:val="22"/>
          <w:lang w:val="hu-HU"/>
        </w:rPr>
        <w:t>5.2</w:t>
      </w:r>
      <w:r w:rsidRPr="00FC51A2">
        <w:rPr>
          <w:b/>
          <w:sz w:val="22"/>
          <w:szCs w:val="22"/>
          <w:lang w:val="hu-HU"/>
        </w:rPr>
        <w:tab/>
      </w:r>
      <w:bookmarkEnd w:id="16"/>
      <w:r w:rsidRPr="00FC51A2">
        <w:rPr>
          <w:b/>
          <w:sz w:val="22"/>
          <w:lang w:val="hu-HU"/>
        </w:rPr>
        <w:t>Farmakokinetikai tulajdonságok</w:t>
      </w:r>
    </w:p>
    <w:p w14:paraId="1ED63AB8" w14:textId="77777777" w:rsidR="00B3283F" w:rsidRPr="00FC51A2" w:rsidRDefault="00B3283F" w:rsidP="00A17448">
      <w:pPr>
        <w:shd w:val="clear" w:color="auto" w:fill="FFFFFF" w:themeFill="background1"/>
        <w:ind w:firstLine="709"/>
        <w:rPr>
          <w:sz w:val="22"/>
          <w:szCs w:val="22"/>
          <w:u w:val="single"/>
          <w:lang w:val="hu-HU"/>
        </w:rPr>
      </w:pPr>
    </w:p>
    <w:p w14:paraId="1B976E6D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Egészséges egyénekben a febuxosztát maximális plazmakoncentrációja (</w:t>
      </w:r>
      <w:r w:rsidR="007B2B87" w:rsidRPr="00FC51A2">
        <w:rPr>
          <w:sz w:val="22"/>
          <w:lang w:val="hu-HU"/>
        </w:rPr>
        <w:t>c</w:t>
      </w:r>
      <w:r w:rsidR="007B2B87" w:rsidRPr="00A17448">
        <w:rPr>
          <w:sz w:val="22"/>
          <w:vertAlign w:val="subscript"/>
          <w:lang w:val="hu-HU"/>
        </w:rPr>
        <w:t>max</w:t>
      </w:r>
      <w:r w:rsidRPr="00FC51A2">
        <w:rPr>
          <w:sz w:val="22"/>
          <w:lang w:val="hu-HU"/>
        </w:rPr>
        <w:t>) és a plazmakoncentráció-idő görbe alatti terület (AUC) nagysága a dózissal arányosan nőtt 10 mg</w:t>
      </w:r>
      <w:r w:rsidR="007A1282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>120 mg</w:t>
      </w:r>
      <w:r w:rsidR="007A1282" w:rsidRPr="00FC51A2">
        <w:rPr>
          <w:sz w:val="22"/>
          <w:lang w:val="hu-HU"/>
        </w:rPr>
        <w:t xml:space="preserve">-os </w:t>
      </w:r>
      <w:r w:rsidRPr="00FC51A2">
        <w:rPr>
          <w:sz w:val="22"/>
          <w:lang w:val="hu-HU"/>
        </w:rPr>
        <w:t>adagok egyszeri és ismételt adása után. A 120</w:t>
      </w:r>
      <w:r w:rsidR="007A1282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>300 mg dózistartományban a febuxosztát AUC-értékének növekedése meghaladja a dózisnövekedéssel arányos mértéket. Nincs észlelhető akkumuláció, ha a 10</w:t>
      </w:r>
      <w:r w:rsidR="007A1282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>240 mg-os adagokat 24 óránként adagolják. A febuxosztát látszólagos, átlagos terminális eliminációs felezési ideje (t</w:t>
      </w:r>
      <w:r w:rsidRPr="00A17448">
        <w:rPr>
          <w:sz w:val="22"/>
          <w:vertAlign w:val="subscript"/>
          <w:lang w:val="hu-HU"/>
        </w:rPr>
        <w:t>½</w:t>
      </w:r>
      <w:r w:rsidRPr="00FC51A2">
        <w:rPr>
          <w:sz w:val="22"/>
          <w:lang w:val="hu-HU"/>
        </w:rPr>
        <w:t xml:space="preserve">) kb. 5-8 óra. </w:t>
      </w:r>
    </w:p>
    <w:p w14:paraId="1B740D5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E2F7500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Populációs farmakokinetikai</w:t>
      </w:r>
      <w:r w:rsidR="00604A2C" w:rsidRPr="00FC51A2">
        <w:rPr>
          <w:sz w:val="22"/>
          <w:lang w:val="hu-HU"/>
        </w:rPr>
        <w:t xml:space="preserve"> és </w:t>
      </w:r>
      <w:r w:rsidRPr="00FC51A2">
        <w:rPr>
          <w:sz w:val="22"/>
          <w:lang w:val="hu-HU"/>
        </w:rPr>
        <w:t>farmakodinamikai vizsgálatokat 211 hyperuri</w:t>
      </w:r>
      <w:r w:rsidR="002023A2">
        <w:rPr>
          <w:sz w:val="22"/>
          <w:lang w:val="hu-HU"/>
        </w:rPr>
        <w:t>c</w:t>
      </w:r>
      <w:r w:rsidRPr="00FC51A2">
        <w:rPr>
          <w:sz w:val="22"/>
          <w:lang w:val="hu-HU"/>
        </w:rPr>
        <w:t>aemiás és köszvényes, napi egyszeri 40</w:t>
      </w:r>
      <w:r w:rsidR="00604A2C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240 mg </w:t>
      </w:r>
      <w:r w:rsidRPr="00FC51A2">
        <w:rPr>
          <w:sz w:val="22"/>
          <w:szCs w:val="22"/>
          <w:lang w:val="hu-HU"/>
        </w:rPr>
        <w:t>febuxosztát</w:t>
      </w:r>
      <w:r w:rsidRPr="00FC51A2">
        <w:rPr>
          <w:sz w:val="22"/>
          <w:lang w:val="hu-HU"/>
        </w:rPr>
        <w:t xml:space="preserve"> adag</w:t>
      </w:r>
      <w:r w:rsidR="002023A2">
        <w:rPr>
          <w:sz w:val="22"/>
          <w:lang w:val="hu-HU"/>
        </w:rPr>
        <w:t>g</w:t>
      </w:r>
      <w:r w:rsidRPr="00FC51A2">
        <w:rPr>
          <w:sz w:val="22"/>
          <w:lang w:val="hu-HU"/>
        </w:rPr>
        <w:t>al kezelt betegen végeztek. Általában véve a febuxosztát ezen elemzések alapján becsült farmakokinetikai paraméterei összhangban álltak az egészséges egyéneken meghatározottakkal. Ez azt jelzi, hogy az egészséges alanyokon elvégzett farmakokinetikai</w:t>
      </w:r>
      <w:r w:rsidR="0017326A" w:rsidRPr="00FC51A2">
        <w:rPr>
          <w:sz w:val="22"/>
          <w:lang w:val="hu-HU"/>
        </w:rPr>
        <w:t xml:space="preserve"> és </w:t>
      </w:r>
      <w:r w:rsidRPr="00FC51A2">
        <w:rPr>
          <w:sz w:val="22"/>
          <w:lang w:val="hu-HU"/>
        </w:rPr>
        <w:t>farmakodinamikai értékelés érvényes a köszvényes betegek populációjára.</w:t>
      </w:r>
    </w:p>
    <w:p w14:paraId="0DA87105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2049580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sz w:val="22"/>
          <w:lang w:val="hu-HU"/>
        </w:rPr>
        <w:t>Felszívódás</w:t>
      </w:r>
    </w:p>
    <w:p w14:paraId="54E80A51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 febuxosztát rövid idő alatt (t</w:t>
      </w:r>
      <w:r w:rsidRPr="00A17448">
        <w:rPr>
          <w:sz w:val="22"/>
          <w:vertAlign w:val="subscript"/>
          <w:lang w:val="hu-HU"/>
        </w:rPr>
        <w:t>max</w:t>
      </w:r>
      <w:r w:rsidRPr="00FC51A2">
        <w:rPr>
          <w:sz w:val="22"/>
          <w:lang w:val="hu-HU"/>
        </w:rPr>
        <w:t xml:space="preserve"> 1,0-1,5 óra) és jól (legalább 84%-ban) felszívódik. </w:t>
      </w:r>
      <w:r w:rsidR="002023A2" w:rsidRPr="00074E44">
        <w:rPr>
          <w:sz w:val="22"/>
          <w:szCs w:val="22"/>
          <w:lang w:val="hu-HU"/>
        </w:rPr>
        <w:t>A napi 80 mg-os adagok egyszeri vagy többszöri adása után a c</w:t>
      </w:r>
      <w:r w:rsidR="002023A2" w:rsidRPr="00074E44">
        <w:rPr>
          <w:sz w:val="22"/>
          <w:szCs w:val="22"/>
          <w:vertAlign w:val="subscript"/>
          <w:lang w:val="hu-HU"/>
        </w:rPr>
        <w:t xml:space="preserve">max </w:t>
      </w:r>
      <w:r w:rsidR="002023A2" w:rsidRPr="00074E44">
        <w:rPr>
          <w:sz w:val="22"/>
          <w:szCs w:val="22"/>
          <w:lang w:val="hu-HU"/>
        </w:rPr>
        <w:t xml:space="preserve">kb. 2,8-3,2 </w:t>
      </w:r>
      <w:r w:rsidR="002023A2" w:rsidRPr="00D46831">
        <w:rPr>
          <w:sz w:val="22"/>
          <w:szCs w:val="22"/>
        </w:rPr>
        <w:t>μ</w:t>
      </w:r>
      <w:r w:rsidR="002023A2" w:rsidRPr="00074E44">
        <w:rPr>
          <w:sz w:val="22"/>
          <w:szCs w:val="22"/>
          <w:lang w:val="hu-HU"/>
        </w:rPr>
        <w:t xml:space="preserve">g/ml, illetve a 120 mg-os adagok után kb. 5,0-5,3 </w:t>
      </w:r>
      <w:r w:rsidR="002023A2" w:rsidRPr="00D46831">
        <w:rPr>
          <w:sz w:val="22"/>
          <w:szCs w:val="22"/>
        </w:rPr>
        <w:t>μ</w:t>
      </w:r>
      <w:r w:rsidR="002023A2" w:rsidRPr="00074E44">
        <w:rPr>
          <w:sz w:val="22"/>
          <w:szCs w:val="22"/>
          <w:lang w:val="hu-HU"/>
        </w:rPr>
        <w:t xml:space="preserve">g/ml. </w:t>
      </w:r>
      <w:r w:rsidRPr="00FC51A2">
        <w:rPr>
          <w:sz w:val="22"/>
          <w:lang w:val="hu-HU"/>
        </w:rPr>
        <w:t xml:space="preserve">Az abszolút biohasznosulást a febuxosztát </w:t>
      </w:r>
      <w:r w:rsidR="00EA5E77">
        <w:rPr>
          <w:sz w:val="22"/>
          <w:lang w:val="hu-HU"/>
        </w:rPr>
        <w:t>film</w:t>
      </w:r>
      <w:r w:rsidRPr="00FC51A2">
        <w:rPr>
          <w:sz w:val="22"/>
          <w:lang w:val="hu-HU"/>
        </w:rPr>
        <w:t>tabletta formájára vonatkozóan nem vizsgálták.</w:t>
      </w:r>
    </w:p>
    <w:p w14:paraId="64E0B5D1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1BABFE73" w14:textId="77777777" w:rsidR="00B3283F" w:rsidRPr="00FC51A2" w:rsidRDefault="002023A2" w:rsidP="00A17448">
      <w:pPr>
        <w:shd w:val="clear" w:color="auto" w:fill="FFFFFF" w:themeFill="background1"/>
        <w:rPr>
          <w:sz w:val="22"/>
          <w:lang w:val="hu-HU"/>
        </w:rPr>
      </w:pPr>
      <w:r w:rsidRPr="00074E44">
        <w:rPr>
          <w:sz w:val="22"/>
          <w:szCs w:val="22"/>
          <w:lang w:val="hu-HU"/>
        </w:rPr>
        <w:t>A napi 80 mg-os adagot ismételten, zsírdús étkezés során bevéve bevéve a c</w:t>
      </w:r>
      <w:r w:rsidRPr="00074E44">
        <w:rPr>
          <w:sz w:val="22"/>
          <w:szCs w:val="22"/>
          <w:vertAlign w:val="subscript"/>
          <w:lang w:val="hu-HU"/>
        </w:rPr>
        <w:t>max</w:t>
      </w:r>
      <w:r w:rsidRPr="00074E44">
        <w:rPr>
          <w:sz w:val="22"/>
          <w:szCs w:val="22"/>
          <w:lang w:val="hu-HU"/>
        </w:rPr>
        <w:t xml:space="preserve"> 49%-kal, az AUC 18%-kal csökkent. A napi 120 mg-os adagot egyszeri alkalommal szájon át, zsírdús étkezés során bevéve a c</w:t>
      </w:r>
      <w:r w:rsidRPr="00074E44">
        <w:rPr>
          <w:sz w:val="22"/>
          <w:szCs w:val="22"/>
          <w:vertAlign w:val="subscript"/>
          <w:lang w:val="hu-HU"/>
        </w:rPr>
        <w:t>max</w:t>
      </w:r>
      <w:r w:rsidRPr="00074E44">
        <w:rPr>
          <w:sz w:val="22"/>
          <w:szCs w:val="22"/>
          <w:lang w:val="hu-HU"/>
        </w:rPr>
        <w:t xml:space="preserve"> 38%-kal, az AUC 16%-kal csökkent. </w:t>
      </w:r>
      <w:r w:rsidR="00B3283F" w:rsidRPr="00FC51A2">
        <w:rPr>
          <w:sz w:val="22"/>
          <w:lang w:val="hu-HU"/>
        </w:rPr>
        <w:t xml:space="preserve">Mindazonáltal, nem észleltek klinikai szempontból </w:t>
      </w:r>
      <w:r w:rsidRPr="00FC51A2">
        <w:rPr>
          <w:sz w:val="22"/>
          <w:lang w:val="hu-HU"/>
        </w:rPr>
        <w:t>sz</w:t>
      </w:r>
      <w:r>
        <w:rPr>
          <w:sz w:val="22"/>
          <w:lang w:val="hu-HU"/>
        </w:rPr>
        <w:t>ignifikáns</w:t>
      </w:r>
      <w:r w:rsidRPr="00FC51A2">
        <w:rPr>
          <w:sz w:val="22"/>
          <w:lang w:val="hu-HU"/>
        </w:rPr>
        <w:t xml:space="preserve"> </w:t>
      </w:r>
      <w:r w:rsidR="00B3283F" w:rsidRPr="00FC51A2">
        <w:rPr>
          <w:sz w:val="22"/>
          <w:lang w:val="hu-HU"/>
        </w:rPr>
        <w:t>változást a szérumhúgysav</w:t>
      </w:r>
      <w:r w:rsidR="00A94CBB" w:rsidRPr="00FC51A2">
        <w:rPr>
          <w:sz w:val="22"/>
          <w:lang w:val="hu-HU"/>
        </w:rPr>
        <w:t>-</w:t>
      </w:r>
      <w:r w:rsidR="00B3283F" w:rsidRPr="00FC51A2">
        <w:rPr>
          <w:sz w:val="22"/>
          <w:lang w:val="hu-HU"/>
        </w:rPr>
        <w:t xml:space="preserve">koncentráció százalékos csökkenésében, amikor ezt vizsgálták </w:t>
      </w:r>
      <w:r>
        <w:rPr>
          <w:sz w:val="22"/>
          <w:lang w:val="hu-HU"/>
        </w:rPr>
        <w:t xml:space="preserve">a </w:t>
      </w:r>
      <w:r w:rsidR="00B3283F" w:rsidRPr="00FC51A2">
        <w:rPr>
          <w:sz w:val="22"/>
          <w:lang w:val="hu-HU"/>
        </w:rPr>
        <w:t xml:space="preserve">80 mg-os adag </w:t>
      </w:r>
      <w:r w:rsidR="00E61B3A" w:rsidRPr="00FC51A2">
        <w:rPr>
          <w:sz w:val="22"/>
          <w:lang w:val="hu-HU"/>
        </w:rPr>
        <w:t>ismételt alkalmazása</w:t>
      </w:r>
      <w:r>
        <w:rPr>
          <w:sz w:val="22"/>
          <w:lang w:val="hu-HU"/>
        </w:rPr>
        <w:t>kor</w:t>
      </w:r>
      <w:r w:rsidR="00E61B3A" w:rsidRPr="00FC51A2">
        <w:rPr>
          <w:sz w:val="22"/>
          <w:lang w:val="hu-HU"/>
        </w:rPr>
        <w:t xml:space="preserve">. </w:t>
      </w:r>
      <w:r w:rsidR="005E0D2A" w:rsidRPr="00FC51A2">
        <w:rPr>
          <w:sz w:val="22"/>
          <w:lang w:val="hu-HU"/>
        </w:rPr>
        <w:t xml:space="preserve">Ezek alapján </w:t>
      </w:r>
      <w:r w:rsidR="00E61B3A" w:rsidRPr="00FC51A2">
        <w:rPr>
          <w:sz w:val="22"/>
          <w:lang w:val="hu-HU"/>
        </w:rPr>
        <w:t>a</w:t>
      </w:r>
      <w:r w:rsidR="00B3283F" w:rsidRPr="00FC51A2">
        <w:rPr>
          <w:sz w:val="22"/>
          <w:lang w:val="hu-HU"/>
        </w:rPr>
        <w:t xml:space="preserve"> </w:t>
      </w:r>
      <w:r w:rsidR="00B3283F" w:rsidRPr="00FC51A2">
        <w:rPr>
          <w:sz w:val="22"/>
          <w:szCs w:val="22"/>
          <w:lang w:val="hu-HU"/>
        </w:rPr>
        <w:t>febuxosztát</w:t>
      </w:r>
      <w:r w:rsidR="00B3283F" w:rsidRPr="00FC51A2">
        <w:rPr>
          <w:sz w:val="22"/>
          <w:lang w:val="hu-HU"/>
        </w:rPr>
        <w:t xml:space="preserve"> bevételekor nem szükséges tekintettel lenni az étkezésekre.</w:t>
      </w:r>
    </w:p>
    <w:p w14:paraId="304D4E5B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20C3C4F7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iCs/>
          <w:sz w:val="22"/>
          <w:szCs w:val="22"/>
          <w:lang w:val="hu-HU"/>
        </w:rPr>
        <w:t>Eloszlás</w:t>
      </w:r>
    </w:p>
    <w:p w14:paraId="1167EB49" w14:textId="77777777" w:rsidR="00DB096C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FC51A2">
        <w:rPr>
          <w:sz w:val="22"/>
          <w:szCs w:val="22"/>
          <w:lang w:val="hu-HU"/>
        </w:rPr>
        <w:t>Egyens</w:t>
      </w:r>
      <w:r w:rsidRPr="00FC51A2">
        <w:rPr>
          <w:sz w:val="22"/>
          <w:lang w:val="hu-HU"/>
        </w:rPr>
        <w:t>ú</w:t>
      </w:r>
      <w:r w:rsidRPr="00FC51A2">
        <w:rPr>
          <w:sz w:val="22"/>
          <w:szCs w:val="22"/>
          <w:lang w:val="hu-HU"/>
        </w:rPr>
        <w:t>lyi</w:t>
      </w:r>
      <w:r w:rsidR="00D83605" w:rsidRPr="00FC51A2">
        <w:rPr>
          <w:sz w:val="22"/>
          <w:szCs w:val="22"/>
          <w:lang w:val="hu-HU"/>
        </w:rPr>
        <w:t xml:space="preserve"> (steady state) állapotban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tsz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lagos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eloszl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si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rfogata</w:t>
      </w:r>
      <w:r w:rsidRPr="00FC51A2">
        <w:rPr>
          <w:sz w:val="22"/>
          <w:lang w:val="hu-HU"/>
        </w:rPr>
        <w:t xml:space="preserve"> (</w:t>
      </w:r>
      <w:r w:rsidRPr="00FC51A2">
        <w:rPr>
          <w:sz w:val="22"/>
          <w:szCs w:val="22"/>
          <w:lang w:val="hu-HU"/>
        </w:rPr>
        <w:t>V</w:t>
      </w:r>
      <w:r w:rsidRPr="00A17448">
        <w:rPr>
          <w:sz w:val="22"/>
          <w:szCs w:val="22"/>
          <w:vertAlign w:val="subscript"/>
          <w:lang w:val="hu-HU"/>
        </w:rPr>
        <w:t>ss</w:t>
      </w:r>
      <w:r w:rsidRPr="00FC51A2">
        <w:rPr>
          <w:sz w:val="22"/>
          <w:lang w:val="hu-HU"/>
        </w:rPr>
        <w:t>/</w:t>
      </w:r>
      <w:r w:rsidRPr="00FC51A2">
        <w:rPr>
          <w:sz w:val="22"/>
          <w:szCs w:val="22"/>
          <w:lang w:val="hu-HU"/>
        </w:rPr>
        <w:t>F</w:t>
      </w:r>
      <w:r w:rsidRPr="00FC51A2">
        <w:rPr>
          <w:sz w:val="22"/>
          <w:lang w:val="hu-HU"/>
        </w:rPr>
        <w:t xml:space="preserve">) 29-75 </w:t>
      </w:r>
      <w:r w:rsidRPr="00FC51A2">
        <w:rPr>
          <w:sz w:val="22"/>
          <w:szCs w:val="22"/>
          <w:lang w:val="hu-HU"/>
        </w:rPr>
        <w:t>liter</w:t>
      </w:r>
      <w:r w:rsidRPr="00FC51A2">
        <w:rPr>
          <w:sz w:val="22"/>
          <w:lang w:val="hu-HU"/>
        </w:rPr>
        <w:t xml:space="preserve"> 10</w:t>
      </w:r>
      <w:r w:rsidR="00D83605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300 </w:t>
      </w:r>
      <w:r w:rsidRPr="00FC51A2">
        <w:rPr>
          <w:sz w:val="22"/>
          <w:szCs w:val="22"/>
          <w:lang w:val="hu-HU"/>
        </w:rPr>
        <w:t>mg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os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adagok</w:t>
      </w:r>
      <w:r w:rsidRPr="00FC51A2">
        <w:rPr>
          <w:sz w:val="22"/>
          <w:lang w:val="hu-HU"/>
        </w:rPr>
        <w:t xml:space="preserve"> </w:t>
      </w:r>
      <w:r w:rsidRPr="00A17448">
        <w:rPr>
          <w:i/>
          <w:sz w:val="22"/>
          <w:szCs w:val="22"/>
          <w:lang w:val="hu-HU"/>
        </w:rPr>
        <w:t>per</w:t>
      </w:r>
      <w:r w:rsidRPr="00A17448">
        <w:rPr>
          <w:i/>
          <w:sz w:val="22"/>
          <w:lang w:val="hu-HU"/>
        </w:rPr>
        <w:t xml:space="preserve"> </w:t>
      </w:r>
      <w:r w:rsidRPr="00A17448">
        <w:rPr>
          <w:i/>
          <w:sz w:val="22"/>
          <w:szCs w:val="22"/>
          <w:lang w:val="hu-HU"/>
        </w:rPr>
        <w:t>os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alkalmaz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sa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ut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n</w:t>
      </w:r>
      <w:r w:rsidRPr="00FC51A2">
        <w:rPr>
          <w:sz w:val="22"/>
          <w:lang w:val="hu-HU"/>
        </w:rPr>
        <w:t xml:space="preserve">.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plazmafeh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rje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se</w:t>
      </w:r>
      <w:r w:rsidRPr="00FC51A2">
        <w:rPr>
          <w:sz w:val="22"/>
          <w:lang w:val="hu-HU"/>
        </w:rPr>
        <w:t xml:space="preserve"> (</w:t>
      </w:r>
      <w:r w:rsidRPr="00FC51A2">
        <w:rPr>
          <w:sz w:val="22"/>
          <w:szCs w:val="22"/>
          <w:lang w:val="hu-HU"/>
        </w:rPr>
        <w:t>els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sorban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albuminhoz</w:t>
      </w:r>
      <w:r w:rsidRPr="00FC51A2">
        <w:rPr>
          <w:sz w:val="22"/>
          <w:lang w:val="hu-HU"/>
        </w:rPr>
        <w:t xml:space="preserve">) </w:t>
      </w:r>
      <w:r w:rsidRPr="00FC51A2">
        <w:rPr>
          <w:sz w:val="22"/>
          <w:szCs w:val="22"/>
          <w:lang w:val="hu-HU"/>
        </w:rPr>
        <w:t>kb</w:t>
      </w:r>
      <w:r w:rsidRPr="00FC51A2">
        <w:rPr>
          <w:sz w:val="22"/>
          <w:lang w:val="hu-HU"/>
        </w:rPr>
        <w:t>.</w:t>
      </w:r>
      <w:r w:rsidR="002023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99,2%-</w:t>
      </w:r>
      <w:r w:rsidRPr="00FC51A2">
        <w:rPr>
          <w:sz w:val="22"/>
          <w:szCs w:val="22"/>
          <w:lang w:val="hu-HU"/>
        </w:rPr>
        <w:t>os</w:t>
      </w:r>
      <w:r w:rsidRPr="00FC51A2">
        <w:rPr>
          <w:sz w:val="22"/>
          <w:lang w:val="hu-HU"/>
        </w:rPr>
        <w:t>, 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rt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ke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80</w:t>
      </w:r>
      <w:r w:rsidR="00D83605" w:rsidRPr="00FC51A2">
        <w:rPr>
          <w:sz w:val="22"/>
          <w:lang w:val="hu-HU"/>
        </w:rPr>
        <w:t>–</w:t>
      </w:r>
      <w:r w:rsidRPr="00FC51A2">
        <w:rPr>
          <w:sz w:val="22"/>
          <w:lang w:val="hu-HU"/>
        </w:rPr>
        <w:t xml:space="preserve">120 </w:t>
      </w:r>
      <w:r w:rsidRPr="00FC51A2">
        <w:rPr>
          <w:sz w:val="22"/>
          <w:szCs w:val="22"/>
          <w:lang w:val="hu-HU"/>
        </w:rPr>
        <w:t>mg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zistartom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nyban</w:t>
      </w:r>
      <w:r w:rsidRPr="00FC51A2">
        <w:rPr>
          <w:sz w:val="22"/>
          <w:lang w:val="hu-HU"/>
        </w:rPr>
        <w:t xml:space="preserve"> á</w:t>
      </w:r>
      <w:r w:rsidRPr="00FC51A2">
        <w:rPr>
          <w:sz w:val="22"/>
          <w:szCs w:val="22"/>
          <w:lang w:val="hu-HU"/>
        </w:rPr>
        <w:t>lland</w:t>
      </w:r>
      <w:r w:rsidRPr="00FC51A2">
        <w:rPr>
          <w:sz w:val="22"/>
          <w:lang w:val="hu-HU"/>
        </w:rPr>
        <w:t xml:space="preserve">ó. </w:t>
      </w:r>
      <w:r w:rsidRPr="00FC51A2">
        <w:rPr>
          <w:sz w:val="22"/>
          <w:szCs w:val="22"/>
          <w:lang w:val="hu-HU"/>
        </w:rPr>
        <w:t>Az aktív metabolitok plazmafehérje kötődése</w:t>
      </w:r>
      <w:r w:rsidR="00D83605" w:rsidRPr="00FC51A2">
        <w:rPr>
          <w:sz w:val="22"/>
          <w:szCs w:val="22"/>
          <w:lang w:val="hu-HU"/>
        </w:rPr>
        <w:t xml:space="preserve"> megközelítőleg</w:t>
      </w:r>
      <w:r w:rsidRPr="00FC51A2">
        <w:rPr>
          <w:sz w:val="22"/>
          <w:szCs w:val="22"/>
          <w:lang w:val="hu-HU"/>
        </w:rPr>
        <w:t xml:space="preserve"> 82-91%.</w:t>
      </w:r>
    </w:p>
    <w:p w14:paraId="5ABA01CC" w14:textId="77777777" w:rsidR="00B3283F" w:rsidRPr="00FC51A2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CE3C461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FC51A2">
        <w:rPr>
          <w:i/>
          <w:iCs/>
          <w:sz w:val="22"/>
          <w:szCs w:val="22"/>
          <w:lang w:val="hu-HU"/>
        </w:rPr>
        <w:t>Biotranszformáció</w:t>
      </w:r>
    </w:p>
    <w:p w14:paraId="38F18BD7" w14:textId="77777777" w:rsidR="00B3283F" w:rsidRPr="00FC51A2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A </w:t>
      </w:r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 xml:space="preserve"> </w:t>
      </w:r>
      <w:r w:rsidR="00DD1CA8" w:rsidRPr="00FC51A2">
        <w:rPr>
          <w:sz w:val="22"/>
          <w:szCs w:val="22"/>
          <w:lang w:val="hu-HU"/>
        </w:rPr>
        <w:t>nagymértékben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metaboliz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dik</w:t>
      </w:r>
      <w:r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uridin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difoszf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gl</w:t>
      </w:r>
      <w:r w:rsidRPr="00FC51A2">
        <w:rPr>
          <w:sz w:val="22"/>
          <w:lang w:val="hu-HU"/>
        </w:rPr>
        <w:t>ü</w:t>
      </w:r>
      <w:r w:rsidRPr="00FC51A2">
        <w:rPr>
          <w:sz w:val="22"/>
          <w:szCs w:val="22"/>
          <w:lang w:val="hu-HU"/>
        </w:rPr>
        <w:t>kuroniltranszfer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z</w:t>
      </w:r>
      <w:r w:rsidRPr="00FC51A2">
        <w:rPr>
          <w:sz w:val="22"/>
          <w:lang w:val="hu-HU"/>
        </w:rPr>
        <w:t xml:space="preserve"> (</w:t>
      </w:r>
      <w:r w:rsidRPr="00FC51A2">
        <w:rPr>
          <w:sz w:val="22"/>
          <w:szCs w:val="22"/>
          <w:lang w:val="hu-HU"/>
        </w:rPr>
        <w:t>UDPGT</w:t>
      </w:r>
      <w:r w:rsidRPr="00FC51A2">
        <w:rPr>
          <w:sz w:val="22"/>
          <w:lang w:val="hu-HU"/>
        </w:rPr>
        <w:t xml:space="preserve">) </w:t>
      </w:r>
      <w:r w:rsidRPr="00FC51A2">
        <w:rPr>
          <w:sz w:val="22"/>
          <w:szCs w:val="22"/>
          <w:lang w:val="hu-HU"/>
        </w:rPr>
        <w:t>enzimrendszerben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konjug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ci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val</w:t>
      </w:r>
      <w:r w:rsidRPr="00FC51A2">
        <w:rPr>
          <w:sz w:val="22"/>
          <w:lang w:val="hu-HU"/>
        </w:rPr>
        <w:t>,</w:t>
      </w:r>
      <w:r w:rsidR="002023A2">
        <w:rPr>
          <w:sz w:val="22"/>
          <w:szCs w:val="22"/>
          <w:lang w:val="hu-HU"/>
        </w:rPr>
        <w:t>és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citokr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P</w:t>
      </w:r>
      <w:r w:rsidRPr="00FC51A2">
        <w:rPr>
          <w:sz w:val="22"/>
          <w:lang w:val="hu-HU"/>
        </w:rPr>
        <w:t>450 (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 xml:space="preserve">) </w:t>
      </w:r>
      <w:r w:rsidRPr="00FC51A2">
        <w:rPr>
          <w:sz w:val="22"/>
          <w:szCs w:val="22"/>
          <w:lang w:val="hu-HU"/>
        </w:rPr>
        <w:t>enzimrendszerben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oxid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ci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val</w:t>
      </w:r>
      <w:r w:rsidRPr="00FC51A2">
        <w:rPr>
          <w:sz w:val="22"/>
          <w:lang w:val="hu-HU"/>
        </w:rPr>
        <w:t xml:space="preserve">. </w:t>
      </w:r>
      <w:r w:rsidRPr="00FC51A2">
        <w:rPr>
          <w:sz w:val="22"/>
          <w:szCs w:val="22"/>
          <w:lang w:val="hu-HU"/>
        </w:rPr>
        <w:t>N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gy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farmakol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gia</w:t>
      </w:r>
      <w:r w:rsidR="002023A2">
        <w:rPr>
          <w:sz w:val="22"/>
          <w:szCs w:val="22"/>
          <w:lang w:val="hu-HU"/>
        </w:rPr>
        <w:t>ilag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akt</w:t>
      </w:r>
      <w:r w:rsidR="002000C2">
        <w:rPr>
          <w:sz w:val="22"/>
          <w:szCs w:val="22"/>
          <w:lang w:val="hu-HU"/>
        </w:rPr>
        <w:t>í</w:t>
      </w:r>
      <w:r w:rsidRPr="00FC51A2">
        <w:rPr>
          <w:sz w:val="22"/>
          <w:szCs w:val="22"/>
          <w:lang w:val="hu-HU"/>
        </w:rPr>
        <w:t>v</w:t>
      </w:r>
      <w:r w:rsidR="002023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hidroximetabolitot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azonos</w:t>
      </w:r>
      <w:r w:rsidRPr="00FC51A2">
        <w:rPr>
          <w:sz w:val="22"/>
          <w:lang w:val="hu-HU"/>
        </w:rPr>
        <w:t>í</w:t>
      </w:r>
      <w:r w:rsidRPr="00FC51A2">
        <w:rPr>
          <w:sz w:val="22"/>
          <w:szCs w:val="22"/>
          <w:lang w:val="hu-HU"/>
        </w:rPr>
        <w:t>tottak</w:t>
      </w:r>
      <w:r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ezek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z</w:t>
      </w:r>
      <w:r w:rsidRPr="00FC51A2">
        <w:rPr>
          <w:sz w:val="22"/>
          <w:lang w:val="hu-HU"/>
        </w:rPr>
        <w:t>ü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h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rom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fordul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el</w:t>
      </w:r>
      <w:r w:rsidRPr="00FC51A2">
        <w:rPr>
          <w:sz w:val="22"/>
          <w:lang w:val="hu-HU"/>
        </w:rPr>
        <w:t xml:space="preserve">ő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emberi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v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rplazm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ban</w:t>
      </w:r>
      <w:r w:rsidRPr="00FC51A2">
        <w:rPr>
          <w:sz w:val="22"/>
          <w:lang w:val="hu-HU"/>
        </w:rPr>
        <w:t xml:space="preserve">. </w:t>
      </w:r>
      <w:r w:rsidRPr="00FC51A2">
        <w:rPr>
          <w:sz w:val="22"/>
          <w:szCs w:val="22"/>
          <w:lang w:val="hu-HU"/>
        </w:rPr>
        <w:t>Emberi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j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mikroszom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kon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v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gzett</w:t>
      </w:r>
      <w:r w:rsidRPr="00FC51A2">
        <w:rPr>
          <w:sz w:val="22"/>
          <w:lang w:val="hu-HU"/>
        </w:rPr>
        <w:t xml:space="preserve"> </w:t>
      </w:r>
      <w:r w:rsidR="00A6234F" w:rsidRPr="00FC51A2">
        <w:rPr>
          <w:i/>
          <w:sz w:val="22"/>
          <w:szCs w:val="22"/>
          <w:lang w:val="hu-HU"/>
        </w:rPr>
        <w:t>in vitro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vizsg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latok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szerint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oxid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ci</w:t>
      </w:r>
      <w:r w:rsidRPr="00FC51A2">
        <w:rPr>
          <w:sz w:val="22"/>
          <w:lang w:val="hu-HU"/>
        </w:rPr>
        <w:t>ó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metabolitok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nt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en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1,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2,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2</w:t>
      </w:r>
      <w:r w:rsidRPr="00FC51A2">
        <w:rPr>
          <w:sz w:val="22"/>
          <w:szCs w:val="22"/>
          <w:lang w:val="hu-HU"/>
        </w:rPr>
        <w:t>C</w:t>
      </w:r>
      <w:r w:rsidRPr="00FC51A2">
        <w:rPr>
          <w:sz w:val="22"/>
          <w:lang w:val="hu-HU"/>
        </w:rPr>
        <w:t>8 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CYP</w:t>
      </w:r>
      <w:r w:rsidRPr="00FC51A2">
        <w:rPr>
          <w:sz w:val="22"/>
          <w:lang w:val="hu-HU"/>
        </w:rPr>
        <w:t>2</w:t>
      </w:r>
      <w:r w:rsidRPr="00FC51A2">
        <w:rPr>
          <w:sz w:val="22"/>
          <w:szCs w:val="22"/>
          <w:lang w:val="hu-HU"/>
        </w:rPr>
        <w:t>C</w:t>
      </w:r>
      <w:r w:rsidRPr="00FC51A2">
        <w:rPr>
          <w:sz w:val="22"/>
          <w:lang w:val="hu-HU"/>
        </w:rPr>
        <w:t xml:space="preserve">9 </w:t>
      </w:r>
      <w:r w:rsidRPr="00FC51A2">
        <w:rPr>
          <w:sz w:val="22"/>
          <w:szCs w:val="22"/>
          <w:lang w:val="hu-HU"/>
        </w:rPr>
        <w:t>izoenzimek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zrem</w:t>
      </w:r>
      <w:r w:rsidRPr="00FC51A2">
        <w:rPr>
          <w:sz w:val="22"/>
          <w:lang w:val="hu-HU"/>
        </w:rPr>
        <w:t>ű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vel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j</w:t>
      </w:r>
      <w:r w:rsidRPr="00FC51A2">
        <w:rPr>
          <w:sz w:val="22"/>
          <w:lang w:val="hu-HU"/>
        </w:rPr>
        <w:t>ö</w:t>
      </w:r>
      <w:r w:rsidRPr="00FC51A2">
        <w:rPr>
          <w:sz w:val="22"/>
          <w:szCs w:val="22"/>
          <w:lang w:val="hu-HU"/>
        </w:rPr>
        <w:t>ttek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l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tre</w:t>
      </w:r>
      <w:r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m</w:t>
      </w:r>
      <w:r w:rsidRPr="00FC51A2">
        <w:rPr>
          <w:sz w:val="22"/>
          <w:lang w:val="hu-HU"/>
        </w:rPr>
        <w:t>í</w:t>
      </w:r>
      <w:r w:rsidRPr="00FC51A2">
        <w:rPr>
          <w:sz w:val="22"/>
          <w:szCs w:val="22"/>
          <w:lang w:val="hu-HU"/>
        </w:rPr>
        <w:t>g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febuxoszt</w:t>
      </w:r>
      <w:r w:rsidRPr="00FC51A2">
        <w:rPr>
          <w:sz w:val="22"/>
          <w:lang w:val="hu-HU"/>
        </w:rPr>
        <w:t>á</w:t>
      </w:r>
      <w:r w:rsidRPr="00FC51A2">
        <w:rPr>
          <w:sz w:val="22"/>
          <w:szCs w:val="22"/>
          <w:lang w:val="hu-HU"/>
        </w:rPr>
        <w:t>t</w:t>
      </w:r>
      <w:r w:rsidR="00DD1CA8" w:rsidRPr="00FC51A2">
        <w:rPr>
          <w:sz w:val="22"/>
          <w:lang w:val="hu-HU"/>
        </w:rPr>
        <w:t>-</w:t>
      </w:r>
      <w:r w:rsidRPr="00FC51A2">
        <w:rPr>
          <w:sz w:val="22"/>
          <w:szCs w:val="22"/>
          <w:lang w:val="hu-HU"/>
        </w:rPr>
        <w:t>gl</w:t>
      </w:r>
      <w:r w:rsidRPr="00FC51A2">
        <w:rPr>
          <w:sz w:val="22"/>
          <w:lang w:val="hu-HU"/>
        </w:rPr>
        <w:t>ü</w:t>
      </w:r>
      <w:r w:rsidRPr="00FC51A2">
        <w:rPr>
          <w:sz w:val="22"/>
          <w:szCs w:val="22"/>
          <w:lang w:val="hu-HU"/>
        </w:rPr>
        <w:t>kuronid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k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pz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d</w:t>
      </w:r>
      <w:r w:rsidRPr="00FC51A2">
        <w:rPr>
          <w:sz w:val="22"/>
          <w:lang w:val="hu-HU"/>
        </w:rPr>
        <w:t>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>éé</w:t>
      </w:r>
      <w:r w:rsidRPr="00FC51A2">
        <w:rPr>
          <w:sz w:val="22"/>
          <w:szCs w:val="22"/>
          <w:lang w:val="hu-HU"/>
        </w:rPr>
        <w:t>rt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els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sorban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az</w:t>
      </w:r>
      <w:r w:rsidRPr="00FC51A2">
        <w:rPr>
          <w:sz w:val="22"/>
          <w:lang w:val="hu-HU"/>
        </w:rPr>
        <w:t xml:space="preserve"> </w:t>
      </w:r>
      <w:r w:rsidRPr="00FC51A2">
        <w:rPr>
          <w:sz w:val="22"/>
          <w:szCs w:val="22"/>
          <w:lang w:val="hu-HU"/>
        </w:rPr>
        <w:t>UGT</w:t>
      </w:r>
      <w:r w:rsidRPr="00FC51A2">
        <w:rPr>
          <w:sz w:val="22"/>
          <w:lang w:val="hu-HU"/>
        </w:rPr>
        <w:t xml:space="preserve"> 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>1, 1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>8 é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 1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9 </w:t>
      </w:r>
      <w:r w:rsidRPr="00FC51A2">
        <w:rPr>
          <w:sz w:val="22"/>
          <w:szCs w:val="22"/>
          <w:lang w:val="hu-HU"/>
        </w:rPr>
        <w:t>felel</w:t>
      </w:r>
      <w:r w:rsidRPr="00FC51A2">
        <w:rPr>
          <w:sz w:val="22"/>
          <w:lang w:val="hu-HU"/>
        </w:rPr>
        <w:t>ő</w:t>
      </w:r>
      <w:r w:rsidRPr="00FC51A2">
        <w:rPr>
          <w:sz w:val="22"/>
          <w:szCs w:val="22"/>
          <w:lang w:val="hu-HU"/>
        </w:rPr>
        <w:t>s</w:t>
      </w:r>
      <w:r w:rsidRPr="00FC51A2">
        <w:rPr>
          <w:sz w:val="22"/>
          <w:lang w:val="hu-HU"/>
        </w:rPr>
        <w:t xml:space="preserve">. </w:t>
      </w:r>
    </w:p>
    <w:p w14:paraId="258E7F57" w14:textId="77777777" w:rsidR="00B3283F" w:rsidRPr="00FC51A2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66B7E3FA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iCs/>
          <w:sz w:val="22"/>
          <w:szCs w:val="22"/>
          <w:lang w:val="hu-HU"/>
        </w:rPr>
        <w:t>Elimináció</w:t>
      </w:r>
    </w:p>
    <w:p w14:paraId="37B1D09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A febuxosztát mind hepatikus, mind renális anyagcsereutakon eliminálódik. </w:t>
      </w:r>
      <w:r w:rsidRPr="00435A31">
        <w:rPr>
          <w:sz w:val="22"/>
          <w:vertAlign w:val="superscript"/>
          <w:lang w:val="hu-HU"/>
        </w:rPr>
        <w:t>14</w:t>
      </w:r>
      <w:r w:rsidRPr="00435A31">
        <w:rPr>
          <w:sz w:val="22"/>
          <w:lang w:val="hu-HU"/>
        </w:rPr>
        <w:t>C-izotóppal jelzett febuxos</w:t>
      </w:r>
      <w:r w:rsidR="002023A2" w:rsidRPr="00435A31">
        <w:rPr>
          <w:sz w:val="22"/>
          <w:lang w:val="hu-HU"/>
        </w:rPr>
        <w:t>z</w:t>
      </w:r>
      <w:r w:rsidRPr="00435A31">
        <w:rPr>
          <w:sz w:val="22"/>
          <w:lang w:val="hu-HU"/>
        </w:rPr>
        <w:t>t</w:t>
      </w:r>
      <w:r w:rsidR="002023A2" w:rsidRPr="00435A31">
        <w:rPr>
          <w:sz w:val="22"/>
          <w:lang w:val="hu-HU"/>
        </w:rPr>
        <w:t>á</w:t>
      </w:r>
      <w:r w:rsidRPr="00435A31">
        <w:rPr>
          <w:sz w:val="22"/>
          <w:lang w:val="hu-HU"/>
        </w:rPr>
        <w:t xml:space="preserve">t szájon át adott 80 mg-os adagjának kb. 49%-át a vizeletből nyerték vissza változatlan formában (3%), a hatóanyag acil-glükuronid származékaként (30%), ismert oxidációs metabolitjai és konjugátumaik (13%), valamint további, ismeretlen metabolitok (3%) alakjában. A vizelettel ürülő mennyiségen felül az adag kb. 45%-át nyerték vissza a székletből változatlan febuxosztát (12%), a hatóanyag acil-glükuronidja (1%), ismert oxidációs metabolitjai és konjugátumaik (25%), valamint további, ismeretlen metabolitok (7%) formájában. </w:t>
      </w:r>
    </w:p>
    <w:p w14:paraId="3B9B80AD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57A44E8E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Vesekárosodás</w:t>
      </w:r>
    </w:p>
    <w:p w14:paraId="55667207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szCs w:val="22"/>
          <w:lang w:val="hu-HU"/>
        </w:rPr>
        <w:t>A febuxosztát</w:t>
      </w:r>
      <w:r w:rsidRPr="00435A31">
        <w:rPr>
          <w:sz w:val="22"/>
          <w:lang w:val="hu-HU"/>
        </w:rPr>
        <w:t xml:space="preserve"> 80 mg-os adagját ismételten enyhe, középsúlyos vagy súlyos vesekárosodás</w:t>
      </w:r>
      <w:r w:rsidR="00F91E3F" w:rsidRPr="00435A31">
        <w:rPr>
          <w:sz w:val="22"/>
          <w:lang w:val="hu-HU"/>
        </w:rPr>
        <w:t>ban</w:t>
      </w:r>
      <w:r w:rsidRPr="00435A31">
        <w:rPr>
          <w:sz w:val="22"/>
          <w:lang w:val="hu-HU"/>
        </w:rPr>
        <w:t xml:space="preserve"> szenvedőknek adva a febuxosztát </w:t>
      </w:r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r w:rsidRPr="00435A31">
        <w:rPr>
          <w:sz w:val="22"/>
          <w:lang w:val="hu-HU"/>
        </w:rPr>
        <w:t xml:space="preserve">-értéke nem változott az ép veseműködésű alanyokon mérthez képest. A febuxosztát átlagos össz AUC-értéke kb. 1,8-szorosára nőtt, az ép veseműködésű csoportban mért 7,5 </w:t>
      </w:r>
      <w:r w:rsidRPr="00FC51A2">
        <w:rPr>
          <w:sz w:val="22"/>
        </w:rPr>
        <w:t>μ</w:t>
      </w:r>
      <w:r w:rsidRPr="00435A31">
        <w:rPr>
          <w:sz w:val="22"/>
          <w:lang w:val="hu-HU"/>
        </w:rPr>
        <w:t>g</w:t>
      </w:r>
      <w:r w:rsidR="00CE7441" w:rsidRPr="00FC51A2">
        <w:rPr>
          <w:color w:val="000000"/>
          <w:lang w:val="hu-HU"/>
        </w:rPr>
        <w:t>×</w:t>
      </w:r>
      <w:r w:rsidRPr="00435A31">
        <w:rPr>
          <w:sz w:val="22"/>
          <w:lang w:val="hu-HU"/>
        </w:rPr>
        <w:t xml:space="preserve">óra/ml-ről a súlyos vesekárosodásban szenvedőkön mért 13,2 </w:t>
      </w:r>
      <w:r w:rsidRPr="00FC51A2">
        <w:rPr>
          <w:sz w:val="22"/>
        </w:rPr>
        <w:t>μ</w:t>
      </w:r>
      <w:r w:rsidRPr="00435A31">
        <w:rPr>
          <w:sz w:val="22"/>
          <w:lang w:val="hu-HU"/>
        </w:rPr>
        <w:t>g</w:t>
      </w:r>
      <w:r w:rsidR="002023A2">
        <w:rPr>
          <w:color w:val="000000"/>
          <w:lang w:val="hu-HU"/>
        </w:rPr>
        <w:t>×</w:t>
      </w:r>
      <w:r w:rsidRPr="00435A31">
        <w:rPr>
          <w:sz w:val="22"/>
          <w:lang w:val="hu-HU"/>
        </w:rPr>
        <w:t xml:space="preserve">óra/ml-re. </w:t>
      </w:r>
      <w:r w:rsidR="00CB2FA9" w:rsidRPr="00435A31">
        <w:rPr>
          <w:sz w:val="22"/>
          <w:lang w:val="hu-HU"/>
        </w:rPr>
        <w:t>Az</w:t>
      </w:r>
      <w:r w:rsidR="007B2B87" w:rsidRPr="00435A31">
        <w:rPr>
          <w:sz w:val="22"/>
          <w:lang w:val="hu-HU"/>
        </w:rPr>
        <w:t xml:space="preserve"> aktív metabolitok c</w:t>
      </w:r>
      <w:r w:rsidR="00CB2FA9" w:rsidRPr="00435A31">
        <w:rPr>
          <w:sz w:val="22"/>
          <w:vertAlign w:val="subscript"/>
          <w:lang w:val="hu-HU"/>
        </w:rPr>
        <w:t>max</w:t>
      </w:r>
      <w:r w:rsidR="00CB2FA9" w:rsidRPr="00435A31">
        <w:rPr>
          <w:sz w:val="22"/>
          <w:lang w:val="hu-HU"/>
        </w:rPr>
        <w:t>-értékei</w:t>
      </w:r>
      <w:r w:rsidR="002023A2" w:rsidRPr="00435A31">
        <w:rPr>
          <w:sz w:val="22"/>
          <w:lang w:val="hu-HU"/>
        </w:rPr>
        <w:t xml:space="preserve"> legfeljebb</w:t>
      </w:r>
      <w:r w:rsidR="00CB2FA9" w:rsidRPr="00435A31">
        <w:rPr>
          <w:sz w:val="22"/>
          <w:lang w:val="hu-HU"/>
        </w:rPr>
        <w:t xml:space="preserve"> 2-szeresére, az AUC-értékei </w:t>
      </w:r>
      <w:r w:rsidR="002023A2" w:rsidRPr="00435A31">
        <w:rPr>
          <w:sz w:val="22"/>
          <w:lang w:val="hu-HU"/>
        </w:rPr>
        <w:t xml:space="preserve">legfeljebb </w:t>
      </w:r>
      <w:r w:rsidR="00CB2FA9" w:rsidRPr="00435A31">
        <w:rPr>
          <w:sz w:val="22"/>
          <w:lang w:val="hu-HU"/>
        </w:rPr>
        <w:t>4-szeresére emelkedtek.</w:t>
      </w:r>
      <w:r w:rsidRPr="00435A31">
        <w:rPr>
          <w:sz w:val="22"/>
          <w:lang w:val="hu-HU"/>
        </w:rPr>
        <w:t xml:space="preserve"> Mindazonáltal, enyhe vagy közepes vesekárosodásban szenvedő betegek esetében nincs szükség dózismódosításra.</w:t>
      </w:r>
    </w:p>
    <w:p w14:paraId="56316B94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40F90254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szCs w:val="22"/>
          <w:lang w:val="hu-HU"/>
        </w:rPr>
      </w:pPr>
      <w:r w:rsidRPr="00435A31">
        <w:rPr>
          <w:i/>
          <w:sz w:val="22"/>
          <w:szCs w:val="22"/>
          <w:lang w:val="hu-HU"/>
        </w:rPr>
        <w:t>Májkárosodás</w:t>
      </w:r>
    </w:p>
    <w:p w14:paraId="2BDB2A22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szCs w:val="22"/>
          <w:lang w:val="hu-HU"/>
        </w:rPr>
        <w:t>A febuxosztát</w:t>
      </w:r>
      <w:r w:rsidRPr="00435A31">
        <w:rPr>
          <w:sz w:val="22"/>
          <w:lang w:val="hu-HU"/>
        </w:rPr>
        <w:t xml:space="preserve"> 80 mg-os adagját, enyhén (Child–Pugh A stádiumú) vagy közepesen (Child–Pugh B stádiumú) károsodott májműködésű betegeknek ismételten adva a febuxosztát és metabolitjainak </w:t>
      </w:r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r w:rsidRPr="00435A31">
        <w:rPr>
          <w:sz w:val="22"/>
          <w:lang w:val="hu-HU"/>
        </w:rPr>
        <w:t xml:space="preserve">-és AUC-értékei nem </w:t>
      </w:r>
      <w:r w:rsidR="002023A2" w:rsidRPr="00435A31">
        <w:rPr>
          <w:sz w:val="22"/>
          <w:lang w:val="hu-HU"/>
        </w:rPr>
        <w:t>mutattak szignifikáns változást</w:t>
      </w:r>
      <w:r w:rsidRPr="00435A31">
        <w:rPr>
          <w:sz w:val="22"/>
          <w:lang w:val="hu-HU"/>
        </w:rPr>
        <w:t xml:space="preserve"> az ép májműködésű alanyokon mértekhez képest. Súlyos (Child–Pugh C stádiumú) májkárosodásban szenvedő betegeken nem végeztek </w:t>
      </w:r>
      <w:r w:rsidR="00C86634" w:rsidRPr="00435A31">
        <w:rPr>
          <w:sz w:val="22"/>
          <w:lang w:val="hu-HU"/>
        </w:rPr>
        <w:t xml:space="preserve">ilyen </w:t>
      </w:r>
      <w:r w:rsidRPr="00435A31">
        <w:rPr>
          <w:sz w:val="22"/>
          <w:lang w:val="hu-HU"/>
        </w:rPr>
        <w:t xml:space="preserve">vizsgálatokat. </w:t>
      </w:r>
    </w:p>
    <w:p w14:paraId="11EC171F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</w:p>
    <w:p w14:paraId="293FBFA7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Életkor</w:t>
      </w:r>
    </w:p>
    <w:p w14:paraId="0DA836C6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 xml:space="preserve">Nem észlelték a febuxosztát és metabolitjai AUC-értékeinek </w:t>
      </w:r>
      <w:r w:rsidR="002023A2" w:rsidRPr="00435A31">
        <w:rPr>
          <w:sz w:val="22"/>
          <w:lang w:val="hu-HU"/>
        </w:rPr>
        <w:t xml:space="preserve">szignifikáns </w:t>
      </w:r>
      <w:r w:rsidRPr="00435A31">
        <w:rPr>
          <w:sz w:val="22"/>
          <w:lang w:val="hu-HU"/>
        </w:rPr>
        <w:t xml:space="preserve">változásait </w:t>
      </w:r>
      <w:r w:rsidR="0069445C" w:rsidRPr="00435A31">
        <w:rPr>
          <w:sz w:val="22"/>
          <w:szCs w:val="22"/>
          <w:lang w:val="hu-HU"/>
        </w:rPr>
        <w:t xml:space="preserve">fiatal egészséges alanyokhoz viszonyítva, amikor </w:t>
      </w:r>
      <w:r w:rsidRPr="00435A31">
        <w:rPr>
          <w:sz w:val="22"/>
          <w:szCs w:val="22"/>
          <w:lang w:val="hu-HU"/>
        </w:rPr>
        <w:t>a febuxosztát</w:t>
      </w:r>
      <w:r w:rsidRPr="00435A31">
        <w:rPr>
          <w:sz w:val="22"/>
          <w:lang w:val="hu-HU"/>
        </w:rPr>
        <w:t xml:space="preserve"> ismételten, szájon át adott adagjaival kezelt időseknél</w:t>
      </w:r>
      <w:r w:rsidR="0069445C" w:rsidRPr="00435A31">
        <w:rPr>
          <w:sz w:val="22"/>
          <w:lang w:val="hu-HU"/>
        </w:rPr>
        <w:t>.</w:t>
      </w:r>
    </w:p>
    <w:p w14:paraId="0949F9E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6043687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Nem</w:t>
      </w:r>
    </w:p>
    <w:p w14:paraId="1AACDAAC" w14:textId="77777777" w:rsidR="00B3283F" w:rsidRPr="00435A31" w:rsidRDefault="00B3283F" w:rsidP="00A17448">
      <w:pPr>
        <w:shd w:val="clear" w:color="auto" w:fill="FFFFFF" w:themeFill="background1"/>
        <w:rPr>
          <w:sz w:val="22"/>
          <w:u w:val="single"/>
          <w:lang w:val="hu-HU"/>
        </w:rPr>
      </w:pPr>
      <w:bookmarkStart w:id="17" w:name="bookmark7"/>
      <w:r w:rsidRPr="00435A31">
        <w:rPr>
          <w:sz w:val="22"/>
          <w:szCs w:val="22"/>
          <w:lang w:val="hu-HU"/>
        </w:rPr>
        <w:t>A febuxosztát</w:t>
      </w:r>
      <w:r w:rsidRPr="00435A31">
        <w:rPr>
          <w:sz w:val="22"/>
          <w:lang w:val="hu-HU"/>
        </w:rPr>
        <w:t xml:space="preserve">ot ismételten szájon át adva a </w:t>
      </w:r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r w:rsidRPr="00435A31">
        <w:rPr>
          <w:sz w:val="22"/>
          <w:lang w:val="hu-HU"/>
        </w:rPr>
        <w:t xml:space="preserve">-értéke 24%-kal, az AUC-értéke 12%-kal nagyobb volt nőkben, mint férfiakban. </w:t>
      </w:r>
      <w:r w:rsidR="00AA5850" w:rsidRPr="00435A31">
        <w:rPr>
          <w:sz w:val="22"/>
          <w:lang w:val="hu-HU"/>
        </w:rPr>
        <w:t>Azonban</w:t>
      </w:r>
      <w:r w:rsidRPr="00435A31">
        <w:rPr>
          <w:sz w:val="22"/>
          <w:lang w:val="hu-HU"/>
        </w:rPr>
        <w:t xml:space="preserve"> a testsúlyra korrigált </w:t>
      </w:r>
      <w:r w:rsidR="007B2B87" w:rsidRPr="00435A31">
        <w:rPr>
          <w:sz w:val="22"/>
          <w:lang w:val="hu-HU"/>
        </w:rPr>
        <w:t>c</w:t>
      </w:r>
      <w:r w:rsidRPr="00435A31">
        <w:rPr>
          <w:sz w:val="22"/>
          <w:vertAlign w:val="subscript"/>
          <w:lang w:val="hu-HU"/>
        </w:rPr>
        <w:t>max</w:t>
      </w:r>
      <w:r w:rsidRPr="00435A31">
        <w:rPr>
          <w:sz w:val="22"/>
          <w:lang w:val="hu-HU"/>
        </w:rPr>
        <w:t>- és AUC-értékek mindkét nemben hasonlóak voltak. A beteg neme alapján</w:t>
      </w:r>
      <w:r w:rsidR="00AA5850" w:rsidRPr="00435A31">
        <w:rPr>
          <w:sz w:val="22"/>
          <w:lang w:val="hu-HU"/>
        </w:rPr>
        <w:t xml:space="preserve"> nem</w:t>
      </w:r>
      <w:r w:rsidRPr="00435A31">
        <w:rPr>
          <w:sz w:val="22"/>
          <w:lang w:val="hu-HU"/>
        </w:rPr>
        <w:t xml:space="preserve"> szükség</w:t>
      </w:r>
      <w:r w:rsidR="00AA5850" w:rsidRPr="00435A31">
        <w:rPr>
          <w:sz w:val="22"/>
          <w:lang w:val="hu-HU"/>
        </w:rPr>
        <w:t>es</w:t>
      </w:r>
      <w:r w:rsidRPr="00435A31">
        <w:rPr>
          <w:sz w:val="22"/>
          <w:lang w:val="hu-HU"/>
        </w:rPr>
        <w:t xml:space="preserve"> módosítani a gyógyszeradagot</w:t>
      </w:r>
      <w:r w:rsidRPr="00435A31">
        <w:rPr>
          <w:sz w:val="22"/>
          <w:szCs w:val="22"/>
          <w:lang w:val="hu-HU"/>
        </w:rPr>
        <w:t>.</w:t>
      </w:r>
    </w:p>
    <w:p w14:paraId="744DB540" w14:textId="77777777" w:rsidR="00B3283F" w:rsidRPr="00435A31" w:rsidRDefault="00B3283F" w:rsidP="00A17448">
      <w:pPr>
        <w:shd w:val="clear" w:color="auto" w:fill="FFFFFF" w:themeFill="background1"/>
        <w:ind w:firstLine="709"/>
        <w:rPr>
          <w:sz w:val="22"/>
          <w:szCs w:val="22"/>
          <w:u w:val="single"/>
          <w:lang w:val="hu-HU"/>
        </w:rPr>
      </w:pPr>
    </w:p>
    <w:p w14:paraId="642F3E00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18" w:name="_Toc441573746"/>
      <w:r w:rsidRPr="00435A31">
        <w:rPr>
          <w:b/>
          <w:sz w:val="22"/>
          <w:lang w:val="hu-HU"/>
        </w:rPr>
        <w:t>5.3</w:t>
      </w:r>
      <w:r w:rsidRPr="00435A31">
        <w:rPr>
          <w:b/>
          <w:sz w:val="22"/>
          <w:szCs w:val="22"/>
          <w:lang w:val="hu-HU"/>
        </w:rPr>
        <w:tab/>
      </w:r>
      <w:bookmarkEnd w:id="18"/>
      <w:r w:rsidRPr="00435A31">
        <w:rPr>
          <w:b/>
          <w:sz w:val="22"/>
          <w:lang w:val="hu-HU"/>
        </w:rPr>
        <w:t xml:space="preserve">A preklinikai </w:t>
      </w:r>
      <w:r w:rsidRPr="00435A31">
        <w:rPr>
          <w:b/>
          <w:sz w:val="22"/>
          <w:szCs w:val="22"/>
          <w:lang w:val="hu-HU"/>
        </w:rPr>
        <w:t>biztonságossági vizsgálatok eredményei</w:t>
      </w:r>
      <w:bookmarkEnd w:id="17"/>
    </w:p>
    <w:p w14:paraId="036A799E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26C8604B" w14:textId="20BB5B40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nem klinikai vizsgálatok során általában csak a maximális humán expozíciót meghaladó expozíció esetén figyeltek meg hatásokat. </w:t>
      </w:r>
    </w:p>
    <w:p w14:paraId="4EA86005" w14:textId="0E1CA0DA" w:rsidR="00F74C22" w:rsidRPr="00435A31" w:rsidRDefault="00F74C22" w:rsidP="00A17448">
      <w:pPr>
        <w:shd w:val="clear" w:color="auto" w:fill="FFFFFF" w:themeFill="background1"/>
        <w:rPr>
          <w:color w:val="000000"/>
          <w:sz w:val="22"/>
          <w:lang w:val="hu-HU"/>
        </w:rPr>
      </w:pPr>
    </w:p>
    <w:p w14:paraId="7022D211" w14:textId="118F49AF" w:rsidR="00B3283F" w:rsidRPr="00435A31" w:rsidRDefault="00F74C22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szCs w:val="22"/>
          <w:lang w:val="hu-HU" w:eastAsia="el-GR"/>
        </w:rPr>
        <w:t>A patkányokon végzett vizsgálatokból származó adatok farmakokinetikai modellezése és szimulálása</w:t>
      </w:r>
      <w:r w:rsidR="00680D2F" w:rsidRPr="00435A31">
        <w:rPr>
          <w:color w:val="000000"/>
          <w:sz w:val="22"/>
          <w:szCs w:val="22"/>
          <w:lang w:val="hu-HU" w:eastAsia="el-GR"/>
        </w:rPr>
        <w:t xml:space="preserve"> </w:t>
      </w:r>
      <w:r w:rsidRPr="00435A31">
        <w:rPr>
          <w:color w:val="000000"/>
          <w:sz w:val="22"/>
          <w:szCs w:val="22"/>
          <w:lang w:val="hu-HU" w:eastAsia="el-GR"/>
        </w:rPr>
        <w:t>azt mutatja, hogy ha a febuxosztáttal együttadják, a merkaptopurin/azatioprin klinikai dózisát a</w:t>
      </w:r>
      <w:r w:rsidR="00680D2F" w:rsidRPr="00435A31">
        <w:rPr>
          <w:color w:val="000000"/>
          <w:sz w:val="22"/>
          <w:szCs w:val="22"/>
          <w:lang w:val="hu-HU" w:eastAsia="el-GR"/>
        </w:rPr>
        <w:t xml:space="preserve"> </w:t>
      </w:r>
      <w:r w:rsidRPr="00435A31">
        <w:rPr>
          <w:color w:val="000000"/>
          <w:sz w:val="22"/>
          <w:szCs w:val="22"/>
          <w:lang w:val="hu-HU" w:eastAsia="el-GR"/>
        </w:rPr>
        <w:t>korábban előírt adag 20%-ára vagy annál kevesebbre kell csökkenteni a lehetséges hematológiai hatások elkerülése érdekében (lásd 4.4 és 4.5 pont).</w:t>
      </w:r>
    </w:p>
    <w:p w14:paraId="02E1D88E" w14:textId="77777777" w:rsidR="00B3283F" w:rsidRPr="00435A31" w:rsidRDefault="00B3283F" w:rsidP="00A17448">
      <w:pPr>
        <w:shd w:val="clear" w:color="auto" w:fill="FFFFFF" w:themeFill="background1"/>
        <w:rPr>
          <w:i/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Rákkeltő hatás, mutagenezis, fertilitási zavarok </w:t>
      </w:r>
    </w:p>
    <w:p w14:paraId="2D3D7529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Hím patkányokban statisztikailag szignifikáns mértékben nőtt a húgyhólyag daganatok (átmenetisejtes papilloma és carcinoma) gyakorisága, amit kizárólag xantin-kövességgel együtt észlelték a nagy dózissal – a humán adag körülbelül 11-szeresével – kezelt csoportban. Egyetlen más daganattípus gyakorisága sem nőtt </w:t>
      </w:r>
      <w:r w:rsidR="001355CB" w:rsidRPr="00435A31">
        <w:rPr>
          <w:color w:val="000000"/>
          <w:sz w:val="22"/>
          <w:lang w:val="hu-HU"/>
        </w:rPr>
        <w:t xml:space="preserve">szignifikánsan </w:t>
      </w:r>
      <w:r w:rsidRPr="00435A31">
        <w:rPr>
          <w:color w:val="000000"/>
          <w:sz w:val="22"/>
          <w:lang w:val="hu-HU"/>
        </w:rPr>
        <w:t>a hím, ill</w:t>
      </w:r>
      <w:r w:rsidR="001355CB" w:rsidRPr="00435A31">
        <w:rPr>
          <w:color w:val="000000"/>
          <w:sz w:val="22"/>
          <w:lang w:val="hu-HU"/>
        </w:rPr>
        <w:t>etve</w:t>
      </w:r>
      <w:r w:rsidRPr="00435A31">
        <w:rPr>
          <w:color w:val="000000"/>
          <w:sz w:val="22"/>
          <w:lang w:val="hu-HU"/>
        </w:rPr>
        <w:t xml:space="preserve"> a nőstény egerekben és patkányokban. Ezek a megfigyelések a purinanyagcsere és a vizelet-összetétel vizsgált állatfajra jellemző sajátosságainak tekinthetők, ezért nincs jelentőségük a klinikai alkalmazás szempontjából. </w:t>
      </w:r>
    </w:p>
    <w:p w14:paraId="29C47ADE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szCs w:val="22"/>
          <w:lang w:val="hu-HU" w:eastAsia="el-GR"/>
        </w:rPr>
      </w:pPr>
    </w:p>
    <w:p w14:paraId="71AA6060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hagyományos genotoxicitási vizsgálatsorozatok nem mutatták ki, hogy a febuxosztát bármilyen, biológiai szempontból </w:t>
      </w:r>
      <w:r w:rsidR="001355CB" w:rsidRPr="00435A31">
        <w:rPr>
          <w:color w:val="000000"/>
          <w:sz w:val="22"/>
          <w:lang w:val="hu-HU"/>
        </w:rPr>
        <w:t xml:space="preserve">jelentős </w:t>
      </w:r>
      <w:r w:rsidRPr="00435A31">
        <w:rPr>
          <w:color w:val="000000"/>
          <w:sz w:val="22"/>
          <w:lang w:val="hu-HU"/>
        </w:rPr>
        <w:t>genotoxikus hatást fejtene ki.</w:t>
      </w:r>
      <w:r w:rsidRPr="00435A31">
        <w:rPr>
          <w:color w:val="000000"/>
          <w:sz w:val="22"/>
          <w:szCs w:val="22"/>
          <w:lang w:val="hu-HU" w:eastAsia="el-GR"/>
        </w:rPr>
        <w:t xml:space="preserve"> </w:t>
      </w:r>
    </w:p>
    <w:p w14:paraId="304038E3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szCs w:val="22"/>
          <w:lang w:val="hu-HU" w:eastAsia="el-GR"/>
        </w:rPr>
      </w:pPr>
      <w:bookmarkStart w:id="19" w:name="bookmark8"/>
    </w:p>
    <w:p w14:paraId="2AD3399A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lang w:val="hu-HU"/>
        </w:rPr>
      </w:pPr>
      <w:r w:rsidRPr="00435A31">
        <w:rPr>
          <w:color w:val="000000"/>
          <w:sz w:val="22"/>
          <w:lang w:val="hu-HU"/>
        </w:rPr>
        <w:t xml:space="preserve">A szájon át legfeljebb 48 mg/kg/nap adagban </w:t>
      </w:r>
      <w:r w:rsidR="001355CB" w:rsidRPr="00435A31">
        <w:rPr>
          <w:color w:val="000000"/>
          <w:sz w:val="22"/>
          <w:lang w:val="hu-HU"/>
        </w:rPr>
        <w:t xml:space="preserve">alkalmazott </w:t>
      </w:r>
      <w:r w:rsidRPr="00435A31">
        <w:rPr>
          <w:color w:val="000000"/>
          <w:sz w:val="22"/>
          <w:lang w:val="hu-HU"/>
        </w:rPr>
        <w:t>febuxosztát nem befolyásolta</w:t>
      </w:r>
      <w:r w:rsidR="001355CB" w:rsidRPr="00435A31">
        <w:rPr>
          <w:color w:val="000000"/>
          <w:sz w:val="22"/>
          <w:lang w:val="hu-HU"/>
        </w:rPr>
        <w:t xml:space="preserve"> sem</w:t>
      </w:r>
      <w:r w:rsidRPr="00435A31">
        <w:rPr>
          <w:color w:val="000000"/>
          <w:sz w:val="22"/>
          <w:lang w:val="hu-HU"/>
        </w:rPr>
        <w:t xml:space="preserve"> a hím</w:t>
      </w:r>
      <w:r w:rsidR="001355CB" w:rsidRPr="00435A31">
        <w:rPr>
          <w:color w:val="000000"/>
          <w:sz w:val="22"/>
          <w:lang w:val="hu-HU"/>
        </w:rPr>
        <w:t>,</w:t>
      </w:r>
      <w:r w:rsidRPr="00435A31">
        <w:rPr>
          <w:color w:val="000000"/>
          <w:sz w:val="22"/>
          <w:lang w:val="hu-HU"/>
        </w:rPr>
        <w:t xml:space="preserve"> </w:t>
      </w:r>
      <w:r w:rsidR="001355CB" w:rsidRPr="00435A31">
        <w:rPr>
          <w:color w:val="000000"/>
          <w:sz w:val="22"/>
          <w:lang w:val="hu-HU"/>
        </w:rPr>
        <w:t>sem</w:t>
      </w:r>
      <w:r w:rsidRPr="00435A31">
        <w:rPr>
          <w:color w:val="000000"/>
          <w:sz w:val="22"/>
          <w:lang w:val="hu-HU"/>
        </w:rPr>
        <w:t xml:space="preserve"> a nőstény patkányok reproduktív képességét. </w:t>
      </w:r>
    </w:p>
    <w:p w14:paraId="04559A52" w14:textId="77777777" w:rsidR="00B3283F" w:rsidRPr="00435A31" w:rsidRDefault="00B3283F" w:rsidP="00A17448">
      <w:pPr>
        <w:shd w:val="clear" w:color="auto" w:fill="FFFFFF" w:themeFill="background1"/>
        <w:rPr>
          <w:color w:val="000000"/>
          <w:sz w:val="22"/>
          <w:szCs w:val="22"/>
          <w:lang w:val="hu-HU" w:eastAsia="el-GR"/>
        </w:rPr>
      </w:pPr>
    </w:p>
    <w:p w14:paraId="630DF94E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color w:val="000000"/>
          <w:sz w:val="22"/>
          <w:lang w:val="hu-HU"/>
        </w:rPr>
        <w:t>Nem észlelték, hogy a febuxosztát károsítaná a fertilitást, teratogén vagy magzatkáros</w:t>
      </w:r>
      <w:r w:rsidR="001355CB" w:rsidRPr="00435A31">
        <w:rPr>
          <w:color w:val="000000"/>
          <w:sz w:val="22"/>
          <w:lang w:val="hu-HU"/>
        </w:rPr>
        <w:t>ító hatású lenne</w:t>
      </w:r>
      <w:r w:rsidRPr="00435A31">
        <w:rPr>
          <w:color w:val="000000"/>
          <w:sz w:val="22"/>
          <w:lang w:val="hu-HU"/>
        </w:rPr>
        <w:t xml:space="preserve">. Patkányban nagy adagok </w:t>
      </w:r>
      <w:r w:rsidR="007E11C8" w:rsidRPr="00435A31">
        <w:rPr>
          <w:color w:val="000000"/>
          <w:sz w:val="22"/>
          <w:lang w:val="hu-HU"/>
        </w:rPr>
        <w:t>–</w:t>
      </w:r>
      <w:r w:rsidRPr="00435A31">
        <w:rPr>
          <w:color w:val="000000"/>
          <w:sz w:val="22"/>
          <w:lang w:val="hu-HU"/>
        </w:rPr>
        <w:t xml:space="preserve"> a humán expozíció kb. 4,3-sz</w:t>
      </w:r>
      <w:r w:rsidR="007E11C8" w:rsidRPr="00435A31">
        <w:rPr>
          <w:color w:val="000000"/>
          <w:sz w:val="22"/>
          <w:lang w:val="hu-HU"/>
        </w:rPr>
        <w:t>o</w:t>
      </w:r>
      <w:r w:rsidRPr="00435A31">
        <w:rPr>
          <w:color w:val="000000"/>
          <w:sz w:val="22"/>
          <w:lang w:val="hu-HU"/>
        </w:rPr>
        <w:t>r</w:t>
      </w:r>
      <w:r w:rsidR="007E11C8" w:rsidRPr="00435A31">
        <w:rPr>
          <w:color w:val="000000"/>
          <w:sz w:val="22"/>
          <w:lang w:val="hu-HU"/>
        </w:rPr>
        <w:t>o</w:t>
      </w:r>
      <w:r w:rsidRPr="00435A31">
        <w:rPr>
          <w:color w:val="000000"/>
          <w:sz w:val="22"/>
          <w:lang w:val="hu-HU"/>
        </w:rPr>
        <w:t>s</w:t>
      </w:r>
      <w:r w:rsidR="007E11C8" w:rsidRPr="00435A31">
        <w:rPr>
          <w:color w:val="000000"/>
          <w:sz w:val="22"/>
          <w:lang w:val="hu-HU"/>
        </w:rPr>
        <w:t>a</w:t>
      </w:r>
      <w:r w:rsidRPr="00435A31">
        <w:rPr>
          <w:color w:val="000000"/>
          <w:sz w:val="22"/>
          <w:lang w:val="hu-HU"/>
        </w:rPr>
        <w:t xml:space="preserve"> </w:t>
      </w:r>
      <w:r w:rsidR="001355CB" w:rsidRPr="00435A31">
        <w:rPr>
          <w:color w:val="000000"/>
          <w:sz w:val="22"/>
          <w:lang w:val="hu-HU"/>
        </w:rPr>
        <w:t xml:space="preserve">– </w:t>
      </w:r>
      <w:r w:rsidRPr="00435A31">
        <w:rPr>
          <w:color w:val="000000"/>
          <w:sz w:val="22"/>
          <w:lang w:val="hu-HU"/>
        </w:rPr>
        <w:t>toxikusaknak bizonyultak az anyaállatokra, ehhez az elválasztási index csökkenése és az utódok csökkent fejlődése társult. A vemhes patkányokon</w:t>
      </w:r>
      <w:r w:rsidR="007F4B65" w:rsidRPr="00435A31">
        <w:rPr>
          <w:color w:val="000000"/>
          <w:sz w:val="22"/>
          <w:lang w:val="hu-HU"/>
        </w:rPr>
        <w:t xml:space="preserve"> a</w:t>
      </w:r>
      <w:r w:rsidR="00452C84" w:rsidRPr="00435A31">
        <w:rPr>
          <w:color w:val="000000"/>
          <w:sz w:val="22"/>
          <w:lang w:val="hu-HU"/>
        </w:rPr>
        <w:t xml:space="preserve"> humán expozíció kb. 4,3-szorosának</w:t>
      </w:r>
      <w:r w:rsidRPr="00435A31">
        <w:rPr>
          <w:color w:val="000000"/>
          <w:sz w:val="22"/>
          <w:lang w:val="hu-HU"/>
        </w:rPr>
        <w:t>, nyulakon</w:t>
      </w:r>
      <w:r w:rsidR="00452C84" w:rsidRPr="00435A31">
        <w:rPr>
          <w:color w:val="000000"/>
          <w:sz w:val="22"/>
          <w:lang w:val="hu-HU"/>
        </w:rPr>
        <w:t xml:space="preserve"> </w:t>
      </w:r>
      <w:r w:rsidRPr="00435A31">
        <w:rPr>
          <w:color w:val="000000"/>
          <w:sz w:val="22"/>
          <w:lang w:val="hu-HU"/>
        </w:rPr>
        <w:t xml:space="preserve">kb. </w:t>
      </w:r>
      <w:r w:rsidR="00452C84" w:rsidRPr="00435A31">
        <w:rPr>
          <w:color w:val="000000"/>
          <w:sz w:val="22"/>
          <w:lang w:val="hu-HU"/>
        </w:rPr>
        <w:t xml:space="preserve">a </w:t>
      </w:r>
      <w:r w:rsidRPr="00435A31">
        <w:rPr>
          <w:color w:val="000000"/>
          <w:sz w:val="22"/>
          <w:lang w:val="hu-HU"/>
        </w:rPr>
        <w:t>13-szorosának megfelelő dózisokkal elvégzett teratológiai vizsgálatok nem mutattak ki semmiféle teratogén hatást.</w:t>
      </w:r>
    </w:p>
    <w:p w14:paraId="2A22040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6020A9C" w14:textId="77777777" w:rsidR="00BF16FE" w:rsidRPr="00435A31" w:rsidRDefault="00BF16FE" w:rsidP="00A17448">
      <w:pPr>
        <w:shd w:val="clear" w:color="auto" w:fill="FFFFFF" w:themeFill="background1"/>
        <w:rPr>
          <w:sz w:val="22"/>
          <w:lang w:val="hu-HU"/>
        </w:rPr>
      </w:pPr>
    </w:p>
    <w:p w14:paraId="475E0319" w14:textId="77777777" w:rsidR="00B3283F" w:rsidRPr="00435A31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20" w:name="_Toc441573747"/>
      <w:bookmarkStart w:id="21" w:name="bookmark9"/>
      <w:bookmarkEnd w:id="19"/>
      <w:r w:rsidRPr="00435A31">
        <w:rPr>
          <w:b/>
          <w:kern w:val="28"/>
          <w:sz w:val="22"/>
          <w:szCs w:val="22"/>
          <w:lang w:val="hu-HU"/>
        </w:rPr>
        <w:t>6.</w:t>
      </w:r>
      <w:r w:rsidRPr="00435A31">
        <w:rPr>
          <w:b/>
          <w:kern w:val="28"/>
          <w:sz w:val="22"/>
          <w:szCs w:val="22"/>
          <w:lang w:val="hu-HU"/>
        </w:rPr>
        <w:tab/>
      </w:r>
      <w:bookmarkEnd w:id="20"/>
      <w:r w:rsidRPr="00435A31">
        <w:rPr>
          <w:b/>
          <w:kern w:val="28"/>
          <w:sz w:val="22"/>
          <w:lang w:val="hu-HU"/>
        </w:rPr>
        <w:t>GYÓGYSZERÉSZETI JELLEMZŐK</w:t>
      </w:r>
    </w:p>
    <w:bookmarkEnd w:id="21"/>
    <w:p w14:paraId="7CA9BCCE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16BD2C2A" w14:textId="77777777" w:rsidR="00B3283F" w:rsidRPr="00435A31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hu-HU"/>
        </w:rPr>
      </w:pPr>
      <w:bookmarkStart w:id="22" w:name="_Toc441573748"/>
      <w:r w:rsidRPr="00435A31">
        <w:rPr>
          <w:b/>
          <w:sz w:val="22"/>
          <w:lang w:val="hu-HU"/>
        </w:rPr>
        <w:t>6.1</w:t>
      </w:r>
      <w:r w:rsidRPr="00435A31">
        <w:rPr>
          <w:b/>
          <w:sz w:val="22"/>
          <w:szCs w:val="22"/>
          <w:lang w:val="hu-HU"/>
        </w:rPr>
        <w:tab/>
      </w:r>
      <w:bookmarkEnd w:id="22"/>
      <w:r w:rsidRPr="00435A31">
        <w:rPr>
          <w:b/>
          <w:sz w:val="22"/>
          <w:lang w:val="hu-HU"/>
        </w:rPr>
        <w:t>Segédanyagok felsorolása</w:t>
      </w:r>
    </w:p>
    <w:p w14:paraId="72540E83" w14:textId="77777777" w:rsidR="00B3283F" w:rsidRPr="00435A31" w:rsidRDefault="00B3283F" w:rsidP="00A17448">
      <w:pPr>
        <w:shd w:val="clear" w:color="auto" w:fill="FFFFFF" w:themeFill="background1"/>
        <w:ind w:left="720"/>
        <w:rPr>
          <w:i/>
          <w:sz w:val="22"/>
          <w:lang w:val="hu-HU"/>
        </w:rPr>
      </w:pPr>
    </w:p>
    <w:p w14:paraId="1DBDADD4" w14:textId="77777777" w:rsidR="00B3283F" w:rsidRPr="00435A31" w:rsidRDefault="00B3283F" w:rsidP="00A17448">
      <w:pPr>
        <w:shd w:val="clear" w:color="auto" w:fill="FFFFFF" w:themeFill="background1"/>
        <w:rPr>
          <w:i/>
          <w:sz w:val="22"/>
          <w:lang w:val="hu-HU"/>
        </w:rPr>
      </w:pPr>
      <w:r w:rsidRPr="00435A31">
        <w:rPr>
          <w:i/>
          <w:sz w:val="22"/>
          <w:lang w:val="hu-HU"/>
        </w:rPr>
        <w:t>Tabletta mag</w:t>
      </w:r>
    </w:p>
    <w:p w14:paraId="10C269C5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Laktóz-monohidrát</w:t>
      </w:r>
    </w:p>
    <w:p w14:paraId="0D60768C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Mikrokristályos cellulóz (E460)</w:t>
      </w:r>
    </w:p>
    <w:p w14:paraId="48B09361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Hidroxipropil</w:t>
      </w:r>
      <w:r w:rsidR="0005615C" w:rsidRPr="00435A31">
        <w:rPr>
          <w:sz w:val="22"/>
          <w:lang w:val="hu-HU"/>
        </w:rPr>
        <w:t>-</w:t>
      </w:r>
      <w:r w:rsidRPr="00435A31">
        <w:rPr>
          <w:sz w:val="22"/>
          <w:lang w:val="hu-HU"/>
        </w:rPr>
        <w:t>cellulóz (E463)</w:t>
      </w:r>
    </w:p>
    <w:p w14:paraId="3912C4C2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Kroszkarmellóz-nátrium</w:t>
      </w:r>
    </w:p>
    <w:p w14:paraId="20131C1F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  <w:r w:rsidRPr="00435A31">
        <w:rPr>
          <w:sz w:val="22"/>
          <w:lang w:val="hu-HU"/>
        </w:rPr>
        <w:t>Vízmentes kolloid szilícium-dioxid (E551)</w:t>
      </w:r>
    </w:p>
    <w:p w14:paraId="182A9C58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Magnézium-sztearát (E470b)</w:t>
      </w:r>
    </w:p>
    <w:p w14:paraId="35BC8F98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</w:p>
    <w:p w14:paraId="1DDD99D4" w14:textId="77777777" w:rsidR="00B3283F" w:rsidRPr="00074E44" w:rsidRDefault="00B3283F" w:rsidP="00A17448">
      <w:pPr>
        <w:shd w:val="clear" w:color="auto" w:fill="FFFFFF" w:themeFill="background1"/>
        <w:rPr>
          <w:i/>
          <w:sz w:val="22"/>
          <w:lang w:val="de-DE"/>
        </w:rPr>
      </w:pPr>
      <w:r w:rsidRPr="00074E44">
        <w:rPr>
          <w:i/>
          <w:sz w:val="22"/>
          <w:lang w:val="de-DE"/>
        </w:rPr>
        <w:t>Filmbevonat</w:t>
      </w:r>
    </w:p>
    <w:p w14:paraId="59632B29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Poli</w:t>
      </w:r>
      <w:r w:rsidR="0031460D" w:rsidRPr="00074E44">
        <w:rPr>
          <w:sz w:val="22"/>
          <w:lang w:val="de-DE"/>
        </w:rPr>
        <w:t>(</w:t>
      </w:r>
      <w:r w:rsidRPr="00074E44">
        <w:rPr>
          <w:sz w:val="22"/>
          <w:lang w:val="de-DE"/>
        </w:rPr>
        <w:t>vinil</w:t>
      </w:r>
      <w:r w:rsidR="0031460D" w:rsidRPr="00074E44">
        <w:rPr>
          <w:sz w:val="22"/>
          <w:lang w:val="de-DE"/>
        </w:rPr>
        <w:t>-</w:t>
      </w:r>
      <w:r w:rsidRPr="00074E44">
        <w:rPr>
          <w:sz w:val="22"/>
          <w:lang w:val="de-DE"/>
        </w:rPr>
        <w:t>alkohol</w:t>
      </w:r>
      <w:r w:rsidR="0031460D" w:rsidRPr="00074E44">
        <w:rPr>
          <w:sz w:val="22"/>
          <w:lang w:val="de-DE"/>
        </w:rPr>
        <w:t>)</w:t>
      </w:r>
      <w:r w:rsidRPr="00074E44">
        <w:rPr>
          <w:sz w:val="22"/>
          <w:lang w:val="de-DE"/>
        </w:rPr>
        <w:t xml:space="preserve"> (E1203)</w:t>
      </w:r>
    </w:p>
    <w:p w14:paraId="4C7BB93B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Talkum (E553b)</w:t>
      </w:r>
    </w:p>
    <w:p w14:paraId="417DF78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Titán-dioxid (E171)</w:t>
      </w:r>
    </w:p>
    <w:p w14:paraId="188CFF5C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Makrogol 3350 (E1521)</w:t>
      </w:r>
    </w:p>
    <w:p w14:paraId="742D2AAF" w14:textId="77777777" w:rsidR="0031460D" w:rsidRPr="00074E44" w:rsidRDefault="0031460D" w:rsidP="0031460D">
      <w:pPr>
        <w:jc w:val="both"/>
        <w:rPr>
          <w:sz w:val="22"/>
          <w:szCs w:val="22"/>
          <w:lang w:val="de-DE"/>
        </w:rPr>
      </w:pPr>
      <w:r w:rsidRPr="00074E44">
        <w:rPr>
          <w:sz w:val="22"/>
          <w:szCs w:val="22"/>
          <w:lang w:val="de-DE"/>
        </w:rPr>
        <w:t>Metakrilsav-etil-akrilát-kopolimer (1: 1) (A</w:t>
      </w:r>
      <w:r w:rsidR="0005615C" w:rsidRPr="00074E44">
        <w:rPr>
          <w:sz w:val="22"/>
          <w:szCs w:val="22"/>
          <w:lang w:val="de-DE"/>
        </w:rPr>
        <w:t xml:space="preserve"> típusú</w:t>
      </w:r>
      <w:r w:rsidRPr="00074E44">
        <w:rPr>
          <w:sz w:val="22"/>
          <w:szCs w:val="22"/>
          <w:lang w:val="de-DE"/>
        </w:rPr>
        <w:t>)</w:t>
      </w:r>
    </w:p>
    <w:p w14:paraId="03CB799C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Sárga vas-oxid (E172)</w:t>
      </w:r>
    </w:p>
    <w:p w14:paraId="3004F6D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Nátrium-hidrogén-karbonát (E500(ii))</w:t>
      </w:r>
    </w:p>
    <w:p w14:paraId="497F6808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</w:p>
    <w:p w14:paraId="37C6DC64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3" w:name="_Toc441573749"/>
      <w:r w:rsidRPr="00074E44">
        <w:rPr>
          <w:b/>
          <w:sz w:val="22"/>
          <w:lang w:val="de-DE"/>
        </w:rPr>
        <w:t>6.2</w:t>
      </w:r>
      <w:r w:rsidRPr="00074E44">
        <w:rPr>
          <w:b/>
          <w:sz w:val="22"/>
          <w:szCs w:val="22"/>
          <w:lang w:val="de-DE"/>
        </w:rPr>
        <w:tab/>
      </w:r>
      <w:bookmarkEnd w:id="23"/>
      <w:r w:rsidRPr="00074E44">
        <w:rPr>
          <w:b/>
          <w:sz w:val="22"/>
          <w:lang w:val="de-DE"/>
        </w:rPr>
        <w:t>Inkompatibilitások</w:t>
      </w:r>
    </w:p>
    <w:p w14:paraId="6301A7DE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de-DE"/>
        </w:rPr>
      </w:pPr>
    </w:p>
    <w:p w14:paraId="5191CAB0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Nem értelmezhető.</w:t>
      </w:r>
    </w:p>
    <w:p w14:paraId="61199003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2CB6A745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4" w:name="_Toc441573750"/>
      <w:r w:rsidRPr="00074E44">
        <w:rPr>
          <w:b/>
          <w:sz w:val="22"/>
          <w:lang w:val="de-DE"/>
        </w:rPr>
        <w:t>6.3</w:t>
      </w:r>
      <w:r w:rsidRPr="00074E44">
        <w:rPr>
          <w:b/>
          <w:sz w:val="22"/>
          <w:szCs w:val="22"/>
          <w:lang w:val="de-DE"/>
        </w:rPr>
        <w:tab/>
      </w:r>
      <w:bookmarkEnd w:id="24"/>
      <w:r w:rsidRPr="00074E44">
        <w:rPr>
          <w:b/>
          <w:sz w:val="22"/>
          <w:lang w:val="de-DE"/>
        </w:rPr>
        <w:t>Felhasználhatósági időtartam</w:t>
      </w:r>
    </w:p>
    <w:p w14:paraId="763BD648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70988EA6" w14:textId="58BFBB4D" w:rsidR="00B3283F" w:rsidRPr="00074E44" w:rsidRDefault="00B3283F" w:rsidP="00A17448">
      <w:pPr>
        <w:keepNext/>
        <w:shd w:val="clear" w:color="auto" w:fill="FFFFFF" w:themeFill="background1"/>
        <w:outlineLvl w:val="1"/>
        <w:rPr>
          <w:sz w:val="22"/>
          <w:lang w:val="de-DE"/>
        </w:rPr>
      </w:pPr>
      <w:bookmarkStart w:id="25" w:name="_Toc441573751"/>
      <w:r w:rsidRPr="00074E44">
        <w:rPr>
          <w:sz w:val="22"/>
          <w:szCs w:val="22"/>
          <w:lang w:val="de-DE"/>
        </w:rPr>
        <w:t xml:space="preserve">30 </w:t>
      </w:r>
      <w:r w:rsidRPr="00074E44">
        <w:rPr>
          <w:sz w:val="22"/>
          <w:lang w:val="de-DE"/>
        </w:rPr>
        <w:t>hónap</w:t>
      </w:r>
    </w:p>
    <w:p w14:paraId="27A5784F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sz w:val="22"/>
          <w:lang w:val="de-DE"/>
        </w:rPr>
      </w:pPr>
    </w:p>
    <w:p w14:paraId="120527DF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6" w:name="bookmark12"/>
      <w:r w:rsidRPr="00074E44">
        <w:rPr>
          <w:b/>
          <w:sz w:val="22"/>
          <w:lang w:val="de-DE"/>
        </w:rPr>
        <w:t>6.4</w:t>
      </w:r>
      <w:r w:rsidRPr="00074E44">
        <w:rPr>
          <w:b/>
          <w:sz w:val="22"/>
          <w:szCs w:val="22"/>
          <w:lang w:val="de-DE"/>
        </w:rPr>
        <w:tab/>
      </w:r>
      <w:bookmarkEnd w:id="25"/>
      <w:bookmarkEnd w:id="26"/>
      <w:r w:rsidRPr="00074E44">
        <w:rPr>
          <w:b/>
          <w:sz w:val="22"/>
          <w:lang w:val="de-DE"/>
        </w:rPr>
        <w:t>Különleges tárolási előírások</w:t>
      </w:r>
    </w:p>
    <w:p w14:paraId="6AD76030" w14:textId="77777777" w:rsidR="00B3283F" w:rsidRPr="00074E44" w:rsidRDefault="00B3283F" w:rsidP="00A17448">
      <w:pPr>
        <w:shd w:val="clear" w:color="auto" w:fill="FFFFFF" w:themeFill="background1"/>
        <w:rPr>
          <w:sz w:val="22"/>
          <w:szCs w:val="22"/>
          <w:lang w:val="de-DE"/>
        </w:rPr>
      </w:pPr>
      <w:bookmarkStart w:id="27" w:name="bookmark13"/>
    </w:p>
    <w:p w14:paraId="63920AE5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Ez a gyógyszer nem igényel különleges tárolást.</w:t>
      </w:r>
    </w:p>
    <w:p w14:paraId="74B8DDF6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</w:p>
    <w:p w14:paraId="73282059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b/>
          <w:sz w:val="22"/>
          <w:lang w:val="de-DE"/>
        </w:rPr>
      </w:pPr>
      <w:bookmarkStart w:id="28" w:name="_Toc441573752"/>
      <w:bookmarkEnd w:id="27"/>
      <w:r w:rsidRPr="00074E44">
        <w:rPr>
          <w:b/>
          <w:sz w:val="22"/>
          <w:lang w:val="de-DE"/>
        </w:rPr>
        <w:t>6.5</w:t>
      </w:r>
      <w:r w:rsidRPr="00074E44">
        <w:rPr>
          <w:b/>
          <w:sz w:val="22"/>
          <w:szCs w:val="22"/>
          <w:lang w:val="de-DE"/>
        </w:rPr>
        <w:tab/>
      </w:r>
      <w:bookmarkEnd w:id="28"/>
      <w:r w:rsidRPr="00074E44">
        <w:rPr>
          <w:b/>
          <w:sz w:val="22"/>
          <w:lang w:val="de-DE"/>
        </w:rPr>
        <w:t>Csomagolás típusa és kiszerelése</w:t>
      </w:r>
    </w:p>
    <w:p w14:paraId="656DEB71" w14:textId="77777777" w:rsidR="00B3283F" w:rsidRPr="00074E44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44EE4AA8" w14:textId="77777777" w:rsidR="0044543B" w:rsidRPr="00074E44" w:rsidRDefault="00B74B0A" w:rsidP="00A17448">
      <w:pPr>
        <w:shd w:val="clear" w:color="auto" w:fill="FFFFFF" w:themeFill="background1"/>
        <w:rPr>
          <w:sz w:val="22"/>
          <w:szCs w:val="22"/>
          <w:lang w:val="de-DE"/>
        </w:rPr>
      </w:pPr>
      <w:r w:rsidRPr="00074E44">
        <w:rPr>
          <w:sz w:val="22"/>
          <w:lang w:val="de-DE"/>
        </w:rPr>
        <w:t>OPA/Al/PVC//Al vagy PVC/PE/PVDC//Al</w:t>
      </w:r>
      <w:r w:rsidR="00B3283F" w:rsidRPr="00074E44">
        <w:rPr>
          <w:sz w:val="22"/>
          <w:lang w:val="de-DE"/>
        </w:rPr>
        <w:t xml:space="preserve"> </w:t>
      </w:r>
      <w:r w:rsidR="0044543B" w:rsidRPr="00074E44">
        <w:rPr>
          <w:sz w:val="22"/>
          <w:szCs w:val="22"/>
          <w:lang w:val="de-DE"/>
        </w:rPr>
        <w:t>buborékcsomagolásban</w:t>
      </w:r>
      <w:r w:rsidR="0031460D" w:rsidRPr="00074E44">
        <w:rPr>
          <w:sz w:val="22"/>
          <w:lang w:val="de-DE"/>
        </w:rPr>
        <w:t>.</w:t>
      </w:r>
    </w:p>
    <w:p w14:paraId="04B2EB7F" w14:textId="77777777" w:rsidR="004179AF" w:rsidRPr="00074E44" w:rsidRDefault="004179AF" w:rsidP="00A17448">
      <w:pPr>
        <w:shd w:val="clear" w:color="auto" w:fill="FFFFFF" w:themeFill="background1"/>
        <w:rPr>
          <w:sz w:val="22"/>
          <w:szCs w:val="22"/>
          <w:lang w:val="de-DE"/>
        </w:rPr>
      </w:pPr>
    </w:p>
    <w:p w14:paraId="5F012028" w14:textId="77777777" w:rsidR="00B3283F" w:rsidRPr="00074E44" w:rsidRDefault="0031460D" w:rsidP="00A17448">
      <w:pPr>
        <w:shd w:val="clear" w:color="auto" w:fill="FFFFFF" w:themeFill="background1"/>
        <w:rPr>
          <w:sz w:val="22"/>
          <w:szCs w:val="22"/>
          <w:lang w:val="de-DE"/>
        </w:rPr>
      </w:pPr>
      <w:r w:rsidRPr="00074E44">
        <w:rPr>
          <w:sz w:val="22"/>
          <w:szCs w:val="22"/>
          <w:lang w:val="de-DE"/>
        </w:rPr>
        <w:t>Kiszerelések:</w:t>
      </w:r>
      <w:r w:rsidR="0044543B" w:rsidRPr="00074E44">
        <w:rPr>
          <w:sz w:val="22"/>
          <w:szCs w:val="22"/>
          <w:lang w:val="de-DE"/>
        </w:rPr>
        <w:t xml:space="preserve"> </w:t>
      </w:r>
      <w:r w:rsidR="0044543B" w:rsidRPr="00FC51A2">
        <w:rPr>
          <w:sz w:val="22"/>
          <w:szCs w:val="22"/>
          <w:lang w:val="hu-HU"/>
        </w:rPr>
        <w:t>14, 28, 30, 42, 56, 80, 84 és</w:t>
      </w:r>
      <w:r w:rsidR="0044543B" w:rsidRPr="00074E44">
        <w:rPr>
          <w:i/>
          <w:iCs/>
          <w:sz w:val="22"/>
          <w:szCs w:val="22"/>
          <w:lang w:val="de-DE"/>
        </w:rPr>
        <w:t xml:space="preserve"> </w:t>
      </w:r>
      <w:r w:rsidR="0044543B" w:rsidRPr="00074E44">
        <w:rPr>
          <w:iCs/>
          <w:sz w:val="22"/>
          <w:szCs w:val="22"/>
          <w:lang w:val="de-DE"/>
        </w:rPr>
        <w:t>98</w:t>
      </w:r>
      <w:r w:rsidR="0044543B" w:rsidRPr="00074E44">
        <w:rPr>
          <w:i/>
          <w:iCs/>
          <w:sz w:val="22"/>
          <w:szCs w:val="22"/>
          <w:lang w:val="de-DE"/>
        </w:rPr>
        <w:t xml:space="preserve"> </w:t>
      </w:r>
      <w:r w:rsidR="0044543B" w:rsidRPr="00074E44">
        <w:rPr>
          <w:sz w:val="22"/>
          <w:szCs w:val="22"/>
          <w:lang w:val="de-DE"/>
        </w:rPr>
        <w:t>filmtablett</w:t>
      </w:r>
      <w:r w:rsidRPr="00074E44">
        <w:rPr>
          <w:sz w:val="22"/>
          <w:szCs w:val="22"/>
          <w:lang w:val="de-DE"/>
        </w:rPr>
        <w:t>a</w:t>
      </w:r>
    </w:p>
    <w:p w14:paraId="493B8123" w14:textId="77777777" w:rsidR="004A7CA2" w:rsidRPr="00074E44" w:rsidRDefault="004A7CA2" w:rsidP="00A17448">
      <w:pPr>
        <w:shd w:val="clear" w:color="auto" w:fill="FFFFFF" w:themeFill="background1"/>
        <w:rPr>
          <w:sz w:val="22"/>
          <w:szCs w:val="22"/>
          <w:lang w:val="de-DE"/>
        </w:rPr>
      </w:pPr>
    </w:p>
    <w:p w14:paraId="0AD5F70E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>Nem feltétlenül mindegyik kiszerelés kerül kereskedelmi forgalomba.</w:t>
      </w:r>
    </w:p>
    <w:p w14:paraId="4D7397AC" w14:textId="77777777" w:rsidR="002B3954" w:rsidRPr="00074E44" w:rsidRDefault="002B3954" w:rsidP="00A17448">
      <w:pPr>
        <w:shd w:val="clear" w:color="auto" w:fill="FFFFFF" w:themeFill="background1"/>
        <w:rPr>
          <w:sz w:val="22"/>
          <w:lang w:val="de-DE"/>
        </w:rPr>
      </w:pPr>
    </w:p>
    <w:p w14:paraId="668E752D" w14:textId="77777777" w:rsidR="006653B7" w:rsidRPr="00FC51A2" w:rsidRDefault="006653B7" w:rsidP="006653B7">
      <w:pPr>
        <w:pStyle w:val="Nincstrkz"/>
        <w:keepNext/>
        <w:tabs>
          <w:tab w:val="left" w:pos="567"/>
        </w:tabs>
        <w:rPr>
          <w:b/>
        </w:rPr>
      </w:pPr>
      <w:bookmarkStart w:id="29" w:name="_Toc441573753"/>
      <w:r w:rsidRPr="00FC51A2">
        <w:rPr>
          <w:b/>
        </w:rPr>
        <w:t>6.6</w:t>
      </w:r>
      <w:r w:rsidRPr="00FC51A2">
        <w:rPr>
          <w:b/>
        </w:rPr>
        <w:tab/>
        <w:t xml:space="preserve">A megsemmisítésre vonatkozó különleges óvintézkedések </w:t>
      </w:r>
      <w:r w:rsidRPr="00FC51A2">
        <w:rPr>
          <w:b/>
          <w:noProof/>
        </w:rPr>
        <w:t>és egyéb, a készítmény kezelésével kapcsolatos információk</w:t>
      </w:r>
    </w:p>
    <w:bookmarkEnd w:id="29"/>
    <w:p w14:paraId="02323B6F" w14:textId="77777777" w:rsidR="00B3283F" w:rsidRPr="00074E44" w:rsidRDefault="00B3283F" w:rsidP="00A17448">
      <w:pPr>
        <w:keepNext/>
        <w:shd w:val="clear" w:color="auto" w:fill="FFFFFF" w:themeFill="background1"/>
        <w:outlineLvl w:val="1"/>
        <w:rPr>
          <w:rFonts w:eastAsia="TimesNewRoman,Italic"/>
          <w:iCs/>
          <w:sz w:val="22"/>
          <w:szCs w:val="22"/>
          <w:lang w:val="de-DE" w:eastAsia="el-GR"/>
        </w:rPr>
      </w:pPr>
    </w:p>
    <w:p w14:paraId="5C1EBD02" w14:textId="77777777" w:rsidR="00B3283F" w:rsidRPr="00074E44" w:rsidRDefault="00B3283F" w:rsidP="00A17448">
      <w:pPr>
        <w:shd w:val="clear" w:color="auto" w:fill="FFFFFF" w:themeFill="background1"/>
        <w:rPr>
          <w:sz w:val="22"/>
          <w:lang w:val="de-DE"/>
        </w:rPr>
      </w:pPr>
      <w:r w:rsidRPr="00074E44">
        <w:rPr>
          <w:sz w:val="22"/>
          <w:lang w:val="de-DE"/>
        </w:rPr>
        <w:t xml:space="preserve">A </w:t>
      </w:r>
      <w:r w:rsidR="00452C84" w:rsidRPr="00074E44">
        <w:rPr>
          <w:sz w:val="22"/>
          <w:lang w:val="de-DE"/>
        </w:rPr>
        <w:t xml:space="preserve">megsemmisítésére </w:t>
      </w:r>
      <w:r w:rsidRPr="00074E44">
        <w:rPr>
          <w:sz w:val="22"/>
          <w:lang w:val="de-DE"/>
        </w:rPr>
        <w:t>vonatkozó különleges előírások nincsenek.</w:t>
      </w:r>
    </w:p>
    <w:p w14:paraId="2245CB99" w14:textId="77777777" w:rsidR="006653B7" w:rsidRPr="00074E44" w:rsidRDefault="006653B7" w:rsidP="00A17448">
      <w:pPr>
        <w:shd w:val="clear" w:color="auto" w:fill="FFFFFF" w:themeFill="background1"/>
        <w:rPr>
          <w:sz w:val="22"/>
          <w:lang w:val="de-DE"/>
        </w:rPr>
      </w:pPr>
    </w:p>
    <w:p w14:paraId="6AA07D34" w14:textId="77777777" w:rsidR="006653B7" w:rsidRPr="00FC51A2" w:rsidRDefault="006653B7" w:rsidP="006653B7">
      <w:pPr>
        <w:spacing w:line="240" w:lineRule="exact"/>
        <w:rPr>
          <w:b/>
          <w:lang w:val="hu-HU"/>
        </w:rPr>
      </w:pPr>
      <w:r w:rsidRPr="00FC51A2">
        <w:rPr>
          <w:b/>
          <w:lang w:val="hu-HU"/>
        </w:rPr>
        <w:t xml:space="preserve">Megjegyzés: </w:t>
      </w:r>
      <w:r w:rsidRPr="00FC51A2">
        <w:rPr>
          <w:b/>
        </w:rPr>
        <w:sym w:font="Wingdings" w:char="F058"/>
      </w:r>
      <w:r w:rsidRPr="00FC51A2">
        <w:rPr>
          <w:b/>
          <w:lang w:val="hu-HU"/>
        </w:rPr>
        <w:t xml:space="preserve"> (egy keresztes)</w:t>
      </w:r>
    </w:p>
    <w:p w14:paraId="29F01ED1" w14:textId="77777777" w:rsidR="006653B7" w:rsidRPr="00074E44" w:rsidRDefault="006653B7" w:rsidP="006653B7">
      <w:pPr>
        <w:rPr>
          <w:smallCaps/>
          <w:lang w:val="de-DE"/>
        </w:rPr>
      </w:pPr>
      <w:r w:rsidRPr="00FC51A2">
        <w:rPr>
          <w:b/>
          <w:i/>
          <w:lang w:val="hu-HU"/>
        </w:rPr>
        <w:t xml:space="preserve">Osztályozás: </w:t>
      </w:r>
      <w:r w:rsidRPr="00FC51A2">
        <w:rPr>
          <w:lang w:val="hu-HU"/>
        </w:rPr>
        <w:t>II./1 csoport</w:t>
      </w:r>
    </w:p>
    <w:p w14:paraId="7BDAF31E" w14:textId="77777777" w:rsidR="006653B7" w:rsidRPr="00FC51A2" w:rsidRDefault="006653B7" w:rsidP="006653B7">
      <w:pPr>
        <w:pStyle w:val="Nincstrkz"/>
      </w:pPr>
      <w:r w:rsidRPr="00FC51A2">
        <w:t>Korlátozott érvényű orvosi rendelvényhez kötött, szakorvosi kórházi diagnózist követő járóbeteg- ellátásban alkalmazható gyógyszer (J).</w:t>
      </w:r>
    </w:p>
    <w:p w14:paraId="19ADB2C6" w14:textId="77777777" w:rsidR="006653B7" w:rsidRPr="00074E44" w:rsidRDefault="006653B7" w:rsidP="00A17448">
      <w:pPr>
        <w:shd w:val="clear" w:color="auto" w:fill="FFFFFF" w:themeFill="background1"/>
        <w:rPr>
          <w:sz w:val="22"/>
          <w:lang w:val="de-DE"/>
        </w:rPr>
      </w:pPr>
    </w:p>
    <w:p w14:paraId="76F8715D" w14:textId="77777777" w:rsidR="00B3283F" w:rsidRPr="00074E44" w:rsidRDefault="00B3283F" w:rsidP="0066634C">
      <w:pPr>
        <w:shd w:val="clear" w:color="auto" w:fill="FFFFFF" w:themeFill="background1"/>
        <w:rPr>
          <w:sz w:val="22"/>
          <w:szCs w:val="22"/>
          <w:lang w:val="de-DE"/>
        </w:rPr>
      </w:pPr>
    </w:p>
    <w:p w14:paraId="3421FFB0" w14:textId="77777777" w:rsidR="00B3283F" w:rsidRPr="00435A31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de-DE"/>
        </w:rPr>
      </w:pPr>
      <w:bookmarkStart w:id="30" w:name="_Toc441573754"/>
      <w:r w:rsidRPr="00435A31">
        <w:rPr>
          <w:b/>
          <w:kern w:val="28"/>
          <w:sz w:val="22"/>
          <w:szCs w:val="22"/>
          <w:lang w:val="de-DE"/>
        </w:rPr>
        <w:t>7.</w:t>
      </w:r>
      <w:r w:rsidRPr="00435A31">
        <w:rPr>
          <w:b/>
          <w:kern w:val="28"/>
          <w:sz w:val="22"/>
          <w:szCs w:val="22"/>
          <w:lang w:val="de-DE"/>
        </w:rPr>
        <w:tab/>
      </w:r>
      <w:bookmarkEnd w:id="30"/>
      <w:r w:rsidRPr="00435A31">
        <w:rPr>
          <w:b/>
          <w:kern w:val="28"/>
          <w:sz w:val="22"/>
          <w:szCs w:val="22"/>
          <w:lang w:val="de-DE"/>
        </w:rPr>
        <w:t xml:space="preserve">A </w:t>
      </w:r>
      <w:r w:rsidRPr="00435A31">
        <w:rPr>
          <w:b/>
          <w:kern w:val="28"/>
          <w:sz w:val="22"/>
          <w:lang w:val="de-DE"/>
        </w:rPr>
        <w:t>FORGALOMBA HOZATALI ENGEDÉLY JOGOSULTJA</w:t>
      </w:r>
    </w:p>
    <w:p w14:paraId="175AC301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lang w:val="de-DE"/>
        </w:rPr>
      </w:pPr>
    </w:p>
    <w:p w14:paraId="67852DEE" w14:textId="77777777" w:rsidR="00435A31" w:rsidRPr="00435A31" w:rsidRDefault="00435A31" w:rsidP="00435A31">
      <w:pPr>
        <w:shd w:val="clear" w:color="auto" w:fill="FFFFFF" w:themeFill="background1"/>
        <w:rPr>
          <w:sz w:val="22"/>
          <w:szCs w:val="22"/>
          <w:lang w:val="de-DE"/>
        </w:rPr>
      </w:pPr>
      <w:r w:rsidRPr="00435A31">
        <w:rPr>
          <w:sz w:val="22"/>
          <w:szCs w:val="22"/>
          <w:lang w:val="de-DE"/>
        </w:rPr>
        <w:t>PharOS – Pharmaceutical Oriented Services Ltd</w:t>
      </w:r>
    </w:p>
    <w:p w14:paraId="7B3FF799" w14:textId="77777777" w:rsidR="00435A31" w:rsidRPr="00435A31" w:rsidRDefault="00435A31" w:rsidP="00435A31">
      <w:pPr>
        <w:shd w:val="clear" w:color="auto" w:fill="FFFFFF" w:themeFill="background1"/>
        <w:rPr>
          <w:sz w:val="22"/>
          <w:szCs w:val="22"/>
          <w:lang w:val="de-DE"/>
        </w:rPr>
      </w:pPr>
      <w:r w:rsidRPr="00435A31">
        <w:rPr>
          <w:sz w:val="22"/>
          <w:szCs w:val="22"/>
          <w:lang w:val="de-DE"/>
        </w:rPr>
        <w:t>Lesvou str. (end), Thesi Loggos, Industrial Zone,</w:t>
      </w:r>
    </w:p>
    <w:p w14:paraId="600A9740" w14:textId="77777777" w:rsidR="00435A31" w:rsidRPr="00435A31" w:rsidRDefault="00435A31" w:rsidP="00435A31">
      <w:pPr>
        <w:shd w:val="clear" w:color="auto" w:fill="FFFFFF" w:themeFill="background1"/>
        <w:rPr>
          <w:sz w:val="22"/>
          <w:szCs w:val="22"/>
          <w:lang w:val="de-DE"/>
        </w:rPr>
      </w:pPr>
      <w:r w:rsidRPr="00435A31">
        <w:rPr>
          <w:sz w:val="22"/>
          <w:szCs w:val="22"/>
          <w:lang w:val="de-DE"/>
        </w:rPr>
        <w:t>144 52 Metamorfossi Attikis</w:t>
      </w:r>
    </w:p>
    <w:p w14:paraId="2A9512B3" w14:textId="5E488402" w:rsidR="00B3283F" w:rsidRPr="00435A31" w:rsidRDefault="00435A31" w:rsidP="00826A86">
      <w:pPr>
        <w:shd w:val="clear" w:color="auto" w:fill="FFFFFF" w:themeFill="background1"/>
        <w:rPr>
          <w:sz w:val="22"/>
          <w:szCs w:val="22"/>
          <w:lang w:val="de-DE"/>
        </w:rPr>
      </w:pPr>
      <w:r w:rsidRPr="00435A31">
        <w:rPr>
          <w:sz w:val="22"/>
          <w:szCs w:val="22"/>
          <w:lang w:val="de-DE"/>
        </w:rPr>
        <w:t>Görögország</w:t>
      </w:r>
    </w:p>
    <w:p w14:paraId="33FB14ED" w14:textId="2FF30FE4" w:rsidR="00761B7F" w:rsidRDefault="00761B7F" w:rsidP="00A17448">
      <w:pPr>
        <w:shd w:val="clear" w:color="auto" w:fill="FFFFFF" w:themeFill="background1"/>
        <w:ind w:left="720"/>
        <w:rPr>
          <w:sz w:val="22"/>
          <w:szCs w:val="22"/>
          <w:lang w:val="de-DE"/>
        </w:rPr>
      </w:pPr>
    </w:p>
    <w:p w14:paraId="1AB5744C" w14:textId="77777777" w:rsidR="00826A86" w:rsidRPr="00435A31" w:rsidRDefault="00826A86" w:rsidP="00A17448">
      <w:pPr>
        <w:shd w:val="clear" w:color="auto" w:fill="FFFFFF" w:themeFill="background1"/>
        <w:ind w:left="720"/>
        <w:rPr>
          <w:sz w:val="22"/>
          <w:szCs w:val="22"/>
          <w:lang w:val="de-DE"/>
        </w:rPr>
      </w:pPr>
    </w:p>
    <w:p w14:paraId="425E8EE8" w14:textId="77777777" w:rsidR="00B3283F" w:rsidRPr="00435A31" w:rsidRDefault="00B3283F" w:rsidP="00A17448">
      <w:pPr>
        <w:keepNext/>
        <w:shd w:val="clear" w:color="auto" w:fill="FFFFFF" w:themeFill="background1"/>
        <w:outlineLvl w:val="0"/>
        <w:rPr>
          <w:b/>
          <w:kern w:val="28"/>
          <w:sz w:val="22"/>
          <w:lang w:val="de-DE"/>
        </w:rPr>
      </w:pPr>
      <w:bookmarkStart w:id="31" w:name="_Toc441573755"/>
      <w:r w:rsidRPr="00435A31">
        <w:rPr>
          <w:b/>
          <w:kern w:val="28"/>
          <w:sz w:val="22"/>
          <w:szCs w:val="22"/>
          <w:lang w:val="de-DE"/>
        </w:rPr>
        <w:t>8.</w:t>
      </w:r>
      <w:r w:rsidRPr="00435A31">
        <w:rPr>
          <w:b/>
          <w:kern w:val="28"/>
          <w:sz w:val="22"/>
          <w:szCs w:val="22"/>
          <w:lang w:val="de-DE"/>
        </w:rPr>
        <w:tab/>
      </w:r>
      <w:bookmarkEnd w:id="31"/>
      <w:r w:rsidRPr="00435A31">
        <w:rPr>
          <w:b/>
          <w:kern w:val="28"/>
          <w:sz w:val="22"/>
          <w:szCs w:val="22"/>
          <w:lang w:val="de-DE"/>
        </w:rPr>
        <w:t xml:space="preserve">A </w:t>
      </w:r>
      <w:r w:rsidRPr="00435A31">
        <w:rPr>
          <w:b/>
          <w:kern w:val="28"/>
          <w:sz w:val="22"/>
          <w:lang w:val="de-DE"/>
        </w:rPr>
        <w:t>FORGALOMBA HOZATALI ENGEDÉLY SZÁMA(I)</w:t>
      </w:r>
    </w:p>
    <w:p w14:paraId="409D26B5" w14:textId="77777777" w:rsidR="00B3283F" w:rsidRPr="00435A31" w:rsidRDefault="00B3283F" w:rsidP="00A17448">
      <w:pPr>
        <w:shd w:val="clear" w:color="auto" w:fill="FFFFFF" w:themeFill="background1"/>
        <w:ind w:left="720"/>
        <w:rPr>
          <w:b/>
          <w:sz w:val="22"/>
          <w:szCs w:val="22"/>
          <w:lang w:val="de-DE"/>
        </w:rPr>
      </w:pPr>
    </w:p>
    <w:p w14:paraId="67E2D215" w14:textId="1EFD2459" w:rsidR="00B3283F" w:rsidRPr="00435A31" w:rsidRDefault="00435A31" w:rsidP="00D279A4">
      <w:pPr>
        <w:shd w:val="clear" w:color="auto" w:fill="FFFFFF" w:themeFill="background1"/>
        <w:rPr>
          <w:sz w:val="22"/>
          <w:szCs w:val="22"/>
          <w:u w:val="single"/>
          <w:lang w:val="de-DE"/>
        </w:rPr>
      </w:pPr>
      <w:r>
        <w:rPr>
          <w:sz w:val="22"/>
          <w:szCs w:val="22"/>
          <w:u w:val="single"/>
          <w:lang w:val="de-DE"/>
        </w:rPr>
        <w:t>Febuxostat PharOS</w:t>
      </w:r>
      <w:r w:rsidR="00D279A4" w:rsidRPr="00435A31">
        <w:rPr>
          <w:sz w:val="22"/>
          <w:szCs w:val="22"/>
          <w:u w:val="single"/>
          <w:lang w:val="de-DE"/>
        </w:rPr>
        <w:t xml:space="preserve"> 80 mg filmtabletta</w:t>
      </w:r>
      <w:r w:rsidR="00A7012A" w:rsidRPr="00435A31">
        <w:rPr>
          <w:sz w:val="22"/>
          <w:szCs w:val="22"/>
          <w:u w:val="single"/>
          <w:lang w:val="de-DE"/>
        </w:rPr>
        <w:t>:</w:t>
      </w:r>
    </w:p>
    <w:p w14:paraId="03A251CA" w14:textId="410A8A41" w:rsidR="00D279A4" w:rsidRPr="00D279A4" w:rsidRDefault="00D279A4" w:rsidP="00D279A4">
      <w:pPr>
        <w:rPr>
          <w:sz w:val="22"/>
          <w:szCs w:val="22"/>
          <w:lang w:val="hu-HU" w:eastAsia="en-US"/>
        </w:rPr>
      </w:pPr>
      <w:r w:rsidRPr="00435A31">
        <w:rPr>
          <w:sz w:val="22"/>
          <w:szCs w:val="22"/>
          <w:lang w:val="de-DE"/>
        </w:rPr>
        <w:t>OGYI-T-23290/01     14</w:t>
      </w:r>
      <w:r w:rsidR="003B1CD1" w:rsidRPr="00435A31">
        <w:rPr>
          <w:sz w:val="22"/>
          <w:szCs w:val="22"/>
          <w:lang w:val="de-DE"/>
        </w:rPr>
        <w:t>×</w:t>
      </w:r>
      <w:r w:rsidRPr="00435A31">
        <w:rPr>
          <w:sz w:val="22"/>
          <w:szCs w:val="22"/>
          <w:lang w:val="de-DE"/>
        </w:rPr>
        <w:t xml:space="preserve">      OPA/Al/PVC//Al </w:t>
      </w:r>
      <w:r w:rsidRPr="00435A31">
        <w:rPr>
          <w:spacing w:val="-3"/>
          <w:sz w:val="22"/>
          <w:szCs w:val="22"/>
          <w:lang w:val="de-DE"/>
        </w:rPr>
        <w:t>buborékcsomagolás</w:t>
      </w:r>
    </w:p>
    <w:p w14:paraId="052863EA" w14:textId="4C66A49F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OGYI-T-23290/02     14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798DBDF4" w14:textId="18C64CC5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OGYI-T-23290/03    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4DBD3173" w14:textId="0A7BCF5A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OGYI-T-23290/04    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6E1EF3B3" w14:textId="4ACE627F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OGYI-T-23290/05    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3477FB96" w14:textId="6AA581D1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OGYI-T-23290/06    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79FB7025" w14:textId="6A722D67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OGYI-T-23290/07    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3E0A46A9" w14:textId="3944B9A3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OGYI-T-23290/08    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2B4587C1" w14:textId="1C92674D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OGYI-T-23290/09    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2575C018" w14:textId="3791BA95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OGYI-T-23290/10    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31572F69" w14:textId="6CAFB626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OGYI-T-23290/11    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78C2AF0D" w14:textId="2BEBCFB5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OGYI-T-23290/12    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5FC272BE" w14:textId="108C2EFE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OGYI-T-23290/13    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41B8C7F4" w14:textId="6CF390C0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OGYI-T-23290/14    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68DBA8D1" w14:textId="570504B8" w:rsidR="00D279A4" w:rsidRPr="00074E44" w:rsidRDefault="00D279A4" w:rsidP="00D279A4">
      <w:pPr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OGYI-T-23290/15    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OPA/Al/PVC//Al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4DE83736" w14:textId="7692E121" w:rsidR="00D279A4" w:rsidRPr="00074E44" w:rsidRDefault="00D279A4" w:rsidP="00D279A4">
      <w:pPr>
        <w:rPr>
          <w:spacing w:val="-3"/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OGYI-T-23290/16    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      PVC/PE/PVDC//Al </w:t>
      </w:r>
      <w:r w:rsidRPr="00074E44">
        <w:rPr>
          <w:spacing w:val="-3"/>
          <w:sz w:val="22"/>
          <w:szCs w:val="22"/>
          <w:lang w:val="hu-HU"/>
        </w:rPr>
        <w:t>buborékcsomagolás</w:t>
      </w:r>
    </w:p>
    <w:p w14:paraId="609AF1ED" w14:textId="77777777" w:rsidR="00A7012A" w:rsidRPr="00074E44" w:rsidRDefault="00A7012A" w:rsidP="00D279A4">
      <w:pPr>
        <w:rPr>
          <w:sz w:val="22"/>
          <w:szCs w:val="22"/>
          <w:lang w:val="hu-HU"/>
        </w:rPr>
      </w:pPr>
    </w:p>
    <w:p w14:paraId="333FECBC" w14:textId="70681D6E" w:rsidR="00D279A4" w:rsidRPr="00074E44" w:rsidRDefault="00435A31" w:rsidP="00A7012A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Febuxostat PharOS</w:t>
      </w:r>
      <w:r w:rsidR="00A7012A" w:rsidRPr="00074E44">
        <w:rPr>
          <w:sz w:val="22"/>
          <w:szCs w:val="22"/>
          <w:u w:val="single"/>
          <w:lang w:val="hu-HU"/>
        </w:rPr>
        <w:t xml:space="preserve"> 120 mg filmtabletta:</w:t>
      </w:r>
    </w:p>
    <w:p w14:paraId="3669C7C2" w14:textId="7BD3AA77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OGYI-T-23290/17     14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132120B1" w14:textId="023FA4A0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OGYI-T-23290/18     14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78EFD727" w14:textId="5E9B384F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OGYI-T-23290/19    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241DDD7E" w14:textId="03CC12A9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OGYI-T-23290/20     28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28C6FB06" w14:textId="46F48D59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OGYI-T-23290/21    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7498DD42" w14:textId="2EDF72C3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OGYI-T-23290/22     30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276D2324" w14:textId="4D427E1A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OGYI-T-23290/23    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20E9E0CA" w14:textId="0AEC8E6E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OGYI-T-23290/24     42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47616E83" w14:textId="3020C36A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OGYI-T-23290/25    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7FD97C37" w14:textId="73F58ED9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OGYI-T-23290/26     56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557F4802" w14:textId="2E7616C4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OGYI-T-23290/27    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0EFA62A6" w14:textId="03542178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OGYI-T-23290/28     80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36A73FB0" w14:textId="4D9497EA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OGYI-T-23290/29    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4943246B" w14:textId="5894C300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OGYI-T-23290/30     84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2FD902C6" w14:textId="5E09C36B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OGYI-T-23290/31    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OPA/Al/PVC//Al buborékcsomagolás</w:t>
      </w:r>
    </w:p>
    <w:p w14:paraId="334C40F8" w14:textId="379AD9B5" w:rsidR="00A7012A" w:rsidRPr="00074E44" w:rsidRDefault="00A7012A" w:rsidP="00A7012A">
      <w:pPr>
        <w:shd w:val="clear" w:color="auto" w:fill="FFFFFF" w:themeFill="background1"/>
        <w:rPr>
          <w:sz w:val="22"/>
          <w:szCs w:val="22"/>
          <w:lang w:val="hu-HU"/>
        </w:rPr>
      </w:pPr>
      <w:r w:rsidRPr="00074E44">
        <w:rPr>
          <w:sz w:val="22"/>
          <w:szCs w:val="22"/>
          <w:lang w:val="hu-HU"/>
        </w:rPr>
        <w:t>OGYI-T-23290/32     98</w:t>
      </w:r>
      <w:r w:rsidR="003B1CD1">
        <w:rPr>
          <w:sz w:val="22"/>
          <w:szCs w:val="22"/>
          <w:lang w:val="hu-HU"/>
        </w:rPr>
        <w:t>×</w:t>
      </w:r>
      <w:r w:rsidRPr="00074E44">
        <w:rPr>
          <w:sz w:val="22"/>
          <w:szCs w:val="22"/>
          <w:lang w:val="hu-HU"/>
        </w:rPr>
        <w:t xml:space="preserve">      PVC/PE/PVDC//Al buborékcsomagolás</w:t>
      </w:r>
    </w:p>
    <w:p w14:paraId="0F65382C" w14:textId="77777777" w:rsidR="00D279A4" w:rsidRPr="00074E44" w:rsidRDefault="00D279A4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3928ADCD" w14:textId="77777777" w:rsidR="00D279A4" w:rsidRPr="00074E44" w:rsidRDefault="00D279A4" w:rsidP="00A17448">
      <w:pPr>
        <w:shd w:val="clear" w:color="auto" w:fill="FFFFFF" w:themeFill="background1"/>
        <w:ind w:left="720"/>
        <w:rPr>
          <w:sz w:val="22"/>
          <w:szCs w:val="22"/>
          <w:lang w:val="hu-HU"/>
        </w:rPr>
      </w:pPr>
    </w:p>
    <w:p w14:paraId="68A065B1" w14:textId="77777777" w:rsidR="00B3283F" w:rsidRPr="00A17448" w:rsidRDefault="00B3283F" w:rsidP="00A17448">
      <w:pPr>
        <w:pStyle w:val="Bodytext31"/>
        <w:shd w:val="clear" w:color="auto" w:fill="FFFFFF" w:themeFill="background1"/>
        <w:tabs>
          <w:tab w:val="left" w:pos="588"/>
        </w:tabs>
        <w:spacing w:after="258" w:line="232" w:lineRule="exact"/>
        <w:ind w:left="567" w:hanging="567"/>
        <w:rPr>
          <w:sz w:val="22"/>
          <w:szCs w:val="22"/>
          <w:lang w:val="hu-HU"/>
        </w:rPr>
      </w:pPr>
      <w:bookmarkStart w:id="32" w:name="_Toc441573756"/>
      <w:r w:rsidRPr="00074E44">
        <w:rPr>
          <w:kern w:val="28"/>
          <w:sz w:val="22"/>
          <w:szCs w:val="22"/>
          <w:lang w:val="hu-HU"/>
        </w:rPr>
        <w:t>9.</w:t>
      </w:r>
      <w:r w:rsidRPr="00074E44">
        <w:rPr>
          <w:kern w:val="28"/>
          <w:sz w:val="22"/>
          <w:szCs w:val="22"/>
          <w:lang w:val="hu-HU"/>
        </w:rPr>
        <w:tab/>
      </w:r>
      <w:bookmarkEnd w:id="32"/>
      <w:r w:rsidRPr="00074E44">
        <w:rPr>
          <w:bCs w:val="0"/>
          <w:kern w:val="28"/>
          <w:sz w:val="22"/>
          <w:szCs w:val="24"/>
          <w:lang w:val="hu-HU"/>
        </w:rPr>
        <w:t>A FORGALOMBA HOZATALI ENGEDÉLY ELSŐ KIADÁSÁNAK/ MEGÚJÍTÁSÁNAK DÁTUMA</w:t>
      </w:r>
    </w:p>
    <w:p w14:paraId="6C6A176E" w14:textId="01876D4A" w:rsidR="00B3283F" w:rsidRDefault="00B3283F" w:rsidP="00A17448">
      <w:pPr>
        <w:shd w:val="clear" w:color="auto" w:fill="FFFFFF" w:themeFill="background1"/>
        <w:rPr>
          <w:sz w:val="22"/>
          <w:szCs w:val="22"/>
          <w:lang w:val="hu-HU"/>
        </w:rPr>
      </w:pPr>
      <w:r w:rsidRPr="00435A31">
        <w:rPr>
          <w:sz w:val="22"/>
          <w:lang w:val="hu-HU"/>
        </w:rPr>
        <w:t>A forgalomba hozatali engedély első kiadásának dátuma:</w:t>
      </w:r>
      <w:r w:rsidRPr="00435A31">
        <w:rPr>
          <w:sz w:val="22"/>
          <w:szCs w:val="22"/>
          <w:lang w:val="hu-HU"/>
        </w:rPr>
        <w:t xml:space="preserve"> </w:t>
      </w:r>
      <w:r w:rsidR="00BB74E3" w:rsidRPr="00435A31">
        <w:rPr>
          <w:sz w:val="22"/>
          <w:szCs w:val="22"/>
          <w:lang w:val="hu-HU"/>
        </w:rPr>
        <w:t>2017. december 4.</w:t>
      </w:r>
    </w:p>
    <w:p w14:paraId="437872DE" w14:textId="77777777" w:rsidR="00826A86" w:rsidRPr="00435A31" w:rsidRDefault="00826A86" w:rsidP="00A17448">
      <w:pPr>
        <w:shd w:val="clear" w:color="auto" w:fill="FFFFFF" w:themeFill="background1"/>
        <w:rPr>
          <w:sz w:val="22"/>
          <w:lang w:val="hu-HU"/>
        </w:rPr>
      </w:pPr>
    </w:p>
    <w:p w14:paraId="21DC8A52" w14:textId="77777777" w:rsidR="00435A31" w:rsidRPr="00791389" w:rsidRDefault="00435A31" w:rsidP="00435A31">
      <w:pPr>
        <w:shd w:val="clear" w:color="auto" w:fill="FFFFFF" w:themeFill="background1"/>
        <w:rPr>
          <w:sz w:val="22"/>
          <w:lang w:val="hu-HU"/>
        </w:rPr>
      </w:pPr>
      <w:r w:rsidRPr="00791389">
        <w:rPr>
          <w:sz w:val="22"/>
          <w:lang w:val="hu-HU"/>
        </w:rPr>
        <w:t>A forgalomba hozatali engedély legutóbbi megújításának dátuma:</w:t>
      </w:r>
      <w:r>
        <w:rPr>
          <w:sz w:val="22"/>
          <w:lang w:val="hu-HU"/>
        </w:rPr>
        <w:t xml:space="preserve"> 2022.</w:t>
      </w:r>
      <w:r w:rsidRPr="00791389">
        <w:rPr>
          <w:lang w:val="hu-HU"/>
        </w:rPr>
        <w:t xml:space="preserve"> </w:t>
      </w:r>
      <w:r w:rsidRPr="00302096">
        <w:rPr>
          <w:sz w:val="22"/>
          <w:lang w:val="hu-HU"/>
        </w:rPr>
        <w:t>május</w:t>
      </w:r>
      <w:r>
        <w:rPr>
          <w:sz w:val="22"/>
          <w:lang w:val="hu-HU"/>
        </w:rPr>
        <w:t xml:space="preserve"> 12.</w:t>
      </w:r>
      <w:bookmarkStart w:id="33" w:name="_GoBack"/>
      <w:bookmarkEnd w:id="33"/>
    </w:p>
    <w:p w14:paraId="3D11D8E3" w14:textId="77777777" w:rsidR="00B3283F" w:rsidRPr="00435A31" w:rsidRDefault="00B3283F" w:rsidP="00A17448">
      <w:pPr>
        <w:shd w:val="clear" w:color="auto" w:fill="FFFFFF" w:themeFill="background1"/>
        <w:rPr>
          <w:sz w:val="22"/>
          <w:lang w:val="hu-HU"/>
        </w:rPr>
      </w:pPr>
    </w:p>
    <w:p w14:paraId="70BA551A" w14:textId="77777777" w:rsidR="00B3283F" w:rsidRPr="00435A31" w:rsidRDefault="00B3283F" w:rsidP="00A17448">
      <w:pPr>
        <w:shd w:val="clear" w:color="auto" w:fill="FFFFFF" w:themeFill="background1"/>
        <w:ind w:left="720"/>
        <w:rPr>
          <w:sz w:val="22"/>
          <w:lang w:val="hu-HU"/>
        </w:rPr>
      </w:pPr>
    </w:p>
    <w:p w14:paraId="375FC214" w14:textId="77777777" w:rsidR="00B3283F" w:rsidRPr="00435A31" w:rsidRDefault="00B3283F" w:rsidP="00BB74E3">
      <w:pPr>
        <w:keepNext/>
        <w:shd w:val="clear" w:color="auto" w:fill="FFFFFF" w:themeFill="background1"/>
        <w:outlineLvl w:val="0"/>
        <w:rPr>
          <w:b/>
          <w:kern w:val="28"/>
          <w:sz w:val="22"/>
          <w:lang w:val="hu-HU"/>
        </w:rPr>
      </w:pPr>
      <w:bookmarkStart w:id="34" w:name="_Toc441573757"/>
      <w:r w:rsidRPr="00435A31">
        <w:rPr>
          <w:b/>
          <w:kern w:val="28"/>
          <w:sz w:val="22"/>
          <w:szCs w:val="22"/>
          <w:lang w:val="hu-HU"/>
        </w:rPr>
        <w:t>10.</w:t>
      </w:r>
      <w:r w:rsidRPr="00435A31">
        <w:rPr>
          <w:b/>
          <w:kern w:val="28"/>
          <w:sz w:val="22"/>
          <w:szCs w:val="22"/>
          <w:lang w:val="hu-HU"/>
        </w:rPr>
        <w:tab/>
      </w:r>
      <w:bookmarkEnd w:id="34"/>
      <w:r w:rsidRPr="00435A31">
        <w:rPr>
          <w:b/>
          <w:kern w:val="28"/>
          <w:sz w:val="22"/>
          <w:lang w:val="hu-HU"/>
        </w:rPr>
        <w:t>A SZÖVEG ELLENŐRZÉSÉNEK DÁTUMA</w:t>
      </w:r>
      <w:bookmarkStart w:id="35" w:name="_Toc441573758"/>
    </w:p>
    <w:p w14:paraId="590F150D" w14:textId="77777777" w:rsidR="00233D4E" w:rsidRPr="00435A31" w:rsidRDefault="00233D4E" w:rsidP="00A17448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FA54803" w14:textId="16A6B607" w:rsidR="00F9057B" w:rsidRPr="00B96BE4" w:rsidRDefault="00B23B4F" w:rsidP="00A17448">
      <w:pPr>
        <w:shd w:val="clear" w:color="auto" w:fill="FFFFFF" w:themeFill="background1"/>
        <w:rPr>
          <w:sz w:val="22"/>
          <w:lang w:val="hu-HU"/>
        </w:rPr>
      </w:pPr>
      <w:r>
        <w:rPr>
          <w:sz w:val="22"/>
          <w:szCs w:val="22"/>
        </w:rPr>
        <w:t>2025. február 21.</w:t>
      </w:r>
      <w:bookmarkEnd w:id="35"/>
    </w:p>
    <w:sectPr w:rsidR="00F9057B" w:rsidRPr="00B96BE4" w:rsidSect="00A17448">
      <w:headerReference w:type="default" r:id="rId10"/>
      <w:footerReference w:type="even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27B1079" w16cex:dateUtc="2025-01-10T13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B33871" w16cid:durableId="527B107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1E0D1" w14:textId="77777777" w:rsidR="00CE0213" w:rsidRDefault="00CE0213">
      <w:r>
        <w:separator/>
      </w:r>
    </w:p>
  </w:endnote>
  <w:endnote w:type="continuationSeparator" w:id="0">
    <w:p w14:paraId="1FABD417" w14:textId="77777777" w:rsidR="00CE0213" w:rsidRDefault="00CE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A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BC323" w14:textId="77777777" w:rsidR="00CE0213" w:rsidRDefault="00CE0213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0879FE05" w14:textId="77777777" w:rsidR="00CE0213" w:rsidRDefault="00CE0213" w:rsidP="00F9057B">
    <w:pPr>
      <w:pStyle w:val="llb"/>
      <w:ind w:right="360"/>
    </w:pPr>
  </w:p>
  <w:p w14:paraId="4B12B34C" w14:textId="77777777" w:rsidR="00CE0213" w:rsidRDefault="00CE0213"/>
  <w:p w14:paraId="27754E44" w14:textId="77777777" w:rsidR="00CE0213" w:rsidRPr="00637995" w:rsidRDefault="00CE021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381AD" w14:textId="77777777" w:rsidR="00826A86" w:rsidRPr="00826A86" w:rsidRDefault="00826A86" w:rsidP="00826A86">
    <w:pPr>
      <w:pStyle w:val="llb"/>
      <w:rPr>
        <w:sz w:val="18"/>
        <w:szCs w:val="18"/>
      </w:rPr>
    </w:pPr>
    <w:r w:rsidRPr="00826A86">
      <w:rPr>
        <w:sz w:val="18"/>
        <w:szCs w:val="18"/>
      </w:rPr>
      <w:t>NNGYK/ETGY/1360/2025</w:t>
    </w:r>
  </w:p>
  <w:p w14:paraId="48AF0437" w14:textId="4EA29350" w:rsidR="00CE0213" w:rsidRPr="00A17448" w:rsidRDefault="00826A86">
    <w:pPr>
      <w:pStyle w:val="llb"/>
      <w:rPr>
        <w:sz w:val="18"/>
        <w:szCs w:val="18"/>
      </w:rPr>
    </w:pPr>
    <w:r w:rsidRPr="00826A86">
      <w:rPr>
        <w:sz w:val="18"/>
        <w:szCs w:val="18"/>
      </w:rPr>
      <w:t>NNGYK/ETGY/1361/2025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D54DD" w14:textId="77777777" w:rsidR="00CE0213" w:rsidRDefault="00CE0213">
      <w:r>
        <w:separator/>
      </w:r>
    </w:p>
  </w:footnote>
  <w:footnote w:type="continuationSeparator" w:id="0">
    <w:p w14:paraId="2545AB41" w14:textId="77777777" w:rsidR="00CE0213" w:rsidRDefault="00CE0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21064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B575DA7" w14:textId="76258D2D" w:rsidR="00CE0213" w:rsidRPr="00C80E6C" w:rsidRDefault="00CE0213">
        <w:pPr>
          <w:pStyle w:val="lfej"/>
          <w:jc w:val="center"/>
          <w:rPr>
            <w:sz w:val="18"/>
            <w:szCs w:val="18"/>
          </w:rPr>
        </w:pPr>
        <w:r w:rsidRPr="00C80E6C">
          <w:rPr>
            <w:sz w:val="18"/>
            <w:szCs w:val="18"/>
          </w:rPr>
          <w:fldChar w:fldCharType="begin"/>
        </w:r>
        <w:r w:rsidRPr="00C80E6C">
          <w:rPr>
            <w:sz w:val="18"/>
            <w:szCs w:val="18"/>
          </w:rPr>
          <w:instrText>PAGE   \* MERGEFORMAT</w:instrText>
        </w:r>
        <w:r w:rsidRPr="00C80E6C">
          <w:rPr>
            <w:sz w:val="18"/>
            <w:szCs w:val="18"/>
          </w:rPr>
          <w:fldChar w:fldCharType="separate"/>
        </w:r>
        <w:r w:rsidR="0066634C" w:rsidRPr="0066634C">
          <w:rPr>
            <w:noProof/>
            <w:sz w:val="18"/>
            <w:szCs w:val="18"/>
            <w:lang w:val="hu-HU"/>
          </w:rPr>
          <w:t>21</w:t>
        </w:r>
        <w:r w:rsidRPr="00C80E6C">
          <w:rPr>
            <w:sz w:val="18"/>
            <w:szCs w:val="18"/>
          </w:rPr>
          <w:fldChar w:fldCharType="end"/>
        </w:r>
      </w:p>
    </w:sdtContent>
  </w:sdt>
  <w:p w14:paraId="21B0B666" w14:textId="77777777" w:rsidR="00CE0213" w:rsidRDefault="00CE0213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5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33"/>
  </w:num>
  <w:num w:numId="5">
    <w:abstractNumId w:val="7"/>
  </w:num>
  <w:num w:numId="6">
    <w:abstractNumId w:val="24"/>
  </w:num>
  <w:num w:numId="7">
    <w:abstractNumId w:val="37"/>
  </w:num>
  <w:num w:numId="8">
    <w:abstractNumId w:val="5"/>
  </w:num>
  <w:num w:numId="9">
    <w:abstractNumId w:val="12"/>
  </w:num>
  <w:num w:numId="10">
    <w:abstractNumId w:val="45"/>
  </w:num>
  <w:num w:numId="1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>
    <w:abstractNumId w:val="41"/>
  </w:num>
  <w:num w:numId="13">
    <w:abstractNumId w:val="16"/>
  </w:num>
  <w:num w:numId="14">
    <w:abstractNumId w:val="35"/>
  </w:num>
  <w:num w:numId="15">
    <w:abstractNumId w:val="14"/>
  </w:num>
  <w:num w:numId="16">
    <w:abstractNumId w:val="27"/>
  </w:num>
  <w:num w:numId="17">
    <w:abstractNumId w:val="13"/>
  </w:num>
  <w:num w:numId="18">
    <w:abstractNumId w:val="36"/>
  </w:num>
  <w:num w:numId="19">
    <w:abstractNumId w:val="9"/>
  </w:num>
  <w:num w:numId="20">
    <w:abstractNumId w:val="23"/>
  </w:num>
  <w:num w:numId="21">
    <w:abstractNumId w:val="42"/>
  </w:num>
  <w:num w:numId="22">
    <w:abstractNumId w:val="34"/>
  </w:num>
  <w:num w:numId="23">
    <w:abstractNumId w:val="26"/>
  </w:num>
  <w:num w:numId="24">
    <w:abstractNumId w:val="39"/>
  </w:num>
  <w:num w:numId="25">
    <w:abstractNumId w:val="6"/>
  </w:num>
  <w:num w:numId="26">
    <w:abstractNumId w:val="20"/>
  </w:num>
  <w:num w:numId="27">
    <w:abstractNumId w:val="22"/>
  </w:num>
  <w:num w:numId="28">
    <w:abstractNumId w:val="44"/>
  </w:num>
  <w:num w:numId="29">
    <w:abstractNumId w:val="2"/>
  </w:num>
  <w:num w:numId="30">
    <w:abstractNumId w:val="31"/>
  </w:num>
  <w:num w:numId="31">
    <w:abstractNumId w:val="10"/>
  </w:num>
  <w:num w:numId="32">
    <w:abstractNumId w:val="3"/>
  </w:num>
  <w:num w:numId="33">
    <w:abstractNumId w:val="18"/>
  </w:num>
  <w:num w:numId="34">
    <w:abstractNumId w:val="4"/>
  </w:num>
  <w:num w:numId="35">
    <w:abstractNumId w:val="40"/>
  </w:num>
  <w:num w:numId="36">
    <w:abstractNumId w:val="43"/>
  </w:num>
  <w:num w:numId="37">
    <w:abstractNumId w:val="21"/>
  </w:num>
  <w:num w:numId="38">
    <w:abstractNumId w:val="38"/>
  </w:num>
  <w:num w:numId="39">
    <w:abstractNumId w:val="19"/>
  </w:num>
  <w:num w:numId="40">
    <w:abstractNumId w:val="47"/>
  </w:num>
  <w:num w:numId="41">
    <w:abstractNumId w:val="28"/>
  </w:num>
  <w:num w:numId="42">
    <w:abstractNumId w:val="0"/>
  </w:num>
  <w:num w:numId="43">
    <w:abstractNumId w:val="11"/>
  </w:num>
  <w:num w:numId="44">
    <w:abstractNumId w:val="8"/>
  </w:num>
  <w:num w:numId="45">
    <w:abstractNumId w:val="15"/>
  </w:num>
  <w:num w:numId="46">
    <w:abstractNumId w:val="25"/>
  </w:num>
  <w:num w:numId="47">
    <w:abstractNumId w:val="30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3F"/>
    <w:rsid w:val="000021BD"/>
    <w:rsid w:val="00012F9A"/>
    <w:rsid w:val="00023054"/>
    <w:rsid w:val="0003325F"/>
    <w:rsid w:val="000510E6"/>
    <w:rsid w:val="00051158"/>
    <w:rsid w:val="00052BF1"/>
    <w:rsid w:val="00054EC8"/>
    <w:rsid w:val="0005615C"/>
    <w:rsid w:val="000564B4"/>
    <w:rsid w:val="00063F45"/>
    <w:rsid w:val="000646B5"/>
    <w:rsid w:val="00074E44"/>
    <w:rsid w:val="00082E04"/>
    <w:rsid w:val="000839AF"/>
    <w:rsid w:val="00087B0B"/>
    <w:rsid w:val="00090A06"/>
    <w:rsid w:val="00095ECB"/>
    <w:rsid w:val="00097A82"/>
    <w:rsid w:val="000B554D"/>
    <w:rsid w:val="000C394F"/>
    <w:rsid w:val="000C68F7"/>
    <w:rsid w:val="000D53F1"/>
    <w:rsid w:val="000E64EA"/>
    <w:rsid w:val="000F0C9C"/>
    <w:rsid w:val="000F75DD"/>
    <w:rsid w:val="001119EB"/>
    <w:rsid w:val="00121959"/>
    <w:rsid w:val="001237CE"/>
    <w:rsid w:val="001355CB"/>
    <w:rsid w:val="00147E6F"/>
    <w:rsid w:val="001545A5"/>
    <w:rsid w:val="0017326A"/>
    <w:rsid w:val="0018242D"/>
    <w:rsid w:val="00195A88"/>
    <w:rsid w:val="001964EE"/>
    <w:rsid w:val="001A58C9"/>
    <w:rsid w:val="001B137D"/>
    <w:rsid w:val="001B1FBB"/>
    <w:rsid w:val="001B4FEE"/>
    <w:rsid w:val="001C0683"/>
    <w:rsid w:val="001C195D"/>
    <w:rsid w:val="001E1798"/>
    <w:rsid w:val="001E2F28"/>
    <w:rsid w:val="002000C2"/>
    <w:rsid w:val="00201135"/>
    <w:rsid w:val="002023A2"/>
    <w:rsid w:val="002104FE"/>
    <w:rsid w:val="00224842"/>
    <w:rsid w:val="00233D4E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301C71"/>
    <w:rsid w:val="00304B7E"/>
    <w:rsid w:val="00306883"/>
    <w:rsid w:val="0031460D"/>
    <w:rsid w:val="00320EE5"/>
    <w:rsid w:val="003247AB"/>
    <w:rsid w:val="00327289"/>
    <w:rsid w:val="00327524"/>
    <w:rsid w:val="003406FF"/>
    <w:rsid w:val="00350089"/>
    <w:rsid w:val="00356201"/>
    <w:rsid w:val="003A1FA5"/>
    <w:rsid w:val="003B1CD1"/>
    <w:rsid w:val="003B1DC9"/>
    <w:rsid w:val="003C1E60"/>
    <w:rsid w:val="003C7215"/>
    <w:rsid w:val="003D11C9"/>
    <w:rsid w:val="003E754C"/>
    <w:rsid w:val="003F6507"/>
    <w:rsid w:val="0040184A"/>
    <w:rsid w:val="0041603D"/>
    <w:rsid w:val="004179AF"/>
    <w:rsid w:val="00435A31"/>
    <w:rsid w:val="0044543B"/>
    <w:rsid w:val="00452C84"/>
    <w:rsid w:val="004659F8"/>
    <w:rsid w:val="00472388"/>
    <w:rsid w:val="00474CAE"/>
    <w:rsid w:val="00481604"/>
    <w:rsid w:val="00483524"/>
    <w:rsid w:val="004A029F"/>
    <w:rsid w:val="004A33E3"/>
    <w:rsid w:val="004A3578"/>
    <w:rsid w:val="004A7CA2"/>
    <w:rsid w:val="004B28F5"/>
    <w:rsid w:val="004B3E0D"/>
    <w:rsid w:val="004C392B"/>
    <w:rsid w:val="004C68A2"/>
    <w:rsid w:val="004D2963"/>
    <w:rsid w:val="004D4D70"/>
    <w:rsid w:val="004D62F9"/>
    <w:rsid w:val="004E1FBB"/>
    <w:rsid w:val="004E364D"/>
    <w:rsid w:val="004E6619"/>
    <w:rsid w:val="005010B9"/>
    <w:rsid w:val="005163DB"/>
    <w:rsid w:val="005218CB"/>
    <w:rsid w:val="0055171C"/>
    <w:rsid w:val="00553A56"/>
    <w:rsid w:val="0055446B"/>
    <w:rsid w:val="005752DC"/>
    <w:rsid w:val="0058025F"/>
    <w:rsid w:val="005845A6"/>
    <w:rsid w:val="00584C7F"/>
    <w:rsid w:val="00584DE7"/>
    <w:rsid w:val="00586028"/>
    <w:rsid w:val="005A2902"/>
    <w:rsid w:val="005A4D0C"/>
    <w:rsid w:val="005B3019"/>
    <w:rsid w:val="005B401C"/>
    <w:rsid w:val="005B6B5E"/>
    <w:rsid w:val="005D2CC2"/>
    <w:rsid w:val="005E0D2A"/>
    <w:rsid w:val="005E2CF1"/>
    <w:rsid w:val="005F559F"/>
    <w:rsid w:val="005F5CE6"/>
    <w:rsid w:val="005F6C7A"/>
    <w:rsid w:val="00604A2C"/>
    <w:rsid w:val="00610614"/>
    <w:rsid w:val="006212B3"/>
    <w:rsid w:val="0062788D"/>
    <w:rsid w:val="0064286B"/>
    <w:rsid w:val="006428EC"/>
    <w:rsid w:val="00643105"/>
    <w:rsid w:val="0065256D"/>
    <w:rsid w:val="00655912"/>
    <w:rsid w:val="00655D25"/>
    <w:rsid w:val="006653B7"/>
    <w:rsid w:val="0066634C"/>
    <w:rsid w:val="00677C87"/>
    <w:rsid w:val="00680D2F"/>
    <w:rsid w:val="0068483D"/>
    <w:rsid w:val="00693D5A"/>
    <w:rsid w:val="0069445C"/>
    <w:rsid w:val="006B20FD"/>
    <w:rsid w:val="006F143C"/>
    <w:rsid w:val="006F73D2"/>
    <w:rsid w:val="007059C7"/>
    <w:rsid w:val="007163A7"/>
    <w:rsid w:val="00717C98"/>
    <w:rsid w:val="00723728"/>
    <w:rsid w:val="00740A1D"/>
    <w:rsid w:val="00741E24"/>
    <w:rsid w:val="007475C5"/>
    <w:rsid w:val="007571AA"/>
    <w:rsid w:val="007600C4"/>
    <w:rsid w:val="00761B7F"/>
    <w:rsid w:val="00763E45"/>
    <w:rsid w:val="00767B49"/>
    <w:rsid w:val="00770B16"/>
    <w:rsid w:val="007719B8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F4B65"/>
    <w:rsid w:val="008139E5"/>
    <w:rsid w:val="00826A86"/>
    <w:rsid w:val="008311FA"/>
    <w:rsid w:val="00850A2E"/>
    <w:rsid w:val="0085397D"/>
    <w:rsid w:val="00856A07"/>
    <w:rsid w:val="008800EA"/>
    <w:rsid w:val="008872E2"/>
    <w:rsid w:val="00891312"/>
    <w:rsid w:val="0089501E"/>
    <w:rsid w:val="008965F9"/>
    <w:rsid w:val="008C2576"/>
    <w:rsid w:val="008C4008"/>
    <w:rsid w:val="008C778A"/>
    <w:rsid w:val="008D0864"/>
    <w:rsid w:val="008D2EF8"/>
    <w:rsid w:val="008D4704"/>
    <w:rsid w:val="008F49CE"/>
    <w:rsid w:val="00913480"/>
    <w:rsid w:val="00917502"/>
    <w:rsid w:val="00917DE1"/>
    <w:rsid w:val="00921532"/>
    <w:rsid w:val="00924A0D"/>
    <w:rsid w:val="00933EE9"/>
    <w:rsid w:val="00936052"/>
    <w:rsid w:val="00973DC0"/>
    <w:rsid w:val="009871E6"/>
    <w:rsid w:val="0098758E"/>
    <w:rsid w:val="009879ED"/>
    <w:rsid w:val="00994793"/>
    <w:rsid w:val="009A681B"/>
    <w:rsid w:val="009B0E06"/>
    <w:rsid w:val="009B4832"/>
    <w:rsid w:val="009D6CAC"/>
    <w:rsid w:val="009F1649"/>
    <w:rsid w:val="00A131EC"/>
    <w:rsid w:val="00A17448"/>
    <w:rsid w:val="00A37717"/>
    <w:rsid w:val="00A45880"/>
    <w:rsid w:val="00A60D47"/>
    <w:rsid w:val="00A6234F"/>
    <w:rsid w:val="00A7012A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7861"/>
    <w:rsid w:val="00AA1768"/>
    <w:rsid w:val="00AA45C2"/>
    <w:rsid w:val="00AA5850"/>
    <w:rsid w:val="00AB5010"/>
    <w:rsid w:val="00AD2B00"/>
    <w:rsid w:val="00AF20AE"/>
    <w:rsid w:val="00AF321F"/>
    <w:rsid w:val="00AF34A9"/>
    <w:rsid w:val="00B03F87"/>
    <w:rsid w:val="00B06620"/>
    <w:rsid w:val="00B16A74"/>
    <w:rsid w:val="00B23B4F"/>
    <w:rsid w:val="00B3283F"/>
    <w:rsid w:val="00B5115B"/>
    <w:rsid w:val="00B633D3"/>
    <w:rsid w:val="00B64F3B"/>
    <w:rsid w:val="00B74B0A"/>
    <w:rsid w:val="00B96BE4"/>
    <w:rsid w:val="00BA6DFB"/>
    <w:rsid w:val="00BB74E3"/>
    <w:rsid w:val="00BE3DF8"/>
    <w:rsid w:val="00BE4A56"/>
    <w:rsid w:val="00BE5945"/>
    <w:rsid w:val="00BF16FE"/>
    <w:rsid w:val="00BF3A04"/>
    <w:rsid w:val="00C03749"/>
    <w:rsid w:val="00C10BD1"/>
    <w:rsid w:val="00C141E0"/>
    <w:rsid w:val="00C318E1"/>
    <w:rsid w:val="00C33790"/>
    <w:rsid w:val="00C36C7F"/>
    <w:rsid w:val="00C508D5"/>
    <w:rsid w:val="00C51D85"/>
    <w:rsid w:val="00C80E6C"/>
    <w:rsid w:val="00C828BF"/>
    <w:rsid w:val="00C86634"/>
    <w:rsid w:val="00C916FF"/>
    <w:rsid w:val="00C923F0"/>
    <w:rsid w:val="00CB29A5"/>
    <w:rsid w:val="00CB2FA9"/>
    <w:rsid w:val="00CC680B"/>
    <w:rsid w:val="00CC6F41"/>
    <w:rsid w:val="00CD0B84"/>
    <w:rsid w:val="00CD33AC"/>
    <w:rsid w:val="00CE0213"/>
    <w:rsid w:val="00CE7441"/>
    <w:rsid w:val="00CF6996"/>
    <w:rsid w:val="00D044E1"/>
    <w:rsid w:val="00D04C38"/>
    <w:rsid w:val="00D06308"/>
    <w:rsid w:val="00D15AE4"/>
    <w:rsid w:val="00D279A4"/>
    <w:rsid w:val="00D342D7"/>
    <w:rsid w:val="00D43135"/>
    <w:rsid w:val="00D504B0"/>
    <w:rsid w:val="00D63074"/>
    <w:rsid w:val="00D83605"/>
    <w:rsid w:val="00D86F9A"/>
    <w:rsid w:val="00D90F6D"/>
    <w:rsid w:val="00D94691"/>
    <w:rsid w:val="00DA4F36"/>
    <w:rsid w:val="00DA53A4"/>
    <w:rsid w:val="00DA6EE6"/>
    <w:rsid w:val="00DB096C"/>
    <w:rsid w:val="00DB4CBA"/>
    <w:rsid w:val="00DB6F43"/>
    <w:rsid w:val="00DD1CA8"/>
    <w:rsid w:val="00DD6F82"/>
    <w:rsid w:val="00DF16CB"/>
    <w:rsid w:val="00DF59D4"/>
    <w:rsid w:val="00E00229"/>
    <w:rsid w:val="00E13914"/>
    <w:rsid w:val="00E20A78"/>
    <w:rsid w:val="00E35738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B4107"/>
    <w:rsid w:val="00EC22BB"/>
    <w:rsid w:val="00ED4974"/>
    <w:rsid w:val="00EE7197"/>
    <w:rsid w:val="00EF0241"/>
    <w:rsid w:val="00EF15EA"/>
    <w:rsid w:val="00EF1E42"/>
    <w:rsid w:val="00F06C9B"/>
    <w:rsid w:val="00F06E4D"/>
    <w:rsid w:val="00F10AE0"/>
    <w:rsid w:val="00F24464"/>
    <w:rsid w:val="00F44806"/>
    <w:rsid w:val="00F46938"/>
    <w:rsid w:val="00F472B3"/>
    <w:rsid w:val="00F62F2D"/>
    <w:rsid w:val="00F63096"/>
    <w:rsid w:val="00F74C22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1FBFB4F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ADCB9-EE48-4B42-8803-7F69C877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21</Pages>
  <Words>7666</Words>
  <Characters>52903</Characters>
  <Application>Microsoft Office Word</Application>
  <DocSecurity>0</DocSecurity>
  <Lines>440</Lines>
  <Paragraphs>120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HU_OGYI_61_1</cp:lastModifiedBy>
  <cp:revision>27</cp:revision>
  <dcterms:created xsi:type="dcterms:W3CDTF">2017-10-30T11:17:00Z</dcterms:created>
  <dcterms:modified xsi:type="dcterms:W3CDTF">2025-09-23T14:06:00Z</dcterms:modified>
</cp:coreProperties>
</file>