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867FA" w14:textId="77777777" w:rsidR="00E36D26" w:rsidRPr="00D93355" w:rsidRDefault="00E36D26" w:rsidP="00FF7BEF">
      <w:pPr>
        <w:keepNext/>
        <w:spacing w:line="240" w:lineRule="auto"/>
        <w:rPr>
          <w:lang w:val="hu-HU"/>
        </w:rPr>
      </w:pPr>
      <w:r w:rsidRPr="00D93355">
        <w:rPr>
          <w:b/>
          <w:bCs/>
          <w:lang w:val="hu-HU"/>
        </w:rPr>
        <w:t>1.</w:t>
      </w:r>
      <w:r w:rsidRPr="00D93355">
        <w:rPr>
          <w:b/>
          <w:bCs/>
          <w:lang w:val="hu-HU"/>
        </w:rPr>
        <w:tab/>
        <w:t>A GYÓGYSZER NEVE</w:t>
      </w:r>
    </w:p>
    <w:p w14:paraId="0A59D3B7" w14:textId="77777777" w:rsidR="00E36D26" w:rsidRPr="00D93355" w:rsidRDefault="00E36D26" w:rsidP="00FF7BEF">
      <w:pPr>
        <w:keepNext/>
        <w:spacing w:line="240" w:lineRule="auto"/>
        <w:rPr>
          <w:lang w:val="hu-HU"/>
        </w:rPr>
      </w:pPr>
    </w:p>
    <w:p w14:paraId="331BCA8E" w14:textId="77777777" w:rsidR="00E36D26" w:rsidRPr="00D93355" w:rsidRDefault="00976C72" w:rsidP="00FF7BEF">
      <w:pPr>
        <w:keepNext/>
        <w:spacing w:line="240" w:lineRule="auto"/>
        <w:rPr>
          <w:lang w:val="hu-HU"/>
        </w:rPr>
      </w:pPr>
      <w:r>
        <w:rPr>
          <w:lang w:val="hu-HU"/>
        </w:rPr>
        <w:t>Bosentan Pharmascience</w:t>
      </w:r>
      <w:r w:rsidR="00773A81" w:rsidRPr="00D93355">
        <w:rPr>
          <w:lang w:val="hu-HU"/>
        </w:rPr>
        <w:t xml:space="preserve"> </w:t>
      </w:r>
      <w:r w:rsidR="00E36D26" w:rsidRPr="00D93355">
        <w:rPr>
          <w:lang w:val="hu-HU"/>
        </w:rPr>
        <w:t>62,5 mg filmtabletta</w:t>
      </w:r>
    </w:p>
    <w:p w14:paraId="4C367078" w14:textId="77777777" w:rsidR="00E36D26" w:rsidRPr="00D93355" w:rsidRDefault="00976C72" w:rsidP="00FF7BEF">
      <w:pPr>
        <w:keepNext/>
        <w:spacing w:line="240" w:lineRule="auto"/>
        <w:rPr>
          <w:lang w:val="hu-HU"/>
        </w:rPr>
      </w:pPr>
      <w:r>
        <w:rPr>
          <w:lang w:val="hu-HU"/>
        </w:rPr>
        <w:t>Bosentan Pharmascience</w:t>
      </w:r>
      <w:r w:rsidR="00773A81" w:rsidRPr="00D93355">
        <w:rPr>
          <w:lang w:val="hu-HU"/>
        </w:rPr>
        <w:t xml:space="preserve"> </w:t>
      </w:r>
      <w:r w:rsidR="00E36D26" w:rsidRPr="00D93355">
        <w:rPr>
          <w:lang w:val="hu-HU"/>
        </w:rPr>
        <w:t>125 mg filmtabletta</w:t>
      </w:r>
    </w:p>
    <w:p w14:paraId="5F857EFD" w14:textId="77777777" w:rsidR="00E36D26" w:rsidRPr="00D93355" w:rsidRDefault="00E36D26" w:rsidP="00FF7BEF">
      <w:pPr>
        <w:widowControl w:val="0"/>
        <w:spacing w:line="240" w:lineRule="auto"/>
        <w:rPr>
          <w:lang w:val="hu-HU"/>
        </w:rPr>
      </w:pPr>
    </w:p>
    <w:p w14:paraId="1F65901F" w14:textId="77777777" w:rsidR="00E36D26" w:rsidRPr="00D93355" w:rsidRDefault="00E36D26" w:rsidP="00FF7BEF">
      <w:pPr>
        <w:widowControl w:val="0"/>
        <w:spacing w:line="240" w:lineRule="auto"/>
        <w:rPr>
          <w:lang w:val="hu-HU"/>
        </w:rPr>
      </w:pPr>
    </w:p>
    <w:p w14:paraId="1656B16F" w14:textId="77777777" w:rsidR="00E36D26" w:rsidRPr="00D93355" w:rsidRDefault="00E36D26" w:rsidP="00FF7BEF">
      <w:pPr>
        <w:keepNext/>
        <w:spacing w:line="240" w:lineRule="auto"/>
        <w:rPr>
          <w:b/>
          <w:bCs/>
          <w:lang w:val="hu-HU"/>
        </w:rPr>
      </w:pPr>
      <w:r w:rsidRPr="00D93355">
        <w:rPr>
          <w:b/>
          <w:bCs/>
          <w:lang w:val="hu-HU"/>
        </w:rPr>
        <w:t>2.</w:t>
      </w:r>
      <w:r w:rsidRPr="00D93355">
        <w:rPr>
          <w:b/>
          <w:bCs/>
          <w:lang w:val="hu-HU"/>
        </w:rPr>
        <w:tab/>
        <w:t>MINŐSÉGI ÉS MENNYISÉGI ÖSSZETÉTEL</w:t>
      </w:r>
      <w:bookmarkStart w:id="0" w:name="_GoBack"/>
      <w:bookmarkEnd w:id="0"/>
    </w:p>
    <w:p w14:paraId="16E19D55" w14:textId="77777777" w:rsidR="00E36D26" w:rsidRPr="00D93355" w:rsidRDefault="00E36D26" w:rsidP="00FF7BEF">
      <w:pPr>
        <w:keepNext/>
        <w:spacing w:line="240" w:lineRule="auto"/>
        <w:rPr>
          <w:bCs/>
          <w:lang w:val="hu-HU"/>
        </w:rPr>
      </w:pPr>
    </w:p>
    <w:p w14:paraId="685D8D95" w14:textId="77777777" w:rsidR="00F05200" w:rsidRPr="00EB62E1" w:rsidRDefault="00976C72" w:rsidP="00F05200">
      <w:pPr>
        <w:keepNext/>
        <w:spacing w:line="240" w:lineRule="auto"/>
        <w:rPr>
          <w:u w:val="single"/>
          <w:lang w:val="hu-HU"/>
        </w:rPr>
      </w:pPr>
      <w:r>
        <w:rPr>
          <w:u w:val="single"/>
          <w:lang w:val="hu-HU"/>
        </w:rPr>
        <w:t>Bosentan Pharmascience</w:t>
      </w:r>
      <w:r w:rsidR="00F05200" w:rsidRPr="00EB62E1">
        <w:rPr>
          <w:u w:val="single"/>
          <w:lang w:val="hu-HU"/>
        </w:rPr>
        <w:t xml:space="preserve"> 62,5 mg filmtabletta</w:t>
      </w:r>
    </w:p>
    <w:p w14:paraId="680D86CF" w14:textId="77777777" w:rsidR="00E36D26" w:rsidRDefault="00E36D26" w:rsidP="00FF7BEF">
      <w:pPr>
        <w:pStyle w:val="Default"/>
        <w:keepNext/>
        <w:rPr>
          <w:sz w:val="22"/>
          <w:szCs w:val="22"/>
        </w:rPr>
      </w:pPr>
      <w:r w:rsidRPr="00D93355">
        <w:rPr>
          <w:sz w:val="22"/>
          <w:szCs w:val="22"/>
        </w:rPr>
        <w:t xml:space="preserve">62,5 mg </w:t>
      </w:r>
      <w:r w:rsidR="006264FB" w:rsidRPr="00D93355">
        <w:rPr>
          <w:sz w:val="22"/>
          <w:szCs w:val="22"/>
        </w:rPr>
        <w:t>bozentán</w:t>
      </w:r>
      <w:r w:rsidR="00FF7BEF" w:rsidRPr="00D93355">
        <w:rPr>
          <w:sz w:val="22"/>
          <w:szCs w:val="22"/>
        </w:rPr>
        <w:t>t tartalmaz</w:t>
      </w:r>
      <w:r w:rsidRPr="00D93355">
        <w:rPr>
          <w:sz w:val="22"/>
          <w:szCs w:val="22"/>
        </w:rPr>
        <w:t xml:space="preserve"> (monohidrát formában) filmtablettánként.</w:t>
      </w:r>
    </w:p>
    <w:p w14:paraId="69F9B2CD" w14:textId="77777777" w:rsidR="00BA76EA" w:rsidRPr="00D93355" w:rsidRDefault="00BA76EA" w:rsidP="00FF7BEF">
      <w:pPr>
        <w:pStyle w:val="Default"/>
        <w:keepNext/>
        <w:rPr>
          <w:sz w:val="22"/>
          <w:szCs w:val="22"/>
        </w:rPr>
      </w:pPr>
    </w:p>
    <w:p w14:paraId="2B4D4920" w14:textId="77777777" w:rsidR="00F05200" w:rsidRPr="00EB62E1" w:rsidRDefault="00976C72" w:rsidP="00F05200">
      <w:pPr>
        <w:keepNext/>
        <w:spacing w:line="240" w:lineRule="auto"/>
        <w:rPr>
          <w:u w:val="single"/>
          <w:lang w:val="hu-HU"/>
        </w:rPr>
      </w:pPr>
      <w:r>
        <w:rPr>
          <w:u w:val="single"/>
          <w:lang w:val="hu-HU"/>
        </w:rPr>
        <w:t>Bosentan Pharmascience</w:t>
      </w:r>
      <w:r w:rsidR="00F05200" w:rsidRPr="00EB62E1">
        <w:rPr>
          <w:u w:val="single"/>
          <w:lang w:val="hu-HU"/>
        </w:rPr>
        <w:t xml:space="preserve"> 125 mg filmtabletta</w:t>
      </w:r>
    </w:p>
    <w:p w14:paraId="4EFB249E" w14:textId="77777777" w:rsidR="00E36D26" w:rsidRPr="00D93355" w:rsidRDefault="00E36D26" w:rsidP="00FF7BEF">
      <w:pPr>
        <w:pStyle w:val="Default"/>
        <w:keepNext/>
        <w:rPr>
          <w:sz w:val="22"/>
          <w:szCs w:val="22"/>
        </w:rPr>
      </w:pPr>
      <w:r w:rsidRPr="00D93355">
        <w:rPr>
          <w:sz w:val="22"/>
          <w:szCs w:val="22"/>
        </w:rPr>
        <w:t xml:space="preserve">125 mg </w:t>
      </w:r>
      <w:r w:rsidR="006264FB" w:rsidRPr="00D93355">
        <w:rPr>
          <w:sz w:val="22"/>
          <w:szCs w:val="22"/>
        </w:rPr>
        <w:t>bozentán</w:t>
      </w:r>
      <w:r w:rsidR="00FF7BEF" w:rsidRPr="00D93355">
        <w:rPr>
          <w:sz w:val="22"/>
          <w:szCs w:val="22"/>
        </w:rPr>
        <w:t>t tartalmaz</w:t>
      </w:r>
      <w:r w:rsidRPr="00D93355">
        <w:rPr>
          <w:sz w:val="22"/>
          <w:szCs w:val="22"/>
        </w:rPr>
        <w:t xml:space="preserve"> (monohidrát formában) filmtablettánként.</w:t>
      </w:r>
    </w:p>
    <w:p w14:paraId="13B8B2FE" w14:textId="77777777" w:rsidR="00E36D26" w:rsidRPr="00D93355" w:rsidRDefault="00E36D26" w:rsidP="00FF7BEF">
      <w:pPr>
        <w:widowControl w:val="0"/>
        <w:spacing w:line="240" w:lineRule="auto"/>
        <w:rPr>
          <w:lang w:val="hu-HU"/>
        </w:rPr>
      </w:pPr>
    </w:p>
    <w:p w14:paraId="2FB77BD6" w14:textId="77777777" w:rsidR="00E36D26" w:rsidRPr="00D93355" w:rsidRDefault="00E36D26" w:rsidP="00FF7BEF">
      <w:pPr>
        <w:widowControl w:val="0"/>
        <w:spacing w:line="240" w:lineRule="auto"/>
        <w:rPr>
          <w:b/>
          <w:bCs/>
          <w:lang w:val="hu-HU"/>
        </w:rPr>
      </w:pPr>
      <w:r w:rsidRPr="00D93355">
        <w:rPr>
          <w:lang w:val="hu-HU"/>
        </w:rPr>
        <w:t xml:space="preserve">A segédanyagok teljes listáját lásd </w:t>
      </w:r>
      <w:r w:rsidR="00A31735">
        <w:rPr>
          <w:lang w:val="hu-HU"/>
        </w:rPr>
        <w:t xml:space="preserve">a </w:t>
      </w:r>
      <w:r w:rsidRPr="00D93355">
        <w:rPr>
          <w:lang w:val="hu-HU"/>
        </w:rPr>
        <w:t>6.1 pontban.</w:t>
      </w:r>
    </w:p>
    <w:p w14:paraId="2D16981C" w14:textId="77777777" w:rsidR="00E36D26" w:rsidRPr="00D93355" w:rsidRDefault="00E36D26" w:rsidP="00FF7BEF">
      <w:pPr>
        <w:widowControl w:val="0"/>
        <w:spacing w:line="240" w:lineRule="auto"/>
        <w:rPr>
          <w:bCs/>
          <w:lang w:val="hu-HU"/>
        </w:rPr>
      </w:pPr>
    </w:p>
    <w:p w14:paraId="56D63C11" w14:textId="77777777" w:rsidR="00E36D26" w:rsidRPr="00D93355" w:rsidRDefault="00E36D26" w:rsidP="00FF7BEF">
      <w:pPr>
        <w:widowControl w:val="0"/>
        <w:spacing w:line="240" w:lineRule="auto"/>
        <w:rPr>
          <w:bCs/>
          <w:lang w:val="hu-HU"/>
        </w:rPr>
      </w:pPr>
    </w:p>
    <w:p w14:paraId="73CB4678" w14:textId="77777777" w:rsidR="00E36D26" w:rsidRPr="00D93355" w:rsidRDefault="00E36D26" w:rsidP="00FF7BEF">
      <w:pPr>
        <w:keepNext/>
        <w:spacing w:line="240" w:lineRule="auto"/>
        <w:ind w:left="567" w:hanging="567"/>
        <w:rPr>
          <w:b/>
          <w:bCs/>
          <w:lang w:val="hu-HU"/>
        </w:rPr>
      </w:pPr>
      <w:r w:rsidRPr="00D93355">
        <w:rPr>
          <w:b/>
          <w:bCs/>
          <w:lang w:val="hu-HU"/>
        </w:rPr>
        <w:t>3.</w:t>
      </w:r>
      <w:r w:rsidRPr="00D93355">
        <w:rPr>
          <w:b/>
          <w:bCs/>
          <w:lang w:val="hu-HU"/>
        </w:rPr>
        <w:tab/>
        <w:t>GYÓGYSZERFORMA</w:t>
      </w:r>
    </w:p>
    <w:p w14:paraId="585B51D1" w14:textId="77777777" w:rsidR="00E36D26" w:rsidRPr="00D93355" w:rsidRDefault="00E36D26" w:rsidP="00FF7BEF">
      <w:pPr>
        <w:keepNext/>
        <w:spacing w:line="240" w:lineRule="auto"/>
        <w:ind w:left="567" w:hanging="567"/>
        <w:rPr>
          <w:bCs/>
          <w:lang w:val="hu-HU"/>
        </w:rPr>
      </w:pPr>
    </w:p>
    <w:p w14:paraId="425EB23E" w14:textId="77777777" w:rsidR="00E36D26" w:rsidRPr="00D93355" w:rsidRDefault="00E36D26" w:rsidP="00FF7BEF">
      <w:pPr>
        <w:pStyle w:val="Default"/>
        <w:keepNext/>
        <w:rPr>
          <w:sz w:val="22"/>
          <w:szCs w:val="22"/>
        </w:rPr>
      </w:pPr>
      <w:r w:rsidRPr="00D93355">
        <w:rPr>
          <w:sz w:val="22"/>
          <w:szCs w:val="22"/>
        </w:rPr>
        <w:t>Filmtabletta</w:t>
      </w:r>
    </w:p>
    <w:p w14:paraId="45E8BCE7" w14:textId="77777777" w:rsidR="00E36D26" w:rsidRPr="00D93355" w:rsidRDefault="00E36D26" w:rsidP="00FF7BEF">
      <w:pPr>
        <w:autoSpaceDE w:val="0"/>
        <w:autoSpaceDN w:val="0"/>
        <w:adjustRightInd w:val="0"/>
        <w:spacing w:line="240" w:lineRule="auto"/>
        <w:jc w:val="both"/>
        <w:rPr>
          <w:lang w:val="hu-HU"/>
        </w:rPr>
      </w:pPr>
    </w:p>
    <w:p w14:paraId="0CA3D598" w14:textId="77777777" w:rsidR="00E36D26" w:rsidRPr="00EB62E1" w:rsidRDefault="00976C72" w:rsidP="00FF7BEF">
      <w:pPr>
        <w:autoSpaceDE w:val="0"/>
        <w:autoSpaceDN w:val="0"/>
        <w:adjustRightInd w:val="0"/>
        <w:spacing w:line="240" w:lineRule="auto"/>
        <w:rPr>
          <w:u w:val="single"/>
          <w:lang w:val="hu-HU"/>
        </w:rPr>
      </w:pPr>
      <w:r>
        <w:rPr>
          <w:u w:val="single"/>
          <w:lang w:val="hu-HU"/>
        </w:rPr>
        <w:t>Bosentan Pharmascience</w:t>
      </w:r>
      <w:r w:rsidR="00BE6C65" w:rsidRPr="00EB62E1">
        <w:rPr>
          <w:u w:val="single"/>
          <w:lang w:val="hu-HU"/>
        </w:rPr>
        <w:t xml:space="preserve"> </w:t>
      </w:r>
      <w:r w:rsidR="00E36D26" w:rsidRPr="00EB62E1">
        <w:rPr>
          <w:u w:val="single"/>
          <w:lang w:val="hu-HU"/>
        </w:rPr>
        <w:t>62,5 mg</w:t>
      </w:r>
      <w:r w:rsidR="00FF7BEF" w:rsidRPr="00EB62E1">
        <w:rPr>
          <w:u w:val="single"/>
          <w:lang w:val="hu-HU"/>
        </w:rPr>
        <w:t xml:space="preserve"> filmtabletta</w:t>
      </w:r>
      <w:r w:rsidR="00E36D26" w:rsidRPr="00EB62E1">
        <w:rPr>
          <w:u w:val="single"/>
          <w:lang w:val="hu-HU"/>
        </w:rPr>
        <w:t>:</w:t>
      </w:r>
    </w:p>
    <w:p w14:paraId="0445DC5F" w14:textId="77777777" w:rsidR="00E24809" w:rsidRPr="00E24809" w:rsidRDefault="00773A81" w:rsidP="00E24809">
      <w:pPr>
        <w:pStyle w:val="Default"/>
        <w:rPr>
          <w:sz w:val="22"/>
          <w:szCs w:val="22"/>
        </w:rPr>
      </w:pPr>
      <w:r w:rsidRPr="00D0670C">
        <w:rPr>
          <w:sz w:val="22"/>
          <w:szCs w:val="22"/>
        </w:rPr>
        <w:t>Narancs</w:t>
      </w:r>
      <w:r w:rsidR="0037625B" w:rsidRPr="00D0670C">
        <w:rPr>
          <w:sz w:val="22"/>
          <w:szCs w:val="22"/>
        </w:rPr>
        <w:t xml:space="preserve">sárgás </w:t>
      </w:r>
      <w:r w:rsidRPr="00D0670C">
        <w:rPr>
          <w:sz w:val="22"/>
          <w:szCs w:val="22"/>
        </w:rPr>
        <w:t>fehér</w:t>
      </w:r>
      <w:r w:rsidR="0037625B" w:rsidRPr="00D0670C">
        <w:rPr>
          <w:sz w:val="22"/>
          <w:szCs w:val="22"/>
        </w:rPr>
        <w:t xml:space="preserve"> színű</w:t>
      </w:r>
      <w:r w:rsidR="00E36D26" w:rsidRPr="00D0670C">
        <w:rPr>
          <w:sz w:val="22"/>
          <w:szCs w:val="22"/>
        </w:rPr>
        <w:t>, kerek,</w:t>
      </w:r>
      <w:r w:rsidR="001960F4" w:rsidRPr="00D0670C">
        <w:rPr>
          <w:sz w:val="22"/>
          <w:szCs w:val="22"/>
        </w:rPr>
        <w:t xml:space="preserve"> </w:t>
      </w:r>
      <w:r w:rsidR="00E36D26" w:rsidRPr="00D0670C">
        <w:rPr>
          <w:sz w:val="22"/>
          <w:szCs w:val="22"/>
        </w:rPr>
        <w:t>6 mm átmérőjű</w:t>
      </w:r>
      <w:r w:rsidR="0037625B" w:rsidRPr="00D0670C">
        <w:rPr>
          <w:sz w:val="22"/>
          <w:szCs w:val="22"/>
        </w:rPr>
        <w:t xml:space="preserve"> és</w:t>
      </w:r>
      <w:r w:rsidR="00E36D26" w:rsidRPr="00D0670C">
        <w:rPr>
          <w:sz w:val="22"/>
          <w:szCs w:val="22"/>
        </w:rPr>
        <w:t xml:space="preserve"> 3,</w:t>
      </w:r>
      <w:r w:rsidRPr="00D0670C">
        <w:rPr>
          <w:sz w:val="22"/>
          <w:szCs w:val="22"/>
        </w:rPr>
        <w:t>2</w:t>
      </w:r>
      <w:r w:rsidR="00E36D26" w:rsidRPr="00D0670C">
        <w:rPr>
          <w:sz w:val="22"/>
          <w:szCs w:val="22"/>
        </w:rPr>
        <w:t> mm vastagságú filmtabletta</w:t>
      </w:r>
      <w:r w:rsidR="00E24809" w:rsidRPr="00E24809">
        <w:rPr>
          <w:sz w:val="22"/>
          <w:szCs w:val="22"/>
        </w:rPr>
        <w:t>, az egyik oldalán ”B” a másik oldalán ”62,5” jelöléssel.</w:t>
      </w:r>
    </w:p>
    <w:p w14:paraId="0723EC2D" w14:textId="77777777" w:rsidR="00E36D26" w:rsidRPr="00E24809" w:rsidRDefault="00E36D26" w:rsidP="00FF7BEF">
      <w:pPr>
        <w:autoSpaceDE w:val="0"/>
        <w:autoSpaceDN w:val="0"/>
        <w:adjustRightInd w:val="0"/>
        <w:spacing w:line="240" w:lineRule="auto"/>
        <w:rPr>
          <w:lang w:val="hu-HU"/>
        </w:rPr>
      </w:pPr>
    </w:p>
    <w:p w14:paraId="08282EA7" w14:textId="77777777" w:rsidR="00E36D26" w:rsidRPr="00EB62E1" w:rsidRDefault="00976C72" w:rsidP="00FF7BEF">
      <w:pPr>
        <w:autoSpaceDE w:val="0"/>
        <w:autoSpaceDN w:val="0"/>
        <w:adjustRightInd w:val="0"/>
        <w:spacing w:line="240" w:lineRule="auto"/>
        <w:rPr>
          <w:u w:val="single"/>
          <w:lang w:val="hu-HU"/>
        </w:rPr>
      </w:pPr>
      <w:r>
        <w:rPr>
          <w:u w:val="single"/>
          <w:lang w:val="hu-HU"/>
        </w:rPr>
        <w:t>Bosentan Pharmascience</w:t>
      </w:r>
      <w:r w:rsidR="00BE6C65" w:rsidRPr="00EB62E1">
        <w:rPr>
          <w:u w:val="single"/>
          <w:lang w:val="hu-HU"/>
        </w:rPr>
        <w:t xml:space="preserve"> </w:t>
      </w:r>
      <w:r w:rsidR="00E36D26" w:rsidRPr="00EB62E1">
        <w:rPr>
          <w:u w:val="single"/>
          <w:lang w:val="hu-HU"/>
        </w:rPr>
        <w:t>125 mg</w:t>
      </w:r>
      <w:r w:rsidR="00FF7BEF" w:rsidRPr="00EB62E1">
        <w:rPr>
          <w:u w:val="single"/>
          <w:lang w:val="hu-HU"/>
        </w:rPr>
        <w:t xml:space="preserve"> filmtabletta</w:t>
      </w:r>
      <w:r w:rsidR="00E36D26" w:rsidRPr="00EB62E1">
        <w:rPr>
          <w:u w:val="single"/>
          <w:lang w:val="hu-HU"/>
        </w:rPr>
        <w:t>:</w:t>
      </w:r>
    </w:p>
    <w:p w14:paraId="089267E8" w14:textId="77777777" w:rsidR="00E36D26" w:rsidRPr="00D93355" w:rsidRDefault="00773A81" w:rsidP="00FF7BEF">
      <w:pPr>
        <w:autoSpaceDE w:val="0"/>
        <w:autoSpaceDN w:val="0"/>
        <w:adjustRightInd w:val="0"/>
        <w:spacing w:line="240" w:lineRule="auto"/>
        <w:rPr>
          <w:lang w:val="hu-HU"/>
        </w:rPr>
      </w:pPr>
      <w:r w:rsidRPr="00D93355">
        <w:rPr>
          <w:lang w:val="hu-HU"/>
        </w:rPr>
        <w:t>Narancs</w:t>
      </w:r>
      <w:r w:rsidR="0037625B" w:rsidRPr="00D93355">
        <w:rPr>
          <w:lang w:val="hu-HU"/>
        </w:rPr>
        <w:t xml:space="preserve">sárgás </w:t>
      </w:r>
      <w:r w:rsidRPr="00D93355">
        <w:rPr>
          <w:lang w:val="hu-HU"/>
        </w:rPr>
        <w:t>fehér</w:t>
      </w:r>
      <w:r w:rsidR="0037625B" w:rsidRPr="00D93355">
        <w:rPr>
          <w:lang w:val="hu-HU"/>
        </w:rPr>
        <w:t xml:space="preserve"> színű</w:t>
      </w:r>
      <w:r w:rsidR="00E36D26" w:rsidRPr="00D93355">
        <w:rPr>
          <w:lang w:val="hu-HU"/>
        </w:rPr>
        <w:t xml:space="preserve">, </w:t>
      </w:r>
      <w:r w:rsidR="0037625B" w:rsidRPr="00D93355">
        <w:rPr>
          <w:lang w:val="hu-HU"/>
        </w:rPr>
        <w:t>ovális</w:t>
      </w:r>
      <w:r w:rsidR="00E36D26" w:rsidRPr="00D93355">
        <w:rPr>
          <w:lang w:val="hu-HU"/>
        </w:rPr>
        <w:t>,</w:t>
      </w:r>
      <w:r w:rsidR="001960F4" w:rsidRPr="00D93355">
        <w:rPr>
          <w:lang w:val="hu-HU"/>
        </w:rPr>
        <w:t xml:space="preserve"> </w:t>
      </w:r>
      <w:r w:rsidR="00E36D26" w:rsidRPr="00D93355">
        <w:rPr>
          <w:lang w:val="hu-HU"/>
        </w:rPr>
        <w:t>1</w:t>
      </w:r>
      <w:r w:rsidRPr="00D93355">
        <w:rPr>
          <w:lang w:val="hu-HU"/>
        </w:rPr>
        <w:t>1</w:t>
      </w:r>
      <w:r w:rsidR="00E36D26" w:rsidRPr="00D93355">
        <w:rPr>
          <w:lang w:val="hu-HU"/>
        </w:rPr>
        <w:t> mm hosszú, 5,</w:t>
      </w:r>
      <w:r w:rsidRPr="00D93355">
        <w:rPr>
          <w:lang w:val="hu-HU"/>
        </w:rPr>
        <w:t>1</w:t>
      </w:r>
      <w:r w:rsidR="00E36D26" w:rsidRPr="00D93355">
        <w:rPr>
          <w:lang w:val="hu-HU"/>
        </w:rPr>
        <w:t> mm széles és 4,</w:t>
      </w:r>
      <w:r w:rsidRPr="00D93355">
        <w:rPr>
          <w:lang w:val="hu-HU"/>
        </w:rPr>
        <w:t>2</w:t>
      </w:r>
      <w:r w:rsidR="00E36D26" w:rsidRPr="00D93355">
        <w:rPr>
          <w:lang w:val="hu-HU"/>
        </w:rPr>
        <w:t> mm vastag</w:t>
      </w:r>
      <w:r w:rsidR="0037625B" w:rsidRPr="00D93355">
        <w:rPr>
          <w:lang w:val="hu-HU"/>
        </w:rPr>
        <w:t>ságú</w:t>
      </w:r>
      <w:r w:rsidR="00E36D26" w:rsidRPr="00D93355">
        <w:rPr>
          <w:lang w:val="hu-HU"/>
        </w:rPr>
        <w:t xml:space="preserve"> filmtabletta</w:t>
      </w:r>
      <w:r w:rsidR="00E24809">
        <w:rPr>
          <w:lang w:val="hu-HU"/>
        </w:rPr>
        <w:t xml:space="preserve">, </w:t>
      </w:r>
      <w:r w:rsidR="00E24809" w:rsidRPr="00976C72">
        <w:rPr>
          <w:lang w:val="hu-HU"/>
        </w:rPr>
        <w:t>az egyik oldalán ”B” a másik oldalán ”125” jelöléssel.</w:t>
      </w:r>
    </w:p>
    <w:p w14:paraId="73A8DB56" w14:textId="77777777" w:rsidR="00E36D26" w:rsidRPr="00D93355" w:rsidRDefault="00E36D26" w:rsidP="00FF7BEF">
      <w:pPr>
        <w:spacing w:line="240" w:lineRule="auto"/>
        <w:rPr>
          <w:lang w:val="hu-HU"/>
        </w:rPr>
      </w:pPr>
    </w:p>
    <w:p w14:paraId="2FF36AF4" w14:textId="77777777" w:rsidR="00E36D26" w:rsidRPr="00D93355" w:rsidRDefault="00E36D26" w:rsidP="00FF7BEF">
      <w:pPr>
        <w:spacing w:line="240" w:lineRule="auto"/>
        <w:rPr>
          <w:lang w:val="hu-HU"/>
        </w:rPr>
      </w:pPr>
    </w:p>
    <w:p w14:paraId="285ADE18" w14:textId="77777777" w:rsidR="00E36D26" w:rsidRPr="00D93355" w:rsidRDefault="00E36D26" w:rsidP="00FF7BEF">
      <w:pPr>
        <w:keepNext/>
        <w:tabs>
          <w:tab w:val="clear" w:pos="567"/>
        </w:tabs>
        <w:spacing w:line="240" w:lineRule="auto"/>
        <w:ind w:left="567" w:hanging="567"/>
        <w:outlineLvl w:val="0"/>
        <w:rPr>
          <w:b/>
          <w:bCs/>
          <w:lang w:val="hu-HU"/>
        </w:rPr>
      </w:pPr>
      <w:r w:rsidRPr="00D93355">
        <w:rPr>
          <w:b/>
          <w:bCs/>
          <w:lang w:val="hu-HU"/>
        </w:rPr>
        <w:t>4.</w:t>
      </w:r>
      <w:r w:rsidRPr="00D93355">
        <w:rPr>
          <w:b/>
          <w:bCs/>
          <w:lang w:val="hu-HU"/>
        </w:rPr>
        <w:tab/>
        <w:t>KLINIKAI JELLEMZŐK</w:t>
      </w:r>
    </w:p>
    <w:p w14:paraId="41071530" w14:textId="77777777" w:rsidR="00E36D26" w:rsidRPr="00D93355" w:rsidRDefault="00E36D26" w:rsidP="00FF7BEF">
      <w:pPr>
        <w:keepNext/>
        <w:spacing w:line="240" w:lineRule="auto"/>
        <w:ind w:left="567" w:hanging="567"/>
        <w:outlineLvl w:val="0"/>
        <w:rPr>
          <w:b/>
          <w:bCs/>
          <w:lang w:val="hu-HU"/>
        </w:rPr>
      </w:pPr>
    </w:p>
    <w:p w14:paraId="47C49D71" w14:textId="77777777" w:rsidR="00E36D26" w:rsidRPr="00D93355" w:rsidRDefault="00E36D26" w:rsidP="00FF7BEF">
      <w:pPr>
        <w:keepNext/>
        <w:tabs>
          <w:tab w:val="clear" w:pos="567"/>
        </w:tabs>
        <w:spacing w:line="240" w:lineRule="auto"/>
        <w:ind w:left="567" w:hanging="567"/>
        <w:outlineLvl w:val="0"/>
        <w:rPr>
          <w:b/>
          <w:bCs/>
          <w:lang w:val="hu-HU"/>
        </w:rPr>
      </w:pPr>
      <w:r w:rsidRPr="00D93355">
        <w:rPr>
          <w:b/>
          <w:bCs/>
          <w:lang w:val="hu-HU"/>
        </w:rPr>
        <w:t>4.1</w:t>
      </w:r>
      <w:r w:rsidRPr="00D93355">
        <w:rPr>
          <w:b/>
          <w:bCs/>
          <w:lang w:val="hu-HU"/>
        </w:rPr>
        <w:tab/>
        <w:t>Terápiás javallatok</w:t>
      </w:r>
    </w:p>
    <w:p w14:paraId="5CD8CB12" w14:textId="77777777" w:rsidR="00E36D26" w:rsidRPr="00D93355" w:rsidRDefault="00E36D26" w:rsidP="00FF7BEF">
      <w:pPr>
        <w:keepNext/>
        <w:spacing w:line="240" w:lineRule="auto"/>
        <w:ind w:left="567" w:hanging="567"/>
        <w:outlineLvl w:val="0"/>
        <w:rPr>
          <w:b/>
          <w:bCs/>
          <w:lang w:val="hu-HU"/>
        </w:rPr>
      </w:pPr>
    </w:p>
    <w:p w14:paraId="03F35546" w14:textId="77777777" w:rsidR="00E36D26" w:rsidRPr="00D93355" w:rsidRDefault="00E36D26" w:rsidP="00FF7BEF">
      <w:pPr>
        <w:pStyle w:val="Default"/>
        <w:keepNext/>
        <w:rPr>
          <w:sz w:val="22"/>
          <w:szCs w:val="22"/>
        </w:rPr>
      </w:pPr>
      <w:r w:rsidRPr="00D93355">
        <w:rPr>
          <w:sz w:val="22"/>
          <w:szCs w:val="22"/>
        </w:rPr>
        <w:t>Pulmonalis arteriás hypertonia (PAH) kezelése, a WHO III. funkcionális stádiumban lévő betegek terhelhetőségének és tüneteinek javítására. Hatásosságát az alábbi állapotokban igazolták:</w:t>
      </w:r>
    </w:p>
    <w:p w14:paraId="291B08D7" w14:textId="77777777" w:rsidR="00E36D26" w:rsidRPr="00D93355" w:rsidRDefault="00A946DC" w:rsidP="00FF7BEF">
      <w:pPr>
        <w:pStyle w:val="Default"/>
        <w:tabs>
          <w:tab w:val="left" w:pos="567"/>
        </w:tabs>
        <w:rPr>
          <w:sz w:val="22"/>
          <w:szCs w:val="22"/>
        </w:rPr>
      </w:pPr>
      <w:r w:rsidRPr="00D93355">
        <w:rPr>
          <w:sz w:val="22"/>
          <w:szCs w:val="22"/>
        </w:rPr>
        <w:t>•</w:t>
      </w:r>
      <w:r w:rsidR="00E36D26" w:rsidRPr="00D93355">
        <w:rPr>
          <w:sz w:val="22"/>
          <w:szCs w:val="22"/>
        </w:rPr>
        <w:tab/>
        <w:t>Primaer (idiopathiás és örökletes) pulmonalis arteriás hypertonia</w:t>
      </w:r>
      <w:r w:rsidR="00FF7BEF" w:rsidRPr="00D93355">
        <w:rPr>
          <w:sz w:val="22"/>
          <w:szCs w:val="22"/>
        </w:rPr>
        <w:t>.</w:t>
      </w:r>
    </w:p>
    <w:p w14:paraId="0D2EF29B" w14:textId="77777777" w:rsidR="00E36D26" w:rsidRPr="00D93355" w:rsidRDefault="00A946DC" w:rsidP="00FF7BEF">
      <w:pPr>
        <w:pStyle w:val="Default"/>
        <w:ind w:left="567" w:hanging="567"/>
        <w:rPr>
          <w:sz w:val="22"/>
          <w:szCs w:val="22"/>
        </w:rPr>
      </w:pPr>
      <w:r w:rsidRPr="00D93355">
        <w:rPr>
          <w:sz w:val="22"/>
          <w:szCs w:val="22"/>
        </w:rPr>
        <w:t>•</w:t>
      </w:r>
      <w:r w:rsidR="00E36D26" w:rsidRPr="00D93355">
        <w:rPr>
          <w:sz w:val="22"/>
          <w:szCs w:val="22"/>
        </w:rPr>
        <w:tab/>
        <w:t>Scleroderma következtében kialakult, jelentős interstitialis tüdőbetegség nélküli secundaer pulmonalis artariás hypertonia</w:t>
      </w:r>
      <w:r w:rsidR="00FF7BEF" w:rsidRPr="00D93355">
        <w:rPr>
          <w:sz w:val="22"/>
          <w:szCs w:val="22"/>
        </w:rPr>
        <w:t>.</w:t>
      </w:r>
    </w:p>
    <w:p w14:paraId="5D1DD742" w14:textId="77777777" w:rsidR="00E36D26" w:rsidRPr="00D93355" w:rsidRDefault="00A946DC" w:rsidP="00FF7BEF">
      <w:pPr>
        <w:pStyle w:val="Default"/>
        <w:ind w:left="567" w:hanging="567"/>
        <w:rPr>
          <w:sz w:val="22"/>
          <w:szCs w:val="22"/>
        </w:rPr>
      </w:pPr>
      <w:r w:rsidRPr="00D93355">
        <w:rPr>
          <w:sz w:val="22"/>
          <w:szCs w:val="22"/>
        </w:rPr>
        <w:t>•</w:t>
      </w:r>
      <w:r w:rsidR="00E36D26" w:rsidRPr="00D93355">
        <w:rPr>
          <w:sz w:val="22"/>
          <w:szCs w:val="22"/>
        </w:rPr>
        <w:tab/>
        <w:t>Congenitalis szisztémás</w:t>
      </w:r>
      <w:r w:rsidR="00E36D26" w:rsidRPr="00D93355">
        <w:rPr>
          <w:sz w:val="22"/>
          <w:szCs w:val="22"/>
        </w:rPr>
        <w:noBreakHyphen/>
        <w:t>pulmonalis sönthöz és Eisenmenger szindrómához társuló pulmonalis arteriás hypertonia.</w:t>
      </w:r>
    </w:p>
    <w:p w14:paraId="5CD7EC98" w14:textId="77777777" w:rsidR="00E36D26" w:rsidRPr="00D93355" w:rsidRDefault="00E36D26" w:rsidP="00FF7BEF">
      <w:pPr>
        <w:pStyle w:val="Default"/>
        <w:rPr>
          <w:sz w:val="22"/>
          <w:szCs w:val="22"/>
        </w:rPr>
      </w:pPr>
    </w:p>
    <w:p w14:paraId="629C7974" w14:textId="77777777" w:rsidR="00E36D26" w:rsidRPr="00D93355" w:rsidRDefault="008E2F15" w:rsidP="00FF7BEF">
      <w:pPr>
        <w:pStyle w:val="Default"/>
        <w:rPr>
          <w:sz w:val="22"/>
          <w:szCs w:val="22"/>
        </w:rPr>
      </w:pPr>
      <w:r w:rsidRPr="00D93355">
        <w:rPr>
          <w:color w:val="auto"/>
          <w:sz w:val="22"/>
          <w:szCs w:val="22"/>
        </w:rPr>
        <w:t>A pulmonalis artériás hypertonia WHO szerinti II. funkcionális stádiumban lévő betegek esetében is kimutatható volt némi javulás</w:t>
      </w:r>
      <w:r w:rsidR="00E36D26" w:rsidRPr="00D93355">
        <w:rPr>
          <w:sz w:val="22"/>
          <w:szCs w:val="22"/>
        </w:rPr>
        <w:t xml:space="preserve"> (lásd 5.1 pont).</w:t>
      </w:r>
    </w:p>
    <w:p w14:paraId="27EC491C" w14:textId="77777777" w:rsidR="00E36D26" w:rsidRPr="00D93355" w:rsidRDefault="00E36D26" w:rsidP="00FF7BEF">
      <w:pPr>
        <w:spacing w:line="240" w:lineRule="auto"/>
        <w:rPr>
          <w:lang w:val="hu-HU"/>
        </w:rPr>
      </w:pPr>
    </w:p>
    <w:p w14:paraId="2EBD7537" w14:textId="77777777" w:rsidR="00E36D26" w:rsidRPr="00D93355" w:rsidRDefault="00E36D26" w:rsidP="00A55698">
      <w:pPr>
        <w:autoSpaceDE w:val="0"/>
        <w:autoSpaceDN w:val="0"/>
        <w:adjustRightInd w:val="0"/>
        <w:spacing w:line="240" w:lineRule="auto"/>
        <w:rPr>
          <w:lang w:val="hu-HU"/>
        </w:rPr>
      </w:pPr>
      <w:r w:rsidRPr="00D93355">
        <w:rPr>
          <w:rFonts w:eastAsia="TimesNewRoman"/>
          <w:lang w:val="hu-HU"/>
        </w:rPr>
        <w:t>A</w:t>
      </w:r>
      <w:r w:rsidR="00773A81" w:rsidRPr="00D93355">
        <w:rPr>
          <w:rFonts w:eastAsia="TimesNewRoman"/>
          <w:lang w:val="hu-HU"/>
        </w:rPr>
        <w:t xml:space="preserve"> </w:t>
      </w:r>
      <w:r w:rsidR="00976C72">
        <w:rPr>
          <w:rFonts w:eastAsia="TimesNewRoman"/>
          <w:lang w:val="hu-HU"/>
        </w:rPr>
        <w:t>Bosentan Pharmascience</w:t>
      </w:r>
      <w:r w:rsidRPr="00D93355">
        <w:rPr>
          <w:rFonts w:eastAsia="TimesNewRoman"/>
          <w:lang w:val="hu-HU"/>
        </w:rPr>
        <w:t xml:space="preserve"> javallott az újonnan jelentkező digitalis fekélyek számának csökkentésére is, szisztémás sclerosisban és fennálló digitalis fekélybetegségben szenvedő betegeknél (lásd 5.1 pont).</w:t>
      </w:r>
    </w:p>
    <w:p w14:paraId="354681BE" w14:textId="77777777" w:rsidR="00E36D26" w:rsidRPr="00D93355" w:rsidRDefault="00E36D26" w:rsidP="00A55698">
      <w:pPr>
        <w:spacing w:line="240" w:lineRule="auto"/>
        <w:rPr>
          <w:lang w:val="hu-HU"/>
        </w:rPr>
      </w:pPr>
    </w:p>
    <w:p w14:paraId="6CEC29CA" w14:textId="77777777" w:rsidR="00E36D26" w:rsidRPr="00D93355" w:rsidRDefault="00E36D26" w:rsidP="0056371F">
      <w:pPr>
        <w:tabs>
          <w:tab w:val="clear" w:pos="567"/>
        </w:tabs>
        <w:spacing w:line="240" w:lineRule="auto"/>
        <w:ind w:left="567" w:hanging="567"/>
        <w:outlineLvl w:val="0"/>
        <w:rPr>
          <w:b/>
          <w:bCs/>
          <w:lang w:val="hu-HU"/>
        </w:rPr>
      </w:pPr>
      <w:r w:rsidRPr="00D93355">
        <w:rPr>
          <w:b/>
          <w:bCs/>
          <w:lang w:val="hu-HU"/>
        </w:rPr>
        <w:t>4.2</w:t>
      </w:r>
      <w:r w:rsidRPr="00D93355">
        <w:rPr>
          <w:b/>
          <w:bCs/>
          <w:lang w:val="hu-HU"/>
        </w:rPr>
        <w:tab/>
        <w:t>Adagolás és alkalmazás</w:t>
      </w:r>
    </w:p>
    <w:p w14:paraId="3B0C2D6F" w14:textId="77777777" w:rsidR="00E36D26" w:rsidRPr="00D93355" w:rsidRDefault="00E36D26" w:rsidP="0056371F">
      <w:pPr>
        <w:spacing w:line="240" w:lineRule="auto"/>
        <w:ind w:left="567" w:hanging="567"/>
        <w:outlineLvl w:val="0"/>
        <w:rPr>
          <w:bCs/>
          <w:lang w:val="hu-HU"/>
        </w:rPr>
      </w:pPr>
    </w:p>
    <w:p w14:paraId="5D37C953" w14:textId="77777777" w:rsidR="00A55698" w:rsidRPr="0056371F" w:rsidRDefault="00A55698" w:rsidP="00A55698">
      <w:pPr>
        <w:pStyle w:val="Default"/>
        <w:rPr>
          <w:sz w:val="22"/>
          <w:szCs w:val="22"/>
          <w:u w:val="single"/>
        </w:rPr>
      </w:pPr>
      <w:r w:rsidRPr="0056371F">
        <w:rPr>
          <w:sz w:val="22"/>
          <w:szCs w:val="22"/>
          <w:u w:val="single"/>
        </w:rPr>
        <w:t>Az alkalmazás módja</w:t>
      </w:r>
    </w:p>
    <w:p w14:paraId="4033525D" w14:textId="77777777" w:rsidR="00A55698" w:rsidRPr="00A55698" w:rsidRDefault="00A55698" w:rsidP="001113AA">
      <w:pPr>
        <w:pStyle w:val="Default"/>
        <w:rPr>
          <w:bCs/>
          <w:iCs/>
          <w:sz w:val="22"/>
          <w:szCs w:val="22"/>
          <w:u w:val="single"/>
        </w:rPr>
      </w:pPr>
      <w:r w:rsidRPr="0056371F">
        <w:rPr>
          <w:sz w:val="22"/>
          <w:szCs w:val="22"/>
        </w:rPr>
        <w:t>A tablettákat reggel és este, szájon át, étkezés közben vagy attól függetlenül kell bevenni. A filmtablettákat vízzel kell lenyelni.</w:t>
      </w:r>
    </w:p>
    <w:p w14:paraId="0BEB9221" w14:textId="77777777" w:rsidR="00A55698" w:rsidRPr="001113AA" w:rsidRDefault="00A55698" w:rsidP="001113AA">
      <w:pPr>
        <w:pStyle w:val="Default"/>
        <w:rPr>
          <w:bCs/>
          <w:iCs/>
          <w:sz w:val="22"/>
          <w:szCs w:val="22"/>
          <w:u w:val="single"/>
        </w:rPr>
      </w:pPr>
    </w:p>
    <w:p w14:paraId="6751B562" w14:textId="77777777" w:rsidR="00E36D26" w:rsidRPr="001113AA" w:rsidRDefault="00E36D26" w:rsidP="002E58CA">
      <w:pPr>
        <w:pStyle w:val="Default"/>
        <w:rPr>
          <w:bCs/>
          <w:iCs/>
          <w:sz w:val="22"/>
          <w:szCs w:val="22"/>
          <w:u w:val="single"/>
        </w:rPr>
      </w:pPr>
      <w:r w:rsidRPr="001113AA">
        <w:rPr>
          <w:bCs/>
          <w:iCs/>
          <w:sz w:val="22"/>
          <w:szCs w:val="22"/>
          <w:u w:val="single"/>
        </w:rPr>
        <w:t>Adagolás</w:t>
      </w:r>
    </w:p>
    <w:p w14:paraId="44A84FB0" w14:textId="77777777" w:rsidR="00E36D26" w:rsidRPr="00D93355" w:rsidRDefault="00E36D26" w:rsidP="00FF7BEF">
      <w:pPr>
        <w:pStyle w:val="Default"/>
        <w:rPr>
          <w:bCs/>
          <w:iCs/>
          <w:sz w:val="22"/>
          <w:szCs w:val="22"/>
        </w:rPr>
      </w:pPr>
    </w:p>
    <w:p w14:paraId="0805D9AC" w14:textId="77777777" w:rsidR="00E36D26" w:rsidRPr="00D93355" w:rsidRDefault="00E36D26" w:rsidP="00FF7BEF">
      <w:pPr>
        <w:pStyle w:val="Default"/>
        <w:keepNext/>
        <w:rPr>
          <w:sz w:val="22"/>
          <w:szCs w:val="22"/>
          <w:u w:val="single"/>
        </w:rPr>
      </w:pPr>
      <w:r w:rsidRPr="00D93355">
        <w:rPr>
          <w:bCs/>
          <w:iCs/>
          <w:sz w:val="22"/>
          <w:szCs w:val="22"/>
          <w:u w:val="single"/>
        </w:rPr>
        <w:lastRenderedPageBreak/>
        <w:t>Pulmonalis arteriás hypertonia (PAH)</w:t>
      </w:r>
    </w:p>
    <w:p w14:paraId="637C60F1" w14:textId="77777777" w:rsidR="00E36D26" w:rsidRPr="00D93355" w:rsidRDefault="00E36D26" w:rsidP="00976C72">
      <w:pPr>
        <w:pStyle w:val="Default"/>
        <w:widowControl w:val="0"/>
        <w:rPr>
          <w:sz w:val="22"/>
          <w:szCs w:val="22"/>
        </w:rPr>
      </w:pPr>
    </w:p>
    <w:p w14:paraId="359FE600" w14:textId="77777777" w:rsidR="00E36D26" w:rsidRPr="00D93355" w:rsidRDefault="00E36D26" w:rsidP="00976C72">
      <w:pPr>
        <w:pStyle w:val="Default"/>
        <w:widowControl w:val="0"/>
        <w:rPr>
          <w:sz w:val="22"/>
          <w:szCs w:val="22"/>
        </w:rPr>
      </w:pPr>
      <w:r w:rsidRPr="00D93355">
        <w:rPr>
          <w:sz w:val="22"/>
          <w:szCs w:val="22"/>
        </w:rPr>
        <w:t xml:space="preserve">A kezelést kizárólag a </w:t>
      </w:r>
      <w:r w:rsidR="002E58CA">
        <w:rPr>
          <w:sz w:val="22"/>
          <w:szCs w:val="22"/>
        </w:rPr>
        <w:t xml:space="preserve">PAH </w:t>
      </w:r>
      <w:r w:rsidRPr="00D93355">
        <w:rPr>
          <w:sz w:val="22"/>
          <w:szCs w:val="22"/>
        </w:rPr>
        <w:t xml:space="preserve">kezelésében jártas orvos kezdheti el és </w:t>
      </w:r>
      <w:r w:rsidR="008A5B26" w:rsidRPr="00D93355">
        <w:rPr>
          <w:color w:val="auto"/>
          <w:sz w:val="22"/>
          <w:szCs w:val="22"/>
        </w:rPr>
        <w:t>monitorozhatja</w:t>
      </w:r>
      <w:r w:rsidRPr="00D93355">
        <w:rPr>
          <w:sz w:val="22"/>
          <w:szCs w:val="22"/>
        </w:rPr>
        <w:t>.</w:t>
      </w:r>
      <w:r w:rsidR="00E93A0B">
        <w:rPr>
          <w:sz w:val="22"/>
          <w:szCs w:val="22"/>
        </w:rPr>
        <w:t xml:space="preserve"> A Betegfigyelmeztető kártya, ami olyan fontos biztonságossági információkat tartalmaz, amelyekkel a betegeknek tisztában kell lenniük a </w:t>
      </w:r>
      <w:r w:rsidR="00EE1A00">
        <w:rPr>
          <w:sz w:val="22"/>
          <w:szCs w:val="22"/>
        </w:rPr>
        <w:t>bozentán</w:t>
      </w:r>
      <w:r w:rsidR="00E93A0B">
        <w:rPr>
          <w:sz w:val="22"/>
          <w:szCs w:val="22"/>
        </w:rPr>
        <w:t>-kezelés előtt és a kezelés ideje alatt, benne van a csomagolásban.</w:t>
      </w:r>
    </w:p>
    <w:p w14:paraId="52476FC8" w14:textId="77777777" w:rsidR="00504A10" w:rsidRPr="00D93355" w:rsidRDefault="00504A10" w:rsidP="00EE1A00">
      <w:pPr>
        <w:pStyle w:val="Default"/>
        <w:widowControl w:val="0"/>
        <w:rPr>
          <w:sz w:val="22"/>
          <w:szCs w:val="22"/>
        </w:rPr>
      </w:pPr>
    </w:p>
    <w:p w14:paraId="19982712" w14:textId="77777777" w:rsidR="00E36D26" w:rsidRPr="00D93355" w:rsidRDefault="00E36D26" w:rsidP="00FF7BEF">
      <w:pPr>
        <w:pStyle w:val="Default"/>
        <w:widowControl w:val="0"/>
        <w:rPr>
          <w:i/>
          <w:sz w:val="22"/>
          <w:szCs w:val="22"/>
          <w:u w:val="single"/>
        </w:rPr>
      </w:pPr>
      <w:r w:rsidRPr="00D93355">
        <w:rPr>
          <w:i/>
          <w:sz w:val="22"/>
          <w:szCs w:val="22"/>
          <w:u w:val="single"/>
        </w:rPr>
        <w:t>Felnőttek</w:t>
      </w:r>
    </w:p>
    <w:p w14:paraId="7D1FA817" w14:textId="77777777" w:rsidR="00E36D26" w:rsidRPr="00D93355" w:rsidRDefault="00E36D26" w:rsidP="00FF7BEF">
      <w:pPr>
        <w:pStyle w:val="Default"/>
        <w:widowControl w:val="0"/>
        <w:rPr>
          <w:sz w:val="22"/>
          <w:szCs w:val="22"/>
        </w:rPr>
      </w:pPr>
      <w:r w:rsidRPr="00D93355">
        <w:rPr>
          <w:sz w:val="22"/>
          <w:szCs w:val="22"/>
        </w:rPr>
        <w:t>Felnőtt betegeknél a</w:t>
      </w:r>
      <w:r w:rsidR="00773A81" w:rsidRPr="00D93355">
        <w:rPr>
          <w:sz w:val="22"/>
          <w:szCs w:val="22"/>
        </w:rPr>
        <w:t xml:space="preserve"> </w:t>
      </w:r>
      <w:r w:rsidR="00976C72">
        <w:rPr>
          <w:sz w:val="22"/>
          <w:szCs w:val="22"/>
        </w:rPr>
        <w:t>Bosentan Pharmascience</w:t>
      </w:r>
      <w:r w:rsidRPr="00D93355">
        <w:rPr>
          <w:sz w:val="22"/>
          <w:szCs w:val="22"/>
        </w:rPr>
        <w:noBreakHyphen/>
        <w:t>kezelést naponta kétszer 62,5 mg</w:t>
      </w:r>
      <w:r w:rsidRPr="00D93355">
        <w:rPr>
          <w:sz w:val="22"/>
          <w:szCs w:val="22"/>
        </w:rPr>
        <w:noBreakHyphen/>
        <w:t>mal kell kezdeni, és 4 hétig folytatni, majd a dózist naponta kétszer 125 mg</w:t>
      </w:r>
      <w:r w:rsidRPr="00D93355">
        <w:rPr>
          <w:sz w:val="22"/>
          <w:szCs w:val="22"/>
        </w:rPr>
        <w:noBreakHyphen/>
        <w:t>os fenntartó adagra kell növelni. Ugyanez az adagolás ajánlott arra az esetre is, ha a</w:t>
      </w:r>
      <w:r w:rsidR="00773A81" w:rsidRPr="00D93355">
        <w:rPr>
          <w:sz w:val="22"/>
          <w:szCs w:val="22"/>
        </w:rPr>
        <w:t xml:space="preserve"> </w:t>
      </w:r>
      <w:r w:rsidR="00976C72">
        <w:rPr>
          <w:sz w:val="22"/>
          <w:szCs w:val="22"/>
        </w:rPr>
        <w:t>Bosentan Pharmascience</w:t>
      </w:r>
      <w:r w:rsidR="001E32C6" w:rsidRPr="00D93355">
        <w:rPr>
          <w:sz w:val="22"/>
          <w:szCs w:val="22"/>
        </w:rPr>
        <w:t>-</w:t>
      </w:r>
      <w:r w:rsidRPr="00D93355">
        <w:rPr>
          <w:sz w:val="22"/>
          <w:szCs w:val="22"/>
        </w:rPr>
        <w:t>t a kezelés megszakítása után újrakezdik (lásd 4.4 pont).</w:t>
      </w:r>
    </w:p>
    <w:p w14:paraId="4280704B" w14:textId="77777777" w:rsidR="00E36D26" w:rsidRPr="00D93355" w:rsidRDefault="00E36D26" w:rsidP="00FF7BEF">
      <w:pPr>
        <w:pStyle w:val="Default"/>
        <w:rPr>
          <w:sz w:val="22"/>
          <w:szCs w:val="22"/>
        </w:rPr>
      </w:pPr>
    </w:p>
    <w:p w14:paraId="5460C37D" w14:textId="77777777" w:rsidR="00E36D26" w:rsidRPr="00D93355" w:rsidRDefault="00E36D26" w:rsidP="00FF7BEF">
      <w:pPr>
        <w:keepNext/>
        <w:spacing w:line="240" w:lineRule="auto"/>
        <w:rPr>
          <w:i/>
          <w:u w:val="single"/>
          <w:lang w:val="hu-HU"/>
        </w:rPr>
      </w:pPr>
      <w:r w:rsidRPr="00D93355">
        <w:rPr>
          <w:i/>
          <w:iCs/>
          <w:u w:val="single"/>
          <w:lang w:val="hu-HU"/>
        </w:rPr>
        <w:t>Gyermekek</w:t>
      </w:r>
      <w:r w:rsidR="00D13D72" w:rsidRPr="00D93355">
        <w:rPr>
          <w:i/>
          <w:iCs/>
          <w:u w:val="single"/>
          <w:lang w:val="hu-HU"/>
        </w:rPr>
        <w:t xml:space="preserve"> és serdülők</w:t>
      </w:r>
    </w:p>
    <w:p w14:paraId="1F386EE0" w14:textId="77777777" w:rsidR="00E36D26" w:rsidRPr="00D93355" w:rsidRDefault="00E36D26" w:rsidP="00FF7BEF">
      <w:pPr>
        <w:pStyle w:val="Default"/>
        <w:keepNext/>
        <w:rPr>
          <w:sz w:val="22"/>
          <w:szCs w:val="22"/>
        </w:rPr>
      </w:pPr>
      <w:r w:rsidRPr="00D93355">
        <w:rPr>
          <w:sz w:val="22"/>
          <w:szCs w:val="22"/>
        </w:rPr>
        <w:t xml:space="preserve">A gyermekgyógyászati farmakokinetikai adatok azt mutatták, hogy a </w:t>
      </w:r>
      <w:r w:rsidR="006264FB" w:rsidRPr="00D93355">
        <w:rPr>
          <w:sz w:val="22"/>
          <w:szCs w:val="22"/>
        </w:rPr>
        <w:t>bozentán</w:t>
      </w:r>
      <w:r w:rsidRPr="00D93355">
        <w:rPr>
          <w:sz w:val="22"/>
          <w:szCs w:val="22"/>
        </w:rPr>
        <w:t xml:space="preserve"> plazmakoncentrációja PAH</w:t>
      </w:r>
      <w:r w:rsidRPr="00D93355">
        <w:rPr>
          <w:sz w:val="22"/>
          <w:szCs w:val="22"/>
        </w:rPr>
        <w:noBreakHyphen/>
        <w:t>ban szenvedő, 1</w:t>
      </w:r>
      <w:r w:rsidRPr="00D93355">
        <w:rPr>
          <w:sz w:val="22"/>
          <w:szCs w:val="22"/>
        </w:rPr>
        <w:noBreakHyphen/>
        <w:t xml:space="preserve">15 éves korú gyermekeknél </w:t>
      </w:r>
      <w:r w:rsidR="00AF0621" w:rsidRPr="00D93355">
        <w:rPr>
          <w:sz w:val="22"/>
          <w:szCs w:val="22"/>
        </w:rPr>
        <w:t xml:space="preserve">és serdülőknél </w:t>
      </w:r>
      <w:r w:rsidRPr="00D93355">
        <w:rPr>
          <w:sz w:val="22"/>
          <w:szCs w:val="22"/>
        </w:rPr>
        <w:t xml:space="preserve">általában alacsonyabb volt, mint a felnőtt betegek esetében, és a </w:t>
      </w:r>
      <w:r w:rsidR="006264FB" w:rsidRPr="00D93355">
        <w:rPr>
          <w:sz w:val="22"/>
          <w:szCs w:val="22"/>
        </w:rPr>
        <w:t>bozentán</w:t>
      </w:r>
      <w:r w:rsidRPr="00D93355">
        <w:rPr>
          <w:sz w:val="22"/>
          <w:szCs w:val="22"/>
        </w:rPr>
        <w:t xml:space="preserve"> adagjának naponta kétszer 2 mg/ttkg fölé emelésével, illetve a napi kétszeri adagolási gyakoriság naponta háromszori adagolásra történő emelésével sem nőtt (lásd 5.2 pont). Az adagok vagy az adagolási gyakoriság emelése valószínűleg nem jelent további klinikai előnyöket.</w:t>
      </w:r>
    </w:p>
    <w:p w14:paraId="53024065" w14:textId="77777777" w:rsidR="00E36D26" w:rsidRPr="00D93355" w:rsidRDefault="00E36D26" w:rsidP="00FF7BEF">
      <w:pPr>
        <w:pStyle w:val="Default"/>
        <w:widowControl w:val="0"/>
        <w:rPr>
          <w:sz w:val="22"/>
          <w:szCs w:val="22"/>
        </w:rPr>
      </w:pPr>
      <w:r w:rsidRPr="00D93355">
        <w:rPr>
          <w:sz w:val="22"/>
          <w:szCs w:val="22"/>
        </w:rPr>
        <w:t>Ezen farmakokinetikai eredmények alapján az 1 éves és idősebb, PAH</w:t>
      </w:r>
      <w:r w:rsidRPr="00D93355">
        <w:rPr>
          <w:sz w:val="22"/>
          <w:szCs w:val="22"/>
        </w:rPr>
        <w:noBreakHyphen/>
        <w:t>ban szenvedő gyermekek számára az ajánlott kezdő és fenntartó adag 2 mg/ttkg, reggel és este.</w:t>
      </w:r>
    </w:p>
    <w:p w14:paraId="186D454D" w14:textId="77777777" w:rsidR="00E36D26" w:rsidRDefault="00E36D26" w:rsidP="00FF7BEF">
      <w:pPr>
        <w:pStyle w:val="Default"/>
        <w:rPr>
          <w:sz w:val="22"/>
          <w:szCs w:val="22"/>
        </w:rPr>
      </w:pPr>
      <w:r w:rsidRPr="00D93355">
        <w:rPr>
          <w:sz w:val="22"/>
          <w:szCs w:val="22"/>
        </w:rPr>
        <w:t xml:space="preserve">Újszülöttkori persistens pulmonalis hypertoniában (PPHN) szenvedő újszülötteknél a </w:t>
      </w:r>
      <w:r w:rsidR="006264FB" w:rsidRPr="00D93355">
        <w:rPr>
          <w:sz w:val="22"/>
          <w:szCs w:val="22"/>
        </w:rPr>
        <w:t>bozentán</w:t>
      </w:r>
      <w:r w:rsidRPr="00D93355">
        <w:rPr>
          <w:sz w:val="22"/>
          <w:szCs w:val="22"/>
        </w:rPr>
        <w:t xml:space="preserve"> előnyei nem voltak kimutathatók az általánosan elfogadott kezelés során. Adagolásra vonatkozó ajánlások nem adhatók (lásd 5.1 és 5.2 pont).</w:t>
      </w:r>
    </w:p>
    <w:p w14:paraId="33084FF3" w14:textId="77777777" w:rsidR="00E36D26" w:rsidRPr="00D93355" w:rsidRDefault="00E36D26" w:rsidP="00FF7BEF">
      <w:pPr>
        <w:pStyle w:val="Default"/>
        <w:rPr>
          <w:sz w:val="22"/>
          <w:szCs w:val="22"/>
        </w:rPr>
      </w:pPr>
    </w:p>
    <w:p w14:paraId="60EFE0DC" w14:textId="77777777" w:rsidR="00E36D26" w:rsidRPr="00D93355" w:rsidRDefault="00E36D26" w:rsidP="00FF7BEF">
      <w:pPr>
        <w:pStyle w:val="Default"/>
        <w:keepNext/>
        <w:rPr>
          <w:i/>
          <w:sz w:val="22"/>
          <w:szCs w:val="22"/>
        </w:rPr>
      </w:pPr>
      <w:r w:rsidRPr="00D93355">
        <w:rPr>
          <w:i/>
          <w:iCs/>
          <w:sz w:val="22"/>
          <w:szCs w:val="22"/>
        </w:rPr>
        <w:t>Kezelés a PAH klinikai állapotának romlása esetén</w:t>
      </w:r>
    </w:p>
    <w:p w14:paraId="6D9251FA" w14:textId="77777777" w:rsidR="00E36D26" w:rsidRPr="00D93355" w:rsidRDefault="00E36D26" w:rsidP="00FF7BEF">
      <w:pPr>
        <w:pStyle w:val="Default"/>
        <w:keepNext/>
        <w:rPr>
          <w:sz w:val="22"/>
          <w:szCs w:val="22"/>
        </w:rPr>
      </w:pPr>
    </w:p>
    <w:p w14:paraId="215FDFE7" w14:textId="77777777" w:rsidR="00E36D26" w:rsidRPr="00D93355" w:rsidRDefault="00E36D26" w:rsidP="00FF7BEF">
      <w:pPr>
        <w:pStyle w:val="Default"/>
        <w:rPr>
          <w:sz w:val="22"/>
          <w:szCs w:val="22"/>
        </w:rPr>
      </w:pPr>
      <w:r w:rsidRPr="00D93355">
        <w:rPr>
          <w:sz w:val="22"/>
          <w:szCs w:val="22"/>
        </w:rPr>
        <w:t xml:space="preserve">Amennyiben a klinikai állapot a legalább 8 hetes </w:t>
      </w:r>
      <w:r w:rsidR="00976C72">
        <w:rPr>
          <w:sz w:val="22"/>
          <w:szCs w:val="22"/>
        </w:rPr>
        <w:t>Bosentan Pharmascience</w:t>
      </w:r>
      <w:r w:rsidRPr="00D93355">
        <w:rPr>
          <w:sz w:val="22"/>
          <w:szCs w:val="22"/>
        </w:rPr>
        <w:t>-kezelés (vagyis a fenntartó dózis legalább 4 hétig tartó szedése) ellenére romlik (pl. a 6 perces sétateszt távolságában legalább 10%</w:t>
      </w:r>
      <w:r w:rsidRPr="00D93355">
        <w:rPr>
          <w:sz w:val="22"/>
          <w:szCs w:val="22"/>
        </w:rPr>
        <w:noBreakHyphen/>
        <w:t>os csökkenés mutatkozik a kezelés előtti méréshez viszonyítva), megfontolandó az alternatív terápiák alkalmazása. Egyes esetekben, amikor nem mutatkozik javulás a</w:t>
      </w:r>
      <w:r w:rsidR="00FC1293" w:rsidRPr="00D93355">
        <w:rPr>
          <w:sz w:val="22"/>
          <w:szCs w:val="22"/>
        </w:rPr>
        <w:t xml:space="preserve"> </w:t>
      </w:r>
      <w:r w:rsidR="00976C72">
        <w:rPr>
          <w:sz w:val="22"/>
          <w:szCs w:val="22"/>
        </w:rPr>
        <w:t>Bosentan Pharmascience</w:t>
      </w:r>
      <w:r w:rsidR="00DB46BE" w:rsidRPr="00D93355">
        <w:rPr>
          <w:sz w:val="22"/>
          <w:szCs w:val="22"/>
        </w:rPr>
        <w:t>-</w:t>
      </w:r>
      <w:r w:rsidR="00BA76EA">
        <w:rPr>
          <w:sz w:val="22"/>
          <w:szCs w:val="22"/>
        </w:rPr>
        <w:t>sz</w:t>
      </w:r>
      <w:r w:rsidR="0017208C">
        <w:rPr>
          <w:sz w:val="22"/>
          <w:szCs w:val="22"/>
        </w:rPr>
        <w:t>e</w:t>
      </w:r>
      <w:r w:rsidRPr="00D93355">
        <w:rPr>
          <w:sz w:val="22"/>
          <w:szCs w:val="22"/>
        </w:rPr>
        <w:t>l végzett 8 hetes kezelés után, előfordulhat, hogy további 4 vagy 8 hét adagolás után a beteg kedvezően reagál a terápiára.</w:t>
      </w:r>
    </w:p>
    <w:p w14:paraId="761D72F6" w14:textId="77777777" w:rsidR="00E36D26" w:rsidRPr="00D93355" w:rsidRDefault="00E36D26" w:rsidP="00FF7BEF">
      <w:pPr>
        <w:pStyle w:val="Default"/>
        <w:rPr>
          <w:sz w:val="22"/>
          <w:szCs w:val="22"/>
        </w:rPr>
      </w:pPr>
    </w:p>
    <w:p w14:paraId="62D04399" w14:textId="77777777" w:rsidR="00E36D26" w:rsidRPr="00D93355" w:rsidRDefault="00E36D26" w:rsidP="00FF7BEF">
      <w:pPr>
        <w:pStyle w:val="Default"/>
        <w:rPr>
          <w:sz w:val="22"/>
          <w:szCs w:val="22"/>
        </w:rPr>
      </w:pPr>
      <w:r w:rsidRPr="00D93355">
        <w:rPr>
          <w:sz w:val="22"/>
          <w:szCs w:val="22"/>
        </w:rPr>
        <w:t>Amennyiben a</w:t>
      </w:r>
      <w:r w:rsidR="00FC1293" w:rsidRPr="00D93355">
        <w:rPr>
          <w:sz w:val="22"/>
          <w:szCs w:val="22"/>
        </w:rPr>
        <w:t xml:space="preserve"> </w:t>
      </w:r>
      <w:r w:rsidR="00976C72">
        <w:rPr>
          <w:sz w:val="22"/>
          <w:szCs w:val="22"/>
        </w:rPr>
        <w:t>Bosentan Pharmascience</w:t>
      </w:r>
      <w:r w:rsidRPr="00D93355">
        <w:rPr>
          <w:sz w:val="22"/>
          <w:szCs w:val="22"/>
        </w:rPr>
        <w:noBreakHyphen/>
        <w:t xml:space="preserve">kezelés ellenére (azaz több hónapi kezelés után) a klinikai állapot romlása figyelhető meg, a kezelést felül kell vizsgálni. A naponta kétszer 125 mg </w:t>
      </w:r>
      <w:r w:rsidR="006264FB" w:rsidRPr="00D93355">
        <w:rPr>
          <w:sz w:val="22"/>
          <w:szCs w:val="22"/>
        </w:rPr>
        <w:t>bozentán</w:t>
      </w:r>
      <w:r w:rsidRPr="00D93355">
        <w:rPr>
          <w:sz w:val="22"/>
          <w:szCs w:val="22"/>
        </w:rPr>
        <w:t xml:space="preserve"> dózisra nem reagáló betegek közül néhánynál kismértékben javítható a fizikai terhelhetőség, ha a dózist napi kétszer 250 mg</w:t>
      </w:r>
      <w:r w:rsidRPr="00D93355">
        <w:rPr>
          <w:sz w:val="22"/>
          <w:szCs w:val="22"/>
        </w:rPr>
        <w:noBreakHyphen/>
        <w:t>ra emelik. Az előny/kockázat alapos mérlegelése szükséges, különösen annak ismeretében, hogy a májtoxicitás dózisfüggő (lásd 4.4 és 5.1 pont).</w:t>
      </w:r>
    </w:p>
    <w:p w14:paraId="6ABE24B6" w14:textId="77777777" w:rsidR="00E36D26" w:rsidRPr="00D93355" w:rsidRDefault="00E36D26" w:rsidP="00FF7BEF">
      <w:pPr>
        <w:pStyle w:val="Default"/>
        <w:rPr>
          <w:sz w:val="22"/>
          <w:szCs w:val="22"/>
          <w:u w:val="single"/>
        </w:rPr>
      </w:pPr>
    </w:p>
    <w:p w14:paraId="1B935C0C" w14:textId="77777777" w:rsidR="00E36D26" w:rsidRPr="00D93355" w:rsidRDefault="00E36D26" w:rsidP="00FF7BEF">
      <w:pPr>
        <w:pStyle w:val="Default"/>
        <w:keepNext/>
        <w:rPr>
          <w:i/>
          <w:sz w:val="22"/>
          <w:szCs w:val="22"/>
        </w:rPr>
      </w:pPr>
      <w:r w:rsidRPr="00D93355">
        <w:rPr>
          <w:i/>
          <w:sz w:val="22"/>
          <w:szCs w:val="22"/>
        </w:rPr>
        <w:t>A kezelés leállítása</w:t>
      </w:r>
    </w:p>
    <w:p w14:paraId="7F3EEA7C" w14:textId="77777777" w:rsidR="00E36D26" w:rsidRPr="00D93355" w:rsidRDefault="00E36D26" w:rsidP="00FF7BEF">
      <w:pPr>
        <w:pStyle w:val="Default"/>
        <w:keepNext/>
        <w:rPr>
          <w:sz w:val="22"/>
          <w:szCs w:val="22"/>
        </w:rPr>
      </w:pPr>
    </w:p>
    <w:p w14:paraId="2BB684BE" w14:textId="77777777" w:rsidR="00E36D26" w:rsidRPr="00D93355" w:rsidRDefault="00E36D26" w:rsidP="00FF7BEF">
      <w:pPr>
        <w:pStyle w:val="Default"/>
        <w:keepNext/>
        <w:rPr>
          <w:sz w:val="22"/>
          <w:szCs w:val="22"/>
        </w:rPr>
      </w:pPr>
      <w:r w:rsidRPr="00D93355">
        <w:rPr>
          <w:sz w:val="22"/>
          <w:szCs w:val="22"/>
        </w:rPr>
        <w:t xml:space="preserve">A </w:t>
      </w:r>
      <w:r w:rsidR="006264FB" w:rsidRPr="00D93355">
        <w:rPr>
          <w:sz w:val="22"/>
          <w:szCs w:val="22"/>
        </w:rPr>
        <w:t>bozentán</w:t>
      </w:r>
      <w:r w:rsidRPr="00D93355">
        <w:rPr>
          <w:sz w:val="22"/>
          <w:szCs w:val="22"/>
        </w:rPr>
        <w:t xml:space="preserve"> hirtelen leállításával kapcsolatban csupán korlátozottan állnak rendelkezésre tapasztalatok </w:t>
      </w:r>
      <w:r w:rsidR="0097304A">
        <w:rPr>
          <w:sz w:val="22"/>
          <w:szCs w:val="22"/>
        </w:rPr>
        <w:t>PAH-</w:t>
      </w:r>
      <w:r w:rsidRPr="00D93355">
        <w:rPr>
          <w:sz w:val="22"/>
          <w:szCs w:val="22"/>
        </w:rPr>
        <w:t>ban szenvedő betegeknél. Akut rebound hatásra vonatkozó bizonyítékokat nem figyeltek meg. A lehetséges rebound</w:t>
      </w:r>
      <w:r w:rsidRPr="00D93355">
        <w:rPr>
          <w:sz w:val="22"/>
          <w:szCs w:val="22"/>
        </w:rPr>
        <w:noBreakHyphen/>
        <w:t>hatás káros klinikai következményeinek elkerülése érdekében azonban a dózist fokozatosan kell csökkenteni (a dózis felezésével, 3–7 napon keresztül). A kezelés leállításának ideje alatt fokozott monitorozás javasolt.</w:t>
      </w:r>
    </w:p>
    <w:p w14:paraId="140F43DE" w14:textId="77777777" w:rsidR="00E36D26" w:rsidRPr="00D93355" w:rsidRDefault="00E36D26" w:rsidP="00FF7BEF">
      <w:pPr>
        <w:pStyle w:val="Default"/>
        <w:rPr>
          <w:sz w:val="22"/>
          <w:szCs w:val="22"/>
        </w:rPr>
      </w:pPr>
      <w:r w:rsidRPr="00D93355">
        <w:rPr>
          <w:sz w:val="22"/>
          <w:szCs w:val="22"/>
        </w:rPr>
        <w:t>Amennyiben a</w:t>
      </w:r>
      <w:r w:rsidR="00DC2397">
        <w:rPr>
          <w:sz w:val="22"/>
          <w:szCs w:val="22"/>
        </w:rPr>
        <w:t xml:space="preserve"> </w:t>
      </w:r>
      <w:r w:rsidR="00976C72">
        <w:rPr>
          <w:sz w:val="22"/>
          <w:szCs w:val="22"/>
        </w:rPr>
        <w:t>Bosentan Pharmascience</w:t>
      </w:r>
      <w:r w:rsidRPr="00D93355">
        <w:rPr>
          <w:sz w:val="22"/>
          <w:szCs w:val="22"/>
        </w:rPr>
        <w:t xml:space="preserve"> elhagyásáról döntenek, azt fokozatosan, alternatív kezelés bevezetése mellett kell végrehajtani.</w:t>
      </w:r>
    </w:p>
    <w:p w14:paraId="28AB6322" w14:textId="77777777" w:rsidR="00E36D26" w:rsidRPr="00D93355" w:rsidRDefault="00E36D26" w:rsidP="00FF7BEF">
      <w:pPr>
        <w:pStyle w:val="Default"/>
        <w:rPr>
          <w:b/>
          <w:bCs/>
          <w:i/>
          <w:iCs/>
          <w:sz w:val="22"/>
          <w:szCs w:val="22"/>
        </w:rPr>
      </w:pPr>
    </w:p>
    <w:p w14:paraId="5206CDC4" w14:textId="77777777" w:rsidR="00E36D26" w:rsidRPr="00D93355" w:rsidRDefault="00E36D26" w:rsidP="00FF7BEF">
      <w:pPr>
        <w:keepNext/>
        <w:spacing w:line="240" w:lineRule="auto"/>
        <w:rPr>
          <w:u w:val="single"/>
          <w:lang w:val="hu-HU"/>
        </w:rPr>
      </w:pPr>
      <w:r w:rsidRPr="00D93355">
        <w:rPr>
          <w:rFonts w:eastAsia="TimesNewRoman"/>
          <w:u w:val="single"/>
          <w:lang w:val="hu-HU"/>
        </w:rPr>
        <w:t>Szisztémás sclerosis és fennálló digitalis fekélybetegség</w:t>
      </w:r>
    </w:p>
    <w:p w14:paraId="6A10BDCE" w14:textId="77777777" w:rsidR="00E36D26" w:rsidRPr="00D93355" w:rsidRDefault="00E36D26" w:rsidP="00FF7BEF">
      <w:pPr>
        <w:keepNext/>
        <w:spacing w:line="240" w:lineRule="auto"/>
        <w:rPr>
          <w:lang w:val="hu-HU"/>
        </w:rPr>
      </w:pPr>
    </w:p>
    <w:p w14:paraId="1F4E6D5E" w14:textId="77777777" w:rsidR="00E36D26" w:rsidRPr="00D93355" w:rsidRDefault="00E36D26" w:rsidP="00843F7A">
      <w:pPr>
        <w:pStyle w:val="Default"/>
        <w:keepNext/>
        <w:rPr>
          <w:sz w:val="22"/>
          <w:szCs w:val="22"/>
        </w:rPr>
      </w:pPr>
      <w:r w:rsidRPr="00D93355">
        <w:rPr>
          <w:sz w:val="22"/>
          <w:szCs w:val="22"/>
        </w:rPr>
        <w:t xml:space="preserve">A kezelést kizárólag </w:t>
      </w:r>
      <w:r w:rsidRPr="00D93355">
        <w:rPr>
          <w:rFonts w:eastAsia="TimesNewRoman"/>
          <w:color w:val="auto"/>
          <w:sz w:val="22"/>
          <w:szCs w:val="22"/>
          <w:lang w:eastAsia="en-US"/>
        </w:rPr>
        <w:t>szisztémás sclerosis</w:t>
      </w:r>
      <w:r w:rsidRPr="00D93355">
        <w:rPr>
          <w:sz w:val="22"/>
          <w:szCs w:val="22"/>
        </w:rPr>
        <w:t xml:space="preserve"> kezelésében jártas orvos kezdheti el és monitorozhatja.</w:t>
      </w:r>
    </w:p>
    <w:p w14:paraId="1EC66759" w14:textId="77777777" w:rsidR="00E36D26" w:rsidRDefault="00EE1A00" w:rsidP="00976C72">
      <w:pPr>
        <w:spacing w:line="240" w:lineRule="auto"/>
        <w:rPr>
          <w:lang w:val="hu-HU"/>
        </w:rPr>
      </w:pPr>
      <w:r w:rsidRPr="00976C72">
        <w:rPr>
          <w:lang w:val="hu-HU"/>
        </w:rPr>
        <w:t xml:space="preserve">A Betegfigyelmeztető kártya, ami olyan fontos biztonságossági információkat tartalmaz, amelyekkel a betegeknek tisztában kell lenniük a </w:t>
      </w:r>
      <w:r w:rsidR="00DF6DB3" w:rsidRPr="00976C72">
        <w:rPr>
          <w:lang w:val="hu-HU"/>
        </w:rPr>
        <w:t>bozentán</w:t>
      </w:r>
      <w:r w:rsidRPr="00976C72">
        <w:rPr>
          <w:lang w:val="hu-HU"/>
        </w:rPr>
        <w:t>-kezelés előtt és a kezelés ideje alatt, benne van a csomagolásban.</w:t>
      </w:r>
    </w:p>
    <w:p w14:paraId="3C777DA6" w14:textId="77777777" w:rsidR="00EE1A00" w:rsidRPr="00D93355" w:rsidRDefault="00EE1A00" w:rsidP="00FF7BEF">
      <w:pPr>
        <w:spacing w:line="240" w:lineRule="auto"/>
        <w:rPr>
          <w:lang w:val="hu-HU"/>
        </w:rPr>
      </w:pPr>
    </w:p>
    <w:p w14:paraId="4F1C2B9C" w14:textId="77777777" w:rsidR="00E36D26" w:rsidRPr="00D93355" w:rsidRDefault="00E36D26" w:rsidP="00FF7BEF">
      <w:pPr>
        <w:keepNext/>
        <w:autoSpaceDE w:val="0"/>
        <w:autoSpaceDN w:val="0"/>
        <w:adjustRightInd w:val="0"/>
        <w:spacing w:line="240" w:lineRule="auto"/>
        <w:rPr>
          <w:rFonts w:eastAsia="Calibri"/>
          <w:i/>
          <w:iCs/>
          <w:u w:val="single"/>
          <w:lang w:val="hu-HU"/>
        </w:rPr>
      </w:pPr>
      <w:r w:rsidRPr="00D93355">
        <w:rPr>
          <w:rFonts w:eastAsia="Calibri"/>
          <w:i/>
          <w:iCs/>
          <w:u w:val="single"/>
          <w:lang w:val="hu-HU"/>
        </w:rPr>
        <w:t>Felnőttek</w:t>
      </w:r>
    </w:p>
    <w:p w14:paraId="06C1E581" w14:textId="77777777" w:rsidR="00E36D26" w:rsidRPr="00D93355" w:rsidRDefault="00E36D26" w:rsidP="00FF7BEF">
      <w:pPr>
        <w:keepNext/>
        <w:autoSpaceDE w:val="0"/>
        <w:autoSpaceDN w:val="0"/>
        <w:adjustRightInd w:val="0"/>
        <w:spacing w:line="240" w:lineRule="auto"/>
        <w:rPr>
          <w:rFonts w:eastAsia="TimesNewRoman"/>
          <w:lang w:val="hu-HU"/>
        </w:rPr>
      </w:pPr>
      <w:r w:rsidRPr="00D93355">
        <w:rPr>
          <w:rFonts w:eastAsia="TimesNewRoman"/>
          <w:lang w:val="hu-HU"/>
        </w:rPr>
        <w:t>Felnőtt betegeknél a</w:t>
      </w:r>
      <w:r w:rsidR="00DC2397">
        <w:rPr>
          <w:rFonts w:eastAsia="TimesNewRoman"/>
          <w:lang w:val="hu-HU"/>
        </w:rPr>
        <w:t xml:space="preserve"> </w:t>
      </w:r>
      <w:r w:rsidR="00976C72">
        <w:rPr>
          <w:rFonts w:eastAsia="TimesNewRoman"/>
          <w:lang w:val="hu-HU"/>
        </w:rPr>
        <w:t>Bosentan Pharmascience</w:t>
      </w:r>
      <w:r w:rsidRPr="00D93355">
        <w:rPr>
          <w:rFonts w:eastAsia="TimesNewRoman"/>
          <w:lang w:val="hu-HU"/>
        </w:rPr>
        <w:noBreakHyphen/>
        <w:t>kezelést napi kétszeri 62,5 mg</w:t>
      </w:r>
      <w:r w:rsidRPr="00D93355">
        <w:rPr>
          <w:rFonts w:eastAsia="TimesNewRoman"/>
          <w:lang w:val="hu-HU"/>
        </w:rPr>
        <w:noBreakHyphen/>
        <w:t>os adaggal kell kezdeni 4 héten keresztül, majd napi kétszeri 125 mg fenntartó adagra kell növelni. Ugyanezek a javaslatok vonatkoznak arra az esetre is, ha a</w:t>
      </w:r>
      <w:r w:rsidR="00FC1293" w:rsidRPr="00D93355">
        <w:rPr>
          <w:rFonts w:eastAsia="TimesNewRoman"/>
          <w:lang w:val="hu-HU"/>
        </w:rPr>
        <w:t xml:space="preserve"> </w:t>
      </w:r>
      <w:r w:rsidR="00976C72">
        <w:rPr>
          <w:rFonts w:eastAsia="TimesNewRoman"/>
          <w:lang w:val="hu-HU"/>
        </w:rPr>
        <w:t>Bosentan Pharmascience</w:t>
      </w:r>
      <w:r w:rsidR="004A5089" w:rsidRPr="00D93355">
        <w:rPr>
          <w:rFonts w:eastAsia="TimesNewRoman"/>
          <w:lang w:val="hu-HU"/>
        </w:rPr>
        <w:t>-</w:t>
      </w:r>
      <w:r w:rsidRPr="00D93355">
        <w:rPr>
          <w:rFonts w:eastAsia="TimesNewRoman"/>
          <w:lang w:val="hu-HU"/>
        </w:rPr>
        <w:t xml:space="preserve">t a kezelés megszakítása után újrakezdik </w:t>
      </w:r>
      <w:r w:rsidR="00D05ECE" w:rsidRPr="00D93355">
        <w:rPr>
          <w:rFonts w:eastAsia="TimesNewRoman"/>
          <w:lang w:val="hu-HU"/>
        </w:rPr>
        <w:t xml:space="preserve">adagolni </w:t>
      </w:r>
      <w:r w:rsidRPr="00D93355">
        <w:rPr>
          <w:rFonts w:eastAsia="TimesNewRoman"/>
          <w:lang w:val="hu-HU"/>
        </w:rPr>
        <w:t>(lásd 4.4 pont).</w:t>
      </w:r>
    </w:p>
    <w:p w14:paraId="578E3392" w14:textId="77777777" w:rsidR="00E36D26" w:rsidRPr="00D93355" w:rsidRDefault="00E36D26" w:rsidP="00FF7BEF">
      <w:pPr>
        <w:autoSpaceDE w:val="0"/>
        <w:autoSpaceDN w:val="0"/>
        <w:adjustRightInd w:val="0"/>
        <w:spacing w:line="240" w:lineRule="auto"/>
        <w:rPr>
          <w:rFonts w:eastAsia="TimesNewRoman"/>
          <w:lang w:val="hu-HU"/>
        </w:rPr>
      </w:pPr>
    </w:p>
    <w:p w14:paraId="055D3A3D" w14:textId="77777777" w:rsidR="00E36D26" w:rsidRPr="00D93355" w:rsidRDefault="00E36D26" w:rsidP="00FF7BEF">
      <w:pPr>
        <w:autoSpaceDE w:val="0"/>
        <w:autoSpaceDN w:val="0"/>
        <w:adjustRightInd w:val="0"/>
        <w:spacing w:line="240" w:lineRule="auto"/>
        <w:rPr>
          <w:rFonts w:eastAsia="TimesNewRoman"/>
          <w:lang w:val="hu-HU"/>
        </w:rPr>
      </w:pPr>
      <w:r w:rsidRPr="00D93355">
        <w:rPr>
          <w:rFonts w:eastAsia="TimesNewRoman"/>
          <w:lang w:val="hu-HU"/>
        </w:rPr>
        <w:t>Ebben az indikációban a kontrollos klinikai vizsgálatok tapasztalatai 6 hónapos időtartamra korlátozódnak (lásd 5.1 pont).</w:t>
      </w:r>
    </w:p>
    <w:p w14:paraId="648FF399" w14:textId="77777777" w:rsidR="00E36D26" w:rsidRPr="00D93355" w:rsidRDefault="00E36D26" w:rsidP="00FF7BEF">
      <w:pPr>
        <w:autoSpaceDE w:val="0"/>
        <w:autoSpaceDN w:val="0"/>
        <w:adjustRightInd w:val="0"/>
        <w:spacing w:line="240" w:lineRule="auto"/>
        <w:rPr>
          <w:rFonts w:eastAsia="TimesNewRoman"/>
          <w:lang w:val="hu-HU"/>
        </w:rPr>
      </w:pPr>
    </w:p>
    <w:p w14:paraId="018132B1" w14:textId="77777777" w:rsidR="00E36D26" w:rsidRPr="00D93355" w:rsidRDefault="00E36D26" w:rsidP="00FF7BEF">
      <w:pPr>
        <w:autoSpaceDE w:val="0"/>
        <w:autoSpaceDN w:val="0"/>
        <w:adjustRightInd w:val="0"/>
        <w:spacing w:line="240" w:lineRule="auto"/>
        <w:rPr>
          <w:rFonts w:eastAsia="Calibri"/>
          <w:iCs/>
          <w:lang w:val="hu-HU"/>
        </w:rPr>
      </w:pPr>
      <w:r w:rsidRPr="00D93355">
        <w:rPr>
          <w:rFonts w:eastAsia="TimesNewRoman"/>
          <w:lang w:val="hu-HU"/>
        </w:rPr>
        <w:t xml:space="preserve">A beteg terápiás válaszát és a folyamatos kezelés szükségességét rendszeres időközönként újra kell értékelni. Gondosan mérlegelni kell a kockázatokat és előnyöket, figyelembe véve a </w:t>
      </w:r>
      <w:r w:rsidR="006264FB" w:rsidRPr="00D93355">
        <w:rPr>
          <w:rFonts w:eastAsia="TimesNewRoman"/>
          <w:lang w:val="hu-HU"/>
        </w:rPr>
        <w:t>bozentán</w:t>
      </w:r>
      <w:r w:rsidRPr="00D93355">
        <w:rPr>
          <w:rFonts w:eastAsia="TimesNewRoman"/>
          <w:lang w:val="hu-HU"/>
        </w:rPr>
        <w:t xml:space="preserve"> májtoxicitását (lásd 4.4 és 4.8 pont).</w:t>
      </w:r>
    </w:p>
    <w:p w14:paraId="54825850" w14:textId="77777777" w:rsidR="00E36D26" w:rsidRPr="00D93355" w:rsidRDefault="00E36D26" w:rsidP="00FF7BEF">
      <w:pPr>
        <w:autoSpaceDE w:val="0"/>
        <w:autoSpaceDN w:val="0"/>
        <w:adjustRightInd w:val="0"/>
        <w:spacing w:line="240" w:lineRule="auto"/>
        <w:rPr>
          <w:rFonts w:eastAsia="Calibri"/>
          <w:i/>
          <w:iCs/>
          <w:lang w:val="hu-HU"/>
        </w:rPr>
      </w:pPr>
    </w:p>
    <w:p w14:paraId="2782CEC1" w14:textId="77777777" w:rsidR="00E36D26" w:rsidRPr="00D93355" w:rsidRDefault="00E36D26" w:rsidP="00BA32ED">
      <w:pPr>
        <w:keepNext/>
        <w:widowControl w:val="0"/>
        <w:autoSpaceDE w:val="0"/>
        <w:autoSpaceDN w:val="0"/>
        <w:adjustRightInd w:val="0"/>
        <w:spacing w:line="240" w:lineRule="auto"/>
        <w:rPr>
          <w:rFonts w:eastAsia="Calibri"/>
          <w:i/>
          <w:iCs/>
          <w:u w:val="single"/>
          <w:lang w:val="hu-HU"/>
        </w:rPr>
      </w:pPr>
      <w:r w:rsidRPr="00D93355">
        <w:rPr>
          <w:rFonts w:eastAsia="Calibri"/>
          <w:i/>
          <w:iCs/>
          <w:u w:val="single"/>
          <w:lang w:val="hu-HU"/>
        </w:rPr>
        <w:t>Gyermekek</w:t>
      </w:r>
      <w:r w:rsidR="00D13D72" w:rsidRPr="00D93355">
        <w:rPr>
          <w:rFonts w:eastAsia="Calibri"/>
          <w:i/>
          <w:iCs/>
          <w:u w:val="single"/>
          <w:lang w:val="hu-HU"/>
        </w:rPr>
        <w:t xml:space="preserve"> és serdülők</w:t>
      </w:r>
    </w:p>
    <w:p w14:paraId="60429150" w14:textId="77777777" w:rsidR="00E36D26" w:rsidRPr="00D93355" w:rsidRDefault="00E36D26" w:rsidP="00BA32ED">
      <w:pPr>
        <w:pStyle w:val="Default"/>
        <w:rPr>
          <w:rFonts w:eastAsia="TimesNewRoman"/>
          <w:sz w:val="22"/>
          <w:szCs w:val="22"/>
        </w:rPr>
      </w:pPr>
      <w:r w:rsidRPr="00D93355">
        <w:rPr>
          <w:rFonts w:eastAsia="TimesNewRoman"/>
          <w:sz w:val="22"/>
          <w:szCs w:val="22"/>
        </w:rPr>
        <w:t xml:space="preserve">18 év alatti betegekre vonatkozóan nincsenek biztonságossági és hatásossági adatok. </w:t>
      </w:r>
      <w:r w:rsidR="00976C72">
        <w:rPr>
          <w:rFonts w:eastAsia="TimesNewRoman"/>
          <w:sz w:val="22"/>
          <w:szCs w:val="22"/>
        </w:rPr>
        <w:t>Bosentan Pharmascience</w:t>
      </w:r>
      <w:r w:rsidR="00D322B1" w:rsidRPr="00D93355">
        <w:rPr>
          <w:rFonts w:eastAsia="TimesNewRoman"/>
          <w:sz w:val="22"/>
          <w:szCs w:val="22"/>
        </w:rPr>
        <w:t>-</w:t>
      </w:r>
      <w:r w:rsidR="00BA76EA">
        <w:rPr>
          <w:rFonts w:eastAsia="TimesNewRoman"/>
          <w:sz w:val="22"/>
          <w:szCs w:val="22"/>
        </w:rPr>
        <w:t>sz</w:t>
      </w:r>
      <w:r w:rsidR="00862D48">
        <w:rPr>
          <w:rFonts w:eastAsia="TimesNewRoman"/>
          <w:sz w:val="22"/>
          <w:szCs w:val="22"/>
        </w:rPr>
        <w:t>e</w:t>
      </w:r>
      <w:r w:rsidRPr="00D93355">
        <w:rPr>
          <w:rFonts w:eastAsia="TimesNewRoman"/>
          <w:sz w:val="22"/>
          <w:szCs w:val="22"/>
        </w:rPr>
        <w:t xml:space="preserve">l kapcsolatos farmakokinetikai adatok ebben a betegségben szenvedő </w:t>
      </w:r>
      <w:r w:rsidR="009F76FC">
        <w:rPr>
          <w:rFonts w:eastAsia="TimesNewRoman"/>
          <w:sz w:val="22"/>
          <w:szCs w:val="22"/>
        </w:rPr>
        <w:t>kisebb gyermekekre</w:t>
      </w:r>
      <w:r w:rsidRPr="00D93355">
        <w:rPr>
          <w:rFonts w:eastAsia="TimesNewRoman"/>
          <w:sz w:val="22"/>
          <w:szCs w:val="22"/>
        </w:rPr>
        <w:t xml:space="preserve"> vonatkozóan nem állnak rendelkezésre.</w:t>
      </w:r>
    </w:p>
    <w:p w14:paraId="74CD83AD" w14:textId="77777777" w:rsidR="00E36D26" w:rsidRPr="00D93355" w:rsidRDefault="00E36D26" w:rsidP="00FF7BEF">
      <w:pPr>
        <w:pStyle w:val="Default"/>
        <w:widowControl w:val="0"/>
        <w:rPr>
          <w:rFonts w:eastAsia="TimesNewRoman"/>
          <w:sz w:val="22"/>
          <w:szCs w:val="22"/>
        </w:rPr>
      </w:pPr>
    </w:p>
    <w:p w14:paraId="0B4166FB" w14:textId="77777777" w:rsidR="00E36D26" w:rsidRPr="00D93355" w:rsidRDefault="00E36D26" w:rsidP="00FF7BEF">
      <w:pPr>
        <w:pStyle w:val="Default"/>
        <w:keepNext/>
        <w:rPr>
          <w:sz w:val="22"/>
          <w:szCs w:val="22"/>
          <w:u w:val="single"/>
        </w:rPr>
      </w:pPr>
      <w:r w:rsidRPr="00D93355">
        <w:rPr>
          <w:bCs/>
          <w:iCs/>
          <w:sz w:val="22"/>
          <w:szCs w:val="22"/>
          <w:u w:val="single"/>
        </w:rPr>
        <w:t>Különleges betegcsoportok</w:t>
      </w:r>
    </w:p>
    <w:p w14:paraId="67186AA5" w14:textId="77777777" w:rsidR="00E36D26" w:rsidRPr="00D93355" w:rsidRDefault="00E36D26" w:rsidP="00FF7BEF">
      <w:pPr>
        <w:pStyle w:val="Default"/>
        <w:keepNext/>
        <w:rPr>
          <w:sz w:val="22"/>
          <w:szCs w:val="22"/>
          <w:u w:val="single"/>
        </w:rPr>
      </w:pPr>
    </w:p>
    <w:p w14:paraId="2EC03660" w14:textId="77777777" w:rsidR="00C2581D" w:rsidRDefault="00E36D26" w:rsidP="001C37CD">
      <w:pPr>
        <w:pStyle w:val="Default"/>
        <w:keepNext/>
        <w:rPr>
          <w:i/>
        </w:rPr>
      </w:pPr>
      <w:r w:rsidRPr="00D93355">
        <w:rPr>
          <w:i/>
          <w:sz w:val="22"/>
          <w:szCs w:val="22"/>
        </w:rPr>
        <w:t>Májkárosodás</w:t>
      </w:r>
    </w:p>
    <w:p w14:paraId="1EF2D313" w14:textId="77777777" w:rsidR="00E36D26" w:rsidRPr="00D93355" w:rsidRDefault="00E36D26" w:rsidP="001C37CD">
      <w:pPr>
        <w:pStyle w:val="Default"/>
        <w:keepNext/>
      </w:pPr>
    </w:p>
    <w:p w14:paraId="64983D57" w14:textId="77777777" w:rsidR="00E36D26" w:rsidRPr="00D93355" w:rsidRDefault="00E36D26" w:rsidP="00FF7BEF">
      <w:pPr>
        <w:keepNext/>
        <w:tabs>
          <w:tab w:val="clear" w:pos="567"/>
          <w:tab w:val="left" w:pos="0"/>
        </w:tabs>
        <w:spacing w:line="240" w:lineRule="auto"/>
        <w:outlineLvl w:val="0"/>
        <w:rPr>
          <w:lang w:val="hu-HU"/>
        </w:rPr>
      </w:pPr>
      <w:r w:rsidRPr="00D93355">
        <w:rPr>
          <w:lang w:val="hu-HU"/>
        </w:rPr>
        <w:t xml:space="preserve">A </w:t>
      </w:r>
      <w:r w:rsidR="006264FB" w:rsidRPr="00D93355">
        <w:rPr>
          <w:lang w:val="hu-HU"/>
        </w:rPr>
        <w:t>bozentán</w:t>
      </w:r>
      <w:r w:rsidRPr="00D93355">
        <w:rPr>
          <w:lang w:val="hu-HU"/>
        </w:rPr>
        <w:t xml:space="preserve"> ellenjavallt közepesen súlyos és súlyos májműködési zavarban szenvedő betegeknél (lásd 4.3, 4.4 és 5.2 pont).</w:t>
      </w:r>
      <w:r w:rsidR="00394444" w:rsidRPr="00D93355">
        <w:rPr>
          <w:lang w:val="hu-HU"/>
        </w:rPr>
        <w:t xml:space="preserve"> </w:t>
      </w:r>
      <w:r w:rsidRPr="00D93355">
        <w:rPr>
          <w:lang w:val="hu-HU"/>
        </w:rPr>
        <w:t>Enyhe májkárosodásban (azaz Child</w:t>
      </w:r>
      <w:r w:rsidRPr="00D93355">
        <w:rPr>
          <w:lang w:val="hu-HU"/>
        </w:rPr>
        <w:noBreakHyphen/>
        <w:t>Pugh A stádiumban) nincs szükség dózismódosításra (lásd 5.2 pont).</w:t>
      </w:r>
    </w:p>
    <w:p w14:paraId="3F7630B6" w14:textId="77777777" w:rsidR="00E36D26" w:rsidRPr="00D93355" w:rsidRDefault="00E36D26" w:rsidP="00FF7BEF">
      <w:pPr>
        <w:tabs>
          <w:tab w:val="clear" w:pos="567"/>
          <w:tab w:val="left" w:pos="0"/>
        </w:tabs>
        <w:spacing w:line="240" w:lineRule="auto"/>
        <w:outlineLvl w:val="0"/>
        <w:rPr>
          <w:lang w:val="hu-HU"/>
        </w:rPr>
      </w:pPr>
    </w:p>
    <w:p w14:paraId="3437847E" w14:textId="77777777" w:rsidR="00E36D26" w:rsidRPr="00D93355" w:rsidRDefault="00E36D26" w:rsidP="00FF7BEF">
      <w:pPr>
        <w:pStyle w:val="Default"/>
        <w:keepNext/>
        <w:rPr>
          <w:i/>
          <w:sz w:val="22"/>
          <w:szCs w:val="22"/>
        </w:rPr>
      </w:pPr>
      <w:r w:rsidRPr="00D93355">
        <w:rPr>
          <w:i/>
          <w:sz w:val="22"/>
          <w:szCs w:val="22"/>
        </w:rPr>
        <w:t>Vesekárosodás</w:t>
      </w:r>
    </w:p>
    <w:p w14:paraId="50E2AF76" w14:textId="77777777" w:rsidR="00E36D26" w:rsidRPr="00D93355" w:rsidRDefault="00E36D26" w:rsidP="00FF7BEF">
      <w:pPr>
        <w:pStyle w:val="Default"/>
        <w:keepNext/>
        <w:rPr>
          <w:sz w:val="22"/>
          <w:szCs w:val="22"/>
        </w:rPr>
      </w:pPr>
    </w:p>
    <w:p w14:paraId="23722BF8" w14:textId="77777777" w:rsidR="00E36D26" w:rsidRPr="00D93355" w:rsidRDefault="00E36D26" w:rsidP="00FF7BEF">
      <w:pPr>
        <w:pStyle w:val="Default"/>
        <w:keepNext/>
        <w:rPr>
          <w:sz w:val="22"/>
          <w:szCs w:val="22"/>
        </w:rPr>
      </w:pPr>
      <w:r w:rsidRPr="00D93355">
        <w:rPr>
          <w:sz w:val="22"/>
          <w:szCs w:val="22"/>
        </w:rPr>
        <w:t>Vesekárosodásban szenvedő betegeknél nincs szükség dózismódosításra. A dózist dialízis</w:t>
      </w:r>
      <w:r w:rsidRPr="00D93355">
        <w:rPr>
          <w:sz w:val="22"/>
          <w:szCs w:val="22"/>
        </w:rPr>
        <w:noBreakHyphen/>
        <w:t>kezelésben részesülő betegeknél sem kell módosítani (lásd 5.2 pont).</w:t>
      </w:r>
    </w:p>
    <w:p w14:paraId="6E0D845C" w14:textId="77777777" w:rsidR="00E36D26" w:rsidRPr="00D93355" w:rsidRDefault="00E36D26" w:rsidP="00FF7BEF">
      <w:pPr>
        <w:pStyle w:val="Default"/>
        <w:rPr>
          <w:sz w:val="22"/>
          <w:szCs w:val="22"/>
          <w:u w:val="single"/>
        </w:rPr>
      </w:pPr>
    </w:p>
    <w:p w14:paraId="179BB144" w14:textId="77777777" w:rsidR="00E36D26" w:rsidRPr="00D93355" w:rsidRDefault="00E36D26" w:rsidP="00FF7BEF">
      <w:pPr>
        <w:pStyle w:val="Default"/>
        <w:keepNext/>
        <w:rPr>
          <w:i/>
          <w:sz w:val="22"/>
          <w:szCs w:val="22"/>
        </w:rPr>
      </w:pPr>
      <w:r w:rsidRPr="00D93355">
        <w:rPr>
          <w:i/>
          <w:sz w:val="22"/>
          <w:szCs w:val="22"/>
        </w:rPr>
        <w:t>Idősek</w:t>
      </w:r>
    </w:p>
    <w:p w14:paraId="4AEC2A49" w14:textId="77777777" w:rsidR="00E36D26" w:rsidRPr="00D93355" w:rsidRDefault="00E36D26" w:rsidP="00FF7BEF">
      <w:pPr>
        <w:keepNext/>
        <w:tabs>
          <w:tab w:val="clear" w:pos="567"/>
          <w:tab w:val="left" w:pos="0"/>
        </w:tabs>
        <w:spacing w:line="240" w:lineRule="auto"/>
        <w:outlineLvl w:val="0"/>
        <w:rPr>
          <w:lang w:val="hu-HU"/>
        </w:rPr>
      </w:pPr>
    </w:p>
    <w:p w14:paraId="611F0F47" w14:textId="77777777" w:rsidR="00E36D26" w:rsidRPr="00D93355" w:rsidRDefault="00E36D26" w:rsidP="00FF7BEF">
      <w:pPr>
        <w:keepNext/>
        <w:tabs>
          <w:tab w:val="clear" w:pos="567"/>
          <w:tab w:val="left" w:pos="0"/>
        </w:tabs>
        <w:spacing w:line="240" w:lineRule="auto"/>
        <w:outlineLvl w:val="0"/>
        <w:rPr>
          <w:lang w:val="hu-HU"/>
        </w:rPr>
      </w:pPr>
      <w:r w:rsidRPr="00D93355">
        <w:rPr>
          <w:lang w:val="hu-HU"/>
        </w:rPr>
        <w:t>65 év feletti betegeknél nincs szükség a dózis módosítására.</w:t>
      </w:r>
    </w:p>
    <w:p w14:paraId="7F9A120C" w14:textId="77777777" w:rsidR="00773A81" w:rsidRPr="00D93355" w:rsidRDefault="00773A81" w:rsidP="00FF7BEF">
      <w:pPr>
        <w:keepNext/>
        <w:tabs>
          <w:tab w:val="clear" w:pos="567"/>
          <w:tab w:val="left" w:pos="0"/>
        </w:tabs>
        <w:spacing w:line="240" w:lineRule="auto"/>
        <w:outlineLvl w:val="0"/>
        <w:rPr>
          <w:b/>
          <w:bCs/>
          <w:lang w:val="hu-HU"/>
        </w:rPr>
      </w:pPr>
    </w:p>
    <w:p w14:paraId="54B34ED8" w14:textId="77777777" w:rsidR="00E36D26" w:rsidRPr="00D93355" w:rsidRDefault="00E36D26" w:rsidP="00FF7BEF">
      <w:pPr>
        <w:keepNext/>
        <w:tabs>
          <w:tab w:val="clear" w:pos="567"/>
        </w:tabs>
        <w:spacing w:line="240" w:lineRule="auto"/>
        <w:ind w:left="567" w:hanging="567"/>
        <w:outlineLvl w:val="0"/>
        <w:rPr>
          <w:b/>
          <w:bCs/>
          <w:lang w:val="hu-HU"/>
        </w:rPr>
      </w:pPr>
      <w:r w:rsidRPr="00D93355">
        <w:rPr>
          <w:b/>
          <w:bCs/>
          <w:lang w:val="hu-HU"/>
        </w:rPr>
        <w:t>4.3</w:t>
      </w:r>
      <w:r w:rsidRPr="00D93355">
        <w:rPr>
          <w:b/>
          <w:bCs/>
          <w:lang w:val="hu-HU"/>
        </w:rPr>
        <w:tab/>
        <w:t>Ellenjavallatok</w:t>
      </w:r>
    </w:p>
    <w:p w14:paraId="7DE4914D" w14:textId="77777777" w:rsidR="00E36D26" w:rsidRPr="00D93355" w:rsidRDefault="00E36D26" w:rsidP="00FF7BEF">
      <w:pPr>
        <w:keepNext/>
        <w:spacing w:line="240" w:lineRule="auto"/>
        <w:rPr>
          <w:lang w:val="hu-HU"/>
        </w:rPr>
      </w:pPr>
    </w:p>
    <w:p w14:paraId="44A73933" w14:textId="77777777" w:rsidR="00E36D26" w:rsidRPr="00D93355" w:rsidRDefault="00E36D26" w:rsidP="00FF7BEF">
      <w:pPr>
        <w:pStyle w:val="Listaszerbekezds"/>
        <w:keepNext/>
        <w:numPr>
          <w:ilvl w:val="0"/>
          <w:numId w:val="23"/>
        </w:numPr>
        <w:tabs>
          <w:tab w:val="clear" w:pos="567"/>
        </w:tabs>
        <w:spacing w:line="240" w:lineRule="auto"/>
        <w:ind w:left="567" w:hanging="567"/>
        <w:rPr>
          <w:lang w:val="hu-HU"/>
        </w:rPr>
      </w:pPr>
      <w:r w:rsidRPr="00D93355">
        <w:rPr>
          <w:lang w:val="hu-HU"/>
        </w:rPr>
        <w:t>A készítmény hatóanyagával vagy a 6.1 pontban felsorolt bármely segédanyagával szembeni túlérzékenység.</w:t>
      </w:r>
    </w:p>
    <w:p w14:paraId="5E4A27AD" w14:textId="77777777" w:rsidR="00E36D26" w:rsidRPr="00D93355" w:rsidRDefault="00E36D26" w:rsidP="00FF7BEF">
      <w:pPr>
        <w:pStyle w:val="Listaszerbekezds"/>
        <w:keepNext/>
        <w:numPr>
          <w:ilvl w:val="0"/>
          <w:numId w:val="23"/>
        </w:numPr>
        <w:tabs>
          <w:tab w:val="clear" w:pos="567"/>
        </w:tabs>
        <w:spacing w:line="240" w:lineRule="auto"/>
        <w:ind w:left="567" w:hanging="567"/>
        <w:rPr>
          <w:lang w:val="hu-HU"/>
        </w:rPr>
      </w:pPr>
      <w:r w:rsidRPr="00D93355">
        <w:rPr>
          <w:lang w:val="hu-HU"/>
        </w:rPr>
        <w:t>Közepesen súlyos vagy súlyos, vagyis Child-Pugh B vagy C stádiumú májkárosodás (lásd 5.2 pont).</w:t>
      </w:r>
    </w:p>
    <w:p w14:paraId="5DE102FE" w14:textId="77777777" w:rsidR="00E36D26" w:rsidRPr="00D93355" w:rsidRDefault="00E36D26" w:rsidP="00FF7BEF">
      <w:pPr>
        <w:pStyle w:val="Listaszerbekezds"/>
        <w:keepNext/>
        <w:numPr>
          <w:ilvl w:val="0"/>
          <w:numId w:val="23"/>
        </w:numPr>
        <w:tabs>
          <w:tab w:val="clear" w:pos="567"/>
        </w:tabs>
        <w:spacing w:line="240" w:lineRule="auto"/>
        <w:ind w:left="567" w:hanging="567"/>
        <w:rPr>
          <w:lang w:val="hu-HU"/>
        </w:rPr>
      </w:pPr>
      <w:r w:rsidRPr="00D93355">
        <w:rPr>
          <w:lang w:val="hu-HU"/>
        </w:rPr>
        <w:t xml:space="preserve">A normál érték felső határának </w:t>
      </w:r>
      <w:r w:rsidR="00AD686B">
        <w:rPr>
          <w:lang w:val="hu-HU"/>
        </w:rPr>
        <w:t>(</w:t>
      </w:r>
      <w:r w:rsidR="00D05846">
        <w:rPr>
          <w:lang w:val="hu-HU"/>
        </w:rPr>
        <w:t>N</w:t>
      </w:r>
      <w:r w:rsidR="00AD686B">
        <w:rPr>
          <w:lang w:val="hu-HU"/>
        </w:rPr>
        <w:t>FH</w:t>
      </w:r>
      <w:r w:rsidR="00D05846">
        <w:rPr>
          <w:lang w:val="hu-HU"/>
        </w:rPr>
        <w:t xml:space="preserve">) </w:t>
      </w:r>
      <w:r w:rsidRPr="00D93355">
        <w:rPr>
          <w:lang w:val="hu-HU"/>
        </w:rPr>
        <w:t>háromszorosát meghaladó kiindulási máj aminotranszferáz</w:t>
      </w:r>
      <w:r w:rsidRPr="00D93355">
        <w:rPr>
          <w:lang w:val="hu-HU"/>
        </w:rPr>
        <w:noBreakHyphen/>
        <w:t>, azaz aszpartát</w:t>
      </w:r>
      <w:r w:rsidRPr="00D93355">
        <w:rPr>
          <w:lang w:val="hu-HU"/>
        </w:rPr>
        <w:noBreakHyphen/>
        <w:t>aminotranszferáz</w:t>
      </w:r>
      <w:r w:rsidRPr="00D93355">
        <w:rPr>
          <w:lang w:val="hu-HU"/>
        </w:rPr>
        <w:noBreakHyphen/>
        <w:t xml:space="preserve"> (AS</w:t>
      </w:r>
      <w:r w:rsidR="00D13D72" w:rsidRPr="00D93355">
        <w:rPr>
          <w:lang w:val="hu-HU"/>
        </w:rPr>
        <w:t>A</w:t>
      </w:r>
      <w:r w:rsidRPr="00D93355">
        <w:rPr>
          <w:lang w:val="hu-HU"/>
        </w:rPr>
        <w:t>T) és/vagy alanin</w:t>
      </w:r>
      <w:r w:rsidRPr="00D93355">
        <w:rPr>
          <w:lang w:val="hu-HU"/>
        </w:rPr>
        <w:noBreakHyphen/>
        <w:t>aminotranszferáz</w:t>
      </w:r>
      <w:r w:rsidRPr="00D93355">
        <w:rPr>
          <w:lang w:val="hu-HU"/>
        </w:rPr>
        <w:noBreakHyphen/>
        <w:t xml:space="preserve"> (AL</w:t>
      </w:r>
      <w:r w:rsidR="00D13D72" w:rsidRPr="00D93355">
        <w:rPr>
          <w:lang w:val="hu-HU"/>
        </w:rPr>
        <w:t>A</w:t>
      </w:r>
      <w:r w:rsidRPr="00D93355">
        <w:rPr>
          <w:lang w:val="hu-HU"/>
        </w:rPr>
        <w:t>T) szintek (lásd 4.4 pont).</w:t>
      </w:r>
    </w:p>
    <w:p w14:paraId="1C3CC0BD" w14:textId="77777777" w:rsidR="00E36D26" w:rsidRPr="00D93355" w:rsidRDefault="00E36D26" w:rsidP="00FF7BEF">
      <w:pPr>
        <w:pStyle w:val="Listaszerbekezds"/>
        <w:keepNext/>
        <w:numPr>
          <w:ilvl w:val="0"/>
          <w:numId w:val="23"/>
        </w:numPr>
        <w:tabs>
          <w:tab w:val="clear" w:pos="567"/>
        </w:tabs>
        <w:spacing w:line="240" w:lineRule="auto"/>
        <w:ind w:left="567" w:hanging="567"/>
        <w:rPr>
          <w:lang w:val="hu-HU"/>
        </w:rPr>
      </w:pPr>
      <w:r w:rsidRPr="00D93355">
        <w:rPr>
          <w:lang w:val="hu-HU"/>
        </w:rPr>
        <w:t>Ciklosporin A egyidejű alkalmazása (lásd 4.5 pont).</w:t>
      </w:r>
    </w:p>
    <w:p w14:paraId="61BACCCE" w14:textId="77777777" w:rsidR="00E36D26" w:rsidRPr="00D93355" w:rsidRDefault="00E36D26" w:rsidP="00FF7BEF">
      <w:pPr>
        <w:pStyle w:val="Listaszerbekezds"/>
        <w:keepNext/>
        <w:numPr>
          <w:ilvl w:val="0"/>
          <w:numId w:val="23"/>
        </w:numPr>
        <w:tabs>
          <w:tab w:val="clear" w:pos="567"/>
        </w:tabs>
        <w:spacing w:line="240" w:lineRule="auto"/>
        <w:ind w:left="567" w:hanging="567"/>
        <w:rPr>
          <w:lang w:val="hu-HU"/>
        </w:rPr>
      </w:pPr>
      <w:r w:rsidRPr="00D93355">
        <w:rPr>
          <w:lang w:val="hu-HU"/>
        </w:rPr>
        <w:t>Terhesség (lásd 4.4 és 4.6 pont).</w:t>
      </w:r>
    </w:p>
    <w:p w14:paraId="564FD2E0" w14:textId="77777777" w:rsidR="00E36D26" w:rsidRPr="00D93355" w:rsidRDefault="00B65041" w:rsidP="00FF7BEF">
      <w:pPr>
        <w:pStyle w:val="Listaszerbekezds"/>
        <w:keepNext/>
        <w:numPr>
          <w:ilvl w:val="0"/>
          <w:numId w:val="23"/>
        </w:numPr>
        <w:tabs>
          <w:tab w:val="clear" w:pos="567"/>
        </w:tabs>
        <w:spacing w:line="240" w:lineRule="auto"/>
        <w:ind w:left="567" w:hanging="567"/>
        <w:rPr>
          <w:lang w:val="hu-HU"/>
        </w:rPr>
      </w:pPr>
      <w:r w:rsidRPr="00D93355">
        <w:rPr>
          <w:lang w:val="hu-HU"/>
        </w:rPr>
        <w:t>F</w:t>
      </w:r>
      <w:r w:rsidR="00E36D26" w:rsidRPr="00D93355">
        <w:rPr>
          <w:lang w:val="hu-HU"/>
        </w:rPr>
        <w:t xml:space="preserve">ogamzóképes nőknél, akik nem alkalmaznak </w:t>
      </w:r>
      <w:r w:rsidR="009F76FC">
        <w:rPr>
          <w:lang w:val="hu-HU"/>
        </w:rPr>
        <w:t>megbízható</w:t>
      </w:r>
      <w:r w:rsidR="00E36D26" w:rsidRPr="00D93355">
        <w:rPr>
          <w:lang w:val="hu-HU"/>
        </w:rPr>
        <w:t xml:space="preserve"> fogamzásgátló módszereket (lásd 4.4, 4.5 és 4.6 pont).</w:t>
      </w:r>
    </w:p>
    <w:p w14:paraId="4F59C59F" w14:textId="77777777" w:rsidR="00E36D26" w:rsidRPr="00D93355" w:rsidRDefault="00E36D26" w:rsidP="00FF7BEF">
      <w:pPr>
        <w:pStyle w:val="Listaszerbekezds"/>
        <w:keepNext/>
        <w:tabs>
          <w:tab w:val="clear" w:pos="567"/>
        </w:tabs>
        <w:spacing w:line="240" w:lineRule="auto"/>
        <w:ind w:left="0"/>
        <w:rPr>
          <w:lang w:val="hu-HU"/>
        </w:rPr>
      </w:pPr>
    </w:p>
    <w:p w14:paraId="41FF5455" w14:textId="77777777" w:rsidR="00E36D26" w:rsidRPr="00D93355" w:rsidRDefault="00E36D26" w:rsidP="00FF7BEF">
      <w:pPr>
        <w:keepNext/>
        <w:tabs>
          <w:tab w:val="clear" w:pos="567"/>
        </w:tabs>
        <w:spacing w:line="240" w:lineRule="auto"/>
        <w:ind w:left="567" w:hanging="567"/>
        <w:outlineLvl w:val="0"/>
        <w:rPr>
          <w:b/>
          <w:bCs/>
          <w:lang w:val="hu-HU"/>
        </w:rPr>
      </w:pPr>
      <w:r w:rsidRPr="00D93355">
        <w:rPr>
          <w:b/>
          <w:bCs/>
          <w:lang w:val="hu-HU"/>
        </w:rPr>
        <w:t>4.4</w:t>
      </w:r>
      <w:r w:rsidRPr="00D93355">
        <w:rPr>
          <w:b/>
          <w:bCs/>
          <w:lang w:val="hu-HU"/>
        </w:rPr>
        <w:tab/>
        <w:t>Különleges figyelmeztetések és az alkalmazással kapcsolatos óvintézkedések</w:t>
      </w:r>
    </w:p>
    <w:p w14:paraId="7B53061C" w14:textId="77777777" w:rsidR="00E36D26" w:rsidRPr="00D93355" w:rsidRDefault="00E36D26" w:rsidP="00FF7BEF">
      <w:pPr>
        <w:keepNext/>
        <w:spacing w:line="240" w:lineRule="auto"/>
        <w:rPr>
          <w:lang w:val="hu-HU"/>
        </w:rPr>
      </w:pPr>
    </w:p>
    <w:p w14:paraId="3B1E5A15" w14:textId="77777777" w:rsidR="00E36D26" w:rsidRPr="00D93355" w:rsidRDefault="00E36D26" w:rsidP="00FF7BEF">
      <w:pPr>
        <w:pStyle w:val="Default"/>
        <w:keepNext/>
        <w:rPr>
          <w:sz w:val="22"/>
          <w:szCs w:val="22"/>
        </w:rPr>
      </w:pPr>
      <w:r w:rsidRPr="00CA1C50">
        <w:rPr>
          <w:sz w:val="22"/>
          <w:szCs w:val="22"/>
        </w:rPr>
        <w:t>A</w:t>
      </w:r>
      <w:r w:rsidR="00FC1293" w:rsidRPr="00CA1C50">
        <w:rPr>
          <w:sz w:val="22"/>
          <w:szCs w:val="22"/>
        </w:rPr>
        <w:t xml:space="preserve"> </w:t>
      </w:r>
      <w:r w:rsidR="00976C72" w:rsidRPr="00CA1C50">
        <w:rPr>
          <w:sz w:val="22"/>
          <w:szCs w:val="22"/>
        </w:rPr>
        <w:t>Bosentan Pharmascience</w:t>
      </w:r>
      <w:r w:rsidRPr="00CA1C50">
        <w:rPr>
          <w:sz w:val="22"/>
          <w:szCs w:val="22"/>
        </w:rPr>
        <w:t xml:space="preserve"> hatásosságát súlyos </w:t>
      </w:r>
      <w:r w:rsidR="00D520FA" w:rsidRPr="00CA1C50">
        <w:rPr>
          <w:sz w:val="22"/>
          <w:szCs w:val="22"/>
        </w:rPr>
        <w:t>PAH-</w:t>
      </w:r>
      <w:r w:rsidRPr="00CA1C50">
        <w:rPr>
          <w:sz w:val="22"/>
          <w:szCs w:val="22"/>
        </w:rPr>
        <w:t>ban szenvedő betegeknél nem igazolták. A</w:t>
      </w:r>
      <w:r w:rsidRPr="00D93355">
        <w:rPr>
          <w:sz w:val="22"/>
          <w:szCs w:val="22"/>
        </w:rPr>
        <w:t xml:space="preserve"> klinikai állapot romlása esetén meg kell fontolni a betegség súlyos stádiumában javasolt terápiára (pl. epoprosztenol) való áttérést (lásd 4.2 pont).</w:t>
      </w:r>
    </w:p>
    <w:p w14:paraId="16729F7D" w14:textId="77777777" w:rsidR="00E36D26" w:rsidRPr="00D93355" w:rsidRDefault="00E36D26" w:rsidP="00FF7BEF">
      <w:pPr>
        <w:pStyle w:val="Default"/>
        <w:rPr>
          <w:sz w:val="22"/>
          <w:szCs w:val="22"/>
        </w:rPr>
      </w:pPr>
    </w:p>
    <w:p w14:paraId="465D394E" w14:textId="77777777" w:rsidR="00E36D26" w:rsidRPr="00D93355" w:rsidRDefault="00E36D26" w:rsidP="00FF7BEF">
      <w:pPr>
        <w:pStyle w:val="Default"/>
        <w:rPr>
          <w:sz w:val="22"/>
          <w:szCs w:val="22"/>
        </w:rPr>
      </w:pPr>
      <w:r w:rsidRPr="00D93355">
        <w:rPr>
          <w:sz w:val="22"/>
          <w:szCs w:val="22"/>
        </w:rPr>
        <w:lastRenderedPageBreak/>
        <w:t xml:space="preserve">A </w:t>
      </w:r>
      <w:r w:rsidR="006264FB" w:rsidRPr="00D93355">
        <w:rPr>
          <w:sz w:val="22"/>
          <w:szCs w:val="22"/>
        </w:rPr>
        <w:t>bozentán</w:t>
      </w:r>
      <w:r w:rsidRPr="00D93355">
        <w:rPr>
          <w:sz w:val="22"/>
          <w:szCs w:val="22"/>
        </w:rPr>
        <w:t xml:space="preserve"> előny/kockázat arányát nem határozták meg a WHO I. funkcionális stádiumú </w:t>
      </w:r>
      <w:r w:rsidR="00731B3D">
        <w:rPr>
          <w:sz w:val="22"/>
          <w:szCs w:val="22"/>
        </w:rPr>
        <w:t>PAH-</w:t>
      </w:r>
      <w:r w:rsidRPr="00D93355">
        <w:rPr>
          <w:sz w:val="22"/>
          <w:szCs w:val="22"/>
        </w:rPr>
        <w:t>ban szenvedő betegeknél.</w:t>
      </w:r>
    </w:p>
    <w:p w14:paraId="016C3656" w14:textId="77777777" w:rsidR="00E36D26" w:rsidRPr="00D93355" w:rsidRDefault="00E36D26" w:rsidP="00FF7BEF">
      <w:pPr>
        <w:spacing w:line="240" w:lineRule="auto"/>
        <w:rPr>
          <w:lang w:val="hu-HU"/>
        </w:rPr>
      </w:pPr>
    </w:p>
    <w:p w14:paraId="2F6D4248" w14:textId="77777777" w:rsidR="00E36D26" w:rsidRPr="00D93355" w:rsidRDefault="00E36D26" w:rsidP="00FF7BEF">
      <w:pPr>
        <w:spacing w:line="240" w:lineRule="auto"/>
        <w:rPr>
          <w:lang w:val="hu-HU"/>
        </w:rPr>
      </w:pPr>
      <w:r w:rsidRPr="00D93355">
        <w:rPr>
          <w:lang w:val="hu-HU"/>
        </w:rPr>
        <w:t>A</w:t>
      </w:r>
      <w:r w:rsidR="00FC1293" w:rsidRPr="00D93355">
        <w:rPr>
          <w:lang w:val="hu-HU"/>
        </w:rPr>
        <w:t xml:space="preserve"> </w:t>
      </w:r>
      <w:r w:rsidR="00976C72">
        <w:rPr>
          <w:lang w:val="hu-HU"/>
        </w:rPr>
        <w:t>Bosentan Pharmascience</w:t>
      </w:r>
      <w:r w:rsidRPr="00D93355">
        <w:rPr>
          <w:lang w:val="hu-HU"/>
        </w:rPr>
        <w:noBreakHyphen/>
        <w:t>kezelést csak akkor szabad elkezdeni, ha a szisztémás s</w:t>
      </w:r>
      <w:r w:rsidR="004B183A" w:rsidRPr="00D93355">
        <w:rPr>
          <w:lang w:val="hu-HU"/>
        </w:rPr>
        <w:t>y</w:t>
      </w:r>
      <w:r w:rsidRPr="00D93355">
        <w:rPr>
          <w:lang w:val="hu-HU"/>
        </w:rPr>
        <w:t>stolés vérnyomás magasabb mint 85 Hgmm.</w:t>
      </w:r>
    </w:p>
    <w:p w14:paraId="0D94911D" w14:textId="77777777" w:rsidR="00E36D26" w:rsidRPr="00D93355" w:rsidRDefault="00E36D26" w:rsidP="00FF7BEF">
      <w:pPr>
        <w:spacing w:line="240" w:lineRule="auto"/>
        <w:rPr>
          <w:lang w:val="hu-HU"/>
        </w:rPr>
      </w:pPr>
    </w:p>
    <w:p w14:paraId="178FB30F" w14:textId="77777777" w:rsidR="00E36D26" w:rsidRPr="00D93355" w:rsidRDefault="00E36D26" w:rsidP="00FF7BEF">
      <w:pPr>
        <w:spacing w:line="240" w:lineRule="auto"/>
        <w:rPr>
          <w:lang w:val="hu-HU"/>
        </w:rPr>
      </w:pPr>
      <w:r w:rsidRPr="00D93355">
        <w:rPr>
          <w:lang w:val="hu-HU"/>
        </w:rPr>
        <w:t>A</w:t>
      </w:r>
      <w:r w:rsidR="00FC1293" w:rsidRPr="00D93355">
        <w:rPr>
          <w:lang w:val="hu-HU"/>
        </w:rPr>
        <w:t xml:space="preserve"> </w:t>
      </w:r>
      <w:r w:rsidR="00976C72">
        <w:rPr>
          <w:lang w:val="hu-HU"/>
        </w:rPr>
        <w:t>Bosentan Pharmascience</w:t>
      </w:r>
      <w:r w:rsidR="002003D8" w:rsidRPr="00D93355">
        <w:rPr>
          <w:lang w:val="hu-HU"/>
        </w:rPr>
        <w:t>-</w:t>
      </w:r>
      <w:r w:rsidRPr="00D93355">
        <w:rPr>
          <w:lang w:val="hu-HU"/>
        </w:rPr>
        <w:t>r</w:t>
      </w:r>
      <w:r w:rsidR="00BA76EA">
        <w:rPr>
          <w:lang w:val="hu-HU"/>
        </w:rPr>
        <w:t>ő</w:t>
      </w:r>
      <w:r w:rsidRPr="00D93355">
        <w:rPr>
          <w:lang w:val="hu-HU"/>
        </w:rPr>
        <w:t>l nem mutatták ki, hogy előnyös hatása lenne a meglévő digitalis fekélybetegség gyógyulására.</w:t>
      </w:r>
    </w:p>
    <w:p w14:paraId="7ED4F40A" w14:textId="77777777" w:rsidR="00E36D26" w:rsidRPr="00D93355" w:rsidRDefault="00E36D26" w:rsidP="00FF7BEF">
      <w:pPr>
        <w:spacing w:line="240" w:lineRule="auto"/>
        <w:rPr>
          <w:lang w:val="hu-HU"/>
        </w:rPr>
      </w:pPr>
    </w:p>
    <w:p w14:paraId="4AA324EC" w14:textId="77777777" w:rsidR="00E36D26" w:rsidRPr="00D93355" w:rsidRDefault="00E36D26" w:rsidP="00FF7BEF">
      <w:pPr>
        <w:pStyle w:val="Default"/>
        <w:keepNext/>
        <w:widowControl w:val="0"/>
        <w:rPr>
          <w:iCs/>
          <w:sz w:val="22"/>
          <w:szCs w:val="22"/>
          <w:u w:val="single"/>
        </w:rPr>
      </w:pPr>
      <w:r w:rsidRPr="00D93355">
        <w:rPr>
          <w:iCs/>
          <w:sz w:val="22"/>
          <w:szCs w:val="22"/>
          <w:u w:val="single"/>
        </w:rPr>
        <w:t>Májműködés</w:t>
      </w:r>
    </w:p>
    <w:p w14:paraId="6FCC4893" w14:textId="77777777" w:rsidR="00E36D26" w:rsidRPr="00D93355" w:rsidRDefault="00E36D26" w:rsidP="00FF7BEF">
      <w:pPr>
        <w:pStyle w:val="Default"/>
        <w:keepNext/>
        <w:widowControl w:val="0"/>
        <w:rPr>
          <w:sz w:val="22"/>
          <w:szCs w:val="22"/>
        </w:rPr>
      </w:pPr>
    </w:p>
    <w:p w14:paraId="0B091D40" w14:textId="4BCA7BA5" w:rsidR="00E36D26" w:rsidRPr="0055775B" w:rsidRDefault="00E36D26" w:rsidP="00C17385">
      <w:pPr>
        <w:keepNext/>
        <w:widowControl w:val="0"/>
        <w:spacing w:line="240" w:lineRule="auto"/>
        <w:rPr>
          <w:lang w:val="hu-HU"/>
        </w:rPr>
      </w:pPr>
      <w:r w:rsidRPr="00D93355">
        <w:rPr>
          <w:lang w:val="hu-HU"/>
        </w:rPr>
        <w:t>A máj-aminotranszferázok, vagyis az aszpartát</w:t>
      </w:r>
      <w:r w:rsidRPr="00D93355">
        <w:rPr>
          <w:lang w:val="hu-HU"/>
        </w:rPr>
        <w:noBreakHyphen/>
        <w:t xml:space="preserve"> és alanin</w:t>
      </w:r>
      <w:r w:rsidRPr="00D93355">
        <w:rPr>
          <w:lang w:val="hu-HU"/>
        </w:rPr>
        <w:noBreakHyphen/>
        <w:t>aminotranszferázok (AS</w:t>
      </w:r>
      <w:r w:rsidR="00EF5C24" w:rsidRPr="00D93355">
        <w:rPr>
          <w:lang w:val="hu-HU"/>
        </w:rPr>
        <w:t>A</w:t>
      </w:r>
      <w:r w:rsidRPr="00D93355">
        <w:rPr>
          <w:lang w:val="hu-HU"/>
        </w:rPr>
        <w:t>T és/vagy AL</w:t>
      </w:r>
      <w:r w:rsidR="00EF5C24" w:rsidRPr="00D93355">
        <w:rPr>
          <w:lang w:val="hu-HU"/>
        </w:rPr>
        <w:t>A</w:t>
      </w:r>
      <w:r w:rsidRPr="00D93355">
        <w:rPr>
          <w:lang w:val="hu-HU"/>
        </w:rPr>
        <w:t xml:space="preserve">T) szintjének </w:t>
      </w:r>
      <w:r w:rsidR="006264FB" w:rsidRPr="00D93355">
        <w:rPr>
          <w:lang w:val="hu-HU"/>
        </w:rPr>
        <w:t>bozentán</w:t>
      </w:r>
      <w:r w:rsidRPr="00D93355">
        <w:rPr>
          <w:lang w:val="hu-HU"/>
        </w:rPr>
        <w:t xml:space="preserve">hoz kapcsolódó emelkedése dózisfüggő. A májenzimek változásai rendszerint a kezelés első 26 hetén belül következnek be, de a kezelés késői szakaszában is előfordulhatnak (lásd 4.8 pont). Ezeket a szintnövekedéseket részben az epesók májsejtekből történő eliminációjának kompetitív gátlása okozhatja, de feltehetőleg más, egyelőre kellőképpen nem ismert mechanizmusok is szerepet játszanak a májműködés zavaraiban. Nem zárható ki sem a </w:t>
      </w:r>
      <w:r w:rsidR="006264FB" w:rsidRPr="00D93355">
        <w:rPr>
          <w:lang w:val="hu-HU"/>
        </w:rPr>
        <w:t>bozentán</w:t>
      </w:r>
      <w:r w:rsidRPr="00D93355">
        <w:rPr>
          <w:lang w:val="hu-HU"/>
        </w:rPr>
        <w:t xml:space="preserve"> felhalmozódása a májsejtekben, ami potenciálisan súlyos májkárosodással járó citolízist okoz, sem egy immunológiai mechanizmus. </w:t>
      </w:r>
      <w:r w:rsidR="0055775B" w:rsidRPr="0057703D">
        <w:rPr>
          <w:lang w:val="hu-HU"/>
        </w:rPr>
        <w:t>Ritka esetekben autoimmun hepatitist jelentettek, melynek lappangási ideje néhány hónaptól évekig terjedt.</w:t>
      </w:r>
      <w:r w:rsidR="0055775B">
        <w:t xml:space="preserve"> </w:t>
      </w:r>
      <w:r w:rsidRPr="00D93355">
        <w:rPr>
          <w:lang w:val="hu-HU"/>
        </w:rPr>
        <w:t xml:space="preserve">Ugyancsak fokozódhat a májműködési zavar kockázata, ha a </w:t>
      </w:r>
      <w:r w:rsidR="006264FB" w:rsidRPr="00D93355">
        <w:rPr>
          <w:lang w:val="hu-HU"/>
        </w:rPr>
        <w:t>bozentán</w:t>
      </w:r>
      <w:r w:rsidRPr="00D93355">
        <w:rPr>
          <w:lang w:val="hu-HU"/>
        </w:rPr>
        <w:t>nal együtt az epesó</w:t>
      </w:r>
      <w:r w:rsidRPr="00D93355">
        <w:rPr>
          <w:lang w:val="hu-HU"/>
        </w:rPr>
        <w:noBreakHyphen/>
        <w:t>exportpumpa működését gátló gyógyszereket, pl. rifampicint, glibenklamidot és ciklosporin A</w:t>
      </w:r>
      <w:r w:rsidRPr="00D93355">
        <w:rPr>
          <w:lang w:val="hu-HU"/>
        </w:rPr>
        <w:noBreakHyphen/>
        <w:t xml:space="preserve">t alkalmaznak (lásd 4.3 és 4.5 pont), de erre vonatkozóan csupán korlátozottan állnak rendelkezésre </w:t>
      </w:r>
      <w:r w:rsidR="00B90D3A" w:rsidRPr="00D93355">
        <w:rPr>
          <w:lang w:val="hu-HU"/>
        </w:rPr>
        <w:t>adatok</w:t>
      </w:r>
      <w:r w:rsidRPr="00D93355">
        <w:rPr>
          <w:lang w:val="hu-HU"/>
        </w:rPr>
        <w:t>.</w:t>
      </w:r>
    </w:p>
    <w:p w14:paraId="77B3DED0" w14:textId="77777777" w:rsidR="00E36D26" w:rsidRPr="00D93355" w:rsidRDefault="00E36D26" w:rsidP="00FF7BEF">
      <w:pPr>
        <w:spacing w:line="240" w:lineRule="auto"/>
        <w:rPr>
          <w:lang w:val="hu-HU"/>
        </w:rPr>
      </w:pPr>
    </w:p>
    <w:tbl>
      <w:tblPr>
        <w:tblW w:w="0" w:type="auto"/>
        <w:tblInd w:w="108" w:type="dxa"/>
        <w:tblLook w:val="04A0" w:firstRow="1" w:lastRow="0" w:firstColumn="1" w:lastColumn="0" w:noHBand="0" w:noVBand="1"/>
      </w:tblPr>
      <w:tblGrid>
        <w:gridCol w:w="2410"/>
        <w:gridCol w:w="6409"/>
      </w:tblGrid>
      <w:tr w:rsidR="00F5718E" w:rsidRPr="00185DDA" w14:paraId="427C9E80" w14:textId="77777777" w:rsidTr="00AC1016">
        <w:trPr>
          <w:trHeight w:val="1562"/>
        </w:trPr>
        <w:tc>
          <w:tcPr>
            <w:tcW w:w="8819" w:type="dxa"/>
            <w:gridSpan w:val="2"/>
            <w:tcBorders>
              <w:top w:val="single" w:sz="4" w:space="0" w:color="auto"/>
              <w:left w:val="single" w:sz="4" w:space="0" w:color="auto"/>
              <w:right w:val="single" w:sz="4" w:space="0" w:color="auto"/>
            </w:tcBorders>
          </w:tcPr>
          <w:p w14:paraId="4A77C51A" w14:textId="77777777" w:rsidR="00F5718E" w:rsidRPr="00D93355" w:rsidRDefault="00F5718E" w:rsidP="00FF7BEF">
            <w:pPr>
              <w:pStyle w:val="Default"/>
              <w:rPr>
                <w:sz w:val="22"/>
                <w:szCs w:val="22"/>
              </w:rPr>
            </w:pPr>
            <w:r w:rsidRPr="00D93355">
              <w:rPr>
                <w:b/>
                <w:bCs/>
                <w:sz w:val="22"/>
                <w:szCs w:val="22"/>
              </w:rPr>
              <w:t>A máj aminotranszferáz</w:t>
            </w:r>
            <w:r w:rsidRPr="00D93355">
              <w:rPr>
                <w:b/>
                <w:bCs/>
                <w:sz w:val="22"/>
                <w:szCs w:val="22"/>
              </w:rPr>
              <w:noBreakHyphen/>
              <w:t>szinteket a kezelés megkezdése előtt, majd azt követően a</w:t>
            </w:r>
            <w:r w:rsidR="001960F4" w:rsidRPr="00D93355">
              <w:rPr>
                <w:b/>
                <w:bCs/>
                <w:sz w:val="22"/>
                <w:szCs w:val="22"/>
              </w:rPr>
              <w:t xml:space="preserve"> </w:t>
            </w:r>
            <w:r w:rsidR="00976C72">
              <w:rPr>
                <w:b/>
                <w:bCs/>
                <w:sz w:val="22"/>
                <w:szCs w:val="22"/>
              </w:rPr>
              <w:t>Bosentan Pharmascience</w:t>
            </w:r>
            <w:r w:rsidRPr="00D93355">
              <w:rPr>
                <w:b/>
                <w:bCs/>
                <w:sz w:val="22"/>
                <w:szCs w:val="22"/>
              </w:rPr>
              <w:noBreakHyphen/>
              <w:t xml:space="preserve">kezelés alatt havi rendszerességgel meg kell mérni. </w:t>
            </w:r>
            <w:r w:rsidRPr="00D93355">
              <w:rPr>
                <w:b/>
                <w:bCs/>
                <w:color w:val="auto"/>
                <w:sz w:val="22"/>
                <w:szCs w:val="22"/>
              </w:rPr>
              <w:t xml:space="preserve">Ezen felül </w:t>
            </w:r>
            <w:r w:rsidRPr="00D93355">
              <w:rPr>
                <w:b/>
                <w:bCs/>
                <w:sz w:val="22"/>
                <w:szCs w:val="22"/>
              </w:rPr>
              <w:t>a máj aminotranszferáz</w:t>
            </w:r>
            <w:r w:rsidRPr="00D93355">
              <w:rPr>
                <w:b/>
                <w:bCs/>
                <w:sz w:val="22"/>
                <w:szCs w:val="22"/>
              </w:rPr>
              <w:noBreakHyphen/>
              <w:t>szinteket minden dózisnövelés után két héttel újra meg kell határozni.</w:t>
            </w:r>
          </w:p>
          <w:p w14:paraId="6FD153E1" w14:textId="77777777" w:rsidR="00F5718E" w:rsidRPr="00D93355" w:rsidRDefault="00F5718E" w:rsidP="00FF7BEF">
            <w:pPr>
              <w:spacing w:line="240" w:lineRule="auto"/>
              <w:rPr>
                <w:lang w:val="hu-HU"/>
              </w:rPr>
            </w:pPr>
          </w:p>
          <w:p w14:paraId="4C8BCBFC" w14:textId="77777777" w:rsidR="00F5718E" w:rsidRPr="00D93355" w:rsidRDefault="00F5718E" w:rsidP="00FF7BEF">
            <w:pPr>
              <w:pStyle w:val="Default"/>
              <w:rPr>
                <w:b/>
                <w:bCs/>
                <w:sz w:val="22"/>
                <w:szCs w:val="22"/>
                <w:u w:val="single"/>
              </w:rPr>
            </w:pPr>
            <w:r w:rsidRPr="00D93355">
              <w:rPr>
                <w:b/>
                <w:bCs/>
                <w:sz w:val="22"/>
                <w:szCs w:val="22"/>
                <w:u w:val="single"/>
              </w:rPr>
              <w:t>Ajánlások ALAT/ASAT</w:t>
            </w:r>
            <w:r w:rsidRPr="00D93355">
              <w:rPr>
                <w:b/>
                <w:bCs/>
                <w:sz w:val="22"/>
                <w:szCs w:val="22"/>
                <w:u w:val="single"/>
              </w:rPr>
              <w:noBreakHyphen/>
              <w:t>szint növekedése esetén</w:t>
            </w:r>
          </w:p>
          <w:p w14:paraId="2A1D5618" w14:textId="77777777" w:rsidR="00F5718E" w:rsidRPr="00D93355" w:rsidRDefault="00F5718E" w:rsidP="00FF7BEF">
            <w:pPr>
              <w:spacing w:line="240" w:lineRule="auto"/>
              <w:rPr>
                <w:bCs/>
                <w:lang w:val="hu-HU" w:eastAsia="hu-HU"/>
              </w:rPr>
            </w:pPr>
          </w:p>
        </w:tc>
      </w:tr>
      <w:tr w:rsidR="00E36D26" w:rsidRPr="00185DDA" w14:paraId="246170F1" w14:textId="77777777" w:rsidTr="00AC1016">
        <w:tc>
          <w:tcPr>
            <w:tcW w:w="2410" w:type="dxa"/>
            <w:tcBorders>
              <w:left w:val="single" w:sz="4" w:space="0" w:color="auto"/>
            </w:tcBorders>
          </w:tcPr>
          <w:p w14:paraId="41D96ECA" w14:textId="77777777" w:rsidR="00E36D26" w:rsidRPr="00D93355" w:rsidRDefault="00E36D26" w:rsidP="00FF7BEF">
            <w:pPr>
              <w:spacing w:line="240" w:lineRule="auto"/>
              <w:rPr>
                <w:b/>
                <w:bCs/>
                <w:lang w:val="hu-HU" w:eastAsia="hu-HU"/>
              </w:rPr>
            </w:pPr>
            <w:r w:rsidRPr="00D93355">
              <w:rPr>
                <w:b/>
                <w:bCs/>
                <w:lang w:val="hu-HU" w:eastAsia="hu-HU"/>
              </w:rPr>
              <w:t>AL</w:t>
            </w:r>
            <w:r w:rsidR="009973EE" w:rsidRPr="00D93355">
              <w:rPr>
                <w:b/>
                <w:bCs/>
                <w:lang w:val="hu-HU" w:eastAsia="hu-HU"/>
              </w:rPr>
              <w:t>A</w:t>
            </w:r>
            <w:r w:rsidRPr="00D93355">
              <w:rPr>
                <w:b/>
                <w:bCs/>
                <w:lang w:val="hu-HU" w:eastAsia="hu-HU"/>
              </w:rPr>
              <w:t>T/AS</w:t>
            </w:r>
            <w:r w:rsidR="009973EE" w:rsidRPr="00D93355">
              <w:rPr>
                <w:b/>
                <w:bCs/>
                <w:lang w:val="hu-HU" w:eastAsia="hu-HU"/>
              </w:rPr>
              <w:t>A</w:t>
            </w:r>
            <w:r w:rsidRPr="00D93355">
              <w:rPr>
                <w:b/>
                <w:bCs/>
                <w:lang w:val="hu-HU" w:eastAsia="hu-HU"/>
              </w:rPr>
              <w:t>T</w:t>
            </w:r>
            <w:r w:rsidRPr="00D93355">
              <w:rPr>
                <w:b/>
                <w:bCs/>
                <w:lang w:val="hu-HU" w:eastAsia="hu-HU"/>
              </w:rPr>
              <w:noBreakHyphen/>
              <w:t>szintek</w:t>
            </w:r>
          </w:p>
          <w:p w14:paraId="4D7C1080" w14:textId="77777777" w:rsidR="00E36D26" w:rsidRPr="00D93355" w:rsidRDefault="00E36D26" w:rsidP="00FF7BEF">
            <w:pPr>
              <w:spacing w:line="240" w:lineRule="auto"/>
              <w:rPr>
                <w:lang w:val="hu-HU" w:eastAsia="hu-HU"/>
              </w:rPr>
            </w:pPr>
            <w:r w:rsidRPr="00D93355">
              <w:rPr>
                <w:lang w:val="hu-HU" w:eastAsia="hu-HU"/>
              </w:rPr>
              <w:t>&gt; 3 és ≤ 5 × NFH</w:t>
            </w:r>
          </w:p>
        </w:tc>
        <w:tc>
          <w:tcPr>
            <w:tcW w:w="6409" w:type="dxa"/>
            <w:tcBorders>
              <w:right w:val="single" w:sz="4" w:space="0" w:color="auto"/>
            </w:tcBorders>
          </w:tcPr>
          <w:p w14:paraId="2B91E587" w14:textId="77777777" w:rsidR="00E36D26" w:rsidRPr="00D93355" w:rsidRDefault="00E36D26" w:rsidP="00FF7BEF">
            <w:pPr>
              <w:spacing w:line="240" w:lineRule="auto"/>
              <w:ind w:left="-108"/>
              <w:rPr>
                <w:lang w:val="hu-HU"/>
              </w:rPr>
            </w:pPr>
            <w:r w:rsidRPr="00D93355">
              <w:rPr>
                <w:b/>
                <w:bCs/>
                <w:lang w:val="hu-HU" w:eastAsia="hu-HU"/>
              </w:rPr>
              <w:t>Kezelési és monitorozási ajánlások</w:t>
            </w:r>
          </w:p>
          <w:p w14:paraId="171F3C85" w14:textId="77777777" w:rsidR="00E36D26" w:rsidRPr="00D93355" w:rsidRDefault="00E36D26" w:rsidP="00FF7BEF">
            <w:pPr>
              <w:pStyle w:val="Default"/>
              <w:ind w:left="-108"/>
              <w:rPr>
                <w:sz w:val="22"/>
                <w:szCs w:val="22"/>
              </w:rPr>
            </w:pPr>
            <w:r w:rsidRPr="00D93355">
              <w:rPr>
                <w:sz w:val="22"/>
                <w:szCs w:val="22"/>
              </w:rPr>
              <w:t xml:space="preserve">Az eredményt egy második májfunkciós vizsgálattal kell igazolni. Ha ez megerősíti az eredményt, egyéni mérlegelés alapján kell dönteni a </w:t>
            </w:r>
            <w:r w:rsidR="00976C72">
              <w:rPr>
                <w:sz w:val="22"/>
                <w:szCs w:val="22"/>
              </w:rPr>
              <w:t>Bosentan Pharmascience</w:t>
            </w:r>
            <w:r w:rsidRPr="00D93355">
              <w:rPr>
                <w:sz w:val="22"/>
                <w:szCs w:val="22"/>
              </w:rPr>
              <w:noBreakHyphen/>
              <w:t>kezelés folytatásáról, valószínűleg csökkentett ada</w:t>
            </w:r>
            <w:r w:rsidR="001960F4" w:rsidRPr="00D93355">
              <w:rPr>
                <w:sz w:val="22"/>
                <w:szCs w:val="22"/>
              </w:rPr>
              <w:t xml:space="preserve">ggal, vagy meg kell szakítani a </w:t>
            </w:r>
            <w:r w:rsidR="00976C72">
              <w:rPr>
                <w:sz w:val="22"/>
                <w:szCs w:val="22"/>
              </w:rPr>
              <w:t>Bosentan Pharmascience</w:t>
            </w:r>
            <w:r w:rsidRPr="00D93355">
              <w:rPr>
                <w:sz w:val="22"/>
                <w:szCs w:val="22"/>
              </w:rPr>
              <w:t xml:space="preserve"> alkalmazását (lásd 4.2 pont). Az aminotranszferázok szintjét legalább kéthetenként továbbra is ellenőrizni kell. Ha az aminotranszferáz</w:t>
            </w:r>
            <w:r w:rsidRPr="00D93355">
              <w:rPr>
                <w:sz w:val="22"/>
                <w:szCs w:val="22"/>
              </w:rPr>
              <w:noBreakHyphen/>
              <w:t>szintek visszatérnek a kezelés előtti</w:t>
            </w:r>
            <w:r w:rsidR="001960F4" w:rsidRPr="00D93355">
              <w:rPr>
                <w:sz w:val="22"/>
                <w:szCs w:val="22"/>
              </w:rPr>
              <w:t xml:space="preserve"> értékekre, meg kell fontolni a </w:t>
            </w:r>
            <w:r w:rsidR="00976C72">
              <w:rPr>
                <w:sz w:val="22"/>
                <w:szCs w:val="22"/>
              </w:rPr>
              <w:t>Bosentan Pharmascience</w:t>
            </w:r>
            <w:r w:rsidRPr="00D93355">
              <w:rPr>
                <w:sz w:val="22"/>
                <w:szCs w:val="22"/>
              </w:rPr>
              <w:t xml:space="preserve"> további vagy újbóli alkalmazását, az alábbiakban ismertetett feltételeknek megfelelően.</w:t>
            </w:r>
          </w:p>
        </w:tc>
      </w:tr>
      <w:tr w:rsidR="00E36D26" w:rsidRPr="00185DDA" w14:paraId="36B12115" w14:textId="77777777" w:rsidTr="00AC1016">
        <w:tc>
          <w:tcPr>
            <w:tcW w:w="2410" w:type="dxa"/>
            <w:tcBorders>
              <w:left w:val="single" w:sz="4" w:space="0" w:color="auto"/>
            </w:tcBorders>
          </w:tcPr>
          <w:p w14:paraId="493690FC" w14:textId="77777777" w:rsidR="00E36D26" w:rsidRPr="00D93355" w:rsidRDefault="00E36D26" w:rsidP="00FF7BEF">
            <w:pPr>
              <w:spacing w:line="240" w:lineRule="auto"/>
              <w:rPr>
                <w:lang w:val="hu-HU" w:eastAsia="hu-HU"/>
              </w:rPr>
            </w:pPr>
            <w:r w:rsidRPr="00D93355">
              <w:rPr>
                <w:lang w:val="hu-HU" w:eastAsia="hu-HU"/>
              </w:rPr>
              <w:t>&gt; 5 és ≤ 8 × NFH</w:t>
            </w:r>
          </w:p>
        </w:tc>
        <w:tc>
          <w:tcPr>
            <w:tcW w:w="6409" w:type="dxa"/>
            <w:tcBorders>
              <w:right w:val="single" w:sz="4" w:space="0" w:color="auto"/>
            </w:tcBorders>
          </w:tcPr>
          <w:p w14:paraId="4D64FFAB" w14:textId="77777777" w:rsidR="00E36D26" w:rsidRPr="00D93355" w:rsidRDefault="00E36D26" w:rsidP="00FF7BEF">
            <w:pPr>
              <w:pStyle w:val="Default"/>
              <w:ind w:left="-108"/>
              <w:rPr>
                <w:sz w:val="22"/>
                <w:szCs w:val="22"/>
              </w:rPr>
            </w:pPr>
            <w:r w:rsidRPr="00D93355">
              <w:rPr>
                <w:sz w:val="22"/>
                <w:szCs w:val="22"/>
              </w:rPr>
              <w:t>Az eredményt egy második májfunkciós vizsgálattal kell igazolni. Ha az eredmény beigazolódik, meg kell szakítani a kezelést, és legalább kéthetenként ellenőrizni kell az aminotranszferázok szintjét. Ha az aminotranszferáz</w:t>
            </w:r>
            <w:r w:rsidRPr="00D93355">
              <w:rPr>
                <w:sz w:val="22"/>
                <w:szCs w:val="22"/>
              </w:rPr>
              <w:noBreakHyphen/>
              <w:t>szintek visszatérnek a kezelés előtti</w:t>
            </w:r>
            <w:r w:rsidR="001960F4" w:rsidRPr="00D93355">
              <w:rPr>
                <w:sz w:val="22"/>
                <w:szCs w:val="22"/>
              </w:rPr>
              <w:t xml:space="preserve"> értékekre, meg kell fontolni a </w:t>
            </w:r>
            <w:r w:rsidR="00976C72">
              <w:rPr>
                <w:sz w:val="22"/>
                <w:szCs w:val="22"/>
              </w:rPr>
              <w:t>Bosentan Pharmascience</w:t>
            </w:r>
            <w:r w:rsidRPr="00D93355">
              <w:rPr>
                <w:sz w:val="22"/>
                <w:szCs w:val="22"/>
              </w:rPr>
              <w:t xml:space="preserve"> újbóli alkalmazását, az alábbiakban ismertetett feltételeknek megfelelően.</w:t>
            </w:r>
          </w:p>
        </w:tc>
      </w:tr>
      <w:tr w:rsidR="00E36D26" w:rsidRPr="00976C72" w14:paraId="626A378E" w14:textId="77777777" w:rsidTr="00AC1016">
        <w:tc>
          <w:tcPr>
            <w:tcW w:w="2410" w:type="dxa"/>
            <w:tcBorders>
              <w:left w:val="single" w:sz="4" w:space="0" w:color="auto"/>
            </w:tcBorders>
          </w:tcPr>
          <w:p w14:paraId="444EF3ED" w14:textId="77777777" w:rsidR="00E36D26" w:rsidRPr="00D93355" w:rsidRDefault="00E36D26" w:rsidP="00FF7BEF">
            <w:pPr>
              <w:spacing w:line="240" w:lineRule="auto"/>
              <w:rPr>
                <w:lang w:val="hu-HU" w:eastAsia="hu-HU"/>
              </w:rPr>
            </w:pPr>
            <w:r w:rsidRPr="00D93355">
              <w:rPr>
                <w:lang w:val="hu-HU" w:eastAsia="hu-HU"/>
              </w:rPr>
              <w:t>&gt; 8 × NFH</w:t>
            </w:r>
          </w:p>
        </w:tc>
        <w:tc>
          <w:tcPr>
            <w:tcW w:w="6409" w:type="dxa"/>
            <w:tcBorders>
              <w:right w:val="single" w:sz="4" w:space="0" w:color="auto"/>
            </w:tcBorders>
          </w:tcPr>
          <w:p w14:paraId="23F0A803" w14:textId="77777777" w:rsidR="00E36D26" w:rsidRPr="00D93355" w:rsidRDefault="00E36D26" w:rsidP="00F67D81">
            <w:pPr>
              <w:pStyle w:val="Default"/>
              <w:ind w:left="-108"/>
              <w:rPr>
                <w:sz w:val="22"/>
                <w:szCs w:val="22"/>
              </w:rPr>
            </w:pPr>
            <w:r w:rsidRPr="00D93355">
              <w:rPr>
                <w:sz w:val="22"/>
                <w:szCs w:val="22"/>
              </w:rPr>
              <w:t>Meg kell szakítani a kezelést. A</w:t>
            </w:r>
            <w:r w:rsidR="00026E58" w:rsidRPr="00D93355">
              <w:rPr>
                <w:sz w:val="22"/>
                <w:szCs w:val="22"/>
              </w:rPr>
              <w:t xml:space="preserve"> </w:t>
            </w:r>
            <w:r w:rsidR="00976C72">
              <w:rPr>
                <w:sz w:val="22"/>
                <w:szCs w:val="22"/>
              </w:rPr>
              <w:t>Bosentan Pharmascience</w:t>
            </w:r>
            <w:r w:rsidRPr="00D93355">
              <w:rPr>
                <w:sz w:val="22"/>
                <w:szCs w:val="22"/>
              </w:rPr>
              <w:t xml:space="preserve"> ismételt alkalmazása nem jöhet számításba. </w:t>
            </w:r>
          </w:p>
        </w:tc>
      </w:tr>
      <w:tr w:rsidR="00E36D26" w:rsidRPr="00185DDA" w14:paraId="7D1956E2" w14:textId="77777777" w:rsidTr="00AC1016">
        <w:tc>
          <w:tcPr>
            <w:tcW w:w="8819" w:type="dxa"/>
            <w:gridSpan w:val="2"/>
            <w:tcBorders>
              <w:left w:val="single" w:sz="4" w:space="0" w:color="auto"/>
              <w:bottom w:val="single" w:sz="4" w:space="0" w:color="auto"/>
              <w:right w:val="single" w:sz="4" w:space="0" w:color="auto"/>
            </w:tcBorders>
          </w:tcPr>
          <w:p w14:paraId="1FE232D5" w14:textId="77777777" w:rsidR="00E36D26" w:rsidRPr="00D93355" w:rsidRDefault="00E36D26" w:rsidP="00FF7BEF">
            <w:pPr>
              <w:pStyle w:val="Default"/>
              <w:rPr>
                <w:b/>
                <w:bCs/>
                <w:sz w:val="22"/>
                <w:szCs w:val="22"/>
              </w:rPr>
            </w:pPr>
          </w:p>
          <w:p w14:paraId="43C4CC9A" w14:textId="56104410" w:rsidR="00E36D26" w:rsidRPr="00D93355" w:rsidRDefault="00E36D26" w:rsidP="00F67D81">
            <w:pPr>
              <w:pStyle w:val="Default"/>
              <w:rPr>
                <w:sz w:val="22"/>
                <w:szCs w:val="22"/>
              </w:rPr>
            </w:pPr>
            <w:r w:rsidRPr="00D93355">
              <w:rPr>
                <w:b/>
                <w:bCs/>
                <w:sz w:val="22"/>
                <w:szCs w:val="22"/>
              </w:rPr>
              <w:t xml:space="preserve">Ha májkárosodás </w:t>
            </w:r>
            <w:r w:rsidR="002D4038">
              <w:rPr>
                <w:b/>
                <w:bCs/>
                <w:sz w:val="22"/>
                <w:szCs w:val="22"/>
              </w:rPr>
              <w:t xml:space="preserve">vagy autoimmun hepatitis </w:t>
            </w:r>
            <w:r w:rsidRPr="00D93355">
              <w:rPr>
                <w:b/>
                <w:bCs/>
                <w:sz w:val="22"/>
                <w:szCs w:val="22"/>
              </w:rPr>
              <w:t>klinikai tünetei</w:t>
            </w:r>
            <w:r w:rsidRPr="00D93355">
              <w:rPr>
                <w:sz w:val="22"/>
                <w:szCs w:val="22"/>
              </w:rPr>
              <w:t xml:space="preserve">, azaz hányinger, hányás, láz, hasi fájdalom, sárgaság, szokatlan letargia vagy fáradtság, influenzára emlékeztető tünetek (arthralgia, myalgia, láz) </w:t>
            </w:r>
            <w:r w:rsidRPr="00D93355">
              <w:rPr>
                <w:b/>
                <w:bCs/>
                <w:sz w:val="22"/>
                <w:szCs w:val="22"/>
              </w:rPr>
              <w:t xml:space="preserve">jelentkeznek, </w:t>
            </w:r>
            <w:r w:rsidR="00AC1016" w:rsidRPr="00D93355">
              <w:rPr>
                <w:b/>
                <w:bCs/>
                <w:sz w:val="22"/>
                <w:szCs w:val="22"/>
              </w:rPr>
              <w:t>a kezelést fel kell függeszteni,</w:t>
            </w:r>
            <w:r w:rsidR="001960F4" w:rsidRPr="00D93355">
              <w:rPr>
                <w:b/>
                <w:bCs/>
                <w:sz w:val="22"/>
                <w:szCs w:val="22"/>
              </w:rPr>
              <w:t xml:space="preserve"> a </w:t>
            </w:r>
            <w:r w:rsidR="00976C72">
              <w:rPr>
                <w:b/>
                <w:bCs/>
                <w:sz w:val="22"/>
                <w:szCs w:val="22"/>
              </w:rPr>
              <w:t>Bosentan Pharmascience</w:t>
            </w:r>
            <w:r w:rsidRPr="00D93355">
              <w:rPr>
                <w:b/>
                <w:bCs/>
                <w:sz w:val="22"/>
                <w:szCs w:val="22"/>
              </w:rPr>
              <w:t xml:space="preserve"> újbóli alkalmazása nem jöhet számításba.</w:t>
            </w:r>
          </w:p>
          <w:p w14:paraId="6FEA04C3" w14:textId="77777777" w:rsidR="00E36D26" w:rsidRPr="00D93355" w:rsidRDefault="00E36D26" w:rsidP="007E35DF">
            <w:pPr>
              <w:pStyle w:val="Default"/>
              <w:rPr>
                <w:i/>
                <w:iCs/>
                <w:sz w:val="22"/>
                <w:szCs w:val="22"/>
                <w:u w:val="single"/>
              </w:rPr>
            </w:pPr>
          </w:p>
          <w:p w14:paraId="7FC59E5A" w14:textId="77777777" w:rsidR="00E36D26" w:rsidRPr="00D93355" w:rsidRDefault="00E36D26">
            <w:pPr>
              <w:pStyle w:val="Default"/>
              <w:keepNext/>
              <w:pageBreakBefore/>
              <w:rPr>
                <w:sz w:val="22"/>
                <w:szCs w:val="22"/>
              </w:rPr>
            </w:pPr>
            <w:r w:rsidRPr="00D93355">
              <w:rPr>
                <w:i/>
                <w:iCs/>
                <w:sz w:val="22"/>
                <w:szCs w:val="22"/>
                <w:u w:val="single"/>
              </w:rPr>
              <w:lastRenderedPageBreak/>
              <w:t>A kezelés újrakezdése</w:t>
            </w:r>
          </w:p>
          <w:p w14:paraId="5B58EA17" w14:textId="77777777" w:rsidR="00E36D26" w:rsidRPr="00D93355" w:rsidRDefault="00E36D26">
            <w:pPr>
              <w:pStyle w:val="Default"/>
              <w:keepNext/>
              <w:pageBreakBefore/>
              <w:rPr>
                <w:sz w:val="22"/>
                <w:szCs w:val="22"/>
              </w:rPr>
            </w:pPr>
            <w:r w:rsidRPr="00D93355">
              <w:rPr>
                <w:sz w:val="22"/>
                <w:szCs w:val="22"/>
              </w:rPr>
              <w:t>A</w:t>
            </w:r>
            <w:r w:rsidR="00026E58" w:rsidRPr="00D93355">
              <w:rPr>
                <w:sz w:val="22"/>
                <w:szCs w:val="22"/>
              </w:rPr>
              <w:t xml:space="preserve"> </w:t>
            </w:r>
            <w:r w:rsidR="00976C72">
              <w:rPr>
                <w:sz w:val="22"/>
                <w:szCs w:val="22"/>
              </w:rPr>
              <w:t>Bosentan Pharmascience</w:t>
            </w:r>
            <w:r w:rsidRPr="00D93355">
              <w:rPr>
                <w:sz w:val="22"/>
                <w:szCs w:val="22"/>
              </w:rPr>
              <w:noBreakHyphen/>
              <w:t>kezelés újrakezdése csak akkor mérlegelhető, ha a kezelés várható előnyei nagyobbak a potenciális kockázatoknál, és ha a máj aminotranszferázszintek nem haladják meg a kezelés előtti értékeket. Javasolt kikérni egy hepatológus szakvéleményét. A kezelés újra</w:t>
            </w:r>
            <w:r w:rsidR="009F76FC">
              <w:rPr>
                <w:sz w:val="22"/>
                <w:szCs w:val="22"/>
              </w:rPr>
              <w:t>kezdése</w:t>
            </w:r>
            <w:r w:rsidRPr="00D93355">
              <w:rPr>
                <w:sz w:val="22"/>
                <w:szCs w:val="22"/>
              </w:rPr>
              <w:t xml:space="preserve"> során követni kell a 4.2 pontban közölt útmutatást. </w:t>
            </w:r>
            <w:r w:rsidRPr="00D93355">
              <w:rPr>
                <w:b/>
                <w:bCs/>
                <w:sz w:val="22"/>
                <w:szCs w:val="22"/>
              </w:rPr>
              <w:t>A kezelés újra</w:t>
            </w:r>
            <w:r w:rsidR="009F76FC">
              <w:rPr>
                <w:b/>
                <w:bCs/>
                <w:sz w:val="22"/>
                <w:szCs w:val="22"/>
              </w:rPr>
              <w:t>kezdése</w:t>
            </w:r>
            <w:r w:rsidRPr="00D93355">
              <w:rPr>
                <w:b/>
                <w:bCs/>
                <w:sz w:val="22"/>
                <w:szCs w:val="22"/>
              </w:rPr>
              <w:t xml:space="preserve"> után 3 napon belül, majd ezt követően 2 hét elteltével, a továbbiakban pedig a fenti javaslatoknak megfelelően ellenőrizni kell az aminotranszferáz</w:t>
            </w:r>
            <w:r w:rsidR="00FF793B" w:rsidRPr="00D93355">
              <w:rPr>
                <w:b/>
                <w:bCs/>
                <w:sz w:val="22"/>
                <w:szCs w:val="22"/>
              </w:rPr>
              <w:t>-</w:t>
            </w:r>
            <w:r w:rsidRPr="00D93355">
              <w:rPr>
                <w:b/>
                <w:bCs/>
                <w:sz w:val="22"/>
                <w:szCs w:val="22"/>
              </w:rPr>
              <w:t>szinteket.</w:t>
            </w:r>
          </w:p>
        </w:tc>
      </w:tr>
    </w:tbl>
    <w:p w14:paraId="502716D5" w14:textId="77777777" w:rsidR="00E36D26" w:rsidRPr="00D93355" w:rsidRDefault="00E36D26" w:rsidP="00FF7BEF">
      <w:pPr>
        <w:spacing w:line="240" w:lineRule="auto"/>
        <w:rPr>
          <w:lang w:val="hu-HU"/>
        </w:rPr>
      </w:pPr>
      <w:r w:rsidRPr="00D93355">
        <w:rPr>
          <w:lang w:val="hu-HU"/>
        </w:rPr>
        <w:lastRenderedPageBreak/>
        <w:t>NFH = a normál érték felső határa</w:t>
      </w:r>
    </w:p>
    <w:p w14:paraId="06A3D79A" w14:textId="77777777" w:rsidR="00E36D26" w:rsidRPr="00D93355" w:rsidRDefault="00E36D26" w:rsidP="00F67D81">
      <w:pPr>
        <w:spacing w:line="240" w:lineRule="auto"/>
        <w:rPr>
          <w:lang w:val="hu-HU"/>
        </w:rPr>
      </w:pPr>
    </w:p>
    <w:p w14:paraId="5692E9D7" w14:textId="77777777" w:rsidR="00E36D26" w:rsidRPr="00D93355" w:rsidRDefault="00E36D26" w:rsidP="00F67D81">
      <w:pPr>
        <w:pStyle w:val="Default"/>
        <w:keepNext/>
        <w:rPr>
          <w:sz w:val="22"/>
          <w:szCs w:val="22"/>
        </w:rPr>
      </w:pPr>
      <w:r w:rsidRPr="00D93355">
        <w:rPr>
          <w:iCs/>
          <w:sz w:val="22"/>
          <w:szCs w:val="22"/>
          <w:u w:val="single"/>
        </w:rPr>
        <w:t>Hemoglobinkoncentráció</w:t>
      </w:r>
    </w:p>
    <w:p w14:paraId="5D21AE1A" w14:textId="77777777" w:rsidR="00E36D26" w:rsidRPr="00D93355" w:rsidRDefault="00E36D26" w:rsidP="007E35DF">
      <w:pPr>
        <w:keepNext/>
        <w:spacing w:line="240" w:lineRule="auto"/>
        <w:rPr>
          <w:lang w:val="hu-HU"/>
        </w:rPr>
      </w:pPr>
    </w:p>
    <w:p w14:paraId="702102D8" w14:textId="77777777" w:rsidR="00E36D26" w:rsidRPr="00D93355" w:rsidRDefault="00E36D26">
      <w:pPr>
        <w:keepNext/>
        <w:spacing w:line="240" w:lineRule="auto"/>
        <w:rPr>
          <w:lang w:val="hu-HU"/>
        </w:rPr>
      </w:pPr>
      <w:r w:rsidRPr="00D93355">
        <w:rPr>
          <w:lang w:val="hu-HU"/>
        </w:rPr>
        <w:t xml:space="preserve">A </w:t>
      </w:r>
      <w:r w:rsidR="006264FB" w:rsidRPr="00D93355">
        <w:rPr>
          <w:lang w:val="hu-HU"/>
        </w:rPr>
        <w:t>bozentán</w:t>
      </w:r>
      <w:r w:rsidRPr="00D93355">
        <w:rPr>
          <w:lang w:val="hu-HU"/>
        </w:rPr>
        <w:noBreakHyphen/>
        <w:t xml:space="preserve">kezelés a hemoglobinkoncentráció dózisfüggő csökkenését idézi elő (lásd 4.8 pont). Placebokontrollos vizsgálatokban ez a </w:t>
      </w:r>
      <w:r w:rsidR="006264FB" w:rsidRPr="00D93355">
        <w:rPr>
          <w:lang w:val="hu-HU"/>
        </w:rPr>
        <w:t>bozentán</w:t>
      </w:r>
      <w:r w:rsidRPr="00D93355">
        <w:rPr>
          <w:lang w:val="hu-HU"/>
        </w:rPr>
        <w:t>nal összefüggő hemoglobinkoncentráció</w:t>
      </w:r>
      <w:r w:rsidRPr="00D93355">
        <w:rPr>
          <w:lang w:val="hu-HU"/>
        </w:rPr>
        <w:noBreakHyphen/>
        <w:t>csökkenés nem volt progresszív, és a kezelés 4–12. hetére stabilizálódott. A hemoglobinkoncentráció ellenőrzése javasolt a kezelés megkezdése előtt, majd a negyedik hónapig havonta, a továbbiakban pedig negyedévente. Klinikailag releváns hemoglobinkoncentráció</w:t>
      </w:r>
      <w:r w:rsidRPr="00D93355">
        <w:rPr>
          <w:lang w:val="hu-HU"/>
        </w:rPr>
        <w:noBreakHyphen/>
        <w:t>csökkenés esetén további kivizsgálással és vizsgálatokkal kell megállapítani ennek okát és azt, hogy szükség van</w:t>
      </w:r>
      <w:r w:rsidRPr="00D93355">
        <w:rPr>
          <w:lang w:val="hu-HU"/>
        </w:rPr>
        <w:noBreakHyphen/>
        <w:t>e specifikus kezelésre. A forgalomba hozatalt követő időszakban anaemia olyan eseteiről számoltak be, amelyek vörösvér</w:t>
      </w:r>
      <w:r w:rsidR="00F25DD1" w:rsidRPr="00D93355">
        <w:rPr>
          <w:lang w:val="hu-HU"/>
        </w:rPr>
        <w:t>tes</w:t>
      </w:r>
      <w:r w:rsidRPr="00D93355">
        <w:rPr>
          <w:lang w:val="hu-HU"/>
        </w:rPr>
        <w:t>t</w:t>
      </w:r>
      <w:r w:rsidRPr="00D93355">
        <w:rPr>
          <w:lang w:val="hu-HU"/>
        </w:rPr>
        <w:noBreakHyphen/>
        <w:t>transzfúziót tettek szükségessé (lásd 4.8 pont).</w:t>
      </w:r>
    </w:p>
    <w:p w14:paraId="3D770BC9" w14:textId="77777777" w:rsidR="00E36D26" w:rsidRPr="00D93355" w:rsidRDefault="00E36D26">
      <w:pPr>
        <w:spacing w:line="240" w:lineRule="auto"/>
        <w:rPr>
          <w:lang w:val="hu-HU"/>
        </w:rPr>
      </w:pPr>
    </w:p>
    <w:p w14:paraId="1B0BE67A" w14:textId="77777777" w:rsidR="00E36D26" w:rsidRPr="00D93355" w:rsidRDefault="00E36D26">
      <w:pPr>
        <w:pStyle w:val="Default"/>
        <w:keepNext/>
        <w:rPr>
          <w:sz w:val="22"/>
          <w:szCs w:val="22"/>
        </w:rPr>
      </w:pPr>
      <w:r w:rsidRPr="00D93355">
        <w:rPr>
          <w:iCs/>
          <w:sz w:val="22"/>
          <w:szCs w:val="22"/>
          <w:u w:val="single"/>
        </w:rPr>
        <w:t>Fogamzóképes nők</w:t>
      </w:r>
    </w:p>
    <w:p w14:paraId="3295A299" w14:textId="77777777" w:rsidR="00E36D26" w:rsidRPr="00D93355" w:rsidRDefault="00E36D26">
      <w:pPr>
        <w:pStyle w:val="Default"/>
        <w:keepNext/>
        <w:rPr>
          <w:sz w:val="22"/>
          <w:szCs w:val="22"/>
        </w:rPr>
      </w:pPr>
    </w:p>
    <w:p w14:paraId="318B9DFA" w14:textId="77777777" w:rsidR="00E36D26" w:rsidRPr="00D93355" w:rsidRDefault="00E36D26">
      <w:pPr>
        <w:pStyle w:val="Default"/>
        <w:keepNext/>
        <w:rPr>
          <w:sz w:val="22"/>
          <w:szCs w:val="22"/>
        </w:rPr>
      </w:pPr>
      <w:r w:rsidRPr="00D93355">
        <w:rPr>
          <w:sz w:val="22"/>
          <w:szCs w:val="22"/>
        </w:rPr>
        <w:t>Mivel a</w:t>
      </w:r>
      <w:r w:rsidR="00026E58" w:rsidRPr="00D93355">
        <w:rPr>
          <w:sz w:val="22"/>
          <w:szCs w:val="22"/>
        </w:rPr>
        <w:t xml:space="preserve"> </w:t>
      </w:r>
      <w:r w:rsidR="00976C72">
        <w:rPr>
          <w:sz w:val="22"/>
          <w:szCs w:val="22"/>
        </w:rPr>
        <w:t>Bosentan Pharmascience</w:t>
      </w:r>
      <w:r w:rsidRPr="00D93355">
        <w:rPr>
          <w:sz w:val="22"/>
          <w:szCs w:val="22"/>
        </w:rPr>
        <w:t xml:space="preserve"> hatástalanná teheti a hormonális fogamzásgálást, továbbá figyelembe véve annak kockázatát, hogy a terhesség során nagymértékben súlyosbodik a pulmonalis hypertonia, valamint azt, hogy állatkísérletekben teratogén hatást figyeltek meg, ezért:</w:t>
      </w:r>
    </w:p>
    <w:p w14:paraId="543843DB" w14:textId="77777777" w:rsidR="00E36D26" w:rsidRPr="00D93355" w:rsidRDefault="00E36D26">
      <w:pPr>
        <w:pStyle w:val="Default"/>
        <w:rPr>
          <w:sz w:val="22"/>
          <w:szCs w:val="22"/>
        </w:rPr>
      </w:pPr>
    </w:p>
    <w:p w14:paraId="0D8FFFB4" w14:textId="77777777" w:rsidR="00E36D26" w:rsidRPr="00D93355" w:rsidRDefault="00E36D26">
      <w:pPr>
        <w:pStyle w:val="Default"/>
        <w:numPr>
          <w:ilvl w:val="0"/>
          <w:numId w:val="24"/>
        </w:numPr>
        <w:ind w:left="567" w:hanging="567"/>
        <w:rPr>
          <w:sz w:val="22"/>
          <w:szCs w:val="22"/>
        </w:rPr>
      </w:pPr>
      <w:r w:rsidRPr="00D93355">
        <w:rPr>
          <w:sz w:val="22"/>
          <w:szCs w:val="22"/>
        </w:rPr>
        <w:t xml:space="preserve">Fogamzóképes nőknél kizárólag akkor kezdhető el </w:t>
      </w:r>
      <w:r w:rsidR="00976C72">
        <w:rPr>
          <w:sz w:val="22"/>
          <w:szCs w:val="22"/>
        </w:rPr>
        <w:t>Bosentan Pharmascience</w:t>
      </w:r>
      <w:r w:rsidRPr="00D93355">
        <w:rPr>
          <w:sz w:val="22"/>
          <w:szCs w:val="22"/>
        </w:rPr>
        <w:noBreakHyphen/>
        <w:t>kezelés, ha megbízható fogamzásgátlásról gondoskodnak, és a kezelés előtt elvégzett terhességi teszt eredménye negatív.</w:t>
      </w:r>
    </w:p>
    <w:p w14:paraId="68515961" w14:textId="77777777" w:rsidR="00E36D26" w:rsidRPr="00D93355" w:rsidRDefault="00E36D26">
      <w:pPr>
        <w:pStyle w:val="Default"/>
        <w:numPr>
          <w:ilvl w:val="0"/>
          <w:numId w:val="24"/>
        </w:numPr>
        <w:ind w:left="567" w:hanging="567"/>
        <w:rPr>
          <w:sz w:val="22"/>
          <w:szCs w:val="22"/>
        </w:rPr>
      </w:pPr>
      <w:r w:rsidRPr="00D93355">
        <w:rPr>
          <w:sz w:val="22"/>
          <w:szCs w:val="22"/>
        </w:rPr>
        <w:t>A</w:t>
      </w:r>
      <w:r w:rsidR="00026E58" w:rsidRPr="00D93355">
        <w:rPr>
          <w:sz w:val="22"/>
          <w:szCs w:val="22"/>
        </w:rPr>
        <w:t xml:space="preserve"> </w:t>
      </w:r>
      <w:r w:rsidR="00976C72">
        <w:rPr>
          <w:sz w:val="22"/>
          <w:szCs w:val="22"/>
        </w:rPr>
        <w:t>Bosentan Pharmascience</w:t>
      </w:r>
      <w:r w:rsidRPr="00D93355">
        <w:rPr>
          <w:sz w:val="22"/>
          <w:szCs w:val="22"/>
        </w:rPr>
        <w:noBreakHyphen/>
        <w:t>kezelés ideje alatt a hormonális fogamzásgátlók nem alkalmazhatóak egyedüli fogamzásgátló módszerként.</w:t>
      </w:r>
    </w:p>
    <w:p w14:paraId="13DED8E6" w14:textId="77777777" w:rsidR="00E36D26" w:rsidRPr="00D93355" w:rsidRDefault="00E36D26">
      <w:pPr>
        <w:pStyle w:val="Default"/>
        <w:numPr>
          <w:ilvl w:val="0"/>
          <w:numId w:val="24"/>
        </w:numPr>
        <w:ind w:left="567" w:hanging="567"/>
        <w:rPr>
          <w:sz w:val="22"/>
          <w:szCs w:val="22"/>
        </w:rPr>
      </w:pPr>
      <w:r w:rsidRPr="00D93355">
        <w:rPr>
          <w:sz w:val="22"/>
          <w:szCs w:val="22"/>
        </w:rPr>
        <w:t>A terhesség korai kimutatása érdekében a kezelés alatt havonkénti terhességi teszt elvégzése javasolt.</w:t>
      </w:r>
    </w:p>
    <w:p w14:paraId="6733B04A" w14:textId="77777777" w:rsidR="00E36D26" w:rsidRPr="00D93355" w:rsidRDefault="00E36D26">
      <w:pPr>
        <w:spacing w:line="240" w:lineRule="auto"/>
        <w:rPr>
          <w:lang w:val="hu-HU"/>
        </w:rPr>
      </w:pPr>
    </w:p>
    <w:p w14:paraId="44FF04B0" w14:textId="77777777" w:rsidR="00E36D26" w:rsidRPr="00D93355" w:rsidRDefault="00E36D26">
      <w:pPr>
        <w:pStyle w:val="Default"/>
        <w:rPr>
          <w:sz w:val="22"/>
          <w:szCs w:val="22"/>
        </w:rPr>
      </w:pPr>
      <w:r w:rsidRPr="00D93355">
        <w:rPr>
          <w:sz w:val="22"/>
          <w:szCs w:val="22"/>
        </w:rPr>
        <w:t>További információkért lásd 4.5 és 4.6 pontot.</w:t>
      </w:r>
    </w:p>
    <w:p w14:paraId="0663ACCE" w14:textId="77777777" w:rsidR="00E36D26" w:rsidRPr="00D93355" w:rsidRDefault="00E36D26">
      <w:pPr>
        <w:pStyle w:val="Default"/>
        <w:rPr>
          <w:iCs/>
          <w:sz w:val="22"/>
          <w:szCs w:val="22"/>
        </w:rPr>
      </w:pPr>
    </w:p>
    <w:p w14:paraId="38E91EA6" w14:textId="77777777" w:rsidR="00E36D26" w:rsidRPr="00D93355" w:rsidRDefault="00E36D26">
      <w:pPr>
        <w:pStyle w:val="Default"/>
        <w:keepNext/>
        <w:rPr>
          <w:sz w:val="22"/>
          <w:szCs w:val="22"/>
        </w:rPr>
      </w:pPr>
      <w:r w:rsidRPr="00D93355">
        <w:rPr>
          <w:iCs/>
          <w:sz w:val="22"/>
          <w:szCs w:val="22"/>
          <w:u w:val="single"/>
        </w:rPr>
        <w:t>Pulmonalis vénaelzáródás</w:t>
      </w:r>
    </w:p>
    <w:p w14:paraId="6249888A" w14:textId="77777777" w:rsidR="00E36D26" w:rsidRPr="00D93355" w:rsidRDefault="00E36D26">
      <w:pPr>
        <w:pStyle w:val="Default"/>
        <w:keepNext/>
        <w:rPr>
          <w:sz w:val="22"/>
          <w:szCs w:val="22"/>
        </w:rPr>
      </w:pPr>
    </w:p>
    <w:p w14:paraId="3A0805DA" w14:textId="77777777" w:rsidR="00E36D26" w:rsidRPr="00D93355" w:rsidRDefault="00E36D26">
      <w:pPr>
        <w:pStyle w:val="Default"/>
        <w:keepNext/>
        <w:rPr>
          <w:sz w:val="22"/>
          <w:szCs w:val="22"/>
        </w:rPr>
      </w:pPr>
      <w:r w:rsidRPr="00D93355">
        <w:rPr>
          <w:sz w:val="22"/>
          <w:szCs w:val="22"/>
        </w:rPr>
        <w:t>Tüdőödéma eseteiről számoltak be, amikor értágítókat (főként prosztaciklinek) alkalmaztak pulmonalis vénaelzáródásban szenvedő betegeknél. Ezért, amennyiben pulmonalis arteriás hypertoniában szenvedő betegeknél a</w:t>
      </w:r>
      <w:r w:rsidR="00026E58" w:rsidRPr="00D93355">
        <w:rPr>
          <w:sz w:val="22"/>
          <w:szCs w:val="22"/>
        </w:rPr>
        <w:t xml:space="preserve"> </w:t>
      </w:r>
      <w:r w:rsidR="00976C72">
        <w:rPr>
          <w:sz w:val="22"/>
          <w:szCs w:val="22"/>
        </w:rPr>
        <w:t>Bosentan Pharmascience</w:t>
      </w:r>
      <w:r w:rsidRPr="00D93355">
        <w:rPr>
          <w:sz w:val="22"/>
          <w:szCs w:val="22"/>
        </w:rPr>
        <w:t xml:space="preserve"> alkalmazása közben tüdőödémára utaló tünetek jelentkeznek, számolni kell az ehhez köthető vénaelzáródás lehetőségével. A forgalomba hozatalt követő időszakban tüdő</w:t>
      </w:r>
      <w:r w:rsidR="009F76FC">
        <w:rPr>
          <w:sz w:val="22"/>
          <w:szCs w:val="22"/>
        </w:rPr>
        <w:t>ödéma</w:t>
      </w:r>
      <w:r w:rsidRPr="00D93355">
        <w:rPr>
          <w:sz w:val="22"/>
          <w:szCs w:val="22"/>
        </w:rPr>
        <w:t xml:space="preserve"> ritka eseteit jelentették azoknál a </w:t>
      </w:r>
      <w:r w:rsidR="006264FB" w:rsidRPr="00D93355">
        <w:rPr>
          <w:sz w:val="22"/>
          <w:szCs w:val="22"/>
        </w:rPr>
        <w:t>bozentán</w:t>
      </w:r>
      <w:r w:rsidRPr="00D93355">
        <w:rPr>
          <w:sz w:val="22"/>
          <w:szCs w:val="22"/>
        </w:rPr>
        <w:t>nal kezelt betegeknél, akik feltételezett diagnózisa pulmonalis vénaelzáródás volt.</w:t>
      </w:r>
    </w:p>
    <w:p w14:paraId="60D54F5D" w14:textId="77777777" w:rsidR="00E36D26" w:rsidRPr="00D93355" w:rsidRDefault="00E36D26">
      <w:pPr>
        <w:pStyle w:val="Default"/>
        <w:rPr>
          <w:i/>
          <w:iCs/>
          <w:sz w:val="22"/>
          <w:szCs w:val="22"/>
          <w:u w:val="single"/>
        </w:rPr>
      </w:pPr>
    </w:p>
    <w:p w14:paraId="72529473" w14:textId="77777777" w:rsidR="00E36D26" w:rsidRPr="00D93355" w:rsidRDefault="006038B0">
      <w:pPr>
        <w:keepNext/>
        <w:spacing w:line="240" w:lineRule="auto"/>
        <w:rPr>
          <w:lang w:val="hu-HU"/>
        </w:rPr>
      </w:pPr>
      <w:r w:rsidRPr="00D93355">
        <w:rPr>
          <w:iCs/>
          <w:u w:val="single"/>
          <w:lang w:val="hu-HU"/>
        </w:rPr>
        <w:t>Pulmonalis artériás hypertoniában és társbetegségként balkamra-diszfunkcióban szenvedő betegek</w:t>
      </w:r>
    </w:p>
    <w:p w14:paraId="6515EEAB" w14:textId="77777777" w:rsidR="00AC1016" w:rsidRPr="00D93355" w:rsidRDefault="00AC1016">
      <w:pPr>
        <w:keepNext/>
        <w:spacing w:line="240" w:lineRule="auto"/>
        <w:rPr>
          <w:lang w:val="hu-HU"/>
        </w:rPr>
      </w:pPr>
    </w:p>
    <w:p w14:paraId="15720FBC" w14:textId="77777777" w:rsidR="00E36D26" w:rsidRPr="00D93355" w:rsidRDefault="00E36D26">
      <w:pPr>
        <w:keepNext/>
        <w:spacing w:line="240" w:lineRule="auto"/>
        <w:rPr>
          <w:lang w:val="hu-HU"/>
        </w:rPr>
      </w:pPr>
      <w:r w:rsidRPr="00D93355">
        <w:rPr>
          <w:lang w:val="hu-HU"/>
        </w:rPr>
        <w:t>Pulmonalis hypertoniában és egyidejűleg balkamra-diszfunkcióban szenvedő betegekkel nem végeztek specifikus vizsgálatokat. Egy placebokontrollos vizsgálatban (AC</w:t>
      </w:r>
      <w:r w:rsidRPr="00D93355">
        <w:rPr>
          <w:lang w:val="hu-HU"/>
        </w:rPr>
        <w:noBreakHyphen/>
        <w:t>052</w:t>
      </w:r>
      <w:r w:rsidRPr="00D93355">
        <w:rPr>
          <w:lang w:val="hu-HU"/>
        </w:rPr>
        <w:noBreakHyphen/>
        <w:t xml:space="preserve">301/302 vizsgálat [ENABLE 1 &amp; 2]) azonban 1611, súlyos krónikus szívelégtelenségben (CHF) szenvedő beteget kezeltek átlagosan másfél évig (804 beteg kapott </w:t>
      </w:r>
      <w:r w:rsidR="006264FB" w:rsidRPr="00D93355">
        <w:rPr>
          <w:lang w:val="hu-HU"/>
        </w:rPr>
        <w:t>bozentán</w:t>
      </w:r>
      <w:r w:rsidRPr="00D93355">
        <w:rPr>
          <w:lang w:val="hu-HU"/>
        </w:rPr>
        <w:t xml:space="preserve">t, 807 pedig placebót). Ebben a vizsgálatban a </w:t>
      </w:r>
      <w:r w:rsidR="006264FB" w:rsidRPr="00D93355">
        <w:rPr>
          <w:lang w:val="hu-HU"/>
        </w:rPr>
        <w:t>bozentán</w:t>
      </w:r>
      <w:r w:rsidRPr="00D93355">
        <w:rPr>
          <w:lang w:val="hu-HU"/>
        </w:rPr>
        <w:noBreakHyphen/>
        <w:t>kezelés első 4</w:t>
      </w:r>
      <w:r w:rsidRPr="00D93355">
        <w:rPr>
          <w:lang w:val="hu-HU"/>
        </w:rPr>
        <w:noBreakHyphen/>
        <w:t>8 hetében gyakrabban volt szükség krónikus szívelégtelenség miatti hospitalizációra, aminek oka a folyadékretenció lehetett. A vizsgálatban a folyadékretenció korai testtömeg</w:t>
      </w:r>
      <w:r w:rsidRPr="00D93355">
        <w:rPr>
          <w:lang w:val="hu-HU"/>
        </w:rPr>
        <w:noBreakHyphen/>
        <w:t xml:space="preserve">gyarapodásban, a hemoglobinkoncentráció csökkenésében és a lábvizenyő gyakoribb előfordulásában nyilvánult meg. A vizsgálat végén sem a szívelégtelenség miatti hospitalizáció teljes számában, sem a vizsgálat alatti mortalitásban nem volt különbség a </w:t>
      </w:r>
      <w:r w:rsidR="006264FB" w:rsidRPr="00D93355">
        <w:rPr>
          <w:lang w:val="hu-HU"/>
        </w:rPr>
        <w:t>bozentán</w:t>
      </w:r>
      <w:r w:rsidRPr="00D93355">
        <w:rPr>
          <w:lang w:val="hu-HU"/>
        </w:rPr>
        <w:noBreakHyphen/>
        <w:t xml:space="preserve"> és a placebo</w:t>
      </w:r>
      <w:r w:rsidRPr="00D93355">
        <w:rPr>
          <w:lang w:val="hu-HU"/>
        </w:rPr>
        <w:noBreakHyphen/>
        <w:t xml:space="preserve">kezelésben részesülő betegek között. Ebből következően a betegeknél ajánlott monitorozni a </w:t>
      </w:r>
      <w:r w:rsidRPr="00D93355">
        <w:rPr>
          <w:lang w:val="hu-HU"/>
        </w:rPr>
        <w:lastRenderedPageBreak/>
        <w:t>folyadékretencióra utaló jeleket (pl. a testtömeg</w:t>
      </w:r>
      <w:r w:rsidRPr="00D93355">
        <w:rPr>
          <w:lang w:val="hu-HU"/>
        </w:rPr>
        <w:noBreakHyphen/>
        <w:t>gyarapodást), különösen, ha a beteg egyidejűleg súlyos s</w:t>
      </w:r>
      <w:r w:rsidR="004F1214" w:rsidRPr="00D93355">
        <w:rPr>
          <w:lang w:val="hu-HU"/>
        </w:rPr>
        <w:t>y</w:t>
      </w:r>
      <w:r w:rsidRPr="00D93355">
        <w:rPr>
          <w:lang w:val="hu-HU"/>
        </w:rPr>
        <w:t xml:space="preserve">stolés diszfunkcióban is szenved. Ilyen esetekben diuretikus kezelés elindítása vagy a már szedett diuretikumok dózisának emelése javasolt. A folyadékretenció jeleit mutató betegeknél a diuretikus terápiát már a </w:t>
      </w:r>
      <w:r w:rsidR="006264FB" w:rsidRPr="00D93355">
        <w:rPr>
          <w:lang w:val="hu-HU"/>
        </w:rPr>
        <w:t>bozentán</w:t>
      </w:r>
      <w:r w:rsidRPr="00D93355">
        <w:rPr>
          <w:lang w:val="hu-HU"/>
        </w:rPr>
        <w:noBreakHyphen/>
        <w:t>kezelés megkezdése előtt meg kell fontolni.</w:t>
      </w:r>
    </w:p>
    <w:p w14:paraId="53D24B34" w14:textId="77777777" w:rsidR="00E36D26" w:rsidRPr="00D93355" w:rsidRDefault="00E36D26">
      <w:pPr>
        <w:spacing w:line="240" w:lineRule="auto"/>
        <w:rPr>
          <w:lang w:val="hu-HU"/>
        </w:rPr>
      </w:pPr>
    </w:p>
    <w:p w14:paraId="459BF4AA" w14:textId="77777777" w:rsidR="00E36D26" w:rsidRPr="00D93355" w:rsidRDefault="00E36D26">
      <w:pPr>
        <w:pStyle w:val="Default"/>
        <w:keepNext/>
        <w:rPr>
          <w:sz w:val="22"/>
          <w:szCs w:val="22"/>
        </w:rPr>
      </w:pPr>
      <w:r w:rsidRPr="00D93355">
        <w:rPr>
          <w:iCs/>
          <w:sz w:val="22"/>
          <w:szCs w:val="22"/>
          <w:u w:val="single"/>
        </w:rPr>
        <w:t>HIV</w:t>
      </w:r>
      <w:r w:rsidRPr="00D93355">
        <w:rPr>
          <w:iCs/>
          <w:sz w:val="22"/>
          <w:szCs w:val="22"/>
          <w:u w:val="single"/>
        </w:rPr>
        <w:noBreakHyphen/>
        <w:t>fertőzéshez társuló pulmonalis arteriás hypertonia</w:t>
      </w:r>
    </w:p>
    <w:p w14:paraId="0B05F162" w14:textId="77777777" w:rsidR="00E36D26" w:rsidRPr="00D93355" w:rsidRDefault="00E36D26">
      <w:pPr>
        <w:keepNext/>
        <w:spacing w:line="240" w:lineRule="auto"/>
        <w:rPr>
          <w:lang w:val="hu-HU"/>
        </w:rPr>
      </w:pPr>
    </w:p>
    <w:p w14:paraId="7E09E4FC" w14:textId="77777777" w:rsidR="00E36D26" w:rsidRPr="00D93355" w:rsidRDefault="00E36D26">
      <w:pPr>
        <w:keepNext/>
        <w:spacing w:line="240" w:lineRule="auto"/>
        <w:rPr>
          <w:lang w:val="hu-HU"/>
        </w:rPr>
      </w:pPr>
      <w:r w:rsidRPr="00D93355">
        <w:rPr>
          <w:lang w:val="hu-HU"/>
        </w:rPr>
        <w:t>Antiretrovirális gyógyszerekkel kezelt, HIV</w:t>
      </w:r>
      <w:r w:rsidRPr="00D93355">
        <w:rPr>
          <w:lang w:val="hu-HU"/>
        </w:rPr>
        <w:noBreakHyphen/>
        <w:t>fertőzéshez társuló PAH</w:t>
      </w:r>
      <w:r w:rsidRPr="00D93355">
        <w:rPr>
          <w:lang w:val="hu-HU"/>
        </w:rPr>
        <w:noBreakHyphen/>
        <w:t xml:space="preserve">ban szenvedő betegeknél a </w:t>
      </w:r>
      <w:r w:rsidR="006264FB" w:rsidRPr="00D93355">
        <w:rPr>
          <w:lang w:val="hu-HU"/>
        </w:rPr>
        <w:t>bozentán</w:t>
      </w:r>
      <w:r w:rsidRPr="00D93355">
        <w:rPr>
          <w:lang w:val="hu-HU"/>
        </w:rPr>
        <w:t xml:space="preserve"> alkalmazásával kapcsolatban korlátozottak a rendelkezésre álló klinikai vizsgálati tapasztalatok (lásd 5.1 pont). Egy egészséges egyénekkel végzett, </w:t>
      </w:r>
      <w:r w:rsidR="006264FB" w:rsidRPr="00D93355">
        <w:rPr>
          <w:lang w:val="hu-HU"/>
        </w:rPr>
        <w:t>bozentán</w:t>
      </w:r>
      <w:r w:rsidRPr="00D93355">
        <w:rPr>
          <w:lang w:val="hu-HU"/>
        </w:rPr>
        <w:t xml:space="preserve"> és lopinavir+ritonavir közötti interakciós vizsgálat a </w:t>
      </w:r>
      <w:r w:rsidR="006264FB" w:rsidRPr="00D93355">
        <w:rPr>
          <w:lang w:val="hu-HU"/>
        </w:rPr>
        <w:t>bozentán</w:t>
      </w:r>
      <w:r w:rsidRPr="00D93355">
        <w:rPr>
          <w:lang w:val="hu-HU"/>
        </w:rPr>
        <w:t xml:space="preserve"> emelkedett plazmakoncentrációját mutatta, mely maximumát a kezelés első 4 napja alatt érte el (lásd 4.5 pont). Amikor olyan betegnél kezdenek </w:t>
      </w:r>
      <w:r w:rsidR="006264FB" w:rsidRPr="00D93355">
        <w:rPr>
          <w:lang w:val="hu-HU"/>
        </w:rPr>
        <w:t>bozentán</w:t>
      </w:r>
      <w:r w:rsidRPr="00D93355">
        <w:rPr>
          <w:lang w:val="hu-HU"/>
        </w:rPr>
        <w:noBreakHyphen/>
        <w:t>kezelést, akinek ritonavir</w:t>
      </w:r>
      <w:r w:rsidR="009F76FC">
        <w:rPr>
          <w:lang w:val="hu-HU"/>
        </w:rPr>
        <w:t>rel támogatott</w:t>
      </w:r>
      <w:r w:rsidRPr="00D93355">
        <w:rPr>
          <w:lang w:val="hu-HU"/>
        </w:rPr>
        <w:t xml:space="preserve"> proteáz</w:t>
      </w:r>
      <w:r w:rsidRPr="00D93355">
        <w:rPr>
          <w:lang w:val="hu-HU"/>
        </w:rPr>
        <w:noBreakHyphen/>
        <w:t xml:space="preserve">inhibitorra van szüksége, az iniciációs fázis elején gondosan ellenőrizni kell a beteg </w:t>
      </w:r>
      <w:r w:rsidR="006264FB" w:rsidRPr="00D93355">
        <w:rPr>
          <w:lang w:val="hu-HU"/>
        </w:rPr>
        <w:t>bozentán</w:t>
      </w:r>
      <w:r w:rsidRPr="00D93355">
        <w:rPr>
          <w:lang w:val="hu-HU"/>
        </w:rPr>
        <w:t>nal szembeni toleranciáját, a hypotonia kockázatára és a májfunkciós vizsgálatokra való tekintettel. Nem zárható ki a hepatotoxicitás és a hematológiai mellékhatások fokozott, hos</w:t>
      </w:r>
      <w:r w:rsidR="001960F4" w:rsidRPr="00D93355">
        <w:rPr>
          <w:lang w:val="hu-HU"/>
        </w:rPr>
        <w:t>szú távú kockázata, amikor a bozentá</w:t>
      </w:r>
      <w:r w:rsidRPr="00D93355">
        <w:rPr>
          <w:lang w:val="hu-HU"/>
        </w:rPr>
        <w:t xml:space="preserve">nt antiretrovirális gyógyszerekkel kombinálva alkalmazzák. A </w:t>
      </w:r>
      <w:r w:rsidR="006264FB" w:rsidRPr="00D93355">
        <w:rPr>
          <w:lang w:val="hu-HU"/>
        </w:rPr>
        <w:t>bozentán</w:t>
      </w:r>
      <w:r w:rsidRPr="00D93355">
        <w:rPr>
          <w:lang w:val="hu-HU"/>
        </w:rPr>
        <w:t xml:space="preserve"> CYP450 enzimekre kifejtett indukáló hatása következtében létrejövő lehetséges kölcsönhatások miatt (lásd 4.5 pont) </w:t>
      </w:r>
      <w:r w:rsidR="004F1214" w:rsidRPr="00D93355">
        <w:rPr>
          <w:lang w:val="hu-HU"/>
        </w:rPr>
        <w:t>–</w:t>
      </w:r>
      <w:r w:rsidRPr="00D93355">
        <w:rPr>
          <w:lang w:val="hu-HU"/>
        </w:rPr>
        <w:t xml:space="preserve"> amelyek esetleg befolyásolhatják az antiretrovirális kezelés hatásosságát </w:t>
      </w:r>
      <w:r w:rsidR="004F1214" w:rsidRPr="00D93355">
        <w:rPr>
          <w:lang w:val="hu-HU"/>
        </w:rPr>
        <w:t>–</w:t>
      </w:r>
      <w:r w:rsidRPr="00D93355">
        <w:rPr>
          <w:lang w:val="hu-HU"/>
        </w:rPr>
        <w:t xml:space="preserve"> az ilyen betegeket a HIV</w:t>
      </w:r>
      <w:r w:rsidRPr="00D93355">
        <w:rPr>
          <w:lang w:val="hu-HU"/>
        </w:rPr>
        <w:noBreakHyphen/>
        <w:t>fertőzés tekintetében is gondosan monitorozni kell.</w:t>
      </w:r>
    </w:p>
    <w:p w14:paraId="5CA29414" w14:textId="77777777" w:rsidR="00E36D26" w:rsidRPr="00D93355" w:rsidRDefault="00E36D26">
      <w:pPr>
        <w:spacing w:line="240" w:lineRule="auto"/>
        <w:rPr>
          <w:lang w:val="hu-HU"/>
        </w:rPr>
      </w:pPr>
    </w:p>
    <w:p w14:paraId="641798E8" w14:textId="77777777" w:rsidR="00E36D26" w:rsidRPr="00D93355" w:rsidRDefault="00E36D26">
      <w:pPr>
        <w:pStyle w:val="Default"/>
        <w:keepNext/>
        <w:rPr>
          <w:sz w:val="22"/>
          <w:szCs w:val="22"/>
        </w:rPr>
      </w:pPr>
      <w:r w:rsidRPr="00D93355">
        <w:rPr>
          <w:iCs/>
          <w:sz w:val="22"/>
          <w:szCs w:val="22"/>
          <w:u w:val="single"/>
        </w:rPr>
        <w:t>Krónikus obstruktív tüdőbetegség (COPD) következtében kialakuló másodlagos pulmonalis hypertonia</w:t>
      </w:r>
    </w:p>
    <w:p w14:paraId="7851EDB8" w14:textId="77777777" w:rsidR="00E36D26" w:rsidRPr="00D93355" w:rsidRDefault="00E36D26">
      <w:pPr>
        <w:keepNext/>
        <w:spacing w:line="240" w:lineRule="auto"/>
        <w:rPr>
          <w:lang w:val="hu-HU"/>
        </w:rPr>
      </w:pPr>
    </w:p>
    <w:p w14:paraId="7A19AC31" w14:textId="77777777" w:rsidR="00E36D26" w:rsidRPr="00D93355" w:rsidRDefault="00E36D26">
      <w:pPr>
        <w:keepNext/>
        <w:spacing w:line="240" w:lineRule="auto"/>
        <w:rPr>
          <w:lang w:val="hu-HU"/>
        </w:rPr>
      </w:pPr>
      <w:r w:rsidRPr="00D93355">
        <w:rPr>
          <w:lang w:val="hu-HU"/>
        </w:rPr>
        <w:t xml:space="preserve">A </w:t>
      </w:r>
      <w:r w:rsidR="006264FB" w:rsidRPr="00D93355">
        <w:rPr>
          <w:lang w:val="hu-HU"/>
        </w:rPr>
        <w:t>bozentán</w:t>
      </w:r>
      <w:r w:rsidRPr="00D93355">
        <w:rPr>
          <w:lang w:val="hu-HU"/>
        </w:rPr>
        <w:t xml:space="preserve"> biztonságosságát és tolerálhatóságát egy feltáró jellegű, nem</w:t>
      </w:r>
      <w:r w:rsidR="00174E05">
        <w:rPr>
          <w:lang w:val="hu-HU"/>
        </w:rPr>
        <w:t xml:space="preserve"> </w:t>
      </w:r>
      <w:r w:rsidRPr="00D93355">
        <w:rPr>
          <w:lang w:val="hu-HU"/>
        </w:rPr>
        <w:t xml:space="preserve">kontrollos, 12 hetes vizsgálatban tanulmányozták, 11, súlyos COPD következtében másodlagosan kialakult pulmonalis hypertoniában (GOLD szerinti III. súlyossági fokozat) szenvedő betegnél. A percventilláció emelkedését és az oxigénszaturáció csökkenését, valamint leggyakoribb mellékhatásként nehézlégzés jelentkezését figyelték meg, amely a </w:t>
      </w:r>
      <w:r w:rsidR="006264FB" w:rsidRPr="00D93355">
        <w:rPr>
          <w:lang w:val="hu-HU"/>
        </w:rPr>
        <w:t>bozentán</w:t>
      </w:r>
      <w:r w:rsidRPr="00D93355">
        <w:rPr>
          <w:lang w:val="hu-HU"/>
        </w:rPr>
        <w:noBreakHyphen/>
        <w:t>kezelés felfüggesztése után megszűnt.</w:t>
      </w:r>
    </w:p>
    <w:p w14:paraId="45EFD9D9" w14:textId="77777777" w:rsidR="00E36D26" w:rsidRPr="00D93355" w:rsidRDefault="00E36D26">
      <w:pPr>
        <w:spacing w:line="240" w:lineRule="auto"/>
        <w:rPr>
          <w:lang w:val="hu-HU"/>
        </w:rPr>
      </w:pPr>
    </w:p>
    <w:p w14:paraId="1D853206" w14:textId="77777777" w:rsidR="00E36D26" w:rsidRPr="00D93355" w:rsidRDefault="00E36D26">
      <w:pPr>
        <w:pStyle w:val="Default"/>
        <w:keepNext/>
        <w:rPr>
          <w:sz w:val="22"/>
          <w:szCs w:val="22"/>
        </w:rPr>
      </w:pPr>
      <w:r w:rsidRPr="00D93355">
        <w:rPr>
          <w:i/>
          <w:iCs/>
          <w:sz w:val="22"/>
          <w:szCs w:val="22"/>
          <w:u w:val="single"/>
        </w:rPr>
        <w:t>Együttes alkalmazása egyéb gyógyszerekkel</w:t>
      </w:r>
    </w:p>
    <w:p w14:paraId="19DCE201" w14:textId="77777777" w:rsidR="00E36D26" w:rsidRPr="00D93355" w:rsidRDefault="00E36D26">
      <w:pPr>
        <w:keepNext/>
        <w:spacing w:line="240" w:lineRule="auto"/>
        <w:rPr>
          <w:iCs/>
          <w:lang w:val="hu-HU"/>
        </w:rPr>
      </w:pPr>
    </w:p>
    <w:p w14:paraId="49D70153" w14:textId="77777777" w:rsidR="00E36D26" w:rsidRPr="00D93355" w:rsidRDefault="006264FB">
      <w:pPr>
        <w:keepNext/>
        <w:spacing w:line="240" w:lineRule="auto"/>
        <w:rPr>
          <w:i/>
          <w:iCs/>
          <w:lang w:val="hu-HU"/>
        </w:rPr>
      </w:pPr>
      <w:r w:rsidRPr="00D93355">
        <w:rPr>
          <w:lang w:val="hu-HU"/>
        </w:rPr>
        <w:t>Bozentán</w:t>
      </w:r>
      <w:r w:rsidR="00E36D26" w:rsidRPr="00D93355">
        <w:rPr>
          <w:lang w:val="hu-HU"/>
        </w:rPr>
        <w:t xml:space="preserve"> és ciklosporin</w:t>
      </w:r>
      <w:r w:rsidR="005B2E28" w:rsidRPr="00D93355">
        <w:rPr>
          <w:lang w:val="hu-HU"/>
        </w:rPr>
        <w:t xml:space="preserve"> A</w:t>
      </w:r>
      <w:r w:rsidR="00E36D26" w:rsidRPr="00D93355">
        <w:rPr>
          <w:lang w:val="hu-HU"/>
        </w:rPr>
        <w:t xml:space="preserve"> együttes alkalmazása ellenjavallt (lásd 4.3 és 4.5 pont).</w:t>
      </w:r>
    </w:p>
    <w:p w14:paraId="585AB97F" w14:textId="77777777" w:rsidR="00E36D26" w:rsidRPr="00D93355" w:rsidRDefault="006264FB">
      <w:pPr>
        <w:pStyle w:val="Default"/>
        <w:rPr>
          <w:sz w:val="22"/>
          <w:szCs w:val="22"/>
        </w:rPr>
      </w:pPr>
      <w:r w:rsidRPr="00D93355">
        <w:rPr>
          <w:sz w:val="22"/>
          <w:szCs w:val="22"/>
        </w:rPr>
        <w:t>Bozentán</w:t>
      </w:r>
      <w:r w:rsidR="00E36D26" w:rsidRPr="00D93355">
        <w:rPr>
          <w:sz w:val="22"/>
          <w:szCs w:val="22"/>
        </w:rPr>
        <w:t xml:space="preserve"> és glibenklamid, flukonazol, valamint rifampicin együttes alkalmazása nem javasolt. További részletekért lásd a 4.5 pontot.</w:t>
      </w:r>
    </w:p>
    <w:p w14:paraId="2B8B3001" w14:textId="77777777" w:rsidR="00E36D26" w:rsidRPr="00D93355" w:rsidRDefault="00E36D26">
      <w:pPr>
        <w:pStyle w:val="Default"/>
        <w:rPr>
          <w:sz w:val="22"/>
          <w:szCs w:val="22"/>
        </w:rPr>
      </w:pPr>
    </w:p>
    <w:p w14:paraId="15BD5B4D" w14:textId="77777777" w:rsidR="00E36D26" w:rsidRPr="00D93355" w:rsidRDefault="00E36D26">
      <w:pPr>
        <w:spacing w:line="240" w:lineRule="auto"/>
        <w:rPr>
          <w:lang w:val="hu-HU"/>
        </w:rPr>
      </w:pPr>
      <w:r w:rsidRPr="00D93355">
        <w:rPr>
          <w:lang w:val="hu-HU"/>
        </w:rPr>
        <w:t>CYP3A4</w:t>
      </w:r>
      <w:r w:rsidRPr="00D93355">
        <w:rPr>
          <w:lang w:val="hu-HU"/>
        </w:rPr>
        <w:noBreakHyphen/>
        <w:t xml:space="preserve"> és CYP2C9</w:t>
      </w:r>
      <w:r w:rsidRPr="00D93355">
        <w:rPr>
          <w:lang w:val="hu-HU"/>
        </w:rPr>
        <w:noBreakHyphen/>
        <w:t xml:space="preserve">inhibitorok </w:t>
      </w:r>
      <w:r w:rsidR="006264FB" w:rsidRPr="00D93355">
        <w:rPr>
          <w:lang w:val="hu-HU"/>
        </w:rPr>
        <w:t>bozentán</w:t>
      </w:r>
      <w:r w:rsidRPr="00D93355">
        <w:rPr>
          <w:lang w:val="hu-HU"/>
        </w:rPr>
        <w:t>nal való együttes alkalmazása kerülendő (lásd 4.5 pont).</w:t>
      </w:r>
    </w:p>
    <w:p w14:paraId="1C6450A6" w14:textId="77777777" w:rsidR="00E36D26" w:rsidRPr="00D93355" w:rsidRDefault="00E36D26">
      <w:pPr>
        <w:keepNext/>
        <w:spacing w:line="240" w:lineRule="auto"/>
        <w:ind w:left="567" w:hanging="567"/>
        <w:outlineLvl w:val="0"/>
        <w:rPr>
          <w:b/>
          <w:bCs/>
          <w:lang w:val="hu-HU"/>
        </w:rPr>
      </w:pPr>
    </w:p>
    <w:p w14:paraId="4F76A235"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4.5</w:t>
      </w:r>
      <w:r w:rsidRPr="00D93355">
        <w:rPr>
          <w:b/>
          <w:bCs/>
          <w:lang w:val="hu-HU"/>
        </w:rPr>
        <w:tab/>
        <w:t>Gyógyszerkölcsönhatások és egyéb interakciók</w:t>
      </w:r>
    </w:p>
    <w:p w14:paraId="1539A40C" w14:textId="77777777" w:rsidR="00E36D26" w:rsidRPr="00D93355" w:rsidRDefault="00E36D26">
      <w:pPr>
        <w:keepNext/>
        <w:spacing w:line="240" w:lineRule="auto"/>
        <w:rPr>
          <w:lang w:val="hu-HU"/>
        </w:rPr>
      </w:pPr>
    </w:p>
    <w:p w14:paraId="5F571D33" w14:textId="77777777" w:rsidR="00E36D26" w:rsidRPr="00D93355" w:rsidRDefault="00E36D26">
      <w:pPr>
        <w:keepNext/>
        <w:spacing w:line="240" w:lineRule="auto"/>
        <w:rPr>
          <w:lang w:val="hu-HU"/>
        </w:rPr>
      </w:pPr>
      <w:r w:rsidRPr="00D93355">
        <w:rPr>
          <w:lang w:val="hu-HU"/>
        </w:rPr>
        <w:t xml:space="preserve">A </w:t>
      </w:r>
      <w:r w:rsidR="006264FB" w:rsidRPr="00D93355">
        <w:rPr>
          <w:lang w:val="hu-HU"/>
        </w:rPr>
        <w:t>bozentán</w:t>
      </w:r>
      <w:r w:rsidRPr="00D93355">
        <w:rPr>
          <w:lang w:val="hu-HU"/>
        </w:rPr>
        <w:t xml:space="preserve"> a CYP2C9 és CYP3A4 citokróm </w:t>
      </w:r>
      <w:r w:rsidR="00EE16A6" w:rsidRPr="00D93355">
        <w:rPr>
          <w:lang w:val="hu-HU"/>
        </w:rPr>
        <w:t>(CYP)</w:t>
      </w:r>
      <w:r w:rsidR="00EE16A6">
        <w:rPr>
          <w:lang w:val="hu-HU"/>
        </w:rPr>
        <w:t xml:space="preserve"> </w:t>
      </w:r>
      <w:r w:rsidRPr="00D93355">
        <w:rPr>
          <w:lang w:val="hu-HU"/>
        </w:rPr>
        <w:t xml:space="preserve">P450 izoenzimek induktora. </w:t>
      </w:r>
      <w:r w:rsidRPr="00D93355">
        <w:rPr>
          <w:i/>
          <w:lang w:val="hu-HU"/>
        </w:rPr>
        <w:t>I</w:t>
      </w:r>
      <w:r w:rsidRPr="00D93355">
        <w:rPr>
          <w:i/>
          <w:iCs/>
          <w:lang w:val="hu-HU"/>
        </w:rPr>
        <w:t xml:space="preserve">n vitro </w:t>
      </w:r>
      <w:r w:rsidRPr="00D93355">
        <w:rPr>
          <w:lang w:val="hu-HU"/>
        </w:rPr>
        <w:t xml:space="preserve">adatok a CYP2C19 izoenzimet indukáló hatásra is utalnak. Ebből következően a fenti izoenzimek által metabolizált anyagok koncentrációja csökken </w:t>
      </w:r>
      <w:r w:rsidR="006264FB" w:rsidRPr="00D93355">
        <w:rPr>
          <w:lang w:val="hu-HU"/>
        </w:rPr>
        <w:t>bozentán</w:t>
      </w:r>
      <w:r w:rsidRPr="00D93355">
        <w:rPr>
          <w:lang w:val="hu-HU"/>
        </w:rPr>
        <w:t xml:space="preserve"> egyidejű alkalmazásakor. Figyelembe kell tehát venni annak lehetőségét, hogy az ezen izoenzimek által metabolizált gyógyszerek hatásossága esetleg megváltozik. Az ilyen készítmények adagolását az egyidejű </w:t>
      </w:r>
      <w:r w:rsidR="006264FB" w:rsidRPr="00D93355">
        <w:rPr>
          <w:lang w:val="hu-HU"/>
        </w:rPr>
        <w:t>bozentán</w:t>
      </w:r>
      <w:r w:rsidRPr="00D93355">
        <w:rPr>
          <w:lang w:val="hu-HU"/>
        </w:rPr>
        <w:noBreakHyphen/>
        <w:t>kezelés elindítása, dózisának módosítása vagy felfüggesztése után felül kell vizsgálni.</w:t>
      </w:r>
    </w:p>
    <w:p w14:paraId="2C081A40" w14:textId="77777777" w:rsidR="00E36D26" w:rsidRPr="00D93355" w:rsidRDefault="00E36D26">
      <w:pPr>
        <w:spacing w:line="240" w:lineRule="auto"/>
        <w:rPr>
          <w:lang w:val="hu-HU"/>
        </w:rPr>
      </w:pPr>
    </w:p>
    <w:p w14:paraId="4DE3D23B" w14:textId="77777777" w:rsidR="00E36D26" w:rsidRPr="00D93355" w:rsidRDefault="00E36D26">
      <w:pPr>
        <w:spacing w:line="240" w:lineRule="auto"/>
        <w:rPr>
          <w:lang w:val="hu-HU"/>
        </w:rPr>
      </w:pPr>
      <w:r w:rsidRPr="00D93355">
        <w:rPr>
          <w:lang w:val="hu-HU"/>
        </w:rPr>
        <w:t xml:space="preserve">A </w:t>
      </w:r>
      <w:r w:rsidR="006264FB" w:rsidRPr="00D93355">
        <w:rPr>
          <w:lang w:val="hu-HU"/>
        </w:rPr>
        <w:t>bozentán</w:t>
      </w:r>
      <w:r w:rsidRPr="00D93355">
        <w:rPr>
          <w:lang w:val="hu-HU"/>
        </w:rPr>
        <w:t xml:space="preserve">t a CYP2C9 és a CYP3A4 metabolizálja. Ezen izoenzimek gátlása a </w:t>
      </w:r>
      <w:r w:rsidR="006264FB" w:rsidRPr="00D93355">
        <w:rPr>
          <w:lang w:val="hu-HU"/>
        </w:rPr>
        <w:t>bozentán</w:t>
      </w:r>
      <w:r w:rsidRPr="00D93355">
        <w:rPr>
          <w:lang w:val="hu-HU"/>
        </w:rPr>
        <w:t xml:space="preserve"> plazmakoncentrációjának növekedésével járhat (lásd ketokonazol). A CYP2C9-inhibitorok </w:t>
      </w:r>
      <w:r w:rsidR="006264FB" w:rsidRPr="00D93355">
        <w:rPr>
          <w:lang w:val="hu-HU"/>
        </w:rPr>
        <w:t>bozentán</w:t>
      </w:r>
      <w:r w:rsidRPr="00D93355">
        <w:rPr>
          <w:lang w:val="hu-HU"/>
        </w:rPr>
        <w:t xml:space="preserve"> koncentrációra gyakorolt hatását nem vizsgálták. Ezt a kombinációt elővigyázatosan kell alkalmazni.</w:t>
      </w:r>
    </w:p>
    <w:p w14:paraId="3804F820" w14:textId="77777777" w:rsidR="00E36D26" w:rsidRPr="00D93355" w:rsidRDefault="00E36D26">
      <w:pPr>
        <w:spacing w:line="240" w:lineRule="auto"/>
        <w:rPr>
          <w:lang w:val="hu-HU"/>
        </w:rPr>
      </w:pPr>
    </w:p>
    <w:p w14:paraId="31AFC389" w14:textId="77777777" w:rsidR="00E36D26" w:rsidRPr="00D93355" w:rsidRDefault="00E36D26">
      <w:pPr>
        <w:spacing w:line="240" w:lineRule="auto"/>
        <w:rPr>
          <w:lang w:val="hu-HU"/>
        </w:rPr>
      </w:pPr>
      <w:r w:rsidRPr="00D93355">
        <w:rPr>
          <w:i/>
          <w:iCs/>
          <w:lang w:val="hu-HU"/>
        </w:rPr>
        <w:t xml:space="preserve">Flukonazol és egyéb CYP2C9- és CYP3A4-inhibitorok: </w:t>
      </w:r>
      <w:r w:rsidRPr="00D93355">
        <w:rPr>
          <w:lang w:val="hu-HU"/>
        </w:rPr>
        <w:t>Az elsősorban a CYP2C9 izoenzimet, de bizonyos mértékben a CYP3A4</w:t>
      </w:r>
      <w:r w:rsidRPr="00D93355">
        <w:rPr>
          <w:lang w:val="hu-HU"/>
        </w:rPr>
        <w:noBreakHyphen/>
        <w:t>et is gátló flukonazol egy</w:t>
      </w:r>
      <w:r w:rsidR="006370AF">
        <w:rPr>
          <w:lang w:val="hu-HU"/>
        </w:rPr>
        <w:t>üttes szedése</w:t>
      </w:r>
      <w:r w:rsidRPr="00D93355">
        <w:rPr>
          <w:lang w:val="hu-HU"/>
        </w:rPr>
        <w:t xml:space="preserve"> a plazma </w:t>
      </w:r>
      <w:r w:rsidR="006264FB" w:rsidRPr="00D93355">
        <w:rPr>
          <w:lang w:val="hu-HU"/>
        </w:rPr>
        <w:t>bozentán</w:t>
      </w:r>
      <w:r w:rsidRPr="00D93355">
        <w:rPr>
          <w:lang w:val="hu-HU"/>
        </w:rPr>
        <w:t xml:space="preserve"> koncentrációjának jelentős növekedéséhez vezethet. Ez a kombináció nem javasolt. Ugyanezen oknál fogva nem javasolt erős CYP3A4</w:t>
      </w:r>
      <w:r w:rsidRPr="00D93355">
        <w:rPr>
          <w:lang w:val="hu-HU"/>
        </w:rPr>
        <w:noBreakHyphen/>
        <w:t>inhibitor (pl. ketokonazol, itrakonazol vagy ritonavir) és valamilyen CYP2C9</w:t>
      </w:r>
      <w:r w:rsidRPr="00D93355">
        <w:rPr>
          <w:lang w:val="hu-HU"/>
        </w:rPr>
        <w:noBreakHyphen/>
        <w:t xml:space="preserve">inhibitor (pl. vorikonazol) együttes alkalmazása </w:t>
      </w:r>
      <w:r w:rsidR="006264FB" w:rsidRPr="00D93355">
        <w:rPr>
          <w:lang w:val="hu-HU"/>
        </w:rPr>
        <w:t>bozentán</w:t>
      </w:r>
      <w:r w:rsidRPr="00D93355">
        <w:rPr>
          <w:lang w:val="hu-HU"/>
        </w:rPr>
        <w:t>nal.</w:t>
      </w:r>
    </w:p>
    <w:p w14:paraId="3EED256D" w14:textId="77777777" w:rsidR="00E36D26" w:rsidRPr="00D93355" w:rsidRDefault="00E36D26">
      <w:pPr>
        <w:spacing w:line="240" w:lineRule="auto"/>
        <w:rPr>
          <w:lang w:val="hu-HU"/>
        </w:rPr>
      </w:pPr>
    </w:p>
    <w:p w14:paraId="2AC1AB74" w14:textId="77777777" w:rsidR="00E36D26" w:rsidRPr="00D93355" w:rsidRDefault="00E36D26">
      <w:pPr>
        <w:keepNext/>
        <w:spacing w:line="240" w:lineRule="auto"/>
        <w:rPr>
          <w:lang w:val="hu-HU"/>
        </w:rPr>
      </w:pPr>
      <w:r w:rsidRPr="00D93355">
        <w:rPr>
          <w:i/>
          <w:iCs/>
          <w:lang w:val="hu-HU"/>
        </w:rPr>
        <w:lastRenderedPageBreak/>
        <w:t>Ciklosporin A</w:t>
      </w:r>
      <w:r w:rsidRPr="00D93355">
        <w:rPr>
          <w:lang w:val="hu-HU"/>
        </w:rPr>
        <w:t xml:space="preserve">: </w:t>
      </w:r>
      <w:r w:rsidR="00585867">
        <w:rPr>
          <w:lang w:val="hu-HU"/>
        </w:rPr>
        <w:t>B</w:t>
      </w:r>
      <w:r w:rsidR="006264FB" w:rsidRPr="00D93355">
        <w:rPr>
          <w:lang w:val="hu-HU"/>
        </w:rPr>
        <w:t>ozentán</w:t>
      </w:r>
      <w:r w:rsidRPr="00D93355">
        <w:rPr>
          <w:lang w:val="hu-HU"/>
        </w:rPr>
        <w:t xml:space="preserve"> és ciklosporin A (kalcineurin gátló) együttes alkalmazása ellenjavallt (lásd 4.3 pont). Egyidejű alkalmazáskor a </w:t>
      </w:r>
      <w:r w:rsidR="006264FB" w:rsidRPr="00D93355">
        <w:rPr>
          <w:lang w:val="hu-HU"/>
        </w:rPr>
        <w:t>bozentán</w:t>
      </w:r>
      <w:r w:rsidRPr="00D93355">
        <w:rPr>
          <w:lang w:val="hu-HU"/>
        </w:rPr>
        <w:t xml:space="preserve"> kezdeti minimális koncentrációja körülbelül harmincszorosa volt annak, amit a </w:t>
      </w:r>
      <w:r w:rsidR="006264FB" w:rsidRPr="00D93355">
        <w:rPr>
          <w:lang w:val="hu-HU"/>
        </w:rPr>
        <w:t>bozentán</w:t>
      </w:r>
      <w:r w:rsidRPr="00D93355">
        <w:rPr>
          <w:lang w:val="hu-HU"/>
        </w:rPr>
        <w:t xml:space="preserve"> monoterápiában történő alkalmazásakor mértek. Dinamikus egyensúlyi állapotban a </w:t>
      </w:r>
      <w:r w:rsidR="006264FB" w:rsidRPr="00D93355">
        <w:rPr>
          <w:lang w:val="hu-HU"/>
        </w:rPr>
        <w:t>bozentán</w:t>
      </w:r>
      <w:r w:rsidRPr="00D93355">
        <w:rPr>
          <w:lang w:val="hu-HU"/>
        </w:rPr>
        <w:t xml:space="preserve"> plazmakoncentrációja 3</w:t>
      </w:r>
      <w:r w:rsidRPr="00D93355">
        <w:rPr>
          <w:lang w:val="hu-HU"/>
        </w:rPr>
        <w:noBreakHyphen/>
        <w:t>4</w:t>
      </w:r>
      <w:r w:rsidRPr="00D93355">
        <w:rPr>
          <w:lang w:val="hu-HU"/>
        </w:rPr>
        <w:noBreakHyphen/>
        <w:t xml:space="preserve">szer nagyobb volt, mint </w:t>
      </w:r>
      <w:r w:rsidR="006264FB" w:rsidRPr="00D93355">
        <w:rPr>
          <w:lang w:val="hu-HU"/>
        </w:rPr>
        <w:t>bozentán</w:t>
      </w:r>
      <w:r w:rsidRPr="00D93355">
        <w:rPr>
          <w:lang w:val="hu-HU"/>
        </w:rPr>
        <w:t xml:space="preserve">-monoterápiában. Ennek a kölcsönhatásnak a mechanizmusa legnagyobb valószínűséggel az, hogy a ciklosporin gátolja a </w:t>
      </w:r>
      <w:r w:rsidR="006264FB" w:rsidRPr="00D93355">
        <w:rPr>
          <w:lang w:val="hu-HU"/>
        </w:rPr>
        <w:t>bozentán</w:t>
      </w:r>
      <w:r w:rsidRPr="00D93355">
        <w:rPr>
          <w:lang w:val="hu-HU"/>
        </w:rPr>
        <w:t xml:space="preserve"> transzportfehérje által mediált felvételét a májsejtekbe. A ciklosporin A (CYP3A4 szubsztrát) vérkoncentrációja kb. 50%</w:t>
      </w:r>
      <w:r w:rsidRPr="00D93355">
        <w:rPr>
          <w:lang w:val="hu-HU"/>
        </w:rPr>
        <w:noBreakHyphen/>
        <w:t xml:space="preserve">kal csökkent. Ennek legvalószínűbb oka a CYP3A4 </w:t>
      </w:r>
      <w:r w:rsidR="006264FB" w:rsidRPr="00D93355">
        <w:rPr>
          <w:lang w:val="hu-HU"/>
        </w:rPr>
        <w:t>bozentán</w:t>
      </w:r>
      <w:r w:rsidRPr="00D93355">
        <w:rPr>
          <w:lang w:val="hu-HU"/>
        </w:rPr>
        <w:t xml:space="preserve"> általi indukciója.</w:t>
      </w:r>
    </w:p>
    <w:p w14:paraId="62DB4759" w14:textId="77777777" w:rsidR="00E36D26" w:rsidRPr="00D93355" w:rsidRDefault="00E36D26">
      <w:pPr>
        <w:spacing w:line="240" w:lineRule="auto"/>
        <w:rPr>
          <w:lang w:val="hu-HU"/>
        </w:rPr>
      </w:pPr>
    </w:p>
    <w:p w14:paraId="114D02BE" w14:textId="77777777" w:rsidR="00E36D26" w:rsidRPr="00D93355" w:rsidRDefault="00E36D26">
      <w:pPr>
        <w:pStyle w:val="Default"/>
        <w:keepNext/>
        <w:rPr>
          <w:sz w:val="22"/>
          <w:szCs w:val="22"/>
        </w:rPr>
      </w:pPr>
      <w:r w:rsidRPr="00D93355">
        <w:rPr>
          <w:i/>
          <w:iCs/>
          <w:sz w:val="22"/>
          <w:szCs w:val="22"/>
        </w:rPr>
        <w:t>Takrolimusz, szirolimusz</w:t>
      </w:r>
      <w:r w:rsidRPr="00D93355">
        <w:rPr>
          <w:sz w:val="22"/>
          <w:szCs w:val="22"/>
        </w:rPr>
        <w:t xml:space="preserve">: </w:t>
      </w:r>
      <w:r w:rsidR="00585867">
        <w:rPr>
          <w:sz w:val="22"/>
          <w:szCs w:val="22"/>
        </w:rPr>
        <w:t>T</w:t>
      </w:r>
      <w:r w:rsidRPr="00D93355">
        <w:rPr>
          <w:sz w:val="22"/>
          <w:szCs w:val="22"/>
        </w:rPr>
        <w:t xml:space="preserve">akrolimusz vagy szirolimusz és </w:t>
      </w:r>
      <w:r w:rsidR="006264FB" w:rsidRPr="00D93355">
        <w:rPr>
          <w:sz w:val="22"/>
          <w:szCs w:val="22"/>
        </w:rPr>
        <w:t>bozentán</w:t>
      </w:r>
      <w:r w:rsidRPr="00D93355">
        <w:rPr>
          <w:sz w:val="22"/>
          <w:szCs w:val="22"/>
        </w:rPr>
        <w:t xml:space="preserve"> együttes alkalmazását embernél még nem vizsgálták, de a ciklosporin A</w:t>
      </w:r>
      <w:r w:rsidRPr="00D93355">
        <w:rPr>
          <w:sz w:val="22"/>
          <w:szCs w:val="22"/>
        </w:rPr>
        <w:noBreakHyphen/>
        <w:t xml:space="preserve">hoz hasonlóan takrolimusz vagy szirolimusz és </w:t>
      </w:r>
      <w:r w:rsidR="006264FB" w:rsidRPr="00D93355">
        <w:rPr>
          <w:sz w:val="22"/>
          <w:szCs w:val="22"/>
        </w:rPr>
        <w:t>bozentán</w:t>
      </w:r>
      <w:r w:rsidRPr="00D93355">
        <w:rPr>
          <w:sz w:val="22"/>
          <w:szCs w:val="22"/>
        </w:rPr>
        <w:t xml:space="preserve"> kombinációja a </w:t>
      </w:r>
      <w:r w:rsidR="006264FB" w:rsidRPr="00D93355">
        <w:rPr>
          <w:sz w:val="22"/>
          <w:szCs w:val="22"/>
        </w:rPr>
        <w:t>bozentán</w:t>
      </w:r>
      <w:r w:rsidRPr="00D93355">
        <w:rPr>
          <w:sz w:val="22"/>
          <w:szCs w:val="22"/>
        </w:rPr>
        <w:t xml:space="preserve"> plazmakoncentrációjának emelkedését okozhatja. Az együtt adott </w:t>
      </w:r>
      <w:r w:rsidR="006264FB" w:rsidRPr="00D93355">
        <w:rPr>
          <w:sz w:val="22"/>
          <w:szCs w:val="22"/>
        </w:rPr>
        <w:t>bozentán</w:t>
      </w:r>
      <w:r w:rsidRPr="00D93355">
        <w:rPr>
          <w:sz w:val="22"/>
          <w:szCs w:val="22"/>
        </w:rPr>
        <w:t xml:space="preserve"> csökkentheti a takrolimusz és szirolimusz plazmakoncentrációját. Emiatt </w:t>
      </w:r>
      <w:r w:rsidR="006264FB" w:rsidRPr="00D93355">
        <w:rPr>
          <w:sz w:val="22"/>
          <w:szCs w:val="22"/>
        </w:rPr>
        <w:t>bozentán</w:t>
      </w:r>
      <w:r w:rsidRPr="00D93355">
        <w:rPr>
          <w:sz w:val="22"/>
          <w:szCs w:val="22"/>
        </w:rPr>
        <w:t xml:space="preserve"> és takrolimusz vagy szirolimusz együttes alkalmazása nem javasolt. Azokat a betegeket, akik számára ez a kombináció szükséges, szoros monitorozás alatt kell tartani a </w:t>
      </w:r>
      <w:r w:rsidR="006264FB" w:rsidRPr="00D93355">
        <w:rPr>
          <w:sz w:val="22"/>
          <w:szCs w:val="22"/>
        </w:rPr>
        <w:t>bozentán</w:t>
      </w:r>
      <w:r w:rsidRPr="00D93355">
        <w:rPr>
          <w:sz w:val="22"/>
          <w:szCs w:val="22"/>
        </w:rPr>
        <w:t xml:space="preserve"> mellékhatásai és a takrolimusz, illetve szirolimusz vérkoncentráció </w:t>
      </w:r>
      <w:r w:rsidR="00212BDA">
        <w:rPr>
          <w:sz w:val="22"/>
          <w:szCs w:val="22"/>
        </w:rPr>
        <w:t>ellenő</w:t>
      </w:r>
      <w:r w:rsidR="00E21219">
        <w:rPr>
          <w:sz w:val="22"/>
          <w:szCs w:val="22"/>
        </w:rPr>
        <w:t>r</w:t>
      </w:r>
      <w:r w:rsidR="00212BDA">
        <w:rPr>
          <w:sz w:val="22"/>
          <w:szCs w:val="22"/>
        </w:rPr>
        <w:t>z</w:t>
      </w:r>
      <w:r w:rsidRPr="00D93355">
        <w:rPr>
          <w:sz w:val="22"/>
          <w:szCs w:val="22"/>
        </w:rPr>
        <w:t>ése céljából.</w:t>
      </w:r>
    </w:p>
    <w:p w14:paraId="526EEB98" w14:textId="77777777" w:rsidR="00E36D26" w:rsidRPr="00D93355" w:rsidRDefault="00E36D26">
      <w:pPr>
        <w:spacing w:line="240" w:lineRule="auto"/>
        <w:rPr>
          <w:i/>
          <w:iCs/>
          <w:lang w:val="hu-HU"/>
        </w:rPr>
      </w:pPr>
    </w:p>
    <w:p w14:paraId="04510562" w14:textId="77777777" w:rsidR="00E36D26" w:rsidRPr="00D93355" w:rsidRDefault="00E36D26">
      <w:pPr>
        <w:keepNext/>
        <w:spacing w:line="240" w:lineRule="auto"/>
        <w:rPr>
          <w:lang w:val="hu-HU"/>
        </w:rPr>
      </w:pPr>
      <w:r w:rsidRPr="00D93355">
        <w:rPr>
          <w:i/>
          <w:iCs/>
          <w:lang w:val="hu-HU"/>
        </w:rPr>
        <w:t>Glibenklamid</w:t>
      </w:r>
      <w:r w:rsidRPr="00D93355">
        <w:rPr>
          <w:lang w:val="hu-HU"/>
        </w:rPr>
        <w:t xml:space="preserve">: </w:t>
      </w:r>
      <w:r w:rsidR="00585867">
        <w:rPr>
          <w:lang w:val="hu-HU"/>
        </w:rPr>
        <w:t>N</w:t>
      </w:r>
      <w:r w:rsidRPr="00D93355">
        <w:rPr>
          <w:lang w:val="hu-HU"/>
        </w:rPr>
        <w:t xml:space="preserve">aponta kétszer 125 mg </w:t>
      </w:r>
      <w:r w:rsidR="006264FB" w:rsidRPr="00D93355">
        <w:rPr>
          <w:lang w:val="hu-HU"/>
        </w:rPr>
        <w:t>bozentán</w:t>
      </w:r>
      <w:r w:rsidRPr="00D93355">
        <w:rPr>
          <w:lang w:val="hu-HU"/>
        </w:rPr>
        <w:t xml:space="preserve"> 5 napon keresztül történő egyidejű alkalmazása a glibenklamid (CYP3A4-szubsztrát) plazmakoncentrációját 40%</w:t>
      </w:r>
      <w:r w:rsidRPr="00D93355">
        <w:rPr>
          <w:lang w:val="hu-HU"/>
        </w:rPr>
        <w:noBreakHyphen/>
        <w:t xml:space="preserve">kal csökkentette, ami a hypoglykaemiás hatás potenciálisan jelentős csökkenését eredményezte. A </w:t>
      </w:r>
      <w:r w:rsidR="006264FB" w:rsidRPr="00D93355">
        <w:rPr>
          <w:lang w:val="hu-HU"/>
        </w:rPr>
        <w:t>bozentán</w:t>
      </w:r>
      <w:r w:rsidRPr="00D93355">
        <w:rPr>
          <w:lang w:val="hu-HU"/>
        </w:rPr>
        <w:t xml:space="preserve"> plazmakoncentrációja ugyancsak csökkent, 29%</w:t>
      </w:r>
      <w:r w:rsidRPr="00D93355">
        <w:rPr>
          <w:lang w:val="hu-HU"/>
        </w:rPr>
        <w:noBreakHyphen/>
        <w:t xml:space="preserve">kal. Ezen felül az emelkedett aminotranszferázszintek gyakoribb előfordulása volt megfigyelhető a kombinált kezelésben részesülő betegeknél. Mind a glibenklamid, mind a </w:t>
      </w:r>
      <w:r w:rsidR="006264FB" w:rsidRPr="00D93355">
        <w:rPr>
          <w:lang w:val="hu-HU"/>
        </w:rPr>
        <w:t>bozentán</w:t>
      </w:r>
      <w:r w:rsidRPr="00D93355">
        <w:rPr>
          <w:lang w:val="hu-HU"/>
        </w:rPr>
        <w:t xml:space="preserve"> gátolja az epesó</w:t>
      </w:r>
      <w:r w:rsidRPr="00D93355">
        <w:rPr>
          <w:lang w:val="hu-HU"/>
        </w:rPr>
        <w:noBreakHyphen/>
        <w:t>exportpumpa működését, ami magyarázhatja a megnövekedett aminotranszferázszinteket. Ebből következően a kombináció kerülendő. Egyéb szulfonilureákkal kapcsolatban nem állnak rendelkezésre gyógyszer</w:t>
      </w:r>
      <w:r w:rsidRPr="00D93355">
        <w:rPr>
          <w:lang w:val="hu-HU"/>
        </w:rPr>
        <w:noBreakHyphen/>
        <w:t>gyógyszer kölcsönhatási adatok.</w:t>
      </w:r>
    </w:p>
    <w:p w14:paraId="334827F1" w14:textId="77777777" w:rsidR="00E36D26" w:rsidRPr="00D93355" w:rsidRDefault="00E36D26">
      <w:pPr>
        <w:spacing w:line="240" w:lineRule="auto"/>
        <w:rPr>
          <w:lang w:val="hu-HU"/>
        </w:rPr>
      </w:pPr>
    </w:p>
    <w:p w14:paraId="723109E3" w14:textId="77777777" w:rsidR="00E36D26" w:rsidRPr="00D93355" w:rsidRDefault="00E36D26">
      <w:pPr>
        <w:pStyle w:val="Default"/>
        <w:rPr>
          <w:sz w:val="22"/>
          <w:szCs w:val="22"/>
        </w:rPr>
      </w:pPr>
      <w:r w:rsidRPr="00D93355">
        <w:rPr>
          <w:i/>
          <w:iCs/>
          <w:sz w:val="22"/>
          <w:szCs w:val="22"/>
        </w:rPr>
        <w:t xml:space="preserve">Rifampicin: </w:t>
      </w:r>
      <w:r w:rsidRPr="00D93355">
        <w:rPr>
          <w:sz w:val="22"/>
          <w:szCs w:val="22"/>
        </w:rPr>
        <w:t xml:space="preserve">9 egészséges alanynál a 7 napon át, naponta kétszer adott 125 mg </w:t>
      </w:r>
      <w:r w:rsidR="006264FB" w:rsidRPr="00D93355">
        <w:rPr>
          <w:sz w:val="22"/>
          <w:szCs w:val="22"/>
        </w:rPr>
        <w:t>bozentán</w:t>
      </w:r>
      <w:r w:rsidRPr="00D93355">
        <w:rPr>
          <w:sz w:val="22"/>
          <w:szCs w:val="22"/>
        </w:rPr>
        <w:t xml:space="preserve">, valamint az erős CYP2C9- és CYP3A4-induktor rifampicin együttes alkalmazása a </w:t>
      </w:r>
      <w:r w:rsidR="006264FB" w:rsidRPr="00D93355">
        <w:rPr>
          <w:sz w:val="22"/>
          <w:szCs w:val="22"/>
        </w:rPr>
        <w:t>bozentán</w:t>
      </w:r>
      <w:r w:rsidRPr="00D93355">
        <w:rPr>
          <w:sz w:val="22"/>
          <w:szCs w:val="22"/>
        </w:rPr>
        <w:t xml:space="preserve"> plazmakoncentrációját 58%-kal csökkentette, amely csökkenés egy esetben majdnem 90%-os volt. Ennek eredményeként a rifampicinnel történő együttes alkalmazást követően a </w:t>
      </w:r>
      <w:r w:rsidR="006264FB" w:rsidRPr="00D93355">
        <w:rPr>
          <w:sz w:val="22"/>
          <w:szCs w:val="22"/>
        </w:rPr>
        <w:t>bozentán</w:t>
      </w:r>
      <w:r w:rsidRPr="00D93355">
        <w:rPr>
          <w:sz w:val="22"/>
          <w:szCs w:val="22"/>
        </w:rPr>
        <w:t xml:space="preserve"> hatásának jelentős csökkenése várható. Rimfapicin és </w:t>
      </w:r>
      <w:r w:rsidR="00976C72">
        <w:rPr>
          <w:sz w:val="22"/>
          <w:szCs w:val="22"/>
        </w:rPr>
        <w:t>Bosentan Pharmascience</w:t>
      </w:r>
      <w:r w:rsidR="001E117D" w:rsidRPr="00D93355">
        <w:rPr>
          <w:sz w:val="22"/>
          <w:szCs w:val="22"/>
        </w:rPr>
        <w:t xml:space="preserve"> </w:t>
      </w:r>
      <w:r w:rsidRPr="00D93355">
        <w:rPr>
          <w:sz w:val="22"/>
          <w:szCs w:val="22"/>
        </w:rPr>
        <w:t xml:space="preserve">együttes alkalmazása nem javasolt. Egyéb CYP3A4-induktorokra, pl. karbamazepinre, fenobarbitálra, fenitoinra és közönséges orbáncfűre vonatkozóan nem állnak rendelkezésre adatok, egyidejű alkalmazásuk azonban várhatóan a szisztémás </w:t>
      </w:r>
      <w:r w:rsidR="006264FB" w:rsidRPr="00D93355">
        <w:rPr>
          <w:sz w:val="22"/>
          <w:szCs w:val="22"/>
        </w:rPr>
        <w:t>bozentán</w:t>
      </w:r>
      <w:r w:rsidRPr="00D93355">
        <w:rPr>
          <w:sz w:val="22"/>
          <w:szCs w:val="22"/>
        </w:rPr>
        <w:t>-expozíció csökkenéséhez vezet. Nem zárható ki a hatásosság klinikailag jelentős csökkenése.</w:t>
      </w:r>
    </w:p>
    <w:p w14:paraId="5E55324A" w14:textId="77777777" w:rsidR="00E36D26" w:rsidRPr="00D93355" w:rsidRDefault="00E36D26">
      <w:pPr>
        <w:spacing w:line="240" w:lineRule="auto"/>
        <w:rPr>
          <w:i/>
          <w:iCs/>
          <w:lang w:val="hu-HU"/>
        </w:rPr>
      </w:pPr>
    </w:p>
    <w:p w14:paraId="05771F39" w14:textId="77777777" w:rsidR="00E36D26" w:rsidRPr="00D93355" w:rsidRDefault="00E36D26">
      <w:pPr>
        <w:spacing w:line="240" w:lineRule="auto"/>
        <w:rPr>
          <w:lang w:val="hu-HU"/>
        </w:rPr>
      </w:pPr>
      <w:r w:rsidRPr="00D93355">
        <w:rPr>
          <w:i/>
          <w:iCs/>
          <w:lang w:val="hu-HU"/>
        </w:rPr>
        <w:t xml:space="preserve">Lopinavir + ritonavir (és egyéb, ritonavirrel támogatott proteáz-gátlók): </w:t>
      </w:r>
      <w:r w:rsidR="00585867">
        <w:rPr>
          <w:iCs/>
          <w:lang w:val="hu-HU"/>
        </w:rPr>
        <w:t>N</w:t>
      </w:r>
      <w:r w:rsidRPr="00D93355">
        <w:rPr>
          <w:iCs/>
          <w:lang w:val="hu-HU"/>
        </w:rPr>
        <w:t xml:space="preserve">aponta kétszer </w:t>
      </w:r>
      <w:r w:rsidRPr="00D93355">
        <w:rPr>
          <w:lang w:val="hu-HU"/>
        </w:rPr>
        <w:t xml:space="preserve">125 mg </w:t>
      </w:r>
      <w:r w:rsidR="006264FB" w:rsidRPr="00D93355">
        <w:rPr>
          <w:lang w:val="hu-HU"/>
        </w:rPr>
        <w:t>bozentán</w:t>
      </w:r>
      <w:r w:rsidRPr="00D93355">
        <w:rPr>
          <w:lang w:val="hu-HU"/>
        </w:rPr>
        <w:t xml:space="preserve"> és napi kétszer 400 + 100 mg lopinavir + ritonavir 9,5 napon keresztüli kombinált alkalmazása egészséges önkénteseknél a </w:t>
      </w:r>
      <w:r w:rsidR="006264FB" w:rsidRPr="00D93355">
        <w:rPr>
          <w:lang w:val="hu-HU"/>
        </w:rPr>
        <w:t>bozentán</w:t>
      </w:r>
      <w:r w:rsidRPr="00D93355">
        <w:rPr>
          <w:lang w:val="hu-HU"/>
        </w:rPr>
        <w:t xml:space="preserve"> plazmakoncentrációjának kezdeti megemelkedését eredményezte, amely körülbelül 48</w:t>
      </w:r>
      <w:r w:rsidRPr="00D93355">
        <w:rPr>
          <w:lang w:val="hu-HU"/>
        </w:rPr>
        <w:noBreakHyphen/>
        <w:t xml:space="preserve">szor volt magasabb, mint amit </w:t>
      </w:r>
      <w:r w:rsidR="006264FB" w:rsidRPr="00D93355">
        <w:rPr>
          <w:lang w:val="hu-HU"/>
        </w:rPr>
        <w:t>bozentán</w:t>
      </w:r>
      <w:r w:rsidRPr="00D93355">
        <w:rPr>
          <w:lang w:val="hu-HU"/>
        </w:rPr>
        <w:t xml:space="preserve">-monoterápiában mértek. A 9. napon a </w:t>
      </w:r>
      <w:r w:rsidR="006264FB" w:rsidRPr="00D93355">
        <w:rPr>
          <w:lang w:val="hu-HU"/>
        </w:rPr>
        <w:t>bozentán</w:t>
      </w:r>
      <w:r w:rsidRPr="00D93355">
        <w:rPr>
          <w:lang w:val="hu-HU"/>
        </w:rPr>
        <w:t xml:space="preserve"> plazmakoncentrációja körülbelül 5</w:t>
      </w:r>
      <w:r w:rsidRPr="00D93355">
        <w:rPr>
          <w:lang w:val="hu-HU"/>
        </w:rPr>
        <w:noBreakHyphen/>
        <w:t xml:space="preserve">ször magasabb volt, mint </w:t>
      </w:r>
      <w:r w:rsidR="006264FB" w:rsidRPr="00D93355">
        <w:rPr>
          <w:lang w:val="hu-HU"/>
        </w:rPr>
        <w:t>bozentán</w:t>
      </w:r>
      <w:r w:rsidRPr="00D93355">
        <w:rPr>
          <w:lang w:val="hu-HU"/>
        </w:rPr>
        <w:noBreakHyphen/>
        <w:t xml:space="preserve">monoterápiában. Ezt a kölcsönhatást legnagyobb valószínűséggel az okozza, hogy a ritanovir gátolja mind a transzportfehérjék által mediált felvételt a májsejtekbe, mind a CYP3A4-et, ami csökkenti a </w:t>
      </w:r>
      <w:r w:rsidR="006264FB" w:rsidRPr="00D93355">
        <w:rPr>
          <w:lang w:val="hu-HU"/>
        </w:rPr>
        <w:t>bozentán</w:t>
      </w:r>
      <w:r w:rsidRPr="00D93355">
        <w:rPr>
          <w:lang w:val="hu-HU"/>
        </w:rPr>
        <w:t xml:space="preserve"> clearance</w:t>
      </w:r>
      <w:r w:rsidRPr="00D93355">
        <w:rPr>
          <w:lang w:val="hu-HU"/>
        </w:rPr>
        <w:noBreakHyphen/>
        <w:t xml:space="preserve">ét. Ha egyidejűleg adják lopinavirral + ritonavirral vagy más ritonavirrel támogatott proteáz-inhibitorral, a beteg </w:t>
      </w:r>
      <w:r w:rsidR="00976C72">
        <w:rPr>
          <w:lang w:val="hu-HU"/>
        </w:rPr>
        <w:t>Bosentan Pharmascience</w:t>
      </w:r>
      <w:r w:rsidR="005F1FE4" w:rsidRPr="00D93355">
        <w:rPr>
          <w:lang w:val="hu-HU"/>
        </w:rPr>
        <w:t>-</w:t>
      </w:r>
      <w:r w:rsidR="00BA76EA">
        <w:rPr>
          <w:lang w:val="hu-HU"/>
        </w:rPr>
        <w:t>sz</w:t>
      </w:r>
      <w:r w:rsidR="00A219A7" w:rsidRPr="00D93355">
        <w:rPr>
          <w:lang w:val="hu-HU"/>
        </w:rPr>
        <w:t>el</w:t>
      </w:r>
      <w:r w:rsidRPr="00D93355">
        <w:rPr>
          <w:lang w:val="hu-HU"/>
        </w:rPr>
        <w:t xml:space="preserve"> szembeni toleranciáját monitorozni kell.</w:t>
      </w:r>
    </w:p>
    <w:p w14:paraId="45F5751F" w14:textId="77777777" w:rsidR="00E36D26" w:rsidRPr="00D93355" w:rsidRDefault="00E36D26">
      <w:pPr>
        <w:spacing w:line="240" w:lineRule="auto"/>
        <w:rPr>
          <w:lang w:val="hu-HU"/>
        </w:rPr>
      </w:pPr>
    </w:p>
    <w:p w14:paraId="749AEE91" w14:textId="77777777" w:rsidR="00E36D26" w:rsidRPr="00D93355" w:rsidRDefault="00F5441C">
      <w:pPr>
        <w:spacing w:line="240" w:lineRule="auto"/>
        <w:rPr>
          <w:lang w:val="hu-HU"/>
        </w:rPr>
      </w:pPr>
      <w:r w:rsidRPr="00D93355">
        <w:rPr>
          <w:lang w:val="hu-HU"/>
        </w:rPr>
        <w:t xml:space="preserve">A bozentánnal </w:t>
      </w:r>
      <w:r w:rsidR="00E36D26" w:rsidRPr="00D93355">
        <w:rPr>
          <w:lang w:val="hu-HU"/>
        </w:rPr>
        <w:t>9,5 napig tartó egyidejű adagolást követően a lopinavir és a ritonavir plazmakoncentrációja klinikailag nem s</w:t>
      </w:r>
      <w:r w:rsidR="009F76FC">
        <w:rPr>
          <w:lang w:val="hu-HU"/>
        </w:rPr>
        <w:t>zignifikáns</w:t>
      </w:r>
      <w:r w:rsidR="00E36D26" w:rsidRPr="00D93355">
        <w:rPr>
          <w:lang w:val="hu-HU"/>
        </w:rPr>
        <w:t xml:space="preserve"> mértékben csökkent (sorrendben körülbelül 14</w:t>
      </w:r>
      <w:r w:rsidR="00A410E6" w:rsidRPr="00D93355">
        <w:rPr>
          <w:lang w:val="hu-HU"/>
        </w:rPr>
        <w:t>%-kal</w:t>
      </w:r>
      <w:r w:rsidR="00E36D26" w:rsidRPr="00D93355">
        <w:rPr>
          <w:lang w:val="hu-HU"/>
        </w:rPr>
        <w:t xml:space="preserve">, illetve 17%-kal). Ugyanakkor lehetséges, hogy a </w:t>
      </w:r>
      <w:r w:rsidR="006264FB" w:rsidRPr="00D93355">
        <w:rPr>
          <w:lang w:val="hu-HU"/>
        </w:rPr>
        <w:t>bozentán</w:t>
      </w:r>
      <w:r w:rsidR="00E36D26" w:rsidRPr="00D93355">
        <w:rPr>
          <w:lang w:val="hu-HU"/>
        </w:rPr>
        <w:t>nal nem érték el a teljes indukciót, és a proteáz-gátlók szintjének további csökkenése nem zárható ki. A HIV-kezelés megfelelő monitorozása javasolt. Más ritonavirrel támogatott proteáz</w:t>
      </w:r>
      <w:r w:rsidR="00E36D26" w:rsidRPr="00D93355">
        <w:rPr>
          <w:lang w:val="hu-HU"/>
        </w:rPr>
        <w:noBreakHyphen/>
        <w:t>gátlókkal hasonló hatások várhatók (lásd 4.4 pont).</w:t>
      </w:r>
    </w:p>
    <w:p w14:paraId="76BF1560" w14:textId="77777777" w:rsidR="00E36D26" w:rsidRPr="00D93355" w:rsidRDefault="00E36D26">
      <w:pPr>
        <w:spacing w:line="240" w:lineRule="auto"/>
        <w:rPr>
          <w:lang w:val="hu-HU"/>
        </w:rPr>
      </w:pPr>
    </w:p>
    <w:p w14:paraId="1BA408E0" w14:textId="77777777" w:rsidR="00E36D26" w:rsidRPr="00D93355" w:rsidRDefault="00E36D26" w:rsidP="00157956">
      <w:pPr>
        <w:spacing w:line="240" w:lineRule="auto"/>
        <w:rPr>
          <w:lang w:val="hu-HU"/>
        </w:rPr>
      </w:pPr>
      <w:r w:rsidRPr="00D93355">
        <w:rPr>
          <w:i/>
          <w:iCs/>
          <w:lang w:val="hu-HU"/>
        </w:rPr>
        <w:t xml:space="preserve">Egyéb antiretrovirális szerek: </w:t>
      </w:r>
      <w:r w:rsidR="00585867">
        <w:rPr>
          <w:lang w:val="hu-HU"/>
        </w:rPr>
        <w:t>A</w:t>
      </w:r>
      <w:r w:rsidRPr="00D93355">
        <w:rPr>
          <w:lang w:val="hu-HU"/>
        </w:rPr>
        <w:t xml:space="preserve">datok hiányában, egyéb forgalomban lévő antiretrovirális szerekkel kapcsolatosan nem adhatók specifikus ajánlások. A nevirapin kifejezett májkárosító hatása miatt </w:t>
      </w:r>
      <w:r w:rsidR="00A410E6" w:rsidRPr="00D93355">
        <w:rPr>
          <w:lang w:val="hu-HU"/>
        </w:rPr>
        <w:t>–</w:t>
      </w:r>
      <w:r w:rsidRPr="00D93355">
        <w:rPr>
          <w:lang w:val="hu-HU"/>
        </w:rPr>
        <w:t xml:space="preserve"> ami összeadódhat a </w:t>
      </w:r>
      <w:r w:rsidR="006264FB" w:rsidRPr="00D93355">
        <w:rPr>
          <w:lang w:val="hu-HU"/>
        </w:rPr>
        <w:t>bozentán</w:t>
      </w:r>
      <w:r w:rsidRPr="00D93355">
        <w:rPr>
          <w:lang w:val="hu-HU"/>
        </w:rPr>
        <w:t xml:space="preserve"> májkárosító hatásával </w:t>
      </w:r>
      <w:r w:rsidR="00A410E6" w:rsidRPr="00D93355">
        <w:rPr>
          <w:lang w:val="hu-HU"/>
        </w:rPr>
        <w:t>–</w:t>
      </w:r>
      <w:r w:rsidRPr="00D93355">
        <w:rPr>
          <w:lang w:val="hu-HU"/>
        </w:rPr>
        <w:t xml:space="preserve"> ez a kombináció nem javasolt.</w:t>
      </w:r>
    </w:p>
    <w:p w14:paraId="7EF53CBB" w14:textId="77777777" w:rsidR="00E36D26" w:rsidRPr="00D93355" w:rsidRDefault="00E36D26" w:rsidP="00157956">
      <w:pPr>
        <w:spacing w:line="240" w:lineRule="auto"/>
        <w:rPr>
          <w:lang w:val="hu-HU"/>
        </w:rPr>
      </w:pPr>
    </w:p>
    <w:p w14:paraId="2127DD74" w14:textId="77777777" w:rsidR="00E36D26" w:rsidRPr="00D93355" w:rsidRDefault="00E36D26" w:rsidP="00157956">
      <w:pPr>
        <w:pStyle w:val="Default"/>
        <w:keepNext/>
        <w:rPr>
          <w:sz w:val="22"/>
          <w:szCs w:val="22"/>
        </w:rPr>
      </w:pPr>
      <w:r w:rsidRPr="00D93355">
        <w:rPr>
          <w:i/>
          <w:iCs/>
          <w:sz w:val="22"/>
          <w:szCs w:val="22"/>
        </w:rPr>
        <w:t>Hormonális fogamzásgátlók</w:t>
      </w:r>
      <w:r w:rsidRPr="00D93355">
        <w:rPr>
          <w:i/>
          <w:iCs/>
          <w:color w:val="auto"/>
          <w:sz w:val="22"/>
          <w:szCs w:val="22"/>
        </w:rPr>
        <w:t>:</w:t>
      </w:r>
      <w:r w:rsidRPr="00D93355">
        <w:rPr>
          <w:i/>
          <w:iCs/>
          <w:sz w:val="22"/>
          <w:szCs w:val="22"/>
        </w:rPr>
        <w:t xml:space="preserve"> </w:t>
      </w:r>
      <w:r w:rsidRPr="00D93355">
        <w:rPr>
          <w:sz w:val="22"/>
          <w:szCs w:val="22"/>
        </w:rPr>
        <w:t xml:space="preserve">7 napon át naponta kétszer adott 125 mg </w:t>
      </w:r>
      <w:r w:rsidR="006264FB" w:rsidRPr="00D93355">
        <w:rPr>
          <w:sz w:val="22"/>
          <w:szCs w:val="22"/>
        </w:rPr>
        <w:t>bozentán</w:t>
      </w:r>
      <w:r w:rsidRPr="00D93355">
        <w:rPr>
          <w:sz w:val="22"/>
          <w:szCs w:val="22"/>
        </w:rPr>
        <w:t>, valamint egyszer adott, 1 mg noretiszteront + 35 mikrogramm etinil-ösztradiolt tartalmazó orális fogamzásgátló együttes alkalmazása a noretiszteron és az etinil-ösztradiol AUC</w:t>
      </w:r>
      <w:r w:rsidRPr="00D93355">
        <w:rPr>
          <w:sz w:val="22"/>
          <w:szCs w:val="22"/>
        </w:rPr>
        <w:noBreakHyphen/>
        <w:t>értékeit sorrendben 14%</w:t>
      </w:r>
      <w:r w:rsidRPr="00D93355">
        <w:rPr>
          <w:sz w:val="22"/>
          <w:szCs w:val="22"/>
        </w:rPr>
        <w:noBreakHyphen/>
        <w:t>kal, illetve 31%</w:t>
      </w:r>
      <w:r w:rsidRPr="00D93355">
        <w:rPr>
          <w:sz w:val="22"/>
          <w:szCs w:val="22"/>
        </w:rPr>
        <w:noBreakHyphen/>
        <w:t>kal csökkentette. Az expozíció maximális csökkenése azonban egyes betegeknél elérte az 56</w:t>
      </w:r>
      <w:r w:rsidR="00A410E6" w:rsidRPr="00D93355">
        <w:rPr>
          <w:sz w:val="22"/>
          <w:szCs w:val="22"/>
        </w:rPr>
        <w:t>%</w:t>
      </w:r>
      <w:r w:rsidR="00A410E6" w:rsidRPr="00D93355">
        <w:rPr>
          <w:sz w:val="22"/>
          <w:szCs w:val="22"/>
        </w:rPr>
        <w:noBreakHyphen/>
        <w:t>ot</w:t>
      </w:r>
      <w:r w:rsidRPr="00D93355">
        <w:rPr>
          <w:sz w:val="22"/>
          <w:szCs w:val="22"/>
        </w:rPr>
        <w:t>, ill</w:t>
      </w:r>
      <w:r w:rsidR="0016684C">
        <w:rPr>
          <w:sz w:val="22"/>
          <w:szCs w:val="22"/>
        </w:rPr>
        <w:t>etve</w:t>
      </w:r>
      <w:r w:rsidRPr="00D93355">
        <w:rPr>
          <w:sz w:val="22"/>
          <w:szCs w:val="22"/>
        </w:rPr>
        <w:t xml:space="preserve"> 66%</w:t>
      </w:r>
      <w:r w:rsidRPr="00D93355">
        <w:rPr>
          <w:sz w:val="22"/>
          <w:szCs w:val="22"/>
        </w:rPr>
        <w:noBreakHyphen/>
        <w:t>ot. Ezért a hormon</w:t>
      </w:r>
      <w:r w:rsidRPr="00D93355">
        <w:rPr>
          <w:sz w:val="22"/>
          <w:szCs w:val="22"/>
        </w:rPr>
        <w:noBreakHyphen/>
        <w:t xml:space="preserve">alapú fogamzásgátlók önmagukban </w:t>
      </w:r>
      <w:r w:rsidR="00A410E6" w:rsidRPr="00D93355">
        <w:rPr>
          <w:sz w:val="22"/>
          <w:szCs w:val="22"/>
        </w:rPr>
        <w:t>–</w:t>
      </w:r>
      <w:r w:rsidRPr="00D93355">
        <w:rPr>
          <w:sz w:val="22"/>
          <w:szCs w:val="22"/>
        </w:rPr>
        <w:t xml:space="preserve"> az alkalmazás módjától (vagyis orális, injekcióban történő, illetve transzdermális adagolás vagy implantátum) függetlenül </w:t>
      </w:r>
      <w:r w:rsidR="00A410E6" w:rsidRPr="00D93355">
        <w:rPr>
          <w:sz w:val="22"/>
          <w:szCs w:val="22"/>
        </w:rPr>
        <w:t>–</w:t>
      </w:r>
      <w:r w:rsidRPr="00D93355">
        <w:rPr>
          <w:sz w:val="22"/>
          <w:szCs w:val="22"/>
        </w:rPr>
        <w:t xml:space="preserve"> nem minősülnek megbízható fogamzásgátló eljárásoknak (lásd 4.4 és 4.6 pont).</w:t>
      </w:r>
    </w:p>
    <w:p w14:paraId="11676703" w14:textId="77777777" w:rsidR="00E36D26" w:rsidRPr="00D93355" w:rsidRDefault="00E36D26">
      <w:pPr>
        <w:pStyle w:val="Default"/>
        <w:keepNext/>
        <w:rPr>
          <w:i/>
          <w:iCs/>
          <w:sz w:val="22"/>
          <w:szCs w:val="22"/>
        </w:rPr>
      </w:pPr>
    </w:p>
    <w:p w14:paraId="46E79696" w14:textId="77777777" w:rsidR="00E36D26" w:rsidRPr="00D93355" w:rsidRDefault="00E36D26">
      <w:pPr>
        <w:pStyle w:val="Default"/>
        <w:keepNext/>
        <w:rPr>
          <w:sz w:val="22"/>
          <w:szCs w:val="22"/>
        </w:rPr>
      </w:pPr>
      <w:r w:rsidRPr="00D93355">
        <w:rPr>
          <w:i/>
          <w:iCs/>
          <w:sz w:val="22"/>
          <w:szCs w:val="22"/>
        </w:rPr>
        <w:t>Warfarin</w:t>
      </w:r>
      <w:r w:rsidRPr="00D93355">
        <w:rPr>
          <w:sz w:val="22"/>
          <w:szCs w:val="22"/>
        </w:rPr>
        <w:t xml:space="preserve">: </w:t>
      </w:r>
      <w:r w:rsidR="00585867">
        <w:rPr>
          <w:sz w:val="22"/>
          <w:szCs w:val="22"/>
        </w:rPr>
        <w:t>A</w:t>
      </w:r>
      <w:r w:rsidRPr="00D93355">
        <w:rPr>
          <w:sz w:val="22"/>
          <w:szCs w:val="22"/>
        </w:rPr>
        <w:t xml:space="preserve"> napi kétszer 500 mg </w:t>
      </w:r>
      <w:r w:rsidR="006264FB" w:rsidRPr="00D93355">
        <w:rPr>
          <w:sz w:val="22"/>
          <w:szCs w:val="22"/>
        </w:rPr>
        <w:t>bozentán</w:t>
      </w:r>
      <w:r w:rsidRPr="00D93355">
        <w:rPr>
          <w:sz w:val="22"/>
          <w:szCs w:val="22"/>
        </w:rPr>
        <w:t xml:space="preserve"> 6 napon keresztüli együttes alkalmazása mind az S</w:t>
      </w:r>
      <w:r w:rsidRPr="00D93355">
        <w:rPr>
          <w:sz w:val="22"/>
          <w:szCs w:val="22"/>
        </w:rPr>
        <w:noBreakHyphen/>
        <w:t>warfarin (CYP2C9-szubsztrát), mind pedig az R</w:t>
      </w:r>
      <w:r w:rsidRPr="00D93355">
        <w:rPr>
          <w:sz w:val="22"/>
          <w:szCs w:val="22"/>
        </w:rPr>
        <w:noBreakHyphen/>
        <w:t>warfarin (CYP3A4-szubsztrát) plazmakoncentrációját csökkentette, sorrendben 29%</w:t>
      </w:r>
      <w:r w:rsidRPr="00D93355">
        <w:rPr>
          <w:sz w:val="22"/>
          <w:szCs w:val="22"/>
        </w:rPr>
        <w:noBreakHyphen/>
        <w:t>kal, illetve 38%</w:t>
      </w:r>
      <w:r w:rsidRPr="00D93355">
        <w:rPr>
          <w:sz w:val="22"/>
          <w:szCs w:val="22"/>
        </w:rPr>
        <w:noBreakHyphen/>
        <w:t xml:space="preserve">kal. Klinikai tapasztalatok alapján a </w:t>
      </w:r>
      <w:r w:rsidR="000141D7">
        <w:rPr>
          <w:sz w:val="22"/>
          <w:szCs w:val="22"/>
        </w:rPr>
        <w:t>PAH-</w:t>
      </w:r>
      <w:r w:rsidRPr="00D93355">
        <w:rPr>
          <w:sz w:val="22"/>
          <w:szCs w:val="22"/>
        </w:rPr>
        <w:t xml:space="preserve">ban szenvedő betegeknél a </w:t>
      </w:r>
      <w:r w:rsidR="006264FB" w:rsidRPr="00D93355">
        <w:rPr>
          <w:sz w:val="22"/>
          <w:szCs w:val="22"/>
        </w:rPr>
        <w:t>bozentán</w:t>
      </w:r>
      <w:r w:rsidRPr="00D93355">
        <w:rPr>
          <w:sz w:val="22"/>
          <w:szCs w:val="22"/>
        </w:rPr>
        <w:t xml:space="preserve"> és warfarin együttes alkalmazása nem eredményezett klinikailag releváns változást sem a</w:t>
      </w:r>
      <w:r w:rsidR="009F76FC">
        <w:rPr>
          <w:sz w:val="22"/>
          <w:szCs w:val="22"/>
        </w:rPr>
        <w:t xml:space="preserve">z </w:t>
      </w:r>
      <w:r w:rsidRPr="00D93355">
        <w:rPr>
          <w:sz w:val="22"/>
          <w:szCs w:val="22"/>
        </w:rPr>
        <w:t>INR</w:t>
      </w:r>
      <w:r w:rsidR="009F76FC">
        <w:rPr>
          <w:sz w:val="22"/>
          <w:szCs w:val="22"/>
        </w:rPr>
        <w:t>-ben (</w:t>
      </w:r>
      <w:r w:rsidRPr="00D93355">
        <w:rPr>
          <w:sz w:val="22"/>
          <w:szCs w:val="22"/>
        </w:rPr>
        <w:t xml:space="preserve">International Normalized Ratio), sem a warfarin dózisában (a klinikai vizsgálatok kiindulási és záró értékeinek összehasonlítása alapján). Továbbá, a vizsgálatok során, a warfarin dózismódosítások gyakorisága </w:t>
      </w:r>
      <w:r w:rsidR="00A410E6" w:rsidRPr="00D93355">
        <w:rPr>
          <w:sz w:val="22"/>
          <w:szCs w:val="22"/>
        </w:rPr>
        <w:t>–</w:t>
      </w:r>
      <w:r w:rsidRPr="00D93355">
        <w:rPr>
          <w:sz w:val="22"/>
          <w:szCs w:val="22"/>
        </w:rPr>
        <w:t xml:space="preserve"> akár az INR változása, akár mellékhatások jelentkezése miatt </w:t>
      </w:r>
      <w:r w:rsidR="00A410E6" w:rsidRPr="00D93355">
        <w:rPr>
          <w:sz w:val="22"/>
          <w:szCs w:val="22"/>
        </w:rPr>
        <w:t>–</w:t>
      </w:r>
      <w:r w:rsidRPr="00D93355">
        <w:rPr>
          <w:sz w:val="22"/>
          <w:szCs w:val="22"/>
        </w:rPr>
        <w:t xml:space="preserve"> hasonló volt a </w:t>
      </w:r>
      <w:r w:rsidR="006264FB" w:rsidRPr="00D93355">
        <w:rPr>
          <w:sz w:val="22"/>
          <w:szCs w:val="22"/>
        </w:rPr>
        <w:t>bozentán</w:t>
      </w:r>
      <w:r w:rsidRPr="00D93355">
        <w:rPr>
          <w:sz w:val="22"/>
          <w:szCs w:val="22"/>
        </w:rPr>
        <w:t xml:space="preserve">nal és a placebóval kezelt betegeknél. A warfarin és hasonló, orális antikoagulánsok dózisát nem kell módosítani a </w:t>
      </w:r>
      <w:r w:rsidR="006264FB" w:rsidRPr="00D93355">
        <w:rPr>
          <w:sz w:val="22"/>
          <w:szCs w:val="22"/>
        </w:rPr>
        <w:t>bozentán</w:t>
      </w:r>
      <w:r w:rsidRPr="00D93355">
        <w:rPr>
          <w:sz w:val="22"/>
          <w:szCs w:val="22"/>
        </w:rPr>
        <w:noBreakHyphen/>
        <w:t xml:space="preserve">kezelés elindításakor, de </w:t>
      </w:r>
      <w:r w:rsidR="00A410E6" w:rsidRPr="00D93355">
        <w:rPr>
          <w:sz w:val="22"/>
          <w:szCs w:val="22"/>
        </w:rPr>
        <w:t>–</w:t>
      </w:r>
      <w:r w:rsidRPr="00D93355">
        <w:rPr>
          <w:sz w:val="22"/>
          <w:szCs w:val="22"/>
        </w:rPr>
        <w:t xml:space="preserve"> különösen a kezdeti szakaszban és a dózis fokozatos emelésekor </w:t>
      </w:r>
      <w:r w:rsidR="00A410E6" w:rsidRPr="00D93355">
        <w:rPr>
          <w:sz w:val="22"/>
          <w:szCs w:val="22"/>
        </w:rPr>
        <w:t>–</w:t>
      </w:r>
      <w:r w:rsidRPr="00D93355">
        <w:rPr>
          <w:sz w:val="22"/>
          <w:szCs w:val="22"/>
        </w:rPr>
        <w:t xml:space="preserve"> javasolt az INR gyakoribb monitorozása.</w:t>
      </w:r>
    </w:p>
    <w:p w14:paraId="3D88D0AF" w14:textId="77777777" w:rsidR="00E36D26" w:rsidRPr="00D93355" w:rsidRDefault="00E36D26">
      <w:pPr>
        <w:pStyle w:val="Default"/>
        <w:keepNext/>
        <w:rPr>
          <w:sz w:val="22"/>
          <w:szCs w:val="22"/>
        </w:rPr>
      </w:pPr>
    </w:p>
    <w:p w14:paraId="44BA9B65" w14:textId="77777777" w:rsidR="00E36D26" w:rsidRPr="00D93355" w:rsidRDefault="00E36D26">
      <w:pPr>
        <w:pStyle w:val="Default"/>
        <w:keepNext/>
        <w:rPr>
          <w:sz w:val="22"/>
          <w:szCs w:val="22"/>
        </w:rPr>
      </w:pPr>
      <w:r w:rsidRPr="00D93355">
        <w:rPr>
          <w:i/>
          <w:iCs/>
          <w:sz w:val="22"/>
          <w:szCs w:val="22"/>
        </w:rPr>
        <w:t>Szimvasztatin</w:t>
      </w:r>
      <w:r w:rsidRPr="00D93355">
        <w:rPr>
          <w:sz w:val="22"/>
          <w:szCs w:val="22"/>
        </w:rPr>
        <w:t xml:space="preserve">: </w:t>
      </w:r>
      <w:r w:rsidR="00585867">
        <w:rPr>
          <w:sz w:val="22"/>
          <w:szCs w:val="22"/>
        </w:rPr>
        <w:t>N</w:t>
      </w:r>
      <w:r w:rsidRPr="00D93355">
        <w:rPr>
          <w:sz w:val="22"/>
          <w:szCs w:val="22"/>
        </w:rPr>
        <w:t xml:space="preserve">api kétszer 125 mg </w:t>
      </w:r>
      <w:r w:rsidR="006264FB" w:rsidRPr="00D93355">
        <w:rPr>
          <w:sz w:val="22"/>
          <w:szCs w:val="22"/>
        </w:rPr>
        <w:t>bozentán</w:t>
      </w:r>
      <w:r w:rsidRPr="00D93355">
        <w:rPr>
          <w:sz w:val="22"/>
          <w:szCs w:val="22"/>
        </w:rPr>
        <w:t xml:space="preserve"> és szimvasztatin 5 napon keresztül történő együttes alkalmazása a szimvasztatin (CYP3A4-szubsztrát) és aktív béta</w:t>
      </w:r>
      <w:r w:rsidRPr="00D93355">
        <w:rPr>
          <w:sz w:val="22"/>
          <w:szCs w:val="22"/>
        </w:rPr>
        <w:noBreakHyphen/>
        <w:t>hidroxisav metabolitjának plazmakoncentrációját sorrendben 34%</w:t>
      </w:r>
      <w:r w:rsidRPr="00D93355">
        <w:rPr>
          <w:sz w:val="22"/>
          <w:szCs w:val="22"/>
        </w:rPr>
        <w:noBreakHyphen/>
        <w:t>kal, illetve 46%</w:t>
      </w:r>
      <w:r w:rsidRPr="00D93355">
        <w:rPr>
          <w:sz w:val="22"/>
          <w:szCs w:val="22"/>
        </w:rPr>
        <w:noBreakHyphen/>
        <w:t xml:space="preserve">kal csökkentette. A </w:t>
      </w:r>
      <w:r w:rsidR="006264FB" w:rsidRPr="00D93355">
        <w:rPr>
          <w:sz w:val="22"/>
          <w:szCs w:val="22"/>
        </w:rPr>
        <w:t>bozentán</w:t>
      </w:r>
      <w:r w:rsidRPr="00D93355">
        <w:rPr>
          <w:sz w:val="22"/>
          <w:szCs w:val="22"/>
        </w:rPr>
        <w:t xml:space="preserve"> plazmakoncentrációját az egyidejűleg adott szimvasztatin nem befolyásolta. Meg kell fontolni a koleszterinszint monitorozását és az ennek megfelelő dózismódosítást.</w:t>
      </w:r>
    </w:p>
    <w:p w14:paraId="45E85904" w14:textId="77777777" w:rsidR="00E36D26" w:rsidRPr="00D93355" w:rsidRDefault="00E36D26">
      <w:pPr>
        <w:pStyle w:val="Default"/>
        <w:keepNext/>
        <w:rPr>
          <w:sz w:val="22"/>
          <w:szCs w:val="22"/>
        </w:rPr>
      </w:pPr>
    </w:p>
    <w:p w14:paraId="7DABDACC" w14:textId="77777777" w:rsidR="00E36D26" w:rsidRPr="00D93355" w:rsidRDefault="00E36D26">
      <w:pPr>
        <w:pStyle w:val="Default"/>
        <w:keepNext/>
        <w:rPr>
          <w:sz w:val="22"/>
          <w:szCs w:val="22"/>
        </w:rPr>
      </w:pPr>
      <w:r w:rsidRPr="00D93355">
        <w:rPr>
          <w:i/>
          <w:iCs/>
          <w:sz w:val="22"/>
          <w:szCs w:val="22"/>
        </w:rPr>
        <w:t>Ketokonazol</w:t>
      </w:r>
      <w:r w:rsidRPr="00D93355">
        <w:rPr>
          <w:sz w:val="22"/>
          <w:szCs w:val="22"/>
        </w:rPr>
        <w:t xml:space="preserve">: </w:t>
      </w:r>
      <w:r w:rsidR="00585867">
        <w:rPr>
          <w:sz w:val="22"/>
          <w:szCs w:val="22"/>
        </w:rPr>
        <w:t>N</w:t>
      </w:r>
      <w:r w:rsidRPr="00D93355">
        <w:rPr>
          <w:sz w:val="22"/>
          <w:szCs w:val="22"/>
        </w:rPr>
        <w:t xml:space="preserve">api kétszer 62,5 mg </w:t>
      </w:r>
      <w:r w:rsidR="006264FB" w:rsidRPr="00D93355">
        <w:rPr>
          <w:sz w:val="22"/>
          <w:szCs w:val="22"/>
        </w:rPr>
        <w:t>bozentán</w:t>
      </w:r>
      <w:r w:rsidRPr="00D93355">
        <w:rPr>
          <w:sz w:val="22"/>
          <w:szCs w:val="22"/>
        </w:rPr>
        <w:t xml:space="preserve"> és az erős CYP3A4</w:t>
      </w:r>
      <w:r w:rsidRPr="00D93355">
        <w:rPr>
          <w:sz w:val="22"/>
          <w:szCs w:val="22"/>
        </w:rPr>
        <w:noBreakHyphen/>
        <w:t xml:space="preserve">inhibitor ketokonazol 6 napon keresztül történő egyidejű alkalmazása megközelítőleg kétszeresre növelte a </w:t>
      </w:r>
      <w:r w:rsidR="006264FB" w:rsidRPr="00D93355">
        <w:rPr>
          <w:sz w:val="22"/>
          <w:szCs w:val="22"/>
        </w:rPr>
        <w:t>bozentán</w:t>
      </w:r>
      <w:r w:rsidRPr="00D93355">
        <w:rPr>
          <w:sz w:val="22"/>
          <w:szCs w:val="22"/>
        </w:rPr>
        <w:t xml:space="preserve"> plazmakoncentrációját. A </w:t>
      </w:r>
      <w:r w:rsidR="006264FB" w:rsidRPr="00D93355">
        <w:rPr>
          <w:sz w:val="22"/>
          <w:szCs w:val="22"/>
        </w:rPr>
        <w:t>bozentán</w:t>
      </w:r>
      <w:r w:rsidRPr="00D93355">
        <w:rPr>
          <w:sz w:val="22"/>
          <w:szCs w:val="22"/>
        </w:rPr>
        <w:t xml:space="preserve"> dózisát nem szükséges módosítani. Bár ezt </w:t>
      </w:r>
      <w:r w:rsidRPr="00D93355">
        <w:rPr>
          <w:i/>
          <w:iCs/>
          <w:sz w:val="22"/>
          <w:szCs w:val="22"/>
        </w:rPr>
        <w:t xml:space="preserve">in vivo </w:t>
      </w:r>
      <w:r w:rsidRPr="00D93355">
        <w:rPr>
          <w:sz w:val="22"/>
          <w:szCs w:val="22"/>
        </w:rPr>
        <w:t xml:space="preserve">vizsgálatokkal nem igazolták, a </w:t>
      </w:r>
      <w:r w:rsidR="006264FB" w:rsidRPr="00D93355">
        <w:rPr>
          <w:sz w:val="22"/>
          <w:szCs w:val="22"/>
        </w:rPr>
        <w:t>bozentán</w:t>
      </w:r>
      <w:r w:rsidRPr="00D93355">
        <w:rPr>
          <w:sz w:val="22"/>
          <w:szCs w:val="22"/>
        </w:rPr>
        <w:t xml:space="preserve"> plazmakoncentrációjának hasonló növekedése várható más, erős CYP3A4</w:t>
      </w:r>
      <w:r w:rsidRPr="00D93355">
        <w:rPr>
          <w:sz w:val="22"/>
          <w:szCs w:val="22"/>
        </w:rPr>
        <w:noBreakHyphen/>
        <w:t>inhibitorok (pl. itrakonazol vagy ritonavir) esetén is. CYP3A4</w:t>
      </w:r>
      <w:r w:rsidRPr="00D93355">
        <w:rPr>
          <w:sz w:val="22"/>
          <w:szCs w:val="22"/>
        </w:rPr>
        <w:noBreakHyphen/>
        <w:t>inhibitorral kombinált alkalmazáskor azonban a lassú CYP2C9</w:t>
      </w:r>
      <w:r w:rsidRPr="00D93355">
        <w:rPr>
          <w:sz w:val="22"/>
          <w:szCs w:val="22"/>
        </w:rPr>
        <w:noBreakHyphen/>
        <w:t xml:space="preserve">metabolizáló betegeknél fennáll a </w:t>
      </w:r>
      <w:r w:rsidR="006264FB" w:rsidRPr="00D93355">
        <w:rPr>
          <w:sz w:val="22"/>
          <w:szCs w:val="22"/>
        </w:rPr>
        <w:t>bozentán</w:t>
      </w:r>
      <w:r w:rsidRPr="00D93355">
        <w:rPr>
          <w:sz w:val="22"/>
          <w:szCs w:val="22"/>
        </w:rPr>
        <w:t xml:space="preserve"> nagyobb mértékű plazmakoncentráció-növekedésének kockázata, ami potenciálisan mellékhatásokat okozhat.</w:t>
      </w:r>
    </w:p>
    <w:p w14:paraId="44F5B6F9" w14:textId="77777777" w:rsidR="00E36D26" w:rsidRPr="00D93355" w:rsidRDefault="00E36D26">
      <w:pPr>
        <w:keepNext/>
        <w:spacing w:line="240" w:lineRule="auto"/>
        <w:rPr>
          <w:i/>
          <w:iCs/>
          <w:lang w:val="hu-HU"/>
        </w:rPr>
      </w:pPr>
    </w:p>
    <w:p w14:paraId="217959D5" w14:textId="77777777" w:rsidR="00E36D26" w:rsidRPr="00D93355" w:rsidRDefault="00E36D26">
      <w:pPr>
        <w:keepNext/>
        <w:spacing w:line="240" w:lineRule="auto"/>
        <w:rPr>
          <w:lang w:val="hu-HU"/>
        </w:rPr>
      </w:pPr>
      <w:r w:rsidRPr="00D93355">
        <w:rPr>
          <w:i/>
          <w:iCs/>
          <w:lang w:val="hu-HU"/>
        </w:rPr>
        <w:t xml:space="preserve">Epoprosztenol: </w:t>
      </w:r>
      <w:r w:rsidRPr="00D93355">
        <w:rPr>
          <w:lang w:val="hu-HU"/>
        </w:rPr>
        <w:t xml:space="preserve">10 kombinált, </w:t>
      </w:r>
      <w:r w:rsidR="006264FB" w:rsidRPr="00D93355">
        <w:rPr>
          <w:lang w:val="hu-HU"/>
        </w:rPr>
        <w:t>bozentán</w:t>
      </w:r>
      <w:r w:rsidRPr="00D93355">
        <w:rPr>
          <w:lang w:val="hu-HU"/>
        </w:rPr>
        <w:noBreakHyphen/>
        <w:t xml:space="preserve"> és epoprosztenol</w:t>
      </w:r>
      <w:r w:rsidRPr="00D93355">
        <w:rPr>
          <w:lang w:val="hu-HU"/>
        </w:rPr>
        <w:noBreakHyphen/>
        <w:t xml:space="preserve">kezelésben részesült gyermekgyógyászati beteggel végzett vizsgálatból (AC-052-356 [BREATHE-3]) nyert korlátozott mennyiségű adat arra utal, hogy a </w:t>
      </w:r>
      <w:r w:rsidR="006264FB" w:rsidRPr="00D93355">
        <w:rPr>
          <w:lang w:val="hu-HU"/>
        </w:rPr>
        <w:t>bozentán</w:t>
      </w:r>
      <w:r w:rsidRPr="00D93355">
        <w:rPr>
          <w:lang w:val="hu-HU"/>
        </w:rPr>
        <w:t xml:space="preserve"> </w:t>
      </w:r>
      <w:r w:rsidR="006D2017">
        <w:rPr>
          <w:lang w:val="hu-HU"/>
        </w:rPr>
        <w:t>c</w:t>
      </w:r>
      <w:r w:rsidRPr="00D93355">
        <w:rPr>
          <w:vertAlign w:val="subscript"/>
          <w:lang w:val="hu-HU"/>
        </w:rPr>
        <w:t>max</w:t>
      </w:r>
      <w:r w:rsidRPr="00D93355">
        <w:rPr>
          <w:lang w:val="hu-HU"/>
        </w:rPr>
        <w:t xml:space="preserve"> és AUC</w:t>
      </w:r>
      <w:r w:rsidR="006D2017">
        <w:rPr>
          <w:lang w:val="hu-HU"/>
        </w:rPr>
        <w:t>-</w:t>
      </w:r>
      <w:r w:rsidRPr="00D93355">
        <w:rPr>
          <w:lang w:val="hu-HU"/>
        </w:rPr>
        <w:t>értékei (mind egysze</w:t>
      </w:r>
      <w:r w:rsidR="006D2017">
        <w:rPr>
          <w:lang w:val="hu-HU"/>
        </w:rPr>
        <w:t>ri</w:t>
      </w:r>
      <w:r w:rsidRPr="00D93355">
        <w:rPr>
          <w:lang w:val="hu-HU"/>
        </w:rPr>
        <w:t>, mind ismételt dózisok alkalmazása esetén) hasonlók voltak a folyamatos epoprosztenol infúzióval kezelt és nem kezelt betegeknél (lásd 5.1 pont).</w:t>
      </w:r>
    </w:p>
    <w:p w14:paraId="4777FF05" w14:textId="77777777" w:rsidR="00E36D26" w:rsidRPr="00D93355" w:rsidRDefault="00E36D26">
      <w:pPr>
        <w:pStyle w:val="Default"/>
        <w:keepNext/>
        <w:rPr>
          <w:i/>
          <w:iCs/>
          <w:sz w:val="22"/>
          <w:szCs w:val="22"/>
        </w:rPr>
      </w:pPr>
    </w:p>
    <w:p w14:paraId="617F36F6" w14:textId="77777777" w:rsidR="00E36D26" w:rsidRDefault="00E36D26">
      <w:pPr>
        <w:pStyle w:val="Default"/>
        <w:keepNext/>
        <w:rPr>
          <w:sz w:val="22"/>
          <w:szCs w:val="22"/>
        </w:rPr>
      </w:pPr>
      <w:r w:rsidRPr="00D93355">
        <w:rPr>
          <w:i/>
          <w:iCs/>
          <w:sz w:val="22"/>
          <w:szCs w:val="22"/>
        </w:rPr>
        <w:t xml:space="preserve">Szildenafil: </w:t>
      </w:r>
      <w:r w:rsidR="00585867" w:rsidRPr="00646371">
        <w:rPr>
          <w:sz w:val="22"/>
          <w:szCs w:val="22"/>
        </w:rPr>
        <w:t>E</w:t>
      </w:r>
      <w:r w:rsidRPr="00D93355">
        <w:rPr>
          <w:sz w:val="22"/>
          <w:szCs w:val="22"/>
        </w:rPr>
        <w:t xml:space="preserve">gészséges önkénteseknél a 6 napon át, naponta kétszer adott 125 mg </w:t>
      </w:r>
      <w:r w:rsidR="006264FB" w:rsidRPr="00D93355">
        <w:rPr>
          <w:sz w:val="22"/>
          <w:szCs w:val="22"/>
        </w:rPr>
        <w:t>bozentán</w:t>
      </w:r>
      <w:r w:rsidRPr="00D93355">
        <w:rPr>
          <w:sz w:val="22"/>
          <w:szCs w:val="22"/>
        </w:rPr>
        <w:t xml:space="preserve"> (dinamikus egyensúlyi állapot) és naponta háromszor adott 80 mg szildenafil (dinamikus egyensúlyi állapot) együttes alkalmazása a szildenafil AUC</w:t>
      </w:r>
      <w:r w:rsidR="006D2017">
        <w:rPr>
          <w:sz w:val="22"/>
          <w:szCs w:val="22"/>
        </w:rPr>
        <w:t>-</w:t>
      </w:r>
      <w:r w:rsidRPr="00D93355">
        <w:rPr>
          <w:sz w:val="22"/>
          <w:szCs w:val="22"/>
        </w:rPr>
        <w:t>értékének 63%</w:t>
      </w:r>
      <w:r w:rsidRPr="00D93355">
        <w:rPr>
          <w:sz w:val="22"/>
          <w:szCs w:val="22"/>
        </w:rPr>
        <w:noBreakHyphen/>
        <w:t xml:space="preserve">os csökkenéséhez és a </w:t>
      </w:r>
      <w:r w:rsidR="006264FB" w:rsidRPr="00D93355">
        <w:rPr>
          <w:sz w:val="22"/>
          <w:szCs w:val="22"/>
        </w:rPr>
        <w:t>bozentán</w:t>
      </w:r>
      <w:r w:rsidRPr="00D93355">
        <w:rPr>
          <w:sz w:val="22"/>
          <w:szCs w:val="22"/>
        </w:rPr>
        <w:t xml:space="preserve"> AUC</w:t>
      </w:r>
      <w:r w:rsidR="006D2017">
        <w:rPr>
          <w:sz w:val="22"/>
          <w:szCs w:val="22"/>
        </w:rPr>
        <w:t>-</w:t>
      </w:r>
      <w:r w:rsidRPr="00D93355">
        <w:rPr>
          <w:sz w:val="22"/>
          <w:szCs w:val="22"/>
        </w:rPr>
        <w:t>értékének 50%</w:t>
      </w:r>
      <w:r w:rsidRPr="00D93355">
        <w:rPr>
          <w:sz w:val="22"/>
          <w:szCs w:val="22"/>
        </w:rPr>
        <w:noBreakHyphen/>
        <w:t>os emelkedéséhez vezetett. Együttes alkalmazás esetén óvatosan kell eljárni.</w:t>
      </w:r>
    </w:p>
    <w:p w14:paraId="686C5488" w14:textId="77777777" w:rsidR="00D57AF5" w:rsidRPr="00D93355" w:rsidRDefault="00D57AF5">
      <w:pPr>
        <w:pStyle w:val="Default"/>
        <w:keepNext/>
        <w:rPr>
          <w:sz w:val="22"/>
          <w:szCs w:val="22"/>
        </w:rPr>
      </w:pPr>
    </w:p>
    <w:p w14:paraId="1EF3C518" w14:textId="77777777" w:rsidR="00E36D26" w:rsidRPr="00976C72" w:rsidRDefault="00D57AF5">
      <w:pPr>
        <w:keepNext/>
        <w:spacing w:line="240" w:lineRule="auto"/>
        <w:rPr>
          <w:lang w:val="hu-HU"/>
        </w:rPr>
      </w:pPr>
      <w:r w:rsidRPr="00976C72">
        <w:rPr>
          <w:i/>
          <w:iCs/>
          <w:lang w:val="hu-HU"/>
        </w:rPr>
        <w:t xml:space="preserve">Tadalafil: </w:t>
      </w:r>
      <w:r w:rsidRPr="00976C72">
        <w:rPr>
          <w:lang w:val="hu-HU"/>
        </w:rPr>
        <w:t>A bozentán (125</w:t>
      </w:r>
      <w:r w:rsidR="003F3BEF" w:rsidRPr="00976C72">
        <w:rPr>
          <w:lang w:val="hu-HU"/>
        </w:rPr>
        <w:t> </w:t>
      </w:r>
      <w:r w:rsidRPr="00976C72">
        <w:rPr>
          <w:lang w:val="hu-HU"/>
        </w:rPr>
        <w:t xml:space="preserve">mg naponta kétszer adagolva) a tadalafil (40 mg naponta egyszer adagolva) szisztémás expozícióját 42%-kal és a </w:t>
      </w:r>
      <w:r w:rsidR="006D2017" w:rsidRPr="00976C72">
        <w:rPr>
          <w:lang w:val="hu-HU"/>
        </w:rPr>
        <w:t>c</w:t>
      </w:r>
      <w:r w:rsidRPr="00976C72">
        <w:rPr>
          <w:vertAlign w:val="subscript"/>
          <w:lang w:val="hu-HU"/>
        </w:rPr>
        <w:t>max</w:t>
      </w:r>
      <w:r w:rsidRPr="00976C72">
        <w:rPr>
          <w:lang w:val="hu-HU"/>
        </w:rPr>
        <w:t>-értékét 27%-kal csökkentette több adag együttes adását követően. A tadalafil nem befolyásolta a bozentán vagy metabolitjai expozícióját (az AUC</w:t>
      </w:r>
      <w:r w:rsidR="004D3093" w:rsidRPr="00976C72">
        <w:rPr>
          <w:lang w:val="hu-HU"/>
        </w:rPr>
        <w:t>-</w:t>
      </w:r>
      <w:r w:rsidRPr="00976C72">
        <w:rPr>
          <w:lang w:val="hu-HU"/>
        </w:rPr>
        <w:t xml:space="preserve"> és </w:t>
      </w:r>
      <w:r w:rsidR="006D2017" w:rsidRPr="00976C72">
        <w:rPr>
          <w:lang w:val="hu-HU"/>
        </w:rPr>
        <w:t>c</w:t>
      </w:r>
      <w:r w:rsidRPr="00976C72">
        <w:rPr>
          <w:vertAlign w:val="subscript"/>
          <w:lang w:val="hu-HU"/>
        </w:rPr>
        <w:t>max</w:t>
      </w:r>
      <w:r w:rsidRPr="00976C72">
        <w:rPr>
          <w:lang w:val="hu-HU"/>
        </w:rPr>
        <w:t>-értékeket).</w:t>
      </w:r>
    </w:p>
    <w:p w14:paraId="08DCDB7A" w14:textId="77777777" w:rsidR="00D57AF5" w:rsidRPr="00204E7E" w:rsidRDefault="00D57AF5">
      <w:pPr>
        <w:keepNext/>
        <w:spacing w:line="240" w:lineRule="auto"/>
        <w:rPr>
          <w:i/>
          <w:iCs/>
          <w:lang w:val="hu-HU"/>
        </w:rPr>
      </w:pPr>
    </w:p>
    <w:p w14:paraId="1BDC7BD0" w14:textId="77777777" w:rsidR="00E36D26" w:rsidRPr="00D93355" w:rsidRDefault="00E36D26">
      <w:pPr>
        <w:keepNext/>
        <w:spacing w:line="240" w:lineRule="auto"/>
        <w:rPr>
          <w:lang w:val="hu-HU"/>
        </w:rPr>
      </w:pPr>
      <w:r w:rsidRPr="00D93355">
        <w:rPr>
          <w:i/>
          <w:iCs/>
          <w:lang w:val="hu-HU"/>
        </w:rPr>
        <w:t>Digoxin</w:t>
      </w:r>
      <w:r w:rsidRPr="00D93355">
        <w:rPr>
          <w:lang w:val="hu-HU"/>
        </w:rPr>
        <w:t xml:space="preserve">: </w:t>
      </w:r>
      <w:r w:rsidR="00585867">
        <w:rPr>
          <w:lang w:val="hu-HU"/>
        </w:rPr>
        <w:t>N</w:t>
      </w:r>
      <w:r w:rsidRPr="00D93355">
        <w:rPr>
          <w:lang w:val="hu-HU"/>
        </w:rPr>
        <w:t xml:space="preserve">api kétszer 500 mg </w:t>
      </w:r>
      <w:r w:rsidR="006264FB" w:rsidRPr="00D93355">
        <w:rPr>
          <w:lang w:val="hu-HU"/>
        </w:rPr>
        <w:t>bozentán</w:t>
      </w:r>
      <w:r w:rsidRPr="00D93355">
        <w:rPr>
          <w:lang w:val="hu-HU"/>
        </w:rPr>
        <w:t xml:space="preserve"> és digoxin 7 napon keresztül történő együttes alkalmazásakor a digoxin AUC, </w:t>
      </w:r>
      <w:r w:rsidR="006D2017">
        <w:rPr>
          <w:lang w:val="hu-HU"/>
        </w:rPr>
        <w:t>c</w:t>
      </w:r>
      <w:r w:rsidRPr="00D93355">
        <w:rPr>
          <w:vertAlign w:val="subscript"/>
          <w:lang w:val="hu-HU"/>
        </w:rPr>
        <w:t>max</w:t>
      </w:r>
      <w:r w:rsidRPr="00D93355">
        <w:rPr>
          <w:lang w:val="hu-HU"/>
        </w:rPr>
        <w:t xml:space="preserve"> és </w:t>
      </w:r>
      <w:r w:rsidR="006D2017">
        <w:rPr>
          <w:lang w:val="hu-HU"/>
        </w:rPr>
        <w:t>c</w:t>
      </w:r>
      <w:r w:rsidRPr="00D93355">
        <w:rPr>
          <w:vertAlign w:val="subscript"/>
          <w:lang w:val="hu-HU"/>
        </w:rPr>
        <w:t>min</w:t>
      </w:r>
      <w:r w:rsidRPr="00D93355">
        <w:rPr>
          <w:lang w:val="hu-HU"/>
        </w:rPr>
        <w:t xml:space="preserve"> értékei sorrendben 12%</w:t>
      </w:r>
      <w:r w:rsidRPr="00D93355">
        <w:rPr>
          <w:lang w:val="hu-HU"/>
        </w:rPr>
        <w:noBreakHyphen/>
        <w:t>kal, 9%</w:t>
      </w:r>
      <w:r w:rsidRPr="00D93355">
        <w:rPr>
          <w:lang w:val="hu-HU"/>
        </w:rPr>
        <w:noBreakHyphen/>
        <w:t>kal, illetve 23%</w:t>
      </w:r>
      <w:r w:rsidRPr="00D93355">
        <w:rPr>
          <w:lang w:val="hu-HU"/>
        </w:rPr>
        <w:noBreakHyphen/>
        <w:t>kal csökkentek. Az interakció mechanizmusának alapja a P</w:t>
      </w:r>
      <w:r w:rsidRPr="00D93355">
        <w:rPr>
          <w:lang w:val="hu-HU"/>
        </w:rPr>
        <w:noBreakHyphen/>
        <w:t>glikoprotein indukciója lehet. Ennek a kölcsönhatásnak feltehetőleg nincs klinikai jelentősége.</w:t>
      </w:r>
    </w:p>
    <w:p w14:paraId="74869FA5" w14:textId="77777777" w:rsidR="00E36D26" w:rsidRPr="00D93355" w:rsidRDefault="00E36D26">
      <w:pPr>
        <w:pStyle w:val="Nincstrkz"/>
        <w:keepNext/>
        <w:rPr>
          <w:iCs/>
        </w:rPr>
      </w:pPr>
    </w:p>
    <w:p w14:paraId="6BA768E9" w14:textId="77777777" w:rsidR="00E36D26" w:rsidRPr="00D93355" w:rsidRDefault="00E36D26">
      <w:pPr>
        <w:pStyle w:val="Default"/>
        <w:rPr>
          <w:sz w:val="22"/>
          <w:szCs w:val="22"/>
          <w:u w:val="single"/>
        </w:rPr>
      </w:pPr>
      <w:r w:rsidRPr="00D93355">
        <w:rPr>
          <w:sz w:val="22"/>
          <w:szCs w:val="22"/>
          <w:u w:val="single"/>
        </w:rPr>
        <w:t>Gyermekek</w:t>
      </w:r>
      <w:r w:rsidR="00A410E6" w:rsidRPr="00D93355">
        <w:rPr>
          <w:sz w:val="22"/>
          <w:szCs w:val="22"/>
          <w:u w:val="single"/>
        </w:rPr>
        <w:t xml:space="preserve"> és serdülők</w:t>
      </w:r>
    </w:p>
    <w:p w14:paraId="1070A91C" w14:textId="77777777" w:rsidR="00E36D26" w:rsidRPr="00D93355" w:rsidRDefault="00E36D26">
      <w:pPr>
        <w:pStyle w:val="Default"/>
        <w:rPr>
          <w:sz w:val="22"/>
          <w:szCs w:val="22"/>
        </w:rPr>
      </w:pPr>
      <w:r w:rsidRPr="00D93355">
        <w:rPr>
          <w:sz w:val="22"/>
          <w:szCs w:val="22"/>
        </w:rPr>
        <w:t>Interakciós vizsgálatokat csak felnőttek körében végeztek.</w:t>
      </w:r>
    </w:p>
    <w:p w14:paraId="4D145164" w14:textId="77777777" w:rsidR="00E36D26" w:rsidRPr="00D93355" w:rsidRDefault="00E36D26">
      <w:pPr>
        <w:spacing w:line="240" w:lineRule="auto"/>
        <w:rPr>
          <w:lang w:val="hu-HU"/>
        </w:rPr>
      </w:pPr>
    </w:p>
    <w:p w14:paraId="1F834857"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4.6</w:t>
      </w:r>
      <w:r w:rsidRPr="00D93355">
        <w:rPr>
          <w:b/>
          <w:bCs/>
          <w:lang w:val="hu-HU"/>
        </w:rPr>
        <w:tab/>
        <w:t>Termékenység, terhesség és szoptatás</w:t>
      </w:r>
    </w:p>
    <w:p w14:paraId="0A7AF15F" w14:textId="77777777" w:rsidR="00E36D26" w:rsidRPr="00D93355" w:rsidRDefault="00E36D26">
      <w:pPr>
        <w:keepNext/>
        <w:spacing w:line="240" w:lineRule="auto"/>
        <w:rPr>
          <w:iCs/>
          <w:lang w:val="hu-HU"/>
        </w:rPr>
      </w:pPr>
    </w:p>
    <w:p w14:paraId="298A9318" w14:textId="77777777" w:rsidR="00E36D26" w:rsidRPr="00D93355" w:rsidRDefault="00E36D26">
      <w:pPr>
        <w:pStyle w:val="Default"/>
        <w:keepNext/>
        <w:rPr>
          <w:sz w:val="22"/>
          <w:szCs w:val="22"/>
        </w:rPr>
      </w:pPr>
      <w:r w:rsidRPr="00D93355">
        <w:rPr>
          <w:iCs/>
          <w:sz w:val="22"/>
          <w:szCs w:val="22"/>
          <w:u w:val="single"/>
        </w:rPr>
        <w:t>Terhesség</w:t>
      </w:r>
    </w:p>
    <w:p w14:paraId="4439C16E" w14:textId="77777777" w:rsidR="00E36D26" w:rsidRPr="00D93355" w:rsidRDefault="00E36D26">
      <w:pPr>
        <w:pStyle w:val="Default"/>
        <w:keepNext/>
        <w:rPr>
          <w:sz w:val="22"/>
          <w:szCs w:val="22"/>
        </w:rPr>
      </w:pPr>
    </w:p>
    <w:p w14:paraId="76BE7E43" w14:textId="77777777" w:rsidR="00E36D26" w:rsidRPr="00D93355" w:rsidRDefault="00E36D26">
      <w:pPr>
        <w:pStyle w:val="Default"/>
        <w:keepNext/>
        <w:rPr>
          <w:sz w:val="22"/>
          <w:szCs w:val="22"/>
        </w:rPr>
      </w:pPr>
      <w:r w:rsidRPr="00D93355">
        <w:rPr>
          <w:sz w:val="22"/>
          <w:szCs w:val="22"/>
        </w:rPr>
        <w:t>Az állatkísérletes vizsgálatok reprodukcióra gyakorolt toxicitást (teratogenitást, embriotoxicitást) mutattak (lásd 5.3 pont). A</w:t>
      </w:r>
      <w:r w:rsidR="00A86E29" w:rsidRPr="00D93355">
        <w:rPr>
          <w:sz w:val="22"/>
          <w:szCs w:val="22"/>
        </w:rPr>
        <w:t xml:space="preserve"> </w:t>
      </w:r>
      <w:r w:rsidR="00976C72">
        <w:rPr>
          <w:sz w:val="22"/>
          <w:szCs w:val="22"/>
        </w:rPr>
        <w:t>Bosentan Pharmascience</w:t>
      </w:r>
      <w:r w:rsidRPr="00D93355">
        <w:rPr>
          <w:sz w:val="22"/>
          <w:szCs w:val="22"/>
        </w:rPr>
        <w:t xml:space="preserve"> terhes nőknél történő alkalmazásáról nem állnak rendelkezésre megbízható adatok. Emberben a potenciális veszély nem ismert. A </w:t>
      </w:r>
      <w:r w:rsidR="006264FB" w:rsidRPr="00D93355">
        <w:rPr>
          <w:sz w:val="22"/>
          <w:szCs w:val="22"/>
        </w:rPr>
        <w:t>bozentán</w:t>
      </w:r>
      <w:r w:rsidRPr="00D93355">
        <w:rPr>
          <w:sz w:val="22"/>
          <w:szCs w:val="22"/>
        </w:rPr>
        <w:t xml:space="preserve"> terhességben ellenjavallt (lásd 4.3 pont).</w:t>
      </w:r>
    </w:p>
    <w:p w14:paraId="04FEC05D" w14:textId="77777777" w:rsidR="00E36D26" w:rsidRPr="00D93355" w:rsidRDefault="00E36D26">
      <w:pPr>
        <w:pStyle w:val="Default"/>
        <w:rPr>
          <w:sz w:val="22"/>
          <w:szCs w:val="22"/>
        </w:rPr>
      </w:pPr>
    </w:p>
    <w:p w14:paraId="3C26522E" w14:textId="77777777" w:rsidR="00E36D26" w:rsidRPr="00D93355" w:rsidRDefault="00601E8F">
      <w:pPr>
        <w:pStyle w:val="Default"/>
        <w:keepNext/>
        <w:rPr>
          <w:sz w:val="22"/>
          <w:szCs w:val="22"/>
        </w:rPr>
      </w:pPr>
      <w:r>
        <w:rPr>
          <w:i/>
          <w:iCs/>
          <w:sz w:val="22"/>
          <w:szCs w:val="22"/>
          <w:u w:val="single"/>
        </w:rPr>
        <w:t>F</w:t>
      </w:r>
      <w:r w:rsidR="00E36D26" w:rsidRPr="00D93355">
        <w:rPr>
          <w:i/>
          <w:iCs/>
          <w:sz w:val="22"/>
          <w:szCs w:val="22"/>
          <w:u w:val="single"/>
        </w:rPr>
        <w:t>ogamzóképes nők</w:t>
      </w:r>
    </w:p>
    <w:p w14:paraId="252B7080" w14:textId="77777777" w:rsidR="00E36D26" w:rsidRPr="00D93355" w:rsidRDefault="00E36D26">
      <w:pPr>
        <w:keepNext/>
        <w:spacing w:line="240" w:lineRule="auto"/>
        <w:rPr>
          <w:lang w:val="hu-HU"/>
        </w:rPr>
      </w:pPr>
    </w:p>
    <w:p w14:paraId="0E87A469" w14:textId="77777777" w:rsidR="00E36D26" w:rsidRPr="00D93355" w:rsidRDefault="00E36D26">
      <w:pPr>
        <w:spacing w:line="240" w:lineRule="auto"/>
        <w:rPr>
          <w:lang w:val="hu-HU"/>
        </w:rPr>
      </w:pPr>
      <w:r w:rsidRPr="00D93355">
        <w:rPr>
          <w:lang w:val="hu-HU"/>
        </w:rPr>
        <w:t xml:space="preserve">Fogamzóképes nők </w:t>
      </w:r>
      <w:r w:rsidR="006264FB" w:rsidRPr="00D93355">
        <w:rPr>
          <w:lang w:val="hu-HU"/>
        </w:rPr>
        <w:t>bozentán</w:t>
      </w:r>
      <w:r w:rsidRPr="00D93355">
        <w:rPr>
          <w:lang w:val="hu-HU"/>
        </w:rPr>
        <w:noBreakHyphen/>
        <w:t xml:space="preserve">kezelésének elindítása előtt ki kell zárni a terhesség lehetőségét, szakszerű útmutatást kell adni a megbízható fogamzásgátló módszerekről és el kell kezdeni a megbízható fogamzásgátlást. A betegeknek és a gyógyszert rendelő orvosoknak tudniuk kell, hogy a lehetséges farmakokinetikai kölcsönhatások miatt, a </w:t>
      </w:r>
      <w:r w:rsidR="006264FB" w:rsidRPr="00D93355">
        <w:rPr>
          <w:lang w:val="hu-HU"/>
        </w:rPr>
        <w:t>bozentán</w:t>
      </w:r>
      <w:r w:rsidRPr="00D93355">
        <w:rPr>
          <w:lang w:val="hu-HU"/>
        </w:rPr>
        <w:t xml:space="preserve"> hatástalaníthatja a hormonális fogamzásgátlókat (lásd 4.5 pont). A fogamzóképes nők ezért fogamzásgátlásra nem használhatnak kizárólag hormonális módszereket (pl. orális, injekciós, transzdermális készítményeket vagy implantátumokat), hanem emellett megbízható kiegészítő vagy alternatív fogamzásgátló módszert is kell alkalmazniuk. Nőgyógyász szakorvossal történő konzultáció javasolt, ha bármilyen kétség merül fel azzal kapcsolatban, hogy az adott betegnek milyen fogamzásgátlásra vonatkozó tanácsot kell adni.</w:t>
      </w:r>
      <w:r w:rsidR="00CF7FDB" w:rsidRPr="00D93355">
        <w:rPr>
          <w:lang w:val="hu-HU"/>
        </w:rPr>
        <w:t xml:space="preserve"> </w:t>
      </w:r>
      <w:r w:rsidRPr="00D93355">
        <w:rPr>
          <w:lang w:val="hu-HU"/>
        </w:rPr>
        <w:t xml:space="preserve">A hormonális fogamzásgátlás </w:t>
      </w:r>
      <w:r w:rsidR="006264FB" w:rsidRPr="00D93355">
        <w:rPr>
          <w:lang w:val="hu-HU"/>
        </w:rPr>
        <w:t>bozentán</w:t>
      </w:r>
      <w:r w:rsidRPr="00D93355">
        <w:rPr>
          <w:lang w:val="hu-HU"/>
        </w:rPr>
        <w:noBreakHyphen/>
        <w:t xml:space="preserve">kezelés alatti esetleges hatástalansága miatt, továbbá figyelembe véve annak kockázatát, hogy a terhesség során nagymértékben súlyosbodik a pulmonalis hypertonia, a </w:t>
      </w:r>
      <w:r w:rsidR="006264FB" w:rsidRPr="00D93355">
        <w:rPr>
          <w:lang w:val="hu-HU"/>
        </w:rPr>
        <w:t>bozentán</w:t>
      </w:r>
      <w:r w:rsidRPr="00D93355">
        <w:rPr>
          <w:lang w:val="hu-HU"/>
        </w:rPr>
        <w:noBreakHyphen/>
        <w:t>kezelés alatt havonként ajánlott terhességi tesztet végezni a terhesség korai kimutatása érdekében.</w:t>
      </w:r>
    </w:p>
    <w:p w14:paraId="04BB15AF" w14:textId="77777777" w:rsidR="00E36D26" w:rsidRPr="00D93355" w:rsidRDefault="00E36D26">
      <w:pPr>
        <w:spacing w:line="240" w:lineRule="auto"/>
        <w:rPr>
          <w:lang w:val="hu-HU"/>
        </w:rPr>
      </w:pPr>
    </w:p>
    <w:p w14:paraId="183B7D45" w14:textId="77777777" w:rsidR="00E36D26" w:rsidRPr="00D93355" w:rsidRDefault="00E36D26">
      <w:pPr>
        <w:pStyle w:val="Default"/>
        <w:keepNext/>
        <w:rPr>
          <w:sz w:val="22"/>
          <w:szCs w:val="22"/>
        </w:rPr>
      </w:pPr>
      <w:r w:rsidRPr="00D93355">
        <w:rPr>
          <w:iCs/>
          <w:sz w:val="22"/>
          <w:szCs w:val="22"/>
          <w:u w:val="single"/>
        </w:rPr>
        <w:t xml:space="preserve">Szoptatás </w:t>
      </w:r>
    </w:p>
    <w:p w14:paraId="3D41775D" w14:textId="77777777" w:rsidR="00E36D26" w:rsidRPr="00D93355" w:rsidRDefault="00E36D26">
      <w:pPr>
        <w:keepNext/>
        <w:spacing w:line="240" w:lineRule="auto"/>
        <w:rPr>
          <w:lang w:val="hu-HU"/>
        </w:rPr>
      </w:pPr>
    </w:p>
    <w:p w14:paraId="138D0693" w14:textId="002B0C52" w:rsidR="00E36D26" w:rsidRPr="006471FB" w:rsidRDefault="006471FB" w:rsidP="006471FB">
      <w:pPr>
        <w:keepNext/>
        <w:spacing w:line="240" w:lineRule="auto"/>
        <w:rPr>
          <w:lang w:val="hu-HU"/>
        </w:rPr>
      </w:pPr>
      <w:r w:rsidRPr="008039DE">
        <w:rPr>
          <w:lang w:val="hu-HU"/>
        </w:rPr>
        <w:t xml:space="preserve">Egy esetjelentésből származó adatok szerint </w:t>
      </w:r>
      <w:r w:rsidR="00E36D26" w:rsidRPr="00D93355">
        <w:rPr>
          <w:lang w:val="hu-HU"/>
        </w:rPr>
        <w:t xml:space="preserve">a </w:t>
      </w:r>
      <w:r w:rsidR="006264FB" w:rsidRPr="00D93355">
        <w:rPr>
          <w:lang w:val="hu-HU"/>
        </w:rPr>
        <w:t>bozentán</w:t>
      </w:r>
      <w:r w:rsidR="00E36D26" w:rsidRPr="00D93355">
        <w:rPr>
          <w:lang w:val="hu-HU"/>
        </w:rPr>
        <w:t xml:space="preserve"> </w:t>
      </w:r>
      <w:r>
        <w:rPr>
          <w:lang w:val="hu-HU"/>
        </w:rPr>
        <w:t xml:space="preserve">kis koncentrációban jelen van a humán </w:t>
      </w:r>
      <w:r w:rsidR="00E36D26" w:rsidRPr="00D93355">
        <w:rPr>
          <w:lang w:val="hu-HU"/>
        </w:rPr>
        <w:t>anyatejbe</w:t>
      </w:r>
      <w:r>
        <w:rPr>
          <w:lang w:val="hu-HU"/>
        </w:rPr>
        <w:t>n</w:t>
      </w:r>
      <w:r w:rsidR="00E36D26" w:rsidRPr="00D93355">
        <w:rPr>
          <w:lang w:val="hu-HU"/>
        </w:rPr>
        <w:t xml:space="preserve">. </w:t>
      </w:r>
      <w:r>
        <w:rPr>
          <w:lang w:val="hu-HU"/>
        </w:rPr>
        <w:t>Nincs elegendő információ a</w:t>
      </w:r>
      <w:r w:rsidR="00E36D26" w:rsidRPr="00D93355">
        <w:rPr>
          <w:lang w:val="hu-HU"/>
        </w:rPr>
        <w:t xml:space="preserve"> </w:t>
      </w:r>
      <w:r w:rsidR="006264FB" w:rsidRPr="00D93355">
        <w:rPr>
          <w:lang w:val="hu-HU"/>
        </w:rPr>
        <w:t>bozentán</w:t>
      </w:r>
      <w:r w:rsidR="00E36D26" w:rsidRPr="00D93355">
        <w:rPr>
          <w:lang w:val="hu-HU"/>
        </w:rPr>
        <w:t xml:space="preserve"> szoptat</w:t>
      </w:r>
      <w:r>
        <w:rPr>
          <w:lang w:val="hu-HU"/>
        </w:rPr>
        <w:t xml:space="preserve">ott </w:t>
      </w:r>
      <w:r w:rsidRPr="006471FB">
        <w:rPr>
          <w:lang w:val="hu-HU"/>
        </w:rPr>
        <w:t>csecsemőre gyakorolt hatásának</w:t>
      </w:r>
      <w:r>
        <w:rPr>
          <w:lang w:val="hu-HU"/>
        </w:rPr>
        <w:t xml:space="preserve"> </w:t>
      </w:r>
      <w:r w:rsidRPr="006471FB">
        <w:rPr>
          <w:lang w:val="hu-HU"/>
        </w:rPr>
        <w:t xml:space="preserve">megítéléséhez. A szoptatott csecsemő vonatkozásában a kockázatot nem lehet kizárni. A </w:t>
      </w:r>
      <w:r>
        <w:rPr>
          <w:lang w:val="hu-HU"/>
        </w:rPr>
        <w:t>Bosentan Pharmascience</w:t>
      </w:r>
      <w:r w:rsidR="005675E9">
        <w:rPr>
          <w:lang w:val="hu-HU"/>
        </w:rPr>
        <w:t>-</w:t>
      </w:r>
      <w:r w:rsidRPr="006471FB">
        <w:rPr>
          <w:lang w:val="hu-HU"/>
        </w:rPr>
        <w:t>kezelés alatt a szoptatás nem javasolt</w:t>
      </w:r>
      <w:r w:rsidR="00E36D26" w:rsidRPr="00D93355">
        <w:rPr>
          <w:lang w:val="hu-HU"/>
        </w:rPr>
        <w:t>.</w:t>
      </w:r>
    </w:p>
    <w:p w14:paraId="2441FC70" w14:textId="77777777" w:rsidR="00E36D26" w:rsidRPr="00D93355" w:rsidRDefault="00E36D26">
      <w:pPr>
        <w:spacing w:line="240" w:lineRule="auto"/>
        <w:rPr>
          <w:lang w:val="hu-HU"/>
        </w:rPr>
      </w:pPr>
    </w:p>
    <w:p w14:paraId="127E0FA9" w14:textId="77777777" w:rsidR="00E36D26" w:rsidRPr="00D93355" w:rsidRDefault="00E36D26">
      <w:pPr>
        <w:pStyle w:val="Default"/>
        <w:rPr>
          <w:sz w:val="22"/>
          <w:szCs w:val="22"/>
          <w:u w:val="single"/>
        </w:rPr>
      </w:pPr>
      <w:r w:rsidRPr="00D93355">
        <w:rPr>
          <w:sz w:val="22"/>
          <w:szCs w:val="22"/>
          <w:u w:val="single"/>
        </w:rPr>
        <w:t>Termékenység</w:t>
      </w:r>
    </w:p>
    <w:p w14:paraId="092B7800" w14:textId="77777777" w:rsidR="00E36D26" w:rsidRPr="00D93355" w:rsidRDefault="00E36D26">
      <w:pPr>
        <w:autoSpaceDE w:val="0"/>
        <w:autoSpaceDN w:val="0"/>
        <w:adjustRightInd w:val="0"/>
        <w:spacing w:line="240" w:lineRule="auto"/>
        <w:rPr>
          <w:rFonts w:eastAsia="TimesNewRoman"/>
          <w:lang w:val="hu-HU"/>
        </w:rPr>
      </w:pPr>
    </w:p>
    <w:p w14:paraId="63A754EA"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Állatkísérletek testicularis hatásokat mutattak ki (lásd 5.3 pont). Egy, a </w:t>
      </w:r>
      <w:r w:rsidR="006264FB" w:rsidRPr="00D93355">
        <w:rPr>
          <w:rFonts w:eastAsia="TimesNewRoman"/>
          <w:lang w:val="hu-HU"/>
        </w:rPr>
        <w:t>bozentán</w:t>
      </w:r>
      <w:r w:rsidRPr="00D93355">
        <w:rPr>
          <w:rFonts w:eastAsia="TimesNewRoman"/>
          <w:lang w:val="hu-HU"/>
        </w:rPr>
        <w:t xml:space="preserve"> testicularis funkcióra gyakorolt hatásait PAH-ban szenvedő férfi betegeknél értékelő</w:t>
      </w:r>
      <w:r w:rsidR="00585867">
        <w:rPr>
          <w:rFonts w:eastAsia="TimesNewRoman"/>
          <w:lang w:val="hu-HU"/>
        </w:rPr>
        <w:t xml:space="preserve"> klinikai</w:t>
      </w:r>
      <w:r w:rsidRPr="00D93355">
        <w:rPr>
          <w:rFonts w:eastAsia="TimesNewRoman"/>
          <w:lang w:val="hu-HU"/>
        </w:rPr>
        <w:t xml:space="preserve"> vizsgálat 24 beteg közül </w:t>
      </w:r>
      <w:r w:rsidR="00202EE5">
        <w:rPr>
          <w:rFonts w:eastAsia="TimesNewRoman"/>
          <w:lang w:val="hu-HU"/>
        </w:rPr>
        <w:t>6-</w:t>
      </w:r>
      <w:r w:rsidRPr="00D93355">
        <w:rPr>
          <w:rFonts w:eastAsia="TimesNewRoman"/>
          <w:lang w:val="hu-HU"/>
        </w:rPr>
        <w:t xml:space="preserve">nál </w:t>
      </w:r>
      <w:r w:rsidR="00585867">
        <w:rPr>
          <w:rFonts w:eastAsia="TimesNewRoman"/>
          <w:lang w:val="hu-HU"/>
        </w:rPr>
        <w:t xml:space="preserve">(25%) </w:t>
      </w:r>
      <w:r w:rsidRPr="00D93355">
        <w:rPr>
          <w:rFonts w:eastAsia="TimesNewRoman"/>
          <w:lang w:val="hu-HU"/>
        </w:rPr>
        <w:t xml:space="preserve">mutatta ki a spermakoncentráció kiindulási értékhez viszonyított, legalább </w:t>
      </w:r>
      <w:r w:rsidR="00585867">
        <w:rPr>
          <w:rFonts w:eastAsia="TimesNewRoman"/>
          <w:lang w:val="hu-HU"/>
        </w:rPr>
        <w:t>50</w:t>
      </w:r>
      <w:r w:rsidRPr="00D93355">
        <w:rPr>
          <w:rFonts w:eastAsia="TimesNewRoman"/>
          <w:lang w:val="hu-HU"/>
        </w:rPr>
        <w:t>%</w:t>
      </w:r>
      <w:r w:rsidRPr="00D93355">
        <w:rPr>
          <w:rFonts w:eastAsia="TimesNewRoman"/>
          <w:lang w:val="hu-HU"/>
        </w:rPr>
        <w:noBreakHyphen/>
        <w:t xml:space="preserve">os mértékű csökkenését 6 hónapos </w:t>
      </w:r>
      <w:r w:rsidR="006264FB" w:rsidRPr="00D93355">
        <w:rPr>
          <w:rFonts w:eastAsia="TimesNewRoman"/>
          <w:lang w:val="hu-HU"/>
        </w:rPr>
        <w:t>bozentán</w:t>
      </w:r>
      <w:r w:rsidRPr="00D93355">
        <w:rPr>
          <w:rFonts w:eastAsia="TimesNewRoman"/>
          <w:lang w:val="hu-HU"/>
        </w:rPr>
        <w:noBreakHyphen/>
        <w:t xml:space="preserve">kezelés után. Ezen eredmények és preklinikai adatok alapján nem zárható ki, hogy a </w:t>
      </w:r>
      <w:r w:rsidR="006264FB" w:rsidRPr="00D93355">
        <w:rPr>
          <w:rFonts w:eastAsia="TimesNewRoman"/>
          <w:lang w:val="hu-HU"/>
        </w:rPr>
        <w:t>bozentán</w:t>
      </w:r>
      <w:r w:rsidRPr="00D93355">
        <w:rPr>
          <w:rFonts w:eastAsia="TimesNewRoman"/>
          <w:lang w:val="hu-HU"/>
        </w:rPr>
        <w:t xml:space="preserve"> férfiaknál káros hatással lehet a spermatogenezisre.</w:t>
      </w:r>
      <w:r w:rsidR="00214100" w:rsidRPr="00D93355">
        <w:rPr>
          <w:rFonts w:eastAsia="TimesNewRoman"/>
          <w:lang w:val="hu-HU"/>
        </w:rPr>
        <w:t xml:space="preserve"> </w:t>
      </w:r>
      <w:r w:rsidRPr="00D93355">
        <w:rPr>
          <w:rFonts w:eastAsia="TimesNewRoman"/>
          <w:lang w:val="hu-HU"/>
        </w:rPr>
        <w:t xml:space="preserve">Fiú gyermekeknél a </w:t>
      </w:r>
      <w:r w:rsidR="006264FB" w:rsidRPr="00D93355">
        <w:rPr>
          <w:rFonts w:eastAsia="TimesNewRoman"/>
          <w:lang w:val="hu-HU"/>
        </w:rPr>
        <w:t>bozentán</w:t>
      </w:r>
      <w:r w:rsidRPr="00D93355">
        <w:rPr>
          <w:rFonts w:eastAsia="TimesNewRoman"/>
          <w:lang w:val="hu-HU"/>
        </w:rPr>
        <w:t>-kezelés következtében kialakuló hosszú távú, a termékenységet befolyásoló hatás nem zárható ki.</w:t>
      </w:r>
    </w:p>
    <w:p w14:paraId="257188B3" w14:textId="77777777" w:rsidR="00E36D26" w:rsidRPr="00D93355" w:rsidRDefault="00E36D26">
      <w:pPr>
        <w:spacing w:line="240" w:lineRule="auto"/>
        <w:rPr>
          <w:lang w:val="hu-HU"/>
        </w:rPr>
      </w:pPr>
    </w:p>
    <w:p w14:paraId="0F95FFE4"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4.7</w:t>
      </w:r>
      <w:r w:rsidRPr="00D93355">
        <w:rPr>
          <w:b/>
          <w:bCs/>
          <w:lang w:val="hu-HU"/>
        </w:rPr>
        <w:tab/>
        <w:t>A készítmény hatásai a gépjárművezetéshez és a gépek kezeléséhez szükséges képességekre</w:t>
      </w:r>
    </w:p>
    <w:p w14:paraId="08867E89" w14:textId="77777777" w:rsidR="00E36D26" w:rsidRPr="00D93355" w:rsidRDefault="00E36D26">
      <w:pPr>
        <w:keepNext/>
        <w:spacing w:line="240" w:lineRule="auto"/>
        <w:ind w:left="567" w:hanging="567"/>
        <w:outlineLvl w:val="0"/>
        <w:rPr>
          <w:b/>
          <w:bCs/>
          <w:lang w:val="hu-HU"/>
        </w:rPr>
      </w:pPr>
    </w:p>
    <w:p w14:paraId="2AB103CB" w14:textId="77777777" w:rsidR="00E36D26" w:rsidRPr="00D93355" w:rsidRDefault="00E36D26">
      <w:pPr>
        <w:keepNext/>
        <w:spacing w:line="240" w:lineRule="auto"/>
        <w:rPr>
          <w:lang w:val="hu-HU"/>
        </w:rPr>
      </w:pPr>
      <w:r w:rsidRPr="00D93355">
        <w:rPr>
          <w:lang w:val="hu-HU"/>
        </w:rPr>
        <w:t>A</w:t>
      </w:r>
      <w:r w:rsidR="00A86E29" w:rsidRPr="00D93355">
        <w:rPr>
          <w:lang w:val="hu-HU"/>
        </w:rPr>
        <w:t xml:space="preserve"> </w:t>
      </w:r>
      <w:r w:rsidR="00976C72">
        <w:rPr>
          <w:lang w:val="hu-HU"/>
        </w:rPr>
        <w:t>Bosentan Pharmascience</w:t>
      </w:r>
      <w:r w:rsidRPr="00D93355">
        <w:rPr>
          <w:lang w:val="hu-HU"/>
        </w:rPr>
        <w:t xml:space="preserve"> gépjárművezetéshez és gépek kezeléséhez szükséges képességekre gyakorolt közvetlen hatását nem értékelték specifikus vizsgálatokban. A</w:t>
      </w:r>
      <w:r w:rsidR="00A86E29" w:rsidRPr="00D93355">
        <w:rPr>
          <w:lang w:val="hu-HU"/>
        </w:rPr>
        <w:t xml:space="preserve"> </w:t>
      </w:r>
      <w:r w:rsidR="00976C72">
        <w:rPr>
          <w:lang w:val="hu-HU"/>
        </w:rPr>
        <w:t>Bosentan Pharmascience</w:t>
      </w:r>
      <w:r w:rsidRPr="00D93355">
        <w:rPr>
          <w:lang w:val="hu-HU"/>
        </w:rPr>
        <w:t xml:space="preserve"> okozhat azonban hypotoniát, ami szédüléssel</w:t>
      </w:r>
      <w:r w:rsidR="00B0074D">
        <w:rPr>
          <w:lang w:val="hu-HU"/>
        </w:rPr>
        <w:t>, homályos látással</w:t>
      </w:r>
      <w:r w:rsidRPr="00D93355">
        <w:rPr>
          <w:lang w:val="hu-HU"/>
        </w:rPr>
        <w:t xml:space="preserve"> vagy ájulással járhat, ezáltal befolyásolhatja a gépjárművezetéshez és a gépek kezeléséhez szükséges képességeket.</w:t>
      </w:r>
    </w:p>
    <w:p w14:paraId="63EB5B29" w14:textId="77777777" w:rsidR="00E36D26" w:rsidRPr="00D93355" w:rsidRDefault="00E36D26">
      <w:pPr>
        <w:spacing w:line="240" w:lineRule="auto"/>
        <w:rPr>
          <w:lang w:val="hu-HU"/>
        </w:rPr>
      </w:pPr>
    </w:p>
    <w:p w14:paraId="57151A9F"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4.8</w:t>
      </w:r>
      <w:r w:rsidRPr="00D93355">
        <w:rPr>
          <w:b/>
          <w:bCs/>
          <w:lang w:val="hu-HU"/>
        </w:rPr>
        <w:tab/>
        <w:t>Nemkívánatos hatások, mellékhatások</w:t>
      </w:r>
    </w:p>
    <w:p w14:paraId="5FAB20B9" w14:textId="77777777" w:rsidR="00E36D26" w:rsidRPr="00D93355" w:rsidRDefault="00E36D26">
      <w:pPr>
        <w:keepNext/>
        <w:spacing w:line="240" w:lineRule="auto"/>
        <w:rPr>
          <w:i/>
          <w:iCs/>
          <w:lang w:val="hu-HU"/>
        </w:rPr>
      </w:pPr>
    </w:p>
    <w:p w14:paraId="431346AD" w14:textId="77777777" w:rsidR="00E36D26" w:rsidRPr="00D93355" w:rsidRDefault="00E36D26">
      <w:pPr>
        <w:keepNext/>
        <w:spacing w:line="240" w:lineRule="auto"/>
        <w:rPr>
          <w:iCs/>
          <w:lang w:val="hu-HU"/>
        </w:rPr>
      </w:pPr>
      <w:r w:rsidRPr="00D93355">
        <w:rPr>
          <w:lang w:val="hu-HU"/>
        </w:rPr>
        <w:t xml:space="preserve">Húsz, számos terápiás javallatban elvégzett, placebokontrollos vizsgálatban összesen 2486 beteg kapott napi 100–2000 mg közötti </w:t>
      </w:r>
      <w:r w:rsidR="006264FB" w:rsidRPr="00D93355">
        <w:rPr>
          <w:lang w:val="hu-HU"/>
        </w:rPr>
        <w:t>bozentán</w:t>
      </w:r>
      <w:r w:rsidRPr="00D93355">
        <w:rPr>
          <w:lang w:val="hu-HU"/>
        </w:rPr>
        <w:t xml:space="preserve"> dózist, 1838 beteg pedig placebokezelésben részesült.</w:t>
      </w:r>
    </w:p>
    <w:p w14:paraId="558B4326" w14:textId="77777777" w:rsidR="00E36D26" w:rsidRPr="00D93355" w:rsidRDefault="00E36D26">
      <w:pPr>
        <w:pStyle w:val="Default"/>
        <w:rPr>
          <w:sz w:val="22"/>
          <w:szCs w:val="22"/>
        </w:rPr>
      </w:pPr>
      <w:r w:rsidRPr="00D93355">
        <w:rPr>
          <w:sz w:val="22"/>
          <w:szCs w:val="22"/>
        </w:rPr>
        <w:t>A kezelés átlagos időtartama 45 hét volt.</w:t>
      </w:r>
      <w:r w:rsidR="00CF7FDB" w:rsidRPr="00D93355">
        <w:rPr>
          <w:sz w:val="22"/>
          <w:szCs w:val="22"/>
        </w:rPr>
        <w:t xml:space="preserve"> </w:t>
      </w:r>
      <w:r w:rsidRPr="00D93355">
        <w:rPr>
          <w:sz w:val="22"/>
          <w:szCs w:val="22"/>
        </w:rPr>
        <w:t xml:space="preserve">A mellékhatások a meghatározás szerint azok a nemkívánatos események, amelyek a </w:t>
      </w:r>
      <w:r w:rsidR="006264FB" w:rsidRPr="00D93355">
        <w:rPr>
          <w:sz w:val="22"/>
          <w:szCs w:val="22"/>
        </w:rPr>
        <w:t>bozentán</w:t>
      </w:r>
      <w:r w:rsidRPr="00D93355">
        <w:rPr>
          <w:sz w:val="22"/>
          <w:szCs w:val="22"/>
        </w:rPr>
        <w:t>nal kezelt betegek legalább 1%</w:t>
      </w:r>
      <w:r w:rsidRPr="00D93355">
        <w:rPr>
          <w:sz w:val="22"/>
          <w:szCs w:val="22"/>
        </w:rPr>
        <w:noBreakHyphen/>
        <w:t xml:space="preserve">ánál és a placebokezelésben részesülő betegekkel összehasonlítva legalább 0,5%-kal nagyobb gyakorisággal </w:t>
      </w:r>
      <w:r w:rsidRPr="00D93355">
        <w:rPr>
          <w:sz w:val="22"/>
          <w:szCs w:val="22"/>
        </w:rPr>
        <w:lastRenderedPageBreak/>
        <w:t>fordulnak elő. A leggyakrabban előforduló mellékhatások a következők voltak: fejfájás (11,5%), ödéma/folyadék-visszatartás (13,2%), kóros májműködési vizsgálati eredmények (10,9%) és anaemia/hemoglobinszint-csökkenés (9,9%).</w:t>
      </w:r>
    </w:p>
    <w:p w14:paraId="5A9BDCA6" w14:textId="77777777" w:rsidR="00E36D26" w:rsidRPr="00D93355" w:rsidRDefault="00E36D26">
      <w:pPr>
        <w:spacing w:line="240" w:lineRule="auto"/>
        <w:rPr>
          <w:u w:val="single"/>
          <w:lang w:val="hu-HU"/>
        </w:rPr>
      </w:pPr>
    </w:p>
    <w:p w14:paraId="286CAFF6" w14:textId="77777777" w:rsidR="00E36D26" w:rsidRPr="00D93355" w:rsidRDefault="00E36D26">
      <w:pPr>
        <w:pStyle w:val="Default"/>
        <w:rPr>
          <w:sz w:val="22"/>
          <w:szCs w:val="22"/>
        </w:rPr>
      </w:pPr>
      <w:r w:rsidRPr="00D93355">
        <w:rPr>
          <w:sz w:val="22"/>
          <w:szCs w:val="22"/>
        </w:rPr>
        <w:t xml:space="preserve">A </w:t>
      </w:r>
      <w:r w:rsidR="006264FB" w:rsidRPr="00D93355">
        <w:rPr>
          <w:sz w:val="22"/>
          <w:szCs w:val="22"/>
        </w:rPr>
        <w:t>bozentán</w:t>
      </w:r>
      <w:r w:rsidRPr="00D93355">
        <w:rPr>
          <w:sz w:val="22"/>
          <w:szCs w:val="22"/>
        </w:rPr>
        <w:noBreakHyphen/>
        <w:t>kezelés a máj-aminotranszferázok szintjének dózisfüggő növekedését és a hemoglobin koncentrációjának csökkenését idézi elő (lásd: 4.4 pont).</w:t>
      </w:r>
    </w:p>
    <w:p w14:paraId="6CA73A2B" w14:textId="77777777" w:rsidR="00E36D26" w:rsidRPr="00D93355" w:rsidRDefault="00E36D26">
      <w:pPr>
        <w:pStyle w:val="Default"/>
        <w:rPr>
          <w:sz w:val="22"/>
          <w:szCs w:val="22"/>
        </w:rPr>
      </w:pPr>
    </w:p>
    <w:p w14:paraId="666F8099" w14:textId="77777777" w:rsidR="00E36D26" w:rsidRPr="00D93355" w:rsidRDefault="00E36D26">
      <w:pPr>
        <w:pStyle w:val="Default"/>
        <w:rPr>
          <w:sz w:val="22"/>
          <w:szCs w:val="22"/>
        </w:rPr>
      </w:pPr>
      <w:r w:rsidRPr="00D93355">
        <w:rPr>
          <w:sz w:val="22"/>
          <w:szCs w:val="22"/>
        </w:rPr>
        <w:t xml:space="preserve">A </w:t>
      </w:r>
      <w:r w:rsidR="006264FB" w:rsidRPr="00D93355">
        <w:rPr>
          <w:sz w:val="22"/>
          <w:szCs w:val="22"/>
        </w:rPr>
        <w:t>bozentán</w:t>
      </w:r>
      <w:r w:rsidRPr="00D93355">
        <w:rPr>
          <w:sz w:val="22"/>
          <w:szCs w:val="22"/>
        </w:rPr>
        <w:t xml:space="preserve"> 20 placebokontrollos vizsgálatában megfigyelt és a forgalomba hozatalt követően tapasztalt mellékhatások gyakoriság alapján kerültek besorolásra, a következő megállapodás szerint: nagyon gyakori (≥ 1/10); gyakori (≥ 1/100 – &lt; 1/10); nem gyakori (≥ 1/1000 – &lt; 1/100); ritka (≥ 1/10 000 </w:t>
      </w:r>
      <w:r w:rsidRPr="00D93355">
        <w:rPr>
          <w:sz w:val="22"/>
          <w:szCs w:val="22"/>
        </w:rPr>
        <w:noBreakHyphen/>
        <w:t xml:space="preserve"> &lt; 1/1000); nagyon ritka (&lt; 1/10 000)</w:t>
      </w:r>
      <w:r w:rsidR="0072285B" w:rsidRPr="00D93355">
        <w:rPr>
          <w:sz w:val="22"/>
          <w:szCs w:val="22"/>
        </w:rPr>
        <w:t>;</w:t>
      </w:r>
      <w:r w:rsidRPr="00D93355">
        <w:rPr>
          <w:sz w:val="22"/>
          <w:szCs w:val="22"/>
        </w:rPr>
        <w:t xml:space="preserve"> nem ismert (a rendelkezésre álló </w:t>
      </w:r>
      <w:r w:rsidR="003806CE" w:rsidRPr="00D93355">
        <w:rPr>
          <w:sz w:val="22"/>
          <w:szCs w:val="22"/>
        </w:rPr>
        <w:t>adatokból</w:t>
      </w:r>
      <w:r w:rsidR="00232884">
        <w:rPr>
          <w:sz w:val="22"/>
          <w:szCs w:val="22"/>
        </w:rPr>
        <w:t xml:space="preserve"> a gyakoriság</w:t>
      </w:r>
      <w:r w:rsidR="003806CE" w:rsidRPr="00D93355">
        <w:rPr>
          <w:sz w:val="22"/>
          <w:szCs w:val="22"/>
        </w:rPr>
        <w:t xml:space="preserve"> nem állapítható meg).</w:t>
      </w:r>
    </w:p>
    <w:p w14:paraId="5EA56CE2" w14:textId="77777777" w:rsidR="003806CE" w:rsidRPr="00D93355" w:rsidRDefault="003806CE">
      <w:pPr>
        <w:pStyle w:val="Default"/>
        <w:rPr>
          <w:sz w:val="22"/>
          <w:szCs w:val="22"/>
        </w:rPr>
      </w:pPr>
    </w:p>
    <w:p w14:paraId="0B4F0B3F" w14:textId="77777777" w:rsidR="00E36D26" w:rsidRPr="00D93355" w:rsidRDefault="00E36D26">
      <w:pPr>
        <w:widowControl w:val="0"/>
        <w:spacing w:line="240" w:lineRule="auto"/>
        <w:rPr>
          <w:lang w:val="hu-HU"/>
        </w:rPr>
      </w:pPr>
      <w:r w:rsidRPr="00D93355">
        <w:rPr>
          <w:lang w:val="hu-HU"/>
        </w:rPr>
        <w:t>Az egyes gyakorisági kategóriákon belül a mellékhatások csökkenő súlyosság szerint kerülnek megadásra. A mellékhatások tekintetében nem lehetett klinikailag releváns különbséget kimutatni a teljes adathalmaz és a jóváhagyott javallatok között.</w:t>
      </w:r>
    </w:p>
    <w:p w14:paraId="726F2E00" w14:textId="77777777" w:rsidR="00E36D26" w:rsidRPr="00D93355" w:rsidRDefault="00E36D26">
      <w:pPr>
        <w:widowControl w:val="0"/>
        <w:spacing w:line="240" w:lineRule="auto"/>
        <w:rPr>
          <w:lang w:val="hu-HU"/>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6"/>
        <w:gridCol w:w="1978"/>
        <w:gridCol w:w="3988"/>
      </w:tblGrid>
      <w:tr w:rsidR="00E36D26" w:rsidRPr="00D93355" w14:paraId="43A20F05" w14:textId="77777777" w:rsidTr="00B0074D">
        <w:trPr>
          <w:tblHeader/>
        </w:trPr>
        <w:tc>
          <w:tcPr>
            <w:tcW w:w="3106" w:type="dxa"/>
          </w:tcPr>
          <w:p w14:paraId="2E44A618" w14:textId="77777777" w:rsidR="00E36D26" w:rsidRPr="00D93355" w:rsidRDefault="00E36D26" w:rsidP="00BA32ED">
            <w:pPr>
              <w:keepNext/>
              <w:widowControl w:val="0"/>
              <w:spacing w:line="240" w:lineRule="auto"/>
              <w:rPr>
                <w:b/>
                <w:lang w:val="hu-HU"/>
              </w:rPr>
            </w:pPr>
            <w:r w:rsidRPr="00D93355">
              <w:rPr>
                <w:b/>
                <w:lang w:val="hu-HU"/>
              </w:rPr>
              <w:t>Szervrendszer osztály</w:t>
            </w:r>
          </w:p>
        </w:tc>
        <w:tc>
          <w:tcPr>
            <w:tcW w:w="1978" w:type="dxa"/>
          </w:tcPr>
          <w:p w14:paraId="1AA4B65F" w14:textId="77777777" w:rsidR="00E36D26" w:rsidRPr="00D93355" w:rsidRDefault="00E36D26" w:rsidP="00BA32ED">
            <w:pPr>
              <w:keepNext/>
              <w:widowControl w:val="0"/>
              <w:spacing w:line="240" w:lineRule="auto"/>
              <w:rPr>
                <w:b/>
                <w:lang w:val="hu-HU"/>
              </w:rPr>
            </w:pPr>
            <w:r w:rsidRPr="00D93355">
              <w:rPr>
                <w:b/>
                <w:lang w:val="hu-HU"/>
              </w:rPr>
              <w:t>Gyakoriság</w:t>
            </w:r>
          </w:p>
        </w:tc>
        <w:tc>
          <w:tcPr>
            <w:tcW w:w="3988" w:type="dxa"/>
          </w:tcPr>
          <w:p w14:paraId="3BF51136" w14:textId="77777777" w:rsidR="00E36D26" w:rsidRPr="00D93355" w:rsidRDefault="00E36D26" w:rsidP="00BA32ED">
            <w:pPr>
              <w:keepNext/>
              <w:widowControl w:val="0"/>
              <w:spacing w:line="240" w:lineRule="auto"/>
              <w:rPr>
                <w:b/>
                <w:lang w:val="hu-HU"/>
              </w:rPr>
            </w:pPr>
            <w:r w:rsidRPr="00D93355">
              <w:rPr>
                <w:b/>
                <w:lang w:val="hu-HU"/>
              </w:rPr>
              <w:t>Mellékhatás</w:t>
            </w:r>
          </w:p>
        </w:tc>
      </w:tr>
      <w:tr w:rsidR="00E36D26" w:rsidRPr="00185DDA" w14:paraId="3DA2F134" w14:textId="77777777" w:rsidTr="00B0074D">
        <w:tc>
          <w:tcPr>
            <w:tcW w:w="3106" w:type="dxa"/>
            <w:vMerge w:val="restart"/>
          </w:tcPr>
          <w:p w14:paraId="3B271AD1" w14:textId="77777777" w:rsidR="00E36D26" w:rsidRPr="00D93355" w:rsidRDefault="00E36D26" w:rsidP="00BA32ED">
            <w:pPr>
              <w:keepNext/>
              <w:widowControl w:val="0"/>
              <w:spacing w:line="240" w:lineRule="auto"/>
              <w:rPr>
                <w:lang w:val="hu-HU"/>
              </w:rPr>
            </w:pPr>
            <w:r w:rsidRPr="00D93355">
              <w:rPr>
                <w:lang w:val="hu-HU"/>
              </w:rPr>
              <w:t>Vérképzőszervi és nyirokrendszeri betegségek és tünetek</w:t>
            </w:r>
          </w:p>
        </w:tc>
        <w:tc>
          <w:tcPr>
            <w:tcW w:w="1978" w:type="dxa"/>
          </w:tcPr>
          <w:p w14:paraId="663CA242" w14:textId="77777777" w:rsidR="00E36D26" w:rsidRPr="00D93355" w:rsidRDefault="00E36D26" w:rsidP="00BA32ED">
            <w:pPr>
              <w:keepNext/>
              <w:widowControl w:val="0"/>
              <w:spacing w:line="240" w:lineRule="auto"/>
              <w:rPr>
                <w:lang w:val="hu-HU"/>
              </w:rPr>
            </w:pPr>
            <w:r w:rsidRPr="00D93355">
              <w:rPr>
                <w:lang w:val="hu-HU"/>
              </w:rPr>
              <w:t>Gyakori</w:t>
            </w:r>
          </w:p>
        </w:tc>
        <w:tc>
          <w:tcPr>
            <w:tcW w:w="3988" w:type="dxa"/>
          </w:tcPr>
          <w:p w14:paraId="3F29B21E" w14:textId="77777777" w:rsidR="00E36D26" w:rsidRPr="00D93355" w:rsidRDefault="00E36D26" w:rsidP="00BA32ED">
            <w:pPr>
              <w:keepNext/>
              <w:widowControl w:val="0"/>
              <w:spacing w:line="240" w:lineRule="auto"/>
              <w:rPr>
                <w:lang w:val="hu-HU"/>
              </w:rPr>
            </w:pPr>
            <w:r w:rsidRPr="00D93355">
              <w:rPr>
                <w:lang w:val="hu-HU"/>
              </w:rPr>
              <w:t>Anaemia, hemoglobinszint</w:t>
            </w:r>
            <w:r w:rsidRPr="00D93355">
              <w:rPr>
                <w:lang w:val="hu-HU"/>
              </w:rPr>
              <w:noBreakHyphen/>
              <w:t>csökkenés (lásd 4.4 pont)</w:t>
            </w:r>
          </w:p>
        </w:tc>
      </w:tr>
      <w:tr w:rsidR="003806CE" w:rsidRPr="00185DDA" w14:paraId="679EB9A7" w14:textId="77777777" w:rsidTr="00B0074D">
        <w:trPr>
          <w:trHeight w:val="591"/>
        </w:trPr>
        <w:tc>
          <w:tcPr>
            <w:tcW w:w="3106" w:type="dxa"/>
            <w:vMerge/>
          </w:tcPr>
          <w:p w14:paraId="2F0C3C98" w14:textId="77777777" w:rsidR="003806CE" w:rsidRPr="00D93355" w:rsidRDefault="003806CE">
            <w:pPr>
              <w:widowControl w:val="0"/>
              <w:spacing w:line="240" w:lineRule="auto"/>
              <w:rPr>
                <w:lang w:val="hu-HU"/>
              </w:rPr>
            </w:pPr>
          </w:p>
        </w:tc>
        <w:tc>
          <w:tcPr>
            <w:tcW w:w="1978" w:type="dxa"/>
          </w:tcPr>
          <w:p w14:paraId="037D71DB" w14:textId="77777777" w:rsidR="003806CE" w:rsidRPr="00D93355" w:rsidRDefault="003806CE">
            <w:pPr>
              <w:widowControl w:val="0"/>
              <w:spacing w:line="240" w:lineRule="auto"/>
              <w:rPr>
                <w:lang w:val="hu-HU"/>
              </w:rPr>
            </w:pPr>
            <w:r w:rsidRPr="00D93355">
              <w:rPr>
                <w:lang w:val="hu-HU"/>
              </w:rPr>
              <w:t>Nem ismert gyakoriságú</w:t>
            </w:r>
          </w:p>
        </w:tc>
        <w:tc>
          <w:tcPr>
            <w:tcW w:w="3988" w:type="dxa"/>
          </w:tcPr>
          <w:p w14:paraId="7E85A1D7" w14:textId="77777777" w:rsidR="00480F38" w:rsidRPr="00D93355" w:rsidRDefault="003806CE" w:rsidP="00DE5291">
            <w:pPr>
              <w:widowControl w:val="0"/>
              <w:spacing w:line="240" w:lineRule="auto"/>
              <w:rPr>
                <w:lang w:val="hu-HU"/>
              </w:rPr>
            </w:pPr>
            <w:r w:rsidRPr="00D93355">
              <w:rPr>
                <w:iCs/>
                <w:lang w:val="hu-HU"/>
              </w:rPr>
              <w:t>Anaemia vagy hemoglobinszint</w:t>
            </w:r>
            <w:r w:rsidRPr="00D93355">
              <w:rPr>
                <w:iCs/>
                <w:lang w:val="hu-HU"/>
              </w:rPr>
              <w:noBreakHyphen/>
              <w:t>csökkenés, amely vörösvér</w:t>
            </w:r>
            <w:r w:rsidR="0072285B" w:rsidRPr="00D93355">
              <w:rPr>
                <w:iCs/>
                <w:lang w:val="hu-HU"/>
              </w:rPr>
              <w:t>tes</w:t>
            </w:r>
            <w:r w:rsidRPr="00D93355">
              <w:rPr>
                <w:iCs/>
                <w:lang w:val="hu-HU"/>
              </w:rPr>
              <w:t>t</w:t>
            </w:r>
            <w:r w:rsidRPr="00D93355">
              <w:rPr>
                <w:iCs/>
                <w:lang w:val="hu-HU"/>
              </w:rPr>
              <w:noBreakHyphen/>
              <w:t>transzfúziót tesz szükségessé</w:t>
            </w:r>
            <w:r w:rsidRPr="00D93355">
              <w:rPr>
                <w:iCs/>
                <w:vertAlign w:val="superscript"/>
                <w:lang w:val="hu-HU"/>
              </w:rPr>
              <w:t>1</w:t>
            </w:r>
          </w:p>
        </w:tc>
      </w:tr>
      <w:tr w:rsidR="003806CE" w:rsidRPr="00D93355" w14:paraId="50F638CC" w14:textId="77777777" w:rsidTr="00B0074D">
        <w:tc>
          <w:tcPr>
            <w:tcW w:w="3106" w:type="dxa"/>
            <w:vMerge/>
          </w:tcPr>
          <w:p w14:paraId="4F4521F2" w14:textId="77777777" w:rsidR="003806CE" w:rsidRPr="00D93355" w:rsidRDefault="003806CE">
            <w:pPr>
              <w:widowControl w:val="0"/>
              <w:spacing w:line="240" w:lineRule="auto"/>
              <w:rPr>
                <w:lang w:val="hu-HU"/>
              </w:rPr>
            </w:pPr>
          </w:p>
        </w:tc>
        <w:tc>
          <w:tcPr>
            <w:tcW w:w="1978" w:type="dxa"/>
          </w:tcPr>
          <w:p w14:paraId="2A34186F" w14:textId="77777777" w:rsidR="003806CE" w:rsidRPr="00D93355" w:rsidRDefault="003806CE">
            <w:pPr>
              <w:widowControl w:val="0"/>
              <w:spacing w:line="240" w:lineRule="auto"/>
              <w:rPr>
                <w:lang w:val="hu-HU"/>
              </w:rPr>
            </w:pPr>
            <w:r w:rsidRPr="00D93355">
              <w:rPr>
                <w:lang w:val="hu-HU"/>
              </w:rPr>
              <w:t>Nem gyakori</w:t>
            </w:r>
          </w:p>
        </w:tc>
        <w:tc>
          <w:tcPr>
            <w:tcW w:w="3988" w:type="dxa"/>
          </w:tcPr>
          <w:p w14:paraId="2B9A13CC" w14:textId="77777777" w:rsidR="003806CE" w:rsidRPr="00D93355" w:rsidRDefault="003806CE">
            <w:pPr>
              <w:widowControl w:val="0"/>
              <w:spacing w:line="240" w:lineRule="auto"/>
              <w:rPr>
                <w:lang w:val="hu-HU"/>
              </w:rPr>
            </w:pPr>
            <w:r w:rsidRPr="00D93355">
              <w:rPr>
                <w:iCs/>
                <w:lang w:val="hu-HU"/>
              </w:rPr>
              <w:t>Thrombocytopenia</w:t>
            </w:r>
            <w:r w:rsidRPr="00D93355">
              <w:rPr>
                <w:iCs/>
                <w:vertAlign w:val="superscript"/>
                <w:lang w:val="hu-HU"/>
              </w:rPr>
              <w:t>1</w:t>
            </w:r>
          </w:p>
        </w:tc>
      </w:tr>
      <w:tr w:rsidR="003806CE" w:rsidRPr="00D93355" w14:paraId="6B68304D" w14:textId="77777777" w:rsidTr="00B0074D">
        <w:tc>
          <w:tcPr>
            <w:tcW w:w="3106" w:type="dxa"/>
            <w:vMerge/>
          </w:tcPr>
          <w:p w14:paraId="10EDD316" w14:textId="77777777" w:rsidR="003806CE" w:rsidRPr="00D93355" w:rsidRDefault="003806CE">
            <w:pPr>
              <w:widowControl w:val="0"/>
              <w:spacing w:line="240" w:lineRule="auto"/>
              <w:rPr>
                <w:lang w:val="hu-HU"/>
              </w:rPr>
            </w:pPr>
          </w:p>
        </w:tc>
        <w:tc>
          <w:tcPr>
            <w:tcW w:w="1978" w:type="dxa"/>
          </w:tcPr>
          <w:p w14:paraId="0EC7B8D4" w14:textId="77777777" w:rsidR="003806CE" w:rsidRPr="00D93355" w:rsidRDefault="003806CE">
            <w:pPr>
              <w:widowControl w:val="0"/>
              <w:spacing w:line="240" w:lineRule="auto"/>
              <w:rPr>
                <w:lang w:val="hu-HU"/>
              </w:rPr>
            </w:pPr>
            <w:r w:rsidRPr="00D93355">
              <w:rPr>
                <w:lang w:val="hu-HU"/>
              </w:rPr>
              <w:t>Nem gyakori</w:t>
            </w:r>
          </w:p>
        </w:tc>
        <w:tc>
          <w:tcPr>
            <w:tcW w:w="3988" w:type="dxa"/>
          </w:tcPr>
          <w:p w14:paraId="1F0A5B95" w14:textId="77777777" w:rsidR="003806CE" w:rsidRPr="00D93355" w:rsidRDefault="003806CE">
            <w:pPr>
              <w:widowControl w:val="0"/>
              <w:spacing w:line="240" w:lineRule="auto"/>
              <w:rPr>
                <w:lang w:val="hu-HU"/>
              </w:rPr>
            </w:pPr>
            <w:r w:rsidRPr="00D93355">
              <w:rPr>
                <w:iCs/>
                <w:lang w:val="hu-HU"/>
              </w:rPr>
              <w:t>Neutropenia, leukopenia</w:t>
            </w:r>
            <w:r w:rsidRPr="00D93355">
              <w:rPr>
                <w:iCs/>
                <w:vertAlign w:val="superscript"/>
                <w:lang w:val="hu-HU"/>
              </w:rPr>
              <w:t>1</w:t>
            </w:r>
          </w:p>
        </w:tc>
      </w:tr>
      <w:tr w:rsidR="003806CE" w:rsidRPr="00185DDA" w14:paraId="2A0E19B3" w14:textId="77777777" w:rsidTr="00B0074D">
        <w:tc>
          <w:tcPr>
            <w:tcW w:w="3106" w:type="dxa"/>
            <w:vMerge w:val="restart"/>
          </w:tcPr>
          <w:p w14:paraId="1711FDA0" w14:textId="77777777" w:rsidR="003806CE" w:rsidRPr="00D93355" w:rsidRDefault="003806CE" w:rsidP="00FF7BEF">
            <w:pPr>
              <w:widowControl w:val="0"/>
              <w:spacing w:line="240" w:lineRule="auto"/>
              <w:rPr>
                <w:lang w:val="hu-HU"/>
              </w:rPr>
            </w:pPr>
            <w:r w:rsidRPr="00D93355">
              <w:rPr>
                <w:lang w:val="hu-HU"/>
              </w:rPr>
              <w:t>Immunrendszeri betegségek és tünetek</w:t>
            </w:r>
          </w:p>
        </w:tc>
        <w:tc>
          <w:tcPr>
            <w:tcW w:w="1978" w:type="dxa"/>
          </w:tcPr>
          <w:p w14:paraId="283B9C26" w14:textId="77777777" w:rsidR="003806CE" w:rsidRPr="00D93355" w:rsidRDefault="003806CE" w:rsidP="00F67D81">
            <w:pPr>
              <w:widowControl w:val="0"/>
              <w:spacing w:line="240" w:lineRule="auto"/>
              <w:rPr>
                <w:lang w:val="hu-HU"/>
              </w:rPr>
            </w:pPr>
            <w:r w:rsidRPr="00D93355">
              <w:rPr>
                <w:lang w:val="hu-HU"/>
              </w:rPr>
              <w:t>Gyakori</w:t>
            </w:r>
          </w:p>
        </w:tc>
        <w:tc>
          <w:tcPr>
            <w:tcW w:w="3988" w:type="dxa"/>
          </w:tcPr>
          <w:p w14:paraId="11E21A0D" w14:textId="77777777" w:rsidR="003806CE" w:rsidRPr="00D93355" w:rsidRDefault="003806CE" w:rsidP="007E35DF">
            <w:pPr>
              <w:widowControl w:val="0"/>
              <w:spacing w:line="240" w:lineRule="auto"/>
              <w:rPr>
                <w:lang w:val="hu-HU"/>
              </w:rPr>
            </w:pPr>
            <w:r w:rsidRPr="00D93355">
              <w:rPr>
                <w:lang w:val="hu-HU"/>
              </w:rPr>
              <w:t>Túlérzékenységi reakciók (köztük dermatitis, pruritus és bőrkiütés)</w:t>
            </w:r>
            <w:r w:rsidRPr="00D93355">
              <w:rPr>
                <w:vertAlign w:val="superscript"/>
                <w:lang w:val="hu-HU"/>
              </w:rPr>
              <w:t>2</w:t>
            </w:r>
          </w:p>
        </w:tc>
      </w:tr>
      <w:tr w:rsidR="003806CE" w:rsidRPr="00D93355" w14:paraId="0E0648AA" w14:textId="77777777" w:rsidTr="00B0074D">
        <w:tc>
          <w:tcPr>
            <w:tcW w:w="3106" w:type="dxa"/>
            <w:vMerge/>
          </w:tcPr>
          <w:p w14:paraId="79FCAB9C" w14:textId="77777777" w:rsidR="003806CE" w:rsidRPr="00D93355" w:rsidRDefault="003806CE">
            <w:pPr>
              <w:widowControl w:val="0"/>
              <w:spacing w:line="240" w:lineRule="auto"/>
              <w:rPr>
                <w:lang w:val="hu-HU"/>
              </w:rPr>
            </w:pPr>
          </w:p>
        </w:tc>
        <w:tc>
          <w:tcPr>
            <w:tcW w:w="1978" w:type="dxa"/>
          </w:tcPr>
          <w:p w14:paraId="6D5079BA" w14:textId="77777777" w:rsidR="003806CE" w:rsidRPr="00D93355" w:rsidRDefault="003806CE">
            <w:pPr>
              <w:widowControl w:val="0"/>
              <w:spacing w:line="240" w:lineRule="auto"/>
              <w:rPr>
                <w:lang w:val="hu-HU"/>
              </w:rPr>
            </w:pPr>
            <w:r w:rsidRPr="00D93355">
              <w:rPr>
                <w:lang w:val="hu-HU"/>
              </w:rPr>
              <w:t>Ritka</w:t>
            </w:r>
          </w:p>
        </w:tc>
        <w:tc>
          <w:tcPr>
            <w:tcW w:w="3988" w:type="dxa"/>
          </w:tcPr>
          <w:p w14:paraId="435AD0BA" w14:textId="77777777" w:rsidR="003806CE" w:rsidRPr="00D93355" w:rsidRDefault="003806CE">
            <w:pPr>
              <w:widowControl w:val="0"/>
              <w:spacing w:line="240" w:lineRule="auto"/>
              <w:rPr>
                <w:lang w:val="hu-HU"/>
              </w:rPr>
            </w:pPr>
            <w:r w:rsidRPr="00D93355">
              <w:rPr>
                <w:iCs/>
                <w:lang w:val="hu-HU"/>
              </w:rPr>
              <w:t>Anaphylaxia és/vagy angiooedema</w:t>
            </w:r>
            <w:r w:rsidR="008A7569" w:rsidRPr="00D93355">
              <w:rPr>
                <w:vertAlign w:val="superscript"/>
                <w:lang w:val="hu-HU"/>
              </w:rPr>
              <w:t>1</w:t>
            </w:r>
          </w:p>
        </w:tc>
      </w:tr>
      <w:tr w:rsidR="00B0074D" w:rsidRPr="00FF7BEF" w14:paraId="125712BC" w14:textId="77777777" w:rsidTr="00B0074D">
        <w:tc>
          <w:tcPr>
            <w:tcW w:w="3106" w:type="dxa"/>
            <w:tcBorders>
              <w:top w:val="single" w:sz="4" w:space="0" w:color="auto"/>
              <w:left w:val="single" w:sz="4" w:space="0" w:color="auto"/>
              <w:bottom w:val="single" w:sz="4" w:space="0" w:color="auto"/>
              <w:right w:val="single" w:sz="4" w:space="0" w:color="auto"/>
            </w:tcBorders>
          </w:tcPr>
          <w:p w14:paraId="221E541D" w14:textId="77777777" w:rsidR="00B0074D" w:rsidRPr="00FF7BEF" w:rsidRDefault="00B0074D" w:rsidP="00A31735">
            <w:pPr>
              <w:widowControl w:val="0"/>
              <w:spacing w:line="240" w:lineRule="auto"/>
              <w:rPr>
                <w:lang w:val="hu-HU"/>
              </w:rPr>
            </w:pPr>
            <w:r w:rsidRPr="00B0074D">
              <w:rPr>
                <w:lang w:val="hu-HU"/>
              </w:rPr>
              <w:t>Szembetegségek és szemészeti tünetek</w:t>
            </w:r>
          </w:p>
        </w:tc>
        <w:tc>
          <w:tcPr>
            <w:tcW w:w="1978" w:type="dxa"/>
            <w:tcBorders>
              <w:top w:val="single" w:sz="4" w:space="0" w:color="auto"/>
              <w:left w:val="single" w:sz="4" w:space="0" w:color="auto"/>
              <w:bottom w:val="single" w:sz="4" w:space="0" w:color="auto"/>
              <w:right w:val="single" w:sz="4" w:space="0" w:color="auto"/>
            </w:tcBorders>
          </w:tcPr>
          <w:p w14:paraId="008D926A" w14:textId="77777777" w:rsidR="00B0074D" w:rsidRPr="00FF7BEF" w:rsidRDefault="00B0074D" w:rsidP="00A31735">
            <w:pPr>
              <w:widowControl w:val="0"/>
              <w:spacing w:line="240" w:lineRule="auto"/>
              <w:rPr>
                <w:lang w:val="hu-HU"/>
              </w:rPr>
            </w:pPr>
            <w:r w:rsidRPr="00FF7BEF">
              <w:rPr>
                <w:lang w:val="hu-HU"/>
              </w:rPr>
              <w:t>Nem ismert gyakoriságú</w:t>
            </w:r>
          </w:p>
        </w:tc>
        <w:tc>
          <w:tcPr>
            <w:tcW w:w="3988" w:type="dxa"/>
            <w:tcBorders>
              <w:top w:val="single" w:sz="4" w:space="0" w:color="auto"/>
              <w:left w:val="single" w:sz="4" w:space="0" w:color="auto"/>
              <w:bottom w:val="single" w:sz="4" w:space="0" w:color="auto"/>
              <w:right w:val="single" w:sz="4" w:space="0" w:color="auto"/>
            </w:tcBorders>
          </w:tcPr>
          <w:p w14:paraId="5236909F" w14:textId="77777777" w:rsidR="00B0074D" w:rsidRPr="00FF7BEF" w:rsidRDefault="00B0074D" w:rsidP="00A31735">
            <w:pPr>
              <w:widowControl w:val="0"/>
              <w:spacing w:line="240" w:lineRule="auto"/>
              <w:rPr>
                <w:lang w:val="hu-HU"/>
              </w:rPr>
            </w:pPr>
            <w:r>
              <w:rPr>
                <w:lang w:val="hu-HU"/>
              </w:rPr>
              <w:t>Homályos látás</w:t>
            </w:r>
            <w:r w:rsidRPr="00F90CB8">
              <w:rPr>
                <w:vertAlign w:val="superscript"/>
                <w:lang w:val="hu-HU"/>
              </w:rPr>
              <w:t>1</w:t>
            </w:r>
          </w:p>
        </w:tc>
      </w:tr>
      <w:tr w:rsidR="003806CE" w:rsidRPr="00D93355" w14:paraId="4F6B7C81" w14:textId="77777777" w:rsidTr="00B0074D">
        <w:tc>
          <w:tcPr>
            <w:tcW w:w="3106" w:type="dxa"/>
            <w:vMerge w:val="restart"/>
          </w:tcPr>
          <w:p w14:paraId="3176759D" w14:textId="77777777" w:rsidR="003806CE" w:rsidRPr="00D93355" w:rsidRDefault="003806CE" w:rsidP="00FF7BEF">
            <w:pPr>
              <w:widowControl w:val="0"/>
              <w:spacing w:line="240" w:lineRule="auto"/>
              <w:rPr>
                <w:lang w:val="hu-HU"/>
              </w:rPr>
            </w:pPr>
            <w:r w:rsidRPr="00D93355">
              <w:rPr>
                <w:lang w:val="hu-HU"/>
              </w:rPr>
              <w:t>Idegrendszeri betegségek és tünetek</w:t>
            </w:r>
          </w:p>
        </w:tc>
        <w:tc>
          <w:tcPr>
            <w:tcW w:w="1978" w:type="dxa"/>
          </w:tcPr>
          <w:p w14:paraId="288ACE2B" w14:textId="77777777" w:rsidR="003806CE" w:rsidRPr="00D93355" w:rsidRDefault="003806CE" w:rsidP="00F67D81">
            <w:pPr>
              <w:widowControl w:val="0"/>
              <w:spacing w:line="240" w:lineRule="auto"/>
              <w:rPr>
                <w:lang w:val="hu-HU"/>
              </w:rPr>
            </w:pPr>
            <w:r w:rsidRPr="00D93355">
              <w:rPr>
                <w:lang w:val="hu-HU"/>
              </w:rPr>
              <w:t>Nagyon gyakori</w:t>
            </w:r>
          </w:p>
        </w:tc>
        <w:tc>
          <w:tcPr>
            <w:tcW w:w="3988" w:type="dxa"/>
          </w:tcPr>
          <w:p w14:paraId="7014220F" w14:textId="77777777" w:rsidR="003806CE" w:rsidRPr="00D93355" w:rsidRDefault="003806CE" w:rsidP="007E35DF">
            <w:pPr>
              <w:widowControl w:val="0"/>
              <w:spacing w:line="240" w:lineRule="auto"/>
              <w:rPr>
                <w:lang w:val="hu-HU"/>
              </w:rPr>
            </w:pPr>
            <w:r w:rsidRPr="00D93355">
              <w:rPr>
                <w:lang w:val="hu-HU"/>
              </w:rPr>
              <w:t>Fejfájás</w:t>
            </w:r>
            <w:r w:rsidRPr="00D93355">
              <w:rPr>
                <w:vertAlign w:val="superscript"/>
                <w:lang w:val="hu-HU"/>
              </w:rPr>
              <w:t>3</w:t>
            </w:r>
          </w:p>
        </w:tc>
      </w:tr>
      <w:tr w:rsidR="003806CE" w:rsidRPr="00D93355" w14:paraId="66904EFA" w14:textId="77777777" w:rsidTr="00B0074D">
        <w:tc>
          <w:tcPr>
            <w:tcW w:w="3106" w:type="dxa"/>
            <w:vMerge/>
          </w:tcPr>
          <w:p w14:paraId="69943FCC" w14:textId="77777777" w:rsidR="003806CE" w:rsidRPr="00D93355" w:rsidRDefault="003806CE">
            <w:pPr>
              <w:spacing w:line="240" w:lineRule="auto"/>
              <w:rPr>
                <w:lang w:val="hu-HU"/>
              </w:rPr>
            </w:pPr>
          </w:p>
        </w:tc>
        <w:tc>
          <w:tcPr>
            <w:tcW w:w="1978" w:type="dxa"/>
          </w:tcPr>
          <w:p w14:paraId="77605444" w14:textId="77777777" w:rsidR="003806CE" w:rsidRPr="00D93355" w:rsidRDefault="003806CE">
            <w:pPr>
              <w:spacing w:line="240" w:lineRule="auto"/>
              <w:rPr>
                <w:lang w:val="hu-HU"/>
              </w:rPr>
            </w:pPr>
            <w:r w:rsidRPr="00D93355">
              <w:rPr>
                <w:lang w:val="hu-HU"/>
              </w:rPr>
              <w:t>Gyakori</w:t>
            </w:r>
          </w:p>
        </w:tc>
        <w:tc>
          <w:tcPr>
            <w:tcW w:w="3988" w:type="dxa"/>
          </w:tcPr>
          <w:p w14:paraId="458DA8C4" w14:textId="77777777" w:rsidR="003806CE" w:rsidRPr="00D93355" w:rsidRDefault="003806CE">
            <w:pPr>
              <w:spacing w:line="240" w:lineRule="auto"/>
              <w:rPr>
                <w:lang w:val="hu-HU"/>
              </w:rPr>
            </w:pPr>
            <w:r w:rsidRPr="00D93355">
              <w:rPr>
                <w:iCs/>
                <w:lang w:val="hu-HU"/>
              </w:rPr>
              <w:t>Ájulás</w:t>
            </w:r>
            <w:r w:rsidRPr="00D93355">
              <w:rPr>
                <w:iCs/>
                <w:vertAlign w:val="superscript"/>
                <w:lang w:val="hu-HU"/>
              </w:rPr>
              <w:t>1,4</w:t>
            </w:r>
          </w:p>
        </w:tc>
      </w:tr>
      <w:tr w:rsidR="003806CE" w:rsidRPr="00D93355" w14:paraId="6601504F" w14:textId="77777777" w:rsidTr="00B0074D">
        <w:tc>
          <w:tcPr>
            <w:tcW w:w="3106" w:type="dxa"/>
          </w:tcPr>
          <w:p w14:paraId="4932BC9D" w14:textId="77777777" w:rsidR="003806CE" w:rsidRPr="00D93355" w:rsidRDefault="003806CE" w:rsidP="00FF7BEF">
            <w:pPr>
              <w:spacing w:line="240" w:lineRule="auto"/>
              <w:rPr>
                <w:lang w:val="hu-HU"/>
              </w:rPr>
            </w:pPr>
            <w:r w:rsidRPr="00D93355">
              <w:rPr>
                <w:lang w:val="hu-HU"/>
              </w:rPr>
              <w:t>Szívbetegségek és a szívvel kapcsolatos tünetek</w:t>
            </w:r>
          </w:p>
        </w:tc>
        <w:tc>
          <w:tcPr>
            <w:tcW w:w="1978" w:type="dxa"/>
          </w:tcPr>
          <w:p w14:paraId="3A7AAD2D" w14:textId="77777777" w:rsidR="003806CE" w:rsidRPr="00D93355" w:rsidRDefault="003806CE" w:rsidP="00F67D81">
            <w:pPr>
              <w:spacing w:line="240" w:lineRule="auto"/>
              <w:rPr>
                <w:lang w:val="hu-HU"/>
              </w:rPr>
            </w:pPr>
            <w:r w:rsidRPr="00D93355">
              <w:rPr>
                <w:lang w:val="hu-HU"/>
              </w:rPr>
              <w:t>Gyakori</w:t>
            </w:r>
          </w:p>
        </w:tc>
        <w:tc>
          <w:tcPr>
            <w:tcW w:w="3988" w:type="dxa"/>
          </w:tcPr>
          <w:p w14:paraId="0F525E88" w14:textId="77777777" w:rsidR="003806CE" w:rsidRPr="00D93355" w:rsidRDefault="003806CE" w:rsidP="007E35DF">
            <w:pPr>
              <w:spacing w:line="240" w:lineRule="auto"/>
              <w:rPr>
                <w:lang w:val="hu-HU"/>
              </w:rPr>
            </w:pPr>
            <w:r w:rsidRPr="00D93355">
              <w:rPr>
                <w:iCs/>
                <w:lang w:val="hu-HU"/>
              </w:rPr>
              <w:t>Palpitáció</w:t>
            </w:r>
            <w:r w:rsidRPr="00D93355">
              <w:rPr>
                <w:iCs/>
                <w:vertAlign w:val="superscript"/>
                <w:lang w:val="hu-HU"/>
              </w:rPr>
              <w:t>1,4</w:t>
            </w:r>
          </w:p>
        </w:tc>
      </w:tr>
      <w:tr w:rsidR="003806CE" w:rsidRPr="00D93355" w14:paraId="4AF6EABD" w14:textId="77777777" w:rsidTr="00B0074D">
        <w:tc>
          <w:tcPr>
            <w:tcW w:w="3106" w:type="dxa"/>
            <w:vMerge w:val="restart"/>
          </w:tcPr>
          <w:p w14:paraId="5B72DCC9" w14:textId="77777777" w:rsidR="003806CE" w:rsidRPr="00D93355" w:rsidRDefault="003806CE" w:rsidP="00FF7BEF">
            <w:pPr>
              <w:spacing w:line="240" w:lineRule="auto"/>
              <w:rPr>
                <w:lang w:val="hu-HU"/>
              </w:rPr>
            </w:pPr>
            <w:r w:rsidRPr="00D93355">
              <w:rPr>
                <w:lang w:val="hu-HU"/>
              </w:rPr>
              <w:t>Érbetegségek és tünetek</w:t>
            </w:r>
          </w:p>
        </w:tc>
        <w:tc>
          <w:tcPr>
            <w:tcW w:w="1978" w:type="dxa"/>
          </w:tcPr>
          <w:p w14:paraId="608CEF0C" w14:textId="77777777" w:rsidR="003806CE" w:rsidRPr="00D93355" w:rsidRDefault="003806CE" w:rsidP="00F67D81">
            <w:pPr>
              <w:spacing w:line="240" w:lineRule="auto"/>
              <w:rPr>
                <w:lang w:val="hu-HU"/>
              </w:rPr>
            </w:pPr>
            <w:r w:rsidRPr="00D93355">
              <w:rPr>
                <w:lang w:val="hu-HU"/>
              </w:rPr>
              <w:t>Gyakori</w:t>
            </w:r>
          </w:p>
        </w:tc>
        <w:tc>
          <w:tcPr>
            <w:tcW w:w="3988" w:type="dxa"/>
          </w:tcPr>
          <w:p w14:paraId="19BB8C02" w14:textId="77777777" w:rsidR="003806CE" w:rsidRPr="00D93355" w:rsidRDefault="003806CE" w:rsidP="007E35DF">
            <w:pPr>
              <w:spacing w:line="240" w:lineRule="auto"/>
              <w:rPr>
                <w:lang w:val="hu-HU"/>
              </w:rPr>
            </w:pPr>
            <w:r w:rsidRPr="00D93355">
              <w:rPr>
                <w:lang w:val="hu-HU"/>
              </w:rPr>
              <w:t>Bőrpír</w:t>
            </w:r>
          </w:p>
        </w:tc>
      </w:tr>
      <w:tr w:rsidR="003806CE" w:rsidRPr="00D93355" w14:paraId="2CDD169C" w14:textId="77777777" w:rsidTr="00B0074D">
        <w:tc>
          <w:tcPr>
            <w:tcW w:w="3106" w:type="dxa"/>
            <w:vMerge/>
          </w:tcPr>
          <w:p w14:paraId="7D982F78" w14:textId="77777777" w:rsidR="003806CE" w:rsidRPr="00D93355" w:rsidRDefault="003806CE">
            <w:pPr>
              <w:spacing w:line="240" w:lineRule="auto"/>
              <w:rPr>
                <w:lang w:val="hu-HU"/>
              </w:rPr>
            </w:pPr>
          </w:p>
        </w:tc>
        <w:tc>
          <w:tcPr>
            <w:tcW w:w="1978" w:type="dxa"/>
          </w:tcPr>
          <w:p w14:paraId="5262147D" w14:textId="77777777" w:rsidR="003806CE" w:rsidRPr="00D93355" w:rsidRDefault="003806CE">
            <w:pPr>
              <w:spacing w:line="240" w:lineRule="auto"/>
              <w:rPr>
                <w:lang w:val="hu-HU"/>
              </w:rPr>
            </w:pPr>
            <w:r w:rsidRPr="00D93355">
              <w:rPr>
                <w:lang w:val="hu-HU"/>
              </w:rPr>
              <w:t>Gyakori</w:t>
            </w:r>
          </w:p>
        </w:tc>
        <w:tc>
          <w:tcPr>
            <w:tcW w:w="3988" w:type="dxa"/>
          </w:tcPr>
          <w:p w14:paraId="17B8F008" w14:textId="77777777" w:rsidR="003806CE" w:rsidRPr="00D93355" w:rsidRDefault="003806CE">
            <w:pPr>
              <w:spacing w:line="240" w:lineRule="auto"/>
              <w:rPr>
                <w:lang w:val="hu-HU"/>
              </w:rPr>
            </w:pPr>
            <w:r w:rsidRPr="00D93355">
              <w:rPr>
                <w:iCs/>
                <w:lang w:val="hu-HU"/>
              </w:rPr>
              <w:t>Hypotonia</w:t>
            </w:r>
            <w:r w:rsidRPr="00D93355">
              <w:rPr>
                <w:iCs/>
                <w:vertAlign w:val="superscript"/>
                <w:lang w:val="hu-HU"/>
              </w:rPr>
              <w:t>1,4</w:t>
            </w:r>
          </w:p>
        </w:tc>
      </w:tr>
      <w:tr w:rsidR="003806CE" w:rsidRPr="00D93355" w14:paraId="75F788CF" w14:textId="77777777" w:rsidTr="00B0074D">
        <w:tblPrEx>
          <w:tblLook w:val="00A0" w:firstRow="1" w:lastRow="0" w:firstColumn="1" w:lastColumn="0" w:noHBand="0" w:noVBand="0"/>
        </w:tblPrEx>
        <w:tc>
          <w:tcPr>
            <w:tcW w:w="3106" w:type="dxa"/>
          </w:tcPr>
          <w:p w14:paraId="38B91EE3" w14:textId="77777777" w:rsidR="003806CE" w:rsidRPr="00D93355" w:rsidRDefault="003806CE" w:rsidP="00FF7BEF">
            <w:pPr>
              <w:spacing w:line="240" w:lineRule="auto"/>
              <w:rPr>
                <w:lang w:val="hu-HU"/>
              </w:rPr>
            </w:pPr>
            <w:r w:rsidRPr="00D93355">
              <w:rPr>
                <w:lang w:val="hu-HU"/>
              </w:rPr>
              <w:t>Légzőrendszeri, mellkasi és mediastinalis betegségek és tünetek</w:t>
            </w:r>
          </w:p>
        </w:tc>
        <w:tc>
          <w:tcPr>
            <w:tcW w:w="1978" w:type="dxa"/>
          </w:tcPr>
          <w:p w14:paraId="30E2B77E" w14:textId="77777777" w:rsidR="003806CE" w:rsidRPr="00D93355" w:rsidRDefault="003806CE" w:rsidP="00F67D81">
            <w:pPr>
              <w:spacing w:line="240" w:lineRule="auto"/>
              <w:rPr>
                <w:lang w:val="hu-HU"/>
              </w:rPr>
            </w:pPr>
            <w:r w:rsidRPr="00D93355">
              <w:rPr>
                <w:lang w:val="hu-HU"/>
              </w:rPr>
              <w:t>Gyakori</w:t>
            </w:r>
          </w:p>
        </w:tc>
        <w:tc>
          <w:tcPr>
            <w:tcW w:w="3988" w:type="dxa"/>
          </w:tcPr>
          <w:p w14:paraId="04A62C20" w14:textId="77777777" w:rsidR="003806CE" w:rsidRPr="00D93355" w:rsidRDefault="003806CE" w:rsidP="007E35DF">
            <w:pPr>
              <w:pStyle w:val="Default"/>
              <w:rPr>
                <w:sz w:val="22"/>
                <w:szCs w:val="22"/>
              </w:rPr>
            </w:pPr>
            <w:r w:rsidRPr="00D93355">
              <w:rPr>
                <w:iCs/>
                <w:sz w:val="22"/>
                <w:szCs w:val="22"/>
              </w:rPr>
              <w:t>Orrdugulás</w:t>
            </w:r>
            <w:r w:rsidRPr="00D93355">
              <w:rPr>
                <w:iCs/>
                <w:sz w:val="22"/>
                <w:szCs w:val="22"/>
                <w:vertAlign w:val="superscript"/>
              </w:rPr>
              <w:t>1</w:t>
            </w:r>
          </w:p>
        </w:tc>
      </w:tr>
      <w:tr w:rsidR="003806CE" w:rsidRPr="00D93355" w14:paraId="0D67A358" w14:textId="77777777" w:rsidTr="00B0074D">
        <w:tc>
          <w:tcPr>
            <w:tcW w:w="3106" w:type="dxa"/>
          </w:tcPr>
          <w:p w14:paraId="34486E74" w14:textId="77777777" w:rsidR="003806CE" w:rsidRPr="00D93355" w:rsidRDefault="003806CE" w:rsidP="00FF7BEF">
            <w:pPr>
              <w:spacing w:line="240" w:lineRule="auto"/>
              <w:rPr>
                <w:lang w:val="hu-HU"/>
              </w:rPr>
            </w:pPr>
            <w:r w:rsidRPr="00D93355">
              <w:rPr>
                <w:lang w:val="hu-HU"/>
              </w:rPr>
              <w:t>Emésztőrendszeri betegségek és tünetek</w:t>
            </w:r>
          </w:p>
        </w:tc>
        <w:tc>
          <w:tcPr>
            <w:tcW w:w="1978" w:type="dxa"/>
          </w:tcPr>
          <w:p w14:paraId="59C2185A" w14:textId="77777777" w:rsidR="003806CE" w:rsidRPr="00D93355" w:rsidRDefault="003806CE" w:rsidP="00F67D81">
            <w:pPr>
              <w:spacing w:line="240" w:lineRule="auto"/>
              <w:rPr>
                <w:lang w:val="hu-HU"/>
              </w:rPr>
            </w:pPr>
            <w:r w:rsidRPr="00D93355">
              <w:rPr>
                <w:lang w:val="hu-HU"/>
              </w:rPr>
              <w:t>Gyakori</w:t>
            </w:r>
          </w:p>
        </w:tc>
        <w:tc>
          <w:tcPr>
            <w:tcW w:w="3988" w:type="dxa"/>
          </w:tcPr>
          <w:p w14:paraId="062D2817" w14:textId="77777777" w:rsidR="003806CE" w:rsidRPr="00D93355" w:rsidRDefault="003806CE" w:rsidP="007E35DF">
            <w:pPr>
              <w:pStyle w:val="Default"/>
              <w:rPr>
                <w:sz w:val="22"/>
                <w:szCs w:val="22"/>
              </w:rPr>
            </w:pPr>
            <w:r w:rsidRPr="00D93355">
              <w:rPr>
                <w:sz w:val="22"/>
                <w:szCs w:val="22"/>
              </w:rPr>
              <w:t>Gastro</w:t>
            </w:r>
            <w:r w:rsidRPr="00D93355">
              <w:rPr>
                <w:sz w:val="22"/>
                <w:szCs w:val="22"/>
              </w:rPr>
              <w:noBreakHyphen/>
              <w:t>oesophagealis reflux betegség, hasmenés</w:t>
            </w:r>
          </w:p>
        </w:tc>
      </w:tr>
      <w:tr w:rsidR="003806CE" w:rsidRPr="00185DDA" w14:paraId="461424EF" w14:textId="77777777" w:rsidTr="00B0074D">
        <w:tc>
          <w:tcPr>
            <w:tcW w:w="3106" w:type="dxa"/>
            <w:vMerge w:val="restart"/>
          </w:tcPr>
          <w:p w14:paraId="5BF22828" w14:textId="77777777" w:rsidR="003806CE" w:rsidRPr="00D93355" w:rsidRDefault="003806CE" w:rsidP="00FF7BEF">
            <w:pPr>
              <w:spacing w:line="240" w:lineRule="auto"/>
              <w:rPr>
                <w:lang w:val="hu-HU"/>
              </w:rPr>
            </w:pPr>
            <w:r w:rsidRPr="00D93355">
              <w:rPr>
                <w:lang w:val="hu-HU"/>
              </w:rPr>
              <w:t>Máj- és epebetegségek</w:t>
            </w:r>
            <w:r w:rsidR="0072285B" w:rsidRPr="00D93355">
              <w:rPr>
                <w:lang w:val="hu-HU"/>
              </w:rPr>
              <w:t>,</w:t>
            </w:r>
            <w:r w:rsidRPr="00D93355">
              <w:rPr>
                <w:lang w:val="hu-HU"/>
              </w:rPr>
              <w:t xml:space="preserve"> illetve tünetek</w:t>
            </w:r>
          </w:p>
        </w:tc>
        <w:tc>
          <w:tcPr>
            <w:tcW w:w="1978" w:type="dxa"/>
          </w:tcPr>
          <w:p w14:paraId="73FB616B" w14:textId="77777777" w:rsidR="003806CE" w:rsidRPr="00D93355" w:rsidRDefault="003806CE" w:rsidP="00F67D81">
            <w:pPr>
              <w:spacing w:line="240" w:lineRule="auto"/>
              <w:rPr>
                <w:lang w:val="hu-HU"/>
              </w:rPr>
            </w:pPr>
            <w:r w:rsidRPr="00D93355">
              <w:rPr>
                <w:lang w:val="hu-HU"/>
              </w:rPr>
              <w:t>Nagyon gyakori</w:t>
            </w:r>
          </w:p>
        </w:tc>
        <w:tc>
          <w:tcPr>
            <w:tcW w:w="3988" w:type="dxa"/>
          </w:tcPr>
          <w:p w14:paraId="0DD52C60" w14:textId="77777777" w:rsidR="003806CE" w:rsidRPr="00D93355" w:rsidRDefault="003806CE" w:rsidP="007E35DF">
            <w:pPr>
              <w:spacing w:line="240" w:lineRule="auto"/>
              <w:rPr>
                <w:lang w:val="hu-HU"/>
              </w:rPr>
            </w:pPr>
            <w:r w:rsidRPr="00D93355">
              <w:rPr>
                <w:lang w:val="hu-HU"/>
              </w:rPr>
              <w:t>Kóros májfunkciós vizsgálati eredmények (lásd 4.4 pont)</w:t>
            </w:r>
          </w:p>
        </w:tc>
      </w:tr>
      <w:tr w:rsidR="003806CE" w:rsidRPr="00185DDA" w14:paraId="3E2A23B0" w14:textId="77777777" w:rsidTr="00B0074D">
        <w:tc>
          <w:tcPr>
            <w:tcW w:w="3106" w:type="dxa"/>
            <w:vMerge/>
          </w:tcPr>
          <w:p w14:paraId="0DD9B84C" w14:textId="77777777" w:rsidR="003806CE" w:rsidRPr="00D93355" w:rsidRDefault="003806CE">
            <w:pPr>
              <w:spacing w:line="240" w:lineRule="auto"/>
              <w:rPr>
                <w:lang w:val="hu-HU"/>
              </w:rPr>
            </w:pPr>
          </w:p>
        </w:tc>
        <w:tc>
          <w:tcPr>
            <w:tcW w:w="1978" w:type="dxa"/>
          </w:tcPr>
          <w:p w14:paraId="747FFC6B" w14:textId="77777777" w:rsidR="003806CE" w:rsidRPr="00D93355" w:rsidRDefault="003806CE">
            <w:pPr>
              <w:spacing w:line="240" w:lineRule="auto"/>
              <w:rPr>
                <w:lang w:val="hu-HU"/>
              </w:rPr>
            </w:pPr>
            <w:r w:rsidRPr="00D93355">
              <w:rPr>
                <w:lang w:val="hu-HU"/>
              </w:rPr>
              <w:t>Nem gyakori</w:t>
            </w:r>
          </w:p>
        </w:tc>
        <w:tc>
          <w:tcPr>
            <w:tcW w:w="3988" w:type="dxa"/>
          </w:tcPr>
          <w:p w14:paraId="6D0399A4" w14:textId="77777777" w:rsidR="003806CE" w:rsidRPr="00D93355" w:rsidRDefault="003806CE">
            <w:pPr>
              <w:spacing w:line="240" w:lineRule="auto"/>
              <w:rPr>
                <w:lang w:val="hu-HU"/>
              </w:rPr>
            </w:pPr>
            <w:r w:rsidRPr="00D93355">
              <w:rPr>
                <w:iCs/>
                <w:lang w:val="hu-HU"/>
              </w:rPr>
              <w:t>Az aminotranszferáz-szint növekedése, ami hepatitisszel (beleértve a meglévő hepatitis esetleges exacerbációját) és/vagy sárgasággal</w:t>
            </w:r>
            <w:r w:rsidR="008A7569" w:rsidRPr="00D93355">
              <w:rPr>
                <w:vertAlign w:val="superscript"/>
                <w:lang w:val="hu-HU"/>
              </w:rPr>
              <w:t>1</w:t>
            </w:r>
            <w:r w:rsidRPr="00D93355">
              <w:rPr>
                <w:iCs/>
                <w:lang w:val="hu-HU"/>
              </w:rPr>
              <w:t xml:space="preserve"> jár </w:t>
            </w:r>
            <w:r w:rsidRPr="00D93355">
              <w:rPr>
                <w:lang w:val="hu-HU"/>
              </w:rPr>
              <w:t>(lásd 4.4 pont)</w:t>
            </w:r>
          </w:p>
        </w:tc>
      </w:tr>
      <w:tr w:rsidR="003806CE" w:rsidRPr="00D93355" w14:paraId="54C0ECD5" w14:textId="77777777" w:rsidTr="00B0074D">
        <w:tc>
          <w:tcPr>
            <w:tcW w:w="3106" w:type="dxa"/>
            <w:vMerge/>
          </w:tcPr>
          <w:p w14:paraId="71A7DB32" w14:textId="77777777" w:rsidR="003806CE" w:rsidRPr="00D93355" w:rsidRDefault="003806CE">
            <w:pPr>
              <w:spacing w:line="240" w:lineRule="auto"/>
              <w:rPr>
                <w:lang w:val="hu-HU"/>
              </w:rPr>
            </w:pPr>
          </w:p>
        </w:tc>
        <w:tc>
          <w:tcPr>
            <w:tcW w:w="1978" w:type="dxa"/>
          </w:tcPr>
          <w:p w14:paraId="4F90F936" w14:textId="77777777" w:rsidR="003806CE" w:rsidRPr="00D93355" w:rsidRDefault="003806CE">
            <w:pPr>
              <w:spacing w:line="240" w:lineRule="auto"/>
              <w:rPr>
                <w:lang w:val="hu-HU"/>
              </w:rPr>
            </w:pPr>
            <w:r w:rsidRPr="00D93355">
              <w:rPr>
                <w:lang w:val="hu-HU"/>
              </w:rPr>
              <w:t>Ritka</w:t>
            </w:r>
          </w:p>
        </w:tc>
        <w:tc>
          <w:tcPr>
            <w:tcW w:w="3988" w:type="dxa"/>
          </w:tcPr>
          <w:p w14:paraId="7C0DE3E2" w14:textId="650D6C6D" w:rsidR="000C2E7E" w:rsidRPr="000C2E7E" w:rsidRDefault="000C2E7E">
            <w:pPr>
              <w:spacing w:line="240" w:lineRule="auto"/>
              <w:rPr>
                <w:iCs/>
                <w:lang w:val="hu-HU"/>
              </w:rPr>
            </w:pPr>
            <w:r w:rsidRPr="00D93355">
              <w:rPr>
                <w:iCs/>
                <w:lang w:val="hu-HU"/>
              </w:rPr>
              <w:t>Májcirrózis, májelégtelenség</w:t>
            </w:r>
            <w:r w:rsidRPr="00D93355">
              <w:rPr>
                <w:iCs/>
                <w:vertAlign w:val="superscript"/>
                <w:lang w:val="hu-HU"/>
              </w:rPr>
              <w:t>1</w:t>
            </w:r>
            <w:r>
              <w:rPr>
                <w:iCs/>
                <w:lang w:val="hu-HU"/>
              </w:rPr>
              <w:t>,</w:t>
            </w:r>
          </w:p>
          <w:p w14:paraId="07B563C3" w14:textId="64E9E126" w:rsidR="003806CE" w:rsidRPr="00D93355" w:rsidRDefault="000C2E7E">
            <w:pPr>
              <w:spacing w:line="240" w:lineRule="auto"/>
              <w:rPr>
                <w:lang w:val="hu-HU"/>
              </w:rPr>
            </w:pPr>
            <w:r>
              <w:rPr>
                <w:lang w:val="hu-HU"/>
              </w:rPr>
              <w:t>autoimmun hepatitis</w:t>
            </w:r>
          </w:p>
        </w:tc>
      </w:tr>
      <w:tr w:rsidR="003806CE" w:rsidRPr="00D93355" w14:paraId="61AE52B0" w14:textId="77777777" w:rsidTr="00B0074D">
        <w:tc>
          <w:tcPr>
            <w:tcW w:w="3106" w:type="dxa"/>
          </w:tcPr>
          <w:p w14:paraId="084A7BAD" w14:textId="77777777" w:rsidR="003806CE" w:rsidRPr="00D93355" w:rsidRDefault="003806CE" w:rsidP="00FF7BEF">
            <w:pPr>
              <w:spacing w:line="240" w:lineRule="auto"/>
              <w:rPr>
                <w:lang w:val="hu-HU"/>
              </w:rPr>
            </w:pPr>
            <w:r w:rsidRPr="00D93355">
              <w:rPr>
                <w:lang w:val="hu-HU"/>
              </w:rPr>
              <w:t>A bőr és a bőr alatti szövet betegségei és tünetei</w:t>
            </w:r>
          </w:p>
        </w:tc>
        <w:tc>
          <w:tcPr>
            <w:tcW w:w="1978" w:type="dxa"/>
          </w:tcPr>
          <w:p w14:paraId="2C775C96" w14:textId="77777777" w:rsidR="003806CE" w:rsidRPr="00D93355" w:rsidRDefault="003806CE" w:rsidP="00F67D81">
            <w:pPr>
              <w:spacing w:line="240" w:lineRule="auto"/>
              <w:rPr>
                <w:lang w:val="hu-HU"/>
              </w:rPr>
            </w:pPr>
            <w:r w:rsidRPr="00D93355">
              <w:rPr>
                <w:lang w:val="hu-HU"/>
              </w:rPr>
              <w:t>Gyakori</w:t>
            </w:r>
          </w:p>
        </w:tc>
        <w:tc>
          <w:tcPr>
            <w:tcW w:w="3988" w:type="dxa"/>
          </w:tcPr>
          <w:p w14:paraId="7A27BDEE" w14:textId="77777777" w:rsidR="003806CE" w:rsidRPr="00D93355" w:rsidRDefault="003806CE" w:rsidP="007E35DF">
            <w:pPr>
              <w:spacing w:line="240" w:lineRule="auto"/>
              <w:rPr>
                <w:lang w:val="hu-HU"/>
              </w:rPr>
            </w:pPr>
            <w:r w:rsidRPr="00D93355">
              <w:rPr>
                <w:lang w:val="hu-HU"/>
              </w:rPr>
              <w:t>Erythema</w:t>
            </w:r>
          </w:p>
        </w:tc>
      </w:tr>
      <w:tr w:rsidR="003806CE" w:rsidRPr="00D93355" w14:paraId="6E0372D6" w14:textId="77777777" w:rsidTr="00B0074D">
        <w:tc>
          <w:tcPr>
            <w:tcW w:w="3106" w:type="dxa"/>
          </w:tcPr>
          <w:p w14:paraId="77A71442" w14:textId="77777777" w:rsidR="003806CE" w:rsidRPr="00D93355" w:rsidRDefault="003806CE" w:rsidP="00FF7BEF">
            <w:pPr>
              <w:spacing w:line="240" w:lineRule="auto"/>
              <w:rPr>
                <w:lang w:val="hu-HU"/>
              </w:rPr>
            </w:pPr>
            <w:r w:rsidRPr="00D93355">
              <w:rPr>
                <w:lang w:val="hu-HU"/>
              </w:rPr>
              <w:t>Általános tünetek, az alkalmazás helyén fellépő reakciók</w:t>
            </w:r>
          </w:p>
        </w:tc>
        <w:tc>
          <w:tcPr>
            <w:tcW w:w="1978" w:type="dxa"/>
          </w:tcPr>
          <w:p w14:paraId="5FC11E83" w14:textId="77777777" w:rsidR="003806CE" w:rsidRPr="00D93355" w:rsidRDefault="003806CE" w:rsidP="00F67D81">
            <w:pPr>
              <w:spacing w:line="240" w:lineRule="auto"/>
              <w:rPr>
                <w:lang w:val="hu-HU"/>
              </w:rPr>
            </w:pPr>
            <w:r w:rsidRPr="00D93355">
              <w:rPr>
                <w:lang w:val="hu-HU"/>
              </w:rPr>
              <w:t>Nagyon gyakori</w:t>
            </w:r>
          </w:p>
        </w:tc>
        <w:tc>
          <w:tcPr>
            <w:tcW w:w="3988" w:type="dxa"/>
          </w:tcPr>
          <w:p w14:paraId="0EBC6F38" w14:textId="77777777" w:rsidR="003806CE" w:rsidRPr="00D93355" w:rsidRDefault="003806CE" w:rsidP="007E35DF">
            <w:pPr>
              <w:spacing w:line="240" w:lineRule="auto"/>
              <w:rPr>
                <w:lang w:val="hu-HU"/>
              </w:rPr>
            </w:pPr>
            <w:r w:rsidRPr="00D93355">
              <w:rPr>
                <w:lang w:val="hu-HU"/>
              </w:rPr>
              <w:t>Oedema, folyadékretenció</w:t>
            </w:r>
            <w:r w:rsidRPr="00D93355">
              <w:rPr>
                <w:vertAlign w:val="superscript"/>
                <w:lang w:val="hu-HU"/>
              </w:rPr>
              <w:t>5</w:t>
            </w:r>
          </w:p>
        </w:tc>
      </w:tr>
    </w:tbl>
    <w:p w14:paraId="15595E20" w14:textId="77777777" w:rsidR="00E36D26" w:rsidRPr="00D93355" w:rsidRDefault="00E36D26" w:rsidP="00FF7BEF">
      <w:pPr>
        <w:pStyle w:val="Default"/>
        <w:tabs>
          <w:tab w:val="left" w:pos="284"/>
        </w:tabs>
        <w:ind w:left="284" w:hanging="284"/>
        <w:rPr>
          <w:sz w:val="22"/>
          <w:szCs w:val="22"/>
        </w:rPr>
      </w:pPr>
      <w:r w:rsidRPr="00D93355">
        <w:rPr>
          <w:sz w:val="22"/>
          <w:szCs w:val="22"/>
          <w:vertAlign w:val="superscript"/>
        </w:rPr>
        <w:t>1</w:t>
      </w:r>
      <w:r w:rsidRPr="00D93355">
        <w:rPr>
          <w:sz w:val="22"/>
          <w:szCs w:val="22"/>
          <w:vertAlign w:val="superscript"/>
        </w:rPr>
        <w:tab/>
      </w:r>
      <w:r w:rsidRPr="00D93355">
        <w:rPr>
          <w:sz w:val="22"/>
          <w:szCs w:val="22"/>
        </w:rPr>
        <w:t>A forgalomba hozatal utáni tapasztalatokból gyűjtött adatok, a gyakoriságok a placebokontrollos klinikai adatok statisztikai modellezésén alapulnak.</w:t>
      </w:r>
    </w:p>
    <w:p w14:paraId="207CB823" w14:textId="77777777" w:rsidR="00E36D26" w:rsidRPr="00D93355" w:rsidRDefault="00E36D26" w:rsidP="00F67D81">
      <w:pPr>
        <w:pStyle w:val="Default"/>
        <w:tabs>
          <w:tab w:val="left" w:pos="284"/>
        </w:tabs>
        <w:ind w:left="284" w:hanging="284"/>
        <w:rPr>
          <w:sz w:val="22"/>
          <w:szCs w:val="22"/>
        </w:rPr>
      </w:pPr>
      <w:r w:rsidRPr="00D93355">
        <w:rPr>
          <w:sz w:val="22"/>
          <w:szCs w:val="22"/>
          <w:vertAlign w:val="superscript"/>
        </w:rPr>
        <w:lastRenderedPageBreak/>
        <w:t>2</w:t>
      </w:r>
      <w:r w:rsidRPr="00D93355">
        <w:rPr>
          <w:sz w:val="22"/>
          <w:szCs w:val="22"/>
        </w:rPr>
        <w:tab/>
        <w:t xml:space="preserve">Túlérzékenységi reakciókról a </w:t>
      </w:r>
      <w:r w:rsidR="006264FB" w:rsidRPr="00D93355">
        <w:rPr>
          <w:sz w:val="22"/>
          <w:szCs w:val="22"/>
        </w:rPr>
        <w:t>bozentán</w:t>
      </w:r>
      <w:r w:rsidRPr="00D93355">
        <w:rPr>
          <w:sz w:val="22"/>
          <w:szCs w:val="22"/>
        </w:rPr>
        <w:t>t szedő betegek 9,9%</w:t>
      </w:r>
      <w:r w:rsidRPr="00D93355">
        <w:rPr>
          <w:sz w:val="22"/>
          <w:szCs w:val="22"/>
        </w:rPr>
        <w:noBreakHyphen/>
        <w:t>ánál, míg a placebót szedő betegek 9,1%</w:t>
      </w:r>
      <w:r w:rsidRPr="00D93355">
        <w:rPr>
          <w:sz w:val="22"/>
          <w:szCs w:val="22"/>
        </w:rPr>
        <w:noBreakHyphen/>
        <w:t>ánál számoltak be.</w:t>
      </w:r>
    </w:p>
    <w:p w14:paraId="6BB0C744" w14:textId="77777777" w:rsidR="00E36D26" w:rsidRPr="00D93355" w:rsidRDefault="00E36D26" w:rsidP="007E35DF">
      <w:pPr>
        <w:pStyle w:val="Default"/>
        <w:tabs>
          <w:tab w:val="left" w:pos="284"/>
        </w:tabs>
        <w:ind w:left="284" w:hanging="284"/>
        <w:rPr>
          <w:sz w:val="22"/>
          <w:szCs w:val="22"/>
        </w:rPr>
      </w:pPr>
      <w:r w:rsidRPr="00D93355">
        <w:rPr>
          <w:sz w:val="22"/>
          <w:szCs w:val="22"/>
          <w:vertAlign w:val="superscript"/>
        </w:rPr>
        <w:t>3</w:t>
      </w:r>
      <w:r w:rsidRPr="00D93355">
        <w:rPr>
          <w:sz w:val="22"/>
          <w:szCs w:val="22"/>
          <w:vertAlign w:val="superscript"/>
        </w:rPr>
        <w:tab/>
      </w:r>
      <w:r w:rsidRPr="00D93355">
        <w:rPr>
          <w:sz w:val="22"/>
          <w:szCs w:val="22"/>
        </w:rPr>
        <w:t xml:space="preserve">Fejfájásról a </w:t>
      </w:r>
      <w:r w:rsidR="006264FB" w:rsidRPr="00D93355">
        <w:rPr>
          <w:sz w:val="22"/>
          <w:szCs w:val="22"/>
        </w:rPr>
        <w:t>bozentán</w:t>
      </w:r>
      <w:r w:rsidRPr="00D93355">
        <w:rPr>
          <w:sz w:val="22"/>
          <w:szCs w:val="22"/>
        </w:rPr>
        <w:t>t szedő betegek 11,5%</w:t>
      </w:r>
      <w:r w:rsidRPr="00D93355">
        <w:rPr>
          <w:sz w:val="22"/>
          <w:szCs w:val="22"/>
        </w:rPr>
        <w:noBreakHyphen/>
        <w:t>ánál, míg a placebót szedő betegek 9,8%</w:t>
      </w:r>
      <w:r w:rsidRPr="00D93355">
        <w:rPr>
          <w:sz w:val="22"/>
          <w:szCs w:val="22"/>
        </w:rPr>
        <w:noBreakHyphen/>
        <w:t>ánál számoltak be.</w:t>
      </w:r>
    </w:p>
    <w:p w14:paraId="77D97083" w14:textId="77777777" w:rsidR="00E36D26" w:rsidRPr="00D93355" w:rsidRDefault="00E36D26">
      <w:pPr>
        <w:pStyle w:val="Default"/>
        <w:tabs>
          <w:tab w:val="left" w:pos="284"/>
        </w:tabs>
        <w:ind w:left="284" w:hanging="284"/>
        <w:rPr>
          <w:sz w:val="22"/>
          <w:szCs w:val="22"/>
        </w:rPr>
      </w:pPr>
      <w:r w:rsidRPr="00D93355">
        <w:rPr>
          <w:sz w:val="22"/>
          <w:szCs w:val="22"/>
          <w:vertAlign w:val="superscript"/>
        </w:rPr>
        <w:t>4</w:t>
      </w:r>
      <w:r w:rsidRPr="00D93355">
        <w:rPr>
          <w:sz w:val="22"/>
          <w:szCs w:val="22"/>
        </w:rPr>
        <w:tab/>
        <w:t>Ezen típusú reakciók az alapbetegséggel is összefüggésbe hozhatóak.</w:t>
      </w:r>
    </w:p>
    <w:p w14:paraId="6BBE58AF" w14:textId="77777777" w:rsidR="00E36D26" w:rsidRPr="00D93355" w:rsidRDefault="00E36D26">
      <w:pPr>
        <w:tabs>
          <w:tab w:val="clear" w:pos="567"/>
          <w:tab w:val="left" w:pos="284"/>
        </w:tabs>
        <w:spacing w:line="240" w:lineRule="auto"/>
        <w:ind w:left="284" w:hanging="284"/>
        <w:rPr>
          <w:u w:val="single"/>
          <w:lang w:val="hu-HU"/>
        </w:rPr>
      </w:pPr>
      <w:r w:rsidRPr="00D93355">
        <w:rPr>
          <w:vertAlign w:val="superscript"/>
          <w:lang w:val="hu-HU"/>
        </w:rPr>
        <w:t>5</w:t>
      </w:r>
      <w:r w:rsidRPr="00D93355">
        <w:rPr>
          <w:lang w:val="hu-HU"/>
        </w:rPr>
        <w:tab/>
        <w:t xml:space="preserve">Ödémáról vagy folyadékretencióról a </w:t>
      </w:r>
      <w:r w:rsidR="006264FB" w:rsidRPr="00D93355">
        <w:rPr>
          <w:lang w:val="hu-HU"/>
        </w:rPr>
        <w:t>bozentán</w:t>
      </w:r>
      <w:r w:rsidRPr="00D93355">
        <w:rPr>
          <w:lang w:val="hu-HU"/>
        </w:rPr>
        <w:t>t szedő betegek 13,2%</w:t>
      </w:r>
      <w:r w:rsidRPr="00D93355">
        <w:rPr>
          <w:lang w:val="hu-HU"/>
        </w:rPr>
        <w:noBreakHyphen/>
        <w:t>ánál, míg a placebót szedő betegek 10,9%</w:t>
      </w:r>
      <w:r w:rsidRPr="00D93355">
        <w:rPr>
          <w:lang w:val="hu-HU"/>
        </w:rPr>
        <w:noBreakHyphen/>
        <w:t>ánál számoltak be.</w:t>
      </w:r>
    </w:p>
    <w:p w14:paraId="005D1E99" w14:textId="77777777" w:rsidR="00E36D26" w:rsidRPr="00D93355" w:rsidRDefault="00E36D26">
      <w:pPr>
        <w:spacing w:line="240" w:lineRule="auto"/>
        <w:rPr>
          <w:u w:val="single"/>
          <w:lang w:val="hu-HU"/>
        </w:rPr>
      </w:pPr>
    </w:p>
    <w:p w14:paraId="0F6B9227" w14:textId="7D5B284E" w:rsidR="00E36D26" w:rsidRPr="00D93355" w:rsidRDefault="00E36D26">
      <w:pPr>
        <w:pStyle w:val="Nincstrkz"/>
      </w:pPr>
      <w:r w:rsidRPr="00D93355">
        <w:t xml:space="preserve">A forgalomba hozatal utáni időszakban, tartós </w:t>
      </w:r>
      <w:r w:rsidR="006264FB" w:rsidRPr="00D93355">
        <w:t>bozentán</w:t>
      </w:r>
      <w:r w:rsidRPr="00D93355">
        <w:noBreakHyphen/>
        <w:t>kezelést követően ritka esetekben tisztázatlan eredetű májcirr</w:t>
      </w:r>
      <w:r w:rsidR="0072285B" w:rsidRPr="00D93355">
        <w:t>hos</w:t>
      </w:r>
      <w:r w:rsidRPr="00D93355">
        <w:t xml:space="preserve">isról számoltak be, a több társbetegségben szenvedő és többféle gyógyszeres kezelésben részesülő betegeknél. Ugyancsak ritkán májelégtelenséget </w:t>
      </w:r>
      <w:r w:rsidR="001647DD">
        <w:t xml:space="preserve">és autoimmun hepatitist is jelentettek, melynek lappangási ideje </w:t>
      </w:r>
      <w:r w:rsidR="001647DD" w:rsidRPr="0057703D">
        <w:t>néhány hónaptól több évig terjed</w:t>
      </w:r>
      <w:r w:rsidR="00C17385" w:rsidRPr="0057703D">
        <w:t>t</w:t>
      </w:r>
      <w:r w:rsidRPr="00FF5F67">
        <w:t>.</w:t>
      </w:r>
      <w:r w:rsidRPr="00D93355">
        <w:t xml:space="preserve"> Ezek az esetek kiemelik annak fontosságát, hogy a májfunkciót a </w:t>
      </w:r>
      <w:r w:rsidR="006264FB" w:rsidRPr="00D93355">
        <w:t>bozentán</w:t>
      </w:r>
      <w:r w:rsidRPr="00D93355">
        <w:noBreakHyphen/>
        <w:t>kezelés alatt szigorúan az előírt havi menetrendnek megfelelően kell monitorozni (lásd 4.4 pont).</w:t>
      </w:r>
    </w:p>
    <w:p w14:paraId="2CD288FC" w14:textId="77777777" w:rsidR="00E36D26" w:rsidRPr="00D93355" w:rsidRDefault="00E36D26">
      <w:pPr>
        <w:pStyle w:val="Nincstrkz"/>
        <w:rPr>
          <w:u w:val="single"/>
        </w:rPr>
      </w:pPr>
    </w:p>
    <w:p w14:paraId="23DDF0D7" w14:textId="77777777" w:rsidR="00E36D26" w:rsidRPr="00D93355" w:rsidRDefault="00E36D26" w:rsidP="00BA32ED">
      <w:pPr>
        <w:pStyle w:val="Nincstrkz"/>
        <w:keepNext/>
        <w:rPr>
          <w:u w:val="single"/>
        </w:rPr>
      </w:pPr>
      <w:r w:rsidRPr="00D93355">
        <w:rPr>
          <w:u w:val="single"/>
        </w:rPr>
        <w:t>Gyermekek és serdülők</w:t>
      </w:r>
    </w:p>
    <w:p w14:paraId="146D2420" w14:textId="77777777" w:rsidR="00E36D26" w:rsidRPr="00D93355" w:rsidRDefault="00E36D26" w:rsidP="00BA32ED">
      <w:pPr>
        <w:pStyle w:val="Nincstrkz"/>
        <w:keepNext/>
        <w:rPr>
          <w:u w:val="single"/>
        </w:rPr>
      </w:pPr>
    </w:p>
    <w:p w14:paraId="3A0FA60F" w14:textId="77777777" w:rsidR="000C6F78" w:rsidRPr="00D93355" w:rsidRDefault="000C6F78">
      <w:pPr>
        <w:pStyle w:val="Default"/>
        <w:keepNext/>
        <w:rPr>
          <w:color w:val="auto"/>
          <w:sz w:val="22"/>
          <w:szCs w:val="22"/>
          <w:u w:val="single"/>
        </w:rPr>
      </w:pPr>
      <w:r w:rsidRPr="00D93355">
        <w:rPr>
          <w:color w:val="auto"/>
          <w:sz w:val="22"/>
          <w:szCs w:val="22"/>
          <w:u w:val="single"/>
        </w:rPr>
        <w:t>Nem kontrollos</w:t>
      </w:r>
      <w:r w:rsidR="003836DC" w:rsidRPr="00D93355">
        <w:rPr>
          <w:color w:val="auto"/>
          <w:sz w:val="22"/>
          <w:szCs w:val="22"/>
          <w:u w:val="single"/>
        </w:rPr>
        <w:t xml:space="preserve"> vizsgálatok gyermek</w:t>
      </w:r>
      <w:r w:rsidR="007029B1">
        <w:rPr>
          <w:color w:val="auto"/>
          <w:sz w:val="22"/>
          <w:szCs w:val="22"/>
          <w:u w:val="single"/>
        </w:rPr>
        <w:t>eknél és serdülőknél</w:t>
      </w:r>
    </w:p>
    <w:p w14:paraId="05625D67" w14:textId="77777777" w:rsidR="00C30586" w:rsidRPr="00D93355" w:rsidRDefault="00C30586">
      <w:pPr>
        <w:pStyle w:val="Default"/>
        <w:keepNext/>
        <w:rPr>
          <w:color w:val="auto"/>
          <w:sz w:val="22"/>
          <w:szCs w:val="22"/>
          <w:u w:val="single"/>
        </w:rPr>
      </w:pPr>
    </w:p>
    <w:p w14:paraId="29A5E4A1" w14:textId="77777777" w:rsidR="00E36D26" w:rsidRPr="00D93355" w:rsidRDefault="00E36D26">
      <w:pPr>
        <w:pStyle w:val="Nincstrkz"/>
      </w:pPr>
      <w:r w:rsidRPr="00D93355">
        <w:rPr>
          <w:rFonts w:eastAsia="TimesNewRoman"/>
        </w:rPr>
        <w:t>A filmbevonatú tablettával végzett első, nem</w:t>
      </w:r>
      <w:r w:rsidR="002E3CB6">
        <w:rPr>
          <w:rFonts w:eastAsia="TimesNewRoman"/>
        </w:rPr>
        <w:t xml:space="preserve"> </w:t>
      </w:r>
      <w:r w:rsidRPr="00D93355">
        <w:rPr>
          <w:rFonts w:eastAsia="TimesNewRoman"/>
        </w:rPr>
        <w:t xml:space="preserve">kontrollos gyermekgyógyászati vizsgálat </w:t>
      </w:r>
      <w:r w:rsidR="000A169B" w:rsidRPr="00D93355">
        <w:rPr>
          <w:rFonts w:eastAsia="TimesNewRoman"/>
        </w:rPr>
        <w:t>(</w:t>
      </w:r>
      <w:r w:rsidRPr="00D93355">
        <w:t xml:space="preserve">BREATHE-3: n= 19, </w:t>
      </w:r>
      <w:r w:rsidRPr="00D93355">
        <w:rPr>
          <w:rFonts w:eastAsia="TimesNewRoman"/>
        </w:rPr>
        <w:t>átlag életkor 10 év [3</w:t>
      </w:r>
      <w:r w:rsidRPr="00D93355">
        <w:rPr>
          <w:rFonts w:eastAsia="TimesNewRoman"/>
        </w:rPr>
        <w:noBreakHyphen/>
        <w:t>15 éves tartományban], nyílt vizsgálat</w:t>
      </w:r>
      <w:r w:rsidRPr="00D93355">
        <w:t xml:space="preserve"> naponta kétszer 2 mg/ttkg </w:t>
      </w:r>
      <w:r w:rsidR="006264FB" w:rsidRPr="00D93355">
        <w:t>bozentán</w:t>
      </w:r>
      <w:r w:rsidRPr="00D93355">
        <w:t>; a kezelés időtartama 12 hét</w:t>
      </w:r>
      <w:r w:rsidR="000A169B" w:rsidRPr="00D93355">
        <w:t>)</w:t>
      </w:r>
      <w:r w:rsidRPr="00D93355">
        <w:t xml:space="preserve"> biztonságossági profilja </w:t>
      </w:r>
      <w:r w:rsidRPr="00D93355">
        <w:rPr>
          <w:rFonts w:eastAsia="TimesNewRoman"/>
        </w:rPr>
        <w:t>hasonló volt a PAH-ban szenvedő betegekkel végzett kulcsfontosságú vizsgálatokban megfigyelthez. A BREATHE-3 vizsgálatban a leggyakrabban előforduló mellékhatás az arcpír (21%), a fejfájás és a kóros májfunkció (mindkettő 16%) volt.</w:t>
      </w:r>
    </w:p>
    <w:p w14:paraId="5C40AE68" w14:textId="77777777" w:rsidR="00E36D26" w:rsidRPr="00D93355" w:rsidRDefault="00E36D26">
      <w:pPr>
        <w:pStyle w:val="Nincstrkz"/>
        <w:widowControl w:val="0"/>
        <w:rPr>
          <w:rFonts w:eastAsia="TimesNewRoman"/>
        </w:rPr>
      </w:pPr>
    </w:p>
    <w:p w14:paraId="386FB548" w14:textId="77777777" w:rsidR="00E36D26" w:rsidRPr="00D93355" w:rsidRDefault="00E36D26">
      <w:pPr>
        <w:pStyle w:val="Nincstrkz"/>
        <w:widowControl w:val="0"/>
      </w:pPr>
      <w:r w:rsidRPr="00D93355">
        <w:rPr>
          <w:rFonts w:eastAsia="TimesNewRoman"/>
        </w:rPr>
        <w:t>A 32 mg</w:t>
      </w:r>
      <w:r w:rsidR="000A169B" w:rsidRPr="00D93355">
        <w:rPr>
          <w:rFonts w:eastAsia="TimesNewRoman"/>
        </w:rPr>
        <w:t xml:space="preserve"> bozentán tartalmú</w:t>
      </w:r>
      <w:r w:rsidRPr="00D93355">
        <w:rPr>
          <w:rFonts w:eastAsia="TimesNewRoman"/>
        </w:rPr>
        <w:t xml:space="preserve"> diszpergálódó tablettával (FUTURE </w:t>
      </w:r>
      <w:r w:rsidR="00585867">
        <w:rPr>
          <w:rFonts w:eastAsia="TimesNewRoman"/>
        </w:rPr>
        <w:t>½</w:t>
      </w:r>
      <w:r w:rsidRPr="00D93355">
        <w:rPr>
          <w:rFonts w:eastAsia="TimesNewRoman"/>
        </w:rPr>
        <w:t>, FUTURE 3/kiterjesztés) PAH</w:t>
      </w:r>
      <w:r w:rsidR="000A169B" w:rsidRPr="00D93355">
        <w:rPr>
          <w:rFonts w:eastAsia="TimesNewRoman"/>
        </w:rPr>
        <w:noBreakHyphen/>
      </w:r>
      <w:r w:rsidRPr="00D93355">
        <w:rPr>
          <w:rFonts w:eastAsia="TimesNewRoman"/>
        </w:rPr>
        <w:t>ban folytatott, nem</w:t>
      </w:r>
      <w:r w:rsidR="002E3CB6">
        <w:rPr>
          <w:rFonts w:eastAsia="TimesNewRoman"/>
        </w:rPr>
        <w:t xml:space="preserve"> </w:t>
      </w:r>
      <w:r w:rsidRPr="00D93355">
        <w:rPr>
          <w:rFonts w:eastAsia="TimesNewRoman"/>
        </w:rPr>
        <w:t>kontrollos gyermekgyógyászati vizsgálatok összesített elemzésében összesen 100 gyermeket kezeltek naponta kétszer 2 mg/ttkg (33 fő), naponta háromszor 2 mg/ttkg (31 fő)</w:t>
      </w:r>
      <w:r w:rsidR="000A169B" w:rsidRPr="00D93355">
        <w:rPr>
          <w:rFonts w:eastAsia="TimesNewRoman"/>
        </w:rPr>
        <w:t>,</w:t>
      </w:r>
      <w:r w:rsidRPr="00D93355">
        <w:rPr>
          <w:rFonts w:eastAsia="TimesNewRoman"/>
        </w:rPr>
        <w:t xml:space="preserve"> illetve naponta kétszer 4 mg/ttkg (36 fő)</w:t>
      </w:r>
      <w:r w:rsidR="000A169B" w:rsidRPr="00D93355">
        <w:rPr>
          <w:rFonts w:eastAsia="TimesNewRoman"/>
        </w:rPr>
        <w:t xml:space="preserve"> </w:t>
      </w:r>
      <w:r w:rsidR="006264FB" w:rsidRPr="00D93355">
        <w:rPr>
          <w:rFonts w:eastAsia="TimesNewRoman"/>
        </w:rPr>
        <w:t>bozentán</w:t>
      </w:r>
      <w:r w:rsidRPr="00D93355">
        <w:rPr>
          <w:rFonts w:eastAsia="TimesNewRoman"/>
        </w:rPr>
        <w:t>nal. A beválogatáskor hat beteg volt 3 hónapos és 1 éves kor között, 15 gyermek volt 1 és 2 éves kor között, és 79 volt 2 és 12 éves kor között. Az átlagos kezelési időtartam 71,8 hét volt (0,4-258 hetes tartományban).</w:t>
      </w:r>
    </w:p>
    <w:p w14:paraId="308A5B68" w14:textId="77777777" w:rsidR="00E36D26" w:rsidRPr="00D93355" w:rsidRDefault="00E36D26">
      <w:pPr>
        <w:pStyle w:val="Nincstrkz"/>
        <w:widowControl w:val="0"/>
      </w:pPr>
    </w:p>
    <w:p w14:paraId="46E16CDD"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Ezen nem</w:t>
      </w:r>
      <w:r w:rsidR="002E3CB6">
        <w:rPr>
          <w:rFonts w:eastAsia="TimesNewRoman"/>
          <w:lang w:val="hu-HU"/>
        </w:rPr>
        <w:t xml:space="preserve"> </w:t>
      </w:r>
      <w:r w:rsidRPr="00D93355">
        <w:rPr>
          <w:rFonts w:eastAsia="TimesNewRoman"/>
          <w:lang w:val="hu-HU"/>
        </w:rPr>
        <w:t>kontrollos gyermekgyógyászati vizsgálatok összesített elemzésében a biztonságossági profil hasonló volt a PAH-ban szenvedő betegekkel végzett kulcsfontosságú vizsgálatokban megfigyeltekhez a fertőzések kivételével, melyeket a felnőttekhez képest gyakrabban jelentettek (69,0% szemben a 41,3%</w:t>
      </w:r>
      <w:r w:rsidRPr="00D93355">
        <w:rPr>
          <w:rFonts w:eastAsia="TimesNewRoman"/>
          <w:lang w:val="hu-HU"/>
        </w:rPr>
        <w:noBreakHyphen/>
        <w:t>kal). A fertőzések gyakoriságában mutatkozó különbség részben a gyermekgyógyászati környezetben a hosszabb medián terápiás expozíciónak tulajdonítható (medián 71,8 hét) a felnőttekkel végzett vizsgálatokhoz képest (medián 17,4 hét). A leggyakoribb mellékhatások a felső légúti fertőzések (25%), pulmonalis (arteriás) hypertonia (20%), megfázás (17%), láz (15%), hányás (13%), hörghurut (10%), hasi fájdalom (10%), hasmenés (10%) voltak. Nem volt lényeges különbség a mellékhatások gyakoriságában a 2 éves kor alatti és feletti betegek között, noha az eredmények mindössze 21, 2 éves kor alatti gyermeken alapulnak, akik közül 6 beteg 3 hónapos és 1 éves kor közötti volt. Májelváltozással valamint anaemiával/hemoglobin</w:t>
      </w:r>
      <w:r w:rsidRPr="00D93355">
        <w:rPr>
          <w:rFonts w:eastAsia="TimesNewRoman"/>
          <w:lang w:val="hu-HU"/>
        </w:rPr>
        <w:noBreakHyphen/>
        <w:t>csökkenéssel járó mellékhatások a betegek sorrendben 9%-ánál, illetve 5%-ánál fordultak elő.</w:t>
      </w:r>
    </w:p>
    <w:p w14:paraId="511A2A15" w14:textId="77777777" w:rsidR="00E36D26" w:rsidRPr="00D93355" w:rsidRDefault="00E36D26">
      <w:pPr>
        <w:spacing w:line="240" w:lineRule="auto"/>
        <w:rPr>
          <w:lang w:val="hu-HU"/>
        </w:rPr>
      </w:pPr>
    </w:p>
    <w:p w14:paraId="73CD52A0" w14:textId="77777777" w:rsidR="00E36D26" w:rsidRPr="00D93355" w:rsidRDefault="00E36D26">
      <w:pPr>
        <w:autoSpaceDE w:val="0"/>
        <w:autoSpaceDN w:val="0"/>
        <w:adjustRightInd w:val="0"/>
        <w:spacing w:line="240" w:lineRule="auto"/>
        <w:rPr>
          <w:lang w:val="hu-HU"/>
        </w:rPr>
      </w:pPr>
      <w:r w:rsidRPr="00D93355">
        <w:rPr>
          <w:rFonts w:eastAsia="TimesNewRoman"/>
          <w:lang w:val="hu-HU"/>
        </w:rPr>
        <w:t xml:space="preserve">Egy PPHN betegekkel folytatott (FUTURE-4) randomizált, placebokontrollos vizsgálatban összesen 13 újszülöttet kezeltek </w:t>
      </w:r>
      <w:r w:rsidR="006264FB" w:rsidRPr="00D93355">
        <w:rPr>
          <w:rFonts w:eastAsia="TimesNewRoman"/>
          <w:lang w:val="hu-HU"/>
        </w:rPr>
        <w:t>bozentán</w:t>
      </w:r>
      <w:r w:rsidRPr="00D93355">
        <w:rPr>
          <w:rFonts w:eastAsia="TimesNewRoman"/>
          <w:lang w:val="hu-HU"/>
        </w:rPr>
        <w:t xml:space="preserve"> diszpergálódó tablettával, naponta kétszer 2 mg/ttkg dózisban (8 beteg placebót kapott). A </w:t>
      </w:r>
      <w:r w:rsidR="006264FB" w:rsidRPr="00D93355">
        <w:rPr>
          <w:rFonts w:eastAsia="TimesNewRoman"/>
          <w:lang w:val="hu-HU"/>
        </w:rPr>
        <w:t>bozentán</w:t>
      </w:r>
      <w:r w:rsidRPr="00D93355">
        <w:rPr>
          <w:rFonts w:eastAsia="TimesNewRoman"/>
          <w:lang w:val="hu-HU"/>
        </w:rPr>
        <w:t>- és a placebokezelés medián időtartama 4,5 (0,5-10,0 napos tartományban)</w:t>
      </w:r>
      <w:r w:rsidR="000A169B" w:rsidRPr="00D93355">
        <w:rPr>
          <w:rFonts w:eastAsia="TimesNewRoman"/>
          <w:lang w:val="hu-HU"/>
        </w:rPr>
        <w:t>,</w:t>
      </w:r>
      <w:r w:rsidRPr="00D93355">
        <w:rPr>
          <w:rFonts w:eastAsia="TimesNewRoman"/>
          <w:lang w:val="hu-HU"/>
        </w:rPr>
        <w:t xml:space="preserve"> illetve 4,0 nap (2,5-6,5 napos tartományban) volt. A leggyakoribb mellékhatások a </w:t>
      </w:r>
      <w:r w:rsidR="006264FB" w:rsidRPr="00D93355">
        <w:rPr>
          <w:rFonts w:eastAsia="TimesNewRoman"/>
          <w:lang w:val="hu-HU"/>
        </w:rPr>
        <w:t>bozentán</w:t>
      </w:r>
      <w:r w:rsidRPr="00D93355">
        <w:rPr>
          <w:rFonts w:eastAsia="TimesNewRoman"/>
          <w:lang w:val="hu-HU"/>
        </w:rPr>
        <w:t>nal, illetve placebóval kezelt betegcsoportokban az anaemia vagy a hemoglobinszint csökkenése (7</w:t>
      </w:r>
      <w:r w:rsidR="000A169B" w:rsidRPr="00D93355">
        <w:rPr>
          <w:rFonts w:eastAsia="TimesNewRoman"/>
          <w:lang w:val="hu-HU"/>
        </w:rPr>
        <w:t>,</w:t>
      </w:r>
      <w:r w:rsidRPr="00D93355">
        <w:rPr>
          <w:rFonts w:eastAsia="TimesNewRoman"/>
          <w:lang w:val="hu-HU"/>
        </w:rPr>
        <w:t xml:space="preserve"> illetve 2 beteg), a generalizált ödéma (3</w:t>
      </w:r>
      <w:r w:rsidR="000A169B" w:rsidRPr="00D93355">
        <w:rPr>
          <w:rFonts w:eastAsia="TimesNewRoman"/>
          <w:lang w:val="hu-HU"/>
        </w:rPr>
        <w:t>,</w:t>
      </w:r>
      <w:r w:rsidRPr="00D93355">
        <w:rPr>
          <w:rFonts w:eastAsia="TimesNewRoman"/>
          <w:lang w:val="hu-HU"/>
        </w:rPr>
        <w:t xml:space="preserve"> illetve 0 beteg) és a hányás (2</w:t>
      </w:r>
      <w:r w:rsidR="000A169B" w:rsidRPr="00D93355">
        <w:rPr>
          <w:rFonts w:eastAsia="TimesNewRoman"/>
          <w:lang w:val="hu-HU"/>
        </w:rPr>
        <w:t>,</w:t>
      </w:r>
      <w:r w:rsidRPr="00D93355">
        <w:rPr>
          <w:rFonts w:eastAsia="TimesNewRoman"/>
          <w:lang w:val="hu-HU"/>
        </w:rPr>
        <w:t xml:space="preserve"> illetve 0 beteg) voltak.</w:t>
      </w:r>
    </w:p>
    <w:p w14:paraId="26E7ACA7" w14:textId="77777777" w:rsidR="00E36D26" w:rsidRPr="00D93355" w:rsidRDefault="00E36D26">
      <w:pPr>
        <w:spacing w:line="240" w:lineRule="auto"/>
        <w:rPr>
          <w:u w:val="single"/>
          <w:lang w:val="hu-HU"/>
        </w:rPr>
      </w:pPr>
    </w:p>
    <w:p w14:paraId="20D74522" w14:textId="77777777" w:rsidR="00E36D26" w:rsidRPr="00D93355" w:rsidRDefault="00E36D26">
      <w:pPr>
        <w:pStyle w:val="Default"/>
        <w:keepNext/>
        <w:rPr>
          <w:sz w:val="22"/>
          <w:szCs w:val="22"/>
          <w:u w:val="single"/>
        </w:rPr>
      </w:pPr>
      <w:r w:rsidRPr="00D93355">
        <w:rPr>
          <w:bCs/>
          <w:iCs/>
          <w:sz w:val="22"/>
          <w:szCs w:val="22"/>
          <w:u w:val="single"/>
        </w:rPr>
        <w:lastRenderedPageBreak/>
        <w:t>Laboratóriumi eltérések</w:t>
      </w:r>
    </w:p>
    <w:p w14:paraId="7D83E13F" w14:textId="77777777" w:rsidR="00E36D26" w:rsidRPr="00D93355" w:rsidRDefault="00E36D26">
      <w:pPr>
        <w:pStyle w:val="Default"/>
        <w:keepNext/>
        <w:rPr>
          <w:sz w:val="22"/>
          <w:szCs w:val="22"/>
          <w:u w:val="single"/>
        </w:rPr>
      </w:pPr>
    </w:p>
    <w:p w14:paraId="47651B0F" w14:textId="77777777" w:rsidR="00E36D26" w:rsidRPr="00D93355" w:rsidRDefault="00E36D26">
      <w:pPr>
        <w:pStyle w:val="Default"/>
        <w:keepNext/>
        <w:rPr>
          <w:i/>
          <w:sz w:val="22"/>
          <w:szCs w:val="22"/>
        </w:rPr>
      </w:pPr>
      <w:r w:rsidRPr="00D93355">
        <w:rPr>
          <w:i/>
          <w:sz w:val="22"/>
          <w:szCs w:val="22"/>
        </w:rPr>
        <w:t>Májfunkciós eltérések</w:t>
      </w:r>
    </w:p>
    <w:p w14:paraId="0CCBDAF4" w14:textId="77777777" w:rsidR="00E36D26" w:rsidRPr="00D93355" w:rsidRDefault="00E36D26">
      <w:pPr>
        <w:pStyle w:val="Default"/>
        <w:keepNext/>
        <w:rPr>
          <w:sz w:val="22"/>
          <w:szCs w:val="22"/>
        </w:rPr>
      </w:pPr>
    </w:p>
    <w:p w14:paraId="039B8794" w14:textId="77777777" w:rsidR="00E36D26" w:rsidRPr="00D93355" w:rsidRDefault="00E36D26">
      <w:pPr>
        <w:pStyle w:val="Default"/>
        <w:keepNext/>
        <w:rPr>
          <w:sz w:val="22"/>
          <w:szCs w:val="22"/>
        </w:rPr>
      </w:pPr>
      <w:r w:rsidRPr="00D93355">
        <w:rPr>
          <w:sz w:val="22"/>
          <w:szCs w:val="22"/>
        </w:rPr>
        <w:t>A klinikai program során a máj aminotranszferázszintek dózisfüggő változásai rendszerint a kezelés első 26 hetében következtek be, általában fokozatosan alakultak ki, és többnyire nem okoztak tünetet. A forgalomba hozatalt követő időszakban ritkán májcirr</w:t>
      </w:r>
      <w:r w:rsidR="00B27CB2">
        <w:rPr>
          <w:sz w:val="22"/>
          <w:szCs w:val="22"/>
        </w:rPr>
        <w:t>ózis</w:t>
      </w:r>
      <w:r w:rsidRPr="00D93355">
        <w:rPr>
          <w:sz w:val="22"/>
          <w:szCs w:val="22"/>
        </w:rPr>
        <w:t>ról és májelégtelenségről számoltak be.</w:t>
      </w:r>
    </w:p>
    <w:p w14:paraId="00ACF071" w14:textId="77777777" w:rsidR="00E36D26" w:rsidRPr="00D93355" w:rsidRDefault="00E36D26">
      <w:pPr>
        <w:pStyle w:val="Default"/>
        <w:rPr>
          <w:sz w:val="22"/>
          <w:szCs w:val="22"/>
        </w:rPr>
      </w:pPr>
    </w:p>
    <w:p w14:paraId="0590D0F5" w14:textId="77777777" w:rsidR="00E36D26" w:rsidRPr="00D93355" w:rsidRDefault="00E36D26">
      <w:pPr>
        <w:pStyle w:val="Default"/>
        <w:rPr>
          <w:sz w:val="22"/>
          <w:szCs w:val="22"/>
        </w:rPr>
      </w:pPr>
      <w:r w:rsidRPr="00D93355">
        <w:rPr>
          <w:sz w:val="22"/>
          <w:szCs w:val="22"/>
        </w:rPr>
        <w:t xml:space="preserve">Ennek a mellékhatásnak a mechanizmusa nem tisztázott. Az aminotranszferázok emelkedett szintjének normalizálódása spontán is bekövetkezhet a </w:t>
      </w:r>
      <w:r w:rsidR="006264FB" w:rsidRPr="00D93355">
        <w:rPr>
          <w:sz w:val="22"/>
          <w:szCs w:val="22"/>
        </w:rPr>
        <w:t>bozentán</w:t>
      </w:r>
      <w:r w:rsidRPr="00D93355">
        <w:rPr>
          <w:sz w:val="22"/>
          <w:szCs w:val="22"/>
        </w:rPr>
        <w:t xml:space="preserve"> fenntartó dózisának további alkalmazása mellett vagy a dózis csökkentése után, de szükségessé válhat a kezelés megszakítása, illetve felfüggesztése is (lásd 4.4 pont).</w:t>
      </w:r>
    </w:p>
    <w:p w14:paraId="1FACF96F" w14:textId="77777777" w:rsidR="00E36D26" w:rsidRPr="00D93355" w:rsidRDefault="00E36D26">
      <w:pPr>
        <w:spacing w:line="240" w:lineRule="auto"/>
        <w:rPr>
          <w:lang w:val="hu-HU"/>
        </w:rPr>
      </w:pPr>
    </w:p>
    <w:p w14:paraId="49E9DFAA" w14:textId="77777777" w:rsidR="00E36D26" w:rsidRPr="00D93355" w:rsidRDefault="00E36D26">
      <w:pPr>
        <w:spacing w:line="240" w:lineRule="auto"/>
        <w:rPr>
          <w:lang w:val="hu-HU"/>
        </w:rPr>
      </w:pPr>
      <w:r w:rsidRPr="00D93355">
        <w:rPr>
          <w:lang w:val="hu-HU"/>
        </w:rPr>
        <w:t xml:space="preserve">A 20, integrált placebokontrollos vizsgálat keretében a máj-aminotranszferázok szintje a </w:t>
      </w:r>
      <w:r w:rsidR="006264FB" w:rsidRPr="00D93355">
        <w:rPr>
          <w:lang w:val="hu-HU"/>
        </w:rPr>
        <w:t>bozentán</w:t>
      </w:r>
      <w:r w:rsidRPr="00D93355">
        <w:rPr>
          <w:lang w:val="hu-HU"/>
        </w:rPr>
        <w:t>nal kezelt betegek 11,2%</w:t>
      </w:r>
      <w:r w:rsidRPr="00D93355">
        <w:rPr>
          <w:lang w:val="hu-HU"/>
        </w:rPr>
        <w:noBreakHyphen/>
        <w:t>ánál, illetve a placebo</w:t>
      </w:r>
      <w:r w:rsidRPr="00D93355">
        <w:rPr>
          <w:lang w:val="hu-HU"/>
        </w:rPr>
        <w:noBreakHyphen/>
        <w:t>kezelésben részesülő betegek 2,4%</w:t>
      </w:r>
      <w:r w:rsidRPr="00D93355">
        <w:rPr>
          <w:lang w:val="hu-HU"/>
        </w:rPr>
        <w:noBreakHyphen/>
        <w:t>ánál emelkedett a</w:t>
      </w:r>
      <w:r w:rsidR="00F002AD">
        <w:rPr>
          <w:lang w:val="hu-HU"/>
        </w:rPr>
        <w:t>z</w:t>
      </w:r>
      <w:r w:rsidRPr="00D93355">
        <w:rPr>
          <w:lang w:val="hu-HU"/>
        </w:rPr>
        <w:t xml:space="preserve"> NFH háromszorosát meghaladó mértékben. A normál érték felső határának 8</w:t>
      </w:r>
      <w:r w:rsidRPr="00D93355">
        <w:rPr>
          <w:lang w:val="hu-HU"/>
        </w:rPr>
        <w:noBreakHyphen/>
        <w:t xml:space="preserve">szoros vagy ezt meghaladó mértékű emelkedését a </w:t>
      </w:r>
      <w:r w:rsidR="006264FB" w:rsidRPr="00D93355">
        <w:rPr>
          <w:lang w:val="hu-HU"/>
        </w:rPr>
        <w:t>bozentán</w:t>
      </w:r>
      <w:r w:rsidRPr="00D93355">
        <w:rPr>
          <w:lang w:val="hu-HU"/>
        </w:rPr>
        <w:t>nal kezelt betegek 3,6%</w:t>
      </w:r>
      <w:r w:rsidRPr="00D93355">
        <w:rPr>
          <w:lang w:val="hu-HU"/>
        </w:rPr>
        <w:noBreakHyphen/>
        <w:t>ánál és a placebóval kezelt betegek 0,4%</w:t>
      </w:r>
      <w:r w:rsidRPr="00D93355">
        <w:rPr>
          <w:lang w:val="hu-HU"/>
        </w:rPr>
        <w:noBreakHyphen/>
        <w:t>ánál tapasztalt</w:t>
      </w:r>
      <w:r w:rsidR="00EC40CF" w:rsidRPr="00D93355">
        <w:rPr>
          <w:lang w:val="hu-HU"/>
        </w:rPr>
        <w:t>á</w:t>
      </w:r>
      <w:r w:rsidRPr="00D93355">
        <w:rPr>
          <w:lang w:val="hu-HU"/>
        </w:rPr>
        <w:t>k. Az aminotranszferázszint emelkedését a bilirubinszint emelkedése kísérte (≥ 2 × NFH), epevezeték</w:t>
      </w:r>
      <w:r w:rsidRPr="00D93355">
        <w:rPr>
          <w:lang w:val="hu-HU"/>
        </w:rPr>
        <w:noBreakHyphen/>
        <w:t xml:space="preserve">elzáródás nélkül, a </w:t>
      </w:r>
      <w:r w:rsidR="006264FB" w:rsidRPr="00D93355">
        <w:rPr>
          <w:lang w:val="hu-HU"/>
        </w:rPr>
        <w:t>bozentán</w:t>
      </w:r>
      <w:r w:rsidRPr="00D93355">
        <w:rPr>
          <w:lang w:val="hu-HU"/>
        </w:rPr>
        <w:t>nal kezelt betegek 0,2%</w:t>
      </w:r>
      <w:r w:rsidRPr="00D93355">
        <w:rPr>
          <w:lang w:val="hu-HU"/>
        </w:rPr>
        <w:noBreakHyphen/>
        <w:t>ánál (5 beteg) és a placebóval kezeltek 0,3%</w:t>
      </w:r>
      <w:r w:rsidRPr="00D93355">
        <w:rPr>
          <w:lang w:val="hu-HU"/>
        </w:rPr>
        <w:noBreakHyphen/>
        <w:t>ánál (6 beteg).</w:t>
      </w:r>
    </w:p>
    <w:p w14:paraId="2C364A1F" w14:textId="77777777" w:rsidR="00E36D26" w:rsidRPr="00D93355" w:rsidRDefault="00E36D26">
      <w:pPr>
        <w:pStyle w:val="Default"/>
        <w:rPr>
          <w:iCs/>
          <w:sz w:val="22"/>
          <w:szCs w:val="22"/>
        </w:rPr>
      </w:pPr>
    </w:p>
    <w:p w14:paraId="39C662D3"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A 100, PAH</w:t>
      </w:r>
      <w:r w:rsidRPr="00D93355">
        <w:rPr>
          <w:rFonts w:eastAsia="TimesNewRoman"/>
          <w:lang w:val="hu-HU"/>
        </w:rPr>
        <w:noBreakHyphen/>
        <w:t>ban szenvedő</w:t>
      </w:r>
      <w:r w:rsidR="00585867">
        <w:rPr>
          <w:rFonts w:eastAsia="TimesNewRoman"/>
          <w:lang w:val="hu-HU"/>
        </w:rPr>
        <w:t xml:space="preserve"> gyermek</w:t>
      </w:r>
      <w:r w:rsidR="00202EE5">
        <w:rPr>
          <w:rFonts w:eastAsia="TimesNewRoman"/>
          <w:lang w:val="hu-HU"/>
        </w:rPr>
        <w:t>né</w:t>
      </w:r>
      <w:r w:rsidR="00585867">
        <w:rPr>
          <w:rFonts w:eastAsia="TimesNewRoman"/>
          <w:lang w:val="hu-HU"/>
        </w:rPr>
        <w:t>l</w:t>
      </w:r>
      <w:r w:rsidRPr="00D93355">
        <w:rPr>
          <w:rFonts w:eastAsia="TimesNewRoman"/>
          <w:lang w:val="hu-HU"/>
        </w:rPr>
        <w:t xml:space="preserve"> folytatott</w:t>
      </w:r>
      <w:r w:rsidR="00202EE5">
        <w:rPr>
          <w:rFonts w:eastAsia="TimesNewRoman"/>
          <w:lang w:val="hu-HU"/>
        </w:rPr>
        <w:t>,</w:t>
      </w:r>
      <w:r w:rsidRPr="00D93355">
        <w:rPr>
          <w:rFonts w:eastAsia="TimesNewRoman"/>
          <w:lang w:val="hu-HU"/>
        </w:rPr>
        <w:t xml:space="preserve"> nem</w:t>
      </w:r>
      <w:r w:rsidR="00352671">
        <w:rPr>
          <w:rFonts w:eastAsia="TimesNewRoman"/>
          <w:lang w:val="hu-HU"/>
        </w:rPr>
        <w:t xml:space="preserve"> </w:t>
      </w:r>
      <w:r w:rsidRPr="00D93355">
        <w:rPr>
          <w:rFonts w:eastAsia="TimesNewRoman"/>
          <w:lang w:val="hu-HU"/>
        </w:rPr>
        <w:t>kontrollos</w:t>
      </w:r>
      <w:r w:rsidR="00202EE5">
        <w:rPr>
          <w:rFonts w:eastAsia="TimesNewRoman"/>
          <w:lang w:val="hu-HU"/>
        </w:rPr>
        <w:t>,</w:t>
      </w:r>
      <w:r w:rsidRPr="00D93355">
        <w:rPr>
          <w:rFonts w:eastAsia="TimesNewRoman"/>
          <w:lang w:val="hu-HU"/>
        </w:rPr>
        <w:t xml:space="preserve"> gyermekgyógyászati FUTURE 1/2 és FUTURE 3/kiterjesztés vizsgálatok összesített elemzésében a máj aminotranszferáz ≥ 3 × NFH emelkedését figyelték meg a betegek 2%-ánál.</w:t>
      </w:r>
    </w:p>
    <w:p w14:paraId="0ACA1125" w14:textId="77777777" w:rsidR="00E36D26" w:rsidRPr="00D93355" w:rsidRDefault="00E36D26">
      <w:pPr>
        <w:autoSpaceDE w:val="0"/>
        <w:autoSpaceDN w:val="0"/>
        <w:adjustRightInd w:val="0"/>
        <w:spacing w:line="240" w:lineRule="auto"/>
        <w:rPr>
          <w:rFonts w:eastAsia="TimesNewRoman"/>
          <w:lang w:val="hu-HU"/>
        </w:rPr>
      </w:pPr>
    </w:p>
    <w:p w14:paraId="05007FC7" w14:textId="77777777" w:rsidR="00E36D26" w:rsidRPr="00D93355" w:rsidRDefault="00E36D26">
      <w:pPr>
        <w:autoSpaceDE w:val="0"/>
        <w:autoSpaceDN w:val="0"/>
        <w:adjustRightInd w:val="0"/>
        <w:spacing w:line="240" w:lineRule="auto"/>
        <w:rPr>
          <w:iCs/>
          <w:lang w:val="hu-HU"/>
        </w:rPr>
      </w:pPr>
      <w:r w:rsidRPr="00D93355">
        <w:rPr>
          <w:rFonts w:eastAsia="TimesNewRoman"/>
          <w:lang w:val="hu-HU"/>
        </w:rPr>
        <w:t xml:space="preserve">A 13, PPHN-ben szenvedő újszülöttel folytatott FUTURE 4 vizsgálatban a </w:t>
      </w:r>
      <w:r w:rsidR="006264FB" w:rsidRPr="00D93355">
        <w:rPr>
          <w:rFonts w:eastAsia="TimesNewRoman"/>
          <w:lang w:val="hu-HU"/>
        </w:rPr>
        <w:t>bozentán</w:t>
      </w:r>
      <w:r w:rsidRPr="00D93355">
        <w:rPr>
          <w:rFonts w:eastAsia="TimesNewRoman"/>
          <w:lang w:val="hu-HU"/>
        </w:rPr>
        <w:t>nal naponta kétszer 2 mg/ttkg dózissal 10 napnál rövidebb ideig (0,5</w:t>
      </w:r>
      <w:r w:rsidRPr="00D93355">
        <w:rPr>
          <w:rFonts w:eastAsia="TimesNewRoman"/>
          <w:lang w:val="hu-HU"/>
        </w:rPr>
        <w:noBreakHyphen/>
        <w:t xml:space="preserve">10,0 nap tartományban) kezelt betegeknél nem tapasztaltak máj aminotranszferáz ≥ 3 × NFH emelkedést a kezelés időtartama alatt, de egy esetben hepatitis alakult ki 3 nappal a </w:t>
      </w:r>
      <w:r w:rsidR="006264FB" w:rsidRPr="00D93355">
        <w:rPr>
          <w:rFonts w:eastAsia="TimesNewRoman"/>
          <w:lang w:val="hu-HU"/>
        </w:rPr>
        <w:t>bozentán</w:t>
      </w:r>
      <w:r w:rsidRPr="00D93355">
        <w:rPr>
          <w:rFonts w:eastAsia="TimesNewRoman"/>
          <w:lang w:val="hu-HU"/>
        </w:rPr>
        <w:t>-kezelés befejezését követően.</w:t>
      </w:r>
    </w:p>
    <w:p w14:paraId="7F32A5C5" w14:textId="77777777" w:rsidR="00E36D26" w:rsidRPr="00D93355" w:rsidRDefault="00E36D26">
      <w:pPr>
        <w:spacing w:line="240" w:lineRule="auto"/>
        <w:rPr>
          <w:lang w:val="hu-HU"/>
        </w:rPr>
      </w:pPr>
    </w:p>
    <w:p w14:paraId="550E6469" w14:textId="77777777" w:rsidR="00E36D26" w:rsidRPr="00D93355" w:rsidRDefault="00E36D26">
      <w:pPr>
        <w:pStyle w:val="Default"/>
        <w:keepNext/>
        <w:rPr>
          <w:sz w:val="22"/>
          <w:szCs w:val="22"/>
        </w:rPr>
      </w:pPr>
      <w:r w:rsidRPr="00D93355">
        <w:rPr>
          <w:i/>
          <w:iCs/>
          <w:sz w:val="22"/>
          <w:szCs w:val="22"/>
        </w:rPr>
        <w:t>Hemoglobin</w:t>
      </w:r>
    </w:p>
    <w:p w14:paraId="242EF513" w14:textId="77777777" w:rsidR="00E36D26" w:rsidRPr="00D93355" w:rsidRDefault="00E36D26">
      <w:pPr>
        <w:autoSpaceDE w:val="0"/>
        <w:autoSpaceDN w:val="0"/>
        <w:adjustRightInd w:val="0"/>
        <w:spacing w:line="240" w:lineRule="auto"/>
        <w:rPr>
          <w:rFonts w:eastAsia="TimesNewRoman"/>
          <w:lang w:val="hu-HU"/>
        </w:rPr>
      </w:pPr>
    </w:p>
    <w:p w14:paraId="387CA714"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A felnőtt placebokontrollos vizsgálatban a kezdeti értékhez viszonyítva, a hemoglobinkoncentráció 10 g/dl érték alá csökkenése a vizsgálat végén a </w:t>
      </w:r>
      <w:r w:rsidR="006264FB" w:rsidRPr="00D93355">
        <w:rPr>
          <w:rFonts w:eastAsia="TimesNewRoman"/>
          <w:lang w:val="hu-HU"/>
        </w:rPr>
        <w:t>bozentán</w:t>
      </w:r>
      <w:r w:rsidRPr="00D93355">
        <w:rPr>
          <w:rFonts w:eastAsia="TimesNewRoman"/>
          <w:lang w:val="hu-HU"/>
        </w:rPr>
        <w:t>nal kezelt betegek 8%-ánál, a placebót kapók 3,9%-ánál jelentkezett (lásd 4.4 pont).</w:t>
      </w:r>
    </w:p>
    <w:p w14:paraId="2122878E" w14:textId="77777777" w:rsidR="00E36D26" w:rsidRPr="00D93355" w:rsidRDefault="00E36D26">
      <w:pPr>
        <w:autoSpaceDE w:val="0"/>
        <w:autoSpaceDN w:val="0"/>
        <w:adjustRightInd w:val="0"/>
        <w:spacing w:line="240" w:lineRule="auto"/>
        <w:rPr>
          <w:rFonts w:eastAsia="TimesNewRoman"/>
          <w:lang w:val="hu-HU"/>
        </w:rPr>
      </w:pPr>
    </w:p>
    <w:p w14:paraId="44B70B88"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A 100 PAH-ban szenvedő gyermek beteggel folytatott nem</w:t>
      </w:r>
      <w:r w:rsidR="007029B1">
        <w:rPr>
          <w:rFonts w:eastAsia="TimesNewRoman"/>
          <w:lang w:val="hu-HU"/>
        </w:rPr>
        <w:t xml:space="preserve"> </w:t>
      </w:r>
      <w:r w:rsidRPr="00D93355">
        <w:rPr>
          <w:rFonts w:eastAsia="TimesNewRoman"/>
          <w:lang w:val="hu-HU"/>
        </w:rPr>
        <w:t>kontrollos gyermekgyógyászati FUTURE 1/2 és FUTURE 3/kiterjesztés vizsgálatok összesített elemzésében a kiindulási értékhez viszonyítva, 10 g/dl érték alá való hemoglobinkoncentráció-csökkenést jelentettek a betegek 10%-ánál. Az érték nem csökkent 8 g/dl alá.</w:t>
      </w:r>
    </w:p>
    <w:p w14:paraId="3D423C0B" w14:textId="77777777" w:rsidR="00E36D26" w:rsidRPr="00D93355" w:rsidRDefault="00E36D26">
      <w:pPr>
        <w:spacing w:line="240" w:lineRule="auto"/>
        <w:rPr>
          <w:u w:val="single"/>
          <w:lang w:val="hu-HU"/>
        </w:rPr>
      </w:pPr>
    </w:p>
    <w:p w14:paraId="31065175"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A FUTURE-4 vizsgálatban, 13-ból 6, PPHN-ben szenvedő, </w:t>
      </w:r>
      <w:r w:rsidR="006264FB" w:rsidRPr="00D93355">
        <w:rPr>
          <w:rFonts w:eastAsia="TimesNewRoman"/>
          <w:lang w:val="hu-HU"/>
        </w:rPr>
        <w:t>bozentán</w:t>
      </w:r>
      <w:r w:rsidRPr="00D93355">
        <w:rPr>
          <w:rFonts w:eastAsia="TimesNewRoman"/>
          <w:lang w:val="hu-HU"/>
        </w:rPr>
        <w:t>nal kezelt újszülöttnél észleltek a kezelés alatt, a kezelés kezdetén a referencia tartományban lévő értékről, a normál érték alsó határa alá történő hemoglobinszint-csökkenést.</w:t>
      </w:r>
    </w:p>
    <w:p w14:paraId="5A6FB8B7" w14:textId="77777777" w:rsidR="00E36D26" w:rsidRPr="00D93355" w:rsidRDefault="00E36D26">
      <w:pPr>
        <w:spacing w:line="240" w:lineRule="auto"/>
        <w:rPr>
          <w:lang w:val="hu-HU"/>
        </w:rPr>
      </w:pPr>
    </w:p>
    <w:p w14:paraId="0B0E1BB3" w14:textId="77777777" w:rsidR="00E36D26" w:rsidRPr="00D93355" w:rsidRDefault="00E36D26">
      <w:pPr>
        <w:spacing w:line="240" w:lineRule="auto"/>
        <w:rPr>
          <w:u w:val="single"/>
          <w:lang w:val="hu-HU"/>
        </w:rPr>
      </w:pPr>
      <w:r w:rsidRPr="00D93355">
        <w:rPr>
          <w:u w:val="single"/>
          <w:lang w:val="hu-HU"/>
        </w:rPr>
        <w:t>Feltételezett mellékhatások bejelentése</w:t>
      </w:r>
    </w:p>
    <w:p w14:paraId="374965FD" w14:textId="0E8461E3" w:rsidR="00E36D26" w:rsidRPr="00EA6226" w:rsidRDefault="00E36D26">
      <w:pPr>
        <w:spacing w:line="240" w:lineRule="auto"/>
        <w:rPr>
          <w:lang w:val="hu-HU"/>
        </w:rPr>
      </w:pPr>
      <w:r w:rsidRPr="00D93355">
        <w:rPr>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w:t>
      </w:r>
      <w:r w:rsidRPr="00EA6226">
        <w:rPr>
          <w:lang w:val="hu-HU"/>
        </w:rPr>
        <w:t>hatóság részére</w:t>
      </w:r>
      <w:r w:rsidR="00B57C36" w:rsidRPr="00EA6226">
        <w:rPr>
          <w:lang w:val="hu-HU"/>
        </w:rPr>
        <w:t xml:space="preserve"> az</w:t>
      </w:r>
      <w:r w:rsidRPr="00EA6226">
        <w:rPr>
          <w:lang w:val="hu-HU"/>
        </w:rPr>
        <w:t xml:space="preserve"> </w:t>
      </w:r>
      <w:hyperlink r:id="rId11" w:history="1">
        <w:r w:rsidR="00EA6226" w:rsidRPr="008039DE">
          <w:rPr>
            <w:rStyle w:val="Hiperhivatkozs"/>
            <w:sz w:val="22"/>
            <w:szCs w:val="22"/>
            <w:highlight w:val="darkGray"/>
            <w:lang w:val="hu-HU"/>
          </w:rPr>
          <w:t>V. füg</w:t>
        </w:r>
        <w:bookmarkStart w:id="1" w:name="_Hlt352075914"/>
        <w:bookmarkStart w:id="2" w:name="_Hlt352075915"/>
        <w:r w:rsidR="00EA6226" w:rsidRPr="008039DE">
          <w:rPr>
            <w:rStyle w:val="Hiperhivatkozs"/>
            <w:sz w:val="22"/>
            <w:szCs w:val="22"/>
            <w:highlight w:val="darkGray"/>
            <w:lang w:val="hu-HU"/>
          </w:rPr>
          <w:t>g</w:t>
        </w:r>
        <w:bookmarkEnd w:id="1"/>
        <w:bookmarkEnd w:id="2"/>
        <w:r w:rsidR="00EA6226" w:rsidRPr="008039DE">
          <w:rPr>
            <w:rStyle w:val="Hiperhivatkozs"/>
            <w:sz w:val="22"/>
            <w:szCs w:val="22"/>
            <w:highlight w:val="darkGray"/>
            <w:lang w:val="hu-HU"/>
          </w:rPr>
          <w:t>elékben</w:t>
        </w:r>
      </w:hyperlink>
      <w:r w:rsidRPr="00EA6226">
        <w:rPr>
          <w:shd w:val="clear" w:color="auto" w:fill="BFBFBF"/>
          <w:lang w:val="hu-HU"/>
        </w:rPr>
        <w:t xml:space="preserve"> található elérhetőségek valamelyikén keresztül.</w:t>
      </w:r>
    </w:p>
    <w:p w14:paraId="15DA6B16" w14:textId="77777777" w:rsidR="00E36D26" w:rsidRPr="00D93355" w:rsidRDefault="00E36D26">
      <w:pPr>
        <w:spacing w:line="240" w:lineRule="auto"/>
        <w:rPr>
          <w:lang w:val="hu-HU"/>
        </w:rPr>
      </w:pPr>
    </w:p>
    <w:p w14:paraId="774AEC1A"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4.9</w:t>
      </w:r>
      <w:r w:rsidRPr="00D93355">
        <w:rPr>
          <w:b/>
          <w:bCs/>
          <w:lang w:val="hu-HU"/>
        </w:rPr>
        <w:tab/>
        <w:t>Túladagolás</w:t>
      </w:r>
    </w:p>
    <w:p w14:paraId="10509BBB" w14:textId="77777777" w:rsidR="00E36D26" w:rsidRPr="00D93355" w:rsidRDefault="00E36D26">
      <w:pPr>
        <w:keepNext/>
        <w:spacing w:line="240" w:lineRule="auto"/>
        <w:ind w:left="567" w:hanging="567"/>
        <w:outlineLvl w:val="0"/>
        <w:rPr>
          <w:b/>
          <w:bCs/>
          <w:lang w:val="hu-HU"/>
        </w:rPr>
      </w:pPr>
    </w:p>
    <w:p w14:paraId="7F731931" w14:textId="77777777" w:rsidR="00E36D26" w:rsidRPr="00D93355" w:rsidRDefault="00E36D26">
      <w:pPr>
        <w:pStyle w:val="Default"/>
        <w:keepNext/>
        <w:rPr>
          <w:sz w:val="22"/>
          <w:szCs w:val="22"/>
        </w:rPr>
      </w:pPr>
      <w:r w:rsidRPr="00D93355">
        <w:rPr>
          <w:sz w:val="22"/>
          <w:szCs w:val="22"/>
        </w:rPr>
        <w:t>Egészséges vizsgálati alanyok egyszeri, legfeljebb 2400 mg</w:t>
      </w:r>
      <w:r w:rsidRPr="00D93355">
        <w:rPr>
          <w:sz w:val="22"/>
          <w:szCs w:val="22"/>
        </w:rPr>
        <w:noBreakHyphen/>
        <w:t xml:space="preserve">os </w:t>
      </w:r>
      <w:r w:rsidR="006264FB" w:rsidRPr="00D93355">
        <w:rPr>
          <w:sz w:val="22"/>
          <w:szCs w:val="22"/>
        </w:rPr>
        <w:t>bozentán</w:t>
      </w:r>
      <w:r w:rsidRPr="00D93355">
        <w:rPr>
          <w:sz w:val="22"/>
          <w:szCs w:val="22"/>
        </w:rPr>
        <w:t xml:space="preserve"> dózist kaptak, míg a pulmonalis hypertoniától eltérő betegségben szenvedőknél két hónapon keresztül napi legfeljebb 2000 mg </w:t>
      </w:r>
      <w:r w:rsidR="006264FB" w:rsidRPr="00D93355">
        <w:rPr>
          <w:sz w:val="22"/>
          <w:szCs w:val="22"/>
        </w:rPr>
        <w:t>bozentán</w:t>
      </w:r>
      <w:r w:rsidRPr="00D93355">
        <w:rPr>
          <w:sz w:val="22"/>
          <w:szCs w:val="22"/>
        </w:rPr>
        <w:t>t alkalmaztak. A leggyakoribb mellékhatás enyhe és közepes erősségű fejfájás volt.</w:t>
      </w:r>
    </w:p>
    <w:p w14:paraId="7D9A58D8" w14:textId="77777777" w:rsidR="00E36D26" w:rsidRPr="00D93355" w:rsidRDefault="00E36D26">
      <w:pPr>
        <w:pStyle w:val="Default"/>
        <w:rPr>
          <w:sz w:val="22"/>
          <w:szCs w:val="22"/>
        </w:rPr>
      </w:pPr>
    </w:p>
    <w:p w14:paraId="254F53FA" w14:textId="77777777" w:rsidR="00E36D26" w:rsidRPr="00D93355" w:rsidRDefault="00E36D26">
      <w:pPr>
        <w:pStyle w:val="Default"/>
        <w:rPr>
          <w:sz w:val="22"/>
          <w:szCs w:val="22"/>
        </w:rPr>
      </w:pPr>
      <w:r w:rsidRPr="00D93355">
        <w:rPr>
          <w:sz w:val="22"/>
          <w:szCs w:val="22"/>
        </w:rPr>
        <w:lastRenderedPageBreak/>
        <w:t xml:space="preserve">A nagymértékű túladagolás aktív cardiovascularis beavatkozást igénylő alacsony vérnyomáshoz vezethet. A gyógyszer forgalomba hozatalát követő időszakban egy serdülőkorú fiúbetegnél jelentettek túladagolást, aki 10 000 mg </w:t>
      </w:r>
      <w:r w:rsidR="006264FB" w:rsidRPr="00D93355">
        <w:rPr>
          <w:sz w:val="22"/>
          <w:szCs w:val="22"/>
        </w:rPr>
        <w:t>bozentán</w:t>
      </w:r>
      <w:r w:rsidRPr="00D93355">
        <w:rPr>
          <w:sz w:val="22"/>
          <w:szCs w:val="22"/>
        </w:rPr>
        <w:t xml:space="preserve">t vett be. A betegnél hányinger, hányás, hypotonia, szédülés, izzadás és homályos látás jelentkezett. A beteg a vérnyomása rendezése mellett 24 órán belül teljesen tünetmentessé vált. Megjegyzés: a </w:t>
      </w:r>
      <w:r w:rsidR="006264FB" w:rsidRPr="00D93355">
        <w:rPr>
          <w:sz w:val="22"/>
          <w:szCs w:val="22"/>
        </w:rPr>
        <w:t>bozentán</w:t>
      </w:r>
      <w:r w:rsidRPr="00D93355">
        <w:rPr>
          <w:sz w:val="22"/>
          <w:szCs w:val="22"/>
        </w:rPr>
        <w:t xml:space="preserve"> dialízissel nem távolítható el a szervezetből.</w:t>
      </w:r>
    </w:p>
    <w:p w14:paraId="6F555AE2" w14:textId="77777777" w:rsidR="00E36D26" w:rsidRPr="00D93355" w:rsidRDefault="00E36D26">
      <w:pPr>
        <w:pStyle w:val="Default"/>
        <w:rPr>
          <w:b/>
          <w:bCs/>
          <w:sz w:val="22"/>
          <w:szCs w:val="22"/>
        </w:rPr>
      </w:pPr>
    </w:p>
    <w:p w14:paraId="388C91BA" w14:textId="77777777" w:rsidR="00E36D26" w:rsidRPr="00D93355" w:rsidRDefault="00E36D26">
      <w:pPr>
        <w:keepNext/>
        <w:spacing w:line="240" w:lineRule="auto"/>
        <w:ind w:left="567" w:hanging="567"/>
        <w:outlineLvl w:val="0"/>
        <w:rPr>
          <w:b/>
          <w:bCs/>
          <w:lang w:val="hu-HU"/>
        </w:rPr>
      </w:pPr>
    </w:p>
    <w:p w14:paraId="03BF6FB4"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5.</w:t>
      </w:r>
      <w:r w:rsidRPr="00D93355">
        <w:rPr>
          <w:b/>
          <w:bCs/>
          <w:lang w:val="hu-HU"/>
        </w:rPr>
        <w:tab/>
        <w:t>FARMAKOLÓGIAI TULAJDONSÁGOK</w:t>
      </w:r>
    </w:p>
    <w:p w14:paraId="622D0BC7" w14:textId="77777777" w:rsidR="00E36D26" w:rsidRPr="00D93355" w:rsidRDefault="00E36D26">
      <w:pPr>
        <w:keepNext/>
        <w:spacing w:line="240" w:lineRule="auto"/>
        <w:ind w:left="567" w:hanging="567"/>
        <w:outlineLvl w:val="0"/>
        <w:rPr>
          <w:b/>
          <w:bCs/>
          <w:lang w:val="hu-HU"/>
        </w:rPr>
      </w:pPr>
    </w:p>
    <w:p w14:paraId="7529C4C1"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5.1</w:t>
      </w:r>
      <w:r w:rsidRPr="00D93355">
        <w:rPr>
          <w:b/>
          <w:bCs/>
          <w:lang w:val="hu-HU"/>
        </w:rPr>
        <w:tab/>
        <w:t>Farmakodinámiás tulajdonságok</w:t>
      </w:r>
    </w:p>
    <w:p w14:paraId="5E6E1CCB" w14:textId="77777777" w:rsidR="00E36D26" w:rsidRPr="00D93355" w:rsidRDefault="00E36D26">
      <w:pPr>
        <w:keepNext/>
        <w:spacing w:line="240" w:lineRule="auto"/>
        <w:rPr>
          <w:lang w:val="hu-HU"/>
        </w:rPr>
      </w:pPr>
    </w:p>
    <w:p w14:paraId="41537B2D" w14:textId="77777777" w:rsidR="00E36D26" w:rsidRPr="00D93355" w:rsidRDefault="00E36D26">
      <w:pPr>
        <w:pStyle w:val="Default"/>
        <w:keepNext/>
        <w:rPr>
          <w:sz w:val="22"/>
          <w:szCs w:val="22"/>
        </w:rPr>
      </w:pPr>
      <w:r w:rsidRPr="00D93355">
        <w:rPr>
          <w:sz w:val="22"/>
          <w:szCs w:val="22"/>
        </w:rPr>
        <w:t>Farmakoterápiás csoport: egyéb antihipertenzívumok, ATC-kód: C02KX01</w:t>
      </w:r>
    </w:p>
    <w:p w14:paraId="3AA9489C" w14:textId="77777777" w:rsidR="00E36D26" w:rsidRPr="00D93355" w:rsidRDefault="00E36D26">
      <w:pPr>
        <w:pStyle w:val="Default"/>
        <w:rPr>
          <w:i/>
          <w:iCs/>
          <w:sz w:val="22"/>
          <w:szCs w:val="22"/>
          <w:u w:val="single"/>
        </w:rPr>
      </w:pPr>
    </w:p>
    <w:p w14:paraId="0B536BA8" w14:textId="77777777" w:rsidR="00904E86" w:rsidRPr="00D93355" w:rsidRDefault="00E36D26">
      <w:pPr>
        <w:pStyle w:val="Default"/>
        <w:keepNext/>
        <w:rPr>
          <w:iCs/>
          <w:sz w:val="22"/>
          <w:szCs w:val="22"/>
          <w:u w:val="single"/>
        </w:rPr>
      </w:pPr>
      <w:r w:rsidRPr="00D93355">
        <w:rPr>
          <w:iCs/>
          <w:sz w:val="22"/>
          <w:szCs w:val="22"/>
          <w:u w:val="single"/>
        </w:rPr>
        <w:t>Hatásmechanizmus</w:t>
      </w:r>
    </w:p>
    <w:p w14:paraId="1A55BD7D" w14:textId="77777777" w:rsidR="00E36D26" w:rsidRPr="00D93355" w:rsidRDefault="00E36D26">
      <w:pPr>
        <w:pStyle w:val="Default"/>
        <w:keepNext/>
        <w:rPr>
          <w:sz w:val="22"/>
          <w:szCs w:val="22"/>
          <w:u w:val="single"/>
        </w:rPr>
      </w:pPr>
    </w:p>
    <w:p w14:paraId="66531363" w14:textId="77777777" w:rsidR="00E36D26" w:rsidRPr="00D93355" w:rsidRDefault="00E36D26">
      <w:pPr>
        <w:pStyle w:val="Default"/>
        <w:keepNext/>
        <w:rPr>
          <w:sz w:val="22"/>
          <w:szCs w:val="22"/>
        </w:rPr>
      </w:pPr>
      <w:r w:rsidRPr="00D93355">
        <w:rPr>
          <w:sz w:val="22"/>
          <w:szCs w:val="22"/>
        </w:rPr>
        <w:t xml:space="preserve">A </w:t>
      </w:r>
      <w:r w:rsidR="006264FB" w:rsidRPr="00D93355">
        <w:rPr>
          <w:sz w:val="22"/>
          <w:szCs w:val="22"/>
        </w:rPr>
        <w:t>bozentán</w:t>
      </w:r>
      <w:r w:rsidRPr="00D93355">
        <w:rPr>
          <w:sz w:val="22"/>
          <w:szCs w:val="22"/>
        </w:rPr>
        <w:t xml:space="preserve"> kettős endothelin</w:t>
      </w:r>
      <w:r w:rsidRPr="00D93355">
        <w:rPr>
          <w:sz w:val="22"/>
          <w:szCs w:val="22"/>
        </w:rPr>
        <w:noBreakHyphen/>
        <w:t>receptor</w:t>
      </w:r>
      <w:r w:rsidRPr="00D93355">
        <w:rPr>
          <w:sz w:val="22"/>
          <w:szCs w:val="22"/>
        </w:rPr>
        <w:noBreakHyphen/>
        <w:t>antagonista (ERA), affinitással mind az endothelin</w:t>
      </w:r>
      <w:r w:rsidRPr="00D93355">
        <w:rPr>
          <w:sz w:val="22"/>
          <w:szCs w:val="22"/>
        </w:rPr>
        <w:noBreakHyphen/>
        <w:t>A, mind az endothelin</w:t>
      </w:r>
      <w:r w:rsidRPr="00D93355">
        <w:rPr>
          <w:sz w:val="22"/>
          <w:szCs w:val="22"/>
        </w:rPr>
        <w:noBreakHyphen/>
        <w:t>B (ET</w:t>
      </w:r>
      <w:r w:rsidRPr="00D93355">
        <w:rPr>
          <w:sz w:val="22"/>
          <w:szCs w:val="22"/>
          <w:vertAlign w:val="subscript"/>
        </w:rPr>
        <w:t>A</w:t>
      </w:r>
      <w:r w:rsidRPr="00D93355">
        <w:rPr>
          <w:sz w:val="22"/>
          <w:szCs w:val="22"/>
        </w:rPr>
        <w:t xml:space="preserve"> és ET</w:t>
      </w:r>
      <w:r w:rsidRPr="00D93355">
        <w:rPr>
          <w:sz w:val="22"/>
          <w:szCs w:val="22"/>
          <w:vertAlign w:val="subscript"/>
        </w:rPr>
        <w:t>B</w:t>
      </w:r>
      <w:r w:rsidRPr="00D93355">
        <w:rPr>
          <w:sz w:val="22"/>
          <w:szCs w:val="22"/>
        </w:rPr>
        <w:t>) receptorokhoz. Csökkenti a pulmonalis és a szisztémás vascularis rezisztenciát, így a pulzusszám emelkedése nélkül nő a perctérfogat.</w:t>
      </w:r>
    </w:p>
    <w:p w14:paraId="1C1BB8E6" w14:textId="77777777" w:rsidR="00341AD9" w:rsidRPr="00D93355" w:rsidRDefault="00341AD9">
      <w:pPr>
        <w:pStyle w:val="Default"/>
        <w:rPr>
          <w:sz w:val="22"/>
          <w:szCs w:val="22"/>
        </w:rPr>
      </w:pPr>
    </w:p>
    <w:p w14:paraId="6E9113A9" w14:textId="77777777" w:rsidR="00E36D26" w:rsidRPr="00D93355" w:rsidRDefault="00E36D26">
      <w:pPr>
        <w:pStyle w:val="Default"/>
        <w:rPr>
          <w:sz w:val="22"/>
          <w:szCs w:val="22"/>
        </w:rPr>
      </w:pPr>
      <w:r w:rsidRPr="00D93355">
        <w:rPr>
          <w:sz w:val="22"/>
          <w:szCs w:val="22"/>
        </w:rPr>
        <w:t>A legerősebb ismert érszűkítők egyike, az endothelin</w:t>
      </w:r>
      <w:r w:rsidRPr="00D93355">
        <w:rPr>
          <w:sz w:val="22"/>
          <w:szCs w:val="22"/>
        </w:rPr>
        <w:noBreakHyphen/>
        <w:t>1 (ET</w:t>
      </w:r>
      <w:r w:rsidRPr="00D93355">
        <w:rPr>
          <w:sz w:val="22"/>
          <w:szCs w:val="22"/>
        </w:rPr>
        <w:noBreakHyphen/>
        <w:t>1) neurohormon elősegítheti a fibrosist, a sejtburjánzást, a cardialis hypertrophiát és a strukturális átépülést (remodelling). Inflammációt elősegítő tulajdonságú. Ezeket a hatásokat az endothelinnek az endotheliumban és az érfal simaizomsejtjeiben található ET</w:t>
      </w:r>
      <w:r w:rsidRPr="00D93355">
        <w:rPr>
          <w:sz w:val="22"/>
          <w:szCs w:val="22"/>
          <w:vertAlign w:val="subscript"/>
        </w:rPr>
        <w:t>A</w:t>
      </w:r>
      <w:r w:rsidRPr="00D93355">
        <w:rPr>
          <w:sz w:val="22"/>
          <w:szCs w:val="22"/>
        </w:rPr>
        <w:t>- és ET</w:t>
      </w:r>
      <w:r w:rsidRPr="00D93355">
        <w:rPr>
          <w:sz w:val="22"/>
          <w:szCs w:val="22"/>
          <w:vertAlign w:val="subscript"/>
        </w:rPr>
        <w:t>B</w:t>
      </w:r>
      <w:r w:rsidRPr="00D93355">
        <w:rPr>
          <w:sz w:val="22"/>
          <w:szCs w:val="22"/>
        </w:rPr>
        <w:t>-receptorokhoz való kapcsolódása közvetíti. Az ET</w:t>
      </w:r>
      <w:r w:rsidRPr="00D93355">
        <w:rPr>
          <w:sz w:val="22"/>
          <w:szCs w:val="22"/>
        </w:rPr>
        <w:noBreakHyphen/>
        <w:t xml:space="preserve">1 koncentrációja a szövetekben és a plazmában számos cardiovascularis és kötőszöveti betegség (például </w:t>
      </w:r>
      <w:r w:rsidR="00667657">
        <w:rPr>
          <w:sz w:val="22"/>
          <w:szCs w:val="22"/>
        </w:rPr>
        <w:t>P</w:t>
      </w:r>
      <w:r w:rsidR="00942529">
        <w:rPr>
          <w:sz w:val="22"/>
          <w:szCs w:val="22"/>
        </w:rPr>
        <w:t>AH</w:t>
      </w:r>
      <w:r w:rsidRPr="00D93355">
        <w:rPr>
          <w:sz w:val="22"/>
          <w:szCs w:val="22"/>
        </w:rPr>
        <w:t>, scleroderma, akut és krónikus szívelégtelenség, myocardialis ischaemia, szisztémás hypertonia és atherosclerosis) esetén magas, ami arra utal, hogy az ET</w:t>
      </w:r>
      <w:r w:rsidRPr="00D93355">
        <w:rPr>
          <w:sz w:val="22"/>
          <w:szCs w:val="22"/>
        </w:rPr>
        <w:noBreakHyphen/>
        <w:t>1 pathogen szerepet játszhat ezeknek a betegségeknek a kialakulásában. P</w:t>
      </w:r>
      <w:r w:rsidR="00950399">
        <w:rPr>
          <w:sz w:val="22"/>
          <w:szCs w:val="22"/>
        </w:rPr>
        <w:t>AH</w:t>
      </w:r>
      <w:r w:rsidRPr="00D93355">
        <w:rPr>
          <w:sz w:val="22"/>
          <w:szCs w:val="22"/>
        </w:rPr>
        <w:t xml:space="preserve"> és szívelégtelenség esetén </w:t>
      </w:r>
      <w:r w:rsidR="00060244" w:rsidRPr="00D93355">
        <w:rPr>
          <w:sz w:val="22"/>
          <w:szCs w:val="22"/>
        </w:rPr>
        <w:t xml:space="preserve">az </w:t>
      </w:r>
      <w:r w:rsidRPr="00D93355">
        <w:rPr>
          <w:sz w:val="22"/>
          <w:szCs w:val="22"/>
        </w:rPr>
        <w:t>endothelinreceptor</w:t>
      </w:r>
      <w:r w:rsidRPr="00D93355">
        <w:rPr>
          <w:sz w:val="22"/>
          <w:szCs w:val="22"/>
        </w:rPr>
        <w:noBreakHyphen/>
        <w:t>antagonizmus hiányában a megnövekedett ET</w:t>
      </w:r>
      <w:r w:rsidRPr="00D93355">
        <w:rPr>
          <w:sz w:val="22"/>
          <w:szCs w:val="22"/>
        </w:rPr>
        <w:noBreakHyphen/>
        <w:t>1 koncentráció nagymértékben összefügg a fenti betegségek súlyosságával, illetve prognózisával.</w:t>
      </w:r>
    </w:p>
    <w:p w14:paraId="4EAC3EDE" w14:textId="77777777" w:rsidR="00E36D26" w:rsidRPr="00D93355" w:rsidRDefault="00E36D26">
      <w:pPr>
        <w:spacing w:line="240" w:lineRule="auto"/>
        <w:rPr>
          <w:lang w:val="hu-HU"/>
        </w:rPr>
      </w:pPr>
    </w:p>
    <w:p w14:paraId="40F4A9E2" w14:textId="77777777" w:rsidR="00E36D26" w:rsidRPr="00D93355" w:rsidRDefault="00E36D26">
      <w:pPr>
        <w:spacing w:line="240" w:lineRule="auto"/>
        <w:rPr>
          <w:lang w:val="hu-HU"/>
        </w:rPr>
      </w:pPr>
      <w:r w:rsidRPr="00D93355">
        <w:rPr>
          <w:lang w:val="hu-HU"/>
        </w:rPr>
        <w:t xml:space="preserve">A </w:t>
      </w:r>
      <w:r w:rsidR="006264FB" w:rsidRPr="00D93355">
        <w:rPr>
          <w:lang w:val="hu-HU"/>
        </w:rPr>
        <w:t>bozentán</w:t>
      </w:r>
      <w:r w:rsidRPr="00D93355">
        <w:rPr>
          <w:lang w:val="hu-HU"/>
        </w:rPr>
        <w:t xml:space="preserve"> az ET</w:t>
      </w:r>
      <w:r w:rsidRPr="00D93355">
        <w:rPr>
          <w:lang w:val="hu-HU"/>
        </w:rPr>
        <w:noBreakHyphen/>
        <w:t>1</w:t>
      </w:r>
      <w:r w:rsidRPr="00D93355">
        <w:rPr>
          <w:lang w:val="hu-HU"/>
        </w:rPr>
        <w:noBreakHyphen/>
        <w:t>gyel és más ET</w:t>
      </w:r>
      <w:r w:rsidRPr="00D93355">
        <w:rPr>
          <w:lang w:val="hu-HU"/>
        </w:rPr>
        <w:noBreakHyphen/>
        <w:t>peptidekkel versengve kötődik az ET</w:t>
      </w:r>
      <w:r w:rsidRPr="00D93355">
        <w:rPr>
          <w:vertAlign w:val="subscript"/>
          <w:lang w:val="hu-HU"/>
        </w:rPr>
        <w:t>A</w:t>
      </w:r>
      <w:r w:rsidRPr="00D93355">
        <w:rPr>
          <w:lang w:val="hu-HU"/>
        </w:rPr>
        <w:t>- és ET</w:t>
      </w:r>
      <w:r w:rsidRPr="00D93355">
        <w:rPr>
          <w:vertAlign w:val="subscript"/>
          <w:lang w:val="hu-HU"/>
        </w:rPr>
        <w:t>B</w:t>
      </w:r>
      <w:r w:rsidRPr="00D93355">
        <w:rPr>
          <w:lang w:val="hu-HU"/>
        </w:rPr>
        <w:t>-receptorokhoz, affinitása az előbbihez kissé nagyobb (K</w:t>
      </w:r>
      <w:r w:rsidRPr="00D93355">
        <w:rPr>
          <w:vertAlign w:val="subscript"/>
          <w:lang w:val="hu-HU"/>
        </w:rPr>
        <w:t>i</w:t>
      </w:r>
      <w:r w:rsidRPr="00D93355">
        <w:rPr>
          <w:lang w:val="hu-HU"/>
        </w:rPr>
        <w:t xml:space="preserve"> = 4,1</w:t>
      </w:r>
      <w:r w:rsidRPr="00D93355">
        <w:rPr>
          <w:lang w:val="hu-HU"/>
        </w:rPr>
        <w:noBreakHyphen/>
        <w:t>43 nmol), mint az utóbbihoz (K</w:t>
      </w:r>
      <w:r w:rsidRPr="00D93355">
        <w:rPr>
          <w:vertAlign w:val="subscript"/>
          <w:lang w:val="hu-HU"/>
        </w:rPr>
        <w:t>i</w:t>
      </w:r>
      <w:r w:rsidRPr="00D93355">
        <w:rPr>
          <w:lang w:val="hu-HU"/>
        </w:rPr>
        <w:t xml:space="preserve"> = 38</w:t>
      </w:r>
      <w:r w:rsidRPr="00D93355">
        <w:rPr>
          <w:lang w:val="hu-HU"/>
        </w:rPr>
        <w:noBreakHyphen/>
        <w:t xml:space="preserve">730 nmol). A </w:t>
      </w:r>
      <w:r w:rsidR="006264FB" w:rsidRPr="00D93355">
        <w:rPr>
          <w:lang w:val="hu-HU"/>
        </w:rPr>
        <w:t>bozentán</w:t>
      </w:r>
      <w:r w:rsidRPr="00D93355">
        <w:rPr>
          <w:lang w:val="hu-HU"/>
        </w:rPr>
        <w:t xml:space="preserve"> specifikusan az ET</w:t>
      </w:r>
      <w:r w:rsidRPr="00D93355">
        <w:rPr>
          <w:lang w:val="hu-HU"/>
        </w:rPr>
        <w:noBreakHyphen/>
        <w:t>receptorokat gátolja, nem kötődik más receptorokhoz.</w:t>
      </w:r>
    </w:p>
    <w:p w14:paraId="052617C6" w14:textId="77777777" w:rsidR="00E36D26" w:rsidRPr="00D93355" w:rsidRDefault="00E36D26">
      <w:pPr>
        <w:autoSpaceDE w:val="0"/>
        <w:autoSpaceDN w:val="0"/>
        <w:adjustRightInd w:val="0"/>
        <w:spacing w:line="240" w:lineRule="auto"/>
        <w:jc w:val="both"/>
        <w:rPr>
          <w:b/>
          <w:bCs/>
          <w:i/>
          <w:iCs/>
          <w:lang w:val="hu-HU"/>
        </w:rPr>
      </w:pPr>
    </w:p>
    <w:p w14:paraId="216AC426" w14:textId="77777777" w:rsidR="00365DAB" w:rsidRPr="00D93355" w:rsidRDefault="00365DAB">
      <w:pPr>
        <w:pStyle w:val="Default"/>
        <w:rPr>
          <w:color w:val="auto"/>
          <w:sz w:val="22"/>
          <w:szCs w:val="22"/>
        </w:rPr>
      </w:pPr>
      <w:r w:rsidRPr="00D93355">
        <w:rPr>
          <w:iCs/>
          <w:color w:val="auto"/>
          <w:sz w:val="22"/>
          <w:szCs w:val="22"/>
          <w:u w:val="single"/>
        </w:rPr>
        <w:t>Klinikai hatásosság és biztonságosság</w:t>
      </w:r>
    </w:p>
    <w:p w14:paraId="17F3A8A5" w14:textId="77777777" w:rsidR="00E36D26" w:rsidRPr="00D93355" w:rsidRDefault="00E36D26">
      <w:pPr>
        <w:pStyle w:val="Default"/>
        <w:keepNext/>
        <w:rPr>
          <w:sz w:val="22"/>
          <w:szCs w:val="22"/>
          <w:u w:val="single"/>
        </w:rPr>
      </w:pPr>
    </w:p>
    <w:p w14:paraId="79997650" w14:textId="77777777" w:rsidR="00E36D26" w:rsidRPr="00D93355" w:rsidRDefault="00E36D26">
      <w:pPr>
        <w:pStyle w:val="Default"/>
        <w:keepNext/>
        <w:rPr>
          <w:i/>
          <w:sz w:val="22"/>
          <w:szCs w:val="22"/>
        </w:rPr>
      </w:pPr>
      <w:r w:rsidRPr="00D93355">
        <w:rPr>
          <w:i/>
          <w:sz w:val="22"/>
          <w:szCs w:val="22"/>
        </w:rPr>
        <w:t>Állatmodellek</w:t>
      </w:r>
    </w:p>
    <w:p w14:paraId="0F5CD9FF" w14:textId="77777777" w:rsidR="00E36D26" w:rsidRPr="00D93355" w:rsidRDefault="00E36D26">
      <w:pPr>
        <w:pStyle w:val="Default"/>
        <w:keepNext/>
        <w:rPr>
          <w:sz w:val="22"/>
          <w:szCs w:val="22"/>
        </w:rPr>
      </w:pPr>
      <w:r w:rsidRPr="00D93355">
        <w:rPr>
          <w:sz w:val="22"/>
          <w:szCs w:val="22"/>
        </w:rPr>
        <w:t xml:space="preserve">A pulmonalis hypertoniára vonatkozó állatkísérletekben a </w:t>
      </w:r>
      <w:r w:rsidR="006264FB" w:rsidRPr="00D93355">
        <w:rPr>
          <w:sz w:val="22"/>
          <w:szCs w:val="22"/>
        </w:rPr>
        <w:t>bozentán</w:t>
      </w:r>
      <w:r w:rsidRPr="00D93355">
        <w:rPr>
          <w:sz w:val="22"/>
          <w:szCs w:val="22"/>
        </w:rPr>
        <w:t xml:space="preserve"> hosszú távú, szájon át történő alkalmazása csökkentette a pulmonalis vascularis rezisztenciát, és visszafordította a pulmonalis vascularis</w:t>
      </w:r>
      <w:r w:rsidRPr="00D93355">
        <w:rPr>
          <w:sz w:val="22"/>
          <w:szCs w:val="22"/>
        </w:rPr>
        <w:noBreakHyphen/>
        <w:t xml:space="preserve">, valamint a jobbkamra hypertrophiát. A pulmonalis fibrosis állatmodelljében a </w:t>
      </w:r>
      <w:r w:rsidR="006264FB" w:rsidRPr="00D93355">
        <w:rPr>
          <w:sz w:val="22"/>
          <w:szCs w:val="22"/>
        </w:rPr>
        <w:t>bozentán</w:t>
      </w:r>
      <w:r w:rsidRPr="00D93355">
        <w:rPr>
          <w:sz w:val="22"/>
          <w:szCs w:val="22"/>
        </w:rPr>
        <w:t xml:space="preserve"> csökkentette a kollagén</w:t>
      </w:r>
      <w:r w:rsidRPr="00D93355">
        <w:rPr>
          <w:sz w:val="22"/>
          <w:szCs w:val="22"/>
        </w:rPr>
        <w:noBreakHyphen/>
        <w:t>lerakódást a tüdőben.</w:t>
      </w:r>
    </w:p>
    <w:p w14:paraId="7823B3B8" w14:textId="77777777" w:rsidR="00E36D26" w:rsidRPr="00D93355" w:rsidRDefault="00E36D26">
      <w:pPr>
        <w:pStyle w:val="Default"/>
        <w:rPr>
          <w:sz w:val="22"/>
          <w:szCs w:val="22"/>
          <w:u w:val="single"/>
        </w:rPr>
      </w:pPr>
    </w:p>
    <w:p w14:paraId="0CB2A0DE" w14:textId="77777777" w:rsidR="00E36D26" w:rsidRPr="00D93355" w:rsidRDefault="00E36D26">
      <w:pPr>
        <w:pStyle w:val="Default"/>
        <w:keepNext/>
        <w:rPr>
          <w:i/>
          <w:sz w:val="22"/>
          <w:szCs w:val="22"/>
        </w:rPr>
      </w:pPr>
      <w:r w:rsidRPr="00D93355">
        <w:rPr>
          <w:i/>
          <w:iCs/>
          <w:sz w:val="22"/>
          <w:szCs w:val="22"/>
        </w:rPr>
        <w:t>Hatásosság</w:t>
      </w:r>
      <w:r w:rsidRPr="00D93355">
        <w:rPr>
          <w:i/>
          <w:sz w:val="22"/>
          <w:szCs w:val="22"/>
        </w:rPr>
        <w:t xml:space="preserve"> pulmonalis hypertoniában szenvedő felnőtt betegeknél</w:t>
      </w:r>
    </w:p>
    <w:p w14:paraId="3BD2246A" w14:textId="77777777" w:rsidR="00E36D26" w:rsidRPr="00D93355" w:rsidRDefault="00E36D26">
      <w:pPr>
        <w:pStyle w:val="Default"/>
        <w:keepNext/>
        <w:rPr>
          <w:sz w:val="22"/>
          <w:szCs w:val="22"/>
        </w:rPr>
      </w:pPr>
      <w:r w:rsidRPr="00D93355">
        <w:rPr>
          <w:sz w:val="22"/>
          <w:szCs w:val="22"/>
        </w:rPr>
        <w:t>Két randomizált, kettős</w:t>
      </w:r>
      <w:r w:rsidR="00FB2CB2">
        <w:rPr>
          <w:sz w:val="22"/>
          <w:szCs w:val="22"/>
        </w:rPr>
        <w:t xml:space="preserve"> </w:t>
      </w:r>
      <w:r w:rsidRPr="00D93355">
        <w:rPr>
          <w:sz w:val="22"/>
          <w:szCs w:val="22"/>
        </w:rPr>
        <w:t xml:space="preserve">vak, multicentrikus, placebokontrollos vizsgálatot végeztek 32 (AC-052-351 vizsgálat), illetve 213 (AC-052-352 [BREATHE-1] vizsgálat) felnőtt beteg bevonásával, akik WHO III–IV. funkcionális stádiumban lévő </w:t>
      </w:r>
      <w:r w:rsidR="00886630">
        <w:rPr>
          <w:sz w:val="22"/>
          <w:szCs w:val="22"/>
        </w:rPr>
        <w:t>PAH-</w:t>
      </w:r>
      <w:r w:rsidRPr="00D93355">
        <w:rPr>
          <w:sz w:val="22"/>
          <w:szCs w:val="22"/>
        </w:rPr>
        <w:t xml:space="preserve">ban (primaer pulmonalis hypertonia vagy secundaer pulmonalis hypertonia, elsősorban sclerodermához kapcsolódva) szenvedtek. A napi kétszer 62,5 mg </w:t>
      </w:r>
      <w:r w:rsidR="006264FB" w:rsidRPr="00D93355">
        <w:rPr>
          <w:sz w:val="22"/>
          <w:szCs w:val="22"/>
        </w:rPr>
        <w:t>bozentán</w:t>
      </w:r>
      <w:r w:rsidRPr="00D93355">
        <w:rPr>
          <w:sz w:val="22"/>
          <w:szCs w:val="22"/>
        </w:rPr>
        <w:t>nal indított négyhetes kezdeti szakasz után, a vizsgálatokban tanulmányozott fenntartó dózis naponta kétszer 125 mg (AC</w:t>
      </w:r>
      <w:r w:rsidRPr="00D93355">
        <w:rPr>
          <w:sz w:val="22"/>
          <w:szCs w:val="22"/>
        </w:rPr>
        <w:noBreakHyphen/>
        <w:t>052-351), illetve napi kétszeri 125 mg vagy 250 mg (AC</w:t>
      </w:r>
      <w:r w:rsidRPr="00D93355">
        <w:rPr>
          <w:sz w:val="22"/>
          <w:szCs w:val="22"/>
        </w:rPr>
        <w:noBreakHyphen/>
        <w:t>052-352) volt.</w:t>
      </w:r>
    </w:p>
    <w:p w14:paraId="07CBC017" w14:textId="77777777" w:rsidR="00E36D26" w:rsidRPr="00D93355" w:rsidRDefault="00E36D26">
      <w:pPr>
        <w:spacing w:line="240" w:lineRule="auto"/>
        <w:rPr>
          <w:lang w:val="hu-HU"/>
        </w:rPr>
      </w:pPr>
    </w:p>
    <w:p w14:paraId="2E94F412" w14:textId="77777777" w:rsidR="00E36D26" w:rsidRPr="00D93355" w:rsidRDefault="00E36D26">
      <w:pPr>
        <w:spacing w:line="240" w:lineRule="auto"/>
        <w:rPr>
          <w:lang w:val="hu-HU"/>
        </w:rPr>
      </w:pPr>
      <w:r w:rsidRPr="00D93355">
        <w:rPr>
          <w:lang w:val="hu-HU"/>
        </w:rPr>
        <w:t xml:space="preserve">A </w:t>
      </w:r>
      <w:r w:rsidR="006264FB" w:rsidRPr="00D93355">
        <w:rPr>
          <w:lang w:val="hu-HU"/>
        </w:rPr>
        <w:t>bozentán</w:t>
      </w:r>
      <w:r w:rsidRPr="00D93355">
        <w:rPr>
          <w:lang w:val="hu-HU"/>
        </w:rPr>
        <w:t xml:space="preserve"> a betegek aktuális kezelését egészítette ki, mely </w:t>
      </w:r>
      <w:r w:rsidR="00060244" w:rsidRPr="00D93355">
        <w:rPr>
          <w:lang w:val="hu-HU"/>
        </w:rPr>
        <w:t>vér</w:t>
      </w:r>
      <w:r w:rsidRPr="00D93355">
        <w:rPr>
          <w:lang w:val="hu-HU"/>
        </w:rPr>
        <w:t>alvadásgátlók, értágítók (pl. kalciumcsatorna</w:t>
      </w:r>
      <w:r w:rsidRPr="00D93355">
        <w:rPr>
          <w:lang w:val="hu-HU"/>
        </w:rPr>
        <w:noBreakHyphen/>
        <w:t>blokkolók), diuretikumok, oxigén és digoxin kombinációját jelentette, epoprosztenol nélkül. A kontrollcsoport az aktuális terápiája mellé placebót kapott.</w:t>
      </w:r>
    </w:p>
    <w:p w14:paraId="2364157B" w14:textId="77777777" w:rsidR="00E36D26" w:rsidRPr="00D93355" w:rsidRDefault="00E36D26">
      <w:pPr>
        <w:spacing w:line="240" w:lineRule="auto"/>
        <w:rPr>
          <w:lang w:val="hu-HU"/>
        </w:rPr>
      </w:pPr>
    </w:p>
    <w:p w14:paraId="5198D956" w14:textId="77777777" w:rsidR="00E36D26" w:rsidRPr="00D93355" w:rsidRDefault="00E36D26">
      <w:pPr>
        <w:pStyle w:val="Default"/>
        <w:rPr>
          <w:sz w:val="22"/>
          <w:szCs w:val="22"/>
        </w:rPr>
      </w:pPr>
      <w:r w:rsidRPr="00D93355">
        <w:rPr>
          <w:sz w:val="22"/>
          <w:szCs w:val="22"/>
        </w:rPr>
        <w:t xml:space="preserve">A vizsgálatok primer végpontja a 6 perces sétateszt eredményének változása volt az első vizsgálatban 12, a másodikban 16 hét után. Mindkét vizsgálat során bebizonyosodott, hogy a </w:t>
      </w:r>
      <w:r w:rsidR="006264FB" w:rsidRPr="00D93355">
        <w:rPr>
          <w:sz w:val="22"/>
          <w:szCs w:val="22"/>
        </w:rPr>
        <w:t>bozentán</w:t>
      </w:r>
      <w:r w:rsidRPr="00D93355">
        <w:rPr>
          <w:sz w:val="22"/>
          <w:szCs w:val="22"/>
        </w:rPr>
        <w:t xml:space="preserve"> hatására szignifikáns mértékben növekszik a fizikai teljesítőképesség. A placebo</w:t>
      </w:r>
      <w:r w:rsidRPr="00D93355">
        <w:rPr>
          <w:sz w:val="22"/>
          <w:szCs w:val="22"/>
        </w:rPr>
        <w:noBreakHyphen/>
        <w:t xml:space="preserve">korrigált sétatávolság </w:t>
      </w:r>
      <w:r w:rsidRPr="00D93355">
        <w:rPr>
          <w:sz w:val="22"/>
          <w:szCs w:val="22"/>
        </w:rPr>
        <w:lastRenderedPageBreak/>
        <w:t>növekedése a vizsgálat előtti értékhez képest 76 méter (p= 0,02; t</w:t>
      </w:r>
      <w:r w:rsidRPr="00D93355">
        <w:rPr>
          <w:sz w:val="22"/>
          <w:szCs w:val="22"/>
        </w:rPr>
        <w:noBreakHyphen/>
        <w:t>teszt), illetve 44 méter (p= 0,0002; Mann</w:t>
      </w:r>
      <w:r w:rsidRPr="00D93355">
        <w:rPr>
          <w:sz w:val="22"/>
          <w:szCs w:val="22"/>
        </w:rPr>
        <w:noBreakHyphen/>
        <w:t>Whitney U teszt) volt a vizsgálatok primer végpontján. A napi kétszer 125 mg és a napi kétszer 250 mg dózist kapó csoport közötti különbség nem volt statisztikailag szignifikáns, de a napi kétszer 250 mg</w:t>
      </w:r>
      <w:r w:rsidRPr="00D93355">
        <w:rPr>
          <w:sz w:val="22"/>
          <w:szCs w:val="22"/>
        </w:rPr>
        <w:noBreakHyphen/>
        <w:t>os adaggal kezelt csoportban javuló tendencia volt megfigyelhető a fizikai teljesítőképességben.</w:t>
      </w:r>
    </w:p>
    <w:p w14:paraId="6FD6A749" w14:textId="77777777" w:rsidR="00E36D26" w:rsidRPr="00D93355" w:rsidRDefault="00E36D26">
      <w:pPr>
        <w:spacing w:line="240" w:lineRule="auto"/>
        <w:rPr>
          <w:lang w:val="hu-HU"/>
        </w:rPr>
      </w:pPr>
    </w:p>
    <w:p w14:paraId="18DC7CB4" w14:textId="77777777" w:rsidR="00E36D26" w:rsidRPr="00D93355" w:rsidRDefault="00E36D26">
      <w:pPr>
        <w:spacing w:line="240" w:lineRule="auto"/>
        <w:rPr>
          <w:lang w:val="hu-HU"/>
        </w:rPr>
      </w:pPr>
      <w:r w:rsidRPr="00D93355">
        <w:rPr>
          <w:lang w:val="hu-HU"/>
        </w:rPr>
        <w:t>A távolság növekedése a kezelés 4. hete után megállapítható volt és a 8. hét után vált egyértelművé, továbbá a betegek egy alcsoportjában ez az eredmény a kettős</w:t>
      </w:r>
      <w:r w:rsidR="00FB2CB2">
        <w:rPr>
          <w:lang w:val="hu-HU"/>
        </w:rPr>
        <w:t xml:space="preserve"> </w:t>
      </w:r>
      <w:r w:rsidRPr="00D93355">
        <w:rPr>
          <w:lang w:val="hu-HU"/>
        </w:rPr>
        <w:t>vak vizsgálat 28. hetéig fennmaradt.</w:t>
      </w:r>
    </w:p>
    <w:p w14:paraId="5DA8CF7E" w14:textId="77777777" w:rsidR="00E36D26" w:rsidRPr="00D93355" w:rsidRDefault="00E36D26">
      <w:pPr>
        <w:spacing w:line="240" w:lineRule="auto"/>
        <w:rPr>
          <w:lang w:val="hu-HU"/>
        </w:rPr>
      </w:pPr>
    </w:p>
    <w:p w14:paraId="302D0744" w14:textId="77777777" w:rsidR="00E36D26" w:rsidRPr="00D93355" w:rsidRDefault="00E36D26">
      <w:pPr>
        <w:pStyle w:val="Default"/>
        <w:rPr>
          <w:sz w:val="22"/>
          <w:szCs w:val="22"/>
        </w:rPr>
      </w:pPr>
      <w:r w:rsidRPr="00D93355">
        <w:rPr>
          <w:sz w:val="22"/>
          <w:szCs w:val="22"/>
        </w:rPr>
        <w:t>Egy retrospektív, kérdőíves, a sétatávolság, WHO funkcionális stádium és dyspnoe változásán alapuló felmérés szerint a napi kétszer 125 mg</w:t>
      </w:r>
      <w:r w:rsidRPr="00D93355">
        <w:rPr>
          <w:sz w:val="22"/>
          <w:szCs w:val="22"/>
        </w:rPr>
        <w:noBreakHyphen/>
        <w:t xml:space="preserve">os </w:t>
      </w:r>
      <w:r w:rsidR="006264FB" w:rsidRPr="00D93355">
        <w:rPr>
          <w:sz w:val="22"/>
          <w:szCs w:val="22"/>
        </w:rPr>
        <w:t>bozentán</w:t>
      </w:r>
      <w:r w:rsidRPr="00D93355">
        <w:rPr>
          <w:sz w:val="22"/>
          <w:szCs w:val="22"/>
        </w:rPr>
        <w:t xml:space="preserve"> dózisra randomizált, placebokontrollos vizsgálatban résztvevő 95 betegből a 8. hét után 66 betegnél javulás, 22</w:t>
      </w:r>
      <w:r w:rsidRPr="00D93355">
        <w:rPr>
          <w:sz w:val="22"/>
          <w:szCs w:val="22"/>
        </w:rPr>
        <w:noBreakHyphen/>
        <w:t>nél stagnálás, 7</w:t>
      </w:r>
      <w:r w:rsidRPr="00D93355">
        <w:rPr>
          <w:sz w:val="22"/>
          <w:szCs w:val="22"/>
        </w:rPr>
        <w:noBreakHyphen/>
        <w:t>nél pedig állapotromlás volt tapasztalható. A 8. héten változatlan állapotú 22 beteg közül a 12/16. hétre a kezdeti állapothoz képest 6 állapota javult, 4 betegé pedig romlott. A 8. héten állapotromlást mutató 7 beteg közül a 12/16. hétre a kezdeti állapothoz képest 3</w:t>
      </w:r>
      <w:r w:rsidRPr="00D93355">
        <w:rPr>
          <w:sz w:val="22"/>
          <w:szCs w:val="22"/>
        </w:rPr>
        <w:noBreakHyphen/>
        <w:t>nak javult, 4</w:t>
      </w:r>
      <w:r w:rsidRPr="00D93355">
        <w:rPr>
          <w:sz w:val="22"/>
          <w:szCs w:val="22"/>
        </w:rPr>
        <w:noBreakHyphen/>
        <w:t>nek pedig romlott az állapota.</w:t>
      </w:r>
    </w:p>
    <w:p w14:paraId="4A7C8429" w14:textId="77777777" w:rsidR="00E36D26" w:rsidRPr="00D93355" w:rsidRDefault="00E36D26">
      <w:pPr>
        <w:pStyle w:val="Default"/>
        <w:rPr>
          <w:sz w:val="22"/>
          <w:szCs w:val="22"/>
        </w:rPr>
      </w:pPr>
    </w:p>
    <w:p w14:paraId="25E6E52C" w14:textId="77777777" w:rsidR="00E36D26" w:rsidRPr="00D93355" w:rsidRDefault="00E36D26">
      <w:pPr>
        <w:pStyle w:val="Default"/>
        <w:rPr>
          <w:sz w:val="22"/>
          <w:szCs w:val="22"/>
        </w:rPr>
      </w:pPr>
      <w:r w:rsidRPr="00D93355">
        <w:rPr>
          <w:sz w:val="22"/>
          <w:szCs w:val="22"/>
        </w:rPr>
        <w:t xml:space="preserve">Az invazív hemodinamikai paramétereket csak az első vizsgálat értékelte. A </w:t>
      </w:r>
      <w:r w:rsidR="006264FB" w:rsidRPr="00D93355">
        <w:rPr>
          <w:sz w:val="22"/>
          <w:szCs w:val="22"/>
        </w:rPr>
        <w:t>bozentán</w:t>
      </w:r>
      <w:r w:rsidRPr="00D93355">
        <w:rPr>
          <w:sz w:val="22"/>
          <w:szCs w:val="22"/>
        </w:rPr>
        <w:noBreakHyphen/>
        <w:t>kezelés a cardialis index jelentős növekedéséhez vezetett a tüdőartéria</w:t>
      </w:r>
      <w:r w:rsidRPr="00D93355">
        <w:rPr>
          <w:sz w:val="22"/>
          <w:szCs w:val="22"/>
        </w:rPr>
        <w:noBreakHyphen/>
        <w:t>nyomás, a pulmonalis vascularis rezisztencia és az átlagos jobb pitvari nyomás lényeges csökkenése mellett.</w:t>
      </w:r>
    </w:p>
    <w:p w14:paraId="25F29F61" w14:textId="77777777" w:rsidR="00E36D26" w:rsidRPr="00D93355" w:rsidRDefault="00E36D26">
      <w:pPr>
        <w:pStyle w:val="Default"/>
        <w:rPr>
          <w:sz w:val="22"/>
          <w:szCs w:val="22"/>
        </w:rPr>
      </w:pPr>
    </w:p>
    <w:p w14:paraId="67D91045" w14:textId="77777777" w:rsidR="00E36D26" w:rsidRPr="00D93355" w:rsidRDefault="00E36D26">
      <w:pPr>
        <w:spacing w:line="240" w:lineRule="auto"/>
        <w:rPr>
          <w:lang w:val="hu-HU"/>
        </w:rPr>
      </w:pPr>
      <w:r w:rsidRPr="00D93355">
        <w:rPr>
          <w:lang w:val="hu-HU"/>
        </w:rPr>
        <w:t xml:space="preserve">A </w:t>
      </w:r>
      <w:r w:rsidR="006264FB" w:rsidRPr="00D93355">
        <w:rPr>
          <w:lang w:val="hu-HU"/>
        </w:rPr>
        <w:t>bozentán</w:t>
      </w:r>
      <w:r w:rsidRPr="00D93355">
        <w:rPr>
          <w:lang w:val="hu-HU"/>
        </w:rPr>
        <w:noBreakHyphen/>
        <w:t xml:space="preserve">kezelés során a </w:t>
      </w:r>
      <w:r w:rsidR="00293C78">
        <w:rPr>
          <w:lang w:val="hu-HU"/>
        </w:rPr>
        <w:t xml:space="preserve">PAH </w:t>
      </w:r>
      <w:r w:rsidRPr="00D93355">
        <w:rPr>
          <w:lang w:val="hu-HU"/>
        </w:rPr>
        <w:t xml:space="preserve">tüneteinek enyhülése volt megfigyelhető. A sétatesztek során mért nehézlégzés a </w:t>
      </w:r>
      <w:r w:rsidR="006264FB" w:rsidRPr="00D93355">
        <w:rPr>
          <w:lang w:val="hu-HU"/>
        </w:rPr>
        <w:t>bozentán</w:t>
      </w:r>
      <w:r w:rsidRPr="00D93355">
        <w:rPr>
          <w:lang w:val="hu-HU"/>
        </w:rPr>
        <w:noBreakHyphen/>
        <w:t>kezelésben részesült betegeknél javulást mutatott. Az AC</w:t>
      </w:r>
      <w:r w:rsidRPr="00D93355">
        <w:rPr>
          <w:lang w:val="hu-HU"/>
        </w:rPr>
        <w:noBreakHyphen/>
        <w:t>052</w:t>
      </w:r>
      <w:r w:rsidRPr="00D93355">
        <w:rPr>
          <w:lang w:val="hu-HU"/>
        </w:rPr>
        <w:noBreakHyphen/>
        <w:t>352 vizsgálatban részt vevő 213 beteg 92%</w:t>
      </w:r>
      <w:r w:rsidRPr="00D93355">
        <w:rPr>
          <w:lang w:val="hu-HU"/>
        </w:rPr>
        <w:noBreakHyphen/>
        <w:t>a kezdetben a WHO III., 8%</w:t>
      </w:r>
      <w:r w:rsidRPr="00D93355">
        <w:rPr>
          <w:lang w:val="hu-HU"/>
        </w:rPr>
        <w:noBreakHyphen/>
        <w:t xml:space="preserve">a pedig a IV. funkcionális stádiumába tartozott. A </w:t>
      </w:r>
      <w:r w:rsidR="006264FB" w:rsidRPr="00D93355">
        <w:rPr>
          <w:lang w:val="hu-HU"/>
        </w:rPr>
        <w:t>bozentán</w:t>
      </w:r>
      <w:r w:rsidRPr="00D93355">
        <w:rPr>
          <w:lang w:val="hu-HU"/>
        </w:rPr>
        <w:noBreakHyphen/>
        <w:t>kezelés a betegek 42,4%</w:t>
      </w:r>
      <w:r w:rsidRPr="00D93355">
        <w:rPr>
          <w:lang w:val="hu-HU"/>
        </w:rPr>
        <w:noBreakHyphen/>
        <w:t>ánál vezetett a WHO</w:t>
      </w:r>
      <w:r w:rsidRPr="00D93355">
        <w:rPr>
          <w:lang w:val="hu-HU"/>
        </w:rPr>
        <w:noBreakHyphen/>
        <w:t>besorolás szerinti funkcionális stádium javulásához (placebo esetén ez az érték 30,4%). A WHO</w:t>
      </w:r>
      <w:r w:rsidRPr="00D93355">
        <w:rPr>
          <w:lang w:val="hu-HU"/>
        </w:rPr>
        <w:noBreakHyphen/>
        <w:t xml:space="preserve">besorolás szerinti összjavulás mindkét vizsgálatban szignifikánsan jobb volt a </w:t>
      </w:r>
      <w:r w:rsidR="006264FB" w:rsidRPr="00D93355">
        <w:rPr>
          <w:lang w:val="hu-HU"/>
        </w:rPr>
        <w:t>bozentán</w:t>
      </w:r>
      <w:r w:rsidRPr="00D93355">
        <w:rPr>
          <w:lang w:val="hu-HU"/>
        </w:rPr>
        <w:noBreakHyphen/>
        <w:t xml:space="preserve">kezelésben részesült betegeknél, mint azoknál, akik placebót kaptak. A </w:t>
      </w:r>
      <w:r w:rsidR="006264FB" w:rsidRPr="00D93355">
        <w:rPr>
          <w:lang w:val="hu-HU"/>
        </w:rPr>
        <w:t>bozentán</w:t>
      </w:r>
      <w:r w:rsidRPr="00D93355">
        <w:rPr>
          <w:lang w:val="hu-HU"/>
        </w:rPr>
        <w:noBreakHyphen/>
        <w:t>kezelés a klinikai állapotromlás szignifikáns lassulását eredményezte a 28. héten (10,7%, szemben a placebo 37,1%</w:t>
      </w:r>
      <w:r w:rsidRPr="00D93355">
        <w:rPr>
          <w:lang w:val="hu-HU"/>
        </w:rPr>
        <w:noBreakHyphen/>
        <w:t>ával, p = 0,0015).</w:t>
      </w:r>
    </w:p>
    <w:p w14:paraId="0D522493" w14:textId="77777777" w:rsidR="00E36D26" w:rsidRPr="00D93355" w:rsidRDefault="00E36D26">
      <w:pPr>
        <w:spacing w:line="240" w:lineRule="auto"/>
        <w:rPr>
          <w:lang w:val="hu-HU"/>
        </w:rPr>
      </w:pPr>
    </w:p>
    <w:p w14:paraId="2351D865" w14:textId="77777777" w:rsidR="00E36D26" w:rsidRPr="00D93355" w:rsidRDefault="00E36D26">
      <w:pPr>
        <w:spacing w:line="240" w:lineRule="auto"/>
        <w:rPr>
          <w:lang w:val="hu-HU"/>
        </w:rPr>
      </w:pPr>
      <w:r w:rsidRPr="00D93355">
        <w:rPr>
          <w:lang w:val="hu-HU"/>
        </w:rPr>
        <w:t>Egy randomizált, kettős</w:t>
      </w:r>
      <w:r w:rsidR="004E0A22">
        <w:rPr>
          <w:lang w:val="hu-HU"/>
        </w:rPr>
        <w:t xml:space="preserve"> </w:t>
      </w:r>
      <w:r w:rsidRPr="00D93355">
        <w:rPr>
          <w:lang w:val="hu-HU"/>
        </w:rPr>
        <w:t>vak, multicentrikus, placebokontrollos vizsgálat (AC-052-364 [EARLY] során 185, PAH</w:t>
      </w:r>
      <w:r w:rsidRPr="00D93355">
        <w:rPr>
          <w:lang w:val="hu-HU"/>
        </w:rPr>
        <w:noBreakHyphen/>
        <w:t>ban szenvedő, a WHO szerinti II. funkcionális stádiumban (kezdeti átlagos 6 perces sétatávolsága 435 m) lévő beteg részesült naponta 2</w:t>
      </w:r>
      <w:r w:rsidRPr="00D93355">
        <w:rPr>
          <w:lang w:val="hu-HU"/>
        </w:rPr>
        <w:noBreakHyphen/>
        <w:t xml:space="preserve">szer 62,5 mg </w:t>
      </w:r>
      <w:r w:rsidR="006264FB" w:rsidRPr="00D93355">
        <w:rPr>
          <w:lang w:val="hu-HU"/>
        </w:rPr>
        <w:t>bozentán</w:t>
      </w:r>
      <w:r w:rsidRPr="00D93355">
        <w:rPr>
          <w:lang w:val="hu-HU"/>
        </w:rPr>
        <w:noBreakHyphen/>
        <w:t xml:space="preserve">kezelésben 4 héten keresztül, amit 6 hónapon át tartó, naponta kétszer 125 mg </w:t>
      </w:r>
      <w:r w:rsidR="006264FB" w:rsidRPr="00D93355">
        <w:rPr>
          <w:lang w:val="hu-HU"/>
        </w:rPr>
        <w:t>bozentán</w:t>
      </w:r>
      <w:r w:rsidRPr="00D93355">
        <w:rPr>
          <w:lang w:val="hu-HU"/>
        </w:rPr>
        <w:noBreakHyphen/>
        <w:t xml:space="preserve"> (n= 93) vagy placebo</w:t>
      </w:r>
      <w:r w:rsidRPr="00D93355">
        <w:rPr>
          <w:lang w:val="hu-HU"/>
        </w:rPr>
        <w:noBreakHyphen/>
        <w:t>kezelés (n= 92) követett. A vizsgálatba bevont betegek vagy még soha nem kaptak PAH-kezelést (n= 156), vagy állandó dózisú szildenafil</w:t>
      </w:r>
      <w:r w:rsidRPr="00D93355">
        <w:rPr>
          <w:lang w:val="hu-HU"/>
        </w:rPr>
        <w:noBreakHyphen/>
        <w:t>kezelést kaptak (n= 29). Az elsődleges összetett végpont a pulmonalis vascularis rezisztencia (PVR) kiindulási értékhez viszonyított százalékos változása, valamint a 6. hónapban mért 6 perces séta távolságának a kiindulási értékhez viszonyított változása volt, a placebo</w:t>
      </w:r>
      <w:r w:rsidRPr="00D93355">
        <w:rPr>
          <w:lang w:val="hu-HU"/>
        </w:rPr>
        <w:noBreakHyphen/>
        <w:t>kezeléssel összehasonlítva. Az alábbi táblázat az előre meghatározott protokoll analízis adatait tartalmazza.</w:t>
      </w:r>
    </w:p>
    <w:p w14:paraId="15E76EFD" w14:textId="77777777" w:rsidR="00E36D26" w:rsidRPr="00D93355" w:rsidRDefault="00E36D26">
      <w:pPr>
        <w:spacing w:line="240" w:lineRule="auto"/>
        <w:rPr>
          <w:lang w:val="hu-HU"/>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1614"/>
        <w:gridCol w:w="1759"/>
        <w:gridCol w:w="1838"/>
        <w:gridCol w:w="1842"/>
      </w:tblGrid>
      <w:tr w:rsidR="00E36D26" w:rsidRPr="00D93355" w14:paraId="4CAEE86C" w14:textId="77777777" w:rsidTr="00BA32ED">
        <w:tc>
          <w:tcPr>
            <w:tcW w:w="2019" w:type="dxa"/>
          </w:tcPr>
          <w:p w14:paraId="6A99A0A5" w14:textId="77777777" w:rsidR="00E36D26" w:rsidRPr="00D93355" w:rsidRDefault="00E36D26">
            <w:pPr>
              <w:spacing w:line="240" w:lineRule="auto"/>
              <w:rPr>
                <w:lang w:val="hu-HU"/>
              </w:rPr>
            </w:pPr>
          </w:p>
        </w:tc>
        <w:tc>
          <w:tcPr>
            <w:tcW w:w="3373" w:type="dxa"/>
            <w:gridSpan w:val="2"/>
          </w:tcPr>
          <w:p w14:paraId="22B4D7C0" w14:textId="77777777" w:rsidR="00E36D26" w:rsidRPr="00D93355" w:rsidRDefault="00E36D26">
            <w:pPr>
              <w:spacing w:line="240" w:lineRule="auto"/>
              <w:jc w:val="center"/>
              <w:rPr>
                <w:lang w:val="hu-HU"/>
              </w:rPr>
            </w:pPr>
            <w:r w:rsidRPr="00D93355">
              <w:rPr>
                <w:b/>
                <w:bCs/>
                <w:lang w:val="hu-HU"/>
              </w:rPr>
              <w:t>PVR (dyn.sec/cm</w:t>
            </w:r>
            <w:r w:rsidRPr="00D93355">
              <w:rPr>
                <w:b/>
                <w:bCs/>
                <w:vertAlign w:val="superscript"/>
                <w:lang w:val="hu-HU"/>
              </w:rPr>
              <w:t>5</w:t>
            </w:r>
            <w:r w:rsidRPr="00D93355">
              <w:rPr>
                <w:b/>
                <w:bCs/>
                <w:lang w:val="hu-HU"/>
              </w:rPr>
              <w:t>)</w:t>
            </w:r>
          </w:p>
        </w:tc>
        <w:tc>
          <w:tcPr>
            <w:tcW w:w="3680" w:type="dxa"/>
            <w:gridSpan w:val="2"/>
          </w:tcPr>
          <w:p w14:paraId="0EC59341" w14:textId="77777777" w:rsidR="00E36D26" w:rsidRPr="00D93355" w:rsidRDefault="00E36D26">
            <w:pPr>
              <w:spacing w:line="240" w:lineRule="auto"/>
              <w:jc w:val="center"/>
              <w:rPr>
                <w:lang w:val="hu-HU"/>
              </w:rPr>
            </w:pPr>
            <w:r w:rsidRPr="00D93355">
              <w:rPr>
                <w:b/>
                <w:bCs/>
                <w:lang w:val="hu-HU"/>
              </w:rPr>
              <w:t>6 perces séta távolsága (m)</w:t>
            </w:r>
          </w:p>
        </w:tc>
      </w:tr>
      <w:tr w:rsidR="00E36D26" w:rsidRPr="00D93355" w14:paraId="2369842F" w14:textId="77777777" w:rsidTr="00BA32ED">
        <w:tc>
          <w:tcPr>
            <w:tcW w:w="2019" w:type="dxa"/>
          </w:tcPr>
          <w:p w14:paraId="6D175FD5" w14:textId="77777777" w:rsidR="00E36D26" w:rsidRPr="00D93355" w:rsidRDefault="00E36D26" w:rsidP="00FF7BEF">
            <w:pPr>
              <w:spacing w:line="240" w:lineRule="auto"/>
              <w:rPr>
                <w:lang w:val="hu-HU"/>
              </w:rPr>
            </w:pPr>
          </w:p>
        </w:tc>
        <w:tc>
          <w:tcPr>
            <w:tcW w:w="1614" w:type="dxa"/>
          </w:tcPr>
          <w:p w14:paraId="34C45E19" w14:textId="77777777" w:rsidR="00E36D26" w:rsidRPr="00D93355" w:rsidRDefault="00E36D26" w:rsidP="00F67D81">
            <w:pPr>
              <w:spacing w:line="240" w:lineRule="auto"/>
              <w:jc w:val="center"/>
              <w:rPr>
                <w:lang w:val="hu-HU"/>
              </w:rPr>
            </w:pPr>
            <w:r w:rsidRPr="00D93355">
              <w:rPr>
                <w:lang w:val="hu-HU"/>
              </w:rPr>
              <w:t>Placebo (n</w:t>
            </w:r>
            <w:r w:rsidR="00B0074D">
              <w:rPr>
                <w:lang w:val="hu-HU"/>
              </w:rPr>
              <w:t> </w:t>
            </w:r>
            <w:r w:rsidRPr="00D93355">
              <w:rPr>
                <w:lang w:val="hu-HU"/>
              </w:rPr>
              <w:t>= 88)</w:t>
            </w:r>
          </w:p>
        </w:tc>
        <w:tc>
          <w:tcPr>
            <w:tcW w:w="1759" w:type="dxa"/>
          </w:tcPr>
          <w:p w14:paraId="6C5AB853" w14:textId="77777777" w:rsidR="00E36D26" w:rsidRPr="00D93355" w:rsidRDefault="006264FB" w:rsidP="007E35DF">
            <w:pPr>
              <w:spacing w:line="240" w:lineRule="auto"/>
              <w:jc w:val="center"/>
              <w:rPr>
                <w:lang w:val="hu-HU"/>
              </w:rPr>
            </w:pPr>
            <w:r w:rsidRPr="00D93355">
              <w:rPr>
                <w:lang w:val="hu-HU"/>
              </w:rPr>
              <w:t>bozentán</w:t>
            </w:r>
            <w:r w:rsidR="00E36D26" w:rsidRPr="00D93355">
              <w:rPr>
                <w:lang w:val="hu-HU"/>
              </w:rPr>
              <w:t xml:space="preserve"> (n</w:t>
            </w:r>
            <w:r w:rsidR="00B0074D">
              <w:rPr>
                <w:lang w:val="hu-HU"/>
              </w:rPr>
              <w:t> </w:t>
            </w:r>
            <w:r w:rsidR="00E36D26" w:rsidRPr="00D93355">
              <w:rPr>
                <w:lang w:val="hu-HU"/>
              </w:rPr>
              <w:t>= 80)</w:t>
            </w:r>
          </w:p>
        </w:tc>
        <w:tc>
          <w:tcPr>
            <w:tcW w:w="1838" w:type="dxa"/>
          </w:tcPr>
          <w:p w14:paraId="6F5E40C9" w14:textId="77777777" w:rsidR="00E36D26" w:rsidRPr="00D93355" w:rsidRDefault="00E36D26" w:rsidP="00D12E6D">
            <w:pPr>
              <w:spacing w:line="240" w:lineRule="auto"/>
              <w:jc w:val="center"/>
              <w:rPr>
                <w:lang w:val="hu-HU"/>
              </w:rPr>
            </w:pPr>
            <w:r w:rsidRPr="00D93355">
              <w:rPr>
                <w:lang w:val="hu-HU"/>
              </w:rPr>
              <w:t>Placebo (n</w:t>
            </w:r>
            <w:r w:rsidR="00B0074D">
              <w:rPr>
                <w:lang w:val="hu-HU"/>
              </w:rPr>
              <w:t> </w:t>
            </w:r>
            <w:r w:rsidRPr="00D93355">
              <w:rPr>
                <w:lang w:val="hu-HU"/>
              </w:rPr>
              <w:t>= 91)</w:t>
            </w:r>
          </w:p>
        </w:tc>
        <w:tc>
          <w:tcPr>
            <w:tcW w:w="1842" w:type="dxa"/>
          </w:tcPr>
          <w:p w14:paraId="0DE849F2" w14:textId="77777777" w:rsidR="00E36D26" w:rsidRPr="00D93355" w:rsidRDefault="006264FB">
            <w:pPr>
              <w:spacing w:line="240" w:lineRule="auto"/>
              <w:jc w:val="center"/>
              <w:rPr>
                <w:lang w:val="hu-HU"/>
              </w:rPr>
            </w:pPr>
            <w:r w:rsidRPr="00D93355">
              <w:rPr>
                <w:lang w:val="hu-HU"/>
              </w:rPr>
              <w:t>bozentán</w:t>
            </w:r>
            <w:r w:rsidR="00E36D26" w:rsidRPr="00D93355">
              <w:rPr>
                <w:lang w:val="hu-HU"/>
              </w:rPr>
              <w:t xml:space="preserve"> (n</w:t>
            </w:r>
            <w:r w:rsidR="00B0074D">
              <w:rPr>
                <w:lang w:val="hu-HU"/>
              </w:rPr>
              <w:t> </w:t>
            </w:r>
            <w:r w:rsidR="00E36D26" w:rsidRPr="00D93355">
              <w:rPr>
                <w:lang w:val="hu-HU"/>
              </w:rPr>
              <w:t>= 86)</w:t>
            </w:r>
          </w:p>
        </w:tc>
      </w:tr>
      <w:tr w:rsidR="00E36D26" w:rsidRPr="00D93355" w14:paraId="26965DF3" w14:textId="77777777" w:rsidTr="00BA32ED">
        <w:tblPrEx>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271"/>
        </w:trPr>
        <w:tc>
          <w:tcPr>
            <w:tcW w:w="2019" w:type="dxa"/>
            <w:tcBorders>
              <w:top w:val="single" w:sz="4" w:space="0" w:color="auto"/>
              <w:left w:val="single" w:sz="4" w:space="0" w:color="auto"/>
              <w:bottom w:val="single" w:sz="4" w:space="0" w:color="auto"/>
              <w:right w:val="single" w:sz="4" w:space="0" w:color="auto"/>
            </w:tcBorders>
          </w:tcPr>
          <w:p w14:paraId="2200CC8D" w14:textId="77777777" w:rsidR="00E36D26" w:rsidRPr="00D93355" w:rsidRDefault="00E36D26" w:rsidP="00FF7BEF">
            <w:pPr>
              <w:pStyle w:val="Default"/>
              <w:rPr>
                <w:sz w:val="22"/>
                <w:szCs w:val="22"/>
              </w:rPr>
            </w:pPr>
            <w:r w:rsidRPr="00D93355">
              <w:rPr>
                <w:sz w:val="22"/>
                <w:szCs w:val="22"/>
              </w:rPr>
              <w:t xml:space="preserve">Kiindulási érték, átlag (SD) </w:t>
            </w:r>
          </w:p>
        </w:tc>
        <w:tc>
          <w:tcPr>
            <w:tcW w:w="1614" w:type="dxa"/>
            <w:tcBorders>
              <w:top w:val="single" w:sz="4" w:space="0" w:color="auto"/>
              <w:left w:val="single" w:sz="4" w:space="0" w:color="auto"/>
              <w:bottom w:val="single" w:sz="4" w:space="0" w:color="auto"/>
              <w:right w:val="single" w:sz="4" w:space="0" w:color="auto"/>
            </w:tcBorders>
          </w:tcPr>
          <w:p w14:paraId="13B41005" w14:textId="77777777" w:rsidR="00E36D26" w:rsidRPr="00D93355" w:rsidRDefault="00E36D26" w:rsidP="00F67D81">
            <w:pPr>
              <w:pStyle w:val="Default"/>
              <w:jc w:val="center"/>
              <w:rPr>
                <w:sz w:val="22"/>
                <w:szCs w:val="22"/>
              </w:rPr>
            </w:pPr>
            <w:r w:rsidRPr="00D93355">
              <w:rPr>
                <w:sz w:val="22"/>
                <w:szCs w:val="22"/>
              </w:rPr>
              <w:t>802 (365)</w:t>
            </w:r>
          </w:p>
        </w:tc>
        <w:tc>
          <w:tcPr>
            <w:tcW w:w="1759" w:type="dxa"/>
            <w:tcBorders>
              <w:top w:val="single" w:sz="4" w:space="0" w:color="auto"/>
              <w:left w:val="single" w:sz="4" w:space="0" w:color="auto"/>
              <w:bottom w:val="single" w:sz="4" w:space="0" w:color="auto"/>
              <w:right w:val="single" w:sz="4" w:space="0" w:color="auto"/>
            </w:tcBorders>
          </w:tcPr>
          <w:p w14:paraId="7DD75EA3" w14:textId="77777777" w:rsidR="00E36D26" w:rsidRPr="00D93355" w:rsidRDefault="00E36D26" w:rsidP="007E35DF">
            <w:pPr>
              <w:pStyle w:val="Default"/>
              <w:jc w:val="center"/>
              <w:rPr>
                <w:sz w:val="22"/>
                <w:szCs w:val="22"/>
              </w:rPr>
            </w:pPr>
            <w:r w:rsidRPr="00D93355">
              <w:rPr>
                <w:sz w:val="22"/>
                <w:szCs w:val="22"/>
              </w:rPr>
              <w:t>851 (535)</w:t>
            </w:r>
          </w:p>
        </w:tc>
        <w:tc>
          <w:tcPr>
            <w:tcW w:w="1838" w:type="dxa"/>
            <w:tcBorders>
              <w:top w:val="single" w:sz="4" w:space="0" w:color="auto"/>
              <w:left w:val="single" w:sz="4" w:space="0" w:color="auto"/>
              <w:bottom w:val="single" w:sz="4" w:space="0" w:color="auto"/>
              <w:right w:val="single" w:sz="4" w:space="0" w:color="auto"/>
            </w:tcBorders>
          </w:tcPr>
          <w:p w14:paraId="4A5696B7" w14:textId="77777777" w:rsidR="00E36D26" w:rsidRPr="00D93355" w:rsidRDefault="00E36D26" w:rsidP="00D12E6D">
            <w:pPr>
              <w:pStyle w:val="Default"/>
              <w:jc w:val="center"/>
              <w:rPr>
                <w:sz w:val="22"/>
                <w:szCs w:val="22"/>
              </w:rPr>
            </w:pPr>
            <w:r w:rsidRPr="00D93355">
              <w:rPr>
                <w:sz w:val="22"/>
                <w:szCs w:val="22"/>
              </w:rPr>
              <w:t>431 (92)</w:t>
            </w:r>
          </w:p>
        </w:tc>
        <w:tc>
          <w:tcPr>
            <w:tcW w:w="1842" w:type="dxa"/>
            <w:tcBorders>
              <w:top w:val="single" w:sz="4" w:space="0" w:color="auto"/>
              <w:left w:val="single" w:sz="4" w:space="0" w:color="auto"/>
              <w:bottom w:val="single" w:sz="4" w:space="0" w:color="auto"/>
              <w:right w:val="single" w:sz="4" w:space="0" w:color="auto"/>
            </w:tcBorders>
          </w:tcPr>
          <w:p w14:paraId="76E0BBED" w14:textId="77777777" w:rsidR="00E36D26" w:rsidRPr="00D93355" w:rsidRDefault="00E36D26">
            <w:pPr>
              <w:pStyle w:val="Default"/>
              <w:jc w:val="center"/>
              <w:rPr>
                <w:sz w:val="22"/>
                <w:szCs w:val="22"/>
              </w:rPr>
            </w:pPr>
            <w:r w:rsidRPr="00D93355">
              <w:rPr>
                <w:sz w:val="22"/>
                <w:szCs w:val="22"/>
              </w:rPr>
              <w:t>443 (83)</w:t>
            </w:r>
          </w:p>
        </w:tc>
      </w:tr>
      <w:tr w:rsidR="00E36D26" w:rsidRPr="00D93355" w14:paraId="70C85EB9" w14:textId="77777777" w:rsidTr="00BA32ED">
        <w:tblPrEx>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398"/>
        </w:trPr>
        <w:tc>
          <w:tcPr>
            <w:tcW w:w="2019" w:type="dxa"/>
            <w:tcBorders>
              <w:top w:val="single" w:sz="4" w:space="0" w:color="auto"/>
              <w:left w:val="single" w:sz="4" w:space="0" w:color="auto"/>
              <w:bottom w:val="single" w:sz="4" w:space="0" w:color="auto"/>
              <w:right w:val="single" w:sz="4" w:space="0" w:color="auto"/>
            </w:tcBorders>
          </w:tcPr>
          <w:p w14:paraId="719EE7A6" w14:textId="77777777" w:rsidR="00E36D26" w:rsidRPr="00D93355" w:rsidRDefault="00E36D26" w:rsidP="00FF7BEF">
            <w:pPr>
              <w:pStyle w:val="Default"/>
              <w:rPr>
                <w:sz w:val="22"/>
                <w:szCs w:val="22"/>
              </w:rPr>
            </w:pPr>
            <w:r w:rsidRPr="00D93355">
              <w:rPr>
                <w:sz w:val="22"/>
                <w:szCs w:val="22"/>
              </w:rPr>
              <w:t xml:space="preserve">Kiindulási értékhez viszonyított változás, átlag (SD) </w:t>
            </w:r>
          </w:p>
        </w:tc>
        <w:tc>
          <w:tcPr>
            <w:tcW w:w="1614" w:type="dxa"/>
            <w:tcBorders>
              <w:top w:val="single" w:sz="4" w:space="0" w:color="auto"/>
              <w:left w:val="single" w:sz="4" w:space="0" w:color="auto"/>
              <w:bottom w:val="single" w:sz="4" w:space="0" w:color="auto"/>
              <w:right w:val="single" w:sz="4" w:space="0" w:color="auto"/>
            </w:tcBorders>
          </w:tcPr>
          <w:p w14:paraId="7829CA3B" w14:textId="77777777" w:rsidR="00E36D26" w:rsidRPr="00D93355" w:rsidRDefault="00E36D26" w:rsidP="00F67D81">
            <w:pPr>
              <w:pStyle w:val="Default"/>
              <w:jc w:val="center"/>
              <w:rPr>
                <w:sz w:val="22"/>
                <w:szCs w:val="22"/>
              </w:rPr>
            </w:pPr>
            <w:r w:rsidRPr="00D93355">
              <w:rPr>
                <w:sz w:val="22"/>
                <w:szCs w:val="22"/>
              </w:rPr>
              <w:t>128 (465)</w:t>
            </w:r>
          </w:p>
        </w:tc>
        <w:tc>
          <w:tcPr>
            <w:tcW w:w="1759" w:type="dxa"/>
            <w:tcBorders>
              <w:top w:val="single" w:sz="4" w:space="0" w:color="auto"/>
              <w:left w:val="single" w:sz="4" w:space="0" w:color="auto"/>
              <w:bottom w:val="single" w:sz="4" w:space="0" w:color="auto"/>
              <w:right w:val="single" w:sz="4" w:space="0" w:color="auto"/>
            </w:tcBorders>
          </w:tcPr>
          <w:p w14:paraId="76402E3E" w14:textId="77777777" w:rsidR="00E36D26" w:rsidRPr="00D93355" w:rsidRDefault="00E36D26" w:rsidP="007E35DF">
            <w:pPr>
              <w:pStyle w:val="Default"/>
              <w:jc w:val="center"/>
              <w:rPr>
                <w:sz w:val="22"/>
                <w:szCs w:val="22"/>
              </w:rPr>
            </w:pPr>
            <w:r w:rsidRPr="00D93355">
              <w:rPr>
                <w:sz w:val="22"/>
                <w:szCs w:val="22"/>
              </w:rPr>
              <w:t>-69 (475)</w:t>
            </w:r>
          </w:p>
        </w:tc>
        <w:tc>
          <w:tcPr>
            <w:tcW w:w="1838" w:type="dxa"/>
            <w:tcBorders>
              <w:top w:val="single" w:sz="4" w:space="0" w:color="auto"/>
              <w:left w:val="single" w:sz="4" w:space="0" w:color="auto"/>
              <w:bottom w:val="single" w:sz="4" w:space="0" w:color="auto"/>
              <w:right w:val="single" w:sz="4" w:space="0" w:color="auto"/>
            </w:tcBorders>
          </w:tcPr>
          <w:p w14:paraId="173B079F" w14:textId="77777777" w:rsidR="00E36D26" w:rsidRPr="00D93355" w:rsidRDefault="00E36D26" w:rsidP="00D12E6D">
            <w:pPr>
              <w:pStyle w:val="Default"/>
              <w:jc w:val="center"/>
              <w:rPr>
                <w:sz w:val="22"/>
                <w:szCs w:val="22"/>
              </w:rPr>
            </w:pPr>
            <w:r w:rsidRPr="00D93355">
              <w:rPr>
                <w:sz w:val="22"/>
                <w:szCs w:val="22"/>
              </w:rPr>
              <w:t>-8 (79)</w:t>
            </w:r>
          </w:p>
        </w:tc>
        <w:tc>
          <w:tcPr>
            <w:tcW w:w="1842" w:type="dxa"/>
            <w:tcBorders>
              <w:top w:val="single" w:sz="4" w:space="0" w:color="auto"/>
              <w:left w:val="single" w:sz="4" w:space="0" w:color="auto"/>
              <w:bottom w:val="single" w:sz="4" w:space="0" w:color="auto"/>
              <w:right w:val="single" w:sz="4" w:space="0" w:color="auto"/>
            </w:tcBorders>
          </w:tcPr>
          <w:p w14:paraId="4EA0256B" w14:textId="77777777" w:rsidR="00E36D26" w:rsidRPr="00D93355" w:rsidRDefault="00E36D26">
            <w:pPr>
              <w:pStyle w:val="Default"/>
              <w:jc w:val="center"/>
              <w:rPr>
                <w:sz w:val="22"/>
                <w:szCs w:val="22"/>
              </w:rPr>
            </w:pPr>
            <w:r w:rsidRPr="00D93355">
              <w:rPr>
                <w:sz w:val="22"/>
                <w:szCs w:val="22"/>
              </w:rPr>
              <w:t>11 (74)</w:t>
            </w:r>
          </w:p>
        </w:tc>
      </w:tr>
      <w:tr w:rsidR="00E36D26" w:rsidRPr="00D93355" w14:paraId="6BF0F56A" w14:textId="77777777" w:rsidTr="00BA32ED">
        <w:tblPrEx>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45"/>
        </w:trPr>
        <w:tc>
          <w:tcPr>
            <w:tcW w:w="2019" w:type="dxa"/>
            <w:tcBorders>
              <w:top w:val="single" w:sz="4" w:space="0" w:color="auto"/>
              <w:left w:val="single" w:sz="4" w:space="0" w:color="auto"/>
              <w:bottom w:val="single" w:sz="4" w:space="0" w:color="auto"/>
              <w:right w:val="single" w:sz="4" w:space="0" w:color="auto"/>
            </w:tcBorders>
          </w:tcPr>
          <w:p w14:paraId="51E6CBC7" w14:textId="77777777" w:rsidR="00E36D26" w:rsidRPr="00D93355" w:rsidRDefault="00E36D26" w:rsidP="00FF7BEF">
            <w:pPr>
              <w:pStyle w:val="Default"/>
              <w:rPr>
                <w:sz w:val="22"/>
                <w:szCs w:val="22"/>
              </w:rPr>
            </w:pPr>
            <w:r w:rsidRPr="00D93355">
              <w:rPr>
                <w:sz w:val="22"/>
                <w:szCs w:val="22"/>
              </w:rPr>
              <w:t xml:space="preserve">Kezelés hatásossága </w:t>
            </w:r>
          </w:p>
        </w:tc>
        <w:tc>
          <w:tcPr>
            <w:tcW w:w="3373" w:type="dxa"/>
            <w:gridSpan w:val="2"/>
            <w:tcBorders>
              <w:top w:val="single" w:sz="4" w:space="0" w:color="auto"/>
              <w:left w:val="single" w:sz="4" w:space="0" w:color="auto"/>
              <w:bottom w:val="single" w:sz="4" w:space="0" w:color="auto"/>
              <w:right w:val="single" w:sz="4" w:space="0" w:color="auto"/>
            </w:tcBorders>
          </w:tcPr>
          <w:p w14:paraId="1E2472C7" w14:textId="77777777" w:rsidR="00E36D26" w:rsidRPr="00D93355" w:rsidRDefault="00E36D26" w:rsidP="00F67D81">
            <w:pPr>
              <w:pStyle w:val="Default"/>
              <w:jc w:val="center"/>
              <w:rPr>
                <w:sz w:val="22"/>
                <w:szCs w:val="22"/>
              </w:rPr>
            </w:pPr>
            <w:r w:rsidRPr="00D93355">
              <w:rPr>
                <w:sz w:val="22"/>
                <w:szCs w:val="22"/>
              </w:rPr>
              <w:t>-22,6%</w:t>
            </w:r>
          </w:p>
        </w:tc>
        <w:tc>
          <w:tcPr>
            <w:tcW w:w="3680" w:type="dxa"/>
            <w:gridSpan w:val="2"/>
            <w:tcBorders>
              <w:top w:val="single" w:sz="4" w:space="0" w:color="auto"/>
              <w:left w:val="single" w:sz="4" w:space="0" w:color="auto"/>
              <w:bottom w:val="single" w:sz="4" w:space="0" w:color="auto"/>
              <w:right w:val="single" w:sz="4" w:space="0" w:color="auto"/>
            </w:tcBorders>
          </w:tcPr>
          <w:p w14:paraId="7753FBD4" w14:textId="77777777" w:rsidR="00E36D26" w:rsidRPr="00D93355" w:rsidRDefault="00E36D26" w:rsidP="007E35DF">
            <w:pPr>
              <w:pStyle w:val="Default"/>
              <w:jc w:val="center"/>
              <w:rPr>
                <w:sz w:val="22"/>
                <w:szCs w:val="22"/>
              </w:rPr>
            </w:pPr>
            <w:r w:rsidRPr="00D93355">
              <w:rPr>
                <w:sz w:val="22"/>
                <w:szCs w:val="22"/>
              </w:rPr>
              <w:t>19</w:t>
            </w:r>
          </w:p>
        </w:tc>
      </w:tr>
      <w:tr w:rsidR="00E36D26" w:rsidRPr="00D93355" w14:paraId="70EE6869" w14:textId="77777777" w:rsidTr="00BA32ED">
        <w:tblPrEx>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45"/>
        </w:trPr>
        <w:tc>
          <w:tcPr>
            <w:tcW w:w="2019" w:type="dxa"/>
            <w:tcBorders>
              <w:top w:val="single" w:sz="4" w:space="0" w:color="auto"/>
              <w:left w:val="single" w:sz="4" w:space="0" w:color="auto"/>
              <w:bottom w:val="single" w:sz="4" w:space="0" w:color="auto"/>
              <w:right w:val="single" w:sz="4" w:space="0" w:color="auto"/>
            </w:tcBorders>
          </w:tcPr>
          <w:p w14:paraId="1603D806" w14:textId="77777777" w:rsidR="00E36D26" w:rsidRPr="00D93355" w:rsidRDefault="00E36D26" w:rsidP="00FF7BEF">
            <w:pPr>
              <w:pStyle w:val="Default"/>
              <w:rPr>
                <w:sz w:val="22"/>
                <w:szCs w:val="22"/>
              </w:rPr>
            </w:pPr>
            <w:r w:rsidRPr="00D93355">
              <w:rPr>
                <w:sz w:val="22"/>
                <w:szCs w:val="22"/>
              </w:rPr>
              <w:t>95%</w:t>
            </w:r>
            <w:r w:rsidRPr="00D93355">
              <w:rPr>
                <w:sz w:val="22"/>
                <w:szCs w:val="22"/>
              </w:rPr>
              <w:noBreakHyphen/>
              <w:t xml:space="preserve">os CL </w:t>
            </w:r>
          </w:p>
        </w:tc>
        <w:tc>
          <w:tcPr>
            <w:tcW w:w="3373" w:type="dxa"/>
            <w:gridSpan w:val="2"/>
            <w:tcBorders>
              <w:top w:val="single" w:sz="4" w:space="0" w:color="auto"/>
              <w:left w:val="single" w:sz="4" w:space="0" w:color="auto"/>
              <w:bottom w:val="single" w:sz="4" w:space="0" w:color="auto"/>
              <w:right w:val="single" w:sz="4" w:space="0" w:color="auto"/>
            </w:tcBorders>
          </w:tcPr>
          <w:p w14:paraId="2C83230A" w14:textId="77777777" w:rsidR="00E36D26" w:rsidRPr="00D93355" w:rsidRDefault="00E36D26" w:rsidP="00F67D81">
            <w:pPr>
              <w:pStyle w:val="Default"/>
              <w:jc w:val="center"/>
              <w:rPr>
                <w:sz w:val="22"/>
                <w:szCs w:val="22"/>
              </w:rPr>
            </w:pPr>
            <w:r w:rsidRPr="00D93355">
              <w:rPr>
                <w:sz w:val="22"/>
                <w:szCs w:val="22"/>
              </w:rPr>
              <w:t>-34, -10</w:t>
            </w:r>
          </w:p>
        </w:tc>
        <w:tc>
          <w:tcPr>
            <w:tcW w:w="3680" w:type="dxa"/>
            <w:gridSpan w:val="2"/>
            <w:tcBorders>
              <w:top w:val="single" w:sz="4" w:space="0" w:color="auto"/>
              <w:left w:val="single" w:sz="4" w:space="0" w:color="auto"/>
              <w:bottom w:val="single" w:sz="4" w:space="0" w:color="auto"/>
              <w:right w:val="single" w:sz="4" w:space="0" w:color="auto"/>
            </w:tcBorders>
          </w:tcPr>
          <w:p w14:paraId="3DE40DB3" w14:textId="77777777" w:rsidR="00E36D26" w:rsidRPr="00D93355" w:rsidRDefault="00E36D26" w:rsidP="007E35DF">
            <w:pPr>
              <w:pStyle w:val="Default"/>
              <w:jc w:val="center"/>
              <w:rPr>
                <w:sz w:val="22"/>
                <w:szCs w:val="22"/>
              </w:rPr>
            </w:pPr>
            <w:r w:rsidRPr="00D93355">
              <w:rPr>
                <w:sz w:val="22"/>
                <w:szCs w:val="22"/>
              </w:rPr>
              <w:t>-4, 42</w:t>
            </w:r>
          </w:p>
        </w:tc>
      </w:tr>
      <w:tr w:rsidR="00E36D26" w:rsidRPr="00D93355" w14:paraId="1A0E65A3" w14:textId="77777777" w:rsidTr="00BA32ED">
        <w:tblPrEx>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45"/>
        </w:trPr>
        <w:tc>
          <w:tcPr>
            <w:tcW w:w="2019" w:type="dxa"/>
            <w:tcBorders>
              <w:top w:val="single" w:sz="4" w:space="0" w:color="auto"/>
              <w:left w:val="single" w:sz="4" w:space="0" w:color="auto"/>
              <w:bottom w:val="single" w:sz="4" w:space="0" w:color="auto"/>
              <w:right w:val="single" w:sz="4" w:space="0" w:color="auto"/>
            </w:tcBorders>
          </w:tcPr>
          <w:p w14:paraId="052882ED" w14:textId="77777777" w:rsidR="00E36D26" w:rsidRPr="00D93355" w:rsidRDefault="00E36D26" w:rsidP="00FF7BEF">
            <w:pPr>
              <w:pStyle w:val="Default"/>
              <w:rPr>
                <w:sz w:val="22"/>
                <w:szCs w:val="22"/>
              </w:rPr>
            </w:pPr>
            <w:r w:rsidRPr="00D93355">
              <w:rPr>
                <w:sz w:val="22"/>
                <w:szCs w:val="22"/>
              </w:rPr>
              <w:t>p</w:t>
            </w:r>
            <w:r w:rsidRPr="00D93355">
              <w:rPr>
                <w:sz w:val="22"/>
                <w:szCs w:val="22"/>
              </w:rPr>
              <w:noBreakHyphen/>
              <w:t xml:space="preserve">érték </w:t>
            </w:r>
          </w:p>
        </w:tc>
        <w:tc>
          <w:tcPr>
            <w:tcW w:w="3373" w:type="dxa"/>
            <w:gridSpan w:val="2"/>
            <w:tcBorders>
              <w:top w:val="single" w:sz="4" w:space="0" w:color="auto"/>
              <w:left w:val="single" w:sz="4" w:space="0" w:color="auto"/>
              <w:bottom w:val="single" w:sz="4" w:space="0" w:color="auto"/>
              <w:right w:val="single" w:sz="4" w:space="0" w:color="auto"/>
            </w:tcBorders>
          </w:tcPr>
          <w:p w14:paraId="7E337E75" w14:textId="77777777" w:rsidR="00E36D26" w:rsidRPr="00D93355" w:rsidRDefault="00E36D26" w:rsidP="00F67D81">
            <w:pPr>
              <w:pStyle w:val="Default"/>
              <w:jc w:val="center"/>
              <w:rPr>
                <w:sz w:val="22"/>
                <w:szCs w:val="22"/>
              </w:rPr>
            </w:pPr>
            <w:r w:rsidRPr="00D93355">
              <w:rPr>
                <w:sz w:val="22"/>
                <w:szCs w:val="22"/>
              </w:rPr>
              <w:t>&lt; 0,0001</w:t>
            </w:r>
          </w:p>
        </w:tc>
        <w:tc>
          <w:tcPr>
            <w:tcW w:w="3680" w:type="dxa"/>
            <w:gridSpan w:val="2"/>
            <w:tcBorders>
              <w:top w:val="single" w:sz="4" w:space="0" w:color="auto"/>
              <w:left w:val="single" w:sz="4" w:space="0" w:color="auto"/>
              <w:bottom w:val="single" w:sz="4" w:space="0" w:color="auto"/>
              <w:right w:val="single" w:sz="4" w:space="0" w:color="auto"/>
            </w:tcBorders>
          </w:tcPr>
          <w:p w14:paraId="18874FD5" w14:textId="77777777" w:rsidR="00E36D26" w:rsidRPr="00D93355" w:rsidRDefault="00E36D26" w:rsidP="007E35DF">
            <w:pPr>
              <w:pStyle w:val="Default"/>
              <w:jc w:val="center"/>
              <w:rPr>
                <w:sz w:val="22"/>
                <w:szCs w:val="22"/>
              </w:rPr>
            </w:pPr>
            <w:r w:rsidRPr="00D93355">
              <w:rPr>
                <w:sz w:val="22"/>
                <w:szCs w:val="22"/>
              </w:rPr>
              <w:t>0,0758</w:t>
            </w:r>
          </w:p>
        </w:tc>
      </w:tr>
    </w:tbl>
    <w:p w14:paraId="355DEE17" w14:textId="77777777" w:rsidR="00E36D26" w:rsidRPr="00D93355" w:rsidRDefault="00B46BA6" w:rsidP="00FF7BEF">
      <w:pPr>
        <w:spacing w:line="240" w:lineRule="auto"/>
        <w:rPr>
          <w:lang w:val="hu-HU"/>
        </w:rPr>
      </w:pPr>
      <w:r>
        <w:t>CL = konfidencia limit;</w:t>
      </w:r>
      <w:r w:rsidR="00D10B4D">
        <w:t xml:space="preserve"> </w:t>
      </w:r>
      <w:r w:rsidR="00E36D26" w:rsidRPr="00D93355">
        <w:rPr>
          <w:lang w:val="hu-HU"/>
        </w:rPr>
        <w:t>PVR = pulmonalis vascularis rezisztencia</w:t>
      </w:r>
      <w:r w:rsidR="00A17B1C">
        <w:rPr>
          <w:lang w:val="hu-HU"/>
        </w:rPr>
        <w:t xml:space="preserve">; </w:t>
      </w:r>
      <w:r w:rsidR="00A17B1C">
        <w:t>SD = standard deviáció</w:t>
      </w:r>
    </w:p>
    <w:p w14:paraId="6F83B3F5" w14:textId="77777777" w:rsidR="00E36D26" w:rsidRPr="00D93355" w:rsidRDefault="00E36D26" w:rsidP="00F67D81">
      <w:pPr>
        <w:spacing w:line="240" w:lineRule="auto"/>
        <w:rPr>
          <w:lang w:val="hu-HU"/>
        </w:rPr>
      </w:pPr>
    </w:p>
    <w:p w14:paraId="2A9BA269" w14:textId="77777777" w:rsidR="00E36D26" w:rsidRPr="00D93355" w:rsidRDefault="00E36D26" w:rsidP="007E35DF">
      <w:pPr>
        <w:pStyle w:val="Default"/>
        <w:rPr>
          <w:sz w:val="22"/>
          <w:szCs w:val="22"/>
        </w:rPr>
      </w:pPr>
      <w:r w:rsidRPr="00D93355">
        <w:rPr>
          <w:sz w:val="22"/>
          <w:szCs w:val="22"/>
        </w:rPr>
        <w:t xml:space="preserve">A placebokezeléshez képest a </w:t>
      </w:r>
      <w:r w:rsidR="006264FB" w:rsidRPr="00D93355">
        <w:rPr>
          <w:sz w:val="22"/>
          <w:szCs w:val="22"/>
        </w:rPr>
        <w:t>bozentán</w:t>
      </w:r>
      <w:r w:rsidRPr="00D93355">
        <w:rPr>
          <w:sz w:val="22"/>
          <w:szCs w:val="22"/>
        </w:rPr>
        <w:noBreakHyphen/>
        <w:t>terápia a klinikai rosszabbodás ütemének csökkenését eredményezte, amit a tüneti súlyosbodás, a PAH miatti hospitalizáció és a halálozás együttesen határozott meg (arányos kockázatcsökkenés 77%, 95%</w:t>
      </w:r>
      <w:r w:rsidRPr="00D93355">
        <w:rPr>
          <w:sz w:val="22"/>
          <w:szCs w:val="22"/>
        </w:rPr>
        <w:noBreakHyphen/>
        <w:t xml:space="preserve">os </w:t>
      </w:r>
      <w:r w:rsidR="00585867">
        <w:rPr>
          <w:sz w:val="22"/>
          <w:szCs w:val="22"/>
        </w:rPr>
        <w:t>konfidencia intervallum [</w:t>
      </w:r>
      <w:r w:rsidRPr="00D93355">
        <w:rPr>
          <w:sz w:val="22"/>
          <w:szCs w:val="22"/>
        </w:rPr>
        <w:t>CI</w:t>
      </w:r>
      <w:r w:rsidR="00585867">
        <w:rPr>
          <w:sz w:val="22"/>
          <w:szCs w:val="22"/>
        </w:rPr>
        <w:t>]</w:t>
      </w:r>
      <w:r w:rsidRPr="00D93355">
        <w:rPr>
          <w:sz w:val="22"/>
          <w:szCs w:val="22"/>
        </w:rPr>
        <w:t>: 20</w:t>
      </w:r>
      <w:r w:rsidRPr="00D93355">
        <w:rPr>
          <w:sz w:val="22"/>
          <w:szCs w:val="22"/>
        </w:rPr>
        <w:noBreakHyphen/>
        <w:t xml:space="preserve">94%, p= 0,0114). A kezelés hatásosságát a tüneti súlyosbodás komponensben bekövetkező javulás határozta </w:t>
      </w:r>
      <w:r w:rsidRPr="00D93355">
        <w:rPr>
          <w:sz w:val="22"/>
          <w:szCs w:val="22"/>
        </w:rPr>
        <w:lastRenderedPageBreak/>
        <w:t xml:space="preserve">meg. A </w:t>
      </w:r>
      <w:r w:rsidR="006264FB" w:rsidRPr="00D93355">
        <w:rPr>
          <w:sz w:val="22"/>
          <w:szCs w:val="22"/>
        </w:rPr>
        <w:t>bozentán</w:t>
      </w:r>
      <w:r w:rsidRPr="00D93355">
        <w:rPr>
          <w:sz w:val="22"/>
          <w:szCs w:val="22"/>
        </w:rPr>
        <w:noBreakHyphen/>
        <w:t>csoportban a PAH súlyosbodása miatt egy hospitalizáció vált szükségessé, míg a placebocsoportban három. A 6 hónapos, kettős</w:t>
      </w:r>
      <w:r w:rsidR="004E0A22">
        <w:rPr>
          <w:sz w:val="22"/>
          <w:szCs w:val="22"/>
        </w:rPr>
        <w:t xml:space="preserve"> </w:t>
      </w:r>
      <w:r w:rsidRPr="00D93355">
        <w:rPr>
          <w:sz w:val="22"/>
          <w:szCs w:val="22"/>
        </w:rPr>
        <w:t>vak vizsgálati időszakban kezelési csoportonként csupán egy haláleset következett be, ezért nem lehet a túlélésre vonatkozó következtetéseket levonni.</w:t>
      </w:r>
    </w:p>
    <w:p w14:paraId="2FB258E8" w14:textId="77777777" w:rsidR="00E36D26" w:rsidRPr="00D93355" w:rsidRDefault="00E36D26">
      <w:pPr>
        <w:spacing w:line="240" w:lineRule="auto"/>
        <w:rPr>
          <w:lang w:val="hu-HU"/>
        </w:rPr>
      </w:pPr>
    </w:p>
    <w:p w14:paraId="6809900D" w14:textId="77777777" w:rsidR="00E36D26" w:rsidRPr="00D93355" w:rsidRDefault="00E36D26">
      <w:pPr>
        <w:spacing w:line="240" w:lineRule="auto"/>
        <w:rPr>
          <w:lang w:val="hu-HU"/>
        </w:rPr>
      </w:pPr>
      <w:r w:rsidRPr="00D93355">
        <w:rPr>
          <w:lang w:val="hu-HU"/>
        </w:rPr>
        <w:t xml:space="preserve">Hosszú távú adatokat gyűjtöttek attól a 173 betegtől, akik a kontrollos fázisban </w:t>
      </w:r>
      <w:r w:rsidR="006264FB" w:rsidRPr="00D93355">
        <w:rPr>
          <w:lang w:val="hu-HU"/>
        </w:rPr>
        <w:t>bozentán</w:t>
      </w:r>
      <w:r w:rsidRPr="00D93355">
        <w:rPr>
          <w:lang w:val="hu-HU"/>
        </w:rPr>
        <w:noBreakHyphen/>
        <w:t xml:space="preserve">terápiában részesültek és/vagy akiket placebóról </w:t>
      </w:r>
      <w:r w:rsidR="006264FB" w:rsidRPr="00D93355">
        <w:rPr>
          <w:lang w:val="hu-HU"/>
        </w:rPr>
        <w:t>bozentán</w:t>
      </w:r>
      <w:r w:rsidRPr="00D93355">
        <w:rPr>
          <w:lang w:val="hu-HU"/>
        </w:rPr>
        <w:t xml:space="preserve">ra állítottak át az EARLY vizsgálat nyílt, kiterjesztéses fázisában. A </w:t>
      </w:r>
      <w:r w:rsidR="006264FB" w:rsidRPr="00D93355">
        <w:rPr>
          <w:lang w:val="hu-HU"/>
        </w:rPr>
        <w:t>bozentán</w:t>
      </w:r>
      <w:r w:rsidRPr="00D93355">
        <w:rPr>
          <w:lang w:val="hu-HU"/>
        </w:rPr>
        <w:noBreakHyphen/>
        <w:t>expozíció átlagos időtartama 3,6±1,8 év volt (legfeljebb 6,1 év), ahol a betegek 73%</w:t>
      </w:r>
      <w:r w:rsidRPr="00D93355">
        <w:rPr>
          <w:lang w:val="hu-HU"/>
        </w:rPr>
        <w:noBreakHyphen/>
        <w:t>át legalább 3 évig, 62%</w:t>
      </w:r>
      <w:r w:rsidRPr="00D93355">
        <w:rPr>
          <w:lang w:val="hu-HU"/>
        </w:rPr>
        <w:noBreakHyphen/>
        <w:t>át pedig legalább 4 évig kezelték. A betegek további PAH</w:t>
      </w:r>
      <w:r w:rsidRPr="00D93355">
        <w:rPr>
          <w:lang w:val="hu-HU"/>
        </w:rPr>
        <w:noBreakHyphen/>
        <w:t xml:space="preserve">kezelésben részesülhettek, ha az a nyílt kiterjesztett vizsgálat során szükséges volt. A betegek többségénél idiopathiás vagy örökletes </w:t>
      </w:r>
      <w:r w:rsidR="00A80A00">
        <w:rPr>
          <w:lang w:val="hu-HU"/>
        </w:rPr>
        <w:t>PAH-</w:t>
      </w:r>
      <w:r w:rsidRPr="00D93355">
        <w:rPr>
          <w:lang w:val="hu-HU"/>
        </w:rPr>
        <w:t>t diagnosztizáltak (61%). Összességében a betegek 78%</w:t>
      </w:r>
      <w:r w:rsidRPr="00D93355">
        <w:rPr>
          <w:lang w:val="hu-HU"/>
        </w:rPr>
        <w:noBreakHyphen/>
        <w:t>a maradt a WHO II</w:t>
      </w:r>
      <w:r w:rsidRPr="00D93355">
        <w:rPr>
          <w:lang w:val="hu-HU"/>
        </w:rPr>
        <w:noBreakHyphen/>
        <w:t>es funkcionális stádiumban. A Kaplan</w:t>
      </w:r>
      <w:r w:rsidRPr="00D93355">
        <w:rPr>
          <w:lang w:val="hu-HU"/>
        </w:rPr>
        <w:noBreakHyphen/>
        <w:t>Meier túlélési arány a kezelés kezdetétől számított 3. és 4. évben, sorrendben 90% és 85% volt. Ugyanezekben az időpontokban a betegek sorrendben 88%</w:t>
      </w:r>
      <w:r w:rsidRPr="00D93355">
        <w:rPr>
          <w:lang w:val="hu-HU"/>
        </w:rPr>
        <w:noBreakHyphen/>
        <w:t>ánál és 79%</w:t>
      </w:r>
      <w:r w:rsidRPr="00D93355">
        <w:rPr>
          <w:lang w:val="hu-HU"/>
        </w:rPr>
        <w:noBreakHyphen/>
        <w:t>ánál a PAH nem progrediált (amit az összhalálozás, a tüdőtra</w:t>
      </w:r>
      <w:r w:rsidR="00465276" w:rsidRPr="00D93355">
        <w:rPr>
          <w:lang w:val="hu-HU"/>
        </w:rPr>
        <w:t>n</w:t>
      </w:r>
      <w:r w:rsidRPr="00D93355">
        <w:rPr>
          <w:lang w:val="hu-HU"/>
        </w:rPr>
        <w:t xml:space="preserve">szplantáció, </w:t>
      </w:r>
      <w:r w:rsidR="00465276" w:rsidRPr="00D93355">
        <w:rPr>
          <w:lang w:val="hu-HU"/>
        </w:rPr>
        <w:t xml:space="preserve">a </w:t>
      </w:r>
      <w:r w:rsidRPr="00D93355">
        <w:rPr>
          <w:lang w:val="hu-HU"/>
        </w:rPr>
        <w:t>pitvari septostomia, vagy intravénás vagy szubkután prosztanoid</w:t>
      </w:r>
      <w:r w:rsidRPr="00D93355">
        <w:rPr>
          <w:lang w:val="hu-HU"/>
        </w:rPr>
        <w:noBreakHyphen/>
        <w:t>kezelés megkezdése alapján határoztak meg). A kettős</w:t>
      </w:r>
      <w:r w:rsidR="004E0A22">
        <w:rPr>
          <w:lang w:val="hu-HU"/>
        </w:rPr>
        <w:t xml:space="preserve"> </w:t>
      </w:r>
      <w:r w:rsidRPr="00D93355">
        <w:rPr>
          <w:lang w:val="hu-HU"/>
        </w:rPr>
        <w:t>vak fázisban az előzőleg adott placebo</w:t>
      </w:r>
      <w:r w:rsidRPr="00D93355">
        <w:rPr>
          <w:lang w:val="hu-HU"/>
        </w:rPr>
        <w:noBreakHyphen/>
        <w:t>kezelés és a nyílt kiterjesztési időszak során megkezdett egyéb gyógyszerek relatív hatása nem ismert.</w:t>
      </w:r>
    </w:p>
    <w:p w14:paraId="51E81F68" w14:textId="77777777" w:rsidR="00E36D26" w:rsidRPr="00D93355" w:rsidRDefault="00E36D26">
      <w:pPr>
        <w:spacing w:line="240" w:lineRule="auto"/>
        <w:rPr>
          <w:lang w:val="hu-HU"/>
        </w:rPr>
      </w:pPr>
    </w:p>
    <w:p w14:paraId="5109CD12" w14:textId="77777777" w:rsidR="00E36D26" w:rsidRPr="00D93355" w:rsidRDefault="00E36D26">
      <w:pPr>
        <w:pStyle w:val="Default"/>
        <w:rPr>
          <w:sz w:val="22"/>
          <w:szCs w:val="22"/>
        </w:rPr>
      </w:pPr>
      <w:r w:rsidRPr="00D93355">
        <w:rPr>
          <w:sz w:val="22"/>
          <w:szCs w:val="22"/>
        </w:rPr>
        <w:t>Egy prospektív, multicentrikus, randomizált, kettős</w:t>
      </w:r>
      <w:r w:rsidR="00F05200">
        <w:rPr>
          <w:sz w:val="22"/>
          <w:szCs w:val="22"/>
        </w:rPr>
        <w:t xml:space="preserve"> </w:t>
      </w:r>
      <w:r w:rsidRPr="00D93355">
        <w:rPr>
          <w:sz w:val="22"/>
          <w:szCs w:val="22"/>
        </w:rPr>
        <w:t xml:space="preserve">vak, placebokontrollos vizsgálatban (AC-052-405 [BREATHE-5]) örökletes szívbetegséghez társult, WHO III. funkcionális stádiumba tartozó </w:t>
      </w:r>
      <w:r w:rsidR="00296EC4">
        <w:rPr>
          <w:sz w:val="22"/>
          <w:szCs w:val="22"/>
        </w:rPr>
        <w:t>PAH-</w:t>
      </w:r>
      <w:r w:rsidRPr="00D93355">
        <w:rPr>
          <w:sz w:val="22"/>
          <w:szCs w:val="22"/>
        </w:rPr>
        <w:t>ban és Eisenmenger</w:t>
      </w:r>
      <w:r w:rsidRPr="00D93355">
        <w:rPr>
          <w:sz w:val="22"/>
          <w:szCs w:val="22"/>
        </w:rPr>
        <w:noBreakHyphen/>
        <w:t xml:space="preserve">szindrómában szenvedő betegeket 4 héten át naponta kétszer 62,5 mg, majd további 12 héten keresztül naponta kétszer 125 mg </w:t>
      </w:r>
      <w:r w:rsidR="006264FB" w:rsidRPr="00D93355">
        <w:rPr>
          <w:sz w:val="22"/>
          <w:szCs w:val="22"/>
        </w:rPr>
        <w:t>bozentán</w:t>
      </w:r>
      <w:r w:rsidRPr="00D93355">
        <w:rPr>
          <w:sz w:val="22"/>
          <w:szCs w:val="22"/>
        </w:rPr>
        <w:t xml:space="preserve">nal kezeltek (n= 37, akik közül 31 jobb-bal túlsúlyú, kétirányú sönttel rendelkezett). A vizsgálat elsődleges célja annak kimutatása volt, hogy a </w:t>
      </w:r>
      <w:r w:rsidR="006264FB" w:rsidRPr="00D93355">
        <w:rPr>
          <w:sz w:val="22"/>
          <w:szCs w:val="22"/>
        </w:rPr>
        <w:t>bozentán</w:t>
      </w:r>
      <w:r w:rsidRPr="00D93355">
        <w:rPr>
          <w:sz w:val="22"/>
          <w:szCs w:val="22"/>
        </w:rPr>
        <w:t xml:space="preserve"> nem fokozza a hypoxaemiát. 16 hét elteltével a </w:t>
      </w:r>
      <w:r w:rsidR="006264FB" w:rsidRPr="00D93355">
        <w:rPr>
          <w:sz w:val="22"/>
          <w:szCs w:val="22"/>
        </w:rPr>
        <w:t>bozentán</w:t>
      </w:r>
      <w:r w:rsidRPr="00D93355">
        <w:rPr>
          <w:sz w:val="22"/>
          <w:szCs w:val="22"/>
        </w:rPr>
        <w:t xml:space="preserve"> a placebóhoz képest (n= 17) 1%</w:t>
      </w:r>
      <w:r w:rsidRPr="00D93355">
        <w:rPr>
          <w:sz w:val="22"/>
          <w:szCs w:val="22"/>
        </w:rPr>
        <w:noBreakHyphen/>
        <w:t xml:space="preserve">kal növelte az átlagos oxigéntelítettséget (95%-os CI: –0,7%–2,8%), bizonyítva, hogy a </w:t>
      </w:r>
      <w:r w:rsidR="006264FB" w:rsidRPr="00D93355">
        <w:rPr>
          <w:sz w:val="22"/>
          <w:szCs w:val="22"/>
        </w:rPr>
        <w:t>bozentán</w:t>
      </w:r>
      <w:r w:rsidRPr="00D93355">
        <w:rPr>
          <w:sz w:val="22"/>
          <w:szCs w:val="22"/>
        </w:rPr>
        <w:t xml:space="preserve"> nem fokozza a hypoxaemiát. A </w:t>
      </w:r>
      <w:r w:rsidR="006264FB" w:rsidRPr="00D93355">
        <w:rPr>
          <w:sz w:val="22"/>
          <w:szCs w:val="22"/>
        </w:rPr>
        <w:t>bozentán</w:t>
      </w:r>
      <w:r w:rsidRPr="00D93355">
        <w:rPr>
          <w:sz w:val="22"/>
          <w:szCs w:val="22"/>
        </w:rPr>
        <w:t>-csoportban szignifikáns módon csökkent a pulmonalis vascularis rezisztencia (leginkább a kétirányú intracardialis sönttel bíró betegek alcsoportjában). 16 hét elteltével a 6 perces sétatávolság placebo</w:t>
      </w:r>
      <w:r w:rsidRPr="00D93355">
        <w:rPr>
          <w:sz w:val="22"/>
          <w:szCs w:val="22"/>
        </w:rPr>
        <w:noBreakHyphen/>
        <w:t xml:space="preserve">korrigált átlagnövekménye 53 méter volt (p= 0,0079), ami a terhelhetőség javulására utal. A BREATHE-5 vizsgálat nyílt kiterjesztési időszakában (AC-052-409) 26 beteg további 24 hetes kezelési időszak során részesült </w:t>
      </w:r>
      <w:r w:rsidR="006264FB" w:rsidRPr="00D93355">
        <w:rPr>
          <w:sz w:val="22"/>
          <w:szCs w:val="22"/>
        </w:rPr>
        <w:t>bozentán</w:t>
      </w:r>
      <w:r w:rsidRPr="00D93355">
        <w:rPr>
          <w:sz w:val="22"/>
          <w:szCs w:val="22"/>
        </w:rPr>
        <w:t>-kezelésben (a kezelés átlagos időtartama 24,4±2 hét volt), és a hatásosság többnyire nem változott.</w:t>
      </w:r>
    </w:p>
    <w:p w14:paraId="000D01C9" w14:textId="77777777" w:rsidR="00E36D26" w:rsidRPr="00D93355" w:rsidRDefault="00E36D26">
      <w:pPr>
        <w:pStyle w:val="Default"/>
        <w:rPr>
          <w:sz w:val="22"/>
          <w:szCs w:val="22"/>
        </w:rPr>
      </w:pPr>
    </w:p>
    <w:p w14:paraId="0E0A321F" w14:textId="77777777" w:rsidR="00E36D26" w:rsidRPr="00D93355" w:rsidRDefault="00E36D26">
      <w:pPr>
        <w:spacing w:line="240" w:lineRule="auto"/>
        <w:rPr>
          <w:lang w:val="hu-HU"/>
        </w:rPr>
      </w:pPr>
      <w:r w:rsidRPr="00D93355">
        <w:rPr>
          <w:lang w:val="hu-HU"/>
        </w:rPr>
        <w:t xml:space="preserve">Egy nyílt, nem összehasonlító vizsgálatban (AC-052-362 [BREATHE-4]) 4 héten át naponta kétszer 62,5 mg, majd további 12 héten át naponta kétszer 125 mg </w:t>
      </w:r>
      <w:r w:rsidR="006264FB" w:rsidRPr="00D93355">
        <w:rPr>
          <w:lang w:val="hu-HU"/>
        </w:rPr>
        <w:t>bozentán</w:t>
      </w:r>
      <w:r w:rsidRPr="00D93355">
        <w:rPr>
          <w:lang w:val="hu-HU"/>
        </w:rPr>
        <w:t>nal kezeltek 16 HIV</w:t>
      </w:r>
      <w:r w:rsidRPr="00D93355">
        <w:rPr>
          <w:lang w:val="hu-HU"/>
        </w:rPr>
        <w:noBreakHyphen/>
        <w:t>fertőzéshez társult PAH</w:t>
      </w:r>
      <w:r w:rsidRPr="00D93355">
        <w:rPr>
          <w:lang w:val="hu-HU"/>
        </w:rPr>
        <w:noBreakHyphen/>
        <w:t xml:space="preserve">ban (WHO III. funkcionális stádium) szenvedő beteget. 16 hetes kezelést követően a terhelhetőség szignifikáns javulása volt tapasztalható a kiindulási értékekhez képest: a 6 perces sétatávolság átlagosan 91,4 méterrel nőtt, az átlagban 332,6 méteres kezdeti értékhez képest (p&lt; 0,001). Nem vonható le határozott következtetés arra vonatkozóan, hogy a </w:t>
      </w:r>
      <w:r w:rsidR="006264FB" w:rsidRPr="00D93355">
        <w:rPr>
          <w:lang w:val="hu-HU"/>
        </w:rPr>
        <w:t>bozentán</w:t>
      </w:r>
      <w:r w:rsidRPr="00D93355">
        <w:rPr>
          <w:lang w:val="hu-HU"/>
        </w:rPr>
        <w:t xml:space="preserve"> milyen hatással van az antiretrovirális gyógyszerek hatásosságára (lásd még 4.4 pont).</w:t>
      </w:r>
    </w:p>
    <w:p w14:paraId="38318849" w14:textId="77777777" w:rsidR="00E36D26" w:rsidRPr="00D93355" w:rsidRDefault="00E36D26">
      <w:pPr>
        <w:spacing w:line="240" w:lineRule="auto"/>
        <w:rPr>
          <w:lang w:val="hu-HU"/>
        </w:rPr>
      </w:pPr>
    </w:p>
    <w:p w14:paraId="5F46226A" w14:textId="77777777" w:rsidR="00E36D26" w:rsidRPr="00D93355" w:rsidRDefault="00E36D26">
      <w:pPr>
        <w:spacing w:line="240" w:lineRule="auto"/>
        <w:rPr>
          <w:lang w:val="hu-HU"/>
        </w:rPr>
      </w:pPr>
      <w:r w:rsidRPr="00D93355">
        <w:rPr>
          <w:lang w:val="hu-HU"/>
        </w:rPr>
        <w:t xml:space="preserve">A </w:t>
      </w:r>
      <w:r w:rsidR="006264FB" w:rsidRPr="00D93355">
        <w:rPr>
          <w:lang w:val="hu-HU"/>
        </w:rPr>
        <w:t>bozentán</w:t>
      </w:r>
      <w:r w:rsidRPr="00D93355">
        <w:rPr>
          <w:lang w:val="hu-HU"/>
        </w:rPr>
        <w:noBreakHyphen/>
        <w:t xml:space="preserve">kezelés túlélésre gyakorolt előnyös hatásainak bizonyítására nem állnak rendelkezésre vizsgálatok. Ugyanakkor a 2 placebokontrollos pivotális vizsgálatban (AC-052-351 és AC-052-352) és/vagy azok nem-kontrollos, nyílt kiterjesztett fázisaiban </w:t>
      </w:r>
      <w:r w:rsidR="006264FB" w:rsidRPr="00D93355">
        <w:rPr>
          <w:lang w:val="hu-HU"/>
        </w:rPr>
        <w:t>bozentán</w:t>
      </w:r>
      <w:r w:rsidRPr="00D93355">
        <w:rPr>
          <w:lang w:val="hu-HU"/>
        </w:rPr>
        <w:t xml:space="preserve">nal kezelt mind a 235 beteg túlélését hosszú távon rögzítették. A </w:t>
      </w:r>
      <w:r w:rsidR="006264FB" w:rsidRPr="00D93355">
        <w:rPr>
          <w:lang w:val="hu-HU"/>
        </w:rPr>
        <w:t>bozentán</w:t>
      </w:r>
      <w:r w:rsidRPr="00D93355">
        <w:rPr>
          <w:lang w:val="hu-HU"/>
        </w:rPr>
        <w:noBreakHyphen/>
        <w:t>expozíció átlagos időtartama 1,9 év ± 0,7 év volt (min: 0,1 év; max: 3,3 év) és a betegek átlagosan 2,0±0,6 évig követték nyomon. A betegek többségének diagnózisa primaer pulmonalis hypertonia volt (72%), és a WHO III. funkcionális stádiumba tartoztak (84%). Ezen teljes betegmintában a túlélésre vonatkozó Kaplan</w:t>
      </w:r>
      <w:r w:rsidRPr="00D93355">
        <w:rPr>
          <w:lang w:val="hu-HU"/>
        </w:rPr>
        <w:noBreakHyphen/>
        <w:t xml:space="preserve">Meier becslés a </w:t>
      </w:r>
      <w:r w:rsidR="006264FB" w:rsidRPr="00D93355">
        <w:rPr>
          <w:lang w:val="hu-HU"/>
        </w:rPr>
        <w:t>bozentán</w:t>
      </w:r>
      <w:r w:rsidRPr="00D93355">
        <w:rPr>
          <w:lang w:val="hu-HU"/>
        </w:rPr>
        <w:noBreakHyphen/>
        <w:t>kezelés megkezdése után 1, illetve 2 évvel sorrendben 93%, illetve 84% volt. A túlélésre vonatkozó becslések alacsonyabbak voltak a szisztémás sclerosis okozta secundaer pulmonalis arteriás hypertoniában szenvedő betegeknél. A becsléseket befolyásolhatta az epoprosztenol</w:t>
      </w:r>
      <w:r w:rsidRPr="00D93355">
        <w:rPr>
          <w:lang w:val="hu-HU"/>
        </w:rPr>
        <w:noBreakHyphen/>
        <w:t>kezelés elindítása 43/235 betegnél.</w:t>
      </w:r>
    </w:p>
    <w:p w14:paraId="20A33897" w14:textId="77777777" w:rsidR="00E36D26" w:rsidRPr="00D93355" w:rsidRDefault="00E36D26">
      <w:pPr>
        <w:spacing w:line="240" w:lineRule="auto"/>
        <w:rPr>
          <w:lang w:val="hu-HU"/>
        </w:rPr>
      </w:pPr>
    </w:p>
    <w:p w14:paraId="30BECAE7" w14:textId="77777777" w:rsidR="00E36D26" w:rsidRPr="00D93355" w:rsidRDefault="00E36D26">
      <w:pPr>
        <w:pStyle w:val="Default"/>
        <w:keepNext/>
        <w:rPr>
          <w:i/>
          <w:sz w:val="22"/>
          <w:szCs w:val="22"/>
        </w:rPr>
      </w:pPr>
      <w:r w:rsidRPr="00D93355">
        <w:rPr>
          <w:i/>
          <w:sz w:val="22"/>
          <w:szCs w:val="22"/>
        </w:rPr>
        <w:t>Pulmonalis arteriás hypertoniában szenvedő gyermekekkel végzett vizsgálat</w:t>
      </w:r>
      <w:r w:rsidR="00585867">
        <w:rPr>
          <w:i/>
          <w:sz w:val="22"/>
          <w:szCs w:val="22"/>
        </w:rPr>
        <w:t>ok</w:t>
      </w:r>
    </w:p>
    <w:p w14:paraId="227AD5CA" w14:textId="77777777" w:rsidR="00E36D26" w:rsidRPr="00D93355" w:rsidRDefault="00E36D26">
      <w:pPr>
        <w:pStyle w:val="Default"/>
        <w:keepNext/>
        <w:rPr>
          <w:sz w:val="22"/>
          <w:szCs w:val="22"/>
        </w:rPr>
      </w:pPr>
    </w:p>
    <w:p w14:paraId="5D686000"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BREATHE-3 (AC-052-365)</w:t>
      </w:r>
    </w:p>
    <w:p w14:paraId="0837D3FE" w14:textId="77777777" w:rsidR="00E36D26" w:rsidRPr="00D93355" w:rsidRDefault="00E36D26">
      <w:pPr>
        <w:autoSpaceDE w:val="0"/>
        <w:autoSpaceDN w:val="0"/>
        <w:adjustRightInd w:val="0"/>
        <w:spacing w:line="240" w:lineRule="auto"/>
        <w:rPr>
          <w:lang w:val="hu-HU"/>
        </w:rPr>
      </w:pPr>
      <w:r w:rsidRPr="00D93355">
        <w:rPr>
          <w:lang w:val="hu-HU"/>
        </w:rPr>
        <w:t xml:space="preserve">A </w:t>
      </w:r>
      <w:r w:rsidR="006264FB" w:rsidRPr="00D93355">
        <w:rPr>
          <w:lang w:val="hu-HU"/>
        </w:rPr>
        <w:t>bozentán</w:t>
      </w:r>
      <w:r w:rsidRPr="00D93355">
        <w:rPr>
          <w:lang w:val="hu-HU"/>
        </w:rPr>
        <w:t xml:space="preserve"> tabletta hatását nyílt, nem</w:t>
      </w:r>
      <w:r w:rsidR="007029B1">
        <w:rPr>
          <w:lang w:val="hu-HU"/>
        </w:rPr>
        <w:t xml:space="preserve"> </w:t>
      </w:r>
      <w:r w:rsidRPr="00D93355">
        <w:rPr>
          <w:lang w:val="hu-HU"/>
        </w:rPr>
        <w:t xml:space="preserve">kontrollos vizsgálatban értékelték 19, </w:t>
      </w:r>
      <w:r w:rsidR="005E346E">
        <w:rPr>
          <w:lang w:val="hu-HU"/>
        </w:rPr>
        <w:t>PAH-</w:t>
      </w:r>
      <w:r w:rsidRPr="00D93355">
        <w:rPr>
          <w:lang w:val="hu-HU"/>
        </w:rPr>
        <w:t xml:space="preserve">ban szenvedő, </w:t>
      </w:r>
      <w:r w:rsidRPr="00D93355">
        <w:rPr>
          <w:rFonts w:eastAsia="TimesNewRoman"/>
          <w:lang w:val="hu-HU"/>
        </w:rPr>
        <w:t>3-15 éves betegnél.</w:t>
      </w:r>
      <w:r w:rsidRPr="00D93355">
        <w:rPr>
          <w:lang w:val="hu-HU"/>
        </w:rPr>
        <w:t xml:space="preserve"> A vizsgálatot elsősorban farmakokinetikai elemzésnek tervezték (lásd 5.2 pont). A betegek </w:t>
      </w:r>
      <w:r w:rsidRPr="00D93355">
        <w:rPr>
          <w:rFonts w:eastAsia="TimesNewRoman"/>
          <w:lang w:val="hu-HU"/>
        </w:rPr>
        <w:t xml:space="preserve">vagy pulmonalis hypertoniában (10 beteg) vagy veleszületett szívelégtelenséghez kapcsolódó </w:t>
      </w:r>
      <w:r w:rsidR="00435E41">
        <w:rPr>
          <w:rFonts w:eastAsia="TimesNewRoman"/>
          <w:lang w:val="hu-HU"/>
        </w:rPr>
        <w:lastRenderedPageBreak/>
        <w:t>PAH-</w:t>
      </w:r>
      <w:r w:rsidRPr="00D93355">
        <w:rPr>
          <w:rFonts w:eastAsia="TimesNewRoman"/>
          <w:lang w:val="hu-HU"/>
        </w:rPr>
        <w:t xml:space="preserve">ban (9 beteg) szenvedtek, és a kezelés előtt a WHO-besorolás szerinti II. (n= 15 beteg, 79%) és III. (n= 4 beteg, 21%) osztályba tartoztak. A 12 hetes kezeléshez a betegeket testtömegük alapján három csoportba osztották, és megközelítőleg 2 mg/ttkg </w:t>
      </w:r>
      <w:r w:rsidR="006264FB" w:rsidRPr="00D93355">
        <w:rPr>
          <w:rFonts w:eastAsia="TimesNewRoman"/>
          <w:lang w:val="hu-HU"/>
        </w:rPr>
        <w:t>bozentán</w:t>
      </w:r>
      <w:r w:rsidRPr="00D93355">
        <w:rPr>
          <w:rFonts w:eastAsia="TimesNewRoman"/>
          <w:lang w:val="hu-HU"/>
        </w:rPr>
        <w:t>nal kezelték naponta kétszer. A betegek fele mindhárom csoportban intravénás epoprosztenol-kezelés alatt állt már; az epoprosztenol dózisát a vizsgálat során nem módosították.</w:t>
      </w:r>
    </w:p>
    <w:p w14:paraId="60CC71A4" w14:textId="77777777" w:rsidR="00E36D26" w:rsidRPr="00D93355" w:rsidRDefault="00E36D26">
      <w:pPr>
        <w:spacing w:line="240" w:lineRule="auto"/>
        <w:rPr>
          <w:lang w:val="hu-HU"/>
        </w:rPr>
      </w:pPr>
    </w:p>
    <w:p w14:paraId="1E308D87" w14:textId="77777777" w:rsidR="00E36D26" w:rsidRPr="00D93355" w:rsidRDefault="00E36D26">
      <w:pPr>
        <w:pStyle w:val="Default"/>
        <w:rPr>
          <w:sz w:val="22"/>
          <w:szCs w:val="22"/>
        </w:rPr>
      </w:pPr>
      <w:r w:rsidRPr="00D93355">
        <w:rPr>
          <w:sz w:val="22"/>
          <w:szCs w:val="22"/>
        </w:rPr>
        <w:t>17 betegnél végeztek hemodinamikai mérést. A cardialis index kiinduláshoz képest mért átlagos emelkedése 0,5 l/perc/m</w:t>
      </w:r>
      <w:r w:rsidRPr="00D93355">
        <w:rPr>
          <w:sz w:val="22"/>
          <w:szCs w:val="22"/>
          <w:vertAlign w:val="superscript"/>
        </w:rPr>
        <w:t>2</w:t>
      </w:r>
      <w:r w:rsidRPr="00D93355">
        <w:rPr>
          <w:sz w:val="22"/>
          <w:szCs w:val="22"/>
        </w:rPr>
        <w:t>, a pulmonalis nyomás középértékének átlagos csökkenése 8 Hgmm, a PVR átlagos csökkenése pedig 389 dyn•s</w:t>
      </w:r>
      <w:r w:rsidR="005F7C19" w:rsidRPr="00D93355">
        <w:rPr>
          <w:sz w:val="22"/>
          <w:szCs w:val="22"/>
        </w:rPr>
        <w:t>ec</w:t>
      </w:r>
      <w:r w:rsidRPr="00D93355">
        <w:rPr>
          <w:sz w:val="22"/>
          <w:szCs w:val="22"/>
        </w:rPr>
        <w:t>/cm</w:t>
      </w:r>
      <w:r w:rsidR="00D45A97" w:rsidRPr="00D93355">
        <w:rPr>
          <w:sz w:val="22"/>
          <w:vertAlign w:val="superscript"/>
        </w:rPr>
        <w:t>-</w:t>
      </w:r>
      <w:r w:rsidR="00D45A97" w:rsidRPr="00D93355">
        <w:rPr>
          <w:sz w:val="22"/>
          <w:szCs w:val="22"/>
          <w:vertAlign w:val="superscript"/>
        </w:rPr>
        <w:t>5</w:t>
      </w:r>
      <w:r w:rsidRPr="00D93355">
        <w:rPr>
          <w:sz w:val="22"/>
          <w:szCs w:val="22"/>
        </w:rPr>
        <w:t xml:space="preserve"> volt. Ezek a kiindulástól számított hemodinamikai javulások az epoprosztenol együttes alkalmazása mellett és nélküle is hasonlóak voltak. A 12. héten a terheléses tesztek paramétereinek kiindulási értékekhez viszonyított eltérései nagy szórást mutattak, és egyik paraméter változása sem volt szignifikáns.</w:t>
      </w:r>
    </w:p>
    <w:p w14:paraId="47B22B91" w14:textId="77777777" w:rsidR="00E36D26" w:rsidRPr="00D93355" w:rsidRDefault="00E36D26">
      <w:pPr>
        <w:spacing w:line="240" w:lineRule="auto"/>
        <w:rPr>
          <w:lang w:val="hu-HU"/>
        </w:rPr>
      </w:pPr>
    </w:p>
    <w:p w14:paraId="193E2402"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FUTURE 1/2 (AC-052-365/AC-052-367)</w:t>
      </w:r>
    </w:p>
    <w:p w14:paraId="7FF81B64"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A FUTURE 1 egy nyílt, nem</w:t>
      </w:r>
      <w:r w:rsidR="00F05200">
        <w:rPr>
          <w:rFonts w:eastAsia="TimesNewRoman"/>
          <w:lang w:val="hu-HU"/>
        </w:rPr>
        <w:t xml:space="preserve"> </w:t>
      </w:r>
      <w:r w:rsidRPr="00D93355">
        <w:rPr>
          <w:rFonts w:eastAsia="TimesNewRoman"/>
          <w:lang w:val="hu-HU"/>
        </w:rPr>
        <w:t xml:space="preserve">kontrollos vizsgálat volt, amelyet a </w:t>
      </w:r>
      <w:r w:rsidR="006264FB" w:rsidRPr="00D93355">
        <w:rPr>
          <w:rFonts w:eastAsia="TimesNewRoman"/>
          <w:lang w:val="hu-HU"/>
        </w:rPr>
        <w:t>bozentán</w:t>
      </w:r>
      <w:r w:rsidRPr="00D93355">
        <w:rPr>
          <w:rFonts w:eastAsia="TimesNewRoman"/>
          <w:lang w:val="hu-HU"/>
        </w:rPr>
        <w:t xml:space="preserve"> diszpergálódó tabletta formátumával végeztek, naponta kétszer 4 mg/ttkg fenntartó dózisban adagolva, 36, 2</w:t>
      </w:r>
      <w:r w:rsidRPr="00D93355">
        <w:rPr>
          <w:rFonts w:eastAsia="TimesNewRoman"/>
          <w:lang w:val="hu-HU"/>
        </w:rPr>
        <w:noBreakHyphen/>
        <w:t>11 éves kor közötti betegnek. A vizsgálat elsődleges célja a farmakokinetika vizsgálata volt (lásd 5.2 pont).</w:t>
      </w:r>
    </w:p>
    <w:p w14:paraId="6C3FD425" w14:textId="77777777" w:rsidR="00E36D26" w:rsidRPr="00D93355" w:rsidRDefault="00E36D26">
      <w:pPr>
        <w:autoSpaceDE w:val="0"/>
        <w:autoSpaceDN w:val="0"/>
        <w:adjustRightInd w:val="0"/>
        <w:spacing w:line="240" w:lineRule="auto"/>
        <w:rPr>
          <w:lang w:val="hu-HU"/>
        </w:rPr>
      </w:pPr>
      <w:r w:rsidRPr="00D93355">
        <w:rPr>
          <w:rFonts w:eastAsia="TimesNewRoman"/>
          <w:lang w:val="hu-HU"/>
        </w:rPr>
        <w:t>Indulásakor a betegek vagy idiopathiás (31 beteg [86%]) vagy familiaris (5 beteg [14%]) PAH-ban szenvedtek és a WHO-besorolás szerinti II. (n= 23, 64%) és III. (n= 13, 36%) osztályba tartoztak. A FUTURE 1 vizsgálatban a vizsgált kezelés medián expozíciója 13,1 hét volt (tartomány: 8,4-21,1</w:t>
      </w:r>
      <w:r w:rsidR="005F7C19" w:rsidRPr="00D93355">
        <w:rPr>
          <w:rFonts w:eastAsia="TimesNewRoman"/>
          <w:lang w:val="hu-HU"/>
        </w:rPr>
        <w:t xml:space="preserve"> hét</w:t>
      </w:r>
      <w:r w:rsidRPr="00D93355">
        <w:rPr>
          <w:rFonts w:eastAsia="TimesNewRoman"/>
          <w:lang w:val="hu-HU"/>
        </w:rPr>
        <w:t xml:space="preserve">). A betegek közül 33 kapott további kezelést a </w:t>
      </w:r>
      <w:r w:rsidR="006264FB" w:rsidRPr="00D93355">
        <w:rPr>
          <w:rFonts w:eastAsia="TimesNewRoman"/>
          <w:lang w:val="hu-HU"/>
        </w:rPr>
        <w:t>bozentán</w:t>
      </w:r>
      <w:r w:rsidRPr="00D93355">
        <w:rPr>
          <w:rFonts w:eastAsia="TimesNewRoman"/>
          <w:lang w:val="hu-HU"/>
        </w:rPr>
        <w:t xml:space="preserve"> diszpergálódó tablettával, naponta kétszer 4 mg/ttkg dózisban a FUTURE 2 nem-kontrollos kiterjesztett fázisban 2,3 éves átlagos teljes kezelési időtartamban (tartomány: 0,2-5 év). A FUTURE 1 indulásakor 9 beteg szedett epoprosztenolt. A vizsgálat során 9 beteg részesült újonnan megkezdett PAH-specifikus gyógyszerelésben. A PAH súlyosbodására (halál, tüdőtranszplantáció, PAH súlyosbodás miatti kórházi ellátás) vonatkozó Kaplan-Meier-féle eseménymentes becslés 2 év után 78,9% volt. A Kaplan</w:t>
      </w:r>
      <w:r w:rsidRPr="00D93355">
        <w:rPr>
          <w:rFonts w:eastAsia="TimesNewRoman"/>
          <w:lang w:val="hu-HU"/>
        </w:rPr>
        <w:noBreakHyphen/>
        <w:t>Meier-féle becsült teljes túlélési arány a második évben 91,2% volt.</w:t>
      </w:r>
    </w:p>
    <w:p w14:paraId="67BA835A" w14:textId="77777777" w:rsidR="00E36D26" w:rsidRPr="00D93355" w:rsidRDefault="00E36D26">
      <w:pPr>
        <w:pStyle w:val="Default"/>
        <w:rPr>
          <w:sz w:val="22"/>
          <w:szCs w:val="22"/>
        </w:rPr>
      </w:pPr>
    </w:p>
    <w:p w14:paraId="794E13E5"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FUTURE 3 (AC-052-373)</w:t>
      </w:r>
    </w:p>
    <w:p w14:paraId="435E303A" w14:textId="77777777" w:rsidR="00E36D26" w:rsidRPr="00D93355" w:rsidRDefault="00E36D26" w:rsidP="002C694F">
      <w:pPr>
        <w:autoSpaceDE w:val="0"/>
        <w:autoSpaceDN w:val="0"/>
        <w:adjustRightInd w:val="0"/>
        <w:spacing w:line="240" w:lineRule="auto"/>
        <w:rPr>
          <w:lang w:val="hu-HU"/>
        </w:rPr>
      </w:pPr>
      <w:r w:rsidRPr="00D93355">
        <w:rPr>
          <w:rFonts w:eastAsia="TimesNewRoman"/>
          <w:lang w:val="hu-HU"/>
        </w:rPr>
        <w:t>Ebben a nyílt, randomizált, a 32 mg</w:t>
      </w:r>
      <w:r w:rsidR="005F7C19" w:rsidRPr="00D93355">
        <w:rPr>
          <w:rFonts w:eastAsia="TimesNewRoman"/>
          <w:lang w:val="hu-HU"/>
        </w:rPr>
        <w:t xml:space="preserve"> bozentán tartalmú</w:t>
      </w:r>
      <w:r w:rsidRPr="00D93355">
        <w:rPr>
          <w:rFonts w:eastAsia="TimesNewRoman"/>
          <w:lang w:val="hu-HU"/>
        </w:rPr>
        <w:t xml:space="preserve"> diszpergálódó tabletta formulával végzett vizsgálatban 64, stabil PAH-ban szenvedő, 3 hónap és 11 éves kor közötti gyermeket randomizáltak 24 hetes, naponta kétszer 2 mg/</w:t>
      </w:r>
      <w:r w:rsidR="005F7C19" w:rsidRPr="00D93355">
        <w:rPr>
          <w:rFonts w:eastAsia="TimesNewRoman"/>
          <w:lang w:val="hu-HU"/>
        </w:rPr>
        <w:t>tt</w:t>
      </w:r>
      <w:r w:rsidRPr="00D93355">
        <w:rPr>
          <w:rFonts w:eastAsia="TimesNewRoman"/>
          <w:lang w:val="hu-HU"/>
        </w:rPr>
        <w:t xml:space="preserve">kg (33 fő) vagy naponta háromszor 2 mg/ttkg (31 fő) </w:t>
      </w:r>
      <w:r w:rsidR="006264FB" w:rsidRPr="00D93355">
        <w:rPr>
          <w:rFonts w:eastAsia="TimesNewRoman"/>
          <w:lang w:val="hu-HU"/>
        </w:rPr>
        <w:t>bozentán</w:t>
      </w:r>
      <w:r w:rsidRPr="00D93355">
        <w:rPr>
          <w:rFonts w:eastAsia="TimesNewRoman"/>
          <w:lang w:val="hu-HU"/>
        </w:rPr>
        <w:noBreakHyphen/>
        <w:t>kezelésre. Negyvenhárom gyermek életkora (67,2%) ≥ 2 és 11 év közé, tizenöté (23,4%) 1</w:t>
      </w:r>
      <w:r w:rsidR="005F7C19" w:rsidRPr="00D93355">
        <w:rPr>
          <w:rFonts w:eastAsia="TimesNewRoman"/>
          <w:lang w:val="hu-HU"/>
        </w:rPr>
        <w:t> </w:t>
      </w:r>
      <w:r w:rsidRPr="00D93355">
        <w:rPr>
          <w:rFonts w:eastAsia="TimesNewRoman"/>
          <w:lang w:val="hu-HU"/>
        </w:rPr>
        <w:t>és 2 év közé, 6 betegé (9,4%) 3 hónap és 1 év közé esett. A vizsgálat elsődleges célja a farmakokinetika vizsgálata volt (lásd 5.2 pont) és a hatásossági végpontok meghatározása csak felderítő jellegű volt. A PAH etiológiája Dana Point osztályozása szerint magában foglalja az idiopathiás PAH-ot (46%), örökletes PAH-ot (3%), korrekciós szívműtét utáni kapcsolt PAH-ot (38%), a szisztémás-pulmonalis sönttel kapcsolatban álló</w:t>
      </w:r>
      <w:r w:rsidR="00F11A43">
        <w:rPr>
          <w:rFonts w:eastAsia="TimesNewRoman"/>
          <w:lang w:val="hu-HU"/>
        </w:rPr>
        <w:t xml:space="preserve">, </w:t>
      </w:r>
      <w:r w:rsidR="00B276ED" w:rsidRPr="00976C72">
        <w:rPr>
          <w:lang w:val="hu-HU"/>
        </w:rPr>
        <w:t>veleszületett szívelégtelenséghez kapcsolódó</w:t>
      </w:r>
      <w:r w:rsidRPr="00D93355">
        <w:rPr>
          <w:rFonts w:eastAsia="TimesNewRoman"/>
          <w:lang w:val="hu-HU"/>
        </w:rPr>
        <w:t xml:space="preserve"> PAH-t, amibe beletartozik az Eisenmenger szindróma is (13%). A kezelés kezdetekor a betegek a WHO funkcionális besorolás szerinti I. (n= 19, 29%)</w:t>
      </w:r>
      <w:r w:rsidR="005F7C19" w:rsidRPr="00D93355">
        <w:rPr>
          <w:rFonts w:eastAsia="TimesNewRoman"/>
          <w:lang w:val="hu-HU"/>
        </w:rPr>
        <w:t>,</w:t>
      </w:r>
      <w:r w:rsidRPr="00D93355">
        <w:rPr>
          <w:rFonts w:eastAsia="TimesNewRoman"/>
          <w:lang w:val="hu-HU"/>
        </w:rPr>
        <w:t xml:space="preserve"> II. (n= 27, 42%) és III. (n= 18, 28%) osztályba tartoztak. A vizsgálat kezdetekor a betegeket PAH gyógyszerekkel kezelték (leggyakrabban a</w:t>
      </w:r>
      <w:r w:rsidR="008761D1">
        <w:rPr>
          <w:rFonts w:eastAsia="TimesNewRoman"/>
          <w:lang w:val="hu-HU"/>
        </w:rPr>
        <w:t xml:space="preserve">z </w:t>
      </w:r>
      <w:r w:rsidRPr="00D93355">
        <w:rPr>
          <w:rFonts w:eastAsia="TimesNewRoman"/>
          <w:lang w:val="hu-HU"/>
        </w:rPr>
        <w:t>5-</w:t>
      </w:r>
      <w:r w:rsidR="008761D1">
        <w:rPr>
          <w:rFonts w:eastAsia="TimesNewRoman"/>
          <w:lang w:val="hu-HU"/>
        </w:rPr>
        <w:t xml:space="preserve">ös típusú </w:t>
      </w:r>
      <w:r w:rsidR="002C694F" w:rsidRPr="00976C72">
        <w:rPr>
          <w:lang w:val="hu-HU"/>
        </w:rPr>
        <w:t>foszfodiészteráz-gátló</w:t>
      </w:r>
      <w:r w:rsidRPr="00D93355">
        <w:rPr>
          <w:rFonts w:eastAsia="TimesNewRoman"/>
          <w:lang w:val="hu-HU"/>
        </w:rPr>
        <w:t xml:space="preserve"> szildenafillal önmagában [35,9%], </w:t>
      </w:r>
      <w:r w:rsidR="006264FB" w:rsidRPr="00D93355">
        <w:rPr>
          <w:rFonts w:eastAsia="TimesNewRoman"/>
          <w:lang w:val="hu-HU"/>
        </w:rPr>
        <w:t>bozentán</w:t>
      </w:r>
      <w:r w:rsidRPr="00D93355">
        <w:rPr>
          <w:rFonts w:eastAsia="TimesNewRoman"/>
          <w:lang w:val="hu-HU"/>
        </w:rPr>
        <w:t xml:space="preserve">nal önmagában [10,9%] valamint </w:t>
      </w:r>
      <w:r w:rsidR="006264FB" w:rsidRPr="00D93355">
        <w:rPr>
          <w:rFonts w:eastAsia="TimesNewRoman"/>
          <w:lang w:val="hu-HU"/>
        </w:rPr>
        <w:t>bozentán</w:t>
      </w:r>
      <w:r w:rsidRPr="00D93355">
        <w:rPr>
          <w:rFonts w:eastAsia="TimesNewRoman"/>
          <w:lang w:val="hu-HU"/>
        </w:rPr>
        <w:t xml:space="preserve">, iloproszt és szildenafil együttes alkalmazásával </w:t>
      </w:r>
      <w:r w:rsidR="00A35293">
        <w:rPr>
          <w:rFonts w:eastAsia="TimesNewRoman"/>
          <w:lang w:val="hu-HU"/>
        </w:rPr>
        <w:t>[</w:t>
      </w:r>
      <w:r w:rsidRPr="00D93355">
        <w:rPr>
          <w:rFonts w:eastAsia="TimesNewRoman"/>
          <w:lang w:val="hu-HU"/>
        </w:rPr>
        <w:t>10,9%</w:t>
      </w:r>
      <w:r w:rsidR="00A35293">
        <w:rPr>
          <w:rFonts w:eastAsia="TimesNewRoman"/>
          <w:lang w:val="hu-HU"/>
        </w:rPr>
        <w:t>]</w:t>
      </w:r>
      <w:r w:rsidRPr="00D93355">
        <w:rPr>
          <w:rFonts w:eastAsia="TimesNewRoman"/>
          <w:lang w:val="hu-HU"/>
        </w:rPr>
        <w:t xml:space="preserve"> és a vizsgálat alatt folytatták is PAH</w:t>
      </w:r>
      <w:r w:rsidRPr="00D93355">
        <w:rPr>
          <w:rFonts w:eastAsia="TimesNewRoman"/>
          <w:lang w:val="hu-HU"/>
        </w:rPr>
        <w:noBreakHyphen/>
        <w:t>kezelésüket.</w:t>
      </w:r>
    </w:p>
    <w:p w14:paraId="0F6CFA9D" w14:textId="77777777" w:rsidR="00E36D26" w:rsidRPr="00D93355" w:rsidRDefault="00E36D26">
      <w:pPr>
        <w:pStyle w:val="Default"/>
        <w:rPr>
          <w:sz w:val="22"/>
          <w:szCs w:val="22"/>
        </w:rPr>
      </w:pPr>
    </w:p>
    <w:p w14:paraId="62D70ED5"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A vizsgálat kezdetekor a résztvevő betegek kevesebb, mint fele (45,3% = </w:t>
      </w:r>
      <w:r w:rsidR="00013150">
        <w:rPr>
          <w:rFonts w:eastAsia="TimesNewRoman"/>
          <w:lang w:val="hu-HU"/>
        </w:rPr>
        <w:t>[</w:t>
      </w:r>
      <w:r w:rsidRPr="00D93355">
        <w:rPr>
          <w:rFonts w:eastAsia="TimesNewRoman"/>
          <w:lang w:val="hu-HU"/>
        </w:rPr>
        <w:t>29/64</w:t>
      </w:r>
      <w:r w:rsidR="00013150">
        <w:rPr>
          <w:rFonts w:eastAsia="TimesNewRoman"/>
          <w:lang w:val="hu-HU"/>
        </w:rPr>
        <w:t>]</w:t>
      </w:r>
      <w:r w:rsidRPr="00D93355">
        <w:rPr>
          <w:rFonts w:eastAsia="TimesNewRoman"/>
          <w:lang w:val="hu-HU"/>
        </w:rPr>
        <w:t xml:space="preserve">) részesült kizárólag </w:t>
      </w:r>
      <w:r w:rsidR="006264FB" w:rsidRPr="00D93355">
        <w:rPr>
          <w:rFonts w:eastAsia="TimesNewRoman"/>
          <w:lang w:val="hu-HU"/>
        </w:rPr>
        <w:t>bozentán</w:t>
      </w:r>
      <w:r w:rsidRPr="00D93355">
        <w:rPr>
          <w:rFonts w:eastAsia="TimesNewRoman"/>
          <w:lang w:val="hu-HU"/>
        </w:rPr>
        <w:noBreakHyphen/>
        <w:t xml:space="preserve">kezelésben, nem kombinálva semmilyen más PAH gyógyszerrel. 40,6% (26/64) maradt </w:t>
      </w:r>
      <w:r w:rsidR="006264FB" w:rsidRPr="00D93355">
        <w:rPr>
          <w:rFonts w:eastAsia="TimesNewRoman"/>
          <w:lang w:val="hu-HU"/>
        </w:rPr>
        <w:t>bozentán</w:t>
      </w:r>
      <w:r w:rsidRPr="00D93355">
        <w:rPr>
          <w:rFonts w:eastAsia="TimesNewRoman"/>
          <w:lang w:val="hu-HU"/>
        </w:rPr>
        <w:noBreakHyphen/>
        <w:t>monoterápián a kezelés 24 hete alatt anélkül, hogy PAH betegségük súlyosbodását észlelték volna. A résztvevő globális populáció (64 beteg) elemzése megmutatta, hogy többségük legalább stabil maradt (azaz romlás nem történt) a nem gyermekgyógyászat specifikus WHO funkcionális besorolás szerinti értékelés (97% naponta kétszer, 100% naponta háromszor) és az orvosok globális klinikai benyomása alapján (94% naponta kétszer, 93% naponta háromszor) a kezelési periódus alatt. A PAH súlyosbodására (halál, tüdőtranszplantáció, PAH súlyosbodása miatti kórházi ellátás) vonatkozó Kaplan-Meier eseménymentes becslés 24 hét után 96,9%, ill</w:t>
      </w:r>
      <w:r w:rsidR="001E6493">
        <w:rPr>
          <w:rFonts w:eastAsia="TimesNewRoman"/>
          <w:lang w:val="hu-HU"/>
        </w:rPr>
        <w:t>etve</w:t>
      </w:r>
      <w:r w:rsidR="001E6493" w:rsidRPr="00D93355">
        <w:rPr>
          <w:rFonts w:eastAsia="TimesNewRoman"/>
          <w:lang w:val="hu-HU"/>
        </w:rPr>
        <w:t xml:space="preserve"> </w:t>
      </w:r>
      <w:r w:rsidRPr="00D93355">
        <w:rPr>
          <w:rFonts w:eastAsia="TimesNewRoman"/>
          <w:lang w:val="hu-HU"/>
        </w:rPr>
        <w:t>96,7% volt a naponta kétszer, ill</w:t>
      </w:r>
      <w:r w:rsidR="001E6493">
        <w:rPr>
          <w:rFonts w:eastAsia="TimesNewRoman"/>
          <w:lang w:val="hu-HU"/>
        </w:rPr>
        <w:t>etve</w:t>
      </w:r>
      <w:r w:rsidRPr="00D93355">
        <w:rPr>
          <w:rFonts w:eastAsia="TimesNewRoman"/>
          <w:lang w:val="hu-HU"/>
        </w:rPr>
        <w:t xml:space="preserve"> a naponta háromszor kezelt betegcsoportokban.</w:t>
      </w:r>
    </w:p>
    <w:p w14:paraId="6F60EB40" w14:textId="77777777" w:rsidR="00E36D26" w:rsidRPr="00D93355" w:rsidRDefault="00E36D26">
      <w:pPr>
        <w:pStyle w:val="Default"/>
        <w:rPr>
          <w:rFonts w:eastAsia="TimesNewRoman"/>
          <w:color w:val="auto"/>
          <w:sz w:val="22"/>
          <w:szCs w:val="22"/>
          <w:lang w:eastAsia="en-US"/>
        </w:rPr>
      </w:pPr>
    </w:p>
    <w:p w14:paraId="742DE956"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lastRenderedPageBreak/>
        <w:t>Nem volt semmilyen bizonyíték a naponta háromszor 2 mg/ttkg-os adagolás klinikai előnyeire, a naponta kétszer 2 mg/ttkg-os adagolással szemben.</w:t>
      </w:r>
    </w:p>
    <w:p w14:paraId="205D8872" w14:textId="77777777" w:rsidR="00E36D26" w:rsidRPr="00D93355" w:rsidRDefault="00E36D26">
      <w:pPr>
        <w:spacing w:line="240" w:lineRule="auto"/>
        <w:rPr>
          <w:lang w:val="hu-HU"/>
        </w:rPr>
      </w:pPr>
    </w:p>
    <w:p w14:paraId="3F484F29" w14:textId="77777777" w:rsidR="00E36D26" w:rsidRPr="00D93355" w:rsidRDefault="00E36D26">
      <w:pPr>
        <w:autoSpaceDE w:val="0"/>
        <w:autoSpaceDN w:val="0"/>
        <w:adjustRightInd w:val="0"/>
        <w:spacing w:line="240" w:lineRule="auto"/>
        <w:rPr>
          <w:rFonts w:eastAsia="TimesNewRoman"/>
          <w:i/>
          <w:iCs/>
          <w:lang w:val="hu-HU"/>
        </w:rPr>
      </w:pPr>
      <w:r w:rsidRPr="00D93355">
        <w:rPr>
          <w:rFonts w:eastAsia="TimesNewRoman"/>
          <w:i/>
          <w:iCs/>
          <w:lang w:val="hu-HU"/>
        </w:rPr>
        <w:t>Újszülöttkori tartós pulmonalis hypertoniában (PPHN) szenvedő újszülöttekkel végzett vizsgálat</w:t>
      </w:r>
    </w:p>
    <w:p w14:paraId="5411B840" w14:textId="77777777" w:rsidR="00E36D26" w:rsidRPr="00D93355" w:rsidRDefault="00E36D26">
      <w:pPr>
        <w:autoSpaceDE w:val="0"/>
        <w:autoSpaceDN w:val="0"/>
        <w:adjustRightInd w:val="0"/>
        <w:spacing w:line="240" w:lineRule="auto"/>
        <w:rPr>
          <w:rFonts w:eastAsia="TimesNewRoman"/>
          <w:lang w:val="hu-HU"/>
        </w:rPr>
      </w:pPr>
    </w:p>
    <w:p w14:paraId="46D65FB8"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FUTURE 4 (AC-052-391)</w:t>
      </w:r>
    </w:p>
    <w:p w14:paraId="2922E1F9" w14:textId="77777777" w:rsidR="00AC70F5" w:rsidRPr="00D93355" w:rsidRDefault="00E36D26">
      <w:pPr>
        <w:autoSpaceDE w:val="0"/>
        <w:autoSpaceDN w:val="0"/>
        <w:adjustRightInd w:val="0"/>
        <w:spacing w:line="240" w:lineRule="auto"/>
        <w:rPr>
          <w:rFonts w:eastAsia="TimesNewRoman"/>
          <w:lang w:val="hu-HU"/>
        </w:rPr>
      </w:pPr>
      <w:r w:rsidRPr="00D93355">
        <w:rPr>
          <w:rFonts w:eastAsia="TimesNewRoman"/>
          <w:lang w:val="hu-HU"/>
        </w:rPr>
        <w:t>Ez egy kettős</w:t>
      </w:r>
      <w:r w:rsidR="00AB119F">
        <w:rPr>
          <w:rFonts w:eastAsia="TimesNewRoman"/>
          <w:lang w:val="hu-HU"/>
        </w:rPr>
        <w:t xml:space="preserve"> </w:t>
      </w:r>
      <w:r w:rsidRPr="00D93355">
        <w:rPr>
          <w:rFonts w:eastAsia="TimesNewRoman"/>
          <w:lang w:val="hu-HU"/>
        </w:rPr>
        <w:t>vak, placebokontrollos randomizált</w:t>
      </w:r>
      <w:r w:rsidR="005F7C19" w:rsidRPr="00D93355">
        <w:rPr>
          <w:rFonts w:eastAsia="TimesNewRoman"/>
          <w:lang w:val="hu-HU"/>
        </w:rPr>
        <w:t>,</w:t>
      </w:r>
      <w:r w:rsidRPr="00D93355">
        <w:rPr>
          <w:rFonts w:eastAsia="TimesNewRoman"/>
          <w:lang w:val="hu-HU"/>
        </w:rPr>
        <w:t xml:space="preserve"> vizsgálat volt, melyet PPHN-ben szenvedő koraszülött és időre született (36</w:t>
      </w:r>
      <w:r w:rsidRPr="00D93355">
        <w:rPr>
          <w:rFonts w:eastAsia="TimesNewRoman"/>
          <w:lang w:val="hu-HU"/>
        </w:rPr>
        <w:noBreakHyphen/>
        <w:t xml:space="preserve">42 hetes gesztációs korú) csecsemőkön végeztek. Azokat a betegeket, akik a legalább 4 órán át tartó folyamatos kezelés ellenére is szuboptimális válaszreakciót adtak az inhalált nitrogén-oxidra (iNO), naponta kétszer kezelték 2 mg/ttkg </w:t>
      </w:r>
      <w:r w:rsidR="006264FB" w:rsidRPr="00D93355">
        <w:rPr>
          <w:rFonts w:eastAsia="TimesNewRoman"/>
          <w:lang w:val="hu-HU"/>
        </w:rPr>
        <w:t>bozentán</w:t>
      </w:r>
      <w:r w:rsidRPr="00D93355">
        <w:rPr>
          <w:rFonts w:eastAsia="TimesNewRoman"/>
          <w:lang w:val="hu-HU"/>
        </w:rPr>
        <w:t xml:space="preserve"> diszpergálódó tablettával (</w:t>
      </w:r>
      <w:r w:rsidR="005F7C19" w:rsidRPr="00D93355">
        <w:rPr>
          <w:rFonts w:eastAsia="TimesNewRoman"/>
          <w:lang w:val="hu-HU"/>
        </w:rPr>
        <w:t>n</w:t>
      </w:r>
      <w:r w:rsidRPr="00D93355">
        <w:rPr>
          <w:rFonts w:eastAsia="TimesNewRoman"/>
          <w:lang w:val="hu-HU"/>
        </w:rPr>
        <w:t>= 13), illetve placebóval (</w:t>
      </w:r>
      <w:r w:rsidR="005F7C19" w:rsidRPr="00D93355">
        <w:rPr>
          <w:rFonts w:eastAsia="TimesNewRoman"/>
          <w:lang w:val="hu-HU"/>
        </w:rPr>
        <w:t>n</w:t>
      </w:r>
      <w:r w:rsidRPr="00D93355">
        <w:rPr>
          <w:rFonts w:eastAsia="TimesNewRoman"/>
          <w:lang w:val="hu-HU"/>
        </w:rPr>
        <w:t xml:space="preserve">= 8), nasogastricus szondán keresztül, kiegészítő terápiaként az iNO mellett </w:t>
      </w:r>
      <w:r w:rsidR="005F7C19" w:rsidRPr="00D93355">
        <w:rPr>
          <w:rFonts w:eastAsia="TimesNewRoman"/>
          <w:lang w:val="hu-HU"/>
        </w:rPr>
        <w:t>–</w:t>
      </w:r>
      <w:r w:rsidRPr="00D93355">
        <w:rPr>
          <w:rFonts w:eastAsia="TimesNewRoman"/>
          <w:lang w:val="hu-HU"/>
        </w:rPr>
        <w:t xml:space="preserve"> az iNO teljes elhagyásáig vagy a terápia sikertelenségéig</w:t>
      </w:r>
      <w:r w:rsidR="005F7C19" w:rsidRPr="00D93355">
        <w:rPr>
          <w:rFonts w:eastAsia="TimesNewRoman"/>
          <w:lang w:val="hu-HU"/>
        </w:rPr>
        <w:t xml:space="preserve"> (s</w:t>
      </w:r>
      <w:r w:rsidR="007F3174" w:rsidRPr="00D93355">
        <w:rPr>
          <w:rFonts w:eastAsia="TimesNewRoman"/>
          <w:lang w:val="hu-HU"/>
        </w:rPr>
        <w:t>ikertelennek tekintették a terápiát extracorporalis membrán-oxigenizáció [ECMO] vagy alternatív pulmonalis értágító alkalmazásának szükségessége esetén)</w:t>
      </w:r>
      <w:r w:rsidRPr="00D93355">
        <w:rPr>
          <w:rFonts w:eastAsia="TimesNewRoman"/>
          <w:lang w:val="hu-HU"/>
        </w:rPr>
        <w:t>, ill</w:t>
      </w:r>
      <w:r w:rsidR="00AB119F">
        <w:rPr>
          <w:rFonts w:eastAsia="TimesNewRoman"/>
          <w:lang w:val="hu-HU"/>
        </w:rPr>
        <w:t>etve</w:t>
      </w:r>
      <w:r w:rsidRPr="00D93355">
        <w:rPr>
          <w:rFonts w:eastAsia="TimesNewRoman"/>
          <w:lang w:val="hu-HU"/>
        </w:rPr>
        <w:t xml:space="preserve"> maximum 14 napig.</w:t>
      </w:r>
    </w:p>
    <w:p w14:paraId="3A43D5EA" w14:textId="77777777" w:rsidR="007F3174" w:rsidRPr="00D93355" w:rsidRDefault="007F3174">
      <w:pPr>
        <w:autoSpaceDE w:val="0"/>
        <w:autoSpaceDN w:val="0"/>
        <w:adjustRightInd w:val="0"/>
        <w:spacing w:line="240" w:lineRule="auto"/>
        <w:rPr>
          <w:rFonts w:eastAsia="TimesNewRoman"/>
          <w:lang w:val="hu-HU"/>
        </w:rPr>
      </w:pPr>
    </w:p>
    <w:p w14:paraId="57723E49"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A medián expozíció 4,5 nap (tartomány: 0,5-10,0) volt a </w:t>
      </w:r>
      <w:r w:rsidR="006264FB" w:rsidRPr="00D93355">
        <w:rPr>
          <w:rFonts w:eastAsia="TimesNewRoman"/>
          <w:lang w:val="hu-HU"/>
        </w:rPr>
        <w:t>bozentán</w:t>
      </w:r>
      <w:r w:rsidRPr="00D93355">
        <w:rPr>
          <w:rFonts w:eastAsia="TimesNewRoman"/>
          <w:lang w:val="hu-HU"/>
        </w:rPr>
        <w:t xml:space="preserve"> és 4,0 nap (tartomány: 2,5-6,5) a placebocsoportban.</w:t>
      </w:r>
    </w:p>
    <w:p w14:paraId="54CC4CE9" w14:textId="77777777" w:rsidR="00E36D26" w:rsidRPr="00D93355" w:rsidRDefault="00E36D26">
      <w:pPr>
        <w:autoSpaceDE w:val="0"/>
        <w:autoSpaceDN w:val="0"/>
        <w:adjustRightInd w:val="0"/>
        <w:spacing w:line="240" w:lineRule="auto"/>
        <w:rPr>
          <w:rFonts w:eastAsia="TimesNewRoman"/>
          <w:lang w:val="hu-HU"/>
        </w:rPr>
      </w:pPr>
    </w:p>
    <w:p w14:paraId="3CAF710B"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Ebben a populációban, az eredmények nem mutatták ki a </w:t>
      </w:r>
      <w:r w:rsidR="006264FB" w:rsidRPr="00D93355">
        <w:rPr>
          <w:rFonts w:eastAsia="TimesNewRoman"/>
          <w:lang w:val="hu-HU"/>
        </w:rPr>
        <w:t>bozentán</w:t>
      </w:r>
      <w:r w:rsidRPr="00D93355">
        <w:rPr>
          <w:rFonts w:eastAsia="TimesNewRoman"/>
          <w:lang w:val="hu-HU"/>
        </w:rPr>
        <w:t xml:space="preserve"> további előnyét:</w:t>
      </w:r>
    </w:p>
    <w:p w14:paraId="31908A24" w14:textId="77777777" w:rsidR="00E36D26" w:rsidRPr="00D93355" w:rsidRDefault="00E36D26">
      <w:pPr>
        <w:pStyle w:val="Listaszerbekezds"/>
        <w:numPr>
          <w:ilvl w:val="0"/>
          <w:numId w:val="22"/>
        </w:numPr>
        <w:tabs>
          <w:tab w:val="clear" w:pos="567"/>
        </w:tabs>
        <w:autoSpaceDE w:val="0"/>
        <w:autoSpaceDN w:val="0"/>
        <w:adjustRightInd w:val="0"/>
        <w:spacing w:line="240" w:lineRule="auto"/>
        <w:ind w:left="567" w:hanging="567"/>
        <w:contextualSpacing/>
        <w:rPr>
          <w:rFonts w:eastAsia="TimesNewRoman"/>
          <w:lang w:val="hu-HU"/>
        </w:rPr>
      </w:pPr>
      <w:r w:rsidRPr="00D93355">
        <w:rPr>
          <w:rFonts w:eastAsia="TimesNewRoman"/>
          <w:lang w:val="hu-HU"/>
        </w:rPr>
        <w:t>Az iNO teljes elhagyásának átlagos időtartama 3,7 (95%-os</w:t>
      </w:r>
      <w:r w:rsidR="000D5EEF">
        <w:rPr>
          <w:rFonts w:eastAsia="TimesNewRoman"/>
          <w:lang w:val="hu-HU"/>
        </w:rPr>
        <w:t xml:space="preserve"> </w:t>
      </w:r>
      <w:r w:rsidR="000D5EEF" w:rsidRPr="00976C72">
        <w:rPr>
          <w:lang w:val="hu-HU"/>
        </w:rPr>
        <w:t>konfidencia limitek</w:t>
      </w:r>
      <w:r w:rsidRPr="00D93355">
        <w:rPr>
          <w:rFonts w:eastAsia="TimesNewRoman"/>
          <w:lang w:val="hu-HU"/>
        </w:rPr>
        <w:t xml:space="preserve"> </w:t>
      </w:r>
      <w:r w:rsidR="000D5EEF">
        <w:rPr>
          <w:rFonts w:eastAsia="TimesNewRoman"/>
          <w:lang w:val="hu-HU"/>
        </w:rPr>
        <w:t>[</w:t>
      </w:r>
      <w:r w:rsidRPr="00D93355">
        <w:rPr>
          <w:rFonts w:eastAsia="TimesNewRoman"/>
          <w:lang w:val="hu-HU"/>
        </w:rPr>
        <w:t>C</w:t>
      </w:r>
      <w:r w:rsidR="000D5EEF">
        <w:rPr>
          <w:rFonts w:eastAsia="TimesNewRoman"/>
          <w:lang w:val="hu-HU"/>
        </w:rPr>
        <w:t>L]</w:t>
      </w:r>
      <w:r w:rsidRPr="00D93355">
        <w:rPr>
          <w:rFonts w:eastAsia="TimesNewRoman"/>
          <w:lang w:val="hu-HU"/>
        </w:rPr>
        <w:t xml:space="preserve"> 1,17-6,95) nap volt a </w:t>
      </w:r>
      <w:r w:rsidR="006264FB" w:rsidRPr="00D93355">
        <w:rPr>
          <w:rFonts w:eastAsia="TimesNewRoman"/>
          <w:lang w:val="hu-HU"/>
        </w:rPr>
        <w:t>bozentán</w:t>
      </w:r>
      <w:r w:rsidRPr="00D93355">
        <w:rPr>
          <w:rFonts w:eastAsia="TimesNewRoman"/>
          <w:lang w:val="hu-HU"/>
        </w:rPr>
        <w:t>nal és 2,9 (95%-os</w:t>
      </w:r>
      <w:r w:rsidR="00662D8F">
        <w:rPr>
          <w:rFonts w:eastAsia="TimesNewRoman"/>
          <w:lang w:val="hu-HU"/>
        </w:rPr>
        <w:t xml:space="preserve"> </w:t>
      </w:r>
      <w:r w:rsidRPr="00D93355">
        <w:rPr>
          <w:rFonts w:eastAsia="TimesNewRoman"/>
          <w:lang w:val="hu-HU"/>
        </w:rPr>
        <w:t>C</w:t>
      </w:r>
      <w:r w:rsidR="00751A79">
        <w:rPr>
          <w:rFonts w:eastAsia="TimesNewRoman"/>
          <w:lang w:val="hu-HU"/>
        </w:rPr>
        <w:t>L</w:t>
      </w:r>
      <w:r w:rsidRPr="00D93355">
        <w:rPr>
          <w:rFonts w:eastAsia="TimesNewRoman"/>
          <w:lang w:val="hu-HU"/>
        </w:rPr>
        <w:t>: 1,26-4,23) a placebóval kezelt csoportban (p= 0,34).</w:t>
      </w:r>
    </w:p>
    <w:p w14:paraId="11104413" w14:textId="77777777" w:rsidR="00E36D26" w:rsidRPr="00D93355" w:rsidRDefault="00E36D26">
      <w:pPr>
        <w:pStyle w:val="Listaszerbekezds"/>
        <w:numPr>
          <w:ilvl w:val="0"/>
          <w:numId w:val="22"/>
        </w:numPr>
        <w:tabs>
          <w:tab w:val="clear" w:pos="567"/>
        </w:tabs>
        <w:autoSpaceDE w:val="0"/>
        <w:autoSpaceDN w:val="0"/>
        <w:adjustRightInd w:val="0"/>
        <w:spacing w:line="240" w:lineRule="auto"/>
        <w:ind w:left="567" w:hanging="567"/>
        <w:contextualSpacing/>
        <w:rPr>
          <w:rFonts w:eastAsia="TimesNewRoman"/>
          <w:lang w:val="hu-HU"/>
        </w:rPr>
      </w:pPr>
      <w:r w:rsidRPr="00D93355">
        <w:rPr>
          <w:rFonts w:eastAsia="TimesNewRoman"/>
          <w:lang w:val="hu-HU"/>
        </w:rPr>
        <w:t>A gépi lélegeztetéstől való teljes leválasztás átlagos időtartama 10,8 nap (95%-os C</w:t>
      </w:r>
      <w:r w:rsidR="0007385C">
        <w:rPr>
          <w:rFonts w:eastAsia="TimesNewRoman"/>
          <w:lang w:val="hu-HU"/>
        </w:rPr>
        <w:t xml:space="preserve">L </w:t>
      </w:r>
      <w:r w:rsidRPr="00D93355">
        <w:rPr>
          <w:rFonts w:eastAsia="TimesNewRoman"/>
          <w:lang w:val="hu-HU"/>
        </w:rPr>
        <w:t xml:space="preserve">3,21-11,21 nap) volt a </w:t>
      </w:r>
      <w:r w:rsidR="006264FB" w:rsidRPr="00D93355">
        <w:rPr>
          <w:rFonts w:eastAsia="TimesNewRoman"/>
          <w:lang w:val="hu-HU"/>
        </w:rPr>
        <w:t>bozentán</w:t>
      </w:r>
      <w:r w:rsidRPr="00D93355">
        <w:rPr>
          <w:rFonts w:eastAsia="TimesNewRoman"/>
          <w:lang w:val="hu-HU"/>
        </w:rPr>
        <w:t>nal és 8,6 nap (95%-os C</w:t>
      </w:r>
      <w:r w:rsidR="0007385C">
        <w:rPr>
          <w:rFonts w:eastAsia="TimesNewRoman"/>
          <w:lang w:val="hu-HU"/>
        </w:rPr>
        <w:t>L</w:t>
      </w:r>
      <w:r w:rsidRPr="00D93355">
        <w:rPr>
          <w:rFonts w:eastAsia="TimesNewRoman"/>
          <w:lang w:val="hu-HU"/>
        </w:rPr>
        <w:t>: 3,71-9,66 nap) a placebóval kezelt csoportban (p= 0,24).</w:t>
      </w:r>
    </w:p>
    <w:p w14:paraId="38103AD6" w14:textId="77777777" w:rsidR="00E36D26" w:rsidRPr="00D93355" w:rsidRDefault="00E36D26">
      <w:pPr>
        <w:pStyle w:val="Listaszerbekezds"/>
        <w:numPr>
          <w:ilvl w:val="0"/>
          <w:numId w:val="22"/>
        </w:numPr>
        <w:tabs>
          <w:tab w:val="clear" w:pos="567"/>
        </w:tabs>
        <w:autoSpaceDE w:val="0"/>
        <w:autoSpaceDN w:val="0"/>
        <w:adjustRightInd w:val="0"/>
        <w:spacing w:line="240" w:lineRule="auto"/>
        <w:ind w:left="567" w:hanging="567"/>
        <w:contextualSpacing/>
        <w:rPr>
          <w:lang w:val="hu-HU"/>
        </w:rPr>
      </w:pPr>
      <w:r w:rsidRPr="00D93355">
        <w:rPr>
          <w:rFonts w:eastAsia="TimesNewRoman"/>
          <w:lang w:val="hu-HU"/>
        </w:rPr>
        <w:t xml:space="preserve">A </w:t>
      </w:r>
      <w:r w:rsidR="006264FB" w:rsidRPr="00D93355">
        <w:rPr>
          <w:rFonts w:eastAsia="TimesNewRoman"/>
          <w:lang w:val="hu-HU"/>
        </w:rPr>
        <w:t>bozentán</w:t>
      </w:r>
      <w:r w:rsidRPr="00D93355">
        <w:rPr>
          <w:rFonts w:eastAsia="TimesNewRoman"/>
          <w:lang w:val="hu-HU"/>
        </w:rPr>
        <w:t>-csoportban egy betegnél volt sikertelen a terápia (ECMO per protokoll szerinti szükségessége), melyet az Oxigenizációs Index első vizsgált gyógyszeradag alkalmazását követő 8 órán belüli emelkedése alapján jelentettek ki. Ez a beteg a 60 napos követési időszakon belül felgyógyult.</w:t>
      </w:r>
    </w:p>
    <w:p w14:paraId="61ADE47A" w14:textId="77777777" w:rsidR="00E36D26" w:rsidRPr="00D93355" w:rsidRDefault="00E36D26">
      <w:pPr>
        <w:spacing w:line="240" w:lineRule="auto"/>
        <w:rPr>
          <w:lang w:val="hu-HU"/>
        </w:rPr>
      </w:pPr>
    </w:p>
    <w:p w14:paraId="67231A1F" w14:textId="77777777" w:rsidR="00E36D26" w:rsidRPr="00D93355" w:rsidRDefault="00E36D26">
      <w:pPr>
        <w:keepNext/>
        <w:spacing w:line="240" w:lineRule="auto"/>
        <w:rPr>
          <w:lang w:val="hu-HU"/>
        </w:rPr>
      </w:pPr>
      <w:r w:rsidRPr="00D93355">
        <w:rPr>
          <w:i/>
          <w:lang w:val="hu-HU"/>
        </w:rPr>
        <w:t>Epoprosztenollal kombinált alkalmazás</w:t>
      </w:r>
    </w:p>
    <w:p w14:paraId="48AE167D" w14:textId="77777777" w:rsidR="00E36D26" w:rsidRPr="00D93355" w:rsidRDefault="006264FB">
      <w:pPr>
        <w:keepNext/>
        <w:spacing w:line="240" w:lineRule="auto"/>
        <w:rPr>
          <w:lang w:val="hu-HU"/>
        </w:rPr>
      </w:pPr>
      <w:r w:rsidRPr="00D93355">
        <w:rPr>
          <w:lang w:val="hu-HU"/>
        </w:rPr>
        <w:t>Bozentán</w:t>
      </w:r>
      <w:r w:rsidR="00E36D26" w:rsidRPr="00D93355">
        <w:rPr>
          <w:lang w:val="hu-HU"/>
        </w:rPr>
        <w:t xml:space="preserve"> és epoprosztenol együttes alkalmazására vonatkozóan két vizsgálatot (AC-052-355 [BREATHE-2] és AC-052-356 [BREATHE-3]) végeztek. Az AC-052-355 multicentrikus, randomizált, kettős</w:t>
      </w:r>
      <w:r w:rsidR="00F41AC4">
        <w:rPr>
          <w:lang w:val="hu-HU"/>
        </w:rPr>
        <w:t xml:space="preserve"> </w:t>
      </w:r>
      <w:r w:rsidR="00E36D26" w:rsidRPr="00D93355">
        <w:rPr>
          <w:lang w:val="hu-HU"/>
        </w:rPr>
        <w:t xml:space="preserve">vak, párhuzamos csoportú </w:t>
      </w:r>
      <w:r w:rsidRPr="00D93355">
        <w:rPr>
          <w:lang w:val="hu-HU"/>
        </w:rPr>
        <w:t>bozentán</w:t>
      </w:r>
      <w:r w:rsidR="00E36D26" w:rsidRPr="00D93355">
        <w:rPr>
          <w:lang w:val="hu-HU"/>
        </w:rPr>
        <w:t xml:space="preserve">/placebo-vizsgálat volt 33, súlyos </w:t>
      </w:r>
      <w:r w:rsidR="00C96D3F">
        <w:rPr>
          <w:lang w:val="hu-HU"/>
        </w:rPr>
        <w:t>PAH-</w:t>
      </w:r>
      <w:r w:rsidR="00E36D26" w:rsidRPr="00D93355">
        <w:rPr>
          <w:lang w:val="hu-HU"/>
        </w:rPr>
        <w:t>ban szenvedő, egyidejű epoprosztenol</w:t>
      </w:r>
      <w:r w:rsidR="00E36D26" w:rsidRPr="00D93355">
        <w:rPr>
          <w:lang w:val="hu-HU"/>
        </w:rPr>
        <w:noBreakHyphen/>
        <w:t>kezelésben részesülő beteg részvételével. Az AC-052-356 nyílt, nem</w:t>
      </w:r>
      <w:r w:rsidR="00F41AC4">
        <w:rPr>
          <w:lang w:val="hu-HU"/>
        </w:rPr>
        <w:t xml:space="preserve"> </w:t>
      </w:r>
      <w:r w:rsidR="00E36D26" w:rsidRPr="00D93355">
        <w:rPr>
          <w:lang w:val="hu-HU"/>
        </w:rPr>
        <w:t xml:space="preserve">kontrollos, 12 hetes vizsgálat volt, melynek során a 19 gyermekgyógyászati beteg közül 10 részesült egyidejűleg </w:t>
      </w:r>
      <w:r w:rsidRPr="00D93355">
        <w:rPr>
          <w:lang w:val="hu-HU"/>
        </w:rPr>
        <w:t>bozentán</w:t>
      </w:r>
      <w:r w:rsidR="00E36D26" w:rsidRPr="00D93355">
        <w:rPr>
          <w:lang w:val="hu-HU"/>
        </w:rPr>
        <w:noBreakHyphen/>
        <w:t xml:space="preserve"> és epoprosztenol</w:t>
      </w:r>
      <w:r w:rsidR="00E36D26" w:rsidRPr="00D93355">
        <w:rPr>
          <w:lang w:val="hu-HU"/>
        </w:rPr>
        <w:noBreakHyphen/>
        <w:t>kezelésben. A kombináció biztonságossági profilja nem tért el attól, ami az egyes összetevők alapján várható volt. A kezelést mind a gyermekek, mind a felnőttek jól tolerálták. A kombináció klinikai előnye nem igazolódott be.</w:t>
      </w:r>
    </w:p>
    <w:p w14:paraId="59A1A395" w14:textId="77777777" w:rsidR="00E36D26" w:rsidRPr="00D93355" w:rsidRDefault="00E36D26">
      <w:pPr>
        <w:autoSpaceDE w:val="0"/>
        <w:autoSpaceDN w:val="0"/>
        <w:adjustRightInd w:val="0"/>
        <w:spacing w:line="240" w:lineRule="auto"/>
        <w:rPr>
          <w:rFonts w:eastAsia="Calibri"/>
          <w:i/>
          <w:iCs/>
          <w:lang w:val="hu-HU"/>
        </w:rPr>
      </w:pPr>
    </w:p>
    <w:p w14:paraId="290D73BB" w14:textId="77777777" w:rsidR="00E36D26" w:rsidRPr="00D93355" w:rsidRDefault="00E36D26">
      <w:pPr>
        <w:autoSpaceDE w:val="0"/>
        <w:autoSpaceDN w:val="0"/>
        <w:adjustRightInd w:val="0"/>
        <w:spacing w:line="240" w:lineRule="auto"/>
        <w:rPr>
          <w:rFonts w:eastAsia="Calibri"/>
          <w:i/>
          <w:iCs/>
          <w:lang w:val="hu-HU"/>
        </w:rPr>
      </w:pPr>
      <w:r w:rsidRPr="00D93355">
        <w:rPr>
          <w:rFonts w:eastAsia="Calibri"/>
          <w:i/>
          <w:iCs/>
          <w:lang w:val="hu-HU"/>
        </w:rPr>
        <w:t>Szisztémás sclerosis digitalis fekélybetegséggel</w:t>
      </w:r>
    </w:p>
    <w:p w14:paraId="041D964B"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Két randomizált, multicentrikus, placebokontrollos vizsgálatot végeztek 122 (AC-052-401 [RAPIDS-1]), illetve 190 (AC-052-331 [RAPIDS-2]) felnőtt, szisztémás sclerosisban és digitalis fekélybetegségben (fennálló digitalis fekélyek vagy pedig az előző egy évben a kórelőzményben szereplő digitalis fekélyek) szenvedő betegeknél. Az AC-052-331 vizsgálatban a betegeknek legalább egy, nemrégiben kialakult digitalis fekélye kellett, hogy legyen, és mindkét vizsgálatban egyformán a betegek 85%-ának volt digitalis fekélybetegsége a vizsgálat megkezdésekor. Négyhetes, naponta kétszeri 62,5 mg-os </w:t>
      </w:r>
      <w:r w:rsidR="006264FB" w:rsidRPr="00D93355">
        <w:rPr>
          <w:rFonts w:eastAsia="TimesNewRoman"/>
          <w:lang w:val="hu-HU"/>
        </w:rPr>
        <w:t>bozentán</w:t>
      </w:r>
      <w:r w:rsidRPr="00D93355">
        <w:rPr>
          <w:rFonts w:eastAsia="TimesNewRoman"/>
          <w:lang w:val="hu-HU"/>
        </w:rPr>
        <w:t xml:space="preserve"> adaggal történő kezelést követően mindkét vizsgálatban a naponta kétszeri 125 mg-os fenntartó adagokat tanulmányozták. A kettős</w:t>
      </w:r>
      <w:r w:rsidR="00F41AC4">
        <w:rPr>
          <w:rFonts w:eastAsia="TimesNewRoman"/>
          <w:lang w:val="hu-HU"/>
        </w:rPr>
        <w:t xml:space="preserve"> </w:t>
      </w:r>
      <w:r w:rsidRPr="00D93355">
        <w:rPr>
          <w:rFonts w:eastAsia="TimesNewRoman"/>
          <w:lang w:val="hu-HU"/>
        </w:rPr>
        <w:t>vak kezelés időtartama az AC</w:t>
      </w:r>
      <w:r w:rsidRPr="00D93355">
        <w:rPr>
          <w:rFonts w:eastAsia="TimesNewRoman"/>
          <w:lang w:val="hu-HU"/>
        </w:rPr>
        <w:noBreakHyphen/>
        <w:t>052</w:t>
      </w:r>
      <w:r w:rsidRPr="00D93355">
        <w:rPr>
          <w:rFonts w:eastAsia="TimesNewRoman"/>
          <w:lang w:val="hu-HU"/>
        </w:rPr>
        <w:noBreakHyphen/>
        <w:t>401 vizsgálatban 16 hét, az AC-052-331 vizsgálatban pedig 24 hét volt.</w:t>
      </w:r>
    </w:p>
    <w:p w14:paraId="7E1B680D" w14:textId="77777777" w:rsidR="00E36D26" w:rsidRPr="00D93355" w:rsidRDefault="00E36D26">
      <w:pPr>
        <w:autoSpaceDE w:val="0"/>
        <w:autoSpaceDN w:val="0"/>
        <w:adjustRightInd w:val="0"/>
        <w:spacing w:line="240" w:lineRule="auto"/>
        <w:rPr>
          <w:rFonts w:eastAsia="TimesNewRoman"/>
          <w:lang w:val="hu-HU"/>
        </w:rPr>
      </w:pPr>
    </w:p>
    <w:p w14:paraId="7C73AC63"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A szisztémás sclerosis és digitalis fekélyek egyidejű, egyéb gyógyszerekkel történő háttérkezelését engedélyezték, ha a kezelés a vizsgálat kezdetét megelőző legalább 1 hónap alatt és a kettős</w:t>
      </w:r>
      <w:r w:rsidR="00F41AC4">
        <w:rPr>
          <w:rFonts w:eastAsia="TimesNewRoman"/>
          <w:lang w:val="hu-HU"/>
        </w:rPr>
        <w:t xml:space="preserve"> </w:t>
      </w:r>
      <w:r w:rsidRPr="00D93355">
        <w:rPr>
          <w:rFonts w:eastAsia="TimesNewRoman"/>
          <w:lang w:val="hu-HU"/>
        </w:rPr>
        <w:t>vak vizsgálat alatt is változatlan volt.</w:t>
      </w:r>
    </w:p>
    <w:p w14:paraId="7CA940EE" w14:textId="77777777" w:rsidR="00E36D26" w:rsidRPr="00D93355" w:rsidRDefault="00E36D26">
      <w:pPr>
        <w:spacing w:line="240" w:lineRule="auto"/>
        <w:rPr>
          <w:lang w:val="hu-HU"/>
        </w:rPr>
      </w:pPr>
    </w:p>
    <w:p w14:paraId="042CEB1E"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Mindkét vizsgálat primer végpontja a vizsgálat megkezdése és végpontja között kialakult új digitalis fekélyek száma volt. A </w:t>
      </w:r>
      <w:r w:rsidR="006264FB" w:rsidRPr="00D93355">
        <w:rPr>
          <w:rFonts w:eastAsia="TimesNewRoman"/>
          <w:lang w:val="hu-HU"/>
        </w:rPr>
        <w:t>bozentán</w:t>
      </w:r>
      <w:r w:rsidRPr="00D93355">
        <w:rPr>
          <w:rFonts w:eastAsia="TimesNewRoman"/>
          <w:lang w:val="hu-HU"/>
        </w:rPr>
        <w:noBreakHyphen/>
        <w:t>kezelés következtében a kezelés időtartama alatt kevesebb digitalis fekély alakult ki, mint a placebo esetén. Az AC-052-401 vizsgálatban 16 hetes kettős</w:t>
      </w:r>
      <w:r w:rsidR="00F41AC4">
        <w:rPr>
          <w:rFonts w:eastAsia="TimesNewRoman"/>
          <w:lang w:val="hu-HU"/>
        </w:rPr>
        <w:t xml:space="preserve"> </w:t>
      </w:r>
      <w:r w:rsidRPr="00D93355">
        <w:rPr>
          <w:rFonts w:eastAsia="TimesNewRoman"/>
          <w:lang w:val="hu-HU"/>
        </w:rPr>
        <w:t xml:space="preserve">vak kezelés alatt </w:t>
      </w:r>
      <w:r w:rsidRPr="00D93355">
        <w:rPr>
          <w:rFonts w:eastAsia="TimesNewRoman"/>
          <w:lang w:val="hu-HU"/>
        </w:rPr>
        <w:lastRenderedPageBreak/>
        <w:t xml:space="preserve">a </w:t>
      </w:r>
      <w:r w:rsidR="006264FB" w:rsidRPr="00D93355">
        <w:rPr>
          <w:rFonts w:eastAsia="TimesNewRoman"/>
          <w:lang w:val="hu-HU"/>
        </w:rPr>
        <w:t>bozentán</w:t>
      </w:r>
      <w:r w:rsidRPr="00D93355">
        <w:rPr>
          <w:rFonts w:eastAsia="TimesNewRoman"/>
          <w:lang w:val="hu-HU"/>
        </w:rPr>
        <w:t>nal kezelt csoport betegeinél átlagosan 1,4, míg a placebo-csoportnál átlagosan 2,7 új digitalis fekély jelentkezett (p= 0,0042). Az AC-052-331 vizsgálatban 24 hetes kettős</w:t>
      </w:r>
      <w:r w:rsidR="00F41AC4">
        <w:rPr>
          <w:rFonts w:eastAsia="TimesNewRoman"/>
          <w:lang w:val="hu-HU"/>
        </w:rPr>
        <w:t xml:space="preserve"> </w:t>
      </w:r>
      <w:r w:rsidRPr="00D93355">
        <w:rPr>
          <w:rFonts w:eastAsia="TimesNewRoman"/>
          <w:lang w:val="hu-HU"/>
        </w:rPr>
        <w:t xml:space="preserve">vak kezelés alatt a megfelelő csoportokban 1,9, illetve 2,7 új digitalis fekély jelentkezett (p = 0,0351). A </w:t>
      </w:r>
      <w:r w:rsidR="006264FB" w:rsidRPr="00D93355">
        <w:rPr>
          <w:rFonts w:eastAsia="TimesNewRoman"/>
          <w:lang w:val="hu-HU"/>
        </w:rPr>
        <w:t>bozentán</w:t>
      </w:r>
      <w:r w:rsidRPr="00D93355">
        <w:rPr>
          <w:rFonts w:eastAsia="TimesNewRoman"/>
          <w:lang w:val="hu-HU"/>
        </w:rPr>
        <w:t xml:space="preserve">nal kezelt betegeknél, a placebóval kezelt betegekhez képest, mindkét vizsgálatban kisebb valószínűséggel jelentkeztek új digitalis fekélyek, és az egyes, egymás után kialakuló új digitalis fekélyek hosszabb idő múltán jelentkeztek. A </w:t>
      </w:r>
      <w:r w:rsidR="006264FB" w:rsidRPr="00D93355">
        <w:rPr>
          <w:rFonts w:eastAsia="TimesNewRoman"/>
          <w:lang w:val="hu-HU"/>
        </w:rPr>
        <w:t>bozentán</w:t>
      </w:r>
      <w:r w:rsidRPr="00D93355">
        <w:rPr>
          <w:rFonts w:eastAsia="TimesNewRoman"/>
          <w:lang w:val="hu-HU"/>
        </w:rPr>
        <w:t xml:space="preserve"> új digitalis fekélyek számának csökkenésére gyakorolt hatása kifejezettebb volt azoknál a betegeknél, akiknek egyidejűleg több digitalis fekélyük volt.</w:t>
      </w:r>
    </w:p>
    <w:p w14:paraId="4A448CBA" w14:textId="77777777" w:rsidR="00E36D26" w:rsidRPr="00D93355" w:rsidRDefault="00E36D26">
      <w:pPr>
        <w:autoSpaceDE w:val="0"/>
        <w:autoSpaceDN w:val="0"/>
        <w:adjustRightInd w:val="0"/>
        <w:spacing w:line="240" w:lineRule="auto"/>
        <w:rPr>
          <w:rFonts w:eastAsia="TimesNewRoman"/>
          <w:lang w:val="hu-HU"/>
        </w:rPr>
      </w:pPr>
    </w:p>
    <w:p w14:paraId="42D7A991"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A </w:t>
      </w:r>
      <w:r w:rsidR="006264FB" w:rsidRPr="00D93355">
        <w:rPr>
          <w:rFonts w:eastAsia="TimesNewRoman"/>
          <w:lang w:val="hu-HU"/>
        </w:rPr>
        <w:t>bozentán</w:t>
      </w:r>
      <w:r w:rsidRPr="00D93355">
        <w:rPr>
          <w:rFonts w:eastAsia="TimesNewRoman"/>
          <w:lang w:val="hu-HU"/>
        </w:rPr>
        <w:t xml:space="preserve"> hatását a digitalis fekélyek gyógyulási időtartamára egyik vizsgálatban sem figyelték meg.</w:t>
      </w:r>
    </w:p>
    <w:p w14:paraId="6690EC07" w14:textId="77777777" w:rsidR="00E36D26" w:rsidRPr="00D93355" w:rsidRDefault="00E36D26">
      <w:pPr>
        <w:spacing w:line="240" w:lineRule="auto"/>
        <w:rPr>
          <w:lang w:val="hu-HU"/>
        </w:rPr>
      </w:pPr>
    </w:p>
    <w:p w14:paraId="60BBA5E7"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5.2</w:t>
      </w:r>
      <w:r w:rsidRPr="00D93355">
        <w:rPr>
          <w:b/>
          <w:bCs/>
          <w:lang w:val="hu-HU"/>
        </w:rPr>
        <w:tab/>
        <w:t>Farmakokinetikai tulajdonságok</w:t>
      </w:r>
    </w:p>
    <w:p w14:paraId="19D87533" w14:textId="77777777" w:rsidR="00E36D26" w:rsidRPr="00D93355" w:rsidRDefault="00E36D26">
      <w:pPr>
        <w:keepNext/>
        <w:spacing w:line="240" w:lineRule="auto"/>
        <w:ind w:left="567" w:hanging="567"/>
        <w:outlineLvl w:val="0"/>
        <w:rPr>
          <w:b/>
          <w:bCs/>
          <w:lang w:val="hu-HU"/>
        </w:rPr>
      </w:pPr>
    </w:p>
    <w:p w14:paraId="2014D6AF" w14:textId="77777777" w:rsidR="00E36D26" w:rsidRPr="00D93355" w:rsidRDefault="00E36D26">
      <w:pPr>
        <w:keepNext/>
        <w:numPr>
          <w:ilvl w:val="12"/>
          <w:numId w:val="0"/>
        </w:numPr>
        <w:spacing w:line="240" w:lineRule="auto"/>
        <w:ind w:right="-2"/>
        <w:rPr>
          <w:lang w:val="hu-HU"/>
        </w:rPr>
      </w:pPr>
      <w:r w:rsidRPr="00D93355">
        <w:rPr>
          <w:lang w:val="hu-HU"/>
        </w:rPr>
        <w:t xml:space="preserve">A </w:t>
      </w:r>
      <w:r w:rsidR="006264FB" w:rsidRPr="00D93355">
        <w:rPr>
          <w:lang w:val="hu-HU"/>
        </w:rPr>
        <w:t>bozentán</w:t>
      </w:r>
      <w:r w:rsidRPr="00D93355">
        <w:rPr>
          <w:lang w:val="hu-HU"/>
        </w:rPr>
        <w:t xml:space="preserve"> farmakokinetikáját elsősorban egészséges alanyoknál dokumentálták. A betegekre vonatkozó, korlátozott mennyiségű adat azt mutatja, hogy a </w:t>
      </w:r>
      <w:r w:rsidR="00877EBD">
        <w:rPr>
          <w:lang w:val="hu-HU"/>
        </w:rPr>
        <w:t>PAH-</w:t>
      </w:r>
      <w:r w:rsidRPr="00D93355">
        <w:rPr>
          <w:lang w:val="hu-HU"/>
        </w:rPr>
        <w:t xml:space="preserve">ban szenvedő felnőtteknél a </w:t>
      </w:r>
      <w:r w:rsidR="006264FB" w:rsidRPr="00D93355">
        <w:rPr>
          <w:lang w:val="hu-HU"/>
        </w:rPr>
        <w:t>bozentán</w:t>
      </w:r>
      <w:r w:rsidRPr="00D93355">
        <w:rPr>
          <w:lang w:val="hu-HU"/>
        </w:rPr>
        <w:noBreakHyphen/>
        <w:t>expozíció az egészséges alanyokénak hozzávetőleg kétszerese.</w:t>
      </w:r>
    </w:p>
    <w:p w14:paraId="5A7CB10B" w14:textId="77777777" w:rsidR="00E36D26" w:rsidRPr="00D93355" w:rsidRDefault="00E36D26">
      <w:pPr>
        <w:numPr>
          <w:ilvl w:val="12"/>
          <w:numId w:val="0"/>
        </w:numPr>
        <w:spacing w:line="240" w:lineRule="auto"/>
        <w:ind w:right="-2"/>
        <w:rPr>
          <w:lang w:val="hu-HU"/>
        </w:rPr>
      </w:pPr>
    </w:p>
    <w:p w14:paraId="7CA0D90C" w14:textId="77777777" w:rsidR="00E36D26" w:rsidRPr="00D93355" w:rsidRDefault="00E36D26">
      <w:pPr>
        <w:pStyle w:val="Default"/>
        <w:rPr>
          <w:sz w:val="22"/>
          <w:szCs w:val="22"/>
        </w:rPr>
      </w:pPr>
      <w:r w:rsidRPr="00D93355">
        <w:rPr>
          <w:sz w:val="22"/>
          <w:szCs w:val="22"/>
        </w:rPr>
        <w:t xml:space="preserve">Egészséges alanyoknál a </w:t>
      </w:r>
      <w:r w:rsidR="006264FB" w:rsidRPr="00D93355">
        <w:rPr>
          <w:sz w:val="22"/>
          <w:szCs w:val="22"/>
        </w:rPr>
        <w:t>bozentán</w:t>
      </w:r>
      <w:r w:rsidRPr="00D93355">
        <w:rPr>
          <w:sz w:val="22"/>
          <w:szCs w:val="22"/>
        </w:rPr>
        <w:t xml:space="preserve"> farmakokinetikája dózis</w:t>
      </w:r>
      <w:r w:rsidRPr="00D93355">
        <w:rPr>
          <w:sz w:val="22"/>
          <w:szCs w:val="22"/>
        </w:rPr>
        <w:noBreakHyphen/>
        <w:t xml:space="preserve"> és időfüggőnek bizonyult. A clearance és az eloszlási térfogat az intravénás dózis emelésével csökken, az idővel pedig növekszik. Szájon át történő alkalmazás esetén a szisztémás expozíció 500 mg</w:t>
      </w:r>
      <w:r w:rsidRPr="00D93355">
        <w:rPr>
          <w:sz w:val="22"/>
          <w:szCs w:val="22"/>
        </w:rPr>
        <w:noBreakHyphen/>
        <w:t xml:space="preserve">ig dózisarányos. Az orális dózis további emelése esetén a </w:t>
      </w:r>
      <w:r w:rsidR="00F05200">
        <w:rPr>
          <w:sz w:val="22"/>
          <w:szCs w:val="22"/>
        </w:rPr>
        <w:t>c</w:t>
      </w:r>
      <w:r w:rsidRPr="00D93355">
        <w:rPr>
          <w:sz w:val="22"/>
          <w:szCs w:val="22"/>
          <w:vertAlign w:val="subscript"/>
        </w:rPr>
        <w:t>max</w:t>
      </w:r>
      <w:r w:rsidRPr="00D93355">
        <w:rPr>
          <w:sz w:val="22"/>
          <w:szCs w:val="22"/>
        </w:rPr>
        <w:t xml:space="preserve"> és az AUC az alkalmazott dózissal arányosnál kisebb mértékben növekszik.</w:t>
      </w:r>
    </w:p>
    <w:p w14:paraId="41B38A56" w14:textId="77777777" w:rsidR="00E36D26" w:rsidRPr="00D93355" w:rsidRDefault="00E36D26">
      <w:pPr>
        <w:numPr>
          <w:ilvl w:val="12"/>
          <w:numId w:val="0"/>
        </w:numPr>
        <w:spacing w:line="240" w:lineRule="auto"/>
        <w:ind w:right="-2"/>
        <w:rPr>
          <w:lang w:val="hu-HU"/>
        </w:rPr>
      </w:pPr>
    </w:p>
    <w:p w14:paraId="1FCECB27" w14:textId="77777777" w:rsidR="00E36D26" w:rsidRPr="00D93355" w:rsidRDefault="00E36D26">
      <w:pPr>
        <w:pStyle w:val="Default"/>
        <w:keepNext/>
        <w:rPr>
          <w:sz w:val="22"/>
          <w:szCs w:val="22"/>
        </w:rPr>
      </w:pPr>
      <w:r w:rsidRPr="00D93355">
        <w:rPr>
          <w:iCs/>
          <w:sz w:val="22"/>
          <w:szCs w:val="22"/>
          <w:u w:val="single"/>
        </w:rPr>
        <w:t>Felszívódás</w:t>
      </w:r>
    </w:p>
    <w:p w14:paraId="5B545CB3" w14:textId="77777777" w:rsidR="00E36D26" w:rsidRPr="00D93355" w:rsidRDefault="00E36D26">
      <w:pPr>
        <w:pStyle w:val="Default"/>
        <w:keepNext/>
        <w:rPr>
          <w:sz w:val="22"/>
          <w:szCs w:val="22"/>
        </w:rPr>
      </w:pPr>
    </w:p>
    <w:p w14:paraId="4E752E72" w14:textId="77777777" w:rsidR="00E36D26" w:rsidRPr="00D93355" w:rsidRDefault="00E36D26">
      <w:pPr>
        <w:pStyle w:val="Default"/>
        <w:keepNext/>
        <w:rPr>
          <w:sz w:val="22"/>
          <w:szCs w:val="22"/>
        </w:rPr>
      </w:pPr>
      <w:r w:rsidRPr="00D93355">
        <w:rPr>
          <w:sz w:val="22"/>
          <w:szCs w:val="22"/>
        </w:rPr>
        <w:t xml:space="preserve">Egészséges alanyoknál a </w:t>
      </w:r>
      <w:r w:rsidR="006264FB" w:rsidRPr="00D93355">
        <w:rPr>
          <w:sz w:val="22"/>
          <w:szCs w:val="22"/>
        </w:rPr>
        <w:t>bozentán</w:t>
      </w:r>
      <w:r w:rsidRPr="00D93355">
        <w:rPr>
          <w:sz w:val="22"/>
          <w:szCs w:val="22"/>
        </w:rPr>
        <w:t xml:space="preserve"> abszolút biohasznosulása kb. 50%, étkezéstől függetlenül. Plazmakoncentrációja kb. 3–5 órán belül éri el a legmagasabb szintet.</w:t>
      </w:r>
    </w:p>
    <w:p w14:paraId="0083A914" w14:textId="77777777" w:rsidR="00E36D26" w:rsidRPr="00D93355" w:rsidRDefault="00E36D26">
      <w:pPr>
        <w:pStyle w:val="Default"/>
        <w:rPr>
          <w:i/>
          <w:iCs/>
          <w:sz w:val="22"/>
          <w:szCs w:val="22"/>
          <w:u w:val="single"/>
        </w:rPr>
      </w:pPr>
    </w:p>
    <w:p w14:paraId="55FA19B0" w14:textId="77777777" w:rsidR="00E36D26" w:rsidRPr="00D93355" w:rsidRDefault="00E36D26">
      <w:pPr>
        <w:pStyle w:val="Default"/>
        <w:keepNext/>
        <w:rPr>
          <w:sz w:val="22"/>
          <w:szCs w:val="22"/>
        </w:rPr>
      </w:pPr>
      <w:r w:rsidRPr="00D93355">
        <w:rPr>
          <w:iCs/>
          <w:sz w:val="22"/>
          <w:szCs w:val="22"/>
          <w:u w:val="single"/>
        </w:rPr>
        <w:t>Eloszlás</w:t>
      </w:r>
    </w:p>
    <w:p w14:paraId="76B86255" w14:textId="77777777" w:rsidR="00E36D26" w:rsidRPr="00D93355" w:rsidRDefault="00E36D26">
      <w:pPr>
        <w:pStyle w:val="Default"/>
        <w:keepNext/>
        <w:rPr>
          <w:sz w:val="22"/>
          <w:szCs w:val="22"/>
        </w:rPr>
      </w:pPr>
    </w:p>
    <w:p w14:paraId="1AA143AD" w14:textId="77777777" w:rsidR="00E36D26" w:rsidRPr="00D93355" w:rsidRDefault="00E36D26">
      <w:pPr>
        <w:pStyle w:val="Default"/>
        <w:keepNext/>
        <w:rPr>
          <w:sz w:val="22"/>
          <w:szCs w:val="22"/>
        </w:rPr>
      </w:pPr>
      <w:r w:rsidRPr="00D93355">
        <w:rPr>
          <w:sz w:val="22"/>
          <w:szCs w:val="22"/>
        </w:rPr>
        <w:t xml:space="preserve">A </w:t>
      </w:r>
      <w:r w:rsidR="006264FB" w:rsidRPr="00D93355">
        <w:rPr>
          <w:sz w:val="22"/>
          <w:szCs w:val="22"/>
        </w:rPr>
        <w:t>bozentán</w:t>
      </w:r>
      <w:r w:rsidRPr="00D93355">
        <w:rPr>
          <w:sz w:val="22"/>
          <w:szCs w:val="22"/>
        </w:rPr>
        <w:t xml:space="preserve"> nagymértékben (&gt; 98%) kötődik a plazmafehérjékhez, elsősorban az albuminhoz. A </w:t>
      </w:r>
      <w:r w:rsidR="006264FB" w:rsidRPr="00D93355">
        <w:rPr>
          <w:sz w:val="22"/>
          <w:szCs w:val="22"/>
        </w:rPr>
        <w:t>bozentán</w:t>
      </w:r>
      <w:r w:rsidRPr="00D93355">
        <w:rPr>
          <w:sz w:val="22"/>
          <w:szCs w:val="22"/>
        </w:rPr>
        <w:t xml:space="preserve"> nem jut be a vörösvér</w:t>
      </w:r>
      <w:r w:rsidR="000C4B97" w:rsidRPr="00D93355">
        <w:rPr>
          <w:sz w:val="22"/>
          <w:szCs w:val="22"/>
        </w:rPr>
        <w:t>tes</w:t>
      </w:r>
      <w:r w:rsidRPr="00D93355">
        <w:rPr>
          <w:sz w:val="22"/>
          <w:szCs w:val="22"/>
        </w:rPr>
        <w:t>tekbe.</w:t>
      </w:r>
    </w:p>
    <w:p w14:paraId="37AE13CC" w14:textId="77777777" w:rsidR="00E36D26" w:rsidRPr="00D93355" w:rsidRDefault="00E36D26">
      <w:pPr>
        <w:pStyle w:val="Default"/>
        <w:rPr>
          <w:sz w:val="22"/>
          <w:szCs w:val="22"/>
        </w:rPr>
      </w:pPr>
    </w:p>
    <w:p w14:paraId="2C3A4BAF" w14:textId="77777777" w:rsidR="00E36D26" w:rsidRPr="00D93355" w:rsidRDefault="00E36D26">
      <w:pPr>
        <w:pStyle w:val="Default"/>
        <w:rPr>
          <w:sz w:val="22"/>
          <w:szCs w:val="22"/>
        </w:rPr>
      </w:pPr>
      <w:r w:rsidRPr="00D93355">
        <w:rPr>
          <w:sz w:val="22"/>
          <w:szCs w:val="22"/>
        </w:rPr>
        <w:t>250 mg intravénás dózis mellett kb. 18 literes eloszlási térfogatot (V</w:t>
      </w:r>
      <w:r w:rsidRPr="00D93355">
        <w:rPr>
          <w:sz w:val="22"/>
          <w:szCs w:val="22"/>
          <w:vertAlign w:val="subscript"/>
        </w:rPr>
        <w:t>ss</w:t>
      </w:r>
      <w:r w:rsidRPr="00D93355">
        <w:rPr>
          <w:sz w:val="22"/>
          <w:szCs w:val="22"/>
        </w:rPr>
        <w:t>) határoztak meg.</w:t>
      </w:r>
    </w:p>
    <w:p w14:paraId="5376327E" w14:textId="77777777" w:rsidR="00E36D26" w:rsidRPr="00D93355" w:rsidRDefault="00E36D26">
      <w:pPr>
        <w:pStyle w:val="Default"/>
        <w:rPr>
          <w:i/>
          <w:iCs/>
          <w:sz w:val="22"/>
          <w:szCs w:val="22"/>
          <w:u w:val="single"/>
        </w:rPr>
      </w:pPr>
    </w:p>
    <w:p w14:paraId="787BF545" w14:textId="77777777" w:rsidR="00940FE9" w:rsidRPr="00D93355" w:rsidRDefault="00940FE9">
      <w:pPr>
        <w:pStyle w:val="Default"/>
        <w:keepNext/>
        <w:rPr>
          <w:iCs/>
          <w:sz w:val="22"/>
          <w:szCs w:val="22"/>
          <w:u w:val="single"/>
        </w:rPr>
      </w:pPr>
      <w:r w:rsidRPr="00D93355">
        <w:rPr>
          <w:iCs/>
          <w:sz w:val="22"/>
          <w:szCs w:val="22"/>
          <w:u w:val="single"/>
        </w:rPr>
        <w:t>Biotranszformáció és elimináció</w:t>
      </w:r>
    </w:p>
    <w:p w14:paraId="467D4EAE" w14:textId="77777777" w:rsidR="00E36D26" w:rsidRPr="00D93355" w:rsidRDefault="00E36D26">
      <w:pPr>
        <w:pStyle w:val="Default"/>
        <w:keepNext/>
        <w:rPr>
          <w:sz w:val="22"/>
          <w:szCs w:val="22"/>
        </w:rPr>
      </w:pPr>
    </w:p>
    <w:p w14:paraId="5040315E" w14:textId="77777777" w:rsidR="00E36D26" w:rsidRPr="00D93355" w:rsidRDefault="00E36D26">
      <w:pPr>
        <w:pStyle w:val="Default"/>
        <w:keepNext/>
        <w:rPr>
          <w:sz w:val="22"/>
          <w:szCs w:val="22"/>
        </w:rPr>
      </w:pPr>
      <w:r w:rsidRPr="00D93355">
        <w:rPr>
          <w:sz w:val="22"/>
          <w:szCs w:val="22"/>
        </w:rPr>
        <w:t>Egyszeri, 250 mg</w:t>
      </w:r>
      <w:r w:rsidRPr="00D93355">
        <w:rPr>
          <w:sz w:val="22"/>
          <w:szCs w:val="22"/>
        </w:rPr>
        <w:noBreakHyphen/>
        <w:t>os intravénás dózis után a clearance 8,2 l/óra volt. A terminális eliminációs felezési idő (t</w:t>
      </w:r>
      <w:r w:rsidRPr="00D93355">
        <w:rPr>
          <w:sz w:val="22"/>
          <w:szCs w:val="22"/>
          <w:vertAlign w:val="subscript"/>
        </w:rPr>
        <w:t>1/2</w:t>
      </w:r>
      <w:r w:rsidRPr="00D93355">
        <w:rPr>
          <w:sz w:val="22"/>
          <w:szCs w:val="22"/>
        </w:rPr>
        <w:t>) 5,4 óra.</w:t>
      </w:r>
    </w:p>
    <w:p w14:paraId="49B2B9EA" w14:textId="77777777" w:rsidR="00E36D26" w:rsidRPr="00D93355" w:rsidRDefault="00E36D26">
      <w:pPr>
        <w:numPr>
          <w:ilvl w:val="12"/>
          <w:numId w:val="0"/>
        </w:numPr>
        <w:spacing w:line="240" w:lineRule="auto"/>
        <w:ind w:right="-2"/>
        <w:rPr>
          <w:lang w:val="hu-HU"/>
        </w:rPr>
      </w:pPr>
    </w:p>
    <w:p w14:paraId="68932CE2" w14:textId="77777777" w:rsidR="00E36D26" w:rsidRPr="00D93355" w:rsidRDefault="00E36D26">
      <w:pPr>
        <w:numPr>
          <w:ilvl w:val="12"/>
          <w:numId w:val="0"/>
        </w:numPr>
        <w:spacing w:line="240" w:lineRule="auto"/>
        <w:ind w:right="-2"/>
        <w:rPr>
          <w:lang w:val="hu-HU"/>
        </w:rPr>
      </w:pPr>
      <w:r w:rsidRPr="00D93355">
        <w:rPr>
          <w:lang w:val="hu-HU"/>
        </w:rPr>
        <w:t xml:space="preserve">Többszörös dózis alkalmazásakor a </w:t>
      </w:r>
      <w:r w:rsidR="006264FB" w:rsidRPr="00D93355">
        <w:rPr>
          <w:lang w:val="hu-HU"/>
        </w:rPr>
        <w:t>bozentán</w:t>
      </w:r>
      <w:r w:rsidRPr="00D93355">
        <w:rPr>
          <w:lang w:val="hu-HU"/>
        </w:rPr>
        <w:t xml:space="preserve"> plazmakoncentrációja fokozatosan az egyszeri adag alkalmazása utáni érték 50</w:t>
      </w:r>
      <w:r w:rsidRPr="00D93355">
        <w:rPr>
          <w:lang w:val="hu-HU"/>
        </w:rPr>
        <w:noBreakHyphen/>
        <w:t>65%</w:t>
      </w:r>
      <w:r w:rsidRPr="00D93355">
        <w:rPr>
          <w:lang w:val="hu-HU"/>
        </w:rPr>
        <w:noBreakHyphen/>
        <w:t>ára csökken. Ez a csökkenés valószínűleg a metabolizációt végző májenzimek autoindukciójának tudható be. Az egyensúlyi állapot 3–5 napon belül alakul ki.</w:t>
      </w:r>
    </w:p>
    <w:p w14:paraId="712DC300" w14:textId="77777777" w:rsidR="00E36D26" w:rsidRPr="00D93355" w:rsidRDefault="00E36D26">
      <w:pPr>
        <w:numPr>
          <w:ilvl w:val="12"/>
          <w:numId w:val="0"/>
        </w:numPr>
        <w:spacing w:line="240" w:lineRule="auto"/>
        <w:ind w:right="-2"/>
        <w:rPr>
          <w:lang w:val="hu-HU"/>
        </w:rPr>
      </w:pPr>
    </w:p>
    <w:p w14:paraId="039EBC3B" w14:textId="77777777" w:rsidR="00E36D26" w:rsidRPr="00D93355" w:rsidRDefault="00E36D26">
      <w:pPr>
        <w:pStyle w:val="Default"/>
        <w:rPr>
          <w:sz w:val="22"/>
          <w:szCs w:val="22"/>
        </w:rPr>
      </w:pPr>
      <w:r w:rsidRPr="00D93355">
        <w:rPr>
          <w:sz w:val="22"/>
          <w:szCs w:val="22"/>
        </w:rPr>
        <w:t xml:space="preserve">A </w:t>
      </w:r>
      <w:r w:rsidR="006264FB" w:rsidRPr="00D93355">
        <w:rPr>
          <w:sz w:val="22"/>
          <w:szCs w:val="22"/>
        </w:rPr>
        <w:t>bozentán</w:t>
      </w:r>
      <w:r w:rsidRPr="00D93355">
        <w:rPr>
          <w:sz w:val="22"/>
          <w:szCs w:val="22"/>
        </w:rPr>
        <w:t xml:space="preserve"> a májban a CYP2C9 és CYP3A4 citokróm P450 izoenzimek által végzett metabolizáció után az epén keresztül választódik ki. A vizeletben a szájon át alkalmazott dózis kevesebb, mint 3%</w:t>
      </w:r>
      <w:r w:rsidRPr="00D93355">
        <w:rPr>
          <w:sz w:val="22"/>
          <w:szCs w:val="22"/>
        </w:rPr>
        <w:noBreakHyphen/>
        <w:t>a jelenik meg.</w:t>
      </w:r>
    </w:p>
    <w:p w14:paraId="7BA7E631" w14:textId="77777777" w:rsidR="00E36D26" w:rsidRPr="00D93355" w:rsidRDefault="00E36D26">
      <w:pPr>
        <w:pStyle w:val="Default"/>
        <w:rPr>
          <w:sz w:val="22"/>
          <w:szCs w:val="22"/>
        </w:rPr>
      </w:pPr>
    </w:p>
    <w:p w14:paraId="7336DFEE" w14:textId="77777777" w:rsidR="00E36D26" w:rsidRPr="00D93355" w:rsidRDefault="00E36D26">
      <w:pPr>
        <w:pStyle w:val="Default"/>
        <w:rPr>
          <w:sz w:val="22"/>
          <w:szCs w:val="22"/>
        </w:rPr>
      </w:pPr>
      <w:r w:rsidRPr="00D93355">
        <w:rPr>
          <w:sz w:val="22"/>
          <w:szCs w:val="22"/>
        </w:rPr>
        <w:t xml:space="preserve">A </w:t>
      </w:r>
      <w:r w:rsidR="006264FB" w:rsidRPr="00D93355">
        <w:rPr>
          <w:sz w:val="22"/>
          <w:szCs w:val="22"/>
        </w:rPr>
        <w:t>bozentán</w:t>
      </w:r>
      <w:r w:rsidRPr="00D93355">
        <w:rPr>
          <w:sz w:val="22"/>
          <w:szCs w:val="22"/>
        </w:rPr>
        <w:t>ból három metabolit képződik, melyek közül csak egy farmakológiailag aktív. Ez a metabolit jórészt változatlan formában, az epével ürül. Felnőtt betegeknél az aktív metabolit</w:t>
      </w:r>
      <w:r w:rsidRPr="00D93355">
        <w:rPr>
          <w:sz w:val="22"/>
          <w:szCs w:val="22"/>
        </w:rPr>
        <w:noBreakHyphen/>
        <w:t>expozíció magasabb, mint egészséges alanyoknál. Cholestasis jeleit mutató betegeknél magasabb lehet az aktív metabolit</w:t>
      </w:r>
      <w:r w:rsidRPr="00D93355">
        <w:rPr>
          <w:sz w:val="22"/>
          <w:szCs w:val="22"/>
        </w:rPr>
        <w:noBreakHyphen/>
        <w:t>expozíció.</w:t>
      </w:r>
    </w:p>
    <w:p w14:paraId="1B39B0AA" w14:textId="77777777" w:rsidR="00E36D26" w:rsidRPr="00D93355" w:rsidRDefault="00E36D26">
      <w:pPr>
        <w:pStyle w:val="Default"/>
        <w:rPr>
          <w:sz w:val="22"/>
          <w:szCs w:val="22"/>
        </w:rPr>
      </w:pPr>
    </w:p>
    <w:p w14:paraId="0F3B1F56" w14:textId="77777777" w:rsidR="00E36D26" w:rsidRPr="00D93355" w:rsidRDefault="00E36D26">
      <w:pPr>
        <w:pStyle w:val="Default"/>
        <w:rPr>
          <w:sz w:val="22"/>
          <w:szCs w:val="22"/>
        </w:rPr>
      </w:pPr>
      <w:r w:rsidRPr="00D93355">
        <w:rPr>
          <w:sz w:val="22"/>
          <w:szCs w:val="22"/>
        </w:rPr>
        <w:t xml:space="preserve">A </w:t>
      </w:r>
      <w:r w:rsidR="006264FB" w:rsidRPr="00D93355">
        <w:rPr>
          <w:sz w:val="22"/>
          <w:szCs w:val="22"/>
        </w:rPr>
        <w:t>bozentán</w:t>
      </w:r>
      <w:r w:rsidRPr="00D93355">
        <w:rPr>
          <w:sz w:val="22"/>
          <w:szCs w:val="22"/>
        </w:rPr>
        <w:t xml:space="preserve"> a CYP2C9 és a CYP3A4, valamint feltehetőleg a CYP2</w:t>
      </w:r>
      <w:r w:rsidR="000C4B97" w:rsidRPr="00D93355">
        <w:rPr>
          <w:sz w:val="22"/>
          <w:szCs w:val="22"/>
        </w:rPr>
        <w:t>C</w:t>
      </w:r>
      <w:r w:rsidRPr="00D93355">
        <w:rPr>
          <w:sz w:val="22"/>
          <w:szCs w:val="22"/>
        </w:rPr>
        <w:t>19 izoenzim, valamint a P</w:t>
      </w:r>
      <w:r w:rsidRPr="00D93355">
        <w:rPr>
          <w:sz w:val="22"/>
          <w:szCs w:val="22"/>
        </w:rPr>
        <w:noBreakHyphen/>
        <w:t xml:space="preserve">glikoprotein induktora. </w:t>
      </w:r>
      <w:r w:rsidRPr="00D93355">
        <w:rPr>
          <w:i/>
          <w:iCs/>
          <w:sz w:val="22"/>
          <w:szCs w:val="22"/>
        </w:rPr>
        <w:t xml:space="preserve">In vitro </w:t>
      </w:r>
      <w:r w:rsidRPr="00D93355">
        <w:rPr>
          <w:sz w:val="22"/>
          <w:szCs w:val="22"/>
        </w:rPr>
        <w:t xml:space="preserve">májsejtkultúrákban a </w:t>
      </w:r>
      <w:r w:rsidR="006264FB" w:rsidRPr="00D93355">
        <w:rPr>
          <w:sz w:val="22"/>
          <w:szCs w:val="22"/>
        </w:rPr>
        <w:t>bozentán</w:t>
      </w:r>
      <w:r w:rsidRPr="00D93355">
        <w:rPr>
          <w:sz w:val="22"/>
          <w:szCs w:val="22"/>
        </w:rPr>
        <w:t xml:space="preserve"> gátolja az epesó</w:t>
      </w:r>
      <w:r w:rsidRPr="00D93355">
        <w:rPr>
          <w:sz w:val="22"/>
          <w:szCs w:val="22"/>
        </w:rPr>
        <w:noBreakHyphen/>
        <w:t>exportpumpa működését.</w:t>
      </w:r>
    </w:p>
    <w:p w14:paraId="6A2DD4D8" w14:textId="77777777" w:rsidR="00E36D26" w:rsidRPr="00D93355" w:rsidRDefault="00E36D26">
      <w:pPr>
        <w:numPr>
          <w:ilvl w:val="12"/>
          <w:numId w:val="0"/>
        </w:numPr>
        <w:spacing w:line="240" w:lineRule="auto"/>
        <w:ind w:right="-2"/>
        <w:rPr>
          <w:lang w:val="hu-HU"/>
        </w:rPr>
      </w:pPr>
    </w:p>
    <w:p w14:paraId="7B4B61EB" w14:textId="77777777" w:rsidR="00E36D26" w:rsidRPr="00D93355" w:rsidRDefault="00E36D26">
      <w:pPr>
        <w:numPr>
          <w:ilvl w:val="12"/>
          <w:numId w:val="0"/>
        </w:numPr>
        <w:spacing w:line="240" w:lineRule="auto"/>
        <w:ind w:right="-2"/>
        <w:rPr>
          <w:lang w:val="hu-HU"/>
        </w:rPr>
      </w:pPr>
      <w:r w:rsidRPr="00D93355">
        <w:rPr>
          <w:lang w:val="hu-HU"/>
        </w:rPr>
        <w:lastRenderedPageBreak/>
        <w:t xml:space="preserve">Az </w:t>
      </w:r>
      <w:r w:rsidRPr="00D93355">
        <w:rPr>
          <w:i/>
          <w:iCs/>
          <w:lang w:val="hu-HU"/>
        </w:rPr>
        <w:t xml:space="preserve">in vitro </w:t>
      </w:r>
      <w:r w:rsidRPr="00D93355">
        <w:rPr>
          <w:lang w:val="hu-HU"/>
        </w:rPr>
        <w:t xml:space="preserve">adatok azt igazolták, hogy a </w:t>
      </w:r>
      <w:r w:rsidR="006264FB" w:rsidRPr="00D93355">
        <w:rPr>
          <w:lang w:val="hu-HU"/>
        </w:rPr>
        <w:t>bozentán</w:t>
      </w:r>
      <w:r w:rsidRPr="00D93355">
        <w:rPr>
          <w:lang w:val="hu-HU"/>
        </w:rPr>
        <w:t xml:space="preserve">nak nincs jelentős gátló hatása a vizsgált CYP izoenzimekre (CYP1A2, 2A6, 2B6, 2C8, 2C9, 2D6, 2E1, 3A4). A </w:t>
      </w:r>
      <w:r w:rsidR="006264FB" w:rsidRPr="00D93355">
        <w:rPr>
          <w:lang w:val="hu-HU"/>
        </w:rPr>
        <w:t>bozentán</w:t>
      </w:r>
      <w:r w:rsidRPr="00D93355">
        <w:rPr>
          <w:lang w:val="hu-HU"/>
        </w:rPr>
        <w:t xml:space="preserve"> ezért várhatóan nem növeli a felsorolt izoenzimek által metabolizált gyógyszerek plazmakoncentrációját.</w:t>
      </w:r>
    </w:p>
    <w:p w14:paraId="15F87374" w14:textId="77777777" w:rsidR="00E36D26" w:rsidRPr="00D93355" w:rsidRDefault="00E36D26">
      <w:pPr>
        <w:numPr>
          <w:ilvl w:val="12"/>
          <w:numId w:val="0"/>
        </w:numPr>
        <w:spacing w:line="240" w:lineRule="auto"/>
        <w:ind w:right="-2"/>
        <w:rPr>
          <w:lang w:val="hu-HU"/>
        </w:rPr>
      </w:pPr>
    </w:p>
    <w:p w14:paraId="7771DF03" w14:textId="77777777" w:rsidR="00E36D26" w:rsidRPr="00D93355" w:rsidRDefault="00E36D26">
      <w:pPr>
        <w:pStyle w:val="Default"/>
        <w:keepNext/>
        <w:rPr>
          <w:iCs/>
          <w:sz w:val="22"/>
          <w:szCs w:val="22"/>
          <w:u w:val="single"/>
        </w:rPr>
      </w:pPr>
      <w:r w:rsidRPr="00D93355">
        <w:rPr>
          <w:iCs/>
          <w:sz w:val="22"/>
          <w:szCs w:val="22"/>
          <w:u w:val="single"/>
        </w:rPr>
        <w:t xml:space="preserve">Farmakokinetika </w:t>
      </w:r>
      <w:r w:rsidR="000C4B97" w:rsidRPr="00D93355">
        <w:rPr>
          <w:iCs/>
          <w:sz w:val="22"/>
          <w:szCs w:val="22"/>
          <w:u w:val="single"/>
        </w:rPr>
        <w:t>különleges betegcsoportok</w:t>
      </w:r>
      <w:r w:rsidRPr="00D93355">
        <w:rPr>
          <w:iCs/>
          <w:sz w:val="22"/>
          <w:szCs w:val="22"/>
          <w:u w:val="single"/>
        </w:rPr>
        <w:t>nál</w:t>
      </w:r>
    </w:p>
    <w:p w14:paraId="668566EE" w14:textId="77777777" w:rsidR="00940FE9" w:rsidRPr="00D93355" w:rsidRDefault="00940FE9">
      <w:pPr>
        <w:pStyle w:val="Default"/>
        <w:keepNext/>
        <w:rPr>
          <w:sz w:val="22"/>
          <w:szCs w:val="22"/>
          <w:u w:val="single"/>
        </w:rPr>
      </w:pPr>
    </w:p>
    <w:p w14:paraId="26CAA795" w14:textId="77777777" w:rsidR="00E36D26" w:rsidRPr="00D93355" w:rsidRDefault="00E36D26">
      <w:pPr>
        <w:pStyle w:val="Default"/>
        <w:keepNext/>
        <w:rPr>
          <w:sz w:val="22"/>
          <w:szCs w:val="22"/>
        </w:rPr>
      </w:pPr>
      <w:r w:rsidRPr="00D93355">
        <w:rPr>
          <w:sz w:val="22"/>
          <w:szCs w:val="22"/>
        </w:rPr>
        <w:t xml:space="preserve">Az egyes változók vizsgált tartományában kapott eredményei alapján a felnőtt populációban a nem, a testtömeg, az etnikai hovatartozás és a kor függvényében várhatóan nem változik jelentős mértékben a </w:t>
      </w:r>
      <w:r w:rsidR="006264FB" w:rsidRPr="00D93355">
        <w:rPr>
          <w:sz w:val="22"/>
          <w:szCs w:val="22"/>
        </w:rPr>
        <w:t>bozentán</w:t>
      </w:r>
      <w:r w:rsidRPr="00D93355">
        <w:rPr>
          <w:sz w:val="22"/>
          <w:szCs w:val="22"/>
        </w:rPr>
        <w:t xml:space="preserve"> farmakokinetikája.</w:t>
      </w:r>
    </w:p>
    <w:p w14:paraId="478BC0EA" w14:textId="77777777" w:rsidR="00E36D26" w:rsidRPr="00D93355" w:rsidRDefault="00E36D26">
      <w:pPr>
        <w:keepNext/>
        <w:numPr>
          <w:ilvl w:val="12"/>
          <w:numId w:val="0"/>
        </w:numPr>
        <w:spacing w:line="240" w:lineRule="auto"/>
        <w:ind w:right="-2"/>
        <w:rPr>
          <w:u w:val="single"/>
          <w:lang w:val="hu-HU"/>
        </w:rPr>
      </w:pPr>
    </w:p>
    <w:p w14:paraId="5774BD47" w14:textId="77777777" w:rsidR="00E36D26" w:rsidRPr="00D93355" w:rsidRDefault="00E36D26">
      <w:pPr>
        <w:keepNext/>
        <w:numPr>
          <w:ilvl w:val="12"/>
          <w:numId w:val="0"/>
        </w:numPr>
        <w:spacing w:line="240" w:lineRule="auto"/>
        <w:ind w:right="-2"/>
        <w:rPr>
          <w:i/>
          <w:lang w:val="hu-HU"/>
        </w:rPr>
      </w:pPr>
      <w:r w:rsidRPr="00D93355">
        <w:rPr>
          <w:i/>
          <w:lang w:val="hu-HU"/>
        </w:rPr>
        <w:t>Gyermekek</w:t>
      </w:r>
      <w:r w:rsidR="005B3799">
        <w:rPr>
          <w:i/>
          <w:lang w:val="hu-HU"/>
        </w:rPr>
        <w:t xml:space="preserve"> és serdülők</w:t>
      </w:r>
    </w:p>
    <w:p w14:paraId="348E38B1"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A farmakokinetikát 4 klinikai vizsgálatban (BREATHE-3, FUTURE 1, FUTURE-3 és FUTURE-4 </w:t>
      </w:r>
      <w:r w:rsidR="000C4B97" w:rsidRPr="00D93355">
        <w:rPr>
          <w:rFonts w:eastAsia="TimesNewRoman"/>
          <w:lang w:val="hu-HU"/>
        </w:rPr>
        <w:t xml:space="preserve">– </w:t>
      </w:r>
      <w:r w:rsidRPr="00D93355">
        <w:rPr>
          <w:rFonts w:eastAsia="TimesNewRoman"/>
          <w:lang w:val="hu-HU"/>
        </w:rPr>
        <w:t>lásd 5.1 pont) értékelték gyermekkorú betegeken. A 2 éves kor alatti gyermekeknél rendelkezésre álló adatok korlátozottsága folytán ebben a korcsoportban a farmakokinetika nem kellően jellemzett.</w:t>
      </w:r>
    </w:p>
    <w:p w14:paraId="4F21A75B" w14:textId="77777777" w:rsidR="00E36D26" w:rsidRPr="00D93355" w:rsidRDefault="00E36D26">
      <w:pPr>
        <w:autoSpaceDE w:val="0"/>
        <w:autoSpaceDN w:val="0"/>
        <w:adjustRightInd w:val="0"/>
        <w:spacing w:line="240" w:lineRule="auto"/>
        <w:rPr>
          <w:rFonts w:eastAsia="TimesNewRoman"/>
          <w:lang w:val="hu-HU"/>
        </w:rPr>
      </w:pPr>
    </w:p>
    <w:p w14:paraId="591E2BB8"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A </w:t>
      </w:r>
      <w:r w:rsidR="006264FB" w:rsidRPr="00D93355">
        <w:rPr>
          <w:rFonts w:eastAsia="TimesNewRoman"/>
          <w:lang w:val="hu-HU"/>
        </w:rPr>
        <w:t>bozentán</w:t>
      </w:r>
      <w:r w:rsidRPr="00D93355">
        <w:rPr>
          <w:rFonts w:eastAsia="TimesNewRoman"/>
          <w:lang w:val="hu-HU"/>
        </w:rPr>
        <w:t xml:space="preserve"> filmtabletta gyógyszerforma szájon át alkalmazott egyszeres és többszörös dózisainak az AC-052-356 </w:t>
      </w:r>
      <w:r w:rsidR="00A73CA0">
        <w:rPr>
          <w:rFonts w:eastAsia="TimesNewRoman"/>
          <w:lang w:val="hu-HU"/>
        </w:rPr>
        <w:t>(</w:t>
      </w:r>
      <w:r w:rsidRPr="00D93355">
        <w:rPr>
          <w:rFonts w:eastAsia="TimesNewRoman"/>
          <w:lang w:val="hu-HU"/>
        </w:rPr>
        <w:t>BREATHE-3) vizsgálatban értékelt farmakokinetikáját PAH</w:t>
      </w:r>
      <w:r w:rsidR="00F26672">
        <w:rPr>
          <w:rFonts w:eastAsia="TimesNewRoman"/>
          <w:lang w:val="hu-HU"/>
        </w:rPr>
        <w:t>-ban</w:t>
      </w:r>
      <w:r w:rsidRPr="00D93355">
        <w:rPr>
          <w:rFonts w:eastAsia="TimesNewRoman"/>
          <w:lang w:val="hu-HU"/>
        </w:rPr>
        <w:t xml:space="preserve"> szenvedő 19, 3</w:t>
      </w:r>
      <w:r w:rsidRPr="00D93355">
        <w:rPr>
          <w:rFonts w:eastAsia="TimesNewRoman"/>
          <w:lang w:val="hu-HU"/>
        </w:rPr>
        <w:noBreakHyphen/>
        <w:t>15 év közötti gyermeken</w:t>
      </w:r>
      <w:r w:rsidR="005B3799">
        <w:rPr>
          <w:rFonts w:eastAsia="TimesNewRoman"/>
          <w:lang w:val="hu-HU"/>
        </w:rPr>
        <w:t xml:space="preserve"> és serdülőn</w:t>
      </w:r>
      <w:r w:rsidRPr="00D93355">
        <w:rPr>
          <w:rFonts w:eastAsia="TimesNewRoman"/>
          <w:lang w:val="hu-HU"/>
        </w:rPr>
        <w:t xml:space="preserve">, a testtömegnek megfelelő naponta kétszer adott 2 mg/ttkg dózissal vizsgálták. Ebben a vizsgálatban, a </w:t>
      </w:r>
      <w:r w:rsidR="006264FB" w:rsidRPr="00D93355">
        <w:rPr>
          <w:rFonts w:eastAsia="TimesNewRoman"/>
          <w:lang w:val="hu-HU"/>
        </w:rPr>
        <w:t>bozentán</w:t>
      </w:r>
      <w:r w:rsidRPr="00D93355">
        <w:rPr>
          <w:rFonts w:eastAsia="TimesNewRoman"/>
          <w:lang w:val="hu-HU"/>
        </w:rPr>
        <w:t xml:space="preserve">-expozíció a </w:t>
      </w:r>
      <w:r w:rsidR="006264FB" w:rsidRPr="00D93355">
        <w:rPr>
          <w:rFonts w:eastAsia="TimesNewRoman"/>
          <w:lang w:val="hu-HU"/>
        </w:rPr>
        <w:t>bozentán</w:t>
      </w:r>
      <w:r w:rsidRPr="00D93355">
        <w:rPr>
          <w:rFonts w:eastAsia="TimesNewRoman"/>
          <w:lang w:val="hu-HU"/>
        </w:rPr>
        <w:t xml:space="preserve"> ismert autoinduktív tulajdonságainak megfelelően, az idővel csökkent. A naponta kétszer 31,25 mg-os, 62,5 mg-os és 125 mg-os dózist kapó, gyermekkorú betegek esetén a </w:t>
      </w:r>
      <w:r w:rsidR="006264FB" w:rsidRPr="00D93355">
        <w:rPr>
          <w:rFonts w:eastAsia="TimesNewRoman"/>
          <w:lang w:val="hu-HU"/>
        </w:rPr>
        <w:t>bozentán</w:t>
      </w:r>
      <w:r w:rsidRPr="00D93355">
        <w:rPr>
          <w:rFonts w:eastAsia="TimesNewRoman"/>
          <w:lang w:val="hu-HU"/>
        </w:rPr>
        <w:t xml:space="preserve"> átlagos AUC (CV%) értéke 3</w:t>
      </w:r>
      <w:r w:rsidR="0098370A">
        <w:rPr>
          <w:rFonts w:eastAsia="TimesNewRoman"/>
          <w:lang w:val="hu-HU"/>
        </w:rPr>
        <w:t>,</w:t>
      </w:r>
      <w:r w:rsidRPr="00D93355">
        <w:rPr>
          <w:rFonts w:eastAsia="TimesNewRoman"/>
          <w:lang w:val="hu-HU"/>
        </w:rPr>
        <w:t>496 (49), 5</w:t>
      </w:r>
      <w:r w:rsidR="0098370A">
        <w:rPr>
          <w:rFonts w:eastAsia="TimesNewRoman"/>
          <w:lang w:val="hu-HU"/>
        </w:rPr>
        <w:t>,</w:t>
      </w:r>
      <w:r w:rsidRPr="00D93355">
        <w:rPr>
          <w:rFonts w:eastAsia="TimesNewRoman"/>
          <w:lang w:val="hu-HU"/>
        </w:rPr>
        <w:t>428 (79), illetve 6</w:t>
      </w:r>
      <w:r w:rsidR="0098370A">
        <w:rPr>
          <w:rFonts w:eastAsia="TimesNewRoman"/>
          <w:lang w:val="hu-HU"/>
        </w:rPr>
        <w:t>,</w:t>
      </w:r>
      <w:r w:rsidRPr="00D93355">
        <w:rPr>
          <w:rFonts w:eastAsia="TimesNewRoman"/>
          <w:lang w:val="hu-HU"/>
        </w:rPr>
        <w:t>124 (27) ng·</w:t>
      </w:r>
      <w:r w:rsidR="000C4B97" w:rsidRPr="00D93355">
        <w:rPr>
          <w:rFonts w:eastAsia="TimesNewRoman"/>
          <w:lang w:val="hu-HU"/>
        </w:rPr>
        <w:t>óra</w:t>
      </w:r>
      <w:r w:rsidRPr="00D93355">
        <w:rPr>
          <w:rFonts w:eastAsia="TimesNewRoman"/>
          <w:lang w:val="hu-HU"/>
        </w:rPr>
        <w:t>/ml volt. Ezek alacsonyabbak a naponta kétszer 125 mg-os adagot kapó, PAH-ban szenvedő felnőtt betegek esetén mért 8</w:t>
      </w:r>
      <w:r w:rsidR="0098370A">
        <w:rPr>
          <w:rFonts w:eastAsia="TimesNewRoman"/>
          <w:lang w:val="hu-HU"/>
        </w:rPr>
        <w:t>,</w:t>
      </w:r>
      <w:r w:rsidRPr="00D93355">
        <w:rPr>
          <w:rFonts w:eastAsia="TimesNewRoman"/>
          <w:lang w:val="hu-HU"/>
        </w:rPr>
        <w:t>149 (47) ng</w:t>
      </w:r>
      <w:r w:rsidR="000C4B97" w:rsidRPr="00D93355">
        <w:rPr>
          <w:rFonts w:eastAsia="TimesNewRoman"/>
          <w:lang w:val="hu-HU"/>
        </w:rPr>
        <w:t xml:space="preserve"> óra</w:t>
      </w:r>
      <w:r w:rsidRPr="00D93355">
        <w:rPr>
          <w:rFonts w:eastAsia="TimesNewRoman"/>
          <w:lang w:val="hu-HU"/>
        </w:rPr>
        <w:t xml:space="preserve">/ml értéknél. A szisztémás </w:t>
      </w:r>
      <w:r w:rsidR="006264FB" w:rsidRPr="00D93355">
        <w:rPr>
          <w:rFonts w:eastAsia="TimesNewRoman"/>
          <w:lang w:val="hu-HU"/>
        </w:rPr>
        <w:t>bozentán</w:t>
      </w:r>
      <w:r w:rsidRPr="00D93355">
        <w:rPr>
          <w:rFonts w:eastAsia="TimesNewRoman"/>
          <w:lang w:val="hu-HU"/>
        </w:rPr>
        <w:t>-expozíció dinamikus egyensúlyi állapotban a 10–20 kg-os, 20–40 kg-os és &gt; 40 kg-os gyermekcsoportokban felnőtteknél mért expozíció 43</w:t>
      </w:r>
      <w:r w:rsidR="000C4B97" w:rsidRPr="00D93355">
        <w:rPr>
          <w:rFonts w:eastAsia="TimesNewRoman"/>
          <w:lang w:val="hu-HU"/>
        </w:rPr>
        <w:t>%-át</w:t>
      </w:r>
      <w:r w:rsidRPr="00D93355">
        <w:rPr>
          <w:rFonts w:eastAsia="TimesNewRoman"/>
          <w:lang w:val="hu-HU"/>
        </w:rPr>
        <w:t>, 67</w:t>
      </w:r>
      <w:r w:rsidR="000C4B97" w:rsidRPr="00D93355">
        <w:rPr>
          <w:rFonts w:eastAsia="TimesNewRoman"/>
          <w:lang w:val="hu-HU"/>
        </w:rPr>
        <w:t>%-át,</w:t>
      </w:r>
      <w:r w:rsidRPr="00D93355">
        <w:rPr>
          <w:rFonts w:eastAsia="TimesNewRoman"/>
          <w:lang w:val="hu-HU"/>
        </w:rPr>
        <w:t xml:space="preserve"> illetve 75%-át érte el.</w:t>
      </w:r>
    </w:p>
    <w:p w14:paraId="75800DA1" w14:textId="77777777" w:rsidR="00E36D26" w:rsidRPr="00D93355" w:rsidRDefault="00E36D26">
      <w:pPr>
        <w:autoSpaceDE w:val="0"/>
        <w:autoSpaceDN w:val="0"/>
        <w:adjustRightInd w:val="0"/>
        <w:spacing w:line="240" w:lineRule="auto"/>
        <w:rPr>
          <w:rFonts w:eastAsia="TimesNewRoman"/>
          <w:lang w:val="hu-HU"/>
        </w:rPr>
      </w:pPr>
    </w:p>
    <w:p w14:paraId="4C97C6E2"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Az AC-052-365 </w:t>
      </w:r>
      <w:r w:rsidR="00585867">
        <w:rPr>
          <w:rFonts w:eastAsia="TimesNewRoman"/>
          <w:lang w:val="hu-HU"/>
        </w:rPr>
        <w:t>(</w:t>
      </w:r>
      <w:r w:rsidRPr="00D93355">
        <w:rPr>
          <w:rFonts w:eastAsia="TimesNewRoman"/>
          <w:lang w:val="hu-HU"/>
        </w:rPr>
        <w:t>FUTURE 1</w:t>
      </w:r>
      <w:r w:rsidR="00585867">
        <w:rPr>
          <w:rFonts w:eastAsia="TimesNewRoman"/>
          <w:lang w:val="hu-HU"/>
        </w:rPr>
        <w:t>)</w:t>
      </w:r>
      <w:r w:rsidRPr="00D93355">
        <w:rPr>
          <w:rFonts w:eastAsia="TimesNewRoman"/>
          <w:lang w:val="hu-HU"/>
        </w:rPr>
        <w:t xml:space="preserve"> vizsgálatban 36, 2-11 év közötti, PAH-ban szenvedő gyermeket diszpergálódó tablettával kezeltek. Semmilyen dózisarányosságot nem figyeltek meg. Dinamikus egyensúlyi állapotban a </w:t>
      </w:r>
      <w:r w:rsidR="006264FB" w:rsidRPr="00D93355">
        <w:rPr>
          <w:rFonts w:eastAsia="TimesNewRoman"/>
          <w:lang w:val="hu-HU"/>
        </w:rPr>
        <w:t>bozentán</w:t>
      </w:r>
      <w:r w:rsidRPr="00D93355">
        <w:rPr>
          <w:rFonts w:eastAsia="TimesNewRoman"/>
          <w:lang w:val="hu-HU"/>
        </w:rPr>
        <w:t xml:space="preserve"> plazmakoncentrációja és AUC</w:t>
      </w:r>
      <w:r w:rsidR="0098370A">
        <w:rPr>
          <w:rFonts w:eastAsia="TimesNewRoman"/>
          <w:lang w:val="hu-HU"/>
        </w:rPr>
        <w:t>-</w:t>
      </w:r>
      <w:r w:rsidRPr="00D93355">
        <w:rPr>
          <w:rFonts w:eastAsia="TimesNewRoman"/>
          <w:lang w:val="hu-HU"/>
        </w:rPr>
        <w:t>értéke a szájon át adott 2 és a 4 mg/ttkg-os adagok esetén hasonló volt (AUC</w:t>
      </w:r>
      <w:r w:rsidRPr="00D93355">
        <w:rPr>
          <w:rFonts w:eastAsia="SymbolMT"/>
          <w:lang w:val="hu-HU"/>
        </w:rPr>
        <w:t>τ</w:t>
      </w:r>
      <w:r w:rsidRPr="00D93355">
        <w:rPr>
          <w:rFonts w:eastAsia="TimesNewRoman"/>
          <w:lang w:val="hu-HU"/>
        </w:rPr>
        <w:t>: 3</w:t>
      </w:r>
      <w:r w:rsidR="0098370A">
        <w:rPr>
          <w:rFonts w:eastAsia="TimesNewRoman"/>
          <w:lang w:val="hu-HU"/>
        </w:rPr>
        <w:t>,</w:t>
      </w:r>
      <w:r w:rsidRPr="00D93355">
        <w:rPr>
          <w:rFonts w:eastAsia="TimesNewRoman"/>
          <w:lang w:val="hu-HU"/>
        </w:rPr>
        <w:t>577 ng</w:t>
      </w:r>
      <w:r w:rsidR="000C4B97" w:rsidRPr="00D93355">
        <w:rPr>
          <w:rFonts w:eastAsia="TimesNewRoman"/>
          <w:lang w:val="hu-HU"/>
        </w:rPr>
        <w:t xml:space="preserve"> óra</w:t>
      </w:r>
      <w:r w:rsidRPr="00D93355">
        <w:rPr>
          <w:rFonts w:eastAsia="TimesNewRoman"/>
          <w:lang w:val="hu-HU"/>
        </w:rPr>
        <w:t>/ml és 3,371 ng</w:t>
      </w:r>
      <w:r w:rsidR="000C4B97" w:rsidRPr="00D93355">
        <w:rPr>
          <w:rFonts w:eastAsia="TimesNewRoman"/>
          <w:lang w:val="hu-HU"/>
        </w:rPr>
        <w:t xml:space="preserve"> óra</w:t>
      </w:r>
      <w:r w:rsidRPr="00D93355">
        <w:rPr>
          <w:rFonts w:eastAsia="TimesNewRoman"/>
          <w:lang w:val="hu-HU"/>
        </w:rPr>
        <w:t>/ml rendre a naponta kétszer 2 mg/ttkg és a naponta kétszer 4 mg/</w:t>
      </w:r>
      <w:r w:rsidR="000C4B97" w:rsidRPr="00D93355">
        <w:rPr>
          <w:rFonts w:eastAsia="TimesNewRoman"/>
          <w:lang w:val="hu-HU"/>
        </w:rPr>
        <w:t>tt</w:t>
      </w:r>
      <w:r w:rsidRPr="00D93355">
        <w:rPr>
          <w:rFonts w:eastAsia="TimesNewRoman"/>
          <w:lang w:val="hu-HU"/>
        </w:rPr>
        <w:t xml:space="preserve">kg csoportokban). Ezeknél a gyermekkorú betegeknél a </w:t>
      </w:r>
      <w:r w:rsidR="006264FB" w:rsidRPr="00D93355">
        <w:rPr>
          <w:rFonts w:eastAsia="TimesNewRoman"/>
          <w:lang w:val="hu-HU"/>
        </w:rPr>
        <w:t>bozentán</w:t>
      </w:r>
      <w:r w:rsidRPr="00D93355">
        <w:rPr>
          <w:rFonts w:eastAsia="TimesNewRoman"/>
          <w:lang w:val="hu-HU"/>
        </w:rPr>
        <w:t>-expozíció átlagosan fele volt a felnőttek expozíciós idejéhez képest, naponta kétszer 125 mg</w:t>
      </w:r>
      <w:r w:rsidR="000C4B97" w:rsidRPr="00D93355">
        <w:rPr>
          <w:rFonts w:eastAsia="TimesNewRoman"/>
          <w:lang w:val="hu-HU"/>
        </w:rPr>
        <w:noBreakHyphen/>
      </w:r>
      <w:r w:rsidRPr="00D93355">
        <w:rPr>
          <w:rFonts w:eastAsia="TimesNewRoman"/>
          <w:lang w:val="hu-HU"/>
        </w:rPr>
        <w:t>os fenntartó dózis esetében, habár nagy átfedést mutatott a felnőttek expozíciós idejével.</w:t>
      </w:r>
    </w:p>
    <w:p w14:paraId="75B5AD6E" w14:textId="77777777" w:rsidR="00E36D26" w:rsidRPr="00D93355" w:rsidRDefault="00E36D26">
      <w:pPr>
        <w:pStyle w:val="Default"/>
        <w:rPr>
          <w:rFonts w:eastAsia="TimesNewRoman"/>
          <w:color w:val="auto"/>
          <w:sz w:val="22"/>
          <w:szCs w:val="22"/>
          <w:lang w:eastAsia="en-US"/>
        </w:rPr>
      </w:pPr>
    </w:p>
    <w:p w14:paraId="55CB534A"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A diszpergálódó tablettákat alkalmazó AC-052-373 </w:t>
      </w:r>
      <w:r w:rsidR="00585867">
        <w:rPr>
          <w:rFonts w:eastAsia="TimesNewRoman"/>
          <w:lang w:val="hu-HU"/>
        </w:rPr>
        <w:t>(</w:t>
      </w:r>
      <w:r w:rsidRPr="00D93355">
        <w:rPr>
          <w:rFonts w:eastAsia="TimesNewRoman"/>
          <w:lang w:val="hu-HU"/>
        </w:rPr>
        <w:t>FUTURE 3</w:t>
      </w:r>
      <w:r w:rsidR="00585867">
        <w:rPr>
          <w:rFonts w:eastAsia="TimesNewRoman"/>
          <w:lang w:val="hu-HU"/>
        </w:rPr>
        <w:t>)</w:t>
      </w:r>
      <w:r w:rsidRPr="00D93355">
        <w:rPr>
          <w:rFonts w:eastAsia="TimesNewRoman"/>
          <w:lang w:val="hu-HU"/>
        </w:rPr>
        <w:t xml:space="preserve"> vizsgálatban a naponta kétszer 2 mg/ttkg-mal kezelt betegek esetében a </w:t>
      </w:r>
      <w:r w:rsidR="006264FB" w:rsidRPr="00D93355">
        <w:rPr>
          <w:rFonts w:eastAsia="TimesNewRoman"/>
          <w:lang w:val="hu-HU"/>
        </w:rPr>
        <w:t>bozentán</w:t>
      </w:r>
      <w:r w:rsidRPr="00D93355">
        <w:rPr>
          <w:rFonts w:eastAsia="TimesNewRoman"/>
          <w:lang w:val="hu-HU"/>
        </w:rPr>
        <w:t>-expozíció összemérhető volt a FUTURE 1 vizsgálatbelivel. A teljes populációban (n</w:t>
      </w:r>
      <w:r w:rsidR="000C4B97" w:rsidRPr="00D93355">
        <w:rPr>
          <w:rFonts w:eastAsia="TimesNewRoman"/>
          <w:lang w:val="hu-HU"/>
        </w:rPr>
        <w:t> </w:t>
      </w:r>
      <w:r w:rsidRPr="00D93355">
        <w:rPr>
          <w:rFonts w:eastAsia="TimesNewRoman"/>
          <w:lang w:val="hu-HU"/>
        </w:rPr>
        <w:t>= 31) a naponta kétszeri 2 mg/ttkg 8,535 ng</w:t>
      </w:r>
      <w:r w:rsidR="000C4B97" w:rsidRPr="00D93355">
        <w:rPr>
          <w:rFonts w:eastAsia="TimesNewRoman"/>
          <w:lang w:val="hu-HU"/>
        </w:rPr>
        <w:t xml:space="preserve"> óra</w:t>
      </w:r>
      <w:r w:rsidRPr="00D93355">
        <w:rPr>
          <w:rFonts w:eastAsia="TimesNewRoman"/>
          <w:lang w:val="hu-HU"/>
        </w:rPr>
        <w:t xml:space="preserve">/ml napi </w:t>
      </w:r>
      <w:r w:rsidR="006264FB" w:rsidRPr="00D93355">
        <w:rPr>
          <w:rFonts w:eastAsia="TimesNewRoman"/>
          <w:lang w:val="hu-HU"/>
        </w:rPr>
        <w:t>bozentán</w:t>
      </w:r>
      <w:r w:rsidRPr="00D93355">
        <w:rPr>
          <w:rFonts w:eastAsia="TimesNewRoman"/>
          <w:lang w:val="hu-HU"/>
        </w:rPr>
        <w:t>-expozíciót és 4,268 ng</w:t>
      </w:r>
      <w:r w:rsidR="000C4B97" w:rsidRPr="00D93355">
        <w:rPr>
          <w:rFonts w:eastAsia="TimesNewRoman"/>
          <w:lang w:val="hu-HU"/>
        </w:rPr>
        <w:t xml:space="preserve"> óra</w:t>
      </w:r>
      <w:r w:rsidRPr="00D93355">
        <w:rPr>
          <w:rFonts w:eastAsia="TimesNewRoman"/>
          <w:lang w:val="hu-HU"/>
        </w:rPr>
        <w:t xml:space="preserve">/ml (CV: 61%) AUC-értéket eredményezett. A 3 hónapos és 2 éves kor közötti betegeteknél a napi </w:t>
      </w:r>
      <w:r w:rsidR="006264FB" w:rsidRPr="00D93355">
        <w:rPr>
          <w:rFonts w:eastAsia="TimesNewRoman"/>
          <w:lang w:val="hu-HU"/>
        </w:rPr>
        <w:t>bozentán</w:t>
      </w:r>
      <w:r w:rsidRPr="00D93355">
        <w:rPr>
          <w:rFonts w:eastAsia="TimesNewRoman"/>
          <w:lang w:val="hu-HU"/>
        </w:rPr>
        <w:t>-expozíció 7,879 ng</w:t>
      </w:r>
      <w:r w:rsidR="000C4B97" w:rsidRPr="00D93355">
        <w:rPr>
          <w:rFonts w:eastAsia="TimesNewRoman"/>
          <w:lang w:val="hu-HU"/>
        </w:rPr>
        <w:t xml:space="preserve"> óra</w:t>
      </w:r>
      <w:r w:rsidRPr="00D93355">
        <w:rPr>
          <w:rFonts w:eastAsia="TimesNewRoman"/>
          <w:lang w:val="hu-HU"/>
        </w:rPr>
        <w:t>/ml, míg az AUC-érték 3,939 ng</w:t>
      </w:r>
      <w:r w:rsidR="000C4B97" w:rsidRPr="00D93355">
        <w:rPr>
          <w:rFonts w:eastAsia="TimesNewRoman"/>
          <w:lang w:val="hu-HU"/>
        </w:rPr>
        <w:t xml:space="preserve"> óra</w:t>
      </w:r>
      <w:r w:rsidRPr="00D93355">
        <w:rPr>
          <w:rFonts w:eastAsia="TimesNewRoman"/>
          <w:lang w:val="hu-HU"/>
        </w:rPr>
        <w:t>/ml (CV: 72%) volt. A 3 hónapos és 1 éves kor közötti betegeknél (n</w:t>
      </w:r>
      <w:r w:rsidR="000C4B97" w:rsidRPr="00D93355">
        <w:rPr>
          <w:rFonts w:eastAsia="TimesNewRoman"/>
          <w:lang w:val="hu-HU"/>
        </w:rPr>
        <w:t> </w:t>
      </w:r>
      <w:r w:rsidRPr="00D93355">
        <w:rPr>
          <w:rFonts w:eastAsia="TimesNewRoman"/>
          <w:lang w:val="hu-HU"/>
        </w:rPr>
        <w:t>= 2) az AUC-érték 5,914 ng</w:t>
      </w:r>
      <w:r w:rsidR="000C4B97" w:rsidRPr="00D93355">
        <w:rPr>
          <w:rFonts w:eastAsia="TimesNewRoman"/>
          <w:lang w:val="hu-HU"/>
        </w:rPr>
        <w:t xml:space="preserve"> óra</w:t>
      </w:r>
      <w:r w:rsidRPr="00D93355">
        <w:rPr>
          <w:rFonts w:eastAsia="TimesNewRoman"/>
          <w:lang w:val="hu-HU"/>
        </w:rPr>
        <w:t>/ml (CV: 85%), míg az 1 és 2 éves kor közötti betegeknél (n</w:t>
      </w:r>
      <w:r w:rsidR="000C4B97" w:rsidRPr="00D93355">
        <w:rPr>
          <w:rFonts w:eastAsia="TimesNewRoman"/>
          <w:lang w:val="hu-HU"/>
        </w:rPr>
        <w:t> </w:t>
      </w:r>
      <w:r w:rsidRPr="00D93355">
        <w:rPr>
          <w:rFonts w:eastAsia="TimesNewRoman"/>
          <w:lang w:val="hu-HU"/>
        </w:rPr>
        <w:t>= 7) 3,507 ng</w:t>
      </w:r>
      <w:r w:rsidR="000C4B97" w:rsidRPr="00D93355">
        <w:rPr>
          <w:rFonts w:eastAsia="TimesNewRoman"/>
          <w:lang w:val="hu-HU"/>
        </w:rPr>
        <w:t xml:space="preserve"> óra</w:t>
      </w:r>
      <w:r w:rsidRPr="00D93355">
        <w:rPr>
          <w:rFonts w:eastAsia="TimesNewRoman"/>
          <w:lang w:val="hu-HU"/>
        </w:rPr>
        <w:t>/ml (CV:</w:t>
      </w:r>
      <w:r w:rsidR="000C4B97" w:rsidRPr="00D93355">
        <w:rPr>
          <w:rFonts w:eastAsia="TimesNewRoman"/>
          <w:lang w:val="hu-HU"/>
        </w:rPr>
        <w:t> </w:t>
      </w:r>
      <w:r w:rsidRPr="00D93355">
        <w:rPr>
          <w:rFonts w:eastAsia="TimesNewRoman"/>
          <w:lang w:val="hu-HU"/>
        </w:rPr>
        <w:t>70%) érték volt. A 2 évesnél idősebb betegeknél (n</w:t>
      </w:r>
      <w:r w:rsidR="000C4B97" w:rsidRPr="00D93355">
        <w:rPr>
          <w:rFonts w:eastAsia="TimesNewRoman"/>
          <w:lang w:val="hu-HU"/>
        </w:rPr>
        <w:t> </w:t>
      </w:r>
      <w:r w:rsidRPr="00D93355">
        <w:rPr>
          <w:rFonts w:eastAsia="TimesNewRoman"/>
          <w:lang w:val="hu-HU"/>
        </w:rPr>
        <w:t xml:space="preserve">= 22) a napi </w:t>
      </w:r>
      <w:r w:rsidR="006264FB" w:rsidRPr="00D93355">
        <w:rPr>
          <w:rFonts w:eastAsia="TimesNewRoman"/>
          <w:lang w:val="hu-HU"/>
        </w:rPr>
        <w:t>bozentán</w:t>
      </w:r>
      <w:r w:rsidRPr="00D93355">
        <w:rPr>
          <w:rFonts w:eastAsia="TimesNewRoman"/>
          <w:lang w:val="hu-HU"/>
        </w:rPr>
        <w:t>-expozíció 8,820 ng</w:t>
      </w:r>
      <w:r w:rsidR="000C4B97" w:rsidRPr="00D93355">
        <w:rPr>
          <w:rFonts w:eastAsia="TimesNewRoman"/>
          <w:lang w:val="hu-HU"/>
        </w:rPr>
        <w:t xml:space="preserve"> óra</w:t>
      </w:r>
      <w:r w:rsidRPr="00D93355">
        <w:rPr>
          <w:rFonts w:eastAsia="TimesNewRoman"/>
          <w:lang w:val="hu-HU"/>
        </w:rPr>
        <w:t>/ml, míg az AUC-érték 4,410 ng</w:t>
      </w:r>
      <w:r w:rsidR="000C4B97" w:rsidRPr="00D93355">
        <w:rPr>
          <w:rFonts w:eastAsia="TimesNewRoman"/>
          <w:lang w:val="hu-HU"/>
        </w:rPr>
        <w:t xml:space="preserve"> óra</w:t>
      </w:r>
      <w:r w:rsidRPr="00D93355">
        <w:rPr>
          <w:rFonts w:eastAsia="TimesNewRoman"/>
          <w:lang w:val="hu-HU"/>
        </w:rPr>
        <w:t xml:space="preserve">/ml (CV: 58%) volt. A naponta háromszor 2 mg/ttkg-os </w:t>
      </w:r>
      <w:r w:rsidR="006264FB" w:rsidRPr="00D93355">
        <w:rPr>
          <w:rFonts w:eastAsia="TimesNewRoman"/>
          <w:lang w:val="hu-HU"/>
        </w:rPr>
        <w:t>bozentán</w:t>
      </w:r>
      <w:r w:rsidRPr="00D93355">
        <w:rPr>
          <w:rFonts w:eastAsia="TimesNewRoman"/>
          <w:lang w:val="hu-HU"/>
        </w:rPr>
        <w:t xml:space="preserve"> dózis nem emelte az expozíciót. A napi </w:t>
      </w:r>
      <w:r w:rsidR="006264FB" w:rsidRPr="00D93355">
        <w:rPr>
          <w:rFonts w:eastAsia="TimesNewRoman"/>
          <w:lang w:val="hu-HU"/>
        </w:rPr>
        <w:t>bozentán</w:t>
      </w:r>
      <w:r w:rsidRPr="00D93355">
        <w:rPr>
          <w:rFonts w:eastAsia="TimesNewRoman"/>
          <w:lang w:val="hu-HU"/>
        </w:rPr>
        <w:t>-expozíció 7,275 ng</w:t>
      </w:r>
      <w:r w:rsidR="000C4B97" w:rsidRPr="00D93355">
        <w:rPr>
          <w:rFonts w:eastAsia="TimesNewRoman"/>
          <w:lang w:val="hu-HU"/>
        </w:rPr>
        <w:t xml:space="preserve"> óra</w:t>
      </w:r>
      <w:r w:rsidRPr="00D93355">
        <w:rPr>
          <w:rFonts w:eastAsia="TimesNewRoman"/>
          <w:lang w:val="hu-HU"/>
        </w:rPr>
        <w:t>/ml (CV: 83%, n</w:t>
      </w:r>
      <w:r w:rsidR="000C4B97" w:rsidRPr="00D93355">
        <w:rPr>
          <w:rFonts w:eastAsia="TimesNewRoman"/>
          <w:lang w:val="hu-HU"/>
        </w:rPr>
        <w:t> </w:t>
      </w:r>
      <w:r w:rsidRPr="00D93355">
        <w:rPr>
          <w:rFonts w:eastAsia="TimesNewRoman"/>
          <w:lang w:val="hu-HU"/>
        </w:rPr>
        <w:t>= 27) volt.</w:t>
      </w:r>
    </w:p>
    <w:p w14:paraId="7447214F" w14:textId="77777777" w:rsidR="00E36D26" w:rsidRPr="00D93355" w:rsidRDefault="00E36D26">
      <w:pPr>
        <w:pStyle w:val="Default"/>
        <w:rPr>
          <w:rFonts w:eastAsia="TimesNewRoman"/>
          <w:color w:val="auto"/>
          <w:sz w:val="22"/>
          <w:szCs w:val="22"/>
          <w:lang w:eastAsia="en-US"/>
        </w:rPr>
      </w:pPr>
    </w:p>
    <w:p w14:paraId="67D5D553"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A BREATHE-3, FUTURE 1 és FUTURE 3 vizsgálatok eredményei alapján úgy tűnik, hogy a </w:t>
      </w:r>
      <w:r w:rsidR="006264FB" w:rsidRPr="00D93355">
        <w:rPr>
          <w:rFonts w:eastAsia="TimesNewRoman"/>
          <w:lang w:val="hu-HU"/>
        </w:rPr>
        <w:t>bozentán</w:t>
      </w:r>
      <w:r w:rsidRPr="00D93355">
        <w:rPr>
          <w:rFonts w:eastAsia="TimesNewRoman"/>
          <w:lang w:val="hu-HU"/>
        </w:rPr>
        <w:t>-expozíció gyermekkorú betegekben alacsonyabb adagoknál éri el az egyensúlyi állapotot, mint a felnőtt betegekben, és a gyermekkorú betegekben a naponta kétszer adott 2 mg/ttkg-os dózisnál mag</w:t>
      </w:r>
      <w:r w:rsidR="0098370A">
        <w:rPr>
          <w:rFonts w:eastAsia="TimesNewRoman"/>
          <w:lang w:val="hu-HU"/>
        </w:rPr>
        <w:t>a</w:t>
      </w:r>
      <w:r w:rsidRPr="00D93355">
        <w:rPr>
          <w:rFonts w:eastAsia="TimesNewRoman"/>
          <w:lang w:val="hu-HU"/>
        </w:rPr>
        <w:t xml:space="preserve">sabb adagok (naponta kétszer 4 mg/ttkg vagy naponta háromszor 2 mg/ttkg) nem eredményeznek nagyobb mértékű </w:t>
      </w:r>
      <w:r w:rsidR="006264FB" w:rsidRPr="00D93355">
        <w:rPr>
          <w:rFonts w:eastAsia="TimesNewRoman"/>
          <w:lang w:val="hu-HU"/>
        </w:rPr>
        <w:t>bozentán</w:t>
      </w:r>
      <w:r w:rsidRPr="00D93355">
        <w:rPr>
          <w:rFonts w:eastAsia="TimesNewRoman"/>
          <w:lang w:val="hu-HU"/>
        </w:rPr>
        <w:t>-expozíciót.</w:t>
      </w:r>
    </w:p>
    <w:p w14:paraId="1165B449" w14:textId="77777777" w:rsidR="00E36D26" w:rsidRPr="00D93355" w:rsidRDefault="00E36D26">
      <w:pPr>
        <w:autoSpaceDE w:val="0"/>
        <w:autoSpaceDN w:val="0"/>
        <w:adjustRightInd w:val="0"/>
        <w:spacing w:line="240" w:lineRule="auto"/>
        <w:rPr>
          <w:rFonts w:eastAsia="TimesNewRoman"/>
          <w:lang w:val="hu-HU"/>
        </w:rPr>
      </w:pPr>
    </w:p>
    <w:p w14:paraId="05C213EA"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Az újszülötteken végzett AC-052-391 </w:t>
      </w:r>
      <w:r w:rsidR="00585867">
        <w:rPr>
          <w:rFonts w:eastAsia="TimesNewRoman"/>
          <w:lang w:val="hu-HU"/>
        </w:rPr>
        <w:t>(</w:t>
      </w:r>
      <w:r w:rsidRPr="00D93355">
        <w:rPr>
          <w:rFonts w:eastAsia="TimesNewRoman"/>
          <w:lang w:val="hu-HU"/>
        </w:rPr>
        <w:t>FUTURE 4</w:t>
      </w:r>
      <w:r w:rsidR="00585867">
        <w:rPr>
          <w:rFonts w:eastAsia="TimesNewRoman"/>
          <w:lang w:val="hu-HU"/>
        </w:rPr>
        <w:t>)</w:t>
      </w:r>
      <w:r w:rsidRPr="00D93355">
        <w:rPr>
          <w:rFonts w:eastAsia="TimesNewRoman"/>
          <w:lang w:val="hu-HU"/>
        </w:rPr>
        <w:t xml:space="preserve"> vizsgálatban a </w:t>
      </w:r>
      <w:r w:rsidR="006264FB" w:rsidRPr="00D93355">
        <w:rPr>
          <w:rFonts w:eastAsia="TimesNewRoman"/>
          <w:lang w:val="hu-HU"/>
        </w:rPr>
        <w:t>bozentán</w:t>
      </w:r>
      <w:r w:rsidRPr="00D93355">
        <w:rPr>
          <w:rFonts w:eastAsia="TimesNewRoman"/>
          <w:lang w:val="hu-HU"/>
        </w:rPr>
        <w:t>-koncentráció lassan és folyamatosan emelkedett az első adagolási periódus alatt, alacsony expozíciót eredményezve (AUC</w:t>
      </w:r>
      <w:r w:rsidRPr="00D93355">
        <w:rPr>
          <w:rFonts w:eastAsia="TimesNewRoman"/>
          <w:vertAlign w:val="subscript"/>
          <w:lang w:val="hu-HU"/>
        </w:rPr>
        <w:t>0</w:t>
      </w:r>
      <w:r w:rsidRPr="00D93355">
        <w:rPr>
          <w:rFonts w:eastAsia="TimesNewRoman"/>
          <w:vertAlign w:val="subscript"/>
          <w:lang w:val="hu-HU"/>
        </w:rPr>
        <w:noBreakHyphen/>
        <w:t xml:space="preserve">12 </w:t>
      </w:r>
      <w:r w:rsidRPr="00D93355">
        <w:rPr>
          <w:rFonts w:eastAsia="TimesNewRoman"/>
          <w:lang w:val="hu-HU"/>
        </w:rPr>
        <w:t>teljes vérben: 164 ng</w:t>
      </w:r>
      <w:r w:rsidR="000C4B97" w:rsidRPr="00D93355">
        <w:rPr>
          <w:rFonts w:eastAsia="TimesNewRoman"/>
          <w:lang w:val="hu-HU"/>
        </w:rPr>
        <w:t xml:space="preserve"> óra</w:t>
      </w:r>
      <w:r w:rsidRPr="00D93355">
        <w:rPr>
          <w:rFonts w:eastAsia="TimesNewRoman"/>
          <w:lang w:val="hu-HU"/>
        </w:rPr>
        <w:t>/ml, n</w:t>
      </w:r>
      <w:r w:rsidR="000C4B97" w:rsidRPr="00D93355">
        <w:rPr>
          <w:rFonts w:eastAsia="TimesNewRoman"/>
          <w:lang w:val="hu-HU"/>
        </w:rPr>
        <w:t> </w:t>
      </w:r>
      <w:r w:rsidRPr="00D93355">
        <w:rPr>
          <w:rFonts w:eastAsia="TimesNewRoman"/>
          <w:lang w:val="hu-HU"/>
        </w:rPr>
        <w:t>= 11). Dinamikus egyensúlyi állapotban az AUC-érték 6,165 ng</w:t>
      </w:r>
      <w:r w:rsidR="000C4B97" w:rsidRPr="00D93355">
        <w:rPr>
          <w:rFonts w:eastAsia="TimesNewRoman"/>
          <w:lang w:val="hu-HU"/>
        </w:rPr>
        <w:t xml:space="preserve"> óra</w:t>
      </w:r>
      <w:r w:rsidRPr="00D93355">
        <w:rPr>
          <w:rFonts w:eastAsia="TimesNewRoman"/>
          <w:lang w:val="hu-HU"/>
        </w:rPr>
        <w:t>/ml (CV: 133%, n</w:t>
      </w:r>
      <w:r w:rsidR="000C4B97" w:rsidRPr="00D93355">
        <w:rPr>
          <w:rFonts w:eastAsia="TimesNewRoman"/>
          <w:lang w:val="hu-HU"/>
        </w:rPr>
        <w:t> </w:t>
      </w:r>
      <w:r w:rsidRPr="00D93355">
        <w:rPr>
          <w:rFonts w:eastAsia="TimesNewRoman"/>
          <w:lang w:val="hu-HU"/>
        </w:rPr>
        <w:t xml:space="preserve">= 7) volt, amely hasonló a felnőtt PAH-ban szenvedő betegek esetében naponta kétszeri </w:t>
      </w:r>
      <w:r w:rsidRPr="00D93355">
        <w:rPr>
          <w:rFonts w:eastAsia="TimesNewRoman"/>
          <w:lang w:val="hu-HU"/>
        </w:rPr>
        <w:lastRenderedPageBreak/>
        <w:t>125 mg-os adag mellett megfigyelt expozícióhoz, 0,6-es vér/plazma megoszlási hányadost figyelembe véve.</w:t>
      </w:r>
    </w:p>
    <w:p w14:paraId="01829EC0" w14:textId="77777777" w:rsidR="00E36D26" w:rsidRPr="00D93355" w:rsidRDefault="00E36D26">
      <w:pPr>
        <w:numPr>
          <w:ilvl w:val="12"/>
          <w:numId w:val="0"/>
        </w:numPr>
        <w:spacing w:line="240" w:lineRule="auto"/>
        <w:ind w:right="-2"/>
        <w:rPr>
          <w:lang w:val="hu-HU"/>
        </w:rPr>
      </w:pPr>
    </w:p>
    <w:p w14:paraId="0B10DBB5" w14:textId="77777777" w:rsidR="00E36D26" w:rsidRPr="00D93355" w:rsidRDefault="00E36D26">
      <w:pPr>
        <w:pStyle w:val="Default"/>
        <w:rPr>
          <w:sz w:val="22"/>
          <w:szCs w:val="22"/>
        </w:rPr>
      </w:pPr>
      <w:r w:rsidRPr="00D93355">
        <w:rPr>
          <w:sz w:val="22"/>
          <w:szCs w:val="22"/>
        </w:rPr>
        <w:t xml:space="preserve">Az eredmények hepatotoxicitási vonatkozásai nem ismertek. A beteg neme és epoprosztenol együttes intravénás alkalmazása nem volt szignifikáns hatással a </w:t>
      </w:r>
      <w:r w:rsidR="006264FB" w:rsidRPr="00D93355">
        <w:rPr>
          <w:sz w:val="22"/>
          <w:szCs w:val="22"/>
        </w:rPr>
        <w:t>bozentán</w:t>
      </w:r>
      <w:r w:rsidRPr="00D93355">
        <w:rPr>
          <w:sz w:val="22"/>
          <w:szCs w:val="22"/>
        </w:rPr>
        <w:t xml:space="preserve"> farmakokinetikájára.</w:t>
      </w:r>
    </w:p>
    <w:p w14:paraId="20C96BD3" w14:textId="77777777" w:rsidR="00E36D26" w:rsidRPr="00D93355" w:rsidRDefault="00E36D26">
      <w:pPr>
        <w:pStyle w:val="Default"/>
        <w:rPr>
          <w:sz w:val="22"/>
          <w:szCs w:val="22"/>
          <w:u w:val="single"/>
        </w:rPr>
      </w:pPr>
    </w:p>
    <w:p w14:paraId="6A3A3E0D" w14:textId="77777777" w:rsidR="00E36D26" w:rsidRPr="00D93355" w:rsidRDefault="00E36D26">
      <w:pPr>
        <w:pStyle w:val="Default"/>
        <w:keepNext/>
        <w:rPr>
          <w:i/>
          <w:sz w:val="22"/>
          <w:szCs w:val="22"/>
        </w:rPr>
      </w:pPr>
      <w:r w:rsidRPr="00D93355">
        <w:rPr>
          <w:i/>
          <w:sz w:val="22"/>
          <w:szCs w:val="22"/>
        </w:rPr>
        <w:t>Májkárosodás</w:t>
      </w:r>
    </w:p>
    <w:p w14:paraId="576B6A5A" w14:textId="77777777" w:rsidR="00E36D26" w:rsidRPr="00D93355" w:rsidRDefault="00E36D26">
      <w:pPr>
        <w:pStyle w:val="Default"/>
        <w:keepNext/>
        <w:rPr>
          <w:sz w:val="22"/>
          <w:szCs w:val="22"/>
        </w:rPr>
      </w:pPr>
      <w:r w:rsidRPr="00D93355">
        <w:rPr>
          <w:sz w:val="22"/>
          <w:szCs w:val="22"/>
        </w:rPr>
        <w:t>Enyhe májfunkció-károsodásban (Child-Pugh A</w:t>
      </w:r>
      <w:r w:rsidR="00A413BF">
        <w:rPr>
          <w:sz w:val="22"/>
          <w:szCs w:val="22"/>
        </w:rPr>
        <w:t xml:space="preserve"> stádium</w:t>
      </w:r>
      <w:r w:rsidRPr="00D93355">
        <w:rPr>
          <w:sz w:val="22"/>
          <w:szCs w:val="22"/>
        </w:rPr>
        <w:t xml:space="preserve">) nem figyeltek meg releváns változást a farmakokinetikában. Dinamikus egyensúlyi állapotban a </w:t>
      </w:r>
      <w:r w:rsidR="006264FB" w:rsidRPr="00D93355">
        <w:rPr>
          <w:sz w:val="22"/>
          <w:szCs w:val="22"/>
        </w:rPr>
        <w:t>bozentán</w:t>
      </w:r>
      <w:r w:rsidRPr="00D93355">
        <w:rPr>
          <w:sz w:val="22"/>
          <w:szCs w:val="22"/>
        </w:rPr>
        <w:t xml:space="preserve"> AUC</w:t>
      </w:r>
      <w:r w:rsidR="00A413BF">
        <w:rPr>
          <w:sz w:val="22"/>
          <w:szCs w:val="22"/>
        </w:rPr>
        <w:t>-</w:t>
      </w:r>
      <w:r w:rsidRPr="00D93355">
        <w:rPr>
          <w:sz w:val="22"/>
          <w:szCs w:val="22"/>
        </w:rPr>
        <w:t>értéke 9%</w:t>
      </w:r>
      <w:r w:rsidRPr="00D93355">
        <w:rPr>
          <w:sz w:val="22"/>
          <w:szCs w:val="22"/>
        </w:rPr>
        <w:noBreakHyphen/>
        <w:t>kal, az Ro 48</w:t>
      </w:r>
      <w:r w:rsidRPr="00D93355">
        <w:rPr>
          <w:sz w:val="22"/>
          <w:szCs w:val="22"/>
        </w:rPr>
        <w:noBreakHyphen/>
        <w:t>5033 aktív metabolit AUC</w:t>
      </w:r>
      <w:r w:rsidR="00A413BF">
        <w:rPr>
          <w:sz w:val="22"/>
          <w:szCs w:val="22"/>
        </w:rPr>
        <w:t>-</w:t>
      </w:r>
      <w:r w:rsidRPr="00D93355">
        <w:rPr>
          <w:sz w:val="22"/>
          <w:szCs w:val="22"/>
        </w:rPr>
        <w:t>értéke 33%</w:t>
      </w:r>
      <w:r w:rsidRPr="00D93355">
        <w:rPr>
          <w:sz w:val="22"/>
          <w:szCs w:val="22"/>
        </w:rPr>
        <w:noBreakHyphen/>
        <w:t>kal volt magasabb az enyhe májkárosodásban szenvedők esetén, mint az egészséges önkénteseknél.</w:t>
      </w:r>
    </w:p>
    <w:p w14:paraId="4EDBD6F6" w14:textId="77777777" w:rsidR="00E36D26" w:rsidRPr="00D93355" w:rsidRDefault="00E36D26">
      <w:pPr>
        <w:autoSpaceDE w:val="0"/>
        <w:autoSpaceDN w:val="0"/>
        <w:adjustRightInd w:val="0"/>
        <w:spacing w:line="240" w:lineRule="auto"/>
        <w:rPr>
          <w:rFonts w:eastAsia="TimesNewRoman"/>
          <w:lang w:val="hu-HU"/>
        </w:rPr>
      </w:pPr>
    </w:p>
    <w:p w14:paraId="62D27428" w14:textId="77777777" w:rsidR="00E36D26" w:rsidRPr="00D93355" w:rsidRDefault="00E36D26" w:rsidP="00BA32ED">
      <w:pPr>
        <w:autoSpaceDE w:val="0"/>
        <w:autoSpaceDN w:val="0"/>
        <w:adjustRightInd w:val="0"/>
        <w:spacing w:line="240" w:lineRule="auto"/>
        <w:rPr>
          <w:rFonts w:eastAsia="TimesNewRoman"/>
          <w:lang w:val="hu-HU"/>
        </w:rPr>
      </w:pPr>
      <w:r w:rsidRPr="00D93355">
        <w:rPr>
          <w:rFonts w:eastAsia="TimesNewRoman"/>
          <w:lang w:val="hu-HU"/>
        </w:rPr>
        <w:t xml:space="preserve">A májműködés közepes fokú (Child-Pugh B stádiumú) károsodásának a </w:t>
      </w:r>
      <w:r w:rsidR="006264FB" w:rsidRPr="00D93355">
        <w:rPr>
          <w:rFonts w:eastAsia="TimesNewRoman"/>
          <w:lang w:val="hu-HU"/>
        </w:rPr>
        <w:t>bozentán</w:t>
      </w:r>
      <w:r w:rsidRPr="00D93355">
        <w:rPr>
          <w:rFonts w:eastAsia="TimesNewRoman"/>
          <w:lang w:val="hu-HU"/>
        </w:rPr>
        <w:t xml:space="preserve"> és legfőbb, Ro</w:t>
      </w:r>
      <w:r w:rsidR="00AC70F5" w:rsidRPr="00D93355">
        <w:rPr>
          <w:rFonts w:eastAsia="TimesNewRoman"/>
          <w:lang w:val="hu-HU"/>
        </w:rPr>
        <w:t> </w:t>
      </w:r>
      <w:r w:rsidRPr="00D93355">
        <w:rPr>
          <w:rFonts w:eastAsia="TimesNewRoman"/>
          <w:lang w:val="hu-HU"/>
        </w:rPr>
        <w:t>48</w:t>
      </w:r>
      <w:r w:rsidRPr="00D93355">
        <w:rPr>
          <w:rFonts w:eastAsia="TimesNewRoman"/>
          <w:lang w:val="hu-HU"/>
        </w:rPr>
        <w:noBreakHyphen/>
        <w:t>5033 metabolitjának farmakokinetikájára gyakorolt hatását 5, portalis hypertoniával és Child</w:t>
      </w:r>
      <w:r w:rsidR="00C14E2F" w:rsidRPr="00D93355">
        <w:rPr>
          <w:rFonts w:eastAsia="TimesNewRoman"/>
          <w:lang w:val="hu-HU"/>
        </w:rPr>
        <w:noBreakHyphen/>
      </w:r>
      <w:r w:rsidRPr="00D93355">
        <w:rPr>
          <w:rFonts w:eastAsia="TimesNewRoman"/>
          <w:lang w:val="hu-HU"/>
        </w:rPr>
        <w:t xml:space="preserve">Pugh B stádiumú májkárosodással társult pulmonalis hypertoniában szenvedő, továbbá 3, egyéb okból kialakult </w:t>
      </w:r>
      <w:r w:rsidR="008B1398">
        <w:rPr>
          <w:rFonts w:eastAsia="TimesNewRoman"/>
          <w:lang w:val="hu-HU"/>
        </w:rPr>
        <w:t>PAH-</w:t>
      </w:r>
      <w:r w:rsidRPr="00D93355">
        <w:rPr>
          <w:rFonts w:eastAsia="TimesNewRoman"/>
          <w:lang w:val="hu-HU"/>
        </w:rPr>
        <w:t>ban szenvedő, ép májműködésű betegen vizsgálták. A Child</w:t>
      </w:r>
      <w:r w:rsidRPr="00D93355">
        <w:rPr>
          <w:rFonts w:eastAsia="TimesNewRoman"/>
          <w:lang w:val="hu-HU"/>
        </w:rPr>
        <w:noBreakHyphen/>
        <w:t xml:space="preserve">Pugh B stádiumú májkárosodásban szenvedő betegeknél a </w:t>
      </w:r>
      <w:r w:rsidR="006264FB" w:rsidRPr="00D93355">
        <w:rPr>
          <w:rFonts w:eastAsia="TimesNewRoman"/>
          <w:lang w:val="hu-HU"/>
        </w:rPr>
        <w:t>bozentán</w:t>
      </w:r>
      <w:r w:rsidRPr="00D93355">
        <w:rPr>
          <w:rFonts w:eastAsia="TimesNewRoman"/>
          <w:lang w:val="hu-HU"/>
        </w:rPr>
        <w:t xml:space="preserve"> AUC</w:t>
      </w:r>
      <w:r w:rsidRPr="00D93355">
        <w:rPr>
          <w:rFonts w:eastAsia="TimesNewRoman"/>
          <w:lang w:val="hu-HU"/>
        </w:rPr>
        <w:noBreakHyphen/>
        <w:t>értékének átlaga (95% CI) dinamikus egyensúlyi állapotban 360 (212-613) ng</w:t>
      </w:r>
      <w:r w:rsidR="00C14E2F" w:rsidRPr="00D93355">
        <w:rPr>
          <w:rFonts w:eastAsia="TimesNewRoman"/>
          <w:lang w:val="hu-HU"/>
        </w:rPr>
        <w:t xml:space="preserve"> </w:t>
      </w:r>
      <w:r w:rsidRPr="00D93355">
        <w:rPr>
          <w:rFonts w:eastAsia="TimesNewRoman"/>
          <w:lang w:val="hu-HU"/>
        </w:rPr>
        <w:t>óra/ml</w:t>
      </w:r>
      <w:r w:rsidR="00C14E2F" w:rsidRPr="00D93355">
        <w:rPr>
          <w:rFonts w:eastAsia="TimesNewRoman"/>
          <w:lang w:val="hu-HU"/>
        </w:rPr>
        <w:t>,</w:t>
      </w:r>
      <w:r w:rsidRPr="00D93355">
        <w:rPr>
          <w:rFonts w:eastAsia="TimesNewRoman"/>
          <w:lang w:val="hu-HU"/>
        </w:rPr>
        <w:t xml:space="preserve"> – vagyis 4,7-szer magasabb, </w:t>
      </w:r>
      <w:r w:rsidR="00C14E2F" w:rsidRPr="00D93355">
        <w:rPr>
          <w:rFonts w:eastAsia="TimesNewRoman"/>
          <w:lang w:val="hu-HU"/>
        </w:rPr>
        <w:t xml:space="preserve">-- </w:t>
      </w:r>
      <w:r w:rsidRPr="00D93355">
        <w:rPr>
          <w:rFonts w:eastAsia="TimesNewRoman"/>
          <w:lang w:val="hu-HU"/>
        </w:rPr>
        <w:t>míg az aktív, Ro 48-5033 metabolit AUC</w:t>
      </w:r>
      <w:r w:rsidR="00A413BF">
        <w:rPr>
          <w:rFonts w:eastAsia="TimesNewRoman"/>
          <w:lang w:val="hu-HU"/>
        </w:rPr>
        <w:t>-</w:t>
      </w:r>
      <w:r w:rsidRPr="00D93355">
        <w:rPr>
          <w:rFonts w:eastAsia="TimesNewRoman"/>
          <w:lang w:val="hu-HU"/>
        </w:rPr>
        <w:t>értékének átlaga (95% CI) 106 (58,4</w:t>
      </w:r>
      <w:r w:rsidRPr="00D93355">
        <w:rPr>
          <w:rFonts w:eastAsia="TimesNewRoman"/>
          <w:lang w:val="hu-HU"/>
        </w:rPr>
        <w:noBreakHyphen/>
        <w:t>192) ng</w:t>
      </w:r>
      <w:r w:rsidR="00C14E2F" w:rsidRPr="00D93355">
        <w:rPr>
          <w:rFonts w:eastAsia="TimesNewRoman"/>
          <w:lang w:val="hu-HU"/>
        </w:rPr>
        <w:t xml:space="preserve"> </w:t>
      </w:r>
      <w:r w:rsidRPr="00D93355">
        <w:rPr>
          <w:rFonts w:eastAsia="TimesNewRoman"/>
          <w:lang w:val="hu-HU"/>
        </w:rPr>
        <w:t xml:space="preserve">óra/ml, </w:t>
      </w:r>
      <w:r w:rsidR="00C14E2F" w:rsidRPr="00D93355">
        <w:rPr>
          <w:rFonts w:eastAsia="TimesNewRoman"/>
          <w:lang w:val="hu-HU"/>
        </w:rPr>
        <w:t xml:space="preserve">-- </w:t>
      </w:r>
      <w:r w:rsidRPr="00D93355">
        <w:rPr>
          <w:rFonts w:eastAsia="TimesNewRoman"/>
          <w:lang w:val="hu-HU"/>
        </w:rPr>
        <w:t>azaz 12,4</w:t>
      </w:r>
      <w:r w:rsidRPr="00D93355">
        <w:rPr>
          <w:rFonts w:eastAsia="TimesNewRoman"/>
          <w:lang w:val="hu-HU"/>
        </w:rPr>
        <w:noBreakHyphen/>
        <w:t>szer magasabb</w:t>
      </w:r>
      <w:r w:rsidR="00C14E2F" w:rsidRPr="00D93355">
        <w:rPr>
          <w:rFonts w:eastAsia="TimesNewRoman"/>
          <w:lang w:val="hu-HU"/>
        </w:rPr>
        <w:t xml:space="preserve"> –</w:t>
      </w:r>
      <w:r w:rsidRPr="00D93355">
        <w:rPr>
          <w:rFonts w:eastAsia="TimesNewRoman"/>
          <w:lang w:val="hu-HU"/>
        </w:rPr>
        <w:t xml:space="preserve"> volt, mint az ép májműködésű betegeknél (akiknél a </w:t>
      </w:r>
      <w:r w:rsidR="006264FB" w:rsidRPr="00D93355">
        <w:rPr>
          <w:rFonts w:eastAsia="TimesNewRoman"/>
          <w:lang w:val="hu-HU"/>
        </w:rPr>
        <w:t>bozentán</w:t>
      </w:r>
      <w:r w:rsidRPr="00D93355">
        <w:rPr>
          <w:rFonts w:eastAsia="TimesNewRoman"/>
          <w:lang w:val="hu-HU"/>
        </w:rPr>
        <w:t xml:space="preserve"> AUC</w:t>
      </w:r>
      <w:r w:rsidR="00A413BF">
        <w:rPr>
          <w:rFonts w:eastAsia="TimesNewRoman"/>
          <w:lang w:val="hu-HU"/>
        </w:rPr>
        <w:t>-</w:t>
      </w:r>
      <w:r w:rsidRPr="00D93355">
        <w:rPr>
          <w:rFonts w:eastAsia="TimesNewRoman"/>
          <w:lang w:val="hu-HU"/>
        </w:rPr>
        <w:t>értékének átlaga [95% CI] 76,1 [9,07</w:t>
      </w:r>
      <w:r w:rsidRPr="00D93355">
        <w:rPr>
          <w:rFonts w:eastAsia="TimesNewRoman"/>
          <w:lang w:val="hu-HU"/>
        </w:rPr>
        <w:noBreakHyphen/>
        <w:t>638] ng</w:t>
      </w:r>
      <w:r w:rsidR="00C14E2F" w:rsidRPr="00D93355">
        <w:rPr>
          <w:rFonts w:eastAsia="TimesNewRoman"/>
          <w:lang w:val="hu-HU"/>
        </w:rPr>
        <w:t xml:space="preserve"> </w:t>
      </w:r>
      <w:r w:rsidRPr="00D93355">
        <w:rPr>
          <w:rFonts w:eastAsia="TimesNewRoman"/>
          <w:lang w:val="hu-HU"/>
        </w:rPr>
        <w:t>óra/ml; a Ro 48-5033 AUC átlag értéke [95% CI] 8,57</w:t>
      </w:r>
      <w:r w:rsidR="00C14E2F" w:rsidRPr="00D93355">
        <w:rPr>
          <w:rFonts w:eastAsia="TimesNewRoman"/>
          <w:lang w:val="hu-HU"/>
        </w:rPr>
        <w:t> </w:t>
      </w:r>
      <w:r w:rsidRPr="00D93355">
        <w:rPr>
          <w:rFonts w:eastAsia="TimesNewRoman"/>
          <w:lang w:val="hu-HU"/>
        </w:rPr>
        <w:t>[1,28</w:t>
      </w:r>
      <w:r w:rsidRPr="00D93355">
        <w:rPr>
          <w:rFonts w:eastAsia="TimesNewRoman"/>
          <w:lang w:val="hu-HU"/>
        </w:rPr>
        <w:noBreakHyphen/>
        <w:t>57,2]</w:t>
      </w:r>
      <w:r w:rsidR="00C14E2F" w:rsidRPr="00D93355">
        <w:rPr>
          <w:rFonts w:eastAsia="TimesNewRoman"/>
          <w:lang w:val="hu-HU"/>
        </w:rPr>
        <w:t> </w:t>
      </w:r>
      <w:r w:rsidRPr="00D93355">
        <w:rPr>
          <w:rFonts w:eastAsia="TimesNewRoman"/>
          <w:lang w:val="hu-HU"/>
        </w:rPr>
        <w:t>ng</w:t>
      </w:r>
      <w:r w:rsidR="00C14E2F" w:rsidRPr="00D93355">
        <w:rPr>
          <w:rFonts w:eastAsia="TimesNewRoman"/>
          <w:lang w:val="hu-HU"/>
        </w:rPr>
        <w:t> </w:t>
      </w:r>
      <w:r w:rsidRPr="00D93355">
        <w:rPr>
          <w:rFonts w:eastAsia="TimesNewRoman"/>
          <w:lang w:val="hu-HU"/>
        </w:rPr>
        <w:t xml:space="preserve">óra/ml). Bár a beválasztott betegek száma korlátozott volt és nagyfokú variabilitást mutattak, ezek az adatok azt jelzik, hogy a májműködés közepes fokú (Child-Pugh B stádiumú) károsodásában szenvedő betegeknél jelentősen nő a </w:t>
      </w:r>
      <w:r w:rsidR="006264FB" w:rsidRPr="00D93355">
        <w:rPr>
          <w:rFonts w:eastAsia="TimesNewRoman"/>
          <w:lang w:val="hu-HU"/>
        </w:rPr>
        <w:t>bozentán</w:t>
      </w:r>
      <w:r w:rsidRPr="00D93355">
        <w:rPr>
          <w:rFonts w:eastAsia="TimesNewRoman"/>
          <w:lang w:val="hu-HU"/>
        </w:rPr>
        <w:t>- és legfőbb, Ro 48-5033 metabolitjának az expozíciója.</w:t>
      </w:r>
    </w:p>
    <w:p w14:paraId="3EBF05BD" w14:textId="77777777" w:rsidR="00E36D26" w:rsidRPr="00D93355" w:rsidRDefault="00E36D26">
      <w:pPr>
        <w:widowControl w:val="0"/>
        <w:autoSpaceDE w:val="0"/>
        <w:autoSpaceDN w:val="0"/>
        <w:adjustRightInd w:val="0"/>
        <w:spacing w:line="240" w:lineRule="auto"/>
        <w:rPr>
          <w:rFonts w:eastAsia="TimesNewRoman"/>
          <w:lang w:val="hu-HU"/>
        </w:rPr>
      </w:pPr>
    </w:p>
    <w:p w14:paraId="414BEA05" w14:textId="77777777" w:rsidR="00E36D26" w:rsidRPr="00D93355" w:rsidRDefault="00E36D26">
      <w:pPr>
        <w:pStyle w:val="Default"/>
        <w:widowControl w:val="0"/>
        <w:rPr>
          <w:sz w:val="22"/>
          <w:szCs w:val="22"/>
        </w:rPr>
      </w:pPr>
      <w:r w:rsidRPr="00D93355">
        <w:rPr>
          <w:sz w:val="22"/>
          <w:szCs w:val="22"/>
        </w:rPr>
        <w:t xml:space="preserve">A </w:t>
      </w:r>
      <w:r w:rsidR="006264FB" w:rsidRPr="00D93355">
        <w:rPr>
          <w:sz w:val="22"/>
          <w:szCs w:val="22"/>
        </w:rPr>
        <w:t>bozentán</w:t>
      </w:r>
      <w:r w:rsidRPr="00D93355">
        <w:rPr>
          <w:sz w:val="22"/>
          <w:szCs w:val="22"/>
        </w:rPr>
        <w:t xml:space="preserve"> farmakokinetikáját Child-Pugh C stádiumú májkárosodásban szenvedő betegeknél nem vizsgálták. A </w:t>
      </w:r>
      <w:r w:rsidR="006264FB" w:rsidRPr="00D93355">
        <w:rPr>
          <w:sz w:val="22"/>
          <w:szCs w:val="22"/>
        </w:rPr>
        <w:t>bozentán</w:t>
      </w:r>
      <w:r w:rsidRPr="00D93355">
        <w:rPr>
          <w:sz w:val="22"/>
          <w:szCs w:val="22"/>
        </w:rPr>
        <w:t xml:space="preserve"> alkalmazása </w:t>
      </w:r>
      <w:r w:rsidRPr="00D93355">
        <w:rPr>
          <w:rFonts w:eastAsia="TimesNewRoman"/>
          <w:color w:val="auto"/>
          <w:sz w:val="22"/>
          <w:szCs w:val="22"/>
          <w:lang w:eastAsia="en-US"/>
        </w:rPr>
        <w:t>közepes és súlyos (Child-Pugh B vagy C stádiumú) májkárosodásban szenvedő betegeknél</w:t>
      </w:r>
      <w:r w:rsidRPr="00D93355">
        <w:rPr>
          <w:sz w:val="22"/>
          <w:szCs w:val="22"/>
        </w:rPr>
        <w:t xml:space="preserve"> ellenjavallt (lásd 4.3 pont).</w:t>
      </w:r>
    </w:p>
    <w:p w14:paraId="185D8ACD" w14:textId="77777777" w:rsidR="00E36D26" w:rsidRPr="00D93355" w:rsidRDefault="00E36D26">
      <w:pPr>
        <w:pStyle w:val="Default"/>
        <w:widowControl w:val="0"/>
        <w:rPr>
          <w:sz w:val="22"/>
          <w:szCs w:val="22"/>
        </w:rPr>
      </w:pPr>
    </w:p>
    <w:p w14:paraId="57A28ACD" w14:textId="77777777" w:rsidR="00E36D26" w:rsidRPr="00D93355" w:rsidRDefault="00E36D26">
      <w:pPr>
        <w:widowControl w:val="0"/>
        <w:numPr>
          <w:ilvl w:val="12"/>
          <w:numId w:val="0"/>
        </w:numPr>
        <w:spacing w:line="240" w:lineRule="auto"/>
        <w:rPr>
          <w:i/>
          <w:lang w:val="hu-HU"/>
        </w:rPr>
      </w:pPr>
      <w:r w:rsidRPr="00D93355">
        <w:rPr>
          <w:i/>
          <w:lang w:val="hu-HU"/>
        </w:rPr>
        <w:t>Vesekárosodás</w:t>
      </w:r>
    </w:p>
    <w:p w14:paraId="11B3BA62" w14:textId="77777777" w:rsidR="00E36D26" w:rsidRPr="00D93355" w:rsidRDefault="00E36D26">
      <w:pPr>
        <w:keepNext/>
        <w:numPr>
          <w:ilvl w:val="12"/>
          <w:numId w:val="0"/>
        </w:numPr>
        <w:spacing w:line="240" w:lineRule="auto"/>
        <w:rPr>
          <w:lang w:val="hu-HU"/>
        </w:rPr>
      </w:pPr>
      <w:r w:rsidRPr="00D93355">
        <w:rPr>
          <w:lang w:val="hu-HU"/>
        </w:rPr>
        <w:t>Súlyos vesekárosodásban (kreatinin-clearance 15–30 ml/perc) szenvedő betegeknél kb. 10%</w:t>
      </w:r>
      <w:r w:rsidRPr="00D93355">
        <w:rPr>
          <w:lang w:val="hu-HU"/>
        </w:rPr>
        <w:noBreakHyphen/>
        <w:t xml:space="preserve">kal csökkent a </w:t>
      </w:r>
      <w:r w:rsidR="006264FB" w:rsidRPr="00D93355">
        <w:rPr>
          <w:lang w:val="hu-HU"/>
        </w:rPr>
        <w:t>bozentán</w:t>
      </w:r>
      <w:r w:rsidRPr="00D93355">
        <w:rPr>
          <w:lang w:val="hu-HU"/>
        </w:rPr>
        <w:t xml:space="preserve"> plazmakoncentrációja. Ezeknél a betegeknél a </w:t>
      </w:r>
      <w:r w:rsidR="006264FB" w:rsidRPr="00D93355">
        <w:rPr>
          <w:lang w:val="hu-HU"/>
        </w:rPr>
        <w:t>bozentán</w:t>
      </w:r>
      <w:r w:rsidRPr="00D93355">
        <w:rPr>
          <w:lang w:val="hu-HU"/>
        </w:rPr>
        <w:t xml:space="preserve"> metabolitjainak plazmakoncentrációja kb. kétszerese volt a normál veseműködéssel rendelkező alanyokénak. Vesekárosodásban nincs szükség a dózis módosítására. Dialízis kezelésben részesülő betegekre vonatkozó specifikus klinikai tapasztalatok nem állnak rendelkezésre. A fizikokémiai tulajdonságokat és a nagyfokú fehérjekötődést figyelembe véve nem várható, hogy a dialízis jelentős </w:t>
      </w:r>
      <w:r w:rsidR="006264FB" w:rsidRPr="00D93355">
        <w:rPr>
          <w:lang w:val="hu-HU"/>
        </w:rPr>
        <w:t>bozentán</w:t>
      </w:r>
      <w:r w:rsidRPr="00D93355">
        <w:rPr>
          <w:lang w:val="hu-HU"/>
        </w:rPr>
        <w:t xml:space="preserve"> mennyiséget távolít el a keringésből (lásd 4.2 pont).</w:t>
      </w:r>
    </w:p>
    <w:p w14:paraId="37020843" w14:textId="77777777" w:rsidR="00E36D26" w:rsidRPr="00D93355" w:rsidRDefault="00E36D26">
      <w:pPr>
        <w:numPr>
          <w:ilvl w:val="12"/>
          <w:numId w:val="0"/>
        </w:numPr>
        <w:spacing w:line="240" w:lineRule="auto"/>
        <w:ind w:right="-2"/>
        <w:rPr>
          <w:lang w:val="hu-HU"/>
        </w:rPr>
      </w:pPr>
    </w:p>
    <w:p w14:paraId="6403B0D4"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5.3</w:t>
      </w:r>
      <w:r w:rsidRPr="00D93355">
        <w:rPr>
          <w:b/>
          <w:bCs/>
          <w:lang w:val="hu-HU"/>
        </w:rPr>
        <w:tab/>
        <w:t>A preklinikai biztonságossági vizsgálatok eredményei</w:t>
      </w:r>
    </w:p>
    <w:p w14:paraId="7CA3A195" w14:textId="77777777" w:rsidR="00E36D26" w:rsidRPr="00D93355" w:rsidRDefault="00E36D26">
      <w:pPr>
        <w:keepNext/>
        <w:spacing w:line="240" w:lineRule="auto"/>
        <w:ind w:left="567" w:hanging="567"/>
        <w:outlineLvl w:val="0"/>
        <w:rPr>
          <w:b/>
          <w:bCs/>
          <w:lang w:val="hu-HU"/>
        </w:rPr>
      </w:pPr>
    </w:p>
    <w:p w14:paraId="2C7AD8E7" w14:textId="77777777" w:rsidR="00E36D26" w:rsidRPr="00D93355" w:rsidRDefault="00E36D26">
      <w:pPr>
        <w:pStyle w:val="Default"/>
        <w:keepNext/>
        <w:rPr>
          <w:sz w:val="22"/>
          <w:szCs w:val="22"/>
        </w:rPr>
      </w:pPr>
      <w:r w:rsidRPr="00D93355">
        <w:rPr>
          <w:sz w:val="22"/>
          <w:szCs w:val="22"/>
        </w:rPr>
        <w:t>Egy egereken végzett, két évig tartó karcinogenitás vizsgálat a hepatocellularis adenomák és carcinomák jelentkezésének megnövekedett összesített gyakoriságát mutatta ki a hímeknél (a nőstényeknél viszont nem) a humán terápiás dózissal elért plazmakoncentráció 2</w:t>
      </w:r>
      <w:r w:rsidRPr="00D93355">
        <w:rPr>
          <w:sz w:val="22"/>
          <w:szCs w:val="22"/>
        </w:rPr>
        <w:noBreakHyphen/>
        <w:t>4</w:t>
      </w:r>
      <w:r w:rsidRPr="00D93355">
        <w:rPr>
          <w:sz w:val="22"/>
          <w:szCs w:val="22"/>
        </w:rPr>
        <w:noBreakHyphen/>
        <w:t xml:space="preserve">szerese mellett. Patkányoknál a 2 éven keresztül </w:t>
      </w:r>
      <w:r w:rsidRPr="00D93355">
        <w:rPr>
          <w:i/>
          <w:sz w:val="22"/>
          <w:szCs w:val="22"/>
        </w:rPr>
        <w:t xml:space="preserve">per os </w:t>
      </w:r>
      <w:r w:rsidRPr="00D93355">
        <w:rPr>
          <w:sz w:val="22"/>
          <w:szCs w:val="22"/>
        </w:rPr>
        <w:t xml:space="preserve">adott </w:t>
      </w:r>
      <w:r w:rsidR="006264FB" w:rsidRPr="00D93355">
        <w:rPr>
          <w:sz w:val="22"/>
          <w:szCs w:val="22"/>
        </w:rPr>
        <w:t>bozentán</w:t>
      </w:r>
      <w:r w:rsidRPr="00D93355">
        <w:rPr>
          <w:sz w:val="22"/>
          <w:szCs w:val="22"/>
        </w:rPr>
        <w:t xml:space="preserve"> a humán terápiás dózissal elért plazmakoncentráció kb. 9</w:t>
      </w:r>
      <w:r w:rsidRPr="00D93355">
        <w:rPr>
          <w:sz w:val="22"/>
          <w:szCs w:val="22"/>
        </w:rPr>
        <w:noBreakHyphen/>
        <w:t>14</w:t>
      </w:r>
      <w:r w:rsidRPr="00D93355">
        <w:rPr>
          <w:sz w:val="22"/>
          <w:szCs w:val="22"/>
        </w:rPr>
        <w:noBreakHyphen/>
        <w:t xml:space="preserve">szerese mellett kismértékű, de szignifikáns növekedést hozott a pajzsmirigy follicularis adenomák és </w:t>
      </w:r>
      <w:r w:rsidRPr="00D93355">
        <w:rPr>
          <w:sz w:val="22"/>
          <w:szCs w:val="22"/>
        </w:rPr>
        <w:noBreakHyphen/>
        <w:t xml:space="preserve">carcinomák előfordulásának összesített gyakoriságában a hímek esetén, de nőstényeknél nem. A </w:t>
      </w:r>
      <w:r w:rsidR="006264FB" w:rsidRPr="00D93355">
        <w:rPr>
          <w:sz w:val="22"/>
          <w:szCs w:val="22"/>
        </w:rPr>
        <w:t>bozentán</w:t>
      </w:r>
      <w:r w:rsidRPr="00D93355">
        <w:rPr>
          <w:sz w:val="22"/>
          <w:szCs w:val="22"/>
        </w:rPr>
        <w:t xml:space="preserve"> genotoxicitási vizsgálatai negatív eredménnyel zárultak. Patkányoknál a </w:t>
      </w:r>
      <w:r w:rsidR="006264FB" w:rsidRPr="00D93355">
        <w:rPr>
          <w:sz w:val="22"/>
          <w:szCs w:val="22"/>
        </w:rPr>
        <w:t>bozentán</w:t>
      </w:r>
      <w:r w:rsidRPr="00D93355">
        <w:rPr>
          <w:sz w:val="22"/>
          <w:szCs w:val="22"/>
        </w:rPr>
        <w:t xml:space="preserve"> a pajzsmirigyhormon egyensúlyának enyhe zavarát okozta. Semmi sem utal arra azonban, hogy embereknél a </w:t>
      </w:r>
      <w:r w:rsidR="006264FB" w:rsidRPr="00D93355">
        <w:rPr>
          <w:sz w:val="22"/>
          <w:szCs w:val="22"/>
        </w:rPr>
        <w:t>bozentán</w:t>
      </w:r>
      <w:r w:rsidRPr="00D93355">
        <w:rPr>
          <w:sz w:val="22"/>
          <w:szCs w:val="22"/>
        </w:rPr>
        <w:t xml:space="preserve"> hatással lenne a pajzsmirigy működésére (tiroxin, TSH).</w:t>
      </w:r>
    </w:p>
    <w:p w14:paraId="7FDFCE7C" w14:textId="77777777" w:rsidR="00E36D26" w:rsidRPr="00D93355" w:rsidRDefault="00E36D26">
      <w:pPr>
        <w:pStyle w:val="Default"/>
        <w:rPr>
          <w:sz w:val="22"/>
          <w:szCs w:val="22"/>
        </w:rPr>
      </w:pPr>
    </w:p>
    <w:p w14:paraId="48017092" w14:textId="77777777" w:rsidR="00E36D26" w:rsidRPr="00D93355" w:rsidRDefault="00E36D26">
      <w:pPr>
        <w:pStyle w:val="Default"/>
        <w:rPr>
          <w:sz w:val="22"/>
          <w:szCs w:val="22"/>
        </w:rPr>
      </w:pPr>
      <w:r w:rsidRPr="00D93355">
        <w:rPr>
          <w:sz w:val="22"/>
          <w:szCs w:val="22"/>
        </w:rPr>
        <w:t xml:space="preserve">A </w:t>
      </w:r>
      <w:r w:rsidR="006264FB" w:rsidRPr="00D93355">
        <w:rPr>
          <w:sz w:val="22"/>
          <w:szCs w:val="22"/>
        </w:rPr>
        <w:t>bozentán</w:t>
      </w:r>
      <w:r w:rsidRPr="00D93355">
        <w:rPr>
          <w:sz w:val="22"/>
          <w:szCs w:val="22"/>
        </w:rPr>
        <w:t xml:space="preserve"> mito</w:t>
      </w:r>
      <w:r w:rsidR="005A1457" w:rsidRPr="00D93355">
        <w:rPr>
          <w:sz w:val="22"/>
          <w:szCs w:val="22"/>
        </w:rPr>
        <w:t>k</w:t>
      </w:r>
      <w:r w:rsidRPr="00D93355">
        <w:rPr>
          <w:sz w:val="22"/>
          <w:szCs w:val="22"/>
        </w:rPr>
        <w:t>ondri</w:t>
      </w:r>
      <w:r w:rsidR="005A1457" w:rsidRPr="00D93355">
        <w:rPr>
          <w:sz w:val="22"/>
          <w:szCs w:val="22"/>
        </w:rPr>
        <w:t>á</w:t>
      </w:r>
      <w:r w:rsidRPr="00D93355">
        <w:rPr>
          <w:sz w:val="22"/>
          <w:szCs w:val="22"/>
        </w:rPr>
        <w:t>lis funkcióra gyakorolt hatása nem ismert.</w:t>
      </w:r>
    </w:p>
    <w:p w14:paraId="7A485EE3" w14:textId="77777777" w:rsidR="00E36D26" w:rsidRPr="00D93355" w:rsidRDefault="00E36D26">
      <w:pPr>
        <w:tabs>
          <w:tab w:val="clear" w:pos="567"/>
          <w:tab w:val="left" w:pos="0"/>
        </w:tabs>
        <w:spacing w:line="240" w:lineRule="auto"/>
        <w:outlineLvl w:val="0"/>
        <w:rPr>
          <w:lang w:val="hu-HU"/>
        </w:rPr>
      </w:pPr>
    </w:p>
    <w:p w14:paraId="456D201A" w14:textId="77777777" w:rsidR="00E36D26" w:rsidRPr="00D93355" w:rsidRDefault="00E36D26">
      <w:pPr>
        <w:tabs>
          <w:tab w:val="clear" w:pos="567"/>
          <w:tab w:val="left" w:pos="0"/>
        </w:tabs>
        <w:spacing w:line="240" w:lineRule="auto"/>
        <w:outlineLvl w:val="0"/>
        <w:rPr>
          <w:b/>
          <w:bCs/>
          <w:lang w:val="hu-HU"/>
        </w:rPr>
      </w:pPr>
      <w:r w:rsidRPr="00D93355">
        <w:rPr>
          <w:lang w:val="hu-HU"/>
        </w:rPr>
        <w:t xml:space="preserve">A humán terápiás dózissal elért plazmakoncentráció másfélszeresét meghaladó érték mellett a </w:t>
      </w:r>
      <w:r w:rsidR="006264FB" w:rsidRPr="00D93355">
        <w:rPr>
          <w:lang w:val="hu-HU"/>
        </w:rPr>
        <w:t>bozentán</w:t>
      </w:r>
      <w:r w:rsidRPr="00D93355">
        <w:rPr>
          <w:lang w:val="hu-HU"/>
        </w:rPr>
        <w:t xml:space="preserve"> patkányoknál teratogénnek bizonyult. A teratogén hatások, köztük a fej, a pofa és a nagyerek fejlődési rendellenességei dózisfüggőek voltak. A más ET</w:t>
      </w:r>
      <w:r w:rsidRPr="00D93355">
        <w:rPr>
          <w:lang w:val="hu-HU"/>
        </w:rPr>
        <w:noBreakHyphen/>
        <w:t>receptor</w:t>
      </w:r>
      <w:r w:rsidRPr="00D93355">
        <w:rPr>
          <w:lang w:val="hu-HU"/>
        </w:rPr>
        <w:noBreakHyphen/>
        <w:t>antagonisták esetében és az ET</w:t>
      </w:r>
      <w:r w:rsidRPr="00D93355">
        <w:rPr>
          <w:lang w:val="hu-HU"/>
        </w:rPr>
        <w:noBreakHyphen/>
        <w:t xml:space="preserve">kiütött (knock-out) egereken megfigyelhető fejlődési rendellenességekkel való hasonlatosság </w:t>
      </w:r>
      <w:r w:rsidRPr="00D93355">
        <w:rPr>
          <w:lang w:val="hu-HU"/>
        </w:rPr>
        <w:lastRenderedPageBreak/>
        <w:t>gyógyszerosztályra jellemző hatást jelez. Fogamzóképes nőknél megfelelő óvintézkedéseket kell tenni (lásd 4.3, 4.4 és 4.6 pont).</w:t>
      </w:r>
    </w:p>
    <w:p w14:paraId="0675662E" w14:textId="77777777" w:rsidR="00E36D26" w:rsidRPr="00D93355" w:rsidRDefault="00E36D26">
      <w:pPr>
        <w:spacing w:line="240" w:lineRule="auto"/>
        <w:ind w:left="567" w:hanging="567"/>
        <w:outlineLvl w:val="0"/>
        <w:rPr>
          <w:b/>
          <w:bCs/>
          <w:lang w:val="hu-HU"/>
        </w:rPr>
      </w:pPr>
    </w:p>
    <w:p w14:paraId="60DDB94B" w14:textId="77777777" w:rsidR="00E36D26" w:rsidRPr="00D93355" w:rsidRDefault="00E36D26">
      <w:pPr>
        <w:autoSpaceDE w:val="0"/>
        <w:autoSpaceDN w:val="0"/>
        <w:adjustRightInd w:val="0"/>
        <w:spacing w:line="240" w:lineRule="auto"/>
        <w:rPr>
          <w:lang w:val="hu-HU"/>
        </w:rPr>
      </w:pPr>
      <w:r w:rsidRPr="00D93355">
        <w:rPr>
          <w:rFonts w:eastAsia="TimesNewRoman"/>
          <w:lang w:val="hu-HU"/>
        </w:rPr>
        <w:t>Rágcsálóknál kapcsolatot mutattak ki az endothelin-receptor-antagonisták krónikus alkalmazása és testicularis tubularis atrophia, valamint csökkent termékenység között.</w:t>
      </w:r>
    </w:p>
    <w:p w14:paraId="351A5022" w14:textId="77777777" w:rsidR="00E36D26" w:rsidRPr="00D93355" w:rsidRDefault="00E36D26">
      <w:pPr>
        <w:spacing w:line="240" w:lineRule="auto"/>
        <w:ind w:left="567" w:hanging="567"/>
        <w:outlineLvl w:val="0"/>
        <w:rPr>
          <w:b/>
          <w:bCs/>
          <w:lang w:val="hu-HU"/>
        </w:rPr>
      </w:pPr>
    </w:p>
    <w:p w14:paraId="4D80F2AE" w14:textId="77777777" w:rsidR="00E36D26" w:rsidRPr="00D93355" w:rsidRDefault="00E36D26">
      <w:pPr>
        <w:pStyle w:val="Default"/>
        <w:rPr>
          <w:b/>
          <w:bCs/>
          <w:sz w:val="22"/>
          <w:szCs w:val="22"/>
        </w:rPr>
      </w:pPr>
      <w:r w:rsidRPr="00D93355">
        <w:rPr>
          <w:sz w:val="22"/>
          <w:szCs w:val="22"/>
        </w:rPr>
        <w:t xml:space="preserve">Hím és nőstény patkányokkal végzett termékenységi vizsgálatok során nem volt kimutatható hatás a spermaszámra, azok motilitására és életképességére, illetve a párzási teljesítményre, valamint a termékenységre </w:t>
      </w:r>
      <w:r w:rsidRPr="00D93355">
        <w:rPr>
          <w:rFonts w:eastAsia="TimesNewRoman"/>
          <w:color w:val="auto"/>
          <w:sz w:val="22"/>
          <w:szCs w:val="22"/>
          <w:lang w:eastAsia="en-US"/>
        </w:rPr>
        <w:t xml:space="preserve">a várható terápiás szint 21-szeresének (hímek), illetve 43-szorosának (nőstények) megfelelő expozíció során. </w:t>
      </w:r>
      <w:r w:rsidRPr="00D93355">
        <w:rPr>
          <w:sz w:val="22"/>
          <w:szCs w:val="22"/>
        </w:rPr>
        <w:t>Nem tapasztaltak továbbá sem a beágyazódás előtti, sem a beágyazódott embrió fejlődésére gyakorolt mellékhatásokat.</w:t>
      </w:r>
    </w:p>
    <w:p w14:paraId="66EADE3E" w14:textId="77777777" w:rsidR="00E36D26" w:rsidRPr="00D93355" w:rsidRDefault="00E36D26">
      <w:pPr>
        <w:spacing w:line="240" w:lineRule="auto"/>
        <w:rPr>
          <w:lang w:val="hu-HU"/>
        </w:rPr>
      </w:pPr>
    </w:p>
    <w:p w14:paraId="5B5CD2FA"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A testicularis tubularis atrophia előfordulásának kismértékű emelkedését tapasztalták már 125 mg/ttkg/nap alacsony dózisban (hozzávetőleg 4-szerese a maximális ajánlott humán dózisnak [MRHD] és a legalacsonyabb tesztelt dózis) 2 éven keresztül szájon át </w:t>
      </w:r>
      <w:r w:rsidR="006264FB" w:rsidRPr="00D93355">
        <w:rPr>
          <w:rFonts w:eastAsia="TimesNewRoman"/>
          <w:lang w:val="hu-HU"/>
        </w:rPr>
        <w:t>bozentán</w:t>
      </w:r>
      <w:r w:rsidRPr="00D93355">
        <w:rPr>
          <w:rFonts w:eastAsia="TimesNewRoman"/>
          <w:lang w:val="hu-HU"/>
        </w:rPr>
        <w:t>t kapó patkányok esetében, de nem észlelték az olyan magas dózisokban, mint 1500 mg/ttkg/nap (hozzávetőleg 50</w:t>
      </w:r>
      <w:r w:rsidRPr="00D93355">
        <w:rPr>
          <w:rFonts w:eastAsia="TimesNewRoman"/>
          <w:lang w:val="hu-HU"/>
        </w:rPr>
        <w:noBreakHyphen/>
        <w:t xml:space="preserve">szerese az MRHD-nek) 6 hónapon keresztül. Egy fiatal patkányokon végzett toxicitási vizsgálatban, melyben a patkányokat a </w:t>
      </w:r>
      <w:r w:rsidRPr="00EB62E1">
        <w:rPr>
          <w:rFonts w:eastAsia="TimesNewRoman"/>
          <w:lang w:val="hu-HU"/>
        </w:rPr>
        <w:t>születés utáni</w:t>
      </w:r>
      <w:r w:rsidRPr="00D93355">
        <w:rPr>
          <w:rFonts w:eastAsia="TimesNewRoman"/>
          <w:lang w:val="hu-HU"/>
        </w:rPr>
        <w:t xml:space="preserve"> 4. naptól felnőttkorig kezelték, a herék és mellékherék abszolút tömegének csökkenését, valamint a mellékherékben a spermaszám csökkenését figyelték meg a terápia elhagyása után. A mellékhatást még nem okozó szint 21-szeres (</w:t>
      </w:r>
      <w:r w:rsidRPr="00EB62E1">
        <w:rPr>
          <w:rFonts w:eastAsia="TimesNewRoman"/>
          <w:lang w:val="hu-HU"/>
        </w:rPr>
        <w:t>születés utáni</w:t>
      </w:r>
      <w:r w:rsidRPr="00D93355">
        <w:rPr>
          <w:rFonts w:eastAsia="TimesNewRoman"/>
          <w:lang w:val="hu-HU"/>
        </w:rPr>
        <w:t xml:space="preserve"> 21. napon), illetve 2,3</w:t>
      </w:r>
      <w:r w:rsidRPr="00D93355">
        <w:rPr>
          <w:rFonts w:eastAsia="TimesNewRoman"/>
          <w:lang w:val="hu-HU"/>
        </w:rPr>
        <w:noBreakHyphen/>
        <w:t>szeres (</w:t>
      </w:r>
      <w:r w:rsidRPr="00EB62E1">
        <w:rPr>
          <w:rFonts w:eastAsia="TimesNewRoman"/>
          <w:lang w:val="hu-HU"/>
        </w:rPr>
        <w:t>születés utáni</w:t>
      </w:r>
      <w:r w:rsidRPr="00D93355">
        <w:rPr>
          <w:rFonts w:eastAsia="TimesNewRoman"/>
          <w:lang w:val="hu-HU"/>
        </w:rPr>
        <w:t xml:space="preserve"> 69. napon) volt a humán terápiás expozícióhoz képest.</w:t>
      </w:r>
    </w:p>
    <w:p w14:paraId="1316B496" w14:textId="77777777" w:rsidR="00E36D26" w:rsidRPr="00D93355" w:rsidRDefault="00E36D26">
      <w:pPr>
        <w:autoSpaceDE w:val="0"/>
        <w:autoSpaceDN w:val="0"/>
        <w:adjustRightInd w:val="0"/>
        <w:spacing w:line="240" w:lineRule="auto"/>
        <w:rPr>
          <w:rFonts w:eastAsia="TimesNewRoman"/>
          <w:lang w:val="hu-HU"/>
        </w:rPr>
      </w:pPr>
    </w:p>
    <w:p w14:paraId="691AAA51" w14:textId="77777777" w:rsidR="00E36D26" w:rsidRPr="00D93355" w:rsidRDefault="00E36D26">
      <w:pPr>
        <w:autoSpaceDE w:val="0"/>
        <w:autoSpaceDN w:val="0"/>
        <w:adjustRightInd w:val="0"/>
        <w:spacing w:line="240" w:lineRule="auto"/>
        <w:rPr>
          <w:rFonts w:eastAsia="TimesNewRoman"/>
          <w:lang w:val="hu-HU"/>
        </w:rPr>
      </w:pPr>
      <w:r w:rsidRPr="00D93355">
        <w:rPr>
          <w:rFonts w:eastAsia="TimesNewRoman"/>
          <w:lang w:val="hu-HU"/>
        </w:rPr>
        <w:t xml:space="preserve">Mindazonáltal, nem volt kimutatható hatással az általános fejlődésre, növekedésre, szenzoros és kognitív funkciókra, valamint a reprodukciós teljesítményre a humán terápiás dózis 7-szerese (hímek) és 19-szerese (nőstények) sem a születést követő 21. napon. Felnőttkorban (születést követő 69. nap) sem tapasztalták a </w:t>
      </w:r>
      <w:r w:rsidR="006264FB" w:rsidRPr="00D93355">
        <w:rPr>
          <w:rFonts w:eastAsia="TimesNewRoman"/>
          <w:lang w:val="hu-HU"/>
        </w:rPr>
        <w:t>bozentán</w:t>
      </w:r>
      <w:r w:rsidRPr="00D93355">
        <w:rPr>
          <w:rFonts w:eastAsia="TimesNewRoman"/>
          <w:lang w:val="hu-HU"/>
        </w:rPr>
        <w:t xml:space="preserve"> káros hatását a PAH-ban szenvedő gyermekek terápiás expozícióját 1,3</w:t>
      </w:r>
      <w:r w:rsidRPr="00D93355">
        <w:rPr>
          <w:rFonts w:eastAsia="TimesNewRoman"/>
          <w:lang w:val="hu-HU"/>
        </w:rPr>
        <w:noBreakHyphen/>
        <w:t xml:space="preserve">szeresen (hímek) és 2,6-szeresen (nőstények) meghaladó </w:t>
      </w:r>
      <w:r w:rsidR="00A413BF">
        <w:rPr>
          <w:rFonts w:eastAsia="TimesNewRoman"/>
          <w:lang w:val="hu-HU"/>
        </w:rPr>
        <w:t xml:space="preserve">dózisok </w:t>
      </w:r>
      <w:r w:rsidRPr="00D93355">
        <w:rPr>
          <w:rFonts w:eastAsia="TimesNewRoman"/>
          <w:lang w:val="hu-HU"/>
        </w:rPr>
        <w:t>esetekben.</w:t>
      </w:r>
    </w:p>
    <w:p w14:paraId="3F04DEBC" w14:textId="77777777" w:rsidR="00E36D26" w:rsidRPr="00D93355" w:rsidRDefault="00E36D26">
      <w:pPr>
        <w:spacing w:line="240" w:lineRule="auto"/>
        <w:rPr>
          <w:lang w:val="hu-HU"/>
        </w:rPr>
      </w:pPr>
    </w:p>
    <w:p w14:paraId="38E1AF0F" w14:textId="77777777" w:rsidR="00E36D26" w:rsidRPr="00D93355" w:rsidRDefault="00E36D26">
      <w:pPr>
        <w:spacing w:line="240" w:lineRule="auto"/>
        <w:rPr>
          <w:lang w:val="hu-HU"/>
        </w:rPr>
      </w:pPr>
    </w:p>
    <w:p w14:paraId="4505A758"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6.</w:t>
      </w:r>
      <w:r w:rsidRPr="00D93355">
        <w:rPr>
          <w:b/>
          <w:bCs/>
          <w:lang w:val="hu-HU"/>
        </w:rPr>
        <w:tab/>
        <w:t>GYÓGYSZERÉSZETI JELLEMZŐK</w:t>
      </w:r>
    </w:p>
    <w:p w14:paraId="04F1AD18" w14:textId="77777777" w:rsidR="00E36D26" w:rsidRPr="00D93355" w:rsidRDefault="00E36D26">
      <w:pPr>
        <w:keepNext/>
        <w:tabs>
          <w:tab w:val="clear" w:pos="567"/>
        </w:tabs>
        <w:spacing w:line="240" w:lineRule="auto"/>
        <w:ind w:left="567" w:hanging="567"/>
        <w:outlineLvl w:val="0"/>
        <w:rPr>
          <w:bCs/>
          <w:lang w:val="hu-HU"/>
        </w:rPr>
      </w:pPr>
    </w:p>
    <w:p w14:paraId="468A2831"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6.1</w:t>
      </w:r>
      <w:r w:rsidRPr="00D93355">
        <w:rPr>
          <w:b/>
          <w:bCs/>
          <w:lang w:val="hu-HU"/>
        </w:rPr>
        <w:tab/>
        <w:t>Segédanyagok felsorolása</w:t>
      </w:r>
    </w:p>
    <w:p w14:paraId="3D34BBAA" w14:textId="77777777" w:rsidR="00E36D26" w:rsidRPr="00D93355" w:rsidRDefault="00E36D26">
      <w:pPr>
        <w:keepNext/>
        <w:spacing w:line="240" w:lineRule="auto"/>
        <w:rPr>
          <w:lang w:val="hu-HU"/>
        </w:rPr>
      </w:pPr>
    </w:p>
    <w:p w14:paraId="2B1036C3" w14:textId="77777777" w:rsidR="00A413BF" w:rsidRPr="00D93355" w:rsidRDefault="007F180E">
      <w:pPr>
        <w:keepNext/>
        <w:spacing w:line="240" w:lineRule="auto"/>
        <w:ind w:right="-2"/>
        <w:jc w:val="both"/>
        <w:rPr>
          <w:u w:val="single"/>
          <w:lang w:val="hu-HU"/>
        </w:rPr>
      </w:pPr>
      <w:r w:rsidRPr="00D93355">
        <w:rPr>
          <w:u w:val="single"/>
          <w:lang w:val="hu-HU"/>
        </w:rPr>
        <w:t xml:space="preserve">Tabletta </w:t>
      </w:r>
      <w:r w:rsidR="00B01EBC" w:rsidRPr="00D93355">
        <w:rPr>
          <w:u w:val="single"/>
          <w:lang w:val="hu-HU"/>
        </w:rPr>
        <w:t>mag:</w:t>
      </w:r>
    </w:p>
    <w:p w14:paraId="28118DB0" w14:textId="77777777" w:rsidR="00B01EBC" w:rsidRPr="00976C72" w:rsidRDefault="00A413BF" w:rsidP="00EB62E1">
      <w:pPr>
        <w:keepNext/>
        <w:spacing w:line="240" w:lineRule="auto"/>
        <w:ind w:right="-2"/>
        <w:jc w:val="both"/>
        <w:rPr>
          <w:lang w:val="hu-HU"/>
        </w:rPr>
      </w:pPr>
      <w:r w:rsidRPr="00976C72">
        <w:rPr>
          <w:lang w:val="hu-HU"/>
        </w:rPr>
        <w:t>h</w:t>
      </w:r>
      <w:r w:rsidR="00B01EBC" w:rsidRPr="00976C72">
        <w:rPr>
          <w:lang w:val="hu-HU"/>
        </w:rPr>
        <w:t>idegen duzzadó kukoricakemény</w:t>
      </w:r>
      <w:r w:rsidR="00940FE9" w:rsidRPr="00976C72">
        <w:rPr>
          <w:lang w:val="hu-HU"/>
        </w:rPr>
        <w:t>í</w:t>
      </w:r>
      <w:r w:rsidR="00B01EBC" w:rsidRPr="00976C72">
        <w:rPr>
          <w:lang w:val="hu-HU"/>
        </w:rPr>
        <w:t>tő</w:t>
      </w:r>
      <w:r w:rsidR="00F92792" w:rsidRPr="00976C72">
        <w:rPr>
          <w:lang w:val="hu-HU"/>
        </w:rPr>
        <w:t xml:space="preserve"> 1500</w:t>
      </w:r>
    </w:p>
    <w:p w14:paraId="44757147" w14:textId="77777777" w:rsidR="00B01EBC" w:rsidRPr="00D93355" w:rsidRDefault="00A413BF">
      <w:pPr>
        <w:keepNext/>
        <w:spacing w:line="240" w:lineRule="auto"/>
        <w:ind w:right="-2"/>
        <w:jc w:val="both"/>
        <w:rPr>
          <w:lang w:val="hu-HU"/>
        </w:rPr>
      </w:pPr>
      <w:r>
        <w:rPr>
          <w:lang w:val="hu-HU"/>
        </w:rPr>
        <w:t>p</w:t>
      </w:r>
      <w:r w:rsidR="00B01EBC" w:rsidRPr="00D93355">
        <w:rPr>
          <w:lang w:val="hu-HU"/>
        </w:rPr>
        <w:t>ovidon (E1201)</w:t>
      </w:r>
    </w:p>
    <w:p w14:paraId="6887908D" w14:textId="77777777" w:rsidR="00B01EBC" w:rsidRPr="00D93355" w:rsidRDefault="00A413BF">
      <w:pPr>
        <w:tabs>
          <w:tab w:val="left" w:pos="0"/>
        </w:tabs>
        <w:spacing w:line="240" w:lineRule="auto"/>
        <w:rPr>
          <w:rFonts w:eastAsia="Calibri"/>
          <w:lang w:val="hu-HU"/>
        </w:rPr>
      </w:pPr>
      <w:r>
        <w:rPr>
          <w:rFonts w:eastAsia="Calibri"/>
          <w:lang w:val="hu-HU"/>
        </w:rPr>
        <w:t>k</w:t>
      </w:r>
      <w:r w:rsidR="0037625B" w:rsidRPr="00D93355">
        <w:rPr>
          <w:rFonts w:eastAsia="Calibri"/>
          <w:lang w:val="hu-HU"/>
        </w:rPr>
        <w:t>arboximetilkeményítő-nátrium</w:t>
      </w:r>
    </w:p>
    <w:p w14:paraId="33C1504F" w14:textId="77777777" w:rsidR="00B01EBC" w:rsidRPr="00D93355" w:rsidRDefault="00A413BF">
      <w:pPr>
        <w:tabs>
          <w:tab w:val="left" w:pos="0"/>
        </w:tabs>
        <w:spacing w:line="240" w:lineRule="auto"/>
        <w:rPr>
          <w:rFonts w:eastAsia="Calibri"/>
          <w:lang w:val="hu-HU"/>
        </w:rPr>
      </w:pPr>
      <w:r>
        <w:rPr>
          <w:lang w:val="hu-HU"/>
        </w:rPr>
        <w:t>m</w:t>
      </w:r>
      <w:r w:rsidR="00B01EBC" w:rsidRPr="00D93355">
        <w:rPr>
          <w:lang w:val="hu-HU"/>
        </w:rPr>
        <w:t>agnézium-sztearát (E572)</w:t>
      </w:r>
    </w:p>
    <w:p w14:paraId="1A32AD6F" w14:textId="77777777" w:rsidR="00B01EBC" w:rsidRPr="00D93355" w:rsidRDefault="00B01EBC">
      <w:pPr>
        <w:keepNext/>
        <w:spacing w:line="240" w:lineRule="auto"/>
        <w:ind w:left="567" w:hanging="567"/>
        <w:outlineLvl w:val="0"/>
        <w:rPr>
          <w:b/>
          <w:bCs/>
          <w:lang w:val="hu-HU"/>
        </w:rPr>
      </w:pPr>
    </w:p>
    <w:p w14:paraId="253440C9" w14:textId="77777777" w:rsidR="00B01EBC" w:rsidRPr="00D93355" w:rsidRDefault="00E75348">
      <w:pPr>
        <w:keepNext/>
        <w:tabs>
          <w:tab w:val="clear" w:pos="567"/>
        </w:tabs>
        <w:spacing w:line="240" w:lineRule="auto"/>
        <w:ind w:left="567" w:hanging="567"/>
        <w:outlineLvl w:val="0"/>
        <w:rPr>
          <w:bCs/>
          <w:u w:val="single"/>
          <w:lang w:val="hu-HU"/>
        </w:rPr>
      </w:pPr>
      <w:r w:rsidRPr="00D93355">
        <w:rPr>
          <w:bCs/>
          <w:u w:val="single"/>
          <w:lang w:val="hu-HU"/>
        </w:rPr>
        <w:t>Filmbevonat:</w:t>
      </w:r>
    </w:p>
    <w:p w14:paraId="60A6211B" w14:textId="6903770E" w:rsidR="00B01EBC" w:rsidRPr="00D93355" w:rsidRDefault="006A2049">
      <w:pPr>
        <w:keepNext/>
        <w:spacing w:line="240" w:lineRule="auto"/>
        <w:ind w:left="567" w:hanging="567"/>
        <w:outlineLvl w:val="0"/>
        <w:rPr>
          <w:bCs/>
          <w:lang w:val="hu-HU"/>
        </w:rPr>
      </w:pPr>
      <w:r>
        <w:rPr>
          <w:bCs/>
          <w:lang w:val="hu-HU"/>
        </w:rPr>
        <w:t>hipromellóz</w:t>
      </w:r>
      <w:r w:rsidR="00940FE9" w:rsidRPr="00D93355">
        <w:rPr>
          <w:bCs/>
          <w:lang w:val="hu-HU"/>
        </w:rPr>
        <w:t xml:space="preserve"> </w:t>
      </w:r>
      <w:r w:rsidR="00E75348" w:rsidRPr="00D93355">
        <w:rPr>
          <w:bCs/>
          <w:lang w:val="hu-HU"/>
        </w:rPr>
        <w:t>(E464)</w:t>
      </w:r>
    </w:p>
    <w:p w14:paraId="6050EA97" w14:textId="77777777" w:rsidR="00B01EBC" w:rsidRPr="00D93355" w:rsidRDefault="00A413BF">
      <w:pPr>
        <w:keepNext/>
        <w:spacing w:line="240" w:lineRule="auto"/>
        <w:ind w:left="567" w:hanging="567"/>
        <w:outlineLvl w:val="0"/>
        <w:rPr>
          <w:bCs/>
          <w:lang w:val="hu-HU"/>
        </w:rPr>
      </w:pPr>
      <w:r>
        <w:rPr>
          <w:bCs/>
          <w:lang w:val="hu-HU"/>
        </w:rPr>
        <w:t>t</w:t>
      </w:r>
      <w:r w:rsidR="00E75348" w:rsidRPr="00D93355">
        <w:rPr>
          <w:bCs/>
          <w:lang w:val="hu-HU"/>
        </w:rPr>
        <w:t>itán-dioxid</w:t>
      </w:r>
      <w:r w:rsidR="00940FE9" w:rsidRPr="00D93355">
        <w:rPr>
          <w:bCs/>
          <w:lang w:val="hu-HU"/>
        </w:rPr>
        <w:t xml:space="preserve"> </w:t>
      </w:r>
      <w:r w:rsidR="00E75348" w:rsidRPr="00D93355">
        <w:rPr>
          <w:bCs/>
          <w:lang w:val="hu-HU"/>
        </w:rPr>
        <w:t>(E171)</w:t>
      </w:r>
    </w:p>
    <w:p w14:paraId="1B447E45" w14:textId="77777777" w:rsidR="00B01EBC" w:rsidRPr="00D93355" w:rsidRDefault="00A413BF">
      <w:pPr>
        <w:keepNext/>
        <w:spacing w:line="240" w:lineRule="auto"/>
        <w:ind w:left="567" w:hanging="567"/>
        <w:outlineLvl w:val="0"/>
        <w:rPr>
          <w:bCs/>
          <w:lang w:val="hu-HU"/>
        </w:rPr>
      </w:pPr>
      <w:r>
        <w:rPr>
          <w:bCs/>
          <w:lang w:val="hu-HU"/>
        </w:rPr>
        <w:t>s</w:t>
      </w:r>
      <w:r w:rsidR="00E75348" w:rsidRPr="00D93355">
        <w:rPr>
          <w:bCs/>
          <w:lang w:val="hu-HU"/>
        </w:rPr>
        <w:t>árga vas-oxid</w:t>
      </w:r>
      <w:r w:rsidR="00940FE9" w:rsidRPr="00D93355">
        <w:rPr>
          <w:bCs/>
          <w:lang w:val="hu-HU"/>
        </w:rPr>
        <w:t xml:space="preserve"> </w:t>
      </w:r>
      <w:r w:rsidR="00E75348" w:rsidRPr="00D93355">
        <w:rPr>
          <w:bCs/>
          <w:lang w:val="hu-HU"/>
        </w:rPr>
        <w:t>(E172)</w:t>
      </w:r>
    </w:p>
    <w:p w14:paraId="2DACE79F" w14:textId="77777777" w:rsidR="00B01EBC" w:rsidRPr="00D93355" w:rsidRDefault="00A413BF">
      <w:pPr>
        <w:keepNext/>
        <w:spacing w:line="240" w:lineRule="auto"/>
        <w:ind w:left="567" w:hanging="567"/>
        <w:outlineLvl w:val="0"/>
        <w:rPr>
          <w:bCs/>
          <w:lang w:val="hu-HU"/>
        </w:rPr>
      </w:pPr>
      <w:r>
        <w:rPr>
          <w:bCs/>
          <w:lang w:val="hu-HU"/>
        </w:rPr>
        <w:t>v</w:t>
      </w:r>
      <w:r w:rsidR="00E75348" w:rsidRPr="00D93355">
        <w:rPr>
          <w:bCs/>
          <w:lang w:val="hu-HU"/>
        </w:rPr>
        <w:t>örös vas-oxid</w:t>
      </w:r>
      <w:r w:rsidR="00940FE9" w:rsidRPr="00D93355">
        <w:rPr>
          <w:bCs/>
          <w:lang w:val="hu-HU"/>
        </w:rPr>
        <w:t xml:space="preserve"> </w:t>
      </w:r>
      <w:r w:rsidR="00E75348" w:rsidRPr="00D93355">
        <w:rPr>
          <w:bCs/>
          <w:lang w:val="hu-HU"/>
        </w:rPr>
        <w:t>(E172)</w:t>
      </w:r>
    </w:p>
    <w:p w14:paraId="5D3E8E56" w14:textId="77777777" w:rsidR="00B01EBC" w:rsidRPr="00D93355" w:rsidRDefault="00A413BF">
      <w:pPr>
        <w:keepNext/>
        <w:spacing w:line="240" w:lineRule="auto"/>
        <w:ind w:left="567" w:hanging="567"/>
        <w:outlineLvl w:val="0"/>
        <w:rPr>
          <w:bCs/>
          <w:lang w:val="hu-HU"/>
        </w:rPr>
      </w:pPr>
      <w:r>
        <w:rPr>
          <w:bCs/>
          <w:lang w:val="hu-HU"/>
        </w:rPr>
        <w:t>t</w:t>
      </w:r>
      <w:r w:rsidR="00E75348" w:rsidRPr="00D93355">
        <w:rPr>
          <w:bCs/>
          <w:lang w:val="hu-HU"/>
        </w:rPr>
        <w:t>riacetin</w:t>
      </w:r>
      <w:r w:rsidR="00940FE9" w:rsidRPr="00D93355">
        <w:rPr>
          <w:bCs/>
          <w:lang w:val="hu-HU"/>
        </w:rPr>
        <w:t xml:space="preserve"> </w:t>
      </w:r>
      <w:r w:rsidR="00E75348" w:rsidRPr="00D93355">
        <w:rPr>
          <w:bCs/>
          <w:lang w:val="hu-HU"/>
        </w:rPr>
        <w:t>(E1518)</w:t>
      </w:r>
    </w:p>
    <w:p w14:paraId="43E74F56" w14:textId="77777777" w:rsidR="00B01EBC" w:rsidRPr="00D93355" w:rsidRDefault="00B01EBC">
      <w:pPr>
        <w:keepNext/>
        <w:spacing w:line="240" w:lineRule="auto"/>
        <w:ind w:left="567" w:hanging="567"/>
        <w:outlineLvl w:val="0"/>
        <w:rPr>
          <w:b/>
          <w:bCs/>
          <w:lang w:val="hu-HU"/>
        </w:rPr>
      </w:pPr>
    </w:p>
    <w:p w14:paraId="1BDB64C5"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6.2</w:t>
      </w:r>
      <w:r w:rsidRPr="00D93355">
        <w:rPr>
          <w:b/>
          <w:bCs/>
          <w:lang w:val="hu-HU"/>
        </w:rPr>
        <w:tab/>
        <w:t>Inkompatibilitások</w:t>
      </w:r>
    </w:p>
    <w:p w14:paraId="4AB59AD4" w14:textId="77777777" w:rsidR="00E36D26" w:rsidRPr="00D93355" w:rsidRDefault="00E36D26">
      <w:pPr>
        <w:keepNext/>
        <w:spacing w:line="240" w:lineRule="auto"/>
        <w:rPr>
          <w:lang w:val="hu-HU"/>
        </w:rPr>
      </w:pPr>
    </w:p>
    <w:p w14:paraId="340198DF" w14:textId="77777777" w:rsidR="00E36D26" w:rsidRPr="00D93355" w:rsidRDefault="00E36D26">
      <w:pPr>
        <w:keepNext/>
        <w:spacing w:line="240" w:lineRule="auto"/>
        <w:rPr>
          <w:lang w:val="hu-HU"/>
        </w:rPr>
      </w:pPr>
      <w:r w:rsidRPr="00D93355">
        <w:rPr>
          <w:lang w:val="hu-HU"/>
        </w:rPr>
        <w:t>Nem értelmezhető.</w:t>
      </w:r>
    </w:p>
    <w:p w14:paraId="3C528565" w14:textId="77777777" w:rsidR="00E36D26" w:rsidRPr="00D93355" w:rsidRDefault="00E36D26">
      <w:pPr>
        <w:spacing w:line="240" w:lineRule="auto"/>
        <w:rPr>
          <w:lang w:val="hu-HU"/>
        </w:rPr>
      </w:pPr>
    </w:p>
    <w:p w14:paraId="44D43A20"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6.3</w:t>
      </w:r>
      <w:r w:rsidRPr="00D93355">
        <w:rPr>
          <w:b/>
          <w:bCs/>
          <w:lang w:val="hu-HU"/>
        </w:rPr>
        <w:tab/>
        <w:t>Felhasználhatósági időtartam</w:t>
      </w:r>
    </w:p>
    <w:p w14:paraId="1CC6AD93" w14:textId="77777777" w:rsidR="00E36D26" w:rsidRPr="00D93355" w:rsidRDefault="00E36D26">
      <w:pPr>
        <w:keepNext/>
        <w:spacing w:line="240" w:lineRule="auto"/>
        <w:rPr>
          <w:lang w:val="hu-HU"/>
        </w:rPr>
      </w:pPr>
    </w:p>
    <w:p w14:paraId="0CFDB2FA" w14:textId="77777777" w:rsidR="00E36D26" w:rsidRPr="00D93355" w:rsidRDefault="00B01EBC">
      <w:pPr>
        <w:keepNext/>
        <w:spacing w:line="240" w:lineRule="auto"/>
        <w:rPr>
          <w:lang w:val="hu-HU"/>
        </w:rPr>
      </w:pPr>
      <w:r w:rsidRPr="00D93355">
        <w:rPr>
          <w:lang w:val="hu-HU"/>
        </w:rPr>
        <w:t>3</w:t>
      </w:r>
      <w:r w:rsidR="00E36D26" w:rsidRPr="00D93355">
        <w:rPr>
          <w:lang w:val="hu-HU"/>
        </w:rPr>
        <w:t> év</w:t>
      </w:r>
    </w:p>
    <w:p w14:paraId="7BC7DABD" w14:textId="77777777" w:rsidR="00E36D26" w:rsidRPr="00D93355" w:rsidRDefault="00E36D26">
      <w:pPr>
        <w:spacing w:line="240" w:lineRule="auto"/>
        <w:rPr>
          <w:lang w:val="hu-HU"/>
        </w:rPr>
      </w:pPr>
    </w:p>
    <w:p w14:paraId="3D1F6E29"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6.4</w:t>
      </w:r>
      <w:r w:rsidRPr="00D93355">
        <w:rPr>
          <w:b/>
          <w:bCs/>
          <w:lang w:val="hu-HU"/>
        </w:rPr>
        <w:tab/>
        <w:t>Különleges tárolási előírások</w:t>
      </w:r>
    </w:p>
    <w:p w14:paraId="79D1EB24" w14:textId="77777777" w:rsidR="00E36D26" w:rsidRPr="00D93355" w:rsidRDefault="00E36D26">
      <w:pPr>
        <w:keepNext/>
        <w:spacing w:line="240" w:lineRule="auto"/>
        <w:ind w:left="567" w:hanging="567"/>
        <w:outlineLvl w:val="0"/>
        <w:rPr>
          <w:b/>
          <w:bCs/>
          <w:lang w:val="hu-HU"/>
        </w:rPr>
      </w:pPr>
    </w:p>
    <w:p w14:paraId="0536B287" w14:textId="77777777" w:rsidR="00B01EBC" w:rsidRPr="00EB62E1" w:rsidRDefault="00B01EBC">
      <w:pPr>
        <w:pStyle w:val="Szvegtrzs"/>
        <w:ind w:left="0"/>
        <w:rPr>
          <w:sz w:val="22"/>
          <w:szCs w:val="22"/>
          <w:lang w:val="hu-HU"/>
        </w:rPr>
      </w:pPr>
      <w:r w:rsidRPr="00EB62E1">
        <w:rPr>
          <w:sz w:val="22"/>
          <w:szCs w:val="22"/>
          <w:lang w:val="hu-HU"/>
        </w:rPr>
        <w:t xml:space="preserve">Ez a gyógyszer nem igényel </w:t>
      </w:r>
      <w:r w:rsidR="0037625B" w:rsidRPr="00EB62E1">
        <w:rPr>
          <w:sz w:val="22"/>
          <w:szCs w:val="22"/>
          <w:lang w:val="hu-HU"/>
        </w:rPr>
        <w:t>különleges tárolást</w:t>
      </w:r>
      <w:r w:rsidRPr="00EB62E1">
        <w:rPr>
          <w:sz w:val="22"/>
          <w:szCs w:val="22"/>
          <w:lang w:val="hu-HU"/>
        </w:rPr>
        <w:t>.</w:t>
      </w:r>
    </w:p>
    <w:p w14:paraId="1E6B8EA1" w14:textId="77777777" w:rsidR="00E36D26" w:rsidRPr="00D93355" w:rsidRDefault="00E36D26">
      <w:pPr>
        <w:spacing w:line="240" w:lineRule="auto"/>
        <w:rPr>
          <w:lang w:val="hu-HU"/>
        </w:rPr>
      </w:pPr>
    </w:p>
    <w:p w14:paraId="1F4B8910" w14:textId="77777777" w:rsidR="00E36D26" w:rsidRPr="00D93355" w:rsidRDefault="00E36D26">
      <w:pPr>
        <w:keepNext/>
        <w:spacing w:line="240" w:lineRule="auto"/>
        <w:ind w:left="567" w:hanging="567"/>
        <w:outlineLvl w:val="0"/>
        <w:rPr>
          <w:b/>
          <w:bCs/>
          <w:lang w:val="hu-HU"/>
        </w:rPr>
      </w:pPr>
      <w:r w:rsidRPr="00D93355">
        <w:rPr>
          <w:b/>
          <w:bCs/>
          <w:lang w:val="hu-HU"/>
        </w:rPr>
        <w:t>6.5</w:t>
      </w:r>
      <w:r w:rsidRPr="00D93355">
        <w:rPr>
          <w:b/>
          <w:bCs/>
          <w:lang w:val="hu-HU"/>
        </w:rPr>
        <w:tab/>
        <w:t>Csomagolás típusa és kiszerelése</w:t>
      </w:r>
    </w:p>
    <w:p w14:paraId="2FD5E4BC" w14:textId="77777777" w:rsidR="00E36D26" w:rsidRPr="00D93355" w:rsidRDefault="00E36D26">
      <w:pPr>
        <w:keepNext/>
        <w:spacing w:line="240" w:lineRule="auto"/>
        <w:rPr>
          <w:lang w:val="hu-HU"/>
        </w:rPr>
      </w:pPr>
    </w:p>
    <w:p w14:paraId="3BB4C36F" w14:textId="51B1104A" w:rsidR="00AC70F5" w:rsidRPr="00D93355" w:rsidRDefault="00976C72">
      <w:pPr>
        <w:keepNext/>
        <w:spacing w:line="240" w:lineRule="auto"/>
        <w:rPr>
          <w:lang w:val="hu-HU"/>
        </w:rPr>
      </w:pPr>
      <w:r>
        <w:rPr>
          <w:u w:val="single"/>
          <w:lang w:val="hu-HU"/>
        </w:rPr>
        <w:t>Bosentan Pharmascience</w:t>
      </w:r>
      <w:r w:rsidR="0037625B" w:rsidRPr="00EB62E1">
        <w:rPr>
          <w:u w:val="single"/>
          <w:lang w:val="hu-HU"/>
        </w:rPr>
        <w:t xml:space="preserve"> 62,5 mg filmtabletta</w:t>
      </w:r>
      <w:r w:rsidR="00AC70F5" w:rsidRPr="00D93355">
        <w:rPr>
          <w:lang w:val="hu-HU"/>
        </w:rPr>
        <w:t>:</w:t>
      </w:r>
      <w:r w:rsidR="00ED6248" w:rsidRPr="00D93355">
        <w:rPr>
          <w:lang w:val="hu-HU"/>
        </w:rPr>
        <w:t xml:space="preserve"> </w:t>
      </w:r>
      <w:r w:rsidR="00B01EBC" w:rsidRPr="00D93355">
        <w:rPr>
          <w:lang w:val="hu-HU"/>
        </w:rPr>
        <w:t>14</w:t>
      </w:r>
      <w:r w:rsidR="00ED6248" w:rsidRPr="00D93355">
        <w:rPr>
          <w:lang w:val="hu-HU"/>
        </w:rPr>
        <w:t> </w:t>
      </w:r>
      <w:r w:rsidR="00B01EBC" w:rsidRPr="00D93355">
        <w:rPr>
          <w:lang w:val="hu-HU"/>
        </w:rPr>
        <w:t>db,</w:t>
      </w:r>
      <w:r w:rsidR="00ED6248" w:rsidRPr="00D93355">
        <w:rPr>
          <w:lang w:val="hu-HU"/>
        </w:rPr>
        <w:t xml:space="preserve"> </w:t>
      </w:r>
      <w:r w:rsidR="00B01EBC" w:rsidRPr="00D93355">
        <w:rPr>
          <w:lang w:val="hu-HU"/>
        </w:rPr>
        <w:t>56</w:t>
      </w:r>
      <w:r w:rsidR="00ED6248" w:rsidRPr="00D93355">
        <w:rPr>
          <w:lang w:val="hu-HU"/>
        </w:rPr>
        <w:t> </w:t>
      </w:r>
      <w:r w:rsidR="00B01EBC" w:rsidRPr="00D93355">
        <w:rPr>
          <w:lang w:val="hu-HU"/>
        </w:rPr>
        <w:t>db,</w:t>
      </w:r>
      <w:r w:rsidR="00C14E2F" w:rsidRPr="00D93355">
        <w:rPr>
          <w:lang w:val="hu-HU"/>
        </w:rPr>
        <w:t xml:space="preserve"> </w:t>
      </w:r>
      <w:r w:rsidR="00B01EBC" w:rsidRPr="00D93355">
        <w:rPr>
          <w:lang w:val="hu-HU"/>
        </w:rPr>
        <w:t>112</w:t>
      </w:r>
      <w:r w:rsidR="00ED6248" w:rsidRPr="00D93355">
        <w:rPr>
          <w:lang w:val="hu-HU"/>
        </w:rPr>
        <w:t> </w:t>
      </w:r>
      <w:r w:rsidR="00B01EBC" w:rsidRPr="00D93355">
        <w:rPr>
          <w:lang w:val="hu-HU"/>
        </w:rPr>
        <w:t xml:space="preserve">db </w:t>
      </w:r>
      <w:r w:rsidR="00AC70F5" w:rsidRPr="00D93355">
        <w:rPr>
          <w:lang w:val="hu-HU"/>
        </w:rPr>
        <w:t xml:space="preserve">filmtablettát tartalmazó </w:t>
      </w:r>
      <w:r w:rsidR="00B01EBC" w:rsidRPr="00D93355">
        <w:rPr>
          <w:lang w:val="hu-HU"/>
        </w:rPr>
        <w:t>PVC/PCTFE/</w:t>
      </w:r>
      <w:r w:rsidR="0037625B" w:rsidRPr="00D93355">
        <w:rPr>
          <w:lang w:val="hu-HU"/>
        </w:rPr>
        <w:t>/</w:t>
      </w:r>
      <w:r w:rsidR="00B01EBC" w:rsidRPr="00D93355">
        <w:rPr>
          <w:lang w:val="hu-HU"/>
        </w:rPr>
        <w:t>alum</w:t>
      </w:r>
      <w:r w:rsidR="0037625B" w:rsidRPr="00D93355">
        <w:rPr>
          <w:lang w:val="hu-HU"/>
        </w:rPr>
        <w:t>í</w:t>
      </w:r>
      <w:r w:rsidR="00B01EBC" w:rsidRPr="00D93355">
        <w:rPr>
          <w:lang w:val="hu-HU"/>
        </w:rPr>
        <w:t xml:space="preserve">nium </w:t>
      </w:r>
      <w:r w:rsidR="00AC70F5" w:rsidRPr="00D93355">
        <w:rPr>
          <w:lang w:val="hu-HU"/>
        </w:rPr>
        <w:t>buborékcsomagolás</w:t>
      </w:r>
      <w:r w:rsidR="00744E53" w:rsidRPr="00D93355">
        <w:rPr>
          <w:lang w:val="hu-HU"/>
        </w:rPr>
        <w:t>ban kerül forgalomba</w:t>
      </w:r>
      <w:r w:rsidR="00AC70F5" w:rsidRPr="00D93355">
        <w:rPr>
          <w:lang w:val="hu-HU"/>
        </w:rPr>
        <w:t>.</w:t>
      </w:r>
    </w:p>
    <w:p w14:paraId="20BA4993" w14:textId="1AFBB70D" w:rsidR="00F74D31" w:rsidRPr="00D93355" w:rsidRDefault="00976C72">
      <w:pPr>
        <w:keepNext/>
        <w:spacing w:line="240" w:lineRule="auto"/>
        <w:rPr>
          <w:lang w:val="hu-HU"/>
        </w:rPr>
      </w:pPr>
      <w:r>
        <w:rPr>
          <w:u w:val="single"/>
          <w:lang w:val="hu-HU"/>
        </w:rPr>
        <w:t>Bosentan Pharmascience</w:t>
      </w:r>
      <w:r w:rsidR="0037625B" w:rsidRPr="00EB62E1">
        <w:rPr>
          <w:u w:val="single"/>
          <w:lang w:val="hu-HU"/>
        </w:rPr>
        <w:t xml:space="preserve"> </w:t>
      </w:r>
      <w:r w:rsidR="00AC70F5" w:rsidRPr="00EB62E1">
        <w:rPr>
          <w:u w:val="single"/>
          <w:lang w:val="hu-HU"/>
        </w:rPr>
        <w:t xml:space="preserve">125 mg </w:t>
      </w:r>
      <w:r w:rsidR="0037625B" w:rsidRPr="00EB62E1">
        <w:rPr>
          <w:u w:val="single"/>
          <w:lang w:val="hu-HU"/>
        </w:rPr>
        <w:t>filmtabletta</w:t>
      </w:r>
      <w:r w:rsidR="00AC70F5" w:rsidRPr="00D93355">
        <w:rPr>
          <w:lang w:val="hu-HU"/>
        </w:rPr>
        <w:t>:</w:t>
      </w:r>
      <w:r w:rsidR="00ED6248" w:rsidRPr="00D93355">
        <w:rPr>
          <w:lang w:val="hu-HU"/>
        </w:rPr>
        <w:t xml:space="preserve"> </w:t>
      </w:r>
      <w:r w:rsidR="00744E53" w:rsidRPr="00D93355">
        <w:rPr>
          <w:lang w:val="hu-HU"/>
        </w:rPr>
        <w:t>56</w:t>
      </w:r>
      <w:r w:rsidR="00ED6248" w:rsidRPr="00D93355">
        <w:rPr>
          <w:lang w:val="hu-HU"/>
        </w:rPr>
        <w:t> </w:t>
      </w:r>
      <w:r w:rsidR="00744E53" w:rsidRPr="00D93355">
        <w:rPr>
          <w:lang w:val="hu-HU"/>
        </w:rPr>
        <w:t>db,</w:t>
      </w:r>
      <w:r w:rsidR="00ED6248" w:rsidRPr="00D93355">
        <w:rPr>
          <w:lang w:val="hu-HU"/>
        </w:rPr>
        <w:t xml:space="preserve"> </w:t>
      </w:r>
      <w:r w:rsidR="00744E53" w:rsidRPr="00D93355">
        <w:rPr>
          <w:lang w:val="hu-HU"/>
        </w:rPr>
        <w:t>112</w:t>
      </w:r>
      <w:r w:rsidR="00ED6248" w:rsidRPr="00D93355">
        <w:rPr>
          <w:lang w:val="hu-HU"/>
        </w:rPr>
        <w:t> </w:t>
      </w:r>
      <w:r w:rsidR="00744E53" w:rsidRPr="00D93355">
        <w:rPr>
          <w:lang w:val="hu-HU"/>
        </w:rPr>
        <w:t>db filmtablettát tartalmazó PVC/PCTFE/</w:t>
      </w:r>
      <w:r w:rsidR="0037625B" w:rsidRPr="00D93355">
        <w:rPr>
          <w:lang w:val="hu-HU"/>
        </w:rPr>
        <w:t>/</w:t>
      </w:r>
      <w:r w:rsidR="00744E53" w:rsidRPr="00D93355">
        <w:rPr>
          <w:lang w:val="hu-HU"/>
        </w:rPr>
        <w:t>alum</w:t>
      </w:r>
      <w:r w:rsidR="0037625B" w:rsidRPr="00D93355">
        <w:rPr>
          <w:lang w:val="hu-HU"/>
        </w:rPr>
        <w:t>í</w:t>
      </w:r>
      <w:r w:rsidR="00744E53" w:rsidRPr="00D93355">
        <w:rPr>
          <w:lang w:val="hu-HU"/>
        </w:rPr>
        <w:t>nium buborékcsomagolásban kerül forgalomba</w:t>
      </w:r>
      <w:r w:rsidR="00F861A8" w:rsidRPr="00D93355">
        <w:rPr>
          <w:lang w:val="hu-HU"/>
        </w:rPr>
        <w:t>.</w:t>
      </w:r>
    </w:p>
    <w:p w14:paraId="25A5547C" w14:textId="77777777" w:rsidR="00F74D31" w:rsidRPr="00D93355" w:rsidRDefault="00F74D31">
      <w:pPr>
        <w:keepNext/>
        <w:spacing w:line="240" w:lineRule="auto"/>
        <w:rPr>
          <w:lang w:val="hu-HU"/>
        </w:rPr>
      </w:pPr>
    </w:p>
    <w:p w14:paraId="52A6E8D8" w14:textId="77777777" w:rsidR="00E36D26" w:rsidRPr="00D93355" w:rsidRDefault="00E36D26">
      <w:pPr>
        <w:spacing w:line="240" w:lineRule="auto"/>
        <w:rPr>
          <w:lang w:val="hu-HU"/>
        </w:rPr>
      </w:pPr>
      <w:r w:rsidRPr="00D93355">
        <w:rPr>
          <w:lang w:val="hu-HU"/>
        </w:rPr>
        <w:t>Nem feltétlenül mindegyik kiszerelés kerül kereskedelmi forgalomba.</w:t>
      </w:r>
    </w:p>
    <w:p w14:paraId="683F9177" w14:textId="77777777" w:rsidR="00E36D26" w:rsidRPr="00D93355" w:rsidRDefault="00E36D26">
      <w:pPr>
        <w:spacing w:line="240" w:lineRule="auto"/>
        <w:rPr>
          <w:lang w:val="hu-HU"/>
        </w:rPr>
      </w:pPr>
    </w:p>
    <w:p w14:paraId="69BC6AC1"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6.6</w:t>
      </w:r>
      <w:r w:rsidRPr="00D93355">
        <w:rPr>
          <w:b/>
          <w:bCs/>
          <w:lang w:val="hu-HU"/>
        </w:rPr>
        <w:tab/>
        <w:t>A megsemmisítésre vonatkozó különleges óvintézkedések és egyéb, a készítmény kezelésével kapcsolatos információk</w:t>
      </w:r>
    </w:p>
    <w:p w14:paraId="7C5856DC" w14:textId="77777777" w:rsidR="00E36D26" w:rsidRPr="000E4DBC" w:rsidRDefault="00E36D26" w:rsidP="0056371F">
      <w:pPr>
        <w:spacing w:line="240" w:lineRule="auto"/>
        <w:rPr>
          <w:lang w:val="hu-HU"/>
        </w:rPr>
      </w:pPr>
    </w:p>
    <w:p w14:paraId="64093393" w14:textId="77777777" w:rsidR="00E36D26" w:rsidRPr="00D93355" w:rsidRDefault="000E4DBC" w:rsidP="0056371F">
      <w:pPr>
        <w:spacing w:line="240" w:lineRule="auto"/>
        <w:rPr>
          <w:lang w:val="hu-HU"/>
        </w:rPr>
      </w:pPr>
      <w:r>
        <w:rPr>
          <w:lang w:val="hu-HU"/>
        </w:rPr>
        <w:t>Bármilyen fel nem használt gyógyszer, illetve hulladékanyag</w:t>
      </w:r>
      <w:r w:rsidR="00E36D26" w:rsidRPr="00D93355">
        <w:rPr>
          <w:lang w:val="hu-HU"/>
        </w:rPr>
        <w:t xml:space="preserve"> megsemmisítés</w:t>
      </w:r>
      <w:r>
        <w:rPr>
          <w:lang w:val="hu-HU"/>
        </w:rPr>
        <w:t xml:space="preserve">ét a gyógyszerekre </w:t>
      </w:r>
      <w:r w:rsidR="00E36D26" w:rsidRPr="00D93355">
        <w:rPr>
          <w:lang w:val="hu-HU"/>
        </w:rPr>
        <w:t>vonatkozó előírások</w:t>
      </w:r>
      <w:r>
        <w:rPr>
          <w:lang w:val="hu-HU"/>
        </w:rPr>
        <w:t xml:space="preserve"> szerint kell végrehajtani</w:t>
      </w:r>
      <w:r w:rsidR="00E36D26" w:rsidRPr="00D93355">
        <w:rPr>
          <w:lang w:val="hu-HU"/>
        </w:rPr>
        <w:t>.</w:t>
      </w:r>
    </w:p>
    <w:p w14:paraId="500C7FC5" w14:textId="77777777" w:rsidR="00E36D26" w:rsidRPr="00D93355" w:rsidRDefault="00E36D26" w:rsidP="0037625B">
      <w:pPr>
        <w:spacing w:line="240" w:lineRule="auto"/>
        <w:ind w:left="567" w:hanging="567"/>
        <w:outlineLvl w:val="0"/>
        <w:rPr>
          <w:bCs/>
          <w:lang w:val="hu-HU"/>
        </w:rPr>
      </w:pPr>
    </w:p>
    <w:p w14:paraId="0A8E7B97" w14:textId="77777777" w:rsidR="0037625B" w:rsidRPr="00D93355" w:rsidRDefault="0037625B" w:rsidP="005A1457">
      <w:pPr>
        <w:pStyle w:val="Normal2"/>
        <w:tabs>
          <w:tab w:val="left" w:pos="555"/>
        </w:tabs>
        <w:rPr>
          <w:sz w:val="22"/>
          <w:szCs w:val="22"/>
          <w:lang w:val="hu-HU"/>
        </w:rPr>
      </w:pPr>
      <w:r w:rsidRPr="00D93355">
        <w:rPr>
          <w:b/>
          <w:bCs/>
          <w:sz w:val="22"/>
          <w:szCs w:val="22"/>
          <w:lang w:val="hu-HU"/>
        </w:rPr>
        <w:t>Megjegyzés:</w:t>
      </w:r>
      <w:r w:rsidRPr="00D93355">
        <w:rPr>
          <w:sz w:val="22"/>
          <w:szCs w:val="22"/>
          <w:lang w:val="hu-HU"/>
        </w:rPr>
        <w:t xml:space="preserve"> </w:t>
      </w:r>
      <w:r w:rsidRPr="00D93355">
        <w:rPr>
          <w:sz w:val="22"/>
          <w:szCs w:val="22"/>
          <w:lang w:val="hu-HU"/>
        </w:rPr>
        <w:sym w:font="Wingdings" w:char="F058"/>
      </w:r>
      <w:r w:rsidRPr="00D93355">
        <w:rPr>
          <w:rFonts w:eastAsia="Wingdings"/>
          <w:sz w:val="22"/>
          <w:szCs w:val="22"/>
          <w:lang w:val="hu-HU"/>
        </w:rPr>
        <w:t xml:space="preserve"> </w:t>
      </w:r>
      <w:r w:rsidRPr="00D93355">
        <w:rPr>
          <w:sz w:val="22"/>
          <w:szCs w:val="22"/>
          <w:lang w:val="hu-HU"/>
        </w:rPr>
        <w:t>(egy keresztes)</w:t>
      </w:r>
    </w:p>
    <w:p w14:paraId="17280D39" w14:textId="77777777" w:rsidR="0037625B" w:rsidRPr="00D93355" w:rsidRDefault="0037625B">
      <w:pPr>
        <w:pStyle w:val="Normal1"/>
        <w:rPr>
          <w:b/>
          <w:sz w:val="22"/>
          <w:szCs w:val="22"/>
          <w:lang w:val="hu-HU"/>
        </w:rPr>
      </w:pPr>
      <w:r w:rsidRPr="00D93355">
        <w:rPr>
          <w:b/>
          <w:sz w:val="22"/>
          <w:szCs w:val="22"/>
          <w:lang w:val="hu-HU"/>
        </w:rPr>
        <w:t>Osztályozás: II/2. csoport</w:t>
      </w:r>
    </w:p>
    <w:p w14:paraId="7690147A" w14:textId="77777777" w:rsidR="0037625B" w:rsidRPr="00D93355" w:rsidRDefault="0037625B" w:rsidP="00BA32ED">
      <w:pPr>
        <w:spacing w:line="240" w:lineRule="auto"/>
        <w:rPr>
          <w:lang w:val="hu-HU"/>
        </w:rPr>
      </w:pPr>
      <w:r w:rsidRPr="00D93355">
        <w:rPr>
          <w:lang w:val="hu-HU"/>
        </w:rPr>
        <w:t>Korlátozott érvényű orvosi rendelvényhez kötött, szakorvosi kórházi diagnózist követően folyamatos szakorvosi ellenőrzés mellett alkalmazható gyógyszer (S</w:t>
      </w:r>
      <w:r w:rsidR="00B0074D">
        <w:rPr>
          <w:lang w:val="hu-HU"/>
        </w:rPr>
        <w:t>z</w:t>
      </w:r>
      <w:r w:rsidRPr="00D93355">
        <w:rPr>
          <w:lang w:val="hu-HU"/>
        </w:rPr>
        <w:t>).</w:t>
      </w:r>
    </w:p>
    <w:p w14:paraId="106E852F" w14:textId="77777777" w:rsidR="0037625B" w:rsidRPr="00D93355" w:rsidRDefault="0037625B" w:rsidP="0037625B">
      <w:pPr>
        <w:spacing w:line="240" w:lineRule="auto"/>
        <w:ind w:left="567" w:hanging="567"/>
        <w:outlineLvl w:val="0"/>
        <w:rPr>
          <w:bCs/>
          <w:lang w:val="hu-HU"/>
        </w:rPr>
      </w:pPr>
    </w:p>
    <w:p w14:paraId="7AF80F19" w14:textId="77777777" w:rsidR="00E36D26" w:rsidRPr="00D93355" w:rsidRDefault="00E36D26">
      <w:pPr>
        <w:spacing w:line="240" w:lineRule="auto"/>
        <w:rPr>
          <w:lang w:val="hu-HU"/>
        </w:rPr>
      </w:pPr>
    </w:p>
    <w:p w14:paraId="196826AC" w14:textId="77777777" w:rsidR="00E36D26" w:rsidRPr="00D93355" w:rsidRDefault="00E36D26">
      <w:pPr>
        <w:keepNext/>
        <w:tabs>
          <w:tab w:val="clear" w:pos="567"/>
        </w:tabs>
        <w:spacing w:line="240" w:lineRule="auto"/>
        <w:ind w:left="567" w:hanging="567"/>
        <w:outlineLvl w:val="0"/>
        <w:rPr>
          <w:b/>
          <w:bCs/>
          <w:lang w:val="hu-HU"/>
        </w:rPr>
      </w:pPr>
      <w:r w:rsidRPr="00D93355">
        <w:rPr>
          <w:b/>
          <w:bCs/>
          <w:lang w:val="hu-HU"/>
        </w:rPr>
        <w:t>7.</w:t>
      </w:r>
      <w:r w:rsidRPr="00D93355">
        <w:rPr>
          <w:b/>
          <w:bCs/>
          <w:lang w:val="hu-HU"/>
        </w:rPr>
        <w:tab/>
        <w:t>A FORGALOMBA HOZATALI ENGEDÉLY JOGOSULTJA</w:t>
      </w:r>
    </w:p>
    <w:p w14:paraId="4BA0603D" w14:textId="77777777" w:rsidR="00E36D26" w:rsidRPr="00D93355" w:rsidRDefault="00E36D26">
      <w:pPr>
        <w:keepNext/>
        <w:spacing w:line="240" w:lineRule="auto"/>
        <w:ind w:left="567" w:hanging="567"/>
        <w:outlineLvl w:val="0"/>
        <w:rPr>
          <w:bCs/>
          <w:lang w:val="hu-HU"/>
        </w:rPr>
      </w:pPr>
    </w:p>
    <w:p w14:paraId="6298D023" w14:textId="77777777" w:rsidR="00B550DF" w:rsidRPr="008039DE" w:rsidRDefault="00B550DF" w:rsidP="00B550DF">
      <w:pPr>
        <w:spacing w:line="240" w:lineRule="auto"/>
        <w:rPr>
          <w:lang w:val="hu-HU"/>
        </w:rPr>
      </w:pPr>
      <w:r w:rsidRPr="008039DE">
        <w:rPr>
          <w:lang w:val="hu-HU"/>
        </w:rPr>
        <w:t>Pharmascience International Limited</w:t>
      </w:r>
    </w:p>
    <w:p w14:paraId="1B75AF9A" w14:textId="77777777" w:rsidR="00B550DF" w:rsidRPr="008039DE" w:rsidRDefault="00B550DF" w:rsidP="00B550DF">
      <w:pPr>
        <w:spacing w:line="240" w:lineRule="auto"/>
        <w:rPr>
          <w:lang w:val="hu-HU"/>
        </w:rPr>
      </w:pPr>
      <w:r w:rsidRPr="008039DE">
        <w:rPr>
          <w:lang w:val="hu-HU"/>
        </w:rPr>
        <w:t>Lampousas 1, 1095</w:t>
      </w:r>
    </w:p>
    <w:p w14:paraId="0CDE551B" w14:textId="77777777" w:rsidR="00B550DF" w:rsidRPr="008039DE" w:rsidRDefault="00B550DF" w:rsidP="00B550DF">
      <w:pPr>
        <w:spacing w:line="240" w:lineRule="auto"/>
        <w:rPr>
          <w:lang w:val="hu-HU"/>
        </w:rPr>
      </w:pPr>
      <w:r w:rsidRPr="008039DE">
        <w:rPr>
          <w:lang w:val="hu-HU"/>
        </w:rPr>
        <w:t>Nicosia</w:t>
      </w:r>
    </w:p>
    <w:p w14:paraId="48739C17" w14:textId="77777777" w:rsidR="008C2703" w:rsidRPr="00753F5F" w:rsidRDefault="00B550DF">
      <w:pPr>
        <w:pStyle w:val="Normal1"/>
        <w:rPr>
          <w:sz w:val="22"/>
          <w:szCs w:val="22"/>
          <w:lang w:val="hu-HU"/>
        </w:rPr>
      </w:pPr>
      <w:r w:rsidRPr="008039DE">
        <w:rPr>
          <w:sz w:val="22"/>
          <w:szCs w:val="22"/>
          <w:lang w:val="hu-HU"/>
        </w:rPr>
        <w:t>Ciprus</w:t>
      </w:r>
    </w:p>
    <w:p w14:paraId="1637E970" w14:textId="77777777" w:rsidR="00E36D26" w:rsidRPr="00753F5F" w:rsidRDefault="00E36D26">
      <w:pPr>
        <w:spacing w:line="240" w:lineRule="auto"/>
        <w:rPr>
          <w:noProof/>
          <w:lang w:val="hu-HU"/>
        </w:rPr>
      </w:pPr>
    </w:p>
    <w:p w14:paraId="7A03214F" w14:textId="77777777" w:rsidR="00E36D26" w:rsidRPr="00D93355" w:rsidRDefault="00E36D26">
      <w:pPr>
        <w:spacing w:line="240" w:lineRule="auto"/>
        <w:ind w:left="567" w:hanging="567"/>
        <w:outlineLvl w:val="0"/>
        <w:rPr>
          <w:b/>
          <w:bCs/>
          <w:lang w:val="hu-HU"/>
        </w:rPr>
      </w:pPr>
    </w:p>
    <w:p w14:paraId="6521D9AB" w14:textId="77777777" w:rsidR="00E36D26" w:rsidRPr="00D93355" w:rsidRDefault="00E36D26">
      <w:pPr>
        <w:spacing w:line="240" w:lineRule="auto"/>
        <w:ind w:left="567" w:hanging="567"/>
        <w:outlineLvl w:val="0"/>
        <w:rPr>
          <w:b/>
          <w:bCs/>
          <w:lang w:val="hu-HU"/>
        </w:rPr>
      </w:pPr>
      <w:r w:rsidRPr="00D93355">
        <w:rPr>
          <w:b/>
          <w:bCs/>
          <w:lang w:val="hu-HU"/>
        </w:rPr>
        <w:t>8.</w:t>
      </w:r>
      <w:r w:rsidRPr="00D93355">
        <w:rPr>
          <w:b/>
          <w:bCs/>
          <w:lang w:val="hu-HU"/>
        </w:rPr>
        <w:tab/>
        <w:t>A FORGALOMBA HOZATALI ENGEDÉLY SZÁMA(I)</w:t>
      </w:r>
    </w:p>
    <w:p w14:paraId="5EA86CA1" w14:textId="77777777" w:rsidR="00E36D26" w:rsidRPr="00D93355" w:rsidRDefault="00E36D26">
      <w:pPr>
        <w:spacing w:line="240" w:lineRule="auto"/>
        <w:ind w:left="567" w:hanging="567"/>
        <w:outlineLvl w:val="0"/>
        <w:rPr>
          <w:b/>
          <w:bCs/>
          <w:lang w:val="hu-HU"/>
        </w:rPr>
      </w:pPr>
    </w:p>
    <w:p w14:paraId="7E5C51D3" w14:textId="77777777" w:rsidR="0037625B" w:rsidRPr="00D93355" w:rsidRDefault="00976C72">
      <w:pPr>
        <w:spacing w:line="240" w:lineRule="auto"/>
        <w:ind w:left="567" w:hanging="567"/>
        <w:outlineLvl w:val="0"/>
        <w:rPr>
          <w:bCs/>
          <w:u w:val="single"/>
          <w:lang w:val="hu-HU"/>
        </w:rPr>
      </w:pPr>
      <w:r>
        <w:rPr>
          <w:bCs/>
          <w:u w:val="single"/>
          <w:lang w:val="hu-HU"/>
        </w:rPr>
        <w:t>Bosentan Pharmascience</w:t>
      </w:r>
      <w:r w:rsidR="0037625B" w:rsidRPr="00D93355">
        <w:rPr>
          <w:bCs/>
          <w:u w:val="single"/>
          <w:lang w:val="hu-HU"/>
        </w:rPr>
        <w:t xml:space="preserve"> 62,5 mg filmtabletta:</w:t>
      </w:r>
    </w:p>
    <w:p w14:paraId="36BBF6BA" w14:textId="2C0D4496" w:rsidR="00D93355" w:rsidRPr="00D93355" w:rsidRDefault="00D93355" w:rsidP="00D93355">
      <w:pPr>
        <w:tabs>
          <w:tab w:val="clear" w:pos="567"/>
          <w:tab w:val="right" w:pos="2835"/>
        </w:tabs>
        <w:spacing w:line="240" w:lineRule="auto"/>
        <w:ind w:left="567" w:hanging="567"/>
        <w:outlineLvl w:val="0"/>
        <w:rPr>
          <w:bCs/>
          <w:lang w:val="hu-HU"/>
        </w:rPr>
      </w:pPr>
      <w:r w:rsidRPr="00D93355">
        <w:rPr>
          <w:bCs/>
          <w:lang w:val="hu-HU"/>
        </w:rPr>
        <w:t>OGYI-T-23109/01</w:t>
      </w:r>
      <w:r>
        <w:rPr>
          <w:bCs/>
          <w:lang w:val="hu-HU"/>
        </w:rPr>
        <w:tab/>
      </w:r>
      <w:r w:rsidRPr="00D93355">
        <w:rPr>
          <w:bCs/>
          <w:lang w:val="hu-HU"/>
        </w:rPr>
        <w:t>14</w:t>
      </w:r>
      <w:r w:rsidR="000E51F6">
        <w:rPr>
          <w:bCs/>
          <w:lang w:val="hu-HU"/>
        </w:rPr>
        <w:t xml:space="preserve"> db</w:t>
      </w:r>
    </w:p>
    <w:p w14:paraId="63F506C6" w14:textId="52282082" w:rsidR="00D93355" w:rsidRPr="00D93355" w:rsidRDefault="00D93355" w:rsidP="00D93355">
      <w:pPr>
        <w:tabs>
          <w:tab w:val="clear" w:pos="567"/>
          <w:tab w:val="right" w:pos="2835"/>
        </w:tabs>
        <w:spacing w:line="240" w:lineRule="auto"/>
        <w:ind w:left="567" w:hanging="567"/>
        <w:outlineLvl w:val="0"/>
        <w:rPr>
          <w:bCs/>
          <w:lang w:val="hu-HU"/>
        </w:rPr>
      </w:pPr>
      <w:r>
        <w:rPr>
          <w:bCs/>
          <w:lang w:val="hu-HU"/>
        </w:rPr>
        <w:t>OGYI-T-23109/02</w:t>
      </w:r>
      <w:r>
        <w:rPr>
          <w:bCs/>
          <w:lang w:val="hu-HU"/>
        </w:rPr>
        <w:tab/>
        <w:t>56</w:t>
      </w:r>
      <w:r w:rsidR="000E51F6">
        <w:rPr>
          <w:bCs/>
          <w:lang w:val="hu-HU"/>
        </w:rPr>
        <w:t xml:space="preserve"> db</w:t>
      </w:r>
    </w:p>
    <w:p w14:paraId="4A11C587" w14:textId="450BADA6" w:rsidR="00D93355" w:rsidRPr="00D93355" w:rsidRDefault="00D93355" w:rsidP="00D93355">
      <w:pPr>
        <w:tabs>
          <w:tab w:val="clear" w:pos="567"/>
          <w:tab w:val="right" w:pos="2835"/>
        </w:tabs>
        <w:spacing w:line="240" w:lineRule="auto"/>
        <w:ind w:left="567" w:hanging="567"/>
        <w:outlineLvl w:val="0"/>
        <w:rPr>
          <w:bCs/>
          <w:lang w:val="hu-HU"/>
        </w:rPr>
      </w:pPr>
      <w:r w:rsidRPr="00D93355">
        <w:rPr>
          <w:bCs/>
          <w:lang w:val="hu-HU"/>
        </w:rPr>
        <w:t>OGYI-T-23109/03</w:t>
      </w:r>
      <w:r>
        <w:rPr>
          <w:bCs/>
          <w:lang w:val="hu-HU"/>
        </w:rPr>
        <w:tab/>
      </w:r>
      <w:r w:rsidRPr="00D93355">
        <w:rPr>
          <w:bCs/>
          <w:lang w:val="hu-HU"/>
        </w:rPr>
        <w:t>112</w:t>
      </w:r>
      <w:r w:rsidR="000E51F6">
        <w:rPr>
          <w:bCs/>
          <w:lang w:val="hu-HU"/>
        </w:rPr>
        <w:t xml:space="preserve"> db</w:t>
      </w:r>
    </w:p>
    <w:p w14:paraId="26D39F97" w14:textId="77777777" w:rsidR="0037625B" w:rsidRPr="00D93355" w:rsidRDefault="0037625B">
      <w:pPr>
        <w:spacing w:line="240" w:lineRule="auto"/>
        <w:ind w:left="567" w:hanging="567"/>
        <w:outlineLvl w:val="0"/>
        <w:rPr>
          <w:bCs/>
          <w:lang w:val="hu-HU"/>
        </w:rPr>
      </w:pPr>
    </w:p>
    <w:p w14:paraId="1F9E2BA4" w14:textId="77777777" w:rsidR="0037625B" w:rsidRPr="00D93355" w:rsidRDefault="00976C72">
      <w:pPr>
        <w:spacing w:line="240" w:lineRule="auto"/>
        <w:ind w:left="567" w:hanging="567"/>
        <w:outlineLvl w:val="0"/>
        <w:rPr>
          <w:bCs/>
          <w:u w:val="single"/>
          <w:lang w:val="hu-HU"/>
        </w:rPr>
      </w:pPr>
      <w:r>
        <w:rPr>
          <w:bCs/>
          <w:u w:val="single"/>
          <w:lang w:val="hu-HU"/>
        </w:rPr>
        <w:t>Bosentan Pharmascience</w:t>
      </w:r>
      <w:r w:rsidR="0037625B" w:rsidRPr="00D93355">
        <w:rPr>
          <w:bCs/>
          <w:u w:val="single"/>
          <w:lang w:val="hu-HU"/>
        </w:rPr>
        <w:t xml:space="preserve"> 125 mg filmtabletta:</w:t>
      </w:r>
    </w:p>
    <w:p w14:paraId="11FCE682" w14:textId="778EF7E6" w:rsidR="00D93355" w:rsidRPr="00D93355" w:rsidRDefault="00D93355" w:rsidP="00D93355">
      <w:pPr>
        <w:tabs>
          <w:tab w:val="clear" w:pos="567"/>
          <w:tab w:val="right" w:pos="2835"/>
        </w:tabs>
        <w:spacing w:line="240" w:lineRule="auto"/>
        <w:ind w:left="567" w:hanging="567"/>
        <w:outlineLvl w:val="0"/>
        <w:rPr>
          <w:bCs/>
          <w:lang w:val="hu-HU"/>
        </w:rPr>
      </w:pPr>
      <w:r w:rsidRPr="00D93355">
        <w:rPr>
          <w:bCs/>
          <w:lang w:val="hu-HU"/>
        </w:rPr>
        <w:t>OGYI-T-23109/04</w:t>
      </w:r>
      <w:r>
        <w:rPr>
          <w:bCs/>
          <w:lang w:val="hu-HU"/>
        </w:rPr>
        <w:tab/>
      </w:r>
      <w:r w:rsidRPr="00D93355">
        <w:rPr>
          <w:bCs/>
          <w:lang w:val="hu-HU"/>
        </w:rPr>
        <w:t>56</w:t>
      </w:r>
      <w:r w:rsidR="000E51F6">
        <w:rPr>
          <w:bCs/>
          <w:lang w:val="hu-HU"/>
        </w:rPr>
        <w:t xml:space="preserve"> db</w:t>
      </w:r>
    </w:p>
    <w:p w14:paraId="2E23B7FC" w14:textId="385FF43F" w:rsidR="00D93355" w:rsidRPr="00D93355" w:rsidRDefault="00D93355" w:rsidP="00D93355">
      <w:pPr>
        <w:tabs>
          <w:tab w:val="clear" w:pos="567"/>
          <w:tab w:val="right" w:pos="2835"/>
        </w:tabs>
        <w:spacing w:line="240" w:lineRule="auto"/>
        <w:ind w:left="567" w:hanging="567"/>
        <w:outlineLvl w:val="0"/>
        <w:rPr>
          <w:bCs/>
          <w:lang w:val="hu-HU"/>
        </w:rPr>
      </w:pPr>
      <w:r w:rsidRPr="00D93355">
        <w:rPr>
          <w:bCs/>
          <w:lang w:val="hu-HU"/>
        </w:rPr>
        <w:t>OGYI-T-23109/05</w:t>
      </w:r>
      <w:r>
        <w:rPr>
          <w:bCs/>
          <w:lang w:val="hu-HU"/>
        </w:rPr>
        <w:tab/>
      </w:r>
      <w:r w:rsidRPr="00D93355">
        <w:rPr>
          <w:bCs/>
          <w:lang w:val="hu-HU"/>
        </w:rPr>
        <w:t>112</w:t>
      </w:r>
      <w:r w:rsidR="000E51F6">
        <w:rPr>
          <w:bCs/>
          <w:lang w:val="hu-HU"/>
        </w:rPr>
        <w:t xml:space="preserve"> db</w:t>
      </w:r>
    </w:p>
    <w:p w14:paraId="2B55FF36" w14:textId="77777777" w:rsidR="0037625B" w:rsidRPr="00D93355" w:rsidRDefault="0037625B">
      <w:pPr>
        <w:spacing w:line="240" w:lineRule="auto"/>
        <w:ind w:left="567" w:hanging="567"/>
        <w:outlineLvl w:val="0"/>
        <w:rPr>
          <w:bCs/>
          <w:lang w:val="hu-HU"/>
        </w:rPr>
      </w:pPr>
    </w:p>
    <w:p w14:paraId="1D2C8B18" w14:textId="77777777" w:rsidR="0030057F" w:rsidRPr="00D93355" w:rsidRDefault="0030057F">
      <w:pPr>
        <w:spacing w:line="240" w:lineRule="auto"/>
        <w:ind w:left="567" w:hanging="567"/>
        <w:outlineLvl w:val="0"/>
        <w:rPr>
          <w:bCs/>
          <w:lang w:val="hu-HU"/>
        </w:rPr>
      </w:pPr>
    </w:p>
    <w:p w14:paraId="50E0CE57" w14:textId="77777777" w:rsidR="00E36D26" w:rsidRPr="00D93355" w:rsidRDefault="00E36D26">
      <w:pPr>
        <w:spacing w:line="240" w:lineRule="auto"/>
        <w:ind w:left="567" w:hanging="567"/>
        <w:outlineLvl w:val="0"/>
        <w:rPr>
          <w:b/>
          <w:bCs/>
          <w:lang w:val="hu-HU"/>
        </w:rPr>
      </w:pPr>
      <w:r w:rsidRPr="00D93355">
        <w:rPr>
          <w:b/>
          <w:bCs/>
          <w:lang w:val="hu-HU"/>
        </w:rPr>
        <w:t>9.</w:t>
      </w:r>
      <w:r w:rsidRPr="00D93355">
        <w:rPr>
          <w:b/>
          <w:bCs/>
          <w:lang w:val="hu-HU"/>
        </w:rPr>
        <w:tab/>
        <w:t>A FORGALOMBA HOZATALI ENGEDÉLY ELSŐ KIADÁSÁNAK / MEGÚJÍTÁSÁNAK DÁTUMA</w:t>
      </w:r>
    </w:p>
    <w:p w14:paraId="5B58C967" w14:textId="77777777" w:rsidR="00E36D26" w:rsidRPr="00D93355" w:rsidRDefault="00E36D26">
      <w:pPr>
        <w:spacing w:line="240" w:lineRule="auto"/>
        <w:rPr>
          <w:lang w:val="hu-HU"/>
        </w:rPr>
      </w:pPr>
    </w:p>
    <w:p w14:paraId="78336089" w14:textId="77777777" w:rsidR="00E36D26" w:rsidRPr="00D93355" w:rsidRDefault="00E36D26">
      <w:pPr>
        <w:spacing w:line="240" w:lineRule="auto"/>
        <w:rPr>
          <w:lang w:val="hu-HU"/>
        </w:rPr>
      </w:pPr>
      <w:r w:rsidRPr="00D93355">
        <w:rPr>
          <w:lang w:val="hu-HU"/>
        </w:rPr>
        <w:t xml:space="preserve">A forgalomba hozatali engedély első kiadásának dátuma: </w:t>
      </w:r>
      <w:r w:rsidR="005A1457" w:rsidRPr="00D93355">
        <w:rPr>
          <w:lang w:val="hu-HU"/>
        </w:rPr>
        <w:t xml:space="preserve">2016. november </w:t>
      </w:r>
      <w:r w:rsidR="00D93355">
        <w:rPr>
          <w:lang w:val="hu-HU"/>
        </w:rPr>
        <w:t>11</w:t>
      </w:r>
      <w:r w:rsidR="005A1457" w:rsidRPr="00D93355">
        <w:rPr>
          <w:lang w:val="hu-HU"/>
        </w:rPr>
        <w:t>.</w:t>
      </w:r>
    </w:p>
    <w:p w14:paraId="660B6C17" w14:textId="77777777" w:rsidR="00E36D26" w:rsidRPr="00D93355" w:rsidRDefault="00E36D26">
      <w:pPr>
        <w:spacing w:line="240" w:lineRule="auto"/>
        <w:rPr>
          <w:lang w:val="hu-HU"/>
        </w:rPr>
      </w:pPr>
    </w:p>
    <w:p w14:paraId="5F3EA62A" w14:textId="77777777" w:rsidR="00E36D26" w:rsidRPr="00D93355" w:rsidRDefault="00E36D26">
      <w:pPr>
        <w:spacing w:line="240" w:lineRule="auto"/>
        <w:rPr>
          <w:lang w:val="hu-HU"/>
        </w:rPr>
      </w:pPr>
    </w:p>
    <w:p w14:paraId="0179841C" w14:textId="77777777" w:rsidR="00E36D26" w:rsidRPr="00D93355" w:rsidRDefault="00E36D26">
      <w:pPr>
        <w:spacing w:line="240" w:lineRule="auto"/>
        <w:ind w:left="567" w:hanging="567"/>
        <w:outlineLvl w:val="0"/>
        <w:rPr>
          <w:bCs/>
          <w:lang w:val="hu-HU"/>
        </w:rPr>
      </w:pPr>
      <w:r w:rsidRPr="00D93355">
        <w:rPr>
          <w:b/>
          <w:bCs/>
          <w:lang w:val="hu-HU"/>
        </w:rPr>
        <w:t>10.</w:t>
      </w:r>
      <w:r w:rsidRPr="00D93355">
        <w:rPr>
          <w:b/>
          <w:bCs/>
          <w:lang w:val="hu-HU"/>
        </w:rPr>
        <w:tab/>
        <w:t>A SZÖVEG ELLENŐRZÉSÉNEK DÁTUMA</w:t>
      </w:r>
    </w:p>
    <w:p w14:paraId="2DCDDA66" w14:textId="77777777" w:rsidR="00E36D26" w:rsidRDefault="00E36D26" w:rsidP="00976C72">
      <w:pPr>
        <w:spacing w:line="240" w:lineRule="auto"/>
        <w:ind w:left="567" w:hanging="567"/>
        <w:outlineLvl w:val="0"/>
        <w:rPr>
          <w:lang w:val="hu-HU"/>
        </w:rPr>
      </w:pPr>
    </w:p>
    <w:p w14:paraId="4D4045AF" w14:textId="62C8B644" w:rsidR="00BA61AD" w:rsidRPr="00D93355" w:rsidRDefault="005222C1" w:rsidP="00B849A7">
      <w:pPr>
        <w:spacing w:line="240" w:lineRule="auto"/>
        <w:outlineLvl w:val="0"/>
        <w:rPr>
          <w:lang w:val="hu-HU"/>
        </w:rPr>
      </w:pPr>
      <w:r>
        <w:rPr>
          <w:lang w:val="hu-HU"/>
        </w:rPr>
        <w:t>2026. január 10.</w:t>
      </w:r>
    </w:p>
    <w:sectPr w:rsidR="00BA61AD" w:rsidRPr="00D93355" w:rsidSect="00FF7BEF">
      <w:headerReference w:type="default" r:id="rId12"/>
      <w:footerReference w:type="default" r:id="rId13"/>
      <w:footerReference w:type="first" r:id="rId14"/>
      <w:endnotePr>
        <w:numFmt w:val="decimal"/>
      </w:endnotePr>
      <w:pgSz w:w="11907"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A53B14" w14:textId="77777777" w:rsidR="003C044B" w:rsidRDefault="003C044B" w:rsidP="00AC70F5">
      <w:pPr>
        <w:spacing w:line="240" w:lineRule="auto"/>
      </w:pPr>
      <w:r>
        <w:separator/>
      </w:r>
    </w:p>
  </w:endnote>
  <w:endnote w:type="continuationSeparator" w:id="0">
    <w:p w14:paraId="76BD8C34" w14:textId="77777777" w:rsidR="003C044B" w:rsidRDefault="003C044B" w:rsidP="00AC70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ubheading">
    <w:panose1 w:val="02000505000000020004"/>
    <w:charset w:val="EE"/>
    <w:family w:val="auto"/>
    <w:pitch w:val="variable"/>
    <w:sig w:usb0="A00002EF" w:usb1="4000204B" w:usb2="00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TimesNewRoman">
    <w:altName w:val="Yu Gothic"/>
    <w:panose1 w:val="00000000000000000000"/>
    <w:charset w:val="00"/>
    <w:family w:val="roman"/>
    <w:notTrueType/>
    <w:pitch w:val="default"/>
    <w:sig w:usb0="00000003" w:usb1="08070000" w:usb2="00000010" w:usb3="00000000" w:csb0="00020001" w:csb1="00000000"/>
  </w:font>
  <w:font w:name="Symbol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C693C" w14:textId="77777777" w:rsidR="003C044B" w:rsidRPr="00BA32ED" w:rsidRDefault="003C044B" w:rsidP="00D0670C">
    <w:pPr>
      <w:pStyle w:val="llb"/>
      <w:tabs>
        <w:tab w:val="clear" w:pos="4536"/>
        <w:tab w:val="center" w:pos="4535"/>
        <w:tab w:val="left" w:pos="5010"/>
      </w:tabs>
      <w:rPr>
        <w:color w:val="auto"/>
        <w:sz w:val="18"/>
        <w:szCs w:val="18"/>
        <w:u w:val="none"/>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44F70" w14:textId="77777777" w:rsidR="005222C1" w:rsidRDefault="005222C1" w:rsidP="00F90CB8">
    <w:pPr>
      <w:pStyle w:val="llb"/>
      <w:spacing w:line="240" w:lineRule="auto"/>
      <w:rPr>
        <w:color w:val="auto"/>
        <w:sz w:val="18"/>
        <w:szCs w:val="18"/>
        <w:u w:val="none"/>
        <w:lang w:val="hu-HU"/>
      </w:rPr>
    </w:pPr>
    <w:r>
      <w:rPr>
        <w:color w:val="auto"/>
        <w:sz w:val="18"/>
        <w:szCs w:val="18"/>
        <w:u w:val="none"/>
        <w:lang w:val="hu-HU"/>
      </w:rPr>
      <w:t>NNGYK/ETGY/30850/2025</w:t>
    </w:r>
  </w:p>
  <w:p w14:paraId="1BA86B16" w14:textId="1B558346" w:rsidR="003C044B" w:rsidRPr="00B849A7" w:rsidRDefault="005222C1" w:rsidP="00F90CB8">
    <w:pPr>
      <w:pStyle w:val="llb"/>
      <w:spacing w:line="240" w:lineRule="auto"/>
      <w:rPr>
        <w:color w:val="auto"/>
        <w:sz w:val="18"/>
        <w:szCs w:val="18"/>
        <w:u w:val="none"/>
        <w:lang w:val="hu-HU"/>
      </w:rPr>
    </w:pPr>
    <w:r>
      <w:rPr>
        <w:color w:val="auto"/>
        <w:sz w:val="18"/>
        <w:szCs w:val="18"/>
        <w:u w:val="none"/>
        <w:lang w:val="hu-HU"/>
      </w:rPr>
      <w:t>NNGYK/ETGY/30852/2025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ABEB2" w14:textId="77777777" w:rsidR="003C044B" w:rsidRDefault="003C044B" w:rsidP="00AC70F5">
      <w:pPr>
        <w:spacing w:line="240" w:lineRule="auto"/>
      </w:pPr>
      <w:r>
        <w:separator/>
      </w:r>
    </w:p>
  </w:footnote>
  <w:footnote w:type="continuationSeparator" w:id="0">
    <w:p w14:paraId="14903127" w14:textId="77777777" w:rsidR="003C044B" w:rsidRDefault="003C044B" w:rsidP="00AC70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57563" w14:textId="77D6D813" w:rsidR="003C044B" w:rsidRPr="00D0670C" w:rsidRDefault="003C044B" w:rsidP="00B849A7">
    <w:pPr>
      <w:pStyle w:val="lfej"/>
      <w:tabs>
        <w:tab w:val="left" w:pos="1410"/>
        <w:tab w:val="center" w:pos="4535"/>
        <w:tab w:val="left" w:pos="5085"/>
      </w:tabs>
      <w:jc w:val="center"/>
      <w:rPr>
        <w:sz w:val="18"/>
        <w:szCs w:val="18"/>
      </w:rPr>
    </w:pPr>
    <w:r w:rsidRPr="00D0670C">
      <w:rPr>
        <w:sz w:val="18"/>
        <w:szCs w:val="18"/>
      </w:rPr>
      <w:fldChar w:fldCharType="begin"/>
    </w:r>
    <w:r w:rsidRPr="00D0670C">
      <w:rPr>
        <w:sz w:val="18"/>
        <w:szCs w:val="18"/>
      </w:rPr>
      <w:instrText>PAGE   \* MERGEFORMAT</w:instrText>
    </w:r>
    <w:r w:rsidRPr="00D0670C">
      <w:rPr>
        <w:sz w:val="18"/>
        <w:szCs w:val="18"/>
      </w:rPr>
      <w:fldChar w:fldCharType="separate"/>
    </w:r>
    <w:r w:rsidR="0057703D" w:rsidRPr="0057703D">
      <w:rPr>
        <w:noProof/>
        <w:sz w:val="18"/>
        <w:szCs w:val="18"/>
        <w:lang w:val="hu-HU"/>
      </w:rPr>
      <w:t>22</w:t>
    </w:r>
    <w:r w:rsidRPr="00D0670C">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8"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13BD7475"/>
    <w:multiLevelType w:val="hybridMultilevel"/>
    <w:tmpl w:val="07DAAE98"/>
    <w:lvl w:ilvl="0" w:tplc="040E0015">
      <w:start w:val="3"/>
      <w:numFmt w:val="upperLetter"/>
      <w:lvlText w:val="%1."/>
      <w:lvlJc w:val="left"/>
      <w:pPr>
        <w:tabs>
          <w:tab w:val="num" w:pos="720"/>
        </w:tabs>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0" w15:restartNumberingAfterBreak="0">
    <w:nsid w:val="18C73A6B"/>
    <w:multiLevelType w:val="hybridMultilevel"/>
    <w:tmpl w:val="BB7639C6"/>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1AD35219"/>
    <w:multiLevelType w:val="hybridMultilevel"/>
    <w:tmpl w:val="F8B4C9B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15:restartNumberingAfterBreak="0">
    <w:nsid w:val="1B292095"/>
    <w:multiLevelType w:val="hybridMultilevel"/>
    <w:tmpl w:val="7E90BCE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5543855"/>
    <w:multiLevelType w:val="hybridMultilevel"/>
    <w:tmpl w:val="9E4A2CC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5" w15:restartNumberingAfterBreak="0">
    <w:nsid w:val="3D454B96"/>
    <w:multiLevelType w:val="hybridMultilevel"/>
    <w:tmpl w:val="F88496A2"/>
    <w:lvl w:ilvl="0" w:tplc="66AA1514">
      <w:numFmt w:val="bullet"/>
      <w:lvlText w:val="•"/>
      <w:lvlJc w:val="left"/>
      <w:pPr>
        <w:ind w:left="1287" w:hanging="360"/>
      </w:pPr>
      <w:rPr>
        <w:rFonts w:ascii="Times New Roman" w:eastAsia="Times New Roman" w:hAnsi="Times New Roman" w:hint="default"/>
        <w:w w:val="131"/>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6" w15:restartNumberingAfterBreak="0">
    <w:nsid w:val="4A834E58"/>
    <w:multiLevelType w:val="hybridMultilevel"/>
    <w:tmpl w:val="3B6CEC08"/>
    <w:lvl w:ilvl="0" w:tplc="040E0001">
      <w:start w:val="1"/>
      <w:numFmt w:val="bullet"/>
      <w:lvlText w:val=""/>
      <w:lvlJc w:val="left"/>
      <w:pPr>
        <w:tabs>
          <w:tab w:val="num" w:pos="720"/>
        </w:tabs>
        <w:ind w:left="720" w:hanging="360"/>
      </w:pPr>
      <w:rPr>
        <w:rFonts w:ascii="Symbol" w:hAnsi="Symbol" w:cs="Symbol"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7"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8" w15:restartNumberingAfterBreak="0">
    <w:nsid w:val="5DE13B95"/>
    <w:multiLevelType w:val="hybridMultilevel"/>
    <w:tmpl w:val="EB187F2E"/>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5EB917D9"/>
    <w:multiLevelType w:val="hybridMultilevel"/>
    <w:tmpl w:val="0DFE317E"/>
    <w:lvl w:ilvl="0" w:tplc="66AA1514">
      <w:numFmt w:val="bullet"/>
      <w:lvlText w:val="•"/>
      <w:lvlJc w:val="left"/>
      <w:pPr>
        <w:ind w:left="720" w:hanging="360"/>
      </w:pPr>
      <w:rPr>
        <w:rFonts w:ascii="Times New Roman" w:eastAsia="Times New Roman" w:hAnsi="Times New Roman" w:hint="default"/>
        <w:w w:val="131"/>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1" w15:restartNumberingAfterBreak="0">
    <w:nsid w:val="7EF97A53"/>
    <w:multiLevelType w:val="hybridMultilevel"/>
    <w:tmpl w:val="35FED84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0"/>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0"/>
    <w:lvlOverride w:ilvl="0">
      <w:lvl w:ilvl="0">
        <w:numFmt w:val="bullet"/>
        <w:lvlText w:val="-"/>
        <w:lvlJc w:val="left"/>
        <w:pPr>
          <w:ind w:left="360" w:hanging="360"/>
        </w:pPr>
      </w:lvl>
    </w:lvlOverride>
  </w:num>
  <w:num w:numId="15">
    <w:abstractNumId w:val="11"/>
  </w:num>
  <w:num w:numId="16">
    <w:abstractNumId w:val="16"/>
  </w:num>
  <w:num w:numId="17">
    <w:abstractNumId w:val="9"/>
  </w:num>
  <w:num w:numId="18">
    <w:abstractNumId w:val="21"/>
  </w:num>
  <w:num w:numId="19">
    <w:abstractNumId w:val="18"/>
  </w:num>
  <w:num w:numId="20">
    <w:abstractNumId w:val="12"/>
  </w:num>
  <w:num w:numId="21">
    <w:abstractNumId w:val="10"/>
  </w:num>
  <w:num w:numId="22">
    <w:abstractNumId w:val="13"/>
  </w:num>
  <w:num w:numId="23">
    <w:abstractNumId w:val="15"/>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D26"/>
    <w:rsid w:val="00013150"/>
    <w:rsid w:val="000141D7"/>
    <w:rsid w:val="00026E58"/>
    <w:rsid w:val="00030F93"/>
    <w:rsid w:val="00032AE8"/>
    <w:rsid w:val="0003532E"/>
    <w:rsid w:val="00035CB1"/>
    <w:rsid w:val="00046A4F"/>
    <w:rsid w:val="0005102C"/>
    <w:rsid w:val="00060244"/>
    <w:rsid w:val="00070D8B"/>
    <w:rsid w:val="0007385C"/>
    <w:rsid w:val="00074223"/>
    <w:rsid w:val="000831EB"/>
    <w:rsid w:val="000A169B"/>
    <w:rsid w:val="000A1CC4"/>
    <w:rsid w:val="000B362C"/>
    <w:rsid w:val="000C2E7E"/>
    <w:rsid w:val="000C4B97"/>
    <w:rsid w:val="000C6F78"/>
    <w:rsid w:val="000D1B2B"/>
    <w:rsid w:val="000D5EEF"/>
    <w:rsid w:val="000E4DBC"/>
    <w:rsid w:val="000E51F6"/>
    <w:rsid w:val="00101475"/>
    <w:rsid w:val="00106440"/>
    <w:rsid w:val="001113AA"/>
    <w:rsid w:val="001118D7"/>
    <w:rsid w:val="00151991"/>
    <w:rsid w:val="001539BC"/>
    <w:rsid w:val="00153BB2"/>
    <w:rsid w:val="00157956"/>
    <w:rsid w:val="001647DD"/>
    <w:rsid w:val="00164979"/>
    <w:rsid w:val="0016684C"/>
    <w:rsid w:val="0017208C"/>
    <w:rsid w:val="00174E05"/>
    <w:rsid w:val="00180AA0"/>
    <w:rsid w:val="0018148A"/>
    <w:rsid w:val="00185C78"/>
    <w:rsid w:val="00185DDA"/>
    <w:rsid w:val="001960F4"/>
    <w:rsid w:val="001A2A7C"/>
    <w:rsid w:val="001A6B81"/>
    <w:rsid w:val="001A7487"/>
    <w:rsid w:val="001B184D"/>
    <w:rsid w:val="001C1E17"/>
    <w:rsid w:val="001C37CD"/>
    <w:rsid w:val="001C3D98"/>
    <w:rsid w:val="001D13FA"/>
    <w:rsid w:val="001D5B96"/>
    <w:rsid w:val="001E117D"/>
    <w:rsid w:val="001E32C6"/>
    <w:rsid w:val="001E561E"/>
    <w:rsid w:val="001E6493"/>
    <w:rsid w:val="001E68FA"/>
    <w:rsid w:val="002003D8"/>
    <w:rsid w:val="0020234E"/>
    <w:rsid w:val="00202EE5"/>
    <w:rsid w:val="00204E7E"/>
    <w:rsid w:val="00212BDA"/>
    <w:rsid w:val="00214100"/>
    <w:rsid w:val="0021573D"/>
    <w:rsid w:val="00225D28"/>
    <w:rsid w:val="00232884"/>
    <w:rsid w:val="002352F9"/>
    <w:rsid w:val="00243B6C"/>
    <w:rsid w:val="00244738"/>
    <w:rsid w:val="00262B62"/>
    <w:rsid w:val="0027360E"/>
    <w:rsid w:val="00274ACB"/>
    <w:rsid w:val="00282703"/>
    <w:rsid w:val="00282825"/>
    <w:rsid w:val="00292C01"/>
    <w:rsid w:val="00293C78"/>
    <w:rsid w:val="0029601C"/>
    <w:rsid w:val="00296EC4"/>
    <w:rsid w:val="002A7868"/>
    <w:rsid w:val="002A7902"/>
    <w:rsid w:val="002B11EA"/>
    <w:rsid w:val="002B3390"/>
    <w:rsid w:val="002B551C"/>
    <w:rsid w:val="002C694F"/>
    <w:rsid w:val="002D4038"/>
    <w:rsid w:val="002E3CB6"/>
    <w:rsid w:val="002E58CA"/>
    <w:rsid w:val="0030057F"/>
    <w:rsid w:val="00313359"/>
    <w:rsid w:val="00314825"/>
    <w:rsid w:val="00322D1E"/>
    <w:rsid w:val="00322F64"/>
    <w:rsid w:val="00331215"/>
    <w:rsid w:val="00341AD9"/>
    <w:rsid w:val="00346AFD"/>
    <w:rsid w:val="00352671"/>
    <w:rsid w:val="00361B0C"/>
    <w:rsid w:val="00365DAB"/>
    <w:rsid w:val="0036690D"/>
    <w:rsid w:val="003705C5"/>
    <w:rsid w:val="00375A0D"/>
    <w:rsid w:val="0037625B"/>
    <w:rsid w:val="003806CE"/>
    <w:rsid w:val="003836DC"/>
    <w:rsid w:val="00386AAD"/>
    <w:rsid w:val="00394444"/>
    <w:rsid w:val="00394483"/>
    <w:rsid w:val="003A7BA3"/>
    <w:rsid w:val="003C044B"/>
    <w:rsid w:val="003C05CA"/>
    <w:rsid w:val="003E0149"/>
    <w:rsid w:val="003E45A5"/>
    <w:rsid w:val="003E64BA"/>
    <w:rsid w:val="003F0063"/>
    <w:rsid w:val="003F3BEF"/>
    <w:rsid w:val="003F5E9E"/>
    <w:rsid w:val="004020F3"/>
    <w:rsid w:val="00407246"/>
    <w:rsid w:val="0041766B"/>
    <w:rsid w:val="0042612F"/>
    <w:rsid w:val="00435E41"/>
    <w:rsid w:val="004541DD"/>
    <w:rsid w:val="00454E9F"/>
    <w:rsid w:val="00465276"/>
    <w:rsid w:val="00465B70"/>
    <w:rsid w:val="00474382"/>
    <w:rsid w:val="00480F38"/>
    <w:rsid w:val="00482B5E"/>
    <w:rsid w:val="00495722"/>
    <w:rsid w:val="00495D82"/>
    <w:rsid w:val="004A2F1B"/>
    <w:rsid w:val="004A5089"/>
    <w:rsid w:val="004B183A"/>
    <w:rsid w:val="004B2B8D"/>
    <w:rsid w:val="004B2E70"/>
    <w:rsid w:val="004D3093"/>
    <w:rsid w:val="004E0A22"/>
    <w:rsid w:val="004F1214"/>
    <w:rsid w:val="004F3A74"/>
    <w:rsid w:val="00504A10"/>
    <w:rsid w:val="005108FF"/>
    <w:rsid w:val="00514679"/>
    <w:rsid w:val="005222C1"/>
    <w:rsid w:val="00532AB3"/>
    <w:rsid w:val="005401FA"/>
    <w:rsid w:val="00542070"/>
    <w:rsid w:val="005538D2"/>
    <w:rsid w:val="00554B73"/>
    <w:rsid w:val="005575E5"/>
    <w:rsid w:val="0055775B"/>
    <w:rsid w:val="0056371F"/>
    <w:rsid w:val="005675E9"/>
    <w:rsid w:val="0057703D"/>
    <w:rsid w:val="00582274"/>
    <w:rsid w:val="00584143"/>
    <w:rsid w:val="00585867"/>
    <w:rsid w:val="00586AAC"/>
    <w:rsid w:val="0059514D"/>
    <w:rsid w:val="00596C8C"/>
    <w:rsid w:val="00597671"/>
    <w:rsid w:val="005A05DD"/>
    <w:rsid w:val="005A0C1B"/>
    <w:rsid w:val="005A1457"/>
    <w:rsid w:val="005A4D2C"/>
    <w:rsid w:val="005B2E28"/>
    <w:rsid w:val="005B3799"/>
    <w:rsid w:val="005C241F"/>
    <w:rsid w:val="005C3D46"/>
    <w:rsid w:val="005D13B0"/>
    <w:rsid w:val="005D1C9A"/>
    <w:rsid w:val="005D209A"/>
    <w:rsid w:val="005E2020"/>
    <w:rsid w:val="005E346E"/>
    <w:rsid w:val="005E6F69"/>
    <w:rsid w:val="005F1FE4"/>
    <w:rsid w:val="005F7C19"/>
    <w:rsid w:val="0060002A"/>
    <w:rsid w:val="00601E8F"/>
    <w:rsid w:val="006038B0"/>
    <w:rsid w:val="00610A62"/>
    <w:rsid w:val="006245E8"/>
    <w:rsid w:val="006264FB"/>
    <w:rsid w:val="0063302B"/>
    <w:rsid w:val="00634DA0"/>
    <w:rsid w:val="006370AF"/>
    <w:rsid w:val="00641615"/>
    <w:rsid w:val="006418DA"/>
    <w:rsid w:val="006438C9"/>
    <w:rsid w:val="00646371"/>
    <w:rsid w:val="006471FB"/>
    <w:rsid w:val="006508C5"/>
    <w:rsid w:val="00651DBF"/>
    <w:rsid w:val="00654AE9"/>
    <w:rsid w:val="00662D8F"/>
    <w:rsid w:val="00664208"/>
    <w:rsid w:val="00667657"/>
    <w:rsid w:val="006769F0"/>
    <w:rsid w:val="006835A8"/>
    <w:rsid w:val="00696ED9"/>
    <w:rsid w:val="00697383"/>
    <w:rsid w:val="006A2049"/>
    <w:rsid w:val="006B219C"/>
    <w:rsid w:val="006B4CB2"/>
    <w:rsid w:val="006C0909"/>
    <w:rsid w:val="006D2017"/>
    <w:rsid w:val="006E1EEA"/>
    <w:rsid w:val="006E76D1"/>
    <w:rsid w:val="006F6F34"/>
    <w:rsid w:val="007029B1"/>
    <w:rsid w:val="00702FAB"/>
    <w:rsid w:val="00720563"/>
    <w:rsid w:val="00720673"/>
    <w:rsid w:val="00721D13"/>
    <w:rsid w:val="0072250B"/>
    <w:rsid w:val="0072285B"/>
    <w:rsid w:val="00725AE5"/>
    <w:rsid w:val="00731B3D"/>
    <w:rsid w:val="00732879"/>
    <w:rsid w:val="0074361F"/>
    <w:rsid w:val="00744E53"/>
    <w:rsid w:val="00751A79"/>
    <w:rsid w:val="00753F5F"/>
    <w:rsid w:val="00757ED4"/>
    <w:rsid w:val="0076134B"/>
    <w:rsid w:val="00765470"/>
    <w:rsid w:val="007706EE"/>
    <w:rsid w:val="00773A81"/>
    <w:rsid w:val="00786D11"/>
    <w:rsid w:val="007934B0"/>
    <w:rsid w:val="0079527C"/>
    <w:rsid w:val="007A3D56"/>
    <w:rsid w:val="007A5649"/>
    <w:rsid w:val="007B05A9"/>
    <w:rsid w:val="007C4630"/>
    <w:rsid w:val="007C642A"/>
    <w:rsid w:val="007D48C1"/>
    <w:rsid w:val="007E35DF"/>
    <w:rsid w:val="007E63CD"/>
    <w:rsid w:val="007F180E"/>
    <w:rsid w:val="007F3174"/>
    <w:rsid w:val="007F3F2D"/>
    <w:rsid w:val="008039DE"/>
    <w:rsid w:val="00813D1E"/>
    <w:rsid w:val="00817213"/>
    <w:rsid w:val="00834E86"/>
    <w:rsid w:val="00843F7A"/>
    <w:rsid w:val="00862D48"/>
    <w:rsid w:val="008761D1"/>
    <w:rsid w:val="00877EBD"/>
    <w:rsid w:val="00886630"/>
    <w:rsid w:val="00896493"/>
    <w:rsid w:val="008A38C4"/>
    <w:rsid w:val="008A5B26"/>
    <w:rsid w:val="008A7569"/>
    <w:rsid w:val="008B1398"/>
    <w:rsid w:val="008B4BC4"/>
    <w:rsid w:val="008C2703"/>
    <w:rsid w:val="008C7D8D"/>
    <w:rsid w:val="008C7DED"/>
    <w:rsid w:val="008E2F15"/>
    <w:rsid w:val="008F4F57"/>
    <w:rsid w:val="008F7749"/>
    <w:rsid w:val="00904B62"/>
    <w:rsid w:val="00904E86"/>
    <w:rsid w:val="0091245C"/>
    <w:rsid w:val="00920B1A"/>
    <w:rsid w:val="00924897"/>
    <w:rsid w:val="009313F3"/>
    <w:rsid w:val="00940FE9"/>
    <w:rsid w:val="00941E34"/>
    <w:rsid w:val="00942529"/>
    <w:rsid w:val="00950399"/>
    <w:rsid w:val="009509A3"/>
    <w:rsid w:val="00953FEF"/>
    <w:rsid w:val="00955D25"/>
    <w:rsid w:val="0097304A"/>
    <w:rsid w:val="00976C72"/>
    <w:rsid w:val="0098096D"/>
    <w:rsid w:val="00981784"/>
    <w:rsid w:val="0098370A"/>
    <w:rsid w:val="00986018"/>
    <w:rsid w:val="009973EE"/>
    <w:rsid w:val="009A4710"/>
    <w:rsid w:val="009A6FAE"/>
    <w:rsid w:val="009B17E5"/>
    <w:rsid w:val="009B4B85"/>
    <w:rsid w:val="009B5EDD"/>
    <w:rsid w:val="009E12AD"/>
    <w:rsid w:val="009E32E5"/>
    <w:rsid w:val="009E7E22"/>
    <w:rsid w:val="009F561F"/>
    <w:rsid w:val="009F76FC"/>
    <w:rsid w:val="00A04E0F"/>
    <w:rsid w:val="00A1079C"/>
    <w:rsid w:val="00A1132F"/>
    <w:rsid w:val="00A11751"/>
    <w:rsid w:val="00A15A66"/>
    <w:rsid w:val="00A15FDF"/>
    <w:rsid w:val="00A17B1C"/>
    <w:rsid w:val="00A209C5"/>
    <w:rsid w:val="00A219A7"/>
    <w:rsid w:val="00A27353"/>
    <w:rsid w:val="00A31735"/>
    <w:rsid w:val="00A35293"/>
    <w:rsid w:val="00A410E6"/>
    <w:rsid w:val="00A413BF"/>
    <w:rsid w:val="00A45A1E"/>
    <w:rsid w:val="00A54BCF"/>
    <w:rsid w:val="00A55698"/>
    <w:rsid w:val="00A57474"/>
    <w:rsid w:val="00A73847"/>
    <w:rsid w:val="00A73CA0"/>
    <w:rsid w:val="00A80A00"/>
    <w:rsid w:val="00A86E29"/>
    <w:rsid w:val="00A946DC"/>
    <w:rsid w:val="00A94E86"/>
    <w:rsid w:val="00AB119F"/>
    <w:rsid w:val="00AC03F7"/>
    <w:rsid w:val="00AC1016"/>
    <w:rsid w:val="00AC521D"/>
    <w:rsid w:val="00AC65DD"/>
    <w:rsid w:val="00AC70F5"/>
    <w:rsid w:val="00AD686B"/>
    <w:rsid w:val="00AF0621"/>
    <w:rsid w:val="00AF1039"/>
    <w:rsid w:val="00AF2EB6"/>
    <w:rsid w:val="00AF5791"/>
    <w:rsid w:val="00B0074D"/>
    <w:rsid w:val="00B01EBC"/>
    <w:rsid w:val="00B12F04"/>
    <w:rsid w:val="00B13D0A"/>
    <w:rsid w:val="00B276ED"/>
    <w:rsid w:val="00B27CB2"/>
    <w:rsid w:val="00B30291"/>
    <w:rsid w:val="00B40A4B"/>
    <w:rsid w:val="00B44615"/>
    <w:rsid w:val="00B46BA6"/>
    <w:rsid w:val="00B5361A"/>
    <w:rsid w:val="00B550DF"/>
    <w:rsid w:val="00B57C36"/>
    <w:rsid w:val="00B65041"/>
    <w:rsid w:val="00B7221A"/>
    <w:rsid w:val="00B803FB"/>
    <w:rsid w:val="00B849A7"/>
    <w:rsid w:val="00B90D3A"/>
    <w:rsid w:val="00B93386"/>
    <w:rsid w:val="00BA32ED"/>
    <w:rsid w:val="00BA61AD"/>
    <w:rsid w:val="00BA76EA"/>
    <w:rsid w:val="00BA786E"/>
    <w:rsid w:val="00BB79F3"/>
    <w:rsid w:val="00BC0D38"/>
    <w:rsid w:val="00BD7D81"/>
    <w:rsid w:val="00BD7ED2"/>
    <w:rsid w:val="00BE4F19"/>
    <w:rsid w:val="00BE6C65"/>
    <w:rsid w:val="00BF21CB"/>
    <w:rsid w:val="00BF5196"/>
    <w:rsid w:val="00C00108"/>
    <w:rsid w:val="00C01465"/>
    <w:rsid w:val="00C03899"/>
    <w:rsid w:val="00C114A0"/>
    <w:rsid w:val="00C14E2F"/>
    <w:rsid w:val="00C17385"/>
    <w:rsid w:val="00C2581D"/>
    <w:rsid w:val="00C30586"/>
    <w:rsid w:val="00C31736"/>
    <w:rsid w:val="00C441EC"/>
    <w:rsid w:val="00C45EE5"/>
    <w:rsid w:val="00C47C11"/>
    <w:rsid w:val="00C90F3E"/>
    <w:rsid w:val="00C96D3F"/>
    <w:rsid w:val="00C97B4D"/>
    <w:rsid w:val="00CA0074"/>
    <w:rsid w:val="00CA1C50"/>
    <w:rsid w:val="00CA6659"/>
    <w:rsid w:val="00CA71E1"/>
    <w:rsid w:val="00CB0E27"/>
    <w:rsid w:val="00CB2BE0"/>
    <w:rsid w:val="00CC376F"/>
    <w:rsid w:val="00CC4BF3"/>
    <w:rsid w:val="00CD49D3"/>
    <w:rsid w:val="00CE3D14"/>
    <w:rsid w:val="00CE6C5E"/>
    <w:rsid w:val="00CE7681"/>
    <w:rsid w:val="00CF17D2"/>
    <w:rsid w:val="00CF659B"/>
    <w:rsid w:val="00CF7FDB"/>
    <w:rsid w:val="00D05846"/>
    <w:rsid w:val="00D05ECE"/>
    <w:rsid w:val="00D0670C"/>
    <w:rsid w:val="00D07B7D"/>
    <w:rsid w:val="00D10B4D"/>
    <w:rsid w:val="00D10F56"/>
    <w:rsid w:val="00D12E6D"/>
    <w:rsid w:val="00D13D72"/>
    <w:rsid w:val="00D15240"/>
    <w:rsid w:val="00D23194"/>
    <w:rsid w:val="00D2572D"/>
    <w:rsid w:val="00D322B1"/>
    <w:rsid w:val="00D45A97"/>
    <w:rsid w:val="00D463A1"/>
    <w:rsid w:val="00D520FA"/>
    <w:rsid w:val="00D527CA"/>
    <w:rsid w:val="00D53009"/>
    <w:rsid w:val="00D55C3F"/>
    <w:rsid w:val="00D57AF5"/>
    <w:rsid w:val="00D66A04"/>
    <w:rsid w:val="00D805C4"/>
    <w:rsid w:val="00D871EA"/>
    <w:rsid w:val="00D9300C"/>
    <w:rsid w:val="00D93355"/>
    <w:rsid w:val="00D9437B"/>
    <w:rsid w:val="00DB28E8"/>
    <w:rsid w:val="00DB46BE"/>
    <w:rsid w:val="00DC2397"/>
    <w:rsid w:val="00DD08AE"/>
    <w:rsid w:val="00DD7E1D"/>
    <w:rsid w:val="00DE328E"/>
    <w:rsid w:val="00DE39F8"/>
    <w:rsid w:val="00DE5291"/>
    <w:rsid w:val="00DE5AD2"/>
    <w:rsid w:val="00DF1FBC"/>
    <w:rsid w:val="00DF40E7"/>
    <w:rsid w:val="00DF5877"/>
    <w:rsid w:val="00DF6DB3"/>
    <w:rsid w:val="00DF7611"/>
    <w:rsid w:val="00E11963"/>
    <w:rsid w:val="00E21219"/>
    <w:rsid w:val="00E24809"/>
    <w:rsid w:val="00E33019"/>
    <w:rsid w:val="00E33B26"/>
    <w:rsid w:val="00E363F9"/>
    <w:rsid w:val="00E36D26"/>
    <w:rsid w:val="00E414C9"/>
    <w:rsid w:val="00E41FA1"/>
    <w:rsid w:val="00E424D5"/>
    <w:rsid w:val="00E43A1F"/>
    <w:rsid w:val="00E43CA2"/>
    <w:rsid w:val="00E44AC1"/>
    <w:rsid w:val="00E45E47"/>
    <w:rsid w:val="00E52734"/>
    <w:rsid w:val="00E631E0"/>
    <w:rsid w:val="00E6391F"/>
    <w:rsid w:val="00E718F5"/>
    <w:rsid w:val="00E74479"/>
    <w:rsid w:val="00E75348"/>
    <w:rsid w:val="00E840A4"/>
    <w:rsid w:val="00E93A0B"/>
    <w:rsid w:val="00EA6226"/>
    <w:rsid w:val="00EB62E1"/>
    <w:rsid w:val="00EC3245"/>
    <w:rsid w:val="00EC40CF"/>
    <w:rsid w:val="00EC5827"/>
    <w:rsid w:val="00EC78CB"/>
    <w:rsid w:val="00ED6248"/>
    <w:rsid w:val="00EE16A6"/>
    <w:rsid w:val="00EE1A00"/>
    <w:rsid w:val="00EE4DDB"/>
    <w:rsid w:val="00EF5C24"/>
    <w:rsid w:val="00F002AD"/>
    <w:rsid w:val="00F05200"/>
    <w:rsid w:val="00F11A43"/>
    <w:rsid w:val="00F24EA0"/>
    <w:rsid w:val="00F25DD1"/>
    <w:rsid w:val="00F26672"/>
    <w:rsid w:val="00F33527"/>
    <w:rsid w:val="00F41AC4"/>
    <w:rsid w:val="00F47BDB"/>
    <w:rsid w:val="00F50F10"/>
    <w:rsid w:val="00F5441C"/>
    <w:rsid w:val="00F5718E"/>
    <w:rsid w:val="00F67D81"/>
    <w:rsid w:val="00F73775"/>
    <w:rsid w:val="00F74D31"/>
    <w:rsid w:val="00F861A8"/>
    <w:rsid w:val="00F90CB8"/>
    <w:rsid w:val="00F92792"/>
    <w:rsid w:val="00FA072C"/>
    <w:rsid w:val="00FA104F"/>
    <w:rsid w:val="00FA2A04"/>
    <w:rsid w:val="00FA368A"/>
    <w:rsid w:val="00FA3C8E"/>
    <w:rsid w:val="00FB2CB2"/>
    <w:rsid w:val="00FC1293"/>
    <w:rsid w:val="00FD2B4E"/>
    <w:rsid w:val="00FD4911"/>
    <w:rsid w:val="00FD4ADE"/>
    <w:rsid w:val="00FE2C4D"/>
    <w:rsid w:val="00FE645D"/>
    <w:rsid w:val="00FF5F67"/>
    <w:rsid w:val="00FF6454"/>
    <w:rsid w:val="00FF793B"/>
    <w:rsid w:val="00FF7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AFBBE"/>
  <w15:chartTrackingRefBased/>
  <w15:docId w15:val="{CAF5C8B6-68F1-4D52-B37D-7C61397E2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E36D26"/>
    <w:pPr>
      <w:tabs>
        <w:tab w:val="left" w:pos="567"/>
      </w:tabs>
      <w:spacing w:line="260" w:lineRule="exact"/>
    </w:pPr>
    <w:rPr>
      <w:rFonts w:ascii="Times New Roman" w:eastAsia="Times New Roman" w:hAnsi="Times New Roman"/>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CA71E1"/>
    <w:rPr>
      <w:rFonts w:ascii="Times New Roman" w:hAnsi="Times New Roman"/>
      <w:sz w:val="22"/>
      <w:szCs w:val="22"/>
      <w:lang w:val="hu-HU" w:eastAsia="en-US"/>
    </w:rPr>
  </w:style>
  <w:style w:type="paragraph" w:styleId="llb">
    <w:name w:val="footer"/>
    <w:aliases w:val="Élőláb Char2,Élőláb Char1 Char,Footer Char1 Char Char Char,Footer Char2 Char Char1 Char Char,Footer Char1 Char Char Char Char1 Char,Footer Char2 Char Char1 Char Char Char Char,Footer Char1 Char Char Char Char1 Char Char Char"/>
    <w:basedOn w:val="Norml"/>
    <w:link w:val="Hiperhivatkozs"/>
    <w:uiPriority w:val="99"/>
    <w:rsid w:val="00E36D26"/>
    <w:pPr>
      <w:tabs>
        <w:tab w:val="center" w:pos="4536"/>
        <w:tab w:val="right" w:pos="8306"/>
      </w:tabs>
    </w:pPr>
    <w:rPr>
      <w:color w:val="0000FF"/>
      <w:sz w:val="20"/>
      <w:szCs w:val="20"/>
      <w:u w:val="single"/>
      <w:lang w:val="x-none" w:eastAsia="x-none"/>
    </w:rPr>
  </w:style>
  <w:style w:type="character" w:customStyle="1" w:styleId="llbChar">
    <w:name w:val="Élőláb Char"/>
    <w:uiPriority w:val="99"/>
    <w:rsid w:val="00E36D26"/>
    <w:rPr>
      <w:rFonts w:ascii="Times New Roman" w:eastAsia="Times New Roman" w:hAnsi="Times New Roman" w:cs="Times New Roman"/>
      <w:lang w:val="en-GB"/>
    </w:rPr>
  </w:style>
  <w:style w:type="character" w:customStyle="1" w:styleId="FooterChar">
    <w:name w:val="Footer Char"/>
    <w:aliases w:val="Footer Char2 Char Char,Footer Char1 Char Char Char Char,Footer Char1 Char Char Char Char Char Char"/>
    <w:uiPriority w:val="99"/>
    <w:rsid w:val="00E36D26"/>
    <w:rPr>
      <w:rFonts w:ascii="Times New Roman" w:hAnsi="Times New Roman" w:cs="Times New Roman"/>
      <w:snapToGrid w:val="0"/>
      <w:sz w:val="22"/>
      <w:szCs w:val="22"/>
      <w:lang w:val="en-GB"/>
    </w:rPr>
  </w:style>
  <w:style w:type="paragraph" w:styleId="lfej">
    <w:name w:val="header"/>
    <w:basedOn w:val="Norml"/>
    <w:link w:val="lfejChar"/>
    <w:uiPriority w:val="99"/>
    <w:rsid w:val="00E36D26"/>
    <w:pPr>
      <w:tabs>
        <w:tab w:val="center" w:pos="4153"/>
        <w:tab w:val="right" w:pos="8306"/>
      </w:tabs>
    </w:pPr>
    <w:rPr>
      <w:snapToGrid w:val="0"/>
      <w:sz w:val="20"/>
      <w:szCs w:val="20"/>
      <w:lang w:eastAsia="x-none"/>
    </w:rPr>
  </w:style>
  <w:style w:type="character" w:customStyle="1" w:styleId="lfejChar">
    <w:name w:val="Élőfej Char"/>
    <w:link w:val="lfej"/>
    <w:uiPriority w:val="99"/>
    <w:rsid w:val="00E36D26"/>
    <w:rPr>
      <w:rFonts w:ascii="Times New Roman" w:eastAsia="Times New Roman" w:hAnsi="Times New Roman" w:cs="Times New Roman"/>
      <w:snapToGrid w:val="0"/>
      <w:sz w:val="20"/>
      <w:szCs w:val="20"/>
      <w:lang w:val="en-GB"/>
    </w:rPr>
  </w:style>
  <w:style w:type="character" w:styleId="Oldalszm">
    <w:name w:val="page number"/>
    <w:basedOn w:val="Bekezdsalapbettpusa"/>
    <w:uiPriority w:val="99"/>
    <w:rsid w:val="00E36D26"/>
  </w:style>
  <w:style w:type="character" w:styleId="Hiperhivatkozs">
    <w:name w:val="Hyperlink"/>
    <w:aliases w:val="Élőláb Char1,Élőláb Char2 Char,Élőláb Char1 Char Char,Footer Char1 Char Char Char Char1,Footer Char2 Char Char1 Char Char Char,Footer Char1 Char Char Char Char1 Char Char,Footer Char2 Char Char1 Char Char Char Char Char"/>
    <w:link w:val="llb"/>
    <w:uiPriority w:val="99"/>
    <w:rsid w:val="00E36D26"/>
    <w:rPr>
      <w:rFonts w:ascii="Times New Roman" w:eastAsia="Times New Roman" w:hAnsi="Times New Roman" w:cs="Times New Roman"/>
      <w:color w:val="0000FF"/>
      <w:sz w:val="20"/>
      <w:szCs w:val="20"/>
      <w:u w:val="single"/>
    </w:rPr>
  </w:style>
  <w:style w:type="paragraph" w:customStyle="1" w:styleId="EMEAEnBodyText">
    <w:name w:val="EMEA En Body Text"/>
    <w:basedOn w:val="Norml"/>
    <w:uiPriority w:val="99"/>
    <w:rsid w:val="00E36D26"/>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E36D26"/>
    <w:pPr>
      <w:tabs>
        <w:tab w:val="clear" w:pos="567"/>
      </w:tabs>
      <w:spacing w:line="280" w:lineRule="exact"/>
    </w:pPr>
    <w:rPr>
      <w:rFonts w:ascii="Verdana" w:hAnsi="Verdana" w:cs="Verdana"/>
      <w:sz w:val="18"/>
      <w:szCs w:val="18"/>
    </w:rPr>
  </w:style>
  <w:style w:type="character" w:customStyle="1" w:styleId="tw4winMark">
    <w:name w:val="tw4winMark"/>
    <w:uiPriority w:val="99"/>
    <w:rsid w:val="00E36D26"/>
    <w:rPr>
      <w:rFonts w:ascii="Courier New" w:hAnsi="Courier New" w:cs="Courier New"/>
      <w:vanish/>
      <w:color w:val="800080"/>
      <w:sz w:val="24"/>
      <w:szCs w:val="24"/>
      <w:vertAlign w:val="subscript"/>
    </w:rPr>
  </w:style>
  <w:style w:type="character" w:customStyle="1" w:styleId="tw4winError">
    <w:name w:val="tw4winError"/>
    <w:uiPriority w:val="99"/>
    <w:rsid w:val="00E36D26"/>
    <w:rPr>
      <w:rFonts w:ascii="Courier New" w:hAnsi="Courier New" w:cs="Courier New"/>
      <w:color w:val="00FF00"/>
      <w:sz w:val="40"/>
      <w:szCs w:val="40"/>
    </w:rPr>
  </w:style>
  <w:style w:type="character" w:customStyle="1" w:styleId="tw4winTerm">
    <w:name w:val="tw4winTerm"/>
    <w:uiPriority w:val="99"/>
    <w:rsid w:val="00E36D26"/>
    <w:rPr>
      <w:color w:val="0000FF"/>
    </w:rPr>
  </w:style>
  <w:style w:type="character" w:customStyle="1" w:styleId="tw4winPopup">
    <w:name w:val="tw4winPopup"/>
    <w:uiPriority w:val="99"/>
    <w:rsid w:val="00E36D26"/>
    <w:rPr>
      <w:rFonts w:ascii="Courier New" w:hAnsi="Courier New" w:cs="Courier New"/>
      <w:noProof/>
      <w:color w:val="008000"/>
    </w:rPr>
  </w:style>
  <w:style w:type="character" w:customStyle="1" w:styleId="tw4winJump">
    <w:name w:val="tw4winJump"/>
    <w:uiPriority w:val="99"/>
    <w:rsid w:val="00E36D26"/>
    <w:rPr>
      <w:rFonts w:ascii="Courier New" w:hAnsi="Courier New" w:cs="Courier New"/>
      <w:noProof/>
      <w:color w:val="008080"/>
    </w:rPr>
  </w:style>
  <w:style w:type="character" w:customStyle="1" w:styleId="tw4winExternal">
    <w:name w:val="tw4winExternal"/>
    <w:uiPriority w:val="99"/>
    <w:rsid w:val="00E36D26"/>
    <w:rPr>
      <w:rFonts w:ascii="Courier New" w:hAnsi="Courier New" w:cs="Courier New"/>
      <w:noProof/>
      <w:color w:val="808080"/>
    </w:rPr>
  </w:style>
  <w:style w:type="character" w:customStyle="1" w:styleId="tw4winInternal">
    <w:name w:val="tw4winInternal"/>
    <w:uiPriority w:val="99"/>
    <w:rsid w:val="00E36D26"/>
    <w:rPr>
      <w:rFonts w:ascii="Courier New" w:hAnsi="Courier New" w:cs="Courier New"/>
      <w:noProof/>
      <w:color w:val="FF0000"/>
    </w:rPr>
  </w:style>
  <w:style w:type="character" w:customStyle="1" w:styleId="DONOTTRANSLATE">
    <w:name w:val="DO_NOT_TRANSLATE"/>
    <w:uiPriority w:val="99"/>
    <w:rsid w:val="00E36D26"/>
    <w:rPr>
      <w:rFonts w:ascii="Courier New" w:hAnsi="Courier New" w:cs="Courier New"/>
      <w:noProof/>
      <w:color w:val="800000"/>
    </w:rPr>
  </w:style>
  <w:style w:type="paragraph" w:styleId="Listaszerbekezds">
    <w:name w:val="List Paragraph"/>
    <w:basedOn w:val="Norml"/>
    <w:uiPriority w:val="34"/>
    <w:qFormat/>
    <w:rsid w:val="00E36D26"/>
    <w:pPr>
      <w:ind w:left="720"/>
    </w:pPr>
  </w:style>
  <w:style w:type="paragraph" w:styleId="Buborkszveg">
    <w:name w:val="Balloon Text"/>
    <w:basedOn w:val="Norml"/>
    <w:link w:val="BuborkszvegChar"/>
    <w:uiPriority w:val="99"/>
    <w:semiHidden/>
    <w:rsid w:val="00E36D26"/>
    <w:pPr>
      <w:spacing w:line="240" w:lineRule="auto"/>
    </w:pPr>
    <w:rPr>
      <w:rFonts w:ascii="Tahoma" w:hAnsi="Tahoma"/>
      <w:snapToGrid w:val="0"/>
      <w:sz w:val="16"/>
      <w:szCs w:val="16"/>
      <w:lang w:eastAsia="x-none"/>
    </w:rPr>
  </w:style>
  <w:style w:type="character" w:customStyle="1" w:styleId="BuborkszvegChar">
    <w:name w:val="Buborékszöveg Char"/>
    <w:link w:val="Buborkszveg"/>
    <w:uiPriority w:val="99"/>
    <w:semiHidden/>
    <w:rsid w:val="00E36D26"/>
    <w:rPr>
      <w:rFonts w:ascii="Tahoma" w:eastAsia="Times New Roman" w:hAnsi="Tahoma" w:cs="Times New Roman"/>
      <w:snapToGrid w:val="0"/>
      <w:sz w:val="16"/>
      <w:szCs w:val="16"/>
      <w:lang w:val="en-GB"/>
    </w:rPr>
  </w:style>
  <w:style w:type="character" w:styleId="Jegyzethivatkozs">
    <w:name w:val="annotation reference"/>
    <w:uiPriority w:val="99"/>
    <w:semiHidden/>
    <w:rsid w:val="00E36D26"/>
    <w:rPr>
      <w:sz w:val="16"/>
      <w:szCs w:val="16"/>
    </w:rPr>
  </w:style>
  <w:style w:type="paragraph" w:styleId="Jegyzetszveg">
    <w:name w:val="annotation text"/>
    <w:basedOn w:val="Norml"/>
    <w:link w:val="JegyzetszvegChar"/>
    <w:uiPriority w:val="99"/>
    <w:rsid w:val="00E36D26"/>
    <w:rPr>
      <w:sz w:val="20"/>
      <w:szCs w:val="20"/>
      <w:lang w:eastAsia="x-none"/>
    </w:rPr>
  </w:style>
  <w:style w:type="character" w:customStyle="1" w:styleId="JegyzetszvegChar">
    <w:name w:val="Jegyzetszöveg Char"/>
    <w:link w:val="Jegyzetszveg"/>
    <w:uiPriority w:val="99"/>
    <w:rsid w:val="00E36D26"/>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rsid w:val="00E36D26"/>
    <w:rPr>
      <w:b/>
      <w:bCs/>
    </w:rPr>
  </w:style>
  <w:style w:type="character" w:customStyle="1" w:styleId="MegjegyzstrgyaChar">
    <w:name w:val="Megjegyzés tárgya Char"/>
    <w:link w:val="Megjegyzstrgya"/>
    <w:uiPriority w:val="99"/>
    <w:semiHidden/>
    <w:rsid w:val="00E36D26"/>
    <w:rPr>
      <w:rFonts w:ascii="Times New Roman" w:eastAsia="Times New Roman" w:hAnsi="Times New Roman" w:cs="Times New Roman"/>
      <w:b/>
      <w:bCs/>
      <w:sz w:val="20"/>
      <w:szCs w:val="20"/>
      <w:lang w:val="en-GB"/>
    </w:rPr>
  </w:style>
  <w:style w:type="paragraph" w:styleId="Vltozat">
    <w:name w:val="Revision"/>
    <w:hidden/>
    <w:uiPriority w:val="99"/>
    <w:semiHidden/>
    <w:rsid w:val="00E36D26"/>
    <w:rPr>
      <w:rFonts w:ascii="Times New Roman" w:eastAsia="Times New Roman" w:hAnsi="Times New Roman"/>
      <w:sz w:val="22"/>
      <w:szCs w:val="22"/>
      <w:lang w:eastAsia="en-US"/>
    </w:rPr>
  </w:style>
  <w:style w:type="character" w:styleId="Mrltotthiperhivatkozs">
    <w:name w:val="FollowedHyperlink"/>
    <w:uiPriority w:val="99"/>
    <w:semiHidden/>
    <w:unhideWhenUsed/>
    <w:rsid w:val="00E36D26"/>
    <w:rPr>
      <w:color w:val="800080"/>
      <w:u w:val="single"/>
    </w:rPr>
  </w:style>
  <w:style w:type="paragraph" w:customStyle="1" w:styleId="Default">
    <w:name w:val="Default"/>
    <w:rsid w:val="00E36D26"/>
    <w:pPr>
      <w:autoSpaceDE w:val="0"/>
      <w:autoSpaceDN w:val="0"/>
      <w:adjustRightInd w:val="0"/>
    </w:pPr>
    <w:rPr>
      <w:rFonts w:ascii="Times New Roman" w:eastAsia="Times New Roman" w:hAnsi="Times New Roman"/>
      <w:color w:val="000000"/>
      <w:sz w:val="24"/>
      <w:szCs w:val="24"/>
      <w:lang w:val="hu-HU" w:eastAsia="hu-HU"/>
    </w:rPr>
  </w:style>
  <w:style w:type="table" w:styleId="Rcsostblzat">
    <w:name w:val="Table Grid"/>
    <w:basedOn w:val="Normltblzat"/>
    <w:uiPriority w:val="59"/>
    <w:rsid w:val="00E36D26"/>
    <w:rPr>
      <w:rFonts w:ascii="Times New Roman" w:eastAsia="Times New Roman" w:hAnsi="Times New Roman"/>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basedOn w:val="Norml"/>
    <w:rsid w:val="00E36D26"/>
    <w:pPr>
      <w:widowControl w:val="0"/>
      <w:tabs>
        <w:tab w:val="clear" w:pos="567"/>
      </w:tabs>
      <w:suppressAutoHyphens/>
      <w:spacing w:line="240" w:lineRule="auto"/>
    </w:pPr>
    <w:rPr>
      <w:rFonts w:eastAsia="HG Mincho Light J"/>
      <w:color w:val="000000"/>
      <w:sz w:val="20"/>
      <w:szCs w:val="24"/>
      <w:lang w:val="en-US"/>
    </w:rPr>
  </w:style>
  <w:style w:type="paragraph" w:customStyle="1" w:styleId="Normal1">
    <w:name w:val="Normal1"/>
    <w:basedOn w:val="Norml"/>
    <w:rsid w:val="00E36D26"/>
    <w:pPr>
      <w:widowControl w:val="0"/>
      <w:tabs>
        <w:tab w:val="clear" w:pos="567"/>
      </w:tabs>
      <w:suppressAutoHyphens/>
      <w:spacing w:line="240" w:lineRule="auto"/>
    </w:pPr>
    <w:rPr>
      <w:rFonts w:eastAsia="HG Mincho Light J"/>
      <w:color w:val="000000"/>
      <w:sz w:val="20"/>
      <w:szCs w:val="24"/>
      <w:lang w:val="en-US"/>
    </w:rPr>
  </w:style>
  <w:style w:type="paragraph" w:customStyle="1" w:styleId="ZchnZchn">
    <w:name w:val="Zchn Zchn"/>
    <w:basedOn w:val="Norml"/>
    <w:rsid w:val="00E36D26"/>
    <w:pPr>
      <w:tabs>
        <w:tab w:val="clear" w:pos="567"/>
      </w:tabs>
      <w:spacing w:after="160" w:line="240" w:lineRule="exact"/>
    </w:pPr>
    <w:rPr>
      <w:rFonts w:ascii="Verdana" w:hAnsi="Verdana" w:cs="Verdana"/>
      <w:sz w:val="20"/>
      <w:szCs w:val="20"/>
      <w:lang w:val="en-US"/>
    </w:rPr>
  </w:style>
  <w:style w:type="paragraph" w:styleId="Szvegtrzs">
    <w:name w:val="Body Text"/>
    <w:basedOn w:val="Norml"/>
    <w:link w:val="SzvegtrzsChar"/>
    <w:uiPriority w:val="1"/>
    <w:qFormat/>
    <w:rsid w:val="00B01EBC"/>
    <w:pPr>
      <w:widowControl w:val="0"/>
      <w:tabs>
        <w:tab w:val="clear" w:pos="567"/>
      </w:tabs>
      <w:spacing w:line="240" w:lineRule="auto"/>
      <w:ind w:left="118"/>
    </w:pPr>
    <w:rPr>
      <w:sz w:val="20"/>
      <w:szCs w:val="20"/>
      <w:lang w:val="en-US" w:eastAsia="x-none"/>
    </w:rPr>
  </w:style>
  <w:style w:type="character" w:customStyle="1" w:styleId="SzvegtrzsChar">
    <w:name w:val="Szövegtörzs Char"/>
    <w:link w:val="Szvegtrzs"/>
    <w:uiPriority w:val="1"/>
    <w:rsid w:val="00B01EBC"/>
    <w:rPr>
      <w:rFonts w:ascii="Times New Roman" w:eastAsia="Times New Roman" w:hAnsi="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26925">
      <w:bodyDiv w:val="1"/>
      <w:marLeft w:val="0"/>
      <w:marRight w:val="0"/>
      <w:marTop w:val="0"/>
      <w:marBottom w:val="0"/>
      <w:divBdr>
        <w:top w:val="none" w:sz="0" w:space="0" w:color="auto"/>
        <w:left w:val="none" w:sz="0" w:space="0" w:color="auto"/>
        <w:bottom w:val="none" w:sz="0" w:space="0" w:color="auto"/>
        <w:right w:val="none" w:sz="0" w:space="0" w:color="auto"/>
      </w:divBdr>
    </w:div>
    <w:div w:id="288779977">
      <w:bodyDiv w:val="1"/>
      <w:marLeft w:val="0"/>
      <w:marRight w:val="0"/>
      <w:marTop w:val="0"/>
      <w:marBottom w:val="0"/>
      <w:divBdr>
        <w:top w:val="none" w:sz="0" w:space="0" w:color="auto"/>
        <w:left w:val="none" w:sz="0" w:space="0" w:color="auto"/>
        <w:bottom w:val="none" w:sz="0" w:space="0" w:color="auto"/>
        <w:right w:val="none" w:sz="0" w:space="0" w:color="auto"/>
      </w:divBdr>
    </w:div>
    <w:div w:id="867528279">
      <w:bodyDiv w:val="1"/>
      <w:marLeft w:val="0"/>
      <w:marRight w:val="0"/>
      <w:marTop w:val="0"/>
      <w:marBottom w:val="0"/>
      <w:divBdr>
        <w:top w:val="none" w:sz="0" w:space="0" w:color="auto"/>
        <w:left w:val="none" w:sz="0" w:space="0" w:color="auto"/>
        <w:bottom w:val="none" w:sz="0" w:space="0" w:color="auto"/>
        <w:right w:val="none" w:sz="0" w:space="0" w:color="auto"/>
      </w:divBdr>
    </w:div>
    <w:div w:id="872810177">
      <w:bodyDiv w:val="1"/>
      <w:marLeft w:val="0"/>
      <w:marRight w:val="0"/>
      <w:marTop w:val="0"/>
      <w:marBottom w:val="0"/>
      <w:divBdr>
        <w:top w:val="none" w:sz="0" w:space="0" w:color="auto"/>
        <w:left w:val="none" w:sz="0" w:space="0" w:color="auto"/>
        <w:bottom w:val="none" w:sz="0" w:space="0" w:color="auto"/>
        <w:right w:val="none" w:sz="0" w:space="0" w:color="auto"/>
      </w:divBdr>
    </w:div>
    <w:div w:id="897059235">
      <w:bodyDiv w:val="1"/>
      <w:marLeft w:val="0"/>
      <w:marRight w:val="0"/>
      <w:marTop w:val="0"/>
      <w:marBottom w:val="0"/>
      <w:divBdr>
        <w:top w:val="none" w:sz="0" w:space="0" w:color="auto"/>
        <w:left w:val="none" w:sz="0" w:space="0" w:color="auto"/>
        <w:bottom w:val="none" w:sz="0" w:space="0" w:color="auto"/>
        <w:right w:val="none" w:sz="0" w:space="0" w:color="auto"/>
      </w:divBdr>
    </w:div>
    <w:div w:id="1221021670">
      <w:bodyDiv w:val="1"/>
      <w:marLeft w:val="0"/>
      <w:marRight w:val="0"/>
      <w:marTop w:val="0"/>
      <w:marBottom w:val="0"/>
      <w:divBdr>
        <w:top w:val="none" w:sz="0" w:space="0" w:color="auto"/>
        <w:left w:val="none" w:sz="0" w:space="0" w:color="auto"/>
        <w:bottom w:val="none" w:sz="0" w:space="0" w:color="auto"/>
        <w:right w:val="none" w:sz="0" w:space="0" w:color="auto"/>
      </w:divBdr>
    </w:div>
    <w:div w:id="1255477895">
      <w:bodyDiv w:val="1"/>
      <w:marLeft w:val="0"/>
      <w:marRight w:val="0"/>
      <w:marTop w:val="0"/>
      <w:marBottom w:val="0"/>
      <w:divBdr>
        <w:top w:val="none" w:sz="0" w:space="0" w:color="auto"/>
        <w:left w:val="none" w:sz="0" w:space="0" w:color="auto"/>
        <w:bottom w:val="none" w:sz="0" w:space="0" w:color="auto"/>
        <w:right w:val="none" w:sz="0" w:space="0" w:color="auto"/>
      </w:divBdr>
    </w:div>
    <w:div w:id="1490633277">
      <w:bodyDiv w:val="1"/>
      <w:marLeft w:val="0"/>
      <w:marRight w:val="0"/>
      <w:marTop w:val="0"/>
      <w:marBottom w:val="0"/>
      <w:divBdr>
        <w:top w:val="none" w:sz="0" w:space="0" w:color="auto"/>
        <w:left w:val="none" w:sz="0" w:space="0" w:color="auto"/>
        <w:bottom w:val="none" w:sz="0" w:space="0" w:color="auto"/>
        <w:right w:val="none" w:sz="0" w:space="0" w:color="auto"/>
      </w:divBdr>
    </w:div>
    <w:div w:id="1557886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01CA9F21067C4FA3275FD5DC7EC7EE" ma:contentTypeVersion="13" ma:contentTypeDescription="Create a new document." ma:contentTypeScope="" ma:versionID="a30bfa74f79309dcc4aec4348af71e21">
  <xsd:schema xmlns:xsd="http://www.w3.org/2001/XMLSchema" xmlns:xs="http://www.w3.org/2001/XMLSchema" xmlns:p="http://schemas.microsoft.com/office/2006/metadata/properties" xmlns:ns2="21da96a3-3e86-44d9-a11d-bf402d2a126f" xmlns:ns3="65f1800a-214a-4bc7-bfd1-468f543e7ba1" targetNamespace="http://schemas.microsoft.com/office/2006/metadata/properties" ma:root="true" ma:fieldsID="41582cdcfdfec57e70f478e85009fc9e" ns2:_="" ns3:_="">
    <xsd:import namespace="21da96a3-3e86-44d9-a11d-bf402d2a126f"/>
    <xsd:import namespace="65f1800a-214a-4bc7-bfd1-468f543e7ba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da96a3-3e86-44d9-a11d-bf402d2a12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e197271-f14d-4061-9bd1-ee2cdba4068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f1800a-214a-4bc7-bfd1-468f543e7ba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a6a07db-0b5b-4959-b6cd-3d979b82ff4f}" ma:internalName="TaxCatchAll" ma:showField="CatchAllData" ma:web="65f1800a-214a-4bc7-bfd1-468f543e7b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5f1800a-214a-4bc7-bfd1-468f543e7ba1" xsi:nil="true"/>
    <lcf76f155ced4ddcb4097134ff3c332f xmlns="21da96a3-3e86-44d9-a11d-bf402d2a126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15B080-C3E2-4CFE-ACDA-D316B851C8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da96a3-3e86-44d9-a11d-bf402d2a126f"/>
    <ds:schemaRef ds:uri="65f1800a-214a-4bc7-bfd1-468f543e7b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B7C7FC-20F8-4921-A3D1-A7C10DD5B38E}">
  <ds:schemaRefs>
    <ds:schemaRef ds:uri="http://schemas.microsoft.com/sharepoint/v3/contenttype/forms"/>
  </ds:schemaRefs>
</ds:datastoreItem>
</file>

<file path=customXml/itemProps3.xml><?xml version="1.0" encoding="utf-8"?>
<ds:datastoreItem xmlns:ds="http://schemas.openxmlformats.org/officeDocument/2006/customXml" ds:itemID="{65EE98DF-3CDB-4619-9BD3-D1D78BF87416}">
  <ds:schemaRefs>
    <ds:schemaRef ds:uri="http://schemas.microsoft.com/office/2006/documentManagement/types"/>
    <ds:schemaRef ds:uri="http://purl.org/dc/dcmitype/"/>
    <ds:schemaRef ds:uri="http://schemas.openxmlformats.org/package/2006/metadata/core-properties"/>
    <ds:schemaRef ds:uri="http://www.w3.org/XML/1998/namespace"/>
    <ds:schemaRef ds:uri="65f1800a-214a-4bc7-bfd1-468f543e7ba1"/>
    <ds:schemaRef ds:uri="http://schemas.microsoft.com/office/infopath/2007/PartnerControls"/>
    <ds:schemaRef ds:uri="http://purl.org/dc/elements/1.1/"/>
    <ds:schemaRef ds:uri="21da96a3-3e86-44d9-a11d-bf402d2a126f"/>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DAD1B7A7-AB2E-4F28-9C27-EB17BB9D5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9739</Words>
  <Characters>67200</Characters>
  <Application>Microsoft Office Word</Application>
  <DocSecurity>0</DocSecurity>
  <Lines>560</Lines>
  <Paragraphs>153</Paragraphs>
  <ScaleCrop>false</ScaleCrop>
  <HeadingPairs>
    <vt:vector size="6" baseType="variant">
      <vt:variant>
        <vt:lpstr>Cím</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Company>
  <LinksUpToDate>false</LinksUpToDate>
  <CharactersWithSpaces>76786</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ZF</dc:creator>
  <cp:keywords/>
  <cp:lastModifiedBy>HU OGYI 49.1</cp:lastModifiedBy>
  <cp:revision>4</cp:revision>
  <dcterms:created xsi:type="dcterms:W3CDTF">2025-12-17T08:09:00Z</dcterms:created>
  <dcterms:modified xsi:type="dcterms:W3CDTF">2026-01-19T15:30:00Z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0x010100B601CA9F21067C4FA3275FD5DC7EC7EE</vt:lpwstr>
  </property>
  <property fmtid="{D5CDD505-2E9C-101B-9397-08002B2CF9AE}" pid="3" name="Order">
    <vt:r8>34423500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