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E11862C" w14:textId="77777777" w:rsidR="00073B4F" w:rsidRPr="00F567BF" w:rsidRDefault="00D86A90" w:rsidP="00073B4F">
      <w:pPr>
        <w:tabs>
          <w:tab w:val="left" w:pos="561"/>
          <w:tab w:val="left" w:pos="3261"/>
        </w:tabs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1.</w:t>
      </w:r>
      <w:r w:rsidRPr="00F567BF">
        <w:rPr>
          <w:rFonts w:ascii="Times New Roman" w:eastAsia="Times New Roman" w:hAnsi="Times New Roman"/>
          <w:b/>
          <w:sz w:val="22"/>
        </w:rPr>
        <w:tab/>
      </w:r>
      <w:r w:rsidR="002A793D" w:rsidRPr="00F567BF">
        <w:rPr>
          <w:rFonts w:ascii="Times New Roman" w:eastAsia="Times New Roman" w:hAnsi="Times New Roman"/>
          <w:b/>
          <w:sz w:val="22"/>
        </w:rPr>
        <w:t>A GYÓGYSZER NEVE</w:t>
      </w:r>
    </w:p>
    <w:p w14:paraId="61553686" w14:textId="77777777" w:rsidR="002A793D" w:rsidRPr="00D20ADB" w:rsidRDefault="002A793D" w:rsidP="00073B4F">
      <w:pPr>
        <w:tabs>
          <w:tab w:val="left" w:pos="561"/>
        </w:tabs>
        <w:rPr>
          <w:rFonts w:ascii="Times New Roman" w:eastAsia="Times New Roman" w:hAnsi="Times New Roman"/>
          <w:sz w:val="22"/>
        </w:rPr>
      </w:pPr>
    </w:p>
    <w:p w14:paraId="1D19AC24" w14:textId="77777777" w:rsidR="002A793D" w:rsidRPr="00F567BF" w:rsidRDefault="007D13D5" w:rsidP="00336482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Latib</w:t>
      </w:r>
      <w:r w:rsidR="002A793D" w:rsidRPr="00F567BF">
        <w:rPr>
          <w:rFonts w:ascii="Times New Roman" w:eastAsia="Times New Roman" w:hAnsi="Times New Roman"/>
          <w:sz w:val="22"/>
        </w:rPr>
        <w:t xml:space="preserve"> 100</w:t>
      </w:r>
      <w:r w:rsidR="00294213" w:rsidRPr="00F567BF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mg kemény kapszula</w:t>
      </w:r>
    </w:p>
    <w:p w14:paraId="7CEDA569" w14:textId="77777777" w:rsidR="00294213" w:rsidRPr="00F567BF" w:rsidRDefault="007D13D5" w:rsidP="00336482">
      <w:pPr>
        <w:ind w:left="1"/>
        <w:rPr>
          <w:rFonts w:ascii="Times New Roman" w:eastAsia="Times New Roman" w:hAnsi="Times New Roman"/>
          <w:sz w:val="22"/>
        </w:rPr>
      </w:pPr>
      <w:r w:rsidRPr="00D20ADB">
        <w:rPr>
          <w:rFonts w:ascii="Times New Roman" w:eastAsia="Times New Roman" w:hAnsi="Times New Roman"/>
          <w:sz w:val="22"/>
        </w:rPr>
        <w:t>Latib</w:t>
      </w:r>
      <w:r w:rsidR="00294213" w:rsidRPr="00D20ADB">
        <w:rPr>
          <w:rFonts w:ascii="Times New Roman" w:eastAsia="Times New Roman" w:hAnsi="Times New Roman"/>
          <w:sz w:val="22"/>
        </w:rPr>
        <w:t xml:space="preserve"> 400 mg kemény kapszula</w:t>
      </w:r>
    </w:p>
    <w:p w14:paraId="43EFA029" w14:textId="77777777" w:rsidR="002A793D" w:rsidRPr="007303AA" w:rsidRDefault="002A793D" w:rsidP="00336482">
      <w:pPr>
        <w:rPr>
          <w:rFonts w:ascii="Times New Roman" w:eastAsia="Times New Roman" w:hAnsi="Times New Roman"/>
          <w:sz w:val="22"/>
          <w:szCs w:val="22"/>
        </w:rPr>
      </w:pPr>
    </w:p>
    <w:p w14:paraId="5AE017D7" w14:textId="77777777" w:rsidR="002A793D" w:rsidRPr="007303AA" w:rsidRDefault="002A793D" w:rsidP="00336482">
      <w:pPr>
        <w:rPr>
          <w:rFonts w:ascii="Times New Roman" w:eastAsia="Times New Roman" w:hAnsi="Times New Roman"/>
          <w:sz w:val="22"/>
          <w:szCs w:val="22"/>
        </w:rPr>
      </w:pPr>
    </w:p>
    <w:p w14:paraId="61FF6FDD" w14:textId="77777777" w:rsidR="00A05972" w:rsidRPr="00F567BF" w:rsidRDefault="00A05972" w:rsidP="00A05972">
      <w:pPr>
        <w:tabs>
          <w:tab w:val="left" w:pos="561"/>
        </w:tabs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2.</w:t>
      </w:r>
      <w:r w:rsidRPr="00F567BF">
        <w:rPr>
          <w:rFonts w:ascii="Times New Roman" w:eastAsia="Times New Roman" w:hAnsi="Times New Roman"/>
          <w:b/>
          <w:sz w:val="22"/>
        </w:rPr>
        <w:tab/>
        <w:t>MINŐSÉGI ÉS MENNYISÉGI ÖSSZETÉTEL</w:t>
      </w:r>
    </w:p>
    <w:p w14:paraId="1F736C8B" w14:textId="77777777" w:rsidR="00A05972" w:rsidRPr="00D20ADB" w:rsidRDefault="00A05972" w:rsidP="00A05972">
      <w:pPr>
        <w:rPr>
          <w:rFonts w:ascii="Times New Roman" w:eastAsia="Times New Roman" w:hAnsi="Times New Roman"/>
          <w:sz w:val="22"/>
        </w:rPr>
      </w:pPr>
    </w:p>
    <w:p w14:paraId="2A17E29F" w14:textId="77777777" w:rsidR="00A05972" w:rsidRPr="00647049" w:rsidRDefault="00A05972" w:rsidP="00A05972">
      <w:pPr>
        <w:ind w:left="1"/>
        <w:rPr>
          <w:rFonts w:ascii="Times New Roman" w:eastAsia="Times New Roman" w:hAnsi="Times New Roman"/>
          <w:iCs/>
          <w:sz w:val="22"/>
          <w:szCs w:val="22"/>
          <w:u w:val="single"/>
        </w:rPr>
      </w:pPr>
      <w:r w:rsidRPr="00647049">
        <w:rPr>
          <w:rFonts w:ascii="Times New Roman" w:eastAsia="Times New Roman" w:hAnsi="Times New Roman"/>
          <w:iCs/>
          <w:sz w:val="22"/>
          <w:szCs w:val="22"/>
          <w:u w:val="single"/>
        </w:rPr>
        <w:t xml:space="preserve">Latib </w:t>
      </w:r>
      <w:bookmarkStart w:id="0" w:name="_Hlk68294351"/>
      <w:r w:rsidRPr="00647049">
        <w:rPr>
          <w:rFonts w:ascii="Times New Roman" w:eastAsia="Times New Roman" w:hAnsi="Times New Roman"/>
          <w:iCs/>
          <w:sz w:val="22"/>
          <w:szCs w:val="22"/>
          <w:u w:val="single"/>
        </w:rPr>
        <w:t>100 mg kemény kapszula:</w:t>
      </w:r>
    </w:p>
    <w:p w14:paraId="715DA43B" w14:textId="77777777" w:rsidR="00A05972" w:rsidRPr="000845FD" w:rsidRDefault="00A05972" w:rsidP="00A05972">
      <w:pPr>
        <w:ind w:left="1"/>
        <w:rPr>
          <w:rFonts w:ascii="Times New Roman" w:eastAsia="Times New Roman" w:hAnsi="Times New Roman"/>
          <w:sz w:val="22"/>
          <w:szCs w:val="22"/>
        </w:rPr>
      </w:pPr>
      <w:r w:rsidRPr="000845FD">
        <w:rPr>
          <w:rFonts w:ascii="Times New Roman" w:eastAsia="Times New Roman" w:hAnsi="Times New Roman"/>
          <w:sz w:val="22"/>
          <w:szCs w:val="22"/>
        </w:rPr>
        <w:t>100 mg imatinib</w:t>
      </w:r>
      <w:r>
        <w:rPr>
          <w:rFonts w:ascii="Times New Roman" w:eastAsia="Times New Roman" w:hAnsi="Times New Roman"/>
          <w:sz w:val="22"/>
          <w:szCs w:val="22"/>
        </w:rPr>
        <w:t>et tartalmaz</w:t>
      </w:r>
      <w:r w:rsidRPr="000845FD">
        <w:rPr>
          <w:rFonts w:ascii="Times New Roman" w:eastAsia="Times New Roman" w:hAnsi="Times New Roman"/>
          <w:sz w:val="22"/>
          <w:szCs w:val="22"/>
        </w:rPr>
        <w:t xml:space="preserve"> (imatinib-mezilát formájában) kapszulánként.</w:t>
      </w:r>
    </w:p>
    <w:bookmarkEnd w:id="0"/>
    <w:p w14:paraId="30726DA9" w14:textId="77777777" w:rsidR="00A05972" w:rsidRDefault="00A05972" w:rsidP="00A05972">
      <w:pPr>
        <w:ind w:left="1"/>
        <w:rPr>
          <w:rFonts w:ascii="Times New Roman" w:eastAsia="Times New Roman" w:hAnsi="Times New Roman"/>
          <w:sz w:val="22"/>
        </w:rPr>
      </w:pPr>
    </w:p>
    <w:p w14:paraId="30E5BA8C" w14:textId="77777777" w:rsidR="00A05972" w:rsidRPr="00647049" w:rsidRDefault="00A05972" w:rsidP="00A05972">
      <w:pPr>
        <w:ind w:left="1"/>
        <w:rPr>
          <w:rFonts w:ascii="Times New Roman" w:eastAsia="Times New Roman" w:hAnsi="Times New Roman"/>
          <w:iCs/>
          <w:sz w:val="22"/>
          <w:u w:val="single"/>
        </w:rPr>
      </w:pPr>
      <w:r w:rsidRPr="00647049">
        <w:rPr>
          <w:rFonts w:ascii="Times New Roman" w:eastAsia="Times New Roman" w:hAnsi="Times New Roman"/>
          <w:iCs/>
          <w:sz w:val="22"/>
          <w:u w:val="single"/>
        </w:rPr>
        <w:t>Latib 400 mg kemény kapszula:</w:t>
      </w:r>
    </w:p>
    <w:p w14:paraId="783251A4" w14:textId="77777777" w:rsidR="00A05972" w:rsidRPr="00F567BF" w:rsidRDefault="00A05972" w:rsidP="00A05972">
      <w:pPr>
        <w:ind w:left="1"/>
        <w:rPr>
          <w:rFonts w:ascii="Times New Roman" w:eastAsia="Times New Roman" w:hAnsi="Times New Roman"/>
          <w:sz w:val="22"/>
        </w:rPr>
      </w:pPr>
      <w:r w:rsidRPr="00D20ADB">
        <w:rPr>
          <w:rFonts w:ascii="Times New Roman" w:eastAsia="Times New Roman" w:hAnsi="Times New Roman"/>
          <w:sz w:val="22"/>
        </w:rPr>
        <w:t>400 mg imatinib</w:t>
      </w:r>
      <w:r>
        <w:rPr>
          <w:rFonts w:ascii="Times New Roman" w:eastAsia="Times New Roman" w:hAnsi="Times New Roman"/>
          <w:sz w:val="22"/>
        </w:rPr>
        <w:t>et tartalmaz</w:t>
      </w:r>
      <w:r w:rsidRPr="00D20ADB">
        <w:rPr>
          <w:rFonts w:ascii="Times New Roman" w:eastAsia="Times New Roman" w:hAnsi="Times New Roman"/>
          <w:sz w:val="22"/>
        </w:rPr>
        <w:t xml:space="preserve"> (imatinib-mezilát formájában) kapszulánként.</w:t>
      </w:r>
    </w:p>
    <w:p w14:paraId="3D72F70A" w14:textId="77777777" w:rsidR="00A05972" w:rsidRPr="007303AA" w:rsidRDefault="00A05972" w:rsidP="00A05972">
      <w:pPr>
        <w:rPr>
          <w:rFonts w:ascii="Times New Roman" w:eastAsia="Times New Roman" w:hAnsi="Times New Roman"/>
          <w:sz w:val="22"/>
          <w:szCs w:val="22"/>
        </w:rPr>
      </w:pPr>
    </w:p>
    <w:p w14:paraId="7E7C1B36" w14:textId="77777777" w:rsidR="00A05972" w:rsidRPr="00F567BF" w:rsidRDefault="00A05972" w:rsidP="00A05972">
      <w:pPr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Ismert hatású segédanyag</w:t>
      </w:r>
      <w:r>
        <w:rPr>
          <w:rFonts w:ascii="Times New Roman" w:eastAsia="Times New Roman" w:hAnsi="Times New Roman"/>
          <w:sz w:val="22"/>
          <w:u w:val="single"/>
        </w:rPr>
        <w:t>(ok)</w:t>
      </w:r>
    </w:p>
    <w:p w14:paraId="67A7CF04" w14:textId="77777777" w:rsidR="00443A59" w:rsidRDefault="00443A59" w:rsidP="00A05972">
      <w:pPr>
        <w:ind w:left="1"/>
        <w:rPr>
          <w:rFonts w:ascii="Times New Roman" w:eastAsia="Times New Roman" w:hAnsi="Times New Roman"/>
          <w:i/>
          <w:sz w:val="22"/>
        </w:rPr>
      </w:pPr>
    </w:p>
    <w:p w14:paraId="7A2CEBFC" w14:textId="7512A744" w:rsidR="00A05972" w:rsidRPr="00647049" w:rsidRDefault="00A05972" w:rsidP="00A05972">
      <w:pPr>
        <w:ind w:left="1"/>
        <w:rPr>
          <w:rFonts w:ascii="Times New Roman" w:eastAsia="Times New Roman" w:hAnsi="Times New Roman"/>
          <w:iCs/>
          <w:sz w:val="22"/>
          <w:u w:val="single"/>
        </w:rPr>
      </w:pPr>
      <w:r w:rsidRPr="00647049">
        <w:rPr>
          <w:rFonts w:ascii="Times New Roman" w:eastAsia="Times New Roman" w:hAnsi="Times New Roman"/>
          <w:iCs/>
          <w:sz w:val="22"/>
          <w:u w:val="single"/>
        </w:rPr>
        <w:t>Latib 100 mg kemény kapszula:</w:t>
      </w:r>
    </w:p>
    <w:p w14:paraId="28662F0A" w14:textId="77777777" w:rsidR="00A05972" w:rsidRPr="00F567BF" w:rsidRDefault="00A05972" w:rsidP="00A05972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12,518 mg laktóz-monohidrát</w:t>
      </w:r>
      <w:r>
        <w:rPr>
          <w:rFonts w:ascii="Times New Roman" w:eastAsia="Times New Roman" w:hAnsi="Times New Roman"/>
          <w:sz w:val="22"/>
        </w:rPr>
        <w:t>ot tartalmaz</w:t>
      </w:r>
      <w:r w:rsidRPr="00F567BF">
        <w:rPr>
          <w:rFonts w:ascii="Times New Roman" w:eastAsia="Times New Roman" w:hAnsi="Times New Roman"/>
          <w:sz w:val="22"/>
        </w:rPr>
        <w:t xml:space="preserve"> kapszulánként.</w:t>
      </w:r>
    </w:p>
    <w:p w14:paraId="73275C49" w14:textId="77777777" w:rsidR="00A05972" w:rsidRDefault="00A05972" w:rsidP="00A05972">
      <w:pPr>
        <w:ind w:left="1"/>
        <w:rPr>
          <w:rFonts w:ascii="Times New Roman" w:eastAsia="Times New Roman" w:hAnsi="Times New Roman"/>
          <w:sz w:val="22"/>
        </w:rPr>
      </w:pPr>
    </w:p>
    <w:p w14:paraId="480C4B90" w14:textId="77777777" w:rsidR="00A05972" w:rsidRPr="00647049" w:rsidRDefault="00A05972" w:rsidP="00A05972">
      <w:pPr>
        <w:ind w:left="1"/>
        <w:rPr>
          <w:rFonts w:ascii="Times New Roman" w:eastAsia="Times New Roman" w:hAnsi="Times New Roman"/>
          <w:iCs/>
          <w:sz w:val="22"/>
          <w:u w:val="single"/>
        </w:rPr>
      </w:pPr>
      <w:r w:rsidRPr="00647049">
        <w:rPr>
          <w:rFonts w:ascii="Times New Roman" w:eastAsia="Times New Roman" w:hAnsi="Times New Roman"/>
          <w:iCs/>
          <w:sz w:val="22"/>
          <w:u w:val="single"/>
        </w:rPr>
        <w:t>Latib 400 mg kemény kapszula:</w:t>
      </w:r>
    </w:p>
    <w:p w14:paraId="1ABBB4A6" w14:textId="77777777" w:rsidR="00A05972" w:rsidRPr="009501AC" w:rsidRDefault="00A05972" w:rsidP="00A05972">
      <w:pPr>
        <w:ind w:left="1"/>
        <w:rPr>
          <w:rFonts w:ascii="Times New Roman" w:eastAsia="Times New Roman" w:hAnsi="Times New Roman"/>
          <w:sz w:val="22"/>
        </w:rPr>
      </w:pPr>
      <w:r w:rsidRPr="009501AC">
        <w:rPr>
          <w:rFonts w:ascii="Times New Roman" w:eastAsia="Times New Roman" w:hAnsi="Times New Roman"/>
          <w:sz w:val="22"/>
        </w:rPr>
        <w:t>50,072 mg laktóz-monohidrátot tartalmaz kapszulánként.</w:t>
      </w:r>
    </w:p>
    <w:p w14:paraId="2E0DF5E9" w14:textId="77777777" w:rsidR="00A05972" w:rsidRPr="009501AC" w:rsidRDefault="00A05972" w:rsidP="00A05972">
      <w:pPr>
        <w:ind w:left="1"/>
        <w:rPr>
          <w:rFonts w:ascii="Times New Roman" w:eastAsia="Times New Roman" w:hAnsi="Times New Roman"/>
          <w:sz w:val="22"/>
        </w:rPr>
      </w:pPr>
    </w:p>
    <w:p w14:paraId="689FA88F" w14:textId="77777777" w:rsidR="00A05972" w:rsidRPr="00F567BF" w:rsidRDefault="00A05972" w:rsidP="00A05972">
      <w:pPr>
        <w:ind w:left="1"/>
        <w:rPr>
          <w:rFonts w:ascii="Times New Roman" w:eastAsia="Times New Roman" w:hAnsi="Times New Roman"/>
          <w:sz w:val="22"/>
        </w:rPr>
      </w:pPr>
      <w:r w:rsidRPr="009501AC">
        <w:rPr>
          <w:rFonts w:ascii="Times New Roman" w:eastAsia="Times New Roman" w:hAnsi="Times New Roman"/>
          <w:sz w:val="22"/>
        </w:rPr>
        <w:t xml:space="preserve">A segédanyagok teljes 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listáját</w:t>
      </w:r>
      <w:r w:rsidRPr="009501AC">
        <w:rPr>
          <w:rFonts w:ascii="Times New Roman" w:eastAsia="Times New Roman" w:hAnsi="Times New Roman"/>
          <w:sz w:val="22"/>
        </w:rPr>
        <w:t xml:space="preserve"> lásd a 6.1 pontban.</w:t>
      </w:r>
    </w:p>
    <w:p w14:paraId="501269A3" w14:textId="77777777" w:rsidR="00A05972" w:rsidRPr="007303AA" w:rsidRDefault="00A05972" w:rsidP="00A05972">
      <w:pPr>
        <w:rPr>
          <w:rFonts w:ascii="Times New Roman" w:eastAsia="Times New Roman" w:hAnsi="Times New Roman"/>
          <w:sz w:val="22"/>
          <w:szCs w:val="22"/>
        </w:rPr>
      </w:pPr>
    </w:p>
    <w:p w14:paraId="6D6B7D6F" w14:textId="77777777" w:rsidR="00A05972" w:rsidRPr="007303AA" w:rsidRDefault="00A05972" w:rsidP="00A05972">
      <w:pPr>
        <w:tabs>
          <w:tab w:val="left" w:pos="561"/>
        </w:tabs>
        <w:rPr>
          <w:rFonts w:ascii="Times New Roman" w:eastAsia="Times New Roman" w:hAnsi="Times New Roman"/>
          <w:sz w:val="22"/>
          <w:szCs w:val="22"/>
        </w:rPr>
      </w:pPr>
    </w:p>
    <w:p w14:paraId="4FB808C1" w14:textId="77777777" w:rsidR="00A05972" w:rsidRPr="00F567BF" w:rsidRDefault="00A05972" w:rsidP="00A05972">
      <w:pPr>
        <w:tabs>
          <w:tab w:val="left" w:pos="561"/>
        </w:tabs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3.</w:t>
      </w:r>
      <w:r w:rsidRPr="00F567BF">
        <w:rPr>
          <w:rFonts w:ascii="Times New Roman" w:eastAsia="Times New Roman" w:hAnsi="Times New Roman"/>
          <w:b/>
          <w:sz w:val="22"/>
        </w:rPr>
        <w:tab/>
        <w:t>GYÓGYSZERFORMA</w:t>
      </w:r>
    </w:p>
    <w:p w14:paraId="6234B0A6" w14:textId="77777777" w:rsidR="00A05972" w:rsidRPr="007303AA" w:rsidRDefault="00A05972" w:rsidP="00A05972">
      <w:pPr>
        <w:rPr>
          <w:rFonts w:ascii="Times New Roman" w:eastAsia="Times New Roman" w:hAnsi="Times New Roman"/>
          <w:sz w:val="22"/>
          <w:szCs w:val="22"/>
        </w:rPr>
      </w:pPr>
    </w:p>
    <w:p w14:paraId="1A69B6A9" w14:textId="77777777" w:rsidR="00A05972" w:rsidRPr="00F567BF" w:rsidRDefault="00A05972" w:rsidP="00A05972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Kemény kapszula.</w:t>
      </w:r>
    </w:p>
    <w:p w14:paraId="64912984" w14:textId="77777777" w:rsidR="00A05972" w:rsidRPr="007303AA" w:rsidRDefault="00A05972" w:rsidP="00A05972">
      <w:pPr>
        <w:rPr>
          <w:rFonts w:ascii="Times New Roman" w:eastAsia="Times New Roman" w:hAnsi="Times New Roman"/>
          <w:sz w:val="22"/>
          <w:szCs w:val="22"/>
        </w:rPr>
      </w:pPr>
    </w:p>
    <w:p w14:paraId="2FF288AB" w14:textId="77777777" w:rsidR="00A05972" w:rsidRPr="00647049" w:rsidRDefault="00A05972" w:rsidP="00A05972">
      <w:pPr>
        <w:ind w:left="1" w:right="120"/>
        <w:rPr>
          <w:rFonts w:ascii="Times New Roman" w:eastAsia="Times New Roman" w:hAnsi="Times New Roman" w:cs="Times New Roman"/>
          <w:iCs/>
          <w:sz w:val="22"/>
          <w:szCs w:val="22"/>
          <w:u w:val="single"/>
        </w:rPr>
      </w:pPr>
      <w:r w:rsidRPr="00647049">
        <w:rPr>
          <w:rFonts w:ascii="Times New Roman" w:eastAsia="Times New Roman" w:hAnsi="Times New Roman" w:cs="Times New Roman"/>
          <w:iCs/>
          <w:sz w:val="22"/>
          <w:szCs w:val="22"/>
          <w:u w:val="single"/>
        </w:rPr>
        <w:t>Latib 100 mg kemény kapszula:</w:t>
      </w:r>
    </w:p>
    <w:p w14:paraId="0671C830" w14:textId="77777777" w:rsidR="00A05972" w:rsidRPr="006C6C68" w:rsidRDefault="00A05972" w:rsidP="00A05972">
      <w:pPr>
        <w:ind w:left="1" w:right="120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„</w:t>
      </w:r>
      <w:r w:rsidRPr="006C6C68">
        <w:rPr>
          <w:rFonts w:ascii="Times New Roman" w:eastAsia="Times New Roman" w:hAnsi="Times New Roman" w:cs="Times New Roman"/>
          <w:sz w:val="22"/>
        </w:rPr>
        <w:t>3”-as méretű kapszul</w:t>
      </w:r>
      <w:r>
        <w:rPr>
          <w:rFonts w:ascii="Times New Roman" w:eastAsia="Times New Roman" w:hAnsi="Times New Roman" w:cs="Times New Roman"/>
          <w:sz w:val="22"/>
        </w:rPr>
        <w:t>a</w:t>
      </w:r>
      <w:r w:rsidRPr="006C6C68">
        <w:rPr>
          <w:rFonts w:ascii="Times New Roman" w:eastAsia="Times New Roman" w:hAnsi="Times New Roman" w:cs="Times New Roman"/>
          <w:sz w:val="22"/>
        </w:rPr>
        <w:t xml:space="preserve"> </w:t>
      </w:r>
      <w:r w:rsidRPr="006C6C68">
        <w:rPr>
          <w:rFonts w:ascii="Times New Roman" w:hAnsi="Times New Roman" w:cs="Times New Roman"/>
          <w:sz w:val="22"/>
          <w:szCs w:val="22"/>
        </w:rPr>
        <w:t xml:space="preserve">narancssárga színű </w:t>
      </w:r>
      <w:r>
        <w:rPr>
          <w:rFonts w:ascii="Times New Roman" w:hAnsi="Times New Roman" w:cs="Times New Roman"/>
          <w:sz w:val="22"/>
          <w:szCs w:val="22"/>
        </w:rPr>
        <w:t>alsó és felső résszel</w:t>
      </w:r>
      <w:r w:rsidRPr="006C6C68">
        <w:rPr>
          <w:rFonts w:ascii="Times New Roman" w:hAnsi="Times New Roman" w:cs="Times New Roman"/>
          <w:sz w:val="22"/>
          <w:szCs w:val="22"/>
        </w:rPr>
        <w:t xml:space="preserve">, </w:t>
      </w:r>
      <w:r w:rsidRPr="006C6C68">
        <w:rPr>
          <w:rFonts w:ascii="Times New Roman" w:eastAsia="Times New Roman" w:hAnsi="Times New Roman" w:cs="Times New Roman"/>
          <w:sz w:val="22"/>
        </w:rPr>
        <w:t>fehér vagy sárgásfehér granulátummal töltve.</w:t>
      </w:r>
    </w:p>
    <w:p w14:paraId="56199887" w14:textId="77777777" w:rsidR="00A05972" w:rsidRPr="006C6C68" w:rsidRDefault="00A05972" w:rsidP="00A05972">
      <w:pPr>
        <w:ind w:left="1" w:right="120"/>
        <w:rPr>
          <w:rFonts w:ascii="Times New Roman" w:eastAsia="Times New Roman" w:hAnsi="Times New Roman" w:cs="Times New Roman"/>
          <w:sz w:val="22"/>
        </w:rPr>
      </w:pPr>
    </w:p>
    <w:p w14:paraId="2EFD4AA3" w14:textId="77777777" w:rsidR="00A05972" w:rsidRPr="00647049" w:rsidRDefault="00A05972" w:rsidP="00A05972">
      <w:pPr>
        <w:ind w:left="1" w:right="120"/>
        <w:rPr>
          <w:rFonts w:ascii="Times New Roman" w:eastAsia="Times New Roman" w:hAnsi="Times New Roman" w:cs="Times New Roman"/>
          <w:iCs/>
          <w:sz w:val="22"/>
          <w:u w:val="single"/>
        </w:rPr>
      </w:pPr>
      <w:r w:rsidRPr="00647049">
        <w:rPr>
          <w:rFonts w:ascii="Times New Roman" w:eastAsia="Times New Roman" w:hAnsi="Times New Roman" w:cs="Times New Roman"/>
          <w:iCs/>
          <w:sz w:val="22"/>
          <w:u w:val="single"/>
        </w:rPr>
        <w:t>Latib 400 mg kemény kapszula:</w:t>
      </w:r>
    </w:p>
    <w:p w14:paraId="46250FA7" w14:textId="77777777" w:rsidR="00A05972" w:rsidRPr="001B2B07" w:rsidRDefault="00A05972" w:rsidP="00A05972">
      <w:pPr>
        <w:ind w:left="1" w:right="120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„</w:t>
      </w:r>
      <w:r w:rsidRPr="001B2B07">
        <w:rPr>
          <w:rFonts w:ascii="Times New Roman" w:eastAsia="Times New Roman" w:hAnsi="Times New Roman" w:cs="Times New Roman"/>
          <w:sz w:val="22"/>
        </w:rPr>
        <w:t>00”-</w:t>
      </w:r>
      <w:r w:rsidR="004B742B">
        <w:rPr>
          <w:rFonts w:ascii="Times New Roman" w:eastAsia="Times New Roman" w:hAnsi="Times New Roman" w:cs="Times New Roman"/>
          <w:sz w:val="22"/>
        </w:rPr>
        <w:t>á</w:t>
      </w:r>
      <w:r w:rsidRPr="001B2B07">
        <w:rPr>
          <w:rFonts w:ascii="Times New Roman" w:eastAsia="Times New Roman" w:hAnsi="Times New Roman" w:cs="Times New Roman"/>
          <w:sz w:val="22"/>
        </w:rPr>
        <w:t>s méretű kapszul</w:t>
      </w:r>
      <w:r>
        <w:rPr>
          <w:rFonts w:ascii="Times New Roman" w:eastAsia="Times New Roman" w:hAnsi="Times New Roman" w:cs="Times New Roman"/>
          <w:sz w:val="22"/>
        </w:rPr>
        <w:t>a</w:t>
      </w:r>
      <w:r w:rsidRPr="001B2B07">
        <w:rPr>
          <w:rFonts w:ascii="Times New Roman" w:eastAsia="Times New Roman" w:hAnsi="Times New Roman" w:cs="Times New Roman"/>
          <w:sz w:val="22"/>
        </w:rPr>
        <w:t xml:space="preserve"> karamell színű </w:t>
      </w:r>
      <w:r>
        <w:rPr>
          <w:rFonts w:ascii="Times New Roman" w:hAnsi="Times New Roman" w:cs="Times New Roman"/>
          <w:sz w:val="22"/>
          <w:szCs w:val="22"/>
        </w:rPr>
        <w:t>alsó és felső résszel</w:t>
      </w:r>
      <w:r w:rsidRPr="001B2B07">
        <w:rPr>
          <w:rFonts w:ascii="Times New Roman" w:eastAsia="Times New Roman" w:hAnsi="Times New Roman" w:cs="Times New Roman"/>
          <w:sz w:val="22"/>
        </w:rPr>
        <w:t>, fehér vagy sárgásfehér granulátummal töltve.</w:t>
      </w:r>
    </w:p>
    <w:p w14:paraId="16D65B9A" w14:textId="77777777" w:rsidR="00A05972" w:rsidRPr="001B2B07" w:rsidRDefault="00A05972" w:rsidP="00A059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884E5EF" w14:textId="77777777" w:rsidR="00A05972" w:rsidRPr="001B2B07" w:rsidRDefault="00A05972" w:rsidP="00A05972">
      <w:pPr>
        <w:rPr>
          <w:rFonts w:ascii="Times New Roman" w:eastAsia="Times New Roman" w:hAnsi="Times New Roman"/>
          <w:sz w:val="22"/>
          <w:szCs w:val="22"/>
        </w:rPr>
      </w:pPr>
    </w:p>
    <w:p w14:paraId="5D75C422" w14:textId="77777777" w:rsidR="00A05972" w:rsidRPr="00F567BF" w:rsidRDefault="00A05972" w:rsidP="00A05972">
      <w:pPr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 w:val="22"/>
          <w:lang w:eastAsia="zh-CN"/>
        </w:rPr>
      </w:pPr>
      <w:r w:rsidRPr="001B2B07">
        <w:rPr>
          <w:rFonts w:ascii="Times New Roman" w:eastAsia="SimSun" w:hAnsi="Times New Roman" w:cs="Times New Roman"/>
          <w:b/>
          <w:snapToGrid w:val="0"/>
          <w:sz w:val="22"/>
          <w:lang w:eastAsia="zh-CN"/>
        </w:rPr>
        <w:t>4.</w:t>
      </w:r>
      <w:r w:rsidRPr="001B2B07">
        <w:rPr>
          <w:rFonts w:ascii="Times New Roman" w:eastAsia="SimSun" w:hAnsi="Times New Roman" w:cs="Times New Roman"/>
          <w:b/>
          <w:snapToGrid w:val="0"/>
          <w:sz w:val="22"/>
          <w:lang w:eastAsia="zh-CN"/>
        </w:rPr>
        <w:tab/>
        <w:t>KLINIKAI JELLEMZŐK</w:t>
      </w:r>
    </w:p>
    <w:p w14:paraId="09F2430B" w14:textId="77777777" w:rsidR="002A793D" w:rsidRPr="007303AA" w:rsidRDefault="002A793D" w:rsidP="00336482">
      <w:pPr>
        <w:rPr>
          <w:rFonts w:ascii="Times New Roman" w:eastAsia="Times New Roman" w:hAnsi="Times New Roman"/>
          <w:sz w:val="22"/>
          <w:szCs w:val="22"/>
        </w:rPr>
      </w:pPr>
    </w:p>
    <w:p w14:paraId="2E02A5AF" w14:textId="77777777" w:rsidR="00FE083B" w:rsidRPr="00F567BF" w:rsidRDefault="00FE083B" w:rsidP="00336482">
      <w:pPr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4.1</w:t>
      </w:r>
      <w:r w:rsidRPr="00F567BF">
        <w:rPr>
          <w:rFonts w:ascii="Times New Roman" w:eastAsia="Times New Roman" w:hAnsi="Times New Roman"/>
          <w:b/>
          <w:sz w:val="22"/>
        </w:rPr>
        <w:tab/>
        <w:t>Terápiás javallatok</w:t>
      </w:r>
    </w:p>
    <w:p w14:paraId="369AF641" w14:textId="77777777" w:rsidR="002A793D" w:rsidRPr="007303AA" w:rsidRDefault="002A793D" w:rsidP="00336482">
      <w:pPr>
        <w:rPr>
          <w:rFonts w:ascii="Times New Roman" w:eastAsia="Times New Roman" w:hAnsi="Times New Roman"/>
          <w:sz w:val="22"/>
          <w:szCs w:val="22"/>
        </w:rPr>
      </w:pPr>
    </w:p>
    <w:p w14:paraId="71E5E09F" w14:textId="77777777" w:rsidR="002A793D" w:rsidRPr="00F567BF" w:rsidRDefault="00E13C63" w:rsidP="00336482">
      <w:pPr>
        <w:spacing w:line="239" w:lineRule="auto"/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Latib</w:t>
      </w:r>
      <w:r w:rsidR="002A793D" w:rsidRPr="00F567BF">
        <w:rPr>
          <w:rFonts w:ascii="Times New Roman" w:eastAsia="Times New Roman" w:hAnsi="Times New Roman"/>
          <w:sz w:val="22"/>
        </w:rPr>
        <w:t xml:space="preserve"> terápiás javallatai</w:t>
      </w:r>
    </w:p>
    <w:p w14:paraId="1AE718C5" w14:textId="3AEE1AEF" w:rsidR="002A793D" w:rsidRPr="00F567BF" w:rsidRDefault="002A793D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rFonts w:ascii="Symbol" w:eastAsia="Symbol" w:hAnsi="Symbol"/>
          <w:sz w:val="22"/>
          <w:lang w:val="hu-HU"/>
        </w:rPr>
      </w:pPr>
      <w:r w:rsidRPr="00F567BF">
        <w:rPr>
          <w:sz w:val="22"/>
          <w:lang w:val="hu-HU"/>
        </w:rPr>
        <w:t>újonnan diagnosztizált Philadelphia</w:t>
      </w:r>
      <w:r w:rsidR="00FD3440">
        <w:rPr>
          <w:sz w:val="22"/>
          <w:lang w:val="hu-HU"/>
        </w:rPr>
        <w:t>-</w:t>
      </w:r>
      <w:r w:rsidRPr="00F567BF">
        <w:rPr>
          <w:sz w:val="22"/>
          <w:lang w:val="hu-HU"/>
        </w:rPr>
        <w:t>kromoszóma (</w:t>
      </w:r>
      <w:r w:rsidR="00BB7AD8">
        <w:rPr>
          <w:sz w:val="22"/>
          <w:lang w:val="hu-HU"/>
        </w:rPr>
        <w:t>BCR</w:t>
      </w:r>
      <w:r w:rsidRPr="00F567BF">
        <w:rPr>
          <w:sz w:val="22"/>
          <w:lang w:val="hu-HU"/>
        </w:rPr>
        <w:t>-</w:t>
      </w:r>
      <w:r w:rsidR="00BB7AD8">
        <w:rPr>
          <w:sz w:val="22"/>
          <w:lang w:val="hu-HU"/>
        </w:rPr>
        <w:t>ABL-</w:t>
      </w:r>
      <w:r w:rsidRPr="00F567BF">
        <w:rPr>
          <w:sz w:val="22"/>
          <w:lang w:val="hu-HU"/>
        </w:rPr>
        <w:t xml:space="preserve">) pozitív (Ph+) krónikus myeloid leukaemiás (CML) </w:t>
      </w:r>
      <w:r w:rsidR="00E13C63" w:rsidRPr="00F567BF">
        <w:rPr>
          <w:sz w:val="22"/>
          <w:lang w:val="hu-HU"/>
        </w:rPr>
        <w:t>felnőttek</w:t>
      </w:r>
      <w:r w:rsidR="00A05972">
        <w:rPr>
          <w:sz w:val="22"/>
          <w:lang w:val="hu-HU"/>
        </w:rPr>
        <w:t>,</w:t>
      </w:r>
      <w:r w:rsidR="00E13C63" w:rsidRPr="00F567BF">
        <w:rPr>
          <w:sz w:val="22"/>
          <w:lang w:val="hu-HU"/>
        </w:rPr>
        <w:t xml:space="preserve"> </w:t>
      </w:r>
      <w:r w:rsidRPr="00F567BF">
        <w:rPr>
          <w:sz w:val="22"/>
          <w:lang w:val="hu-HU"/>
        </w:rPr>
        <w:t>gyermekek</w:t>
      </w:r>
      <w:r w:rsidR="00A05972">
        <w:rPr>
          <w:sz w:val="22"/>
          <w:lang w:val="hu-HU"/>
        </w:rPr>
        <w:t xml:space="preserve"> és serdülők</w:t>
      </w:r>
      <w:r w:rsidRPr="00F567BF">
        <w:rPr>
          <w:sz w:val="22"/>
          <w:lang w:val="hu-HU"/>
        </w:rPr>
        <w:t xml:space="preserve"> kezelése, akikn</w:t>
      </w:r>
      <w:r w:rsidR="004756DE">
        <w:rPr>
          <w:sz w:val="22"/>
          <w:lang w:val="hu-HU"/>
        </w:rPr>
        <w:t>él</w:t>
      </w:r>
      <w:r w:rsidRPr="00F567BF">
        <w:rPr>
          <w:sz w:val="22"/>
          <w:lang w:val="hu-HU"/>
        </w:rPr>
        <w:t xml:space="preserve"> a csontvelő-transzplantáció első</w:t>
      </w:r>
      <w:r w:rsidR="00726443">
        <w:rPr>
          <w:sz w:val="22"/>
          <w:lang w:val="hu-HU"/>
        </w:rPr>
        <w:t xml:space="preserve"> </w:t>
      </w:r>
      <w:r w:rsidRPr="00F567BF">
        <w:rPr>
          <w:sz w:val="22"/>
          <w:lang w:val="hu-HU"/>
        </w:rPr>
        <w:t>vonalbeli kezelésként nem jön szóba.</w:t>
      </w:r>
    </w:p>
    <w:p w14:paraId="2EADEB59" w14:textId="77777777" w:rsidR="002A793D" w:rsidRPr="00F567BF" w:rsidRDefault="002A793D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 w:rsidRPr="00F567BF">
        <w:rPr>
          <w:sz w:val="22"/>
          <w:lang w:val="hu-HU"/>
        </w:rPr>
        <w:t>Ph</w:t>
      </w:r>
      <w:r w:rsidR="00BD35B0">
        <w:rPr>
          <w:sz w:val="22"/>
          <w:lang w:val="hu-HU"/>
        </w:rPr>
        <w:t>+ </w:t>
      </w:r>
      <w:r w:rsidRPr="00F567BF">
        <w:rPr>
          <w:sz w:val="22"/>
          <w:lang w:val="hu-HU"/>
        </w:rPr>
        <w:t>CML-es, sikertelen alfa</w:t>
      </w:r>
      <w:r w:rsidR="00726443">
        <w:rPr>
          <w:sz w:val="22"/>
          <w:lang w:val="hu-HU"/>
        </w:rPr>
        <w:t>-</w:t>
      </w:r>
      <w:r w:rsidRPr="00F567BF">
        <w:rPr>
          <w:sz w:val="22"/>
          <w:lang w:val="hu-HU"/>
        </w:rPr>
        <w:t xml:space="preserve">interferon-kezelésen átesett krónikus fázisban, valamint akcelerált fázisban vagy blasztos krízisben levő </w:t>
      </w:r>
      <w:r w:rsidR="00E13C63" w:rsidRPr="00F567BF">
        <w:rPr>
          <w:sz w:val="22"/>
          <w:lang w:val="hu-HU"/>
        </w:rPr>
        <w:t>felnőttek</w:t>
      </w:r>
      <w:r w:rsidR="00A05972">
        <w:rPr>
          <w:sz w:val="22"/>
          <w:lang w:val="hu-HU"/>
        </w:rPr>
        <w:t xml:space="preserve">, </w:t>
      </w:r>
      <w:r w:rsidRPr="00F567BF">
        <w:rPr>
          <w:sz w:val="22"/>
          <w:lang w:val="hu-HU"/>
        </w:rPr>
        <w:t xml:space="preserve">gyermekek </w:t>
      </w:r>
      <w:r w:rsidR="00A05972">
        <w:rPr>
          <w:sz w:val="22"/>
          <w:lang w:val="hu-HU"/>
        </w:rPr>
        <w:t xml:space="preserve">és serdülők </w:t>
      </w:r>
      <w:r w:rsidRPr="00F567BF">
        <w:rPr>
          <w:sz w:val="22"/>
          <w:lang w:val="hu-HU"/>
        </w:rPr>
        <w:t>kezelése.</w:t>
      </w:r>
    </w:p>
    <w:p w14:paraId="612A8E7F" w14:textId="28909ECE" w:rsidR="002A793D" w:rsidRPr="00F567BF" w:rsidRDefault="002A793D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 w:rsidRPr="00F567BF">
        <w:rPr>
          <w:sz w:val="22"/>
          <w:lang w:val="hu-HU"/>
        </w:rPr>
        <w:t>újonnan diagnosztizált Philadelphia</w:t>
      </w:r>
      <w:r w:rsidR="00D60AFC">
        <w:rPr>
          <w:sz w:val="22"/>
          <w:lang w:val="hu-HU"/>
        </w:rPr>
        <w:t>-</w:t>
      </w:r>
      <w:r w:rsidRPr="00F567BF">
        <w:rPr>
          <w:sz w:val="22"/>
          <w:lang w:val="hu-HU"/>
        </w:rPr>
        <w:t>kromoszóma</w:t>
      </w:r>
      <w:r w:rsidR="003D1208">
        <w:rPr>
          <w:sz w:val="22"/>
          <w:lang w:val="hu-HU"/>
        </w:rPr>
        <w:t>-</w:t>
      </w:r>
      <w:r w:rsidRPr="00F567BF">
        <w:rPr>
          <w:sz w:val="22"/>
          <w:lang w:val="hu-HU"/>
        </w:rPr>
        <w:t>pozitív akut lymphoblastos leukaemiás (Ph+</w:t>
      </w:r>
      <w:r w:rsidR="00726443">
        <w:rPr>
          <w:sz w:val="22"/>
          <w:lang w:val="hu-HU"/>
        </w:rPr>
        <w:t> </w:t>
      </w:r>
      <w:r w:rsidRPr="00F567BF">
        <w:rPr>
          <w:sz w:val="22"/>
          <w:lang w:val="hu-HU"/>
        </w:rPr>
        <w:t>ALL) felnőtt</w:t>
      </w:r>
      <w:r w:rsidR="00A05972">
        <w:rPr>
          <w:sz w:val="22"/>
          <w:lang w:val="hu-HU"/>
        </w:rPr>
        <w:t>ek,</w:t>
      </w:r>
      <w:r w:rsidRPr="00F567BF">
        <w:rPr>
          <w:sz w:val="22"/>
          <w:lang w:val="hu-HU"/>
        </w:rPr>
        <w:t xml:space="preserve"> </w:t>
      </w:r>
      <w:r w:rsidR="00A05972">
        <w:rPr>
          <w:sz w:val="22"/>
          <w:lang w:val="hu-HU"/>
        </w:rPr>
        <w:t>gyermekek és serdülők</w:t>
      </w:r>
      <w:r w:rsidRPr="00F567BF">
        <w:rPr>
          <w:sz w:val="22"/>
          <w:lang w:val="hu-HU"/>
        </w:rPr>
        <w:t xml:space="preserve"> kezelése, kemoterápiával kiegészítve.</w:t>
      </w:r>
    </w:p>
    <w:p w14:paraId="38A97DD2" w14:textId="0F97B036" w:rsidR="002A793D" w:rsidRPr="00F567BF" w:rsidRDefault="002C4206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>
        <w:rPr>
          <w:sz w:val="22"/>
          <w:lang w:val="hu-HU"/>
        </w:rPr>
        <w:t>relabáló</w:t>
      </w:r>
      <w:r w:rsidRPr="00F567BF">
        <w:rPr>
          <w:sz w:val="22"/>
          <w:lang w:val="hu-HU"/>
        </w:rPr>
        <w:t xml:space="preserve"> </w:t>
      </w:r>
      <w:r w:rsidR="002A793D" w:rsidRPr="00F567BF">
        <w:rPr>
          <w:sz w:val="22"/>
          <w:lang w:val="hu-HU"/>
        </w:rPr>
        <w:t>vagy refrakter Ph+</w:t>
      </w:r>
      <w:r w:rsidR="00726443">
        <w:rPr>
          <w:sz w:val="22"/>
          <w:lang w:val="hu-HU"/>
        </w:rPr>
        <w:t> </w:t>
      </w:r>
      <w:r w:rsidR="002A793D" w:rsidRPr="00F567BF">
        <w:rPr>
          <w:sz w:val="22"/>
          <w:lang w:val="hu-HU"/>
        </w:rPr>
        <w:t>ALL-es felnőtt betegek kezelés</w:t>
      </w:r>
      <w:r w:rsidR="00A05972">
        <w:rPr>
          <w:sz w:val="22"/>
          <w:lang w:val="hu-HU"/>
        </w:rPr>
        <w:t>e</w:t>
      </w:r>
      <w:r w:rsidR="002A793D" w:rsidRPr="00F567BF">
        <w:rPr>
          <w:sz w:val="22"/>
          <w:lang w:val="hu-HU"/>
        </w:rPr>
        <w:t>, monoterápiaként.</w:t>
      </w:r>
    </w:p>
    <w:p w14:paraId="594CB967" w14:textId="1DB02775" w:rsidR="002A793D" w:rsidRPr="00F567BF" w:rsidRDefault="002A793D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 w:rsidRPr="00F567BF">
        <w:rPr>
          <w:sz w:val="22"/>
          <w:lang w:val="hu-HU"/>
        </w:rPr>
        <w:t>PDGFR (</w:t>
      </w:r>
      <w:r w:rsidRPr="007F0D7B">
        <w:rPr>
          <w:i/>
          <w:iCs/>
          <w:sz w:val="22"/>
          <w:lang w:val="hu-HU"/>
        </w:rPr>
        <w:t>platelet derived growth factor receptor</w:t>
      </w:r>
      <w:r w:rsidRPr="00F567BF">
        <w:rPr>
          <w:sz w:val="22"/>
          <w:lang w:val="hu-HU"/>
        </w:rPr>
        <w:t>) génátrendeződéssel társuló myelodysplasiás/myeloproliferatív betegségben (MDS/MPD) szenvedő felnőtt</w:t>
      </w:r>
      <w:r w:rsidR="00FF19B4">
        <w:rPr>
          <w:sz w:val="22"/>
          <w:lang w:val="hu-HU"/>
        </w:rPr>
        <w:t>ek</w:t>
      </w:r>
      <w:r w:rsidRPr="00F567BF">
        <w:rPr>
          <w:sz w:val="22"/>
          <w:lang w:val="hu-HU"/>
        </w:rPr>
        <w:t xml:space="preserve"> kezelés</w:t>
      </w:r>
      <w:r w:rsidR="00A05972">
        <w:rPr>
          <w:sz w:val="22"/>
          <w:lang w:val="hu-HU"/>
        </w:rPr>
        <w:t>e</w:t>
      </w:r>
      <w:r w:rsidRPr="00F567BF">
        <w:rPr>
          <w:sz w:val="22"/>
          <w:lang w:val="hu-HU"/>
        </w:rPr>
        <w:t>.</w:t>
      </w:r>
    </w:p>
    <w:p w14:paraId="6F7195A2" w14:textId="77777777" w:rsidR="002A793D" w:rsidRPr="00F567BF" w:rsidRDefault="002A793D" w:rsidP="0097242A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 w:rsidRPr="00F567BF">
        <w:rPr>
          <w:sz w:val="22"/>
          <w:lang w:val="hu-HU"/>
        </w:rPr>
        <w:t>FIP1L1-PDGFR</w:t>
      </w:r>
      <w:r w:rsidR="00656AC1" w:rsidRPr="00F567BF">
        <w:rPr>
          <w:sz w:val="22"/>
          <w:lang w:val="hu-HU"/>
        </w:rPr>
        <w:t>-</w:t>
      </w:r>
      <w:r w:rsidR="00E90EF4" w:rsidRPr="00F567BF">
        <w:rPr>
          <w:sz w:val="22"/>
          <w:lang w:val="hu-HU"/>
        </w:rPr>
        <w:t>alfa</w:t>
      </w:r>
      <w:r w:rsidRPr="00F567BF">
        <w:rPr>
          <w:sz w:val="22"/>
          <w:lang w:val="hu-HU"/>
        </w:rPr>
        <w:t xml:space="preserve"> átrendeződéssel járó, előrehaladott hypereosinophilia szindrómában (HES) és/vagy krónikus eosin</w:t>
      </w:r>
      <w:r w:rsidR="00A05972">
        <w:rPr>
          <w:sz w:val="22"/>
          <w:lang w:val="hu-HU"/>
        </w:rPr>
        <w:t>o</w:t>
      </w:r>
      <w:r w:rsidRPr="00F567BF">
        <w:rPr>
          <w:sz w:val="22"/>
          <w:lang w:val="hu-HU"/>
        </w:rPr>
        <w:t>philiás leuk</w:t>
      </w:r>
      <w:r w:rsidR="00A05972">
        <w:rPr>
          <w:sz w:val="22"/>
          <w:lang w:val="hu-HU"/>
        </w:rPr>
        <w:t>ae</w:t>
      </w:r>
      <w:r w:rsidRPr="00F567BF">
        <w:rPr>
          <w:sz w:val="22"/>
          <w:lang w:val="hu-HU"/>
        </w:rPr>
        <w:t>miában (CEL) szenvedő felnőttek kezelése.</w:t>
      </w:r>
    </w:p>
    <w:p w14:paraId="7386534C" w14:textId="77777777" w:rsidR="002A793D" w:rsidRPr="00F567BF" w:rsidRDefault="002A793D" w:rsidP="00336482">
      <w:pPr>
        <w:spacing w:line="235" w:lineRule="exact"/>
        <w:rPr>
          <w:rFonts w:ascii="Times New Roman" w:eastAsia="Times New Roman" w:hAnsi="Times New Roman"/>
        </w:rPr>
      </w:pPr>
    </w:p>
    <w:p w14:paraId="033676BC" w14:textId="77777777" w:rsidR="002A793D" w:rsidRPr="00F567BF" w:rsidRDefault="007E56BA" w:rsidP="00336482">
      <w:pPr>
        <w:spacing w:line="239" w:lineRule="auto"/>
        <w:ind w:left="1"/>
        <w:rPr>
          <w:rFonts w:ascii="Times New Roman" w:eastAsia="Times New Roman" w:hAnsi="Times New Roman"/>
          <w:sz w:val="22"/>
        </w:rPr>
      </w:pPr>
      <w:r w:rsidRPr="007E56BA">
        <w:rPr>
          <w:rFonts w:ascii="Times New Roman" w:eastAsia="Times New Roman" w:hAnsi="Times New Roman"/>
          <w:sz w:val="22"/>
        </w:rPr>
        <w:t>A Latib</w:t>
      </w:r>
      <w:r w:rsidR="002A793D" w:rsidRPr="00F567BF">
        <w:rPr>
          <w:rFonts w:ascii="Times New Roman" w:eastAsia="Times New Roman" w:hAnsi="Times New Roman"/>
          <w:sz w:val="22"/>
        </w:rPr>
        <w:t xml:space="preserve"> hatása a csontvelő-transzplantáció kimenetelére még </w:t>
      </w:r>
      <w:r w:rsidR="001366C7" w:rsidRPr="005965E0">
        <w:rPr>
          <w:rFonts w:ascii="Times New Roman" w:eastAsia="Times New Roman" w:hAnsi="Times New Roman"/>
          <w:sz w:val="22"/>
        </w:rPr>
        <w:t>nem tisztázott</w:t>
      </w:r>
      <w:r w:rsidR="002A793D" w:rsidRPr="00F567BF">
        <w:rPr>
          <w:rFonts w:ascii="Times New Roman" w:eastAsia="Times New Roman" w:hAnsi="Times New Roman"/>
          <w:sz w:val="22"/>
        </w:rPr>
        <w:t>.</w:t>
      </w:r>
    </w:p>
    <w:p w14:paraId="5B75C1F8" w14:textId="77777777" w:rsidR="002A793D" w:rsidRPr="00F567BF" w:rsidRDefault="002A793D" w:rsidP="00336482">
      <w:pPr>
        <w:spacing w:line="234" w:lineRule="exact"/>
        <w:rPr>
          <w:rFonts w:ascii="Times New Roman" w:eastAsia="Times New Roman" w:hAnsi="Times New Roman"/>
        </w:rPr>
      </w:pPr>
    </w:p>
    <w:p w14:paraId="4F9F1F5C" w14:textId="06CDC422" w:rsidR="002A793D" w:rsidRDefault="00E13C63" w:rsidP="00336482">
      <w:pPr>
        <w:spacing w:line="239" w:lineRule="auto"/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Latib</w:t>
      </w:r>
      <w:r w:rsidR="002A793D" w:rsidRPr="00F567BF">
        <w:rPr>
          <w:rFonts w:ascii="Times New Roman" w:eastAsia="Times New Roman" w:hAnsi="Times New Roman"/>
          <w:sz w:val="22"/>
        </w:rPr>
        <w:t xml:space="preserve"> alkalmazása javallott</w:t>
      </w:r>
      <w:r w:rsidR="003D1208">
        <w:rPr>
          <w:rFonts w:ascii="Times New Roman" w:eastAsia="Times New Roman" w:hAnsi="Times New Roman"/>
          <w:sz w:val="22"/>
        </w:rPr>
        <w:t>:</w:t>
      </w:r>
    </w:p>
    <w:p w14:paraId="2682FC37" w14:textId="6884EBC8" w:rsidR="00037F83" w:rsidRDefault="00037F83" w:rsidP="00037F83">
      <w:pPr>
        <w:numPr>
          <w:ilvl w:val="0"/>
          <w:numId w:val="369"/>
        </w:numPr>
        <w:spacing w:line="236" w:lineRule="auto"/>
        <w:ind w:left="567" w:right="1382" w:hanging="567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felnőttek </w:t>
      </w:r>
      <w:r w:rsidR="00EA2E94">
        <w:rPr>
          <w:rFonts w:ascii="Times New Roman" w:eastAsia="Times New Roman" w:hAnsi="Times New Roman"/>
          <w:sz w:val="22"/>
        </w:rPr>
        <w:t xml:space="preserve">esetén </w:t>
      </w:r>
      <w:r>
        <w:rPr>
          <w:rFonts w:ascii="Times New Roman" w:eastAsia="Times New Roman" w:hAnsi="Times New Roman"/>
          <w:sz w:val="22"/>
        </w:rPr>
        <w:t>Kit</w:t>
      </w:r>
      <w:r w:rsidR="00EA2E94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 (CD117</w:t>
      </w:r>
      <w:r w:rsidR="000C291E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) pozitív, nem reszekábilis és/vagy metasztatikus malignus gastrointestinalis stromalis </w:t>
      </w:r>
      <w:r w:rsidR="0013212E">
        <w:rPr>
          <w:rFonts w:ascii="Times New Roman" w:eastAsia="Times New Roman" w:hAnsi="Times New Roman"/>
          <w:sz w:val="22"/>
        </w:rPr>
        <w:t xml:space="preserve">tumor </w:t>
      </w:r>
      <w:r>
        <w:rPr>
          <w:rFonts w:ascii="Times New Roman" w:eastAsia="Times New Roman" w:hAnsi="Times New Roman"/>
          <w:sz w:val="22"/>
        </w:rPr>
        <w:t>(GIST) kezelésére.</w:t>
      </w:r>
    </w:p>
    <w:p w14:paraId="0A12A41F" w14:textId="77777777" w:rsidR="00037F83" w:rsidRDefault="00037F83" w:rsidP="00037F83">
      <w:pPr>
        <w:spacing w:line="27" w:lineRule="exact"/>
        <w:ind w:left="567" w:hanging="567"/>
        <w:rPr>
          <w:rFonts w:ascii="Times New Roman" w:eastAsia="Times New Roman" w:hAnsi="Times New Roman"/>
        </w:rPr>
      </w:pPr>
    </w:p>
    <w:p w14:paraId="082F0073" w14:textId="38AC6B53" w:rsidR="00037F83" w:rsidRDefault="00037F83" w:rsidP="00037F83">
      <w:pPr>
        <w:numPr>
          <w:ilvl w:val="0"/>
          <w:numId w:val="369"/>
        </w:numPr>
        <w:spacing w:line="239" w:lineRule="auto"/>
        <w:ind w:left="567" w:right="2" w:hanging="567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olyan felnőtt betegek </w:t>
      </w:r>
      <w:r w:rsidR="00221DEC">
        <w:rPr>
          <w:rFonts w:ascii="Times New Roman" w:eastAsia="Times New Roman" w:hAnsi="Times New Roman"/>
          <w:sz w:val="22"/>
        </w:rPr>
        <w:t xml:space="preserve">adjuváns kezelésére a </w:t>
      </w:r>
      <w:r>
        <w:rPr>
          <w:rFonts w:ascii="Times New Roman" w:eastAsia="Times New Roman" w:hAnsi="Times New Roman"/>
          <w:sz w:val="22"/>
        </w:rPr>
        <w:t>Kit (CD117</w:t>
      </w:r>
      <w:r w:rsidR="000C291E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) pozitív gastrointestinalis stromalis </w:t>
      </w:r>
      <w:r w:rsidR="00221DEC">
        <w:rPr>
          <w:rFonts w:ascii="Times New Roman" w:eastAsia="Times New Roman" w:hAnsi="Times New Roman"/>
          <w:sz w:val="22"/>
        </w:rPr>
        <w:t xml:space="preserve">tumor </w:t>
      </w:r>
      <w:r>
        <w:rPr>
          <w:rFonts w:ascii="Times New Roman" w:eastAsia="Times New Roman" w:hAnsi="Times New Roman"/>
          <w:sz w:val="22"/>
        </w:rPr>
        <w:t>(GIST) reszekcióját követő</w:t>
      </w:r>
      <w:r w:rsidR="0083771B">
        <w:rPr>
          <w:rFonts w:ascii="Times New Roman" w:eastAsia="Times New Roman" w:hAnsi="Times New Roman"/>
          <w:sz w:val="22"/>
        </w:rPr>
        <w:t>en</w:t>
      </w:r>
      <w:r>
        <w:rPr>
          <w:rFonts w:ascii="Times New Roman" w:eastAsia="Times New Roman" w:hAnsi="Times New Roman"/>
          <w:sz w:val="22"/>
        </w:rPr>
        <w:t>, akiknél jelentős a relapszus kockázata. Nem kaphatnak adjuváns kezelést azok a betegek, akiknél a kiújulás kockázata alacsony vagy nagyon alacsony.</w:t>
      </w:r>
    </w:p>
    <w:p w14:paraId="0E30DE53" w14:textId="494FB1E0" w:rsidR="00336482" w:rsidRPr="00F567BF" w:rsidRDefault="002A793D" w:rsidP="008B630E">
      <w:pPr>
        <w:pStyle w:val="NormlWeb"/>
        <w:numPr>
          <w:ilvl w:val="0"/>
          <w:numId w:val="366"/>
        </w:numPr>
        <w:tabs>
          <w:tab w:val="num" w:pos="567"/>
        </w:tabs>
        <w:spacing w:before="0" w:beforeAutospacing="0" w:after="0" w:afterAutospacing="0"/>
        <w:ind w:left="567" w:hanging="567"/>
        <w:rPr>
          <w:sz w:val="22"/>
          <w:lang w:val="hu-HU"/>
        </w:rPr>
      </w:pPr>
      <w:r w:rsidRPr="00F567BF">
        <w:rPr>
          <w:sz w:val="22"/>
          <w:lang w:val="hu-HU"/>
        </w:rPr>
        <w:t>nem</w:t>
      </w:r>
      <w:r w:rsidR="007303AA">
        <w:rPr>
          <w:sz w:val="22"/>
          <w:lang w:val="hu-HU"/>
        </w:rPr>
        <w:t xml:space="preserve"> </w:t>
      </w:r>
      <w:r w:rsidRPr="00F567BF">
        <w:rPr>
          <w:sz w:val="22"/>
          <w:lang w:val="hu-HU"/>
        </w:rPr>
        <w:t>re</w:t>
      </w:r>
      <w:r w:rsidR="003D27CF">
        <w:rPr>
          <w:sz w:val="22"/>
          <w:lang w:val="hu-HU"/>
        </w:rPr>
        <w:t>s</w:t>
      </w:r>
      <w:r w:rsidRPr="00F567BF">
        <w:rPr>
          <w:sz w:val="22"/>
          <w:lang w:val="hu-HU"/>
        </w:rPr>
        <w:t xml:space="preserve">zekábilis dermatofibrosarcoma protuberans (DFSP), valamint </w:t>
      </w:r>
      <w:r w:rsidR="002C4206">
        <w:rPr>
          <w:sz w:val="22"/>
          <w:lang w:val="hu-HU"/>
        </w:rPr>
        <w:t>relabáló</w:t>
      </w:r>
      <w:r w:rsidR="002C4206" w:rsidRPr="00F567BF">
        <w:rPr>
          <w:sz w:val="22"/>
          <w:lang w:val="hu-HU"/>
        </w:rPr>
        <w:t xml:space="preserve"> </w:t>
      </w:r>
      <w:r w:rsidRPr="00F567BF">
        <w:rPr>
          <w:sz w:val="22"/>
          <w:lang w:val="hu-HU"/>
        </w:rPr>
        <w:t>és/vagy metasztatikus DFSP-ben szenvedő, műtétre nem alkalmas felnőtt betegek kezelés</w:t>
      </w:r>
      <w:r w:rsidR="00A05972">
        <w:rPr>
          <w:sz w:val="22"/>
          <w:lang w:val="hu-HU"/>
        </w:rPr>
        <w:t>e</w:t>
      </w:r>
      <w:r w:rsidRPr="00F567BF">
        <w:rPr>
          <w:sz w:val="22"/>
          <w:lang w:val="hu-HU"/>
        </w:rPr>
        <w:t>.</w:t>
      </w:r>
      <w:bookmarkStart w:id="1" w:name="page37"/>
      <w:bookmarkEnd w:id="1"/>
    </w:p>
    <w:p w14:paraId="03CDBF84" w14:textId="77777777" w:rsidR="00336482" w:rsidRPr="00F567BF" w:rsidRDefault="00336482" w:rsidP="007303AA">
      <w:pPr>
        <w:pStyle w:val="Listaszerbekezds"/>
        <w:ind w:left="0"/>
        <w:rPr>
          <w:rFonts w:ascii="Times New Roman" w:eastAsia="Times New Roman" w:hAnsi="Times New Roman"/>
          <w:sz w:val="22"/>
        </w:rPr>
      </w:pPr>
    </w:p>
    <w:p w14:paraId="0738E89F" w14:textId="3A8DF733" w:rsidR="002A793D" w:rsidRPr="00F567BF" w:rsidRDefault="002A793D" w:rsidP="00850244">
      <w:pPr>
        <w:tabs>
          <w:tab w:val="left" w:pos="561"/>
        </w:tabs>
        <w:spacing w:line="223" w:lineRule="auto"/>
        <w:ind w:right="9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Felnőtt</w:t>
      </w:r>
      <w:r w:rsidR="00577D6A">
        <w:rPr>
          <w:rFonts w:ascii="Times New Roman" w:eastAsia="Times New Roman" w:hAnsi="Times New Roman" w:cs="Times New Roman"/>
          <w:sz w:val="22"/>
          <w:szCs w:val="22"/>
        </w:rPr>
        <w:t xml:space="preserve"> és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gyermek</w:t>
      </w:r>
      <w:r w:rsidR="00A05972">
        <w:rPr>
          <w:rFonts w:ascii="Times New Roman" w:eastAsia="Times New Roman" w:hAnsi="Times New Roman" w:cs="Times New Roman"/>
          <w:sz w:val="22"/>
          <w:szCs w:val="22"/>
        </w:rPr>
        <w:t>, illetve serdülő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betegek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63D59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hat</w:t>
      </w:r>
      <w:r w:rsidR="00726443">
        <w:rPr>
          <w:rFonts w:ascii="Times New Roman" w:eastAsia="Times New Roman" w:hAnsi="Times New Roman" w:cs="Times New Roman"/>
          <w:sz w:val="22"/>
          <w:szCs w:val="22"/>
        </w:rPr>
        <w:t>ásos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ságát </w:t>
      </w:r>
      <w:r w:rsidR="00266918">
        <w:rPr>
          <w:rFonts w:ascii="Times New Roman" w:eastAsia="Times New Roman" w:hAnsi="Times New Roman" w:cs="Times New Roman"/>
          <w:sz w:val="22"/>
          <w:szCs w:val="22"/>
        </w:rPr>
        <w:t xml:space="preserve">az alábbiak határozzák meg: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CML-ben a teljes hematológiai és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válaszarány és a progressziómentes túlélés, Ph+</w:t>
      </w:r>
      <w:r w:rsidR="00726443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ALL-ben és MDS/MPD-ben a hematológiai és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válaszarány, HES/CEL-ben a hematológiai válaszarány</w:t>
      </w:r>
      <w:r w:rsidR="00586CA8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32405" w:rsidRPr="00132405">
        <w:rPr>
          <w:rFonts w:ascii="Times New Roman" w:eastAsia="Times New Roman" w:hAnsi="Times New Roman" w:cs="Times New Roman"/>
          <w:sz w:val="22"/>
          <w:szCs w:val="22"/>
        </w:rPr>
        <w:t>nem</w:t>
      </w:r>
      <w:r w:rsidR="00FD344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32405" w:rsidRPr="00132405">
        <w:rPr>
          <w:rFonts w:ascii="Times New Roman" w:eastAsia="Times New Roman" w:hAnsi="Times New Roman" w:cs="Times New Roman"/>
          <w:sz w:val="22"/>
          <w:szCs w:val="22"/>
        </w:rPr>
        <w:t>re</w:t>
      </w:r>
      <w:r w:rsidR="004824AB">
        <w:rPr>
          <w:rFonts w:ascii="Times New Roman" w:eastAsia="Times New Roman" w:hAnsi="Times New Roman" w:cs="Times New Roman"/>
          <w:sz w:val="22"/>
          <w:szCs w:val="22"/>
        </w:rPr>
        <w:t>s</w:t>
      </w:r>
      <w:r w:rsidR="00132405" w:rsidRPr="00132405">
        <w:rPr>
          <w:rFonts w:ascii="Times New Roman" w:eastAsia="Times New Roman" w:hAnsi="Times New Roman" w:cs="Times New Roman"/>
          <w:sz w:val="22"/>
          <w:szCs w:val="22"/>
        </w:rPr>
        <w:t xml:space="preserve">zekábilis és/vagy metasztatikus </w:t>
      </w:r>
      <w:r w:rsidR="00037F83">
        <w:rPr>
          <w:rFonts w:ascii="Times New Roman" w:eastAsia="Times New Roman" w:hAnsi="Times New Roman" w:cs="Times New Roman"/>
          <w:sz w:val="22"/>
          <w:szCs w:val="22"/>
        </w:rPr>
        <w:t xml:space="preserve">GIST-ben és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DFSP-ben szenvedő felnőttek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az objektív válaszarány</w:t>
      </w:r>
      <w:r w:rsidR="00037F83">
        <w:rPr>
          <w:rFonts w:ascii="Times New Roman" w:eastAsia="Times New Roman" w:hAnsi="Times New Roman" w:cs="Times New Roman"/>
          <w:sz w:val="22"/>
          <w:szCs w:val="22"/>
        </w:rPr>
        <w:t>,</w:t>
      </w:r>
      <w:r w:rsidR="00037F83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37F83">
        <w:rPr>
          <w:rFonts w:ascii="Times New Roman" w:eastAsia="Times New Roman" w:hAnsi="Times New Roman"/>
          <w:sz w:val="22"/>
        </w:rPr>
        <w:t>a GIST adjuváns kezelésében pedig a kiújulásmentes túlélés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 PDGFR</w:t>
      </w:r>
      <w:r w:rsidR="006338F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génátrendeződéssel társuló MDS/MPD-ben szenvedő betegek </w:t>
      </w:r>
      <w:r w:rsidR="00D45631" w:rsidRPr="00F567BF">
        <w:rPr>
          <w:rFonts w:ascii="Times New Roman" w:eastAsia="Times New Roman" w:hAnsi="Times New Roman" w:cs="Times New Roman"/>
          <w:sz w:val="22"/>
          <w:szCs w:val="22"/>
        </w:rPr>
        <w:t>imatinib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kezelésére vonatkozóan nagyon korlátozott tapasztalat áll rendelkezésre (lásd 5.1</w:t>
      </w:r>
      <w:r w:rsidR="00CF3EF0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 Az újonnan diagnosztizált, krónikus fázisú CML kivételével nincsenek olyan kontroll</w:t>
      </w:r>
      <w:r w:rsidR="00CF3EF0">
        <w:rPr>
          <w:rFonts w:ascii="Times New Roman" w:eastAsia="Times New Roman" w:hAnsi="Times New Roman" w:cs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vizsgálatok, amelyek klinikai előnyt, vagy hosszabb túlélést igazolnának e betegségek bármelyikében.</w:t>
      </w:r>
    </w:p>
    <w:p w14:paraId="2D40E20C" w14:textId="77777777" w:rsidR="002A793D" w:rsidRPr="00F567BF" w:rsidRDefault="002A793D" w:rsidP="00247A41">
      <w:pPr>
        <w:spacing w:line="24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D2CA85F" w14:textId="77777777" w:rsidR="00FE083B" w:rsidRPr="00F567BF" w:rsidRDefault="00FE083B" w:rsidP="00247A41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4.2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Adagolás és alkalmazás</w:t>
      </w:r>
    </w:p>
    <w:p w14:paraId="25441F54" w14:textId="77777777" w:rsidR="002A793D" w:rsidRPr="00F567BF" w:rsidRDefault="002A793D" w:rsidP="00247A41">
      <w:pPr>
        <w:spacing w:line="24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17292B0" w14:textId="77777777" w:rsidR="0046061F" w:rsidRPr="00F567BF" w:rsidRDefault="0046061F" w:rsidP="00850244">
      <w:pPr>
        <w:tabs>
          <w:tab w:val="left" w:pos="8931"/>
        </w:tabs>
        <w:spacing w:line="229" w:lineRule="auto"/>
        <w:ind w:left="1" w:right="9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Adagolás</w:t>
      </w:r>
    </w:p>
    <w:p w14:paraId="6372341D" w14:textId="73513ADD" w:rsidR="002A793D" w:rsidRPr="00F567BF" w:rsidRDefault="002A793D" w:rsidP="00850244">
      <w:pPr>
        <w:tabs>
          <w:tab w:val="left" w:pos="8931"/>
        </w:tabs>
        <w:spacing w:line="229" w:lineRule="auto"/>
        <w:ind w:left="1" w:right="9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terápiát </w:t>
      </w:r>
      <w:r w:rsidR="00037F83">
        <w:rPr>
          <w:rFonts w:ascii="Times New Roman" w:eastAsia="Times New Roman" w:hAnsi="Times New Roman" w:cs="Times New Roman"/>
          <w:sz w:val="22"/>
        </w:rPr>
        <w:t>−</w:t>
      </w:r>
      <w:r w:rsidR="00037F83">
        <w:rPr>
          <w:rFonts w:ascii="Times New Roman" w:eastAsia="Times New Roman" w:hAnsi="Times New Roman"/>
          <w:sz w:val="22"/>
        </w:rPr>
        <w:t xml:space="preserve"> a betegségtől függően </w:t>
      </w:r>
      <w:r w:rsidR="00037F83">
        <w:rPr>
          <w:rFonts w:ascii="Times New Roman" w:eastAsia="Times New Roman" w:hAnsi="Times New Roman" w:cs="Times New Roman"/>
          <w:sz w:val="22"/>
        </w:rPr>
        <w:t>−</w:t>
      </w:r>
      <w:r w:rsidR="00037F83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 hematológiai malignitások</w:t>
      </w:r>
      <w:r w:rsidR="00A05972">
        <w:rPr>
          <w:rFonts w:ascii="Times New Roman" w:eastAsia="Times New Roman" w:hAnsi="Times New Roman" w:cs="Times New Roman"/>
          <w:sz w:val="22"/>
          <w:szCs w:val="22"/>
        </w:rPr>
        <w:t>, illetve 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malignus sarcomák kezelésében jártas orvosnak kell megkezdenie.</w:t>
      </w:r>
    </w:p>
    <w:p w14:paraId="2F4635FF" w14:textId="77777777" w:rsidR="00893055" w:rsidRPr="00F567BF" w:rsidRDefault="00893055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33923BF9" w14:textId="189743A5" w:rsidR="002A793D" w:rsidRPr="00F567BF" w:rsidRDefault="007D13D5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  <w:r w:rsidRPr="00D20ADB">
        <w:rPr>
          <w:rFonts w:ascii="Times New Roman" w:eastAsia="Times New Roman" w:hAnsi="Times New Roman" w:cs="Times New Roman"/>
          <w:sz w:val="22"/>
          <w:szCs w:val="22"/>
        </w:rPr>
        <w:t>Latib</w:t>
      </w:r>
      <w:r w:rsidR="00893055" w:rsidRPr="00D20ADB">
        <w:rPr>
          <w:rFonts w:ascii="Times New Roman" w:eastAsia="Times New Roman" w:hAnsi="Times New Roman" w:cs="Times New Roman"/>
          <w:sz w:val="22"/>
          <w:szCs w:val="22"/>
        </w:rPr>
        <w:t xml:space="preserve"> 400 mg kemény kapszula</w:t>
      </w:r>
      <w:r w:rsidR="00B0469B">
        <w:rPr>
          <w:rFonts w:ascii="Times New Roman" w:eastAsia="Times New Roman" w:hAnsi="Times New Roman" w:cs="Times New Roman"/>
          <w:sz w:val="22"/>
          <w:szCs w:val="22"/>
        </w:rPr>
        <w:t xml:space="preserve"> alkalmazása esetén</w:t>
      </w:r>
      <w:r w:rsidR="00893055" w:rsidRPr="00D20ADB">
        <w:rPr>
          <w:rFonts w:ascii="Times New Roman" w:eastAsia="Times New Roman" w:hAnsi="Times New Roman" w:cs="Times New Roman"/>
          <w:sz w:val="22"/>
          <w:szCs w:val="22"/>
        </w:rPr>
        <w:t>: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0469B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>400 mg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>-ostól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 xml:space="preserve"> és 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>800 mg-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>os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>tól eltérő adagok</w:t>
      </w:r>
      <w:r w:rsidR="00184B99">
        <w:rPr>
          <w:rFonts w:ascii="Times New Roman" w:eastAsia="Times New Roman" w:hAnsi="Times New Roman" w:cs="Times New Roman"/>
          <w:sz w:val="22"/>
          <w:szCs w:val="22"/>
        </w:rPr>
        <w:t xml:space="preserve"> biztosításá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>hoz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="003D1208">
        <w:rPr>
          <w:rFonts w:ascii="Times New Roman" w:eastAsia="Times New Roman" w:hAnsi="Times New Roman" w:cs="Times New Roman"/>
          <w:sz w:val="22"/>
          <w:szCs w:val="22"/>
        </w:rPr>
        <w:t xml:space="preserve">az </w:t>
      </w:r>
      <w:r w:rsidR="0000438E" w:rsidRPr="00D20ADB">
        <w:rPr>
          <w:rFonts w:ascii="Times New Roman" w:eastAsia="Times New Roman" w:hAnsi="Times New Roman" w:cs="Times New Roman"/>
          <w:sz w:val="22"/>
          <w:szCs w:val="22"/>
        </w:rPr>
        <w:t>ajánlott adagolást lásd lentebb) a 100 mg-os kapszula áll rendelkezésre</w:t>
      </w:r>
      <w:r w:rsidR="00893055" w:rsidRPr="00D20ADB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C138C1D" w14:textId="77777777" w:rsidR="00893055" w:rsidRPr="00F567BF" w:rsidRDefault="00893055" w:rsidP="00247A41">
      <w:pPr>
        <w:spacing w:line="242" w:lineRule="auto"/>
        <w:ind w:left="1" w:right="40"/>
        <w:rPr>
          <w:rFonts w:ascii="Times New Roman" w:eastAsia="Times New Roman" w:hAnsi="Times New Roman" w:cs="Times New Roman"/>
          <w:sz w:val="22"/>
          <w:szCs w:val="22"/>
        </w:rPr>
      </w:pPr>
    </w:p>
    <w:p w14:paraId="64F2E10A" w14:textId="7E0ACE3B" w:rsidR="0000438E" w:rsidRPr="00F567BF" w:rsidRDefault="002A793D" w:rsidP="00247A41">
      <w:pPr>
        <w:spacing w:line="242" w:lineRule="auto"/>
        <w:ind w:left="1" w:right="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400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mg-os és 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600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mg-os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t naponta egyszer, míg a 800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mg-os napi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3D27CF" w:rsidRPr="00F567BF">
        <w:rPr>
          <w:rFonts w:ascii="Times New Roman" w:eastAsia="Times New Roman" w:hAnsi="Times New Roman" w:cs="Times New Roman"/>
          <w:sz w:val="22"/>
          <w:szCs w:val="22"/>
        </w:rPr>
        <w:t xml:space="preserve">t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két részre elosztva</w:t>
      </w:r>
      <w:r w:rsidR="009F0746" w:rsidRPr="00F567BF">
        <w:rPr>
          <w:rFonts w:ascii="Times New Roman" w:eastAsia="Times New Roman" w:hAnsi="Times New Roman" w:cs="Times New Roman"/>
          <w:sz w:val="22"/>
          <w:szCs w:val="22"/>
        </w:rPr>
        <w:t xml:space="preserve"> (naponta 2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 </w:t>
      </w:r>
      <w:r w:rsidR="00E85228">
        <w:rPr>
          <w:rFonts w:ascii="Times New Roman" w:eastAsia="Times New Roman" w:hAnsi="Times New Roman" w:cs="Times New Roman"/>
          <w:sz w:val="22"/>
          <w:szCs w:val="22"/>
        </w:rPr>
        <w:t>×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 </w:t>
      </w:r>
      <w:r w:rsidR="009F0746" w:rsidRPr="00F567BF">
        <w:rPr>
          <w:rFonts w:ascii="Times New Roman" w:eastAsia="Times New Roman" w:hAnsi="Times New Roman" w:cs="Times New Roman"/>
          <w:sz w:val="22"/>
          <w:szCs w:val="22"/>
        </w:rPr>
        <w:t>400 mg formájában)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reggel és este kell bevenni.</w:t>
      </w:r>
    </w:p>
    <w:p w14:paraId="54B038CA" w14:textId="77777777" w:rsidR="0000438E" w:rsidRPr="00F567BF" w:rsidRDefault="0000438E" w:rsidP="00247A41">
      <w:pPr>
        <w:spacing w:line="242" w:lineRule="auto"/>
        <w:ind w:left="1" w:right="40"/>
        <w:rPr>
          <w:rFonts w:ascii="Times New Roman" w:eastAsia="Times New Roman" w:hAnsi="Times New Roman" w:cs="Times New Roman"/>
          <w:sz w:val="22"/>
          <w:szCs w:val="22"/>
        </w:rPr>
      </w:pPr>
    </w:p>
    <w:p w14:paraId="077F7667" w14:textId="13FEC642" w:rsidR="002A793D" w:rsidRPr="00F567BF" w:rsidRDefault="00FD3E76" w:rsidP="00247A41">
      <w:pPr>
        <w:spacing w:line="242" w:lineRule="auto"/>
        <w:ind w:left="1" w:right="4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Mivel a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z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állat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 xml:space="preserve">okkal végzett </w:t>
      </w:r>
      <w:r>
        <w:rPr>
          <w:rFonts w:ascii="Times New Roman" w:eastAsia="Times New Roman" w:hAnsi="Times New Roman" w:cs="Times New Roman"/>
          <w:sz w:val="22"/>
          <w:szCs w:val="22"/>
        </w:rPr>
        <w:t>vizsgálatok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reprodukció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toxicitás</w:t>
      </w:r>
      <w:r>
        <w:rPr>
          <w:rFonts w:ascii="Times New Roman" w:eastAsia="Times New Roman" w:hAnsi="Times New Roman" w:cs="Times New Roman"/>
          <w:sz w:val="22"/>
          <w:szCs w:val="22"/>
        </w:rPr>
        <w:t>t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 xml:space="preserve"> igazol</w:t>
      </w:r>
      <w:r>
        <w:rPr>
          <w:rFonts w:ascii="Times New Roman" w:eastAsia="Times New Roman" w:hAnsi="Times New Roman" w:cs="Times New Roman"/>
          <w:sz w:val="22"/>
          <w:szCs w:val="22"/>
        </w:rPr>
        <w:t>tak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D1701F" w:rsidRPr="00D1701F">
        <w:rPr>
          <w:rFonts w:ascii="Times New Roman" w:eastAsia="Times New Roman" w:hAnsi="Times New Roman" w:cs="Times New Roman"/>
          <w:sz w:val="22"/>
          <w:szCs w:val="22"/>
        </w:rPr>
        <w:t>és a humán magzatot érintő potenciális kockázat nem ismert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, a reproduktív korban lévő nők figyelmét fel kell arra hívni, hogy amennyiben ők nyitják fel a kapszulát, 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 xml:space="preserve">annak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tartalmá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t kellő óvatossággal kezeljék: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kerüljék annak bőrre</w:t>
      </w:r>
      <w:r w:rsidR="005461B1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szembe kerülését, illetve belégzését (lásd 4.6</w:t>
      </w:r>
      <w:r w:rsidR="00037F83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pont). A kapszul</w:t>
      </w:r>
      <w:r w:rsidR="00EA1EC5">
        <w:rPr>
          <w:rFonts w:ascii="Times New Roman" w:eastAsia="Times New Roman" w:hAnsi="Times New Roman" w:cs="Times New Roman"/>
          <w:sz w:val="22"/>
          <w:szCs w:val="22"/>
        </w:rPr>
        <w:t>a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felnyitása után azonnal kezet kell mosni.</w:t>
      </w:r>
    </w:p>
    <w:p w14:paraId="3FEDF8CD" w14:textId="77777777" w:rsidR="002A793D" w:rsidRPr="00F567BF" w:rsidRDefault="002A793D" w:rsidP="00247A41">
      <w:pPr>
        <w:spacing w:line="234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76EB0D5" w14:textId="77777777" w:rsidR="002A793D" w:rsidRPr="00F567BF" w:rsidRDefault="002A793D" w:rsidP="00247A41">
      <w:pPr>
        <w:spacing w:line="239" w:lineRule="auto"/>
        <w:ind w:left="1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CML-es felnőttek számára</w:t>
      </w:r>
    </w:p>
    <w:p w14:paraId="5C82A57B" w14:textId="15BCC98F" w:rsidR="00E13C63" w:rsidRPr="00F567BF" w:rsidRDefault="00E13C63" w:rsidP="00E13C63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krónikus fázisban levő CML-es felnőtt betegeknek </w:t>
      </w:r>
      <w:r w:rsid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400 mg/nap. A CML krónikus fázisa az alábbi kritériumok egyidejű </w:t>
      </w:r>
      <w:r w:rsidR="002B26D6">
        <w:rPr>
          <w:rFonts w:ascii="Times New Roman" w:eastAsia="Times New Roman" w:hAnsi="Times New Roman" w:cs="Times New Roman"/>
          <w:sz w:val="22"/>
          <w:szCs w:val="22"/>
        </w:rPr>
        <w:t>teljesülésekor</w:t>
      </w:r>
      <w:r w:rsidR="002B26D6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áll fenn: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blas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tsejtek </w:t>
      </w:r>
      <w:r w:rsidR="001247A9">
        <w:rPr>
          <w:rFonts w:ascii="Times New Roman" w:eastAsia="Times New Roman" w:hAnsi="Times New Roman" w:cs="Times New Roman"/>
          <w:sz w:val="22"/>
          <w:szCs w:val="22"/>
        </w:rPr>
        <w:t xml:space="preserve">aránya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&lt;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15% a vérben és a csontvelőben,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basophil sejtek </w:t>
      </w:r>
      <w:r w:rsidR="001247A9">
        <w:rPr>
          <w:rFonts w:ascii="Times New Roman" w:eastAsia="Times New Roman" w:hAnsi="Times New Roman" w:cs="Times New Roman"/>
          <w:sz w:val="22"/>
          <w:szCs w:val="22"/>
        </w:rPr>
        <w:t>aránya</w:t>
      </w:r>
      <w:r w:rsidR="001247A9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perifériás vérben 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20%,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thrombocytaszám: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&gt;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100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×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/l.</w:t>
      </w:r>
    </w:p>
    <w:p w14:paraId="1B13522D" w14:textId="77777777" w:rsidR="00E13C63" w:rsidRPr="00F567BF" w:rsidRDefault="00E13C63" w:rsidP="00E13C63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4F4450CD" w14:textId="100FDBB5" w:rsidR="00E13C63" w:rsidRPr="00F567BF" w:rsidRDefault="00E13C63" w:rsidP="00E13C63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B304EB">
        <w:rPr>
          <w:rFonts w:ascii="Times New Roman" w:eastAsia="Times New Roman" w:hAnsi="Times New Roman" w:cs="Times New Roman"/>
          <w:sz w:val="22"/>
          <w:szCs w:val="22"/>
        </w:rPr>
        <w:t xml:space="preserve">Akcelerált fázisban levő felnőtt betegeknek </w:t>
      </w:r>
      <w:r w:rsidR="007E56BA" w:rsidRPr="00B304EB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B304EB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B304EB">
        <w:rPr>
          <w:rFonts w:ascii="Times New Roman" w:eastAsia="Times New Roman" w:hAnsi="Times New Roman" w:cs="Times New Roman"/>
          <w:sz w:val="22"/>
          <w:szCs w:val="22"/>
        </w:rPr>
        <w:t>a 600 mg/nap. Akcelerált fázisról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beszélünk az alábbi kritériumok bármelyikének fennállásakor: blas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tsejtek </w:t>
      </w:r>
      <w:r w:rsidR="00007E2F">
        <w:rPr>
          <w:rFonts w:ascii="Times New Roman" w:eastAsia="Times New Roman" w:hAnsi="Times New Roman" w:cs="Times New Roman"/>
          <w:sz w:val="22"/>
          <w:szCs w:val="22"/>
        </w:rPr>
        <w:t>aránya</w:t>
      </w:r>
      <w:r w:rsidR="00007E2F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vérben vagy a csontvelőben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≥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15%, de 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30%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blas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tsejtek és promyelocyták együttes </w:t>
      </w:r>
      <w:r w:rsidR="00EF5470">
        <w:rPr>
          <w:rFonts w:ascii="Times New Roman" w:eastAsia="Times New Roman" w:hAnsi="Times New Roman" w:cs="Times New Roman"/>
          <w:sz w:val="22"/>
          <w:szCs w:val="22"/>
        </w:rPr>
        <w:t xml:space="preserve">aránya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vérben vagy a csontvelőben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≥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30% (feltéve, hogy a blas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tsejtek száma 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30%)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; 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basophil sejtek </w:t>
      </w:r>
      <w:r w:rsidR="00007E2F">
        <w:rPr>
          <w:rFonts w:ascii="Times New Roman" w:eastAsia="Times New Roman" w:hAnsi="Times New Roman" w:cs="Times New Roman"/>
          <w:sz w:val="22"/>
          <w:szCs w:val="22"/>
        </w:rPr>
        <w:t>aránya</w:t>
      </w:r>
      <w:r w:rsidR="00007E2F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perifériás vérképben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≥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20%,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thrombocytaszám 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100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×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/l a terápiától függetlenül.</w:t>
      </w:r>
    </w:p>
    <w:p w14:paraId="0ADCBB1E" w14:textId="77777777" w:rsidR="00E13C63" w:rsidRPr="00F567BF" w:rsidRDefault="00E13C63" w:rsidP="00E13C63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51031DED" w14:textId="4B6C770F" w:rsidR="002A793D" w:rsidRPr="00F567BF" w:rsidRDefault="002A793D" w:rsidP="00E13C63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Blasztos krízisben levő felnőtt betegeknek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 600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9F0746" w:rsidRPr="00F567BF">
        <w:rPr>
          <w:rFonts w:ascii="Times New Roman" w:eastAsia="Times New Roman" w:hAnsi="Times New Roman" w:cs="Times New Roman"/>
          <w:sz w:val="22"/>
          <w:szCs w:val="22"/>
        </w:rPr>
        <w:t xml:space="preserve">mg/nap. Blasztos krízisről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beszélünk, ha a </w:t>
      </w:r>
      <w:r w:rsidR="001D4763">
        <w:rPr>
          <w:rFonts w:ascii="Times New Roman" w:eastAsia="Times New Roman" w:hAnsi="Times New Roman" w:cs="Times New Roman"/>
          <w:sz w:val="22"/>
          <w:szCs w:val="22"/>
        </w:rPr>
        <w:t>blaszt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sejtek </w:t>
      </w:r>
      <w:r w:rsidR="008218AF">
        <w:rPr>
          <w:rFonts w:ascii="Times New Roman" w:eastAsia="Times New Roman" w:hAnsi="Times New Roman" w:cs="Times New Roman"/>
          <w:sz w:val="22"/>
          <w:szCs w:val="22"/>
        </w:rPr>
        <w:t>aránya</w:t>
      </w:r>
      <w:r w:rsidR="008218AF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vérben vagy a csontvelőben </w:t>
      </w:r>
      <w:r w:rsidR="002F201D">
        <w:rPr>
          <w:rFonts w:ascii="Times New Roman" w:eastAsia="Symbol" w:hAnsi="Times New Roman" w:cs="Times New Roman"/>
          <w:sz w:val="22"/>
          <w:szCs w:val="22"/>
        </w:rPr>
        <w:t>≥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30%, vagy hepatosplenomegalián kívül más extramedull</w:t>
      </w:r>
      <w:r w:rsidR="001D4763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ris betegség áll fenn.</w:t>
      </w:r>
    </w:p>
    <w:p w14:paraId="7F9FF77E" w14:textId="77777777" w:rsidR="002A793D" w:rsidRPr="00F567BF" w:rsidRDefault="002A793D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255062C" w14:textId="77777777" w:rsidR="0082140C" w:rsidRDefault="002A793D" w:rsidP="00247A41">
      <w:pPr>
        <w:spacing w:line="243" w:lineRule="auto"/>
        <w:ind w:left="1" w:right="1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kezelés időtartama:</w:t>
      </w:r>
    </w:p>
    <w:p w14:paraId="36E69A47" w14:textId="43EF39CD" w:rsidR="002A793D" w:rsidRPr="00F567BF" w:rsidRDefault="001D4763" w:rsidP="00247A41">
      <w:pPr>
        <w:spacing w:line="243" w:lineRule="auto"/>
        <w:ind w:left="1" w:right="14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linikai vizsgálatokban </w:t>
      </w:r>
      <w:r w:rsidR="009F0746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-kezelést a betegség progressziójáig folytatták. A teljes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 elérése után történő kezelésleállítás hatását nem </w:t>
      </w:r>
      <w:r w:rsidR="0082140C">
        <w:rPr>
          <w:rFonts w:ascii="Times New Roman" w:eastAsia="Times New Roman" w:hAnsi="Times New Roman" w:cs="Times New Roman"/>
          <w:sz w:val="22"/>
          <w:szCs w:val="22"/>
        </w:rPr>
        <w:t>vizsgál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ták.</w:t>
      </w:r>
    </w:p>
    <w:p w14:paraId="47B97939" w14:textId="77777777" w:rsidR="002A793D" w:rsidRPr="00F567BF" w:rsidRDefault="002A793D" w:rsidP="00247A41">
      <w:pPr>
        <w:spacing w:line="243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316C5AF9" w14:textId="7D172F0C" w:rsidR="002A793D" w:rsidRPr="00F567BF" w:rsidRDefault="00E13C63" w:rsidP="007E2C10">
      <w:pPr>
        <w:spacing w:line="241" w:lineRule="auto"/>
        <w:ind w:left="1" w:right="28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lastRenderedPageBreak/>
        <w:t>Krónikus fázisban lévő betegek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 xml:space="preserve"> 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400 mg-ról 600 mg-ra vagy 800 mg-ra</w:t>
      </w:r>
      <w:r w:rsidR="0010521D">
        <w:rPr>
          <w:rFonts w:ascii="Times New Roman" w:eastAsia="Times New Roman" w:hAnsi="Times New Roman" w:cs="Times New Roman"/>
          <w:sz w:val="22"/>
          <w:szCs w:val="22"/>
        </w:rPr>
        <w:t xml:space="preserve"> emelhető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akcelerált fázisban, ill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lasztos krízisben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pedig</w:t>
      </w:r>
      <w:r w:rsidR="009F0746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600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mg-ról a maximális 800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mg-ra (naponta 2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×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400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mg formájában)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 –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ha </w:t>
      </w:r>
      <w:r w:rsidR="00ED36CA">
        <w:rPr>
          <w:rFonts w:ascii="Times New Roman" w:eastAsia="Times New Roman" w:hAnsi="Times New Roman" w:cs="Times New Roman"/>
          <w:sz w:val="22"/>
          <w:szCs w:val="22"/>
        </w:rPr>
        <w:t>nincs</w:t>
      </w:r>
      <w:r w:rsidR="002B1466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súlyos mellékhatás, ill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etve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D36CA">
        <w:rPr>
          <w:rFonts w:ascii="Times New Roman" w:eastAsia="Times New Roman" w:hAnsi="Times New Roman" w:cs="Times New Roman"/>
          <w:sz w:val="22"/>
          <w:szCs w:val="22"/>
        </w:rPr>
        <w:t xml:space="preserve">nincs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súlyos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,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nem a leukaemiával összefüggő neutropenia vagy thrombocytopenia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 –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az alábbi esetekben: betegségprogresszió (bármikor); legalább 3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hónapos kezelés után sincs megfelelő hematológiai válasz; 12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hónapos kezelés után sincs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válasz; vagy a korábban elért hematológiai és/vagy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="007E2C10" w:rsidRPr="00F567BF">
        <w:rPr>
          <w:rFonts w:ascii="Times New Roman" w:eastAsia="Times New Roman" w:hAnsi="Times New Roman" w:cs="Times New Roman"/>
          <w:sz w:val="22"/>
          <w:szCs w:val="22"/>
        </w:rPr>
        <w:t>etikai válasz megszűn</w:t>
      </w:r>
      <w:r w:rsidR="00075D50">
        <w:rPr>
          <w:rFonts w:ascii="Times New Roman" w:eastAsia="Times New Roman" w:hAnsi="Times New Roman" w:cs="Times New Roman"/>
          <w:sz w:val="22"/>
          <w:szCs w:val="22"/>
        </w:rPr>
        <w:t>ik</w:t>
      </w:r>
      <w:r w:rsidR="007E2C10" w:rsidRPr="00F567B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Dózisemeléskor a betegek szoros monitorozása szükséges, mivel </w:t>
      </w:r>
      <w:r w:rsidR="00075D50">
        <w:rPr>
          <w:rFonts w:ascii="Times New Roman" w:eastAsia="Times New Roman" w:hAnsi="Times New Roman" w:cs="Times New Roman"/>
          <w:sz w:val="22"/>
          <w:szCs w:val="22"/>
        </w:rPr>
        <w:t>nagyobb</w:t>
      </w:r>
      <w:r w:rsidR="00075D50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dózisok</w:t>
      </w:r>
      <w:r w:rsidR="00075D50">
        <w:rPr>
          <w:rFonts w:ascii="Times New Roman" w:eastAsia="Times New Roman" w:hAnsi="Times New Roman" w:cs="Times New Roman"/>
          <w:sz w:val="22"/>
          <w:szCs w:val="22"/>
        </w:rPr>
        <w:t xml:space="preserve"> mellett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a mellékhatások előfordulásának kockázata fokozódik.</w:t>
      </w:r>
    </w:p>
    <w:p w14:paraId="24EABF13" w14:textId="77777777" w:rsidR="002A793D" w:rsidRPr="00F567BF" w:rsidRDefault="002A793D" w:rsidP="00247A41">
      <w:pPr>
        <w:spacing w:line="21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CB113B8" w14:textId="55779F34" w:rsidR="002A793D" w:rsidRPr="00F567BF" w:rsidRDefault="002A793D" w:rsidP="00247A41">
      <w:pPr>
        <w:spacing w:line="239" w:lineRule="auto"/>
        <w:ind w:left="1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Adagolás CML-es </w:t>
      </w:r>
      <w:r w:rsidRPr="00E601DD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gyermekek </w:t>
      </w:r>
      <w:r w:rsidR="003B6821" w:rsidRPr="00E601DD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és serdülők </w:t>
      </w:r>
      <w:r w:rsidRPr="00E601DD">
        <w:rPr>
          <w:rFonts w:ascii="Times New Roman" w:eastAsia="Times New Roman" w:hAnsi="Times New Roman" w:cs="Times New Roman"/>
          <w:sz w:val="22"/>
          <w:szCs w:val="22"/>
          <w:u w:val="single"/>
        </w:rPr>
        <w:t>számára</w:t>
      </w:r>
    </w:p>
    <w:p w14:paraId="104E4F31" w14:textId="77777777" w:rsidR="002A793D" w:rsidRPr="00F567BF" w:rsidRDefault="002A793D" w:rsidP="00247A41">
      <w:pPr>
        <w:spacing w:line="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740BA02" w14:textId="3273D396" w:rsidR="00B02C2F" w:rsidRPr="00F567BF" w:rsidRDefault="002A793D" w:rsidP="00B02C2F">
      <w:pPr>
        <w:ind w:right="102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Gyermekek </w:t>
      </w:r>
      <w:r w:rsidR="00C925FC">
        <w:rPr>
          <w:rFonts w:ascii="Times New Roman" w:eastAsia="Times New Roman" w:hAnsi="Times New Roman" w:cs="Times New Roman"/>
          <w:sz w:val="22"/>
          <w:szCs w:val="22"/>
        </w:rPr>
        <w:t xml:space="preserve">és serdülők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 a testfelszín (mg/m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) alapján számolandó. Gyermekek </w:t>
      </w:r>
      <w:r w:rsidR="00C925FC">
        <w:rPr>
          <w:rFonts w:ascii="Times New Roman" w:eastAsia="Times New Roman" w:hAnsi="Times New Roman" w:cs="Times New Roman"/>
          <w:sz w:val="22"/>
          <w:szCs w:val="22"/>
        </w:rPr>
        <w:t xml:space="preserve">és serdülők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krónikus, ill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előrehaladott fázisú CML-ében napi 340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3D27CF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javasolt (a teljes dózis nem haladhatja meg a 800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mg-ot). A kezelés napi egyszeri vagy alternatívaként a napi adag 2</w:t>
      </w:r>
      <w:r w:rsidR="00D4683D">
        <w:rPr>
          <w:rFonts w:ascii="Times New Roman" w:eastAsia="Times New Roman" w:hAnsi="Times New Roman" w:cs="Times New Roman"/>
          <w:sz w:val="22"/>
          <w:szCs w:val="22"/>
        </w:rPr>
        <w:t xml:space="preserve"> részre osztott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(reggeli és esti) bevételével történhet. Az adagolási javaslat jelenleg még kisszámú </w:t>
      </w:r>
      <w:r w:rsidR="00316942" w:rsidRPr="006E2FD1">
        <w:rPr>
          <w:rFonts w:ascii="Times New Roman" w:eastAsia="Times New Roman" w:hAnsi="Times New Roman" w:cs="Times New Roman"/>
          <w:sz w:val="22"/>
          <w:szCs w:val="22"/>
        </w:rPr>
        <w:t xml:space="preserve">gyermek </w:t>
      </w:r>
      <w:r w:rsidR="00C50AA6">
        <w:rPr>
          <w:rFonts w:ascii="Times New Roman" w:eastAsia="Times New Roman" w:hAnsi="Times New Roman" w:cs="Times New Roman"/>
          <w:sz w:val="22"/>
          <w:szCs w:val="22"/>
        </w:rPr>
        <w:t xml:space="preserve">és serdülő </w:t>
      </w:r>
      <w:r w:rsidR="00316942" w:rsidRPr="006E2FD1">
        <w:rPr>
          <w:rFonts w:ascii="Times New Roman" w:eastAsia="Times New Roman" w:hAnsi="Times New Roman" w:cs="Times New Roman"/>
          <w:sz w:val="22"/>
          <w:szCs w:val="22"/>
        </w:rPr>
        <w:t>beteg</w:t>
      </w:r>
      <w:r w:rsidR="00316942" w:rsidRPr="00316942">
        <w:rPr>
          <w:rFonts w:ascii="Times New Roman" w:eastAsia="Times New Roman" w:hAnsi="Times New Roman" w:cs="Times New Roman"/>
          <w:sz w:val="22"/>
          <w:szCs w:val="22"/>
          <w:lang w:val="cs-CZ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adatára támaszkodik (lásd 5.1 és 5.2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792CA2D5" w14:textId="77777777" w:rsidR="00F53B47" w:rsidRPr="00F567BF" w:rsidRDefault="002A793D" w:rsidP="00B02C2F">
      <w:pPr>
        <w:ind w:right="102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2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éves kor alatti gyermekek kezelésére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 xml:space="preserve"> vonatkozóan nincs tapasztalat.</w:t>
      </w:r>
      <w:bookmarkStart w:id="2" w:name="page38"/>
      <w:bookmarkEnd w:id="2"/>
    </w:p>
    <w:p w14:paraId="406FC9DA" w14:textId="77777777" w:rsidR="00F53B47" w:rsidRPr="00F567BF" w:rsidRDefault="00F53B47" w:rsidP="00B02C2F">
      <w:pPr>
        <w:ind w:right="102"/>
        <w:rPr>
          <w:rFonts w:ascii="Times New Roman" w:eastAsia="Times New Roman" w:hAnsi="Times New Roman" w:cs="Times New Roman"/>
          <w:sz w:val="22"/>
          <w:szCs w:val="22"/>
        </w:rPr>
      </w:pPr>
    </w:p>
    <w:p w14:paraId="1B9F8F6F" w14:textId="5B6FD03D" w:rsidR="002A793D" w:rsidRPr="00F567BF" w:rsidRDefault="002A793D" w:rsidP="00B02C2F">
      <w:pPr>
        <w:ind w:right="102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napi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340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</w:t>
      </w:r>
      <w:r w:rsidR="00985F89" w:rsidRPr="00F567BF">
        <w:rPr>
          <w:rFonts w:ascii="Times New Roman" w:eastAsia="Times New Roman" w:hAnsi="Times New Roman" w:cs="Times New Roman"/>
          <w:sz w:val="22"/>
          <w:szCs w:val="22"/>
        </w:rPr>
        <w:t>r</w:t>
      </w:r>
      <w:r w:rsidR="00985F89">
        <w:rPr>
          <w:rFonts w:ascii="Times New Roman" w:eastAsia="Times New Roman" w:hAnsi="Times New Roman" w:cs="Times New Roman"/>
          <w:sz w:val="22"/>
          <w:szCs w:val="22"/>
        </w:rPr>
        <w:t>ő</w:t>
      </w:r>
      <w:r w:rsidR="00985F89" w:rsidRPr="00F567BF">
        <w:rPr>
          <w:rFonts w:ascii="Times New Roman" w:eastAsia="Times New Roman" w:hAnsi="Times New Roman" w:cs="Times New Roman"/>
          <w:sz w:val="22"/>
          <w:szCs w:val="22"/>
        </w:rPr>
        <w:t xml:space="preserve">l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570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</w:t>
      </w:r>
      <w:r w:rsidR="00985F89" w:rsidRPr="00F567BF">
        <w:rPr>
          <w:rFonts w:ascii="Times New Roman" w:eastAsia="Times New Roman" w:hAnsi="Times New Roman" w:cs="Times New Roman"/>
          <w:sz w:val="22"/>
          <w:szCs w:val="22"/>
        </w:rPr>
        <w:t>r</w:t>
      </w:r>
      <w:r w:rsidR="00985F89">
        <w:rPr>
          <w:rFonts w:ascii="Times New Roman" w:eastAsia="Times New Roman" w:hAnsi="Times New Roman" w:cs="Times New Roman"/>
          <w:sz w:val="22"/>
          <w:szCs w:val="22"/>
        </w:rPr>
        <w:t>e</w:t>
      </w:r>
      <w:r w:rsidR="00EC16DF">
        <w:rPr>
          <w:rFonts w:ascii="Times New Roman" w:eastAsia="Times New Roman" w:hAnsi="Times New Roman" w:cs="Times New Roman"/>
          <w:sz w:val="22"/>
          <w:szCs w:val="22"/>
        </w:rPr>
        <w:t xml:space="preserve"> emelhető</w:t>
      </w:r>
      <w:r w:rsidR="00985F89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(a teljes dózis nem haladhatja meg a 800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mg-ot)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 –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ha nincs súlyos mellékhatás, ill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súlyos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nem a leukaemiával összefüggő neutropenia vagy thrombocytopenia 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–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az alábbi esetekben: betegségprogresszió (bármikor); legalább 3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hónapos kezelés után sincs megfelelő hematológiai válasz; 12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hónapos kezelés után sincs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válasz; vagy a korábban elért hematológiai és/vagy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 megszűn</w:t>
      </w:r>
      <w:r w:rsidR="00C55B71">
        <w:rPr>
          <w:rFonts w:ascii="Times New Roman" w:eastAsia="Times New Roman" w:hAnsi="Times New Roman" w:cs="Times New Roman"/>
          <w:sz w:val="22"/>
          <w:szCs w:val="22"/>
        </w:rPr>
        <w:t>ik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 Dózisemeléskor a betegek szoros monitorozása szükséges, mivel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925FC">
        <w:rPr>
          <w:rFonts w:ascii="Times New Roman" w:eastAsia="Times New Roman" w:hAnsi="Times New Roman" w:cs="Times New Roman"/>
          <w:sz w:val="22"/>
          <w:szCs w:val="22"/>
        </w:rPr>
        <w:t>nagyobb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dózisok</w:t>
      </w:r>
      <w:r w:rsidR="00C925FC">
        <w:rPr>
          <w:rFonts w:ascii="Times New Roman" w:eastAsia="Times New Roman" w:hAnsi="Times New Roman" w:cs="Times New Roman"/>
          <w:sz w:val="22"/>
          <w:szCs w:val="22"/>
        </w:rPr>
        <w:t xml:space="preserve"> mellett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 mellékhatások előfordulásának kockázata fokozódik.</w:t>
      </w:r>
    </w:p>
    <w:p w14:paraId="534E43A1" w14:textId="77777777" w:rsidR="002A793D" w:rsidRPr="00F567BF" w:rsidRDefault="002A793D" w:rsidP="00247A41">
      <w:pPr>
        <w:spacing w:line="23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C855B11" w14:textId="77777777" w:rsidR="002A793D" w:rsidRPr="00F567BF" w:rsidRDefault="002A793D" w:rsidP="00247A41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Ph+</w:t>
      </w:r>
      <w:r w:rsidR="00D02E23">
        <w:rPr>
          <w:rFonts w:ascii="Times New Roman" w:eastAsia="Times New Roman" w:hAnsi="Times New Roman" w:cs="Times New Roman"/>
          <w:sz w:val="22"/>
          <w:szCs w:val="22"/>
          <w:u w:val="single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ALL-es felnőtt betegek számára</w:t>
      </w:r>
    </w:p>
    <w:p w14:paraId="23038461" w14:textId="77777777" w:rsidR="002A793D" w:rsidRPr="00F567BF" w:rsidRDefault="002A793D" w:rsidP="00247A41">
      <w:pPr>
        <w:spacing w:line="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8FA319D" w14:textId="0F3E7C97" w:rsidR="002A793D" w:rsidRPr="00F567BF" w:rsidRDefault="002A793D" w:rsidP="00247A41">
      <w:pPr>
        <w:spacing w:line="230" w:lineRule="auto"/>
        <w:ind w:right="3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Ph</w:t>
      </w:r>
      <w:r w:rsidR="00D02E23">
        <w:rPr>
          <w:rFonts w:ascii="Times New Roman" w:eastAsia="Times New Roman" w:hAnsi="Times New Roman" w:cs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ALL-ben szenvedő felnőtt betegeknek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 600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mg/nap. A kezelést 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 xml:space="preserve">annak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minden fázis</w:t>
      </w:r>
      <w:r w:rsidR="00612427">
        <w:rPr>
          <w:rFonts w:ascii="Times New Roman" w:eastAsia="Times New Roman" w:hAnsi="Times New Roman" w:cs="Times New Roman"/>
          <w:sz w:val="22"/>
          <w:szCs w:val="22"/>
        </w:rPr>
        <w:t>á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ban az ezen kórkép kezelésében jártas hematológus szakorvos felügyelje.</w:t>
      </w:r>
    </w:p>
    <w:p w14:paraId="114E2C9B" w14:textId="77777777" w:rsidR="002A793D" w:rsidRPr="00F567BF" w:rsidRDefault="002A793D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F11DE3E" w14:textId="14CF59AD" w:rsidR="002A793D" w:rsidRPr="00F567BF" w:rsidRDefault="002A793D" w:rsidP="00247A41">
      <w:pPr>
        <w:spacing w:line="230" w:lineRule="auto"/>
        <w:ind w:right="3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Kezelési protokoll: a rendelkezésre álló adatok alapján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hat</w:t>
      </w:r>
      <w:r w:rsidR="00BD35B0">
        <w:rPr>
          <w:rFonts w:ascii="Times New Roman" w:eastAsia="Times New Roman" w:hAnsi="Times New Roman" w:cs="Times New Roman"/>
          <w:sz w:val="22"/>
          <w:szCs w:val="22"/>
        </w:rPr>
        <w:t>ásos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és biztonság</w:t>
      </w:r>
      <w:r w:rsidR="0044785E">
        <w:rPr>
          <w:rFonts w:ascii="Times New Roman" w:eastAsia="Times New Roman" w:hAnsi="Times New Roman" w:cs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újonnan diagnosztizált Ph</w:t>
      </w:r>
      <w:r w:rsidR="00BD35B0">
        <w:rPr>
          <w:rFonts w:ascii="Times New Roman" w:eastAsia="Times New Roman" w:hAnsi="Times New Roman" w:cs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ALL-es felnőtt betegekn</w:t>
      </w:r>
      <w:r w:rsidR="0044785E">
        <w:rPr>
          <w:rFonts w:ascii="Times New Roman" w:eastAsia="Times New Roman" w:hAnsi="Times New Roman" w:cs="Times New Roman"/>
          <w:sz w:val="22"/>
          <w:szCs w:val="22"/>
        </w:rPr>
        <w:t>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kemoterápiával egyidejűleg </w:t>
      </w:r>
      <w:r w:rsidR="0044785E">
        <w:rPr>
          <w:rFonts w:ascii="Times New Roman" w:eastAsia="Times New Roman" w:hAnsi="Times New Roman" w:cs="Times New Roman"/>
          <w:sz w:val="22"/>
          <w:szCs w:val="22"/>
        </w:rPr>
        <w:t xml:space="preserve">alkalmazva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 kemoterápia indukciós, konszolidációs és fenntartó fázisában (lásd 5.1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600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F0317D" w:rsidRPr="00F567BF">
        <w:rPr>
          <w:rFonts w:ascii="Times New Roman" w:eastAsia="Times New Roman" w:hAnsi="Times New Roman" w:cs="Times New Roman"/>
          <w:sz w:val="22"/>
          <w:szCs w:val="22"/>
        </w:rPr>
        <w:t xml:space="preserve">mg/nap </w:t>
      </w:r>
      <w:r w:rsidR="00502AF7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F0317D" w:rsidRPr="00F567BF">
        <w:rPr>
          <w:rFonts w:ascii="Times New Roman" w:eastAsia="Times New Roman" w:hAnsi="Times New Roman" w:cs="Times New Roman"/>
          <w:sz w:val="22"/>
          <w:szCs w:val="22"/>
        </w:rPr>
        <w:t xml:space="preserve">ban. </w:t>
      </w:r>
      <w:r w:rsidR="007E56BA">
        <w:rPr>
          <w:rFonts w:ascii="Times New Roman" w:eastAsia="Times New Roman" w:hAnsi="Times New Roman" w:cs="Times New Roman"/>
          <w:sz w:val="22"/>
          <w:szCs w:val="22"/>
        </w:rPr>
        <w:t>A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 xml:space="preserve">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 időtartama a választott kezelési program függvé</w:t>
      </w:r>
      <w:r w:rsidR="00F0317D" w:rsidRPr="00F567BF">
        <w:rPr>
          <w:rFonts w:ascii="Times New Roman" w:eastAsia="Times New Roman" w:hAnsi="Times New Roman" w:cs="Times New Roman"/>
          <w:sz w:val="22"/>
          <w:szCs w:val="22"/>
        </w:rPr>
        <w:t xml:space="preserve">nyében változhat, de a hosszabb 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imatin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 általában jobb eredményekkel járt.</w:t>
      </w:r>
    </w:p>
    <w:p w14:paraId="6B87E99B" w14:textId="77777777" w:rsidR="002A793D" w:rsidRPr="00F567BF" w:rsidRDefault="002A793D" w:rsidP="00247A41">
      <w:pPr>
        <w:spacing w:line="23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819CD87" w14:textId="71B004C2" w:rsidR="002A793D" w:rsidRPr="00F567BF" w:rsidRDefault="002C4206" w:rsidP="00F53B4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Relabáló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vagy refrakter Ph</w:t>
      </w:r>
      <w:r w:rsidR="00BD35B0">
        <w:rPr>
          <w:rFonts w:ascii="Times New Roman" w:eastAsia="Times New Roman" w:hAnsi="Times New Roman" w:cs="Times New Roman"/>
          <w:sz w:val="22"/>
          <w:szCs w:val="22"/>
        </w:rPr>
        <w:t>+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ALL-ben szenvedő felnőtt betege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 xml:space="preserve">k esetében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="007722E7">
        <w:rPr>
          <w:rFonts w:ascii="Times New Roman" w:eastAsia="Times New Roman" w:hAnsi="Times New Roman" w:cs="Times New Roman"/>
          <w:sz w:val="22"/>
          <w:szCs w:val="22"/>
        </w:rPr>
        <w:t>-</w:t>
      </w:r>
      <w:r w:rsidR="00F53B47" w:rsidRPr="00F567BF">
        <w:rPr>
          <w:rFonts w:ascii="Times New Roman" w:eastAsia="Times New Roman" w:hAnsi="Times New Roman" w:cs="Times New Roman"/>
          <w:sz w:val="22"/>
          <w:szCs w:val="22"/>
        </w:rPr>
        <w:t xml:space="preserve">monoterápia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600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mg/nap </w:t>
      </w:r>
      <w:r w:rsidR="00037F83">
        <w:rPr>
          <w:rFonts w:ascii="Times New Roman" w:eastAsia="Times New Roman" w:hAnsi="Times New Roman" w:cs="Times New Roman"/>
          <w:sz w:val="22"/>
          <w:szCs w:val="22"/>
        </w:rPr>
        <w:t>dózissal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biztonságos, </w:t>
      </w:r>
      <w:r w:rsidR="00D23FAA" w:rsidRPr="00D20ADB">
        <w:rPr>
          <w:rFonts w:ascii="Times New Roman" w:eastAsia="Times New Roman" w:hAnsi="Times New Roman" w:cs="Times New Roman"/>
          <w:sz w:val="22"/>
          <w:szCs w:val="22"/>
        </w:rPr>
        <w:t>hatásos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és a betegség progressziójáig alkalmazható.</w:t>
      </w:r>
    </w:p>
    <w:p w14:paraId="70EE955F" w14:textId="77777777" w:rsidR="002A793D" w:rsidRPr="00F567BF" w:rsidRDefault="002A793D" w:rsidP="00247A41">
      <w:pPr>
        <w:spacing w:line="25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BE55BD8" w14:textId="6AE28AB2" w:rsidR="002A793D" w:rsidRPr="00F567BF" w:rsidRDefault="002A793D" w:rsidP="00247A41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Ph</w:t>
      </w:r>
      <w:r w:rsidR="00D02E23">
        <w:rPr>
          <w:rFonts w:ascii="Times New Roman" w:eastAsia="Times New Roman" w:hAnsi="Times New Roman" w:cs="Times New Roman"/>
          <w:sz w:val="22"/>
          <w:szCs w:val="22"/>
          <w:u w:val="single"/>
        </w:rPr>
        <w:t>+ 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ALL-es gyermekek </w:t>
      </w:r>
      <w:r w:rsidR="007722E7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és serdülők 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számára</w:t>
      </w:r>
    </w:p>
    <w:p w14:paraId="79012A88" w14:textId="3699C9DD" w:rsidR="002A793D" w:rsidRPr="00F567BF" w:rsidRDefault="002A793D" w:rsidP="00247A41">
      <w:pPr>
        <w:spacing w:line="234" w:lineRule="auto"/>
        <w:ind w:right="52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Gyermekeknél </w:t>
      </w:r>
      <w:r w:rsidR="00157AEB">
        <w:rPr>
          <w:rFonts w:ascii="Times New Roman" w:eastAsia="Times New Roman" w:hAnsi="Times New Roman" w:cs="Times New Roman"/>
          <w:sz w:val="22"/>
          <w:szCs w:val="22"/>
        </w:rPr>
        <w:t xml:space="preserve">és serdülőknél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az adagolás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 testfelszín alapján kell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kiszámolni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). A Ph</w:t>
      </w:r>
      <w:r w:rsidR="00D02E23">
        <w:rPr>
          <w:rFonts w:ascii="Times New Roman" w:eastAsia="Times New Roman" w:hAnsi="Times New Roman" w:cs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ALL-ben szenvedő gyermekeknél </w:t>
      </w:r>
      <w:r w:rsidR="007722E7">
        <w:rPr>
          <w:rFonts w:ascii="Times New Roman" w:eastAsia="Times New Roman" w:hAnsi="Times New Roman" w:cs="Times New Roman"/>
          <w:sz w:val="22"/>
          <w:szCs w:val="22"/>
        </w:rPr>
        <w:t xml:space="preserve">és serdülőknél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napi 340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-es dózis javasolt (ami nem haladja meg a 600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mg-os összdózist).</w:t>
      </w:r>
    </w:p>
    <w:p w14:paraId="3CC9A508" w14:textId="77777777" w:rsidR="002A793D" w:rsidRPr="00F567BF" w:rsidRDefault="002A793D" w:rsidP="00247A41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ECD070A" w14:textId="77777777" w:rsidR="002A793D" w:rsidRPr="00F567BF" w:rsidRDefault="002A793D" w:rsidP="00247A41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MDS/MPD-ben</w:t>
      </w:r>
    </w:p>
    <w:p w14:paraId="3A93CA06" w14:textId="77777777" w:rsidR="002A793D" w:rsidRPr="00F567BF" w:rsidRDefault="002A793D" w:rsidP="00247A41">
      <w:pPr>
        <w:spacing w:line="233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MDS/MPD-ben szenvedő felnőtt betegeknek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3D27CF" w:rsidRPr="00F567BF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400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mg/nap.</w:t>
      </w:r>
    </w:p>
    <w:p w14:paraId="52BA1548" w14:textId="77777777" w:rsidR="002A793D" w:rsidRPr="00F567BF" w:rsidRDefault="002A793D" w:rsidP="00247A41">
      <w:pPr>
        <w:spacing w:line="24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7CF4179" w14:textId="451767FE" w:rsidR="002A793D" w:rsidRPr="00F567BF" w:rsidRDefault="002A793D" w:rsidP="00247A41">
      <w:pPr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kezelés időtartama:</w:t>
      </w:r>
      <w:r w:rsidR="00736DD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Az ez ideig elvégzett egyetlen klinikai vizsgálatban </w:t>
      </w:r>
      <w:r w:rsidR="00F0317D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-kezelést a betegség progressziójáig folytatták (lásd 5.1</w:t>
      </w:r>
      <w:r w:rsidR="00D23FA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pont). Az analízis időpontjában a kezelés </w:t>
      </w:r>
      <w:r w:rsidR="002C1FE7">
        <w:rPr>
          <w:rFonts w:ascii="Times New Roman" w:eastAsia="Times New Roman" w:hAnsi="Times New Roman" w:cs="Times New Roman"/>
          <w:sz w:val="22"/>
          <w:szCs w:val="22"/>
        </w:rPr>
        <w:t xml:space="preserve">medián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időtartam</w:t>
      </w:r>
      <w:r w:rsidR="002C1FE7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47</w:t>
      </w:r>
      <w:r w:rsidR="00D23FA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 (24</w:t>
      </w:r>
      <w:r w:rsidR="00D23FA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nap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 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−</w:t>
      </w:r>
      <w:r w:rsidR="009D0E2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60</w:t>
      </w:r>
      <w:r w:rsidR="00D23FA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hónap) volt.</w:t>
      </w:r>
    </w:p>
    <w:p w14:paraId="750FA262" w14:textId="77777777" w:rsidR="002A793D" w:rsidRPr="00F567BF" w:rsidRDefault="002A793D" w:rsidP="00247A41">
      <w:pPr>
        <w:spacing w:line="23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3D58B3A" w14:textId="77777777" w:rsidR="002A793D" w:rsidRPr="00F567BF" w:rsidRDefault="002A793D" w:rsidP="00247A41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HES/CEL-ben</w:t>
      </w:r>
    </w:p>
    <w:p w14:paraId="624B1333" w14:textId="77777777" w:rsidR="002A793D" w:rsidRPr="00F567BF" w:rsidRDefault="002A793D" w:rsidP="00247A41">
      <w:pPr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HES/CEL-ben szenvedő felnőtt betegeknek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100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mg/nap.</w:t>
      </w:r>
    </w:p>
    <w:p w14:paraId="752C715A" w14:textId="77777777" w:rsidR="002A793D" w:rsidRPr="00F567BF" w:rsidRDefault="002A793D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5058421" w14:textId="5531105F" w:rsidR="002A793D" w:rsidRPr="00F567BF" w:rsidRDefault="002A793D" w:rsidP="00247A41">
      <w:pPr>
        <w:spacing w:line="230" w:lineRule="auto"/>
        <w:ind w:right="36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Amennyiben a</w:t>
      </w:r>
      <w:r w:rsidR="006637B6">
        <w:rPr>
          <w:rFonts w:ascii="Times New Roman" w:eastAsia="Times New Roman" w:hAnsi="Times New Roman" w:cs="Times New Roman"/>
          <w:sz w:val="22"/>
          <w:szCs w:val="22"/>
        </w:rPr>
        <w:t xml:space="preserve"> vizsgálati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eredmények a terápiás válasz elégtelenségét mutatj</w:t>
      </w:r>
      <w:r w:rsidR="006637B6">
        <w:rPr>
          <w:rFonts w:ascii="Times New Roman" w:eastAsia="Times New Roman" w:hAnsi="Times New Roman" w:cs="Times New Roman"/>
          <w:sz w:val="22"/>
          <w:szCs w:val="22"/>
        </w:rPr>
        <w:t>ák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55257A">
        <w:rPr>
          <w:rFonts w:ascii="Times New Roman" w:eastAsia="Times New Roman" w:hAnsi="Times New Roman" w:cs="Times New Roman"/>
          <w:sz w:val="22"/>
          <w:szCs w:val="22"/>
        </w:rPr>
        <w:t xml:space="preserve">és nincsenek jelen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gyógyszermellékhatások</w:t>
      </w:r>
      <w:r w:rsidR="0055257A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megfontolható az adag 100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mg-ról 400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mg-ra történő emelése.</w:t>
      </w:r>
    </w:p>
    <w:p w14:paraId="7FAAB855" w14:textId="77777777" w:rsidR="002A793D" w:rsidRPr="00F567BF" w:rsidRDefault="002A793D" w:rsidP="00247A41">
      <w:pPr>
        <w:spacing w:line="239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kezelést mindaddig folytatni kell, amíg az a beteg számára előnyös.</w:t>
      </w:r>
    </w:p>
    <w:p w14:paraId="536E869F" w14:textId="77777777" w:rsidR="002A793D" w:rsidRPr="00F567BF" w:rsidRDefault="002A793D" w:rsidP="00247A41">
      <w:pPr>
        <w:spacing w:line="23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22F5169" w14:textId="564DFFFA" w:rsidR="00D42B2E" w:rsidRDefault="00D42B2E" w:rsidP="00800EB7">
      <w:pPr>
        <w:keepNext/>
        <w:spacing w:line="0" w:lineRule="atLeast"/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eastAsia="Times New Roman" w:hAnsi="Times New Roman"/>
          <w:sz w:val="22"/>
          <w:u w:val="single"/>
        </w:rPr>
        <w:lastRenderedPageBreak/>
        <w:t>Adagolás GIST-ben</w:t>
      </w:r>
    </w:p>
    <w:p w14:paraId="7C530634" w14:textId="77777777" w:rsidR="00D42B2E" w:rsidRDefault="00D42B2E" w:rsidP="00800EB7">
      <w:pPr>
        <w:keepNext/>
        <w:spacing w:line="7" w:lineRule="exact"/>
        <w:rPr>
          <w:rFonts w:ascii="Times New Roman" w:eastAsia="Times New Roman" w:hAnsi="Times New Roman"/>
        </w:rPr>
      </w:pPr>
    </w:p>
    <w:p w14:paraId="1821E9A9" w14:textId="0961F024" w:rsidR="00D42B2E" w:rsidRDefault="00D42B2E" w:rsidP="00800EB7">
      <w:pPr>
        <w:keepNext/>
        <w:spacing w:line="235" w:lineRule="auto"/>
        <w:ind w:right="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Nem </w:t>
      </w:r>
      <w:r w:rsidR="00C6645D">
        <w:rPr>
          <w:rFonts w:ascii="Times New Roman" w:eastAsia="Times New Roman" w:hAnsi="Times New Roman"/>
          <w:sz w:val="22"/>
        </w:rPr>
        <w:t>reszekábilis</w:t>
      </w:r>
      <w:r>
        <w:rPr>
          <w:rFonts w:ascii="Times New Roman" w:eastAsia="Times New Roman" w:hAnsi="Times New Roman"/>
          <w:sz w:val="22"/>
        </w:rPr>
        <w:t xml:space="preserve"> és/vagy metasztatikus malignus GIST-ben szenvedő felnőtt betegek kezelésére az imatinib ajánlott napi dózisa 400 mg.</w:t>
      </w:r>
    </w:p>
    <w:p w14:paraId="680DBA1B" w14:textId="77777777" w:rsidR="00D42B2E" w:rsidRPr="00531C10" w:rsidRDefault="00D42B2E" w:rsidP="00D42B2E">
      <w:pPr>
        <w:spacing w:line="261" w:lineRule="exact"/>
        <w:rPr>
          <w:rFonts w:ascii="Times New Roman" w:eastAsia="Times New Roman" w:hAnsi="Times New Roman"/>
          <w:sz w:val="22"/>
          <w:szCs w:val="22"/>
        </w:rPr>
      </w:pPr>
    </w:p>
    <w:p w14:paraId="71A9831C" w14:textId="77777777" w:rsidR="00D42B2E" w:rsidRDefault="00D42B2E" w:rsidP="00D42B2E">
      <w:pPr>
        <w:spacing w:line="235" w:lineRule="auto"/>
        <w:ind w:right="8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Kevés adat áll rendelkezése olyan betegekről, akiknek a dózisát 400 mg-ról 600 mg-ra vagy 800 mg-ra emelték a kisebb dózis mellett észlelt progresszió miatt (lásd 5.1 pont).</w:t>
      </w:r>
    </w:p>
    <w:p w14:paraId="0F17B931" w14:textId="77777777" w:rsidR="00D42B2E" w:rsidRPr="00531C10" w:rsidRDefault="00D42B2E" w:rsidP="00D42B2E">
      <w:pPr>
        <w:spacing w:line="268" w:lineRule="exact"/>
        <w:rPr>
          <w:rFonts w:ascii="Times New Roman" w:eastAsia="Times New Roman" w:hAnsi="Times New Roman"/>
          <w:sz w:val="22"/>
          <w:szCs w:val="22"/>
        </w:rPr>
      </w:pPr>
    </w:p>
    <w:p w14:paraId="2EEBB2F9" w14:textId="77777777" w:rsidR="00B111CA" w:rsidRDefault="00D42B2E" w:rsidP="00D42B2E">
      <w:pPr>
        <w:spacing w:line="237" w:lineRule="auto"/>
        <w:ind w:right="2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 kezelés időtartama:</w:t>
      </w:r>
    </w:p>
    <w:p w14:paraId="1C28558F" w14:textId="1C6DB055" w:rsidR="00D42B2E" w:rsidRDefault="00D42B2E" w:rsidP="00D42B2E">
      <w:pPr>
        <w:spacing w:line="237" w:lineRule="auto"/>
        <w:ind w:right="2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GIST</w:t>
      </w:r>
      <w:r w:rsidR="005F43C0">
        <w:rPr>
          <w:rFonts w:ascii="Times New Roman" w:eastAsia="Times New Roman" w:hAnsi="Times New Roman"/>
          <w:sz w:val="22"/>
        </w:rPr>
        <w:t>-ben szenvedő</w:t>
      </w:r>
      <w:r>
        <w:rPr>
          <w:rFonts w:ascii="Times New Roman" w:eastAsia="Times New Roman" w:hAnsi="Times New Roman"/>
          <w:sz w:val="22"/>
        </w:rPr>
        <w:t xml:space="preserve"> betegek klinikai vizsgálataiban az imatinib-kezelés a betegség progressziójáig tartott. A kiértékelés idején a kezelés medián id</w:t>
      </w:r>
      <w:r w:rsidR="00C6645D">
        <w:rPr>
          <w:rFonts w:ascii="Times New Roman" w:eastAsia="Times New Roman" w:hAnsi="Times New Roman"/>
          <w:sz w:val="22"/>
        </w:rPr>
        <w:t>őtartama</w:t>
      </w:r>
      <w:r>
        <w:rPr>
          <w:rFonts w:ascii="Times New Roman" w:eastAsia="Times New Roman" w:hAnsi="Times New Roman"/>
          <w:sz w:val="22"/>
        </w:rPr>
        <w:t xml:space="preserve"> 7 hónap (7 nap</w:t>
      </w:r>
      <w:r w:rsidR="00B111CA">
        <w:rPr>
          <w:rFonts w:ascii="Times New Roman" w:eastAsia="Times New Roman" w:hAnsi="Times New Roman"/>
          <w:sz w:val="22"/>
        </w:rPr>
        <w:t> – </w:t>
      </w:r>
      <w:r>
        <w:rPr>
          <w:rFonts w:ascii="Times New Roman" w:eastAsia="Times New Roman" w:hAnsi="Times New Roman"/>
          <w:sz w:val="22"/>
        </w:rPr>
        <w:t>13 hónap) volt. A kezelés leállításának hatását, ha az a terápiás válasz elérése után történt, nem vizsgálták.</w:t>
      </w:r>
    </w:p>
    <w:p w14:paraId="526710BC" w14:textId="77777777" w:rsidR="00D42B2E" w:rsidRDefault="00D42B2E" w:rsidP="00D42B2E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</w:p>
    <w:p w14:paraId="56F9E891" w14:textId="37125BDC" w:rsidR="00D42B2E" w:rsidRDefault="00D42B2E" w:rsidP="00D42B2E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Felnőtt betegeknél adjuváns kezelésre a GIST reszekcióját követően az imatinib javasolt dózisa napi 400 mg. A kezelés optimális időtartamát még nem állapították meg. Az indikációt alátámasztó klinikai vizsgálatban a kezelés hossza 36 hónap volt (lásd 5.1 pont).</w:t>
      </w:r>
    </w:p>
    <w:p w14:paraId="4C5BEE92" w14:textId="77777777" w:rsidR="00D42B2E" w:rsidRDefault="00D42B2E" w:rsidP="00D42B2E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</w:p>
    <w:p w14:paraId="7DDC4674" w14:textId="77777777" w:rsidR="002A793D" w:rsidRPr="00F567BF" w:rsidRDefault="002A793D" w:rsidP="00247A41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Adagolás DFSP-ben</w:t>
      </w:r>
    </w:p>
    <w:p w14:paraId="0687D42B" w14:textId="77777777" w:rsidR="00065742" w:rsidRPr="00F567BF" w:rsidRDefault="002A793D" w:rsidP="00065742">
      <w:pPr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DFSP-ben szenvedő felnőtt betegeknek </w:t>
      </w:r>
      <w:r w:rsidR="007E56BA" w:rsidRPr="007E56BA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ajánlott </w:t>
      </w:r>
      <w:r w:rsidR="003D27CF">
        <w:rPr>
          <w:rFonts w:ascii="Times New Roman" w:eastAsia="Times New Roman" w:hAnsi="Times New Roman" w:cs="Times New Roman"/>
          <w:sz w:val="22"/>
          <w:szCs w:val="22"/>
        </w:rPr>
        <w:t>dózisa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800</w:t>
      </w:r>
      <w:r w:rsidR="00DD57E3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mg/nap.</w:t>
      </w:r>
      <w:bookmarkStart w:id="3" w:name="page39"/>
      <w:bookmarkEnd w:id="3"/>
    </w:p>
    <w:p w14:paraId="23E32B32" w14:textId="77777777" w:rsidR="00065742" w:rsidRPr="00F567BF" w:rsidRDefault="00065742" w:rsidP="00065742">
      <w:pPr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5CFCF222" w14:textId="77777777" w:rsidR="002A793D" w:rsidRPr="00F567BF" w:rsidRDefault="002A793D" w:rsidP="00A05972">
      <w:pPr>
        <w:keepNext/>
        <w:spacing w:line="230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Dózis</w:t>
      </w:r>
      <w:r w:rsidR="00D23FAA" w:rsidRPr="003C554E">
        <w:rPr>
          <w:rFonts w:ascii="Times New Roman" w:eastAsia="Times New Roman" w:hAnsi="Times New Roman" w:cs="Times New Roman"/>
          <w:sz w:val="22"/>
          <w:szCs w:val="22"/>
          <w:u w:val="single"/>
        </w:rPr>
        <w:t>módosítás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mellékhatások esetén</w:t>
      </w:r>
    </w:p>
    <w:p w14:paraId="6EE1DB70" w14:textId="77777777" w:rsidR="00D23FAA" w:rsidRDefault="00D23FAA" w:rsidP="00A05972">
      <w:pPr>
        <w:keepNext/>
        <w:spacing w:line="232" w:lineRule="auto"/>
        <w:rPr>
          <w:rFonts w:ascii="Times New Roman" w:eastAsia="Times New Roman" w:hAnsi="Times New Roman" w:cs="Times New Roman"/>
          <w:i/>
          <w:sz w:val="22"/>
          <w:szCs w:val="22"/>
        </w:rPr>
      </w:pPr>
    </w:p>
    <w:p w14:paraId="69AC56C3" w14:textId="77777777" w:rsidR="002A793D" w:rsidRPr="00F567BF" w:rsidRDefault="002A793D" w:rsidP="00A05972">
      <w:pPr>
        <w:keepNext/>
        <w:spacing w:line="232" w:lineRule="auto"/>
        <w:rPr>
          <w:rFonts w:ascii="Times New Roman" w:eastAsia="Times New Roman" w:hAnsi="Times New Roman" w:cs="Times New Roman"/>
          <w:i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i/>
          <w:sz w:val="22"/>
          <w:szCs w:val="22"/>
        </w:rPr>
        <w:t>Nem</w:t>
      </w:r>
      <w:r w:rsidR="00FD3440">
        <w:rPr>
          <w:rFonts w:ascii="Times New Roman" w:eastAsia="Times New Roman" w:hAnsi="Times New Roman" w:cs="Times New Roman"/>
          <w:i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i/>
          <w:sz w:val="22"/>
          <w:szCs w:val="22"/>
        </w:rPr>
        <w:t>hematológiai mellékhatások</w:t>
      </w:r>
    </w:p>
    <w:p w14:paraId="13897971" w14:textId="77777777" w:rsidR="002A793D" w:rsidRPr="00F567BF" w:rsidRDefault="002A793D" w:rsidP="00A05972">
      <w:pPr>
        <w:keepNext/>
        <w:spacing w:line="230" w:lineRule="auto"/>
        <w:ind w:right="60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Ha súlyos, nem</w:t>
      </w:r>
      <w:r w:rsidR="00FD344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hematológiai mellékhatás lép fel </w:t>
      </w:r>
      <w:r w:rsidR="002C2D24" w:rsidRPr="002C2D24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 során, a kezelést fel kell függeszteni, amíg az állapot nem rendeződik. Ezután a kezelés szükség szerint újrakezdhető az esemény kezdeti súlyosságától függően.</w:t>
      </w:r>
    </w:p>
    <w:p w14:paraId="1C04AE88" w14:textId="77777777" w:rsidR="002A793D" w:rsidRPr="00F567BF" w:rsidRDefault="002A793D" w:rsidP="00247A41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AA86002" w14:textId="2DEE6937" w:rsidR="002A793D" w:rsidRPr="00F567BF" w:rsidRDefault="002A793D" w:rsidP="00247A41">
      <w:pPr>
        <w:spacing w:line="231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Ha a bilirubinszint növekedése meghaladja </w:t>
      </w:r>
      <w:r w:rsidR="005F43C0">
        <w:rPr>
          <w:rFonts w:ascii="Times New Roman" w:eastAsia="Times New Roman" w:hAnsi="Times New Roman" w:cs="Times New Roman"/>
          <w:sz w:val="22"/>
          <w:szCs w:val="22"/>
        </w:rPr>
        <w:t>az adott intézményben alkalmazott</w:t>
      </w:r>
      <w:r w:rsidR="008731E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D23FAA">
        <w:rPr>
          <w:rFonts w:ascii="Times New Roman" w:eastAsia="Times New Roman" w:hAnsi="Times New Roman" w:cs="Times New Roman"/>
          <w:sz w:val="22"/>
          <w:szCs w:val="22"/>
        </w:rPr>
        <w:t>normálérték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felső határának (</w:t>
      </w:r>
      <w:r w:rsidR="005F43C0" w:rsidRPr="00647049">
        <w:rPr>
          <w:rFonts w:ascii="Times New Roman" w:eastAsia="Times New Roman" w:hAnsi="Times New Roman" w:cs="Times New Roman"/>
          <w:i/>
          <w:iCs/>
          <w:sz w:val="22"/>
          <w:szCs w:val="22"/>
        </w:rPr>
        <w:t>Institutional Upper Limit of Normal</w:t>
      </w:r>
      <w:r w:rsidR="005F43C0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IULN) háromszorosát, vagy a májtranszaminázok esetében az IULN ötszörösét, </w:t>
      </w:r>
      <w:r w:rsidR="002C2D24" w:rsidRPr="002C2D24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-kezelést fel kell függeszteni addig, amíg a bilirubinszint lecsökken az IULN kevesebb mint 1,5-szeresére és a transzamináz</w:t>
      </w:r>
      <w:r w:rsidR="00921385">
        <w:rPr>
          <w:rFonts w:ascii="Times New Roman" w:eastAsia="Times New Roman" w:hAnsi="Times New Roman" w:cs="Times New Roman"/>
          <w:sz w:val="22"/>
          <w:szCs w:val="22"/>
        </w:rPr>
        <w:t xml:space="preserve">ok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érték</w:t>
      </w:r>
      <w:r w:rsidR="00921385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az IULN kevesebb mint 2,5-szeresére. </w:t>
      </w:r>
      <w:r w:rsidR="002C2D24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C2D24" w:rsidRPr="002C2D24">
        <w:rPr>
          <w:rFonts w:ascii="Times New Roman" w:eastAsia="Times New Roman" w:hAnsi="Times New Roman" w:cs="Times New Roman"/>
          <w:sz w:val="22"/>
          <w:szCs w:val="22"/>
        </w:rPr>
        <w:t>Latib</w:t>
      </w:r>
      <w:r w:rsidR="00B111CA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terápia ekkor csökkentett napi dózis</w:t>
      </w:r>
      <w:r w:rsidR="00921385">
        <w:rPr>
          <w:rFonts w:ascii="Times New Roman" w:eastAsia="Times New Roman" w:hAnsi="Times New Roman" w:cs="Times New Roman"/>
          <w:sz w:val="22"/>
          <w:szCs w:val="22"/>
        </w:rPr>
        <w:t>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al folytatható. Felnőttek esetében a dózis 400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mg-ról 300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mg-ra, 600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mg-ról 400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</w:t>
      </w:r>
      <w:r w:rsidR="00B85CCE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ra vagy 800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mg-ról 600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mg-ra, gyermekeknél </w:t>
      </w:r>
      <w:r w:rsidR="00515C3F">
        <w:rPr>
          <w:rFonts w:ascii="Times New Roman" w:eastAsia="Times New Roman" w:hAnsi="Times New Roman" w:cs="Times New Roman"/>
          <w:sz w:val="22"/>
          <w:szCs w:val="22"/>
        </w:rPr>
        <w:t xml:space="preserve">és serdülőknél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pedig 340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</w:t>
      </w:r>
      <w:r w:rsidR="009833AB" w:rsidRPr="00F567BF">
        <w:rPr>
          <w:rFonts w:ascii="Times New Roman" w:eastAsia="Times New Roman" w:hAnsi="Times New Roman" w:cs="Times New Roman"/>
          <w:sz w:val="22"/>
          <w:szCs w:val="22"/>
        </w:rPr>
        <w:t>/m</w:t>
      </w:r>
      <w:r w:rsidR="009833AB"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="009833AB" w:rsidRPr="00F567BF">
        <w:rPr>
          <w:rFonts w:ascii="Times New Roman" w:eastAsia="Times New Roman" w:hAnsi="Times New Roman" w:cs="Times New Roman"/>
          <w:sz w:val="22"/>
          <w:szCs w:val="22"/>
        </w:rPr>
        <w:t>/nap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ról 260</w:t>
      </w:r>
      <w:r w:rsidR="00065742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/napra csökkentendő.</w:t>
      </w:r>
    </w:p>
    <w:p w14:paraId="28782D4E" w14:textId="77777777" w:rsidR="002A793D" w:rsidRPr="00F567BF" w:rsidRDefault="002A793D" w:rsidP="00247A41">
      <w:pPr>
        <w:spacing w:line="17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56ED77D" w14:textId="77777777" w:rsidR="009833AB" w:rsidRPr="00F567BF" w:rsidRDefault="009833AB" w:rsidP="009833AB">
      <w:pPr>
        <w:spacing w:line="0" w:lineRule="atLeas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i/>
          <w:sz w:val="22"/>
          <w:szCs w:val="22"/>
        </w:rPr>
        <w:t>Hematológiai mellékhatások</w:t>
      </w:r>
    </w:p>
    <w:p w14:paraId="284D9B32" w14:textId="77777777" w:rsidR="002A793D" w:rsidRPr="00F567BF" w:rsidRDefault="002A793D" w:rsidP="009833AB">
      <w:pPr>
        <w:spacing w:line="0" w:lineRule="atLeas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Súlyos neutropenia és thrombocytopenia esetén </w:t>
      </w:r>
      <w:r w:rsidR="00D42B2E">
        <w:rPr>
          <w:rFonts w:ascii="Times New Roman" w:eastAsia="Times New Roman" w:hAnsi="Times New Roman" w:cs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csökkentés vagy a kezelés megszakítása javasolt az alábbi táblázat szerint.</w:t>
      </w:r>
    </w:p>
    <w:p w14:paraId="44479D43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</w:rPr>
      </w:pPr>
    </w:p>
    <w:p w14:paraId="0A68F3DA" w14:textId="77777777" w:rsidR="002A793D" w:rsidRPr="00F567BF" w:rsidRDefault="002A793D" w:rsidP="008B630E">
      <w:pPr>
        <w:keepNext/>
        <w:spacing w:line="0" w:lineRule="atLeast"/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Dózismódosítás neutropenia és thrombocytopenia esetén</w:t>
      </w:r>
    </w:p>
    <w:p w14:paraId="775FA3DF" w14:textId="77777777" w:rsidR="009833AB" w:rsidRPr="00F567BF" w:rsidRDefault="009833AB" w:rsidP="008B630E">
      <w:pPr>
        <w:keepNext/>
        <w:spacing w:line="0" w:lineRule="atLeast"/>
        <w:rPr>
          <w:rFonts w:ascii="Times New Roman" w:eastAsia="Times New Roman" w:hAnsi="Times New Roman"/>
          <w:sz w:val="22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2715"/>
        <w:gridCol w:w="2247"/>
        <w:gridCol w:w="4090"/>
      </w:tblGrid>
      <w:tr w:rsidR="009833AB" w:rsidRPr="00F567BF" w14:paraId="227CFFE4" w14:textId="77777777" w:rsidTr="000B4FD4">
        <w:trPr>
          <w:trHeight w:val="1416"/>
          <w:tblCellSpacing w:w="0" w:type="dxa"/>
        </w:trPr>
        <w:tc>
          <w:tcPr>
            <w:tcW w:w="1500" w:type="pct"/>
          </w:tcPr>
          <w:p w14:paraId="2B1E8C43" w14:textId="77777777" w:rsidR="009833AB" w:rsidRPr="00F567BF" w:rsidRDefault="009833AB" w:rsidP="0081474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HES/CEL (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kezdő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</w:t>
            </w:r>
            <w:r w:rsidR="0077130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100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mg)</w:t>
            </w:r>
          </w:p>
        </w:tc>
        <w:tc>
          <w:tcPr>
            <w:tcW w:w="1241" w:type="pct"/>
          </w:tcPr>
          <w:p w14:paraId="4DF7AFB2" w14:textId="3357F66A" w:rsidR="009833AB" w:rsidRPr="00F567BF" w:rsidRDefault="009833AB" w:rsidP="008B630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/l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és/vagy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B85CC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thrombocytaszám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50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</w:p>
        </w:tc>
        <w:tc>
          <w:tcPr>
            <w:tcW w:w="2259" w:type="pct"/>
          </w:tcPr>
          <w:p w14:paraId="321C12D6" w14:textId="79044EDC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1.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Állítsa le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-kezelést, amíg az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ANC 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thrombocytaszám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pedig a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75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értéket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14:paraId="7A0B670B" w14:textId="77777777" w:rsidR="009833AB" w:rsidRPr="00F567BF" w:rsidRDefault="009833AB" w:rsidP="00814744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2.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Kezdje újra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Latib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-kezelést a korábban (tehát a súlyos mellékhatás megjelenése előtt) alkalmazott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dóziss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al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.</w:t>
            </w:r>
          </w:p>
        </w:tc>
      </w:tr>
      <w:tr w:rsidR="009833AB" w:rsidRPr="00F567BF" w14:paraId="512301F1" w14:textId="77777777" w:rsidTr="000B4FD4">
        <w:trPr>
          <w:trHeight w:val="2018"/>
          <w:tblCellSpacing w:w="0" w:type="dxa"/>
        </w:trPr>
        <w:tc>
          <w:tcPr>
            <w:tcW w:w="1500" w:type="pct"/>
          </w:tcPr>
          <w:p w14:paraId="3071A113" w14:textId="77777777" w:rsidR="00B85CCE" w:rsidRDefault="00E13C63" w:rsidP="009833A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CML krónikus fázis</w:t>
            </w:r>
          </w:p>
          <w:p w14:paraId="123D282D" w14:textId="77777777" w:rsidR="009833AB" w:rsidRPr="00F567BF" w:rsidRDefault="009833AB" w:rsidP="009833A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MDS/MPD </w:t>
            </w:r>
            <w:r w:rsidR="00D42B2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és GIST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kezdő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400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mg)</w:t>
            </w:r>
          </w:p>
          <w:p w14:paraId="4F3B0AC2" w14:textId="77777777" w:rsidR="009833AB" w:rsidRPr="00F567BF" w:rsidRDefault="009833AB" w:rsidP="00E13C6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HES/CEL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(400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mg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-os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)</w:t>
            </w:r>
          </w:p>
        </w:tc>
        <w:tc>
          <w:tcPr>
            <w:tcW w:w="1241" w:type="pct"/>
          </w:tcPr>
          <w:p w14:paraId="27188819" w14:textId="355257DE" w:rsidR="009833AB" w:rsidRPr="00F567BF" w:rsidRDefault="009833AB" w:rsidP="00E930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/l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és/vagy thrombocytaszám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</w:p>
        </w:tc>
        <w:tc>
          <w:tcPr>
            <w:tcW w:w="2259" w:type="pct"/>
          </w:tcPr>
          <w:p w14:paraId="7329F5D4" w14:textId="3301A28F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1.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Állítsa le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-kezelést, amíg az ANC 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1,5</w:t>
            </w:r>
            <w:r w:rsidR="00184B9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thrombocytaszám 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pedig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75</w:t>
            </w:r>
            <w:r w:rsidR="00184B9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értéket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14:paraId="2BC8C28C" w14:textId="77777777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2.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Kezdje újra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-kezelést a korábban (tehát a súlyos mellékhatás megjelenése előtt) alkalmazott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s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al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14:paraId="4FDC4A80" w14:textId="0DE9A037" w:rsidR="009833AB" w:rsidRPr="00F567BF" w:rsidRDefault="009833AB" w:rsidP="00814744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3.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Ha az ANC ismét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és/vagy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thrombocytaszám ismét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/l, 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az 1.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pont szerint járjon el, majd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Latib</w:t>
            </w:r>
            <w:r w:rsidR="00D9638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noBreakHyphen/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kezelést 300 mg-ra csökkentett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dóziss</w:t>
            </w:r>
            <w:r w:rsidR="0081474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al kezdje újra.</w:t>
            </w:r>
          </w:p>
        </w:tc>
      </w:tr>
      <w:tr w:rsidR="009833AB" w:rsidRPr="00F567BF" w14:paraId="7C63CB22" w14:textId="77777777" w:rsidTr="00736DD6">
        <w:trPr>
          <w:trHeight w:val="923"/>
          <w:tblCellSpacing w:w="0" w:type="dxa"/>
        </w:trPr>
        <w:tc>
          <w:tcPr>
            <w:tcW w:w="1500" w:type="pct"/>
          </w:tcPr>
          <w:p w14:paraId="470E548A" w14:textId="77777777" w:rsidR="009833AB" w:rsidRPr="00F567BF" w:rsidRDefault="0039497E" w:rsidP="0039497E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lastRenderedPageBreak/>
              <w:t>Gyermek</w:t>
            </w:r>
            <w:r w:rsidR="00D42B2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 és serdülő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kori CML krónikus fázis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(340 mg/m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ban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241" w:type="pct"/>
          </w:tcPr>
          <w:p w14:paraId="0BCE11BF" w14:textId="60C629A7" w:rsidR="009833AB" w:rsidRPr="00F567BF" w:rsidRDefault="009833AB" w:rsidP="00E930FA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</w:t>
            </w:r>
            <w:r w:rsidR="0039497E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0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/l </w:t>
            </w:r>
            <w:r w:rsidR="0039497E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és/vagy thrombocytaszám</w:t>
            </w:r>
            <w:r w:rsidR="00E930F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50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</w:p>
        </w:tc>
        <w:tc>
          <w:tcPr>
            <w:tcW w:w="2259" w:type="pct"/>
          </w:tcPr>
          <w:p w14:paraId="7B8B772B" w14:textId="2D38E67A" w:rsidR="009833AB" w:rsidRPr="00F567BF" w:rsidRDefault="009833AB" w:rsidP="009833AB">
            <w:pPr>
              <w:ind w:left="228" w:hanging="228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1. 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Állítsa le </w:t>
            </w:r>
            <w:r w:rsidR="002C2D24" w:rsidRPr="002C2D2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Latib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-kezelést, amíg az ANC 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≥ 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1,5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a thrombocytaszám 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pedig a 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≥ 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75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értéket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.</w:t>
            </w:r>
          </w:p>
          <w:p w14:paraId="3067A1F6" w14:textId="77777777" w:rsidR="009833AB" w:rsidRPr="00F567BF" w:rsidRDefault="009833AB" w:rsidP="009833AB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2. 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Kezdje újra </w:t>
            </w:r>
            <w:r w:rsidR="002C2D24" w:rsidRPr="002C2D2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Latib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-kezelést a korábban (tehát a súlyos mellékhatás megjelenése előtt) alkalmazott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dóziss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al.</w:t>
            </w:r>
          </w:p>
          <w:p w14:paraId="12BD1F3B" w14:textId="4A09F09A" w:rsidR="009833AB" w:rsidRPr="00F567BF" w:rsidRDefault="009833AB" w:rsidP="00DF6054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3. 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Ha az ANC ismét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1,0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/l, és/vagy a thrombocytaszám ismét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50</w:t>
            </w:r>
            <w:r w:rsidR="00B111C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/l, az 1.</w:t>
            </w:r>
            <w:r w:rsidR="00E930F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pont szerint járjon el, majd </w:t>
            </w:r>
            <w:r w:rsidR="002C2D24" w:rsidRPr="002C2D2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Latib</w:t>
            </w:r>
            <w:r w:rsidR="00D9638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noBreakHyphen/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kezelést 260 mg/m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-ra csökkentett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dóziss</w:t>
            </w:r>
            <w:r w:rsidR="00DF6054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al kezdje újra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9833AB" w:rsidRPr="00F567BF" w14:paraId="0F4D3D59" w14:textId="77777777" w:rsidTr="000B4FD4">
        <w:trPr>
          <w:trHeight w:val="1058"/>
          <w:tblCellSpacing w:w="0" w:type="dxa"/>
        </w:trPr>
        <w:tc>
          <w:tcPr>
            <w:tcW w:w="1500" w:type="pct"/>
          </w:tcPr>
          <w:p w14:paraId="1B74DA1B" w14:textId="77777777" w:rsidR="009833AB" w:rsidRPr="00F567BF" w:rsidRDefault="00E13C63" w:rsidP="00E13C6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CML akcelerált fázis és b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lasztos krízis és </w:t>
            </w:r>
            <w:r w:rsidR="009833A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Ph+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9833A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ALL 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kezdő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</w:t>
            </w:r>
            <w:r w:rsidR="00771301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600 mg)</w:t>
            </w:r>
          </w:p>
        </w:tc>
        <w:tc>
          <w:tcPr>
            <w:tcW w:w="1241" w:type="pct"/>
          </w:tcPr>
          <w:p w14:paraId="6CDFEFEF" w14:textId="7AEEA4FE" w:rsidR="009833AB" w:rsidRPr="00F567BF" w:rsidRDefault="009833AB" w:rsidP="008B630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a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/l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és/vagy thrombocytaszám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</w:p>
        </w:tc>
        <w:tc>
          <w:tcPr>
            <w:tcW w:w="2259" w:type="pct"/>
          </w:tcPr>
          <w:p w14:paraId="66049184" w14:textId="77777777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1.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Ellenőrizni kell, hogy a cytopeniát nem a leukaemia okozza-e (csontvelő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aspir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áció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vagy 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biops</w:t>
            </w:r>
            <w:r w:rsidR="00E930F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ia).</w:t>
            </w:r>
          </w:p>
          <w:p w14:paraId="584F7228" w14:textId="77777777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2.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Ha a cytopenia nem a leukaemiával kapcsolatos, csökkentse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át 400 mg-ra.</w:t>
            </w:r>
          </w:p>
          <w:p w14:paraId="7ADB565F" w14:textId="303C99D6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3.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Ha a cytopenia 2</w:t>
            </w:r>
            <w:r w:rsidR="004B742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</w:t>
            </w:r>
            <w:r w:rsidR="005E48E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ig fennáll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csökkentse tovább a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dózis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t 300 mg-ra.</w:t>
            </w:r>
          </w:p>
          <w:p w14:paraId="4B8D85A7" w14:textId="7A58861A" w:rsidR="009833AB" w:rsidRPr="00F567BF" w:rsidRDefault="009833AB" w:rsidP="001011AF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4.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Ha a cytopenia 4</w:t>
            </w:r>
            <w:r w:rsidR="004B742B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hét</w:t>
            </w:r>
            <w:r w:rsidR="005E48E0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ig fennáll,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és továbbra sem a leukaemiával kapcsolatos, állítsa le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Latib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-kezelést, amíg az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ANC 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a thrombocytaszám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pedig a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20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B111C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értéket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,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majd kezdje újra a kezelést 300 mg-mal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.</w:t>
            </w:r>
          </w:p>
        </w:tc>
      </w:tr>
      <w:tr w:rsidR="009833AB" w:rsidRPr="00F567BF" w14:paraId="543914EB" w14:textId="77777777" w:rsidTr="000B4FD4">
        <w:trPr>
          <w:trHeight w:val="3160"/>
          <w:tblCellSpacing w:w="0" w:type="dxa"/>
        </w:trPr>
        <w:tc>
          <w:tcPr>
            <w:tcW w:w="1500" w:type="pct"/>
          </w:tcPr>
          <w:p w14:paraId="21374578" w14:textId="77777777" w:rsidR="009833AB" w:rsidRPr="00F567BF" w:rsidRDefault="001011AF" w:rsidP="001011A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Gyermek</w:t>
            </w:r>
            <w:r w:rsidR="00D42B2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 és serdülő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kori CML akcelerált fázis és blasztos krízis 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kezdő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</w:t>
            </w:r>
            <w:r w:rsidR="00771301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340 mg/m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="009833AB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241" w:type="pct"/>
          </w:tcPr>
          <w:p w14:paraId="6070C0AB" w14:textId="311D8C9B" w:rsidR="009833AB" w:rsidRPr="00F567BF" w:rsidRDefault="009833AB" w:rsidP="00110B92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0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/l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és/vagy thrombocytaszám</w:t>
            </w:r>
            <w:r w:rsidR="00110B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</w:p>
        </w:tc>
        <w:tc>
          <w:tcPr>
            <w:tcW w:w="2259" w:type="pct"/>
          </w:tcPr>
          <w:p w14:paraId="609C432D" w14:textId="77777777" w:rsidR="009833AB" w:rsidRPr="00F567BF" w:rsidRDefault="009833AB" w:rsidP="009833AB">
            <w:pPr>
              <w:ind w:left="228" w:hanging="228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1.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Ellenőrizni kell, hogy a cytopeniát nem a leukaemia okozza-e (csontvelő</w:t>
            </w:r>
            <w:r w:rsidR="00110B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aspir</w:t>
            </w:r>
            <w:r w:rsidR="00110B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áció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vagy </w:t>
            </w:r>
            <w:r w:rsidR="00110B9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biops</w:t>
            </w:r>
            <w:r w:rsidR="00D9638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z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ia).</w:t>
            </w:r>
          </w:p>
          <w:p w14:paraId="65C9F421" w14:textId="77777777" w:rsidR="009833AB" w:rsidRPr="00F567BF" w:rsidRDefault="009833AB" w:rsidP="009833AB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2.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Ha a cytopenia nem a leukaemiával kapcsolatos, csökkentse </w:t>
            </w:r>
            <w:r w:rsidR="002C2D24" w:rsidRPr="002C2D2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Latib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77130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dózis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át 260 mg/m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-re.</w:t>
            </w:r>
          </w:p>
          <w:p w14:paraId="0FA78D94" w14:textId="55A7E535" w:rsidR="009833AB" w:rsidRPr="00F567BF" w:rsidRDefault="009833AB" w:rsidP="009833AB">
            <w:pPr>
              <w:ind w:left="227" w:hanging="18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3.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Ha a cytopenia 2</w:t>
            </w:r>
            <w:r w:rsidR="004B74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hét</w:t>
            </w:r>
            <w:r w:rsidR="00B63D5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ig fennáll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csökkentse tovább 200 mg/m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-re.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</w:p>
          <w:p w14:paraId="29EF1659" w14:textId="0013D3DA" w:rsidR="009833AB" w:rsidRPr="00F567BF" w:rsidRDefault="009833AB" w:rsidP="001011AF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4.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Ha a cytopenia 4</w:t>
            </w:r>
            <w:r w:rsidR="004B74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hét</w:t>
            </w:r>
            <w:r w:rsidR="00FE0FD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ig fennáll</w:t>
            </w:r>
            <w:r w:rsidR="000E184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és továbbra sem a leukaemiával kapcsolatos, állítsa le </w:t>
            </w:r>
            <w:r w:rsidR="002C2D24" w:rsidRPr="002C2D2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Latib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-kezelést, amíg az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ANC 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a thrombocytaszám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pedig a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20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/l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A25E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értéket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majd kezdje újra a kezelést 200 mg/m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  <w:r w:rsidR="001011A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-rel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9833AB" w:rsidRPr="00F567BF" w14:paraId="16CABBB7" w14:textId="77777777" w:rsidTr="000B4FD4">
        <w:trPr>
          <w:tblCellSpacing w:w="0" w:type="dxa"/>
        </w:trPr>
        <w:tc>
          <w:tcPr>
            <w:tcW w:w="1500" w:type="pct"/>
          </w:tcPr>
          <w:p w14:paraId="2CE46B3E" w14:textId="77777777" w:rsidR="009833AB" w:rsidRPr="00F567BF" w:rsidRDefault="009833AB" w:rsidP="009833A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DFSP</w:t>
            </w:r>
          </w:p>
          <w:p w14:paraId="51F2E444" w14:textId="77777777" w:rsidR="009833AB" w:rsidRPr="00F567BF" w:rsidRDefault="009833AB" w:rsidP="001011A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(800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mg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-os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ban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)</w:t>
            </w:r>
          </w:p>
        </w:tc>
        <w:tc>
          <w:tcPr>
            <w:tcW w:w="1241" w:type="pct"/>
          </w:tcPr>
          <w:p w14:paraId="6E2BEE20" w14:textId="13B307D9" w:rsidR="009833AB" w:rsidRPr="00F567BF" w:rsidRDefault="009833AB" w:rsidP="008B630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ANC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/l </w:t>
            </w:r>
            <w:r w:rsidR="001011A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és/vagy thrombocytaszám</w:t>
            </w:r>
            <w:r w:rsidR="00110B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50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</w:p>
        </w:tc>
        <w:tc>
          <w:tcPr>
            <w:tcW w:w="2259" w:type="pct"/>
          </w:tcPr>
          <w:p w14:paraId="265B3145" w14:textId="0DE20969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1.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Állítsa le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-kezelést, amíg az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ANC 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eléri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thrombocytaszám 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pedig a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≥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75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/l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értéket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14:paraId="137DF06C" w14:textId="77777777" w:rsidR="009833AB" w:rsidRPr="00F567BF" w:rsidRDefault="009833AB" w:rsidP="009833AB">
            <w:pPr>
              <w:autoSpaceDE w:val="0"/>
              <w:autoSpaceDN w:val="0"/>
              <w:adjustRightInd w:val="0"/>
              <w:ind w:left="228" w:hanging="22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2.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Kezdje újra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Latib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-kezelést 600 mg</w:t>
            </w:r>
            <w:r w:rsidR="00110B9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noBreakHyphen/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os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dóziss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al.</w:t>
            </w:r>
          </w:p>
          <w:p w14:paraId="617D163B" w14:textId="7C5D26E2" w:rsidR="009833AB" w:rsidRPr="00F567BF" w:rsidRDefault="009833AB" w:rsidP="00110B92">
            <w:pPr>
              <w:ind w:left="227" w:hanging="227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3.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Ha az ANC ismét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0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/l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és/vagy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thrombocytaszám ismét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730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&lt;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50</w:t>
            </w:r>
            <w:r w:rsidR="00A25EBC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nl-NL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/l, 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az 1.</w:t>
            </w:r>
            <w:r w:rsidR="00110B92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pont szerint járjon el, majd </w:t>
            </w:r>
            <w:r w:rsidR="002C2D24" w:rsidRPr="002C2D24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Latib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-kezelést 400 mg-ra csökkentett </w:t>
            </w:r>
            <w:r w:rsidR="00771301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dóziss</w:t>
            </w:r>
            <w:r w:rsidR="00EB0DA2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al kezdje újra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.</w:t>
            </w:r>
          </w:p>
        </w:tc>
      </w:tr>
      <w:tr w:rsidR="001606AF" w:rsidRPr="00F567BF" w14:paraId="034182B0" w14:textId="77777777" w:rsidTr="009901B1">
        <w:trPr>
          <w:trHeight w:val="610"/>
          <w:tblCellSpacing w:w="0" w:type="dxa"/>
        </w:trPr>
        <w:tc>
          <w:tcPr>
            <w:tcW w:w="5000" w:type="pct"/>
            <w:gridSpan w:val="3"/>
          </w:tcPr>
          <w:p w14:paraId="550A1D7F" w14:textId="338FAE41" w:rsidR="001606AF" w:rsidRPr="00771301" w:rsidRDefault="001606AF" w:rsidP="003C554E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77130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ANC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77130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77130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abszolút neutro</w:t>
            </w:r>
            <w:r w:rsidR="005E586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ph</w:t>
            </w:r>
            <w:r w:rsidRPr="0077130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ilszám</w:t>
            </w:r>
          </w:p>
          <w:p w14:paraId="7A900CA1" w14:textId="2A1CB46E" w:rsidR="001606AF" w:rsidRPr="00771301" w:rsidRDefault="001606AF" w:rsidP="003C554E">
            <w:pPr>
              <w:tabs>
                <w:tab w:val="left" w:pos="290"/>
              </w:tabs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771301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en-GB"/>
              </w:rPr>
              <w:t>a</w:t>
            </w:r>
            <w:r w:rsidRPr="00771301">
              <w:rPr>
                <w:rFonts w:ascii="Times New Roman" w:eastAsia="Times New Roman" w:hAnsi="Times New Roman" w:cs="Times New Roman"/>
                <w:color w:val="000000"/>
                <w:lang w:val="es-ES" w:eastAsia="en-GB"/>
              </w:rPr>
              <w:tab/>
            </w:r>
            <w:r w:rsidRPr="0077130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legalább egy hónapos kezelés után</w:t>
            </w:r>
          </w:p>
        </w:tc>
      </w:tr>
    </w:tbl>
    <w:p w14:paraId="17E1842C" w14:textId="77777777" w:rsidR="009833AB" w:rsidRPr="00F567BF" w:rsidRDefault="009833AB" w:rsidP="003C554E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41983A37" w14:textId="77777777" w:rsidR="002A793D" w:rsidRPr="001B2B07" w:rsidRDefault="0026475D" w:rsidP="00647049">
      <w:pPr>
        <w:keepNext/>
        <w:spacing w:line="239" w:lineRule="auto"/>
        <w:rPr>
          <w:rFonts w:ascii="Times New Roman" w:eastAsia="Times New Roman" w:hAnsi="Times New Roman"/>
          <w:sz w:val="22"/>
          <w:u w:val="single"/>
        </w:rPr>
      </w:pPr>
      <w:r w:rsidRPr="001B2B07">
        <w:rPr>
          <w:rFonts w:ascii="Times New Roman" w:eastAsia="Times New Roman" w:hAnsi="Times New Roman"/>
          <w:sz w:val="22"/>
          <w:u w:val="single"/>
        </w:rPr>
        <w:lastRenderedPageBreak/>
        <w:t xml:space="preserve">Különleges </w:t>
      </w:r>
      <w:r w:rsidR="00110B92" w:rsidRPr="00C51C42">
        <w:rPr>
          <w:rFonts w:ascii="Times New Roman" w:eastAsia="Times New Roman" w:hAnsi="Times New Roman"/>
          <w:sz w:val="22"/>
          <w:u w:val="single"/>
        </w:rPr>
        <w:t>betegcsoportok</w:t>
      </w:r>
    </w:p>
    <w:p w14:paraId="07FE2C98" w14:textId="77777777" w:rsidR="002A793D" w:rsidRPr="001B2B07" w:rsidRDefault="002A793D" w:rsidP="00647049">
      <w:pPr>
        <w:keepNext/>
        <w:spacing w:line="2" w:lineRule="exact"/>
        <w:rPr>
          <w:rFonts w:ascii="Times New Roman" w:eastAsia="Times New Roman" w:hAnsi="Times New Roman"/>
        </w:rPr>
      </w:pPr>
    </w:p>
    <w:p w14:paraId="3D018A2D" w14:textId="77777777" w:rsidR="00771301" w:rsidRPr="001B2B07" w:rsidRDefault="00771301" w:rsidP="00647049">
      <w:pPr>
        <w:keepNext/>
        <w:spacing w:line="230" w:lineRule="auto"/>
        <w:ind w:right="120"/>
        <w:rPr>
          <w:rFonts w:ascii="Times New Roman" w:eastAsia="Times New Roman" w:hAnsi="Times New Roman"/>
          <w:i/>
          <w:sz w:val="22"/>
        </w:rPr>
      </w:pPr>
      <w:r w:rsidRPr="001B2B07">
        <w:rPr>
          <w:rFonts w:ascii="Times New Roman" w:eastAsia="Times New Roman" w:hAnsi="Times New Roman"/>
          <w:i/>
          <w:sz w:val="22"/>
        </w:rPr>
        <w:t>Gyermek</w:t>
      </w:r>
      <w:r w:rsidR="0026475D" w:rsidRPr="001B2B07">
        <w:rPr>
          <w:rFonts w:ascii="Times New Roman" w:eastAsia="Times New Roman" w:hAnsi="Times New Roman"/>
          <w:i/>
          <w:sz w:val="22"/>
        </w:rPr>
        <w:t>ek</w:t>
      </w:r>
      <w:r w:rsidRPr="001B2B07">
        <w:rPr>
          <w:rFonts w:ascii="Times New Roman" w:eastAsia="Times New Roman" w:hAnsi="Times New Roman"/>
          <w:i/>
          <w:sz w:val="22"/>
        </w:rPr>
        <w:t xml:space="preserve"> és serdülők</w:t>
      </w:r>
    </w:p>
    <w:p w14:paraId="7F1EBAB5" w14:textId="2A429802" w:rsidR="00FA3083" w:rsidRPr="001B2B07" w:rsidRDefault="00A05972" w:rsidP="00647049">
      <w:pPr>
        <w:keepNext/>
        <w:spacing w:line="230" w:lineRule="auto"/>
        <w:ind w:right="120"/>
        <w:rPr>
          <w:rFonts w:ascii="Times New Roman" w:eastAsia="Times New Roman" w:hAnsi="Times New Roman"/>
          <w:sz w:val="22"/>
        </w:rPr>
      </w:pPr>
      <w:r w:rsidRPr="00484E18">
        <w:rPr>
          <w:rFonts w:ascii="Times New Roman" w:eastAsia="Times New Roman" w:hAnsi="Times New Roman"/>
          <w:sz w:val="22"/>
        </w:rPr>
        <w:t>Két</w:t>
      </w:r>
      <w:r w:rsidR="002A793D" w:rsidRPr="001B2B07">
        <w:rPr>
          <w:rFonts w:ascii="Times New Roman" w:eastAsia="Times New Roman" w:hAnsi="Times New Roman"/>
          <w:sz w:val="22"/>
        </w:rPr>
        <w:t>éves kor alatti</w:t>
      </w:r>
      <w:r w:rsidR="00BB2624">
        <w:rPr>
          <w:rFonts w:ascii="Times New Roman" w:eastAsia="Times New Roman" w:hAnsi="Times New Roman"/>
          <w:sz w:val="22"/>
        </w:rPr>
        <w:t>,</w:t>
      </w:r>
      <w:r w:rsidR="002A793D" w:rsidRPr="001B2B07">
        <w:rPr>
          <w:rFonts w:ascii="Times New Roman" w:eastAsia="Times New Roman" w:hAnsi="Times New Roman"/>
          <w:sz w:val="22"/>
        </w:rPr>
        <w:t xml:space="preserve"> CML-ben szenvedő gyermekek</w:t>
      </w:r>
      <w:r w:rsidR="002A793D" w:rsidRPr="00484E18">
        <w:rPr>
          <w:rFonts w:ascii="Times New Roman" w:eastAsia="Times New Roman" w:hAnsi="Times New Roman"/>
          <w:sz w:val="22"/>
        </w:rPr>
        <w:t xml:space="preserve"> </w:t>
      </w:r>
      <w:r w:rsidR="002A793D" w:rsidRPr="001B2B07">
        <w:rPr>
          <w:rFonts w:ascii="Times New Roman" w:eastAsia="Times New Roman" w:hAnsi="Times New Roman"/>
          <w:sz w:val="22"/>
        </w:rPr>
        <w:t>és 1</w:t>
      </w:r>
      <w:r w:rsidR="00110B92" w:rsidRPr="001B2B07">
        <w:rPr>
          <w:rFonts w:ascii="Times New Roman" w:eastAsia="Times New Roman" w:hAnsi="Times New Roman"/>
          <w:sz w:val="22"/>
        </w:rPr>
        <w:t> </w:t>
      </w:r>
      <w:r w:rsidR="002A793D" w:rsidRPr="001B2B07">
        <w:rPr>
          <w:rFonts w:ascii="Times New Roman" w:eastAsia="Times New Roman" w:hAnsi="Times New Roman"/>
          <w:sz w:val="22"/>
        </w:rPr>
        <w:t>éves kor alatti</w:t>
      </w:r>
      <w:r w:rsidR="00BB2624">
        <w:rPr>
          <w:rFonts w:ascii="Times New Roman" w:eastAsia="Times New Roman" w:hAnsi="Times New Roman"/>
          <w:sz w:val="22"/>
        </w:rPr>
        <w:t>,</w:t>
      </w:r>
      <w:r w:rsidR="002A793D" w:rsidRPr="00484E18">
        <w:rPr>
          <w:rFonts w:ascii="Times New Roman" w:eastAsia="Times New Roman" w:hAnsi="Times New Roman"/>
          <w:sz w:val="22"/>
        </w:rPr>
        <w:t xml:space="preserve"> </w:t>
      </w:r>
      <w:r w:rsidR="002A793D" w:rsidRPr="001B2B07">
        <w:rPr>
          <w:rFonts w:ascii="Times New Roman" w:eastAsia="Times New Roman" w:hAnsi="Times New Roman"/>
          <w:sz w:val="22"/>
        </w:rPr>
        <w:t>Ph</w:t>
      </w:r>
      <w:r w:rsidR="00D02E23" w:rsidRPr="001B2B07">
        <w:rPr>
          <w:rFonts w:ascii="Times New Roman" w:eastAsia="Times New Roman" w:hAnsi="Times New Roman"/>
          <w:sz w:val="22"/>
        </w:rPr>
        <w:t>+ </w:t>
      </w:r>
      <w:r w:rsidR="002A793D" w:rsidRPr="001B2B07">
        <w:rPr>
          <w:rFonts w:ascii="Times New Roman" w:eastAsia="Times New Roman" w:hAnsi="Times New Roman"/>
          <w:sz w:val="22"/>
        </w:rPr>
        <w:t>ALL-ben szenvedő gyermekek esetében nincs tapasztalat (lásd 5.1</w:t>
      </w:r>
      <w:r w:rsidR="00110B92" w:rsidRPr="001B2B07">
        <w:rPr>
          <w:rFonts w:ascii="Times New Roman" w:eastAsia="Times New Roman" w:hAnsi="Times New Roman"/>
          <w:sz w:val="22"/>
        </w:rPr>
        <w:t> </w:t>
      </w:r>
      <w:r w:rsidR="002A793D" w:rsidRPr="001B2B07">
        <w:rPr>
          <w:rFonts w:ascii="Times New Roman" w:eastAsia="Times New Roman" w:hAnsi="Times New Roman"/>
          <w:sz w:val="22"/>
        </w:rPr>
        <w:t>pont).</w:t>
      </w:r>
    </w:p>
    <w:p w14:paraId="58EDB434" w14:textId="224B3B25" w:rsidR="002A793D" w:rsidRPr="00F567BF" w:rsidRDefault="002A793D" w:rsidP="003C554E">
      <w:pPr>
        <w:spacing w:line="230" w:lineRule="auto"/>
        <w:ind w:right="120"/>
        <w:rPr>
          <w:rFonts w:ascii="Times New Roman" w:eastAsia="Times New Roman" w:hAnsi="Times New Roman"/>
          <w:sz w:val="22"/>
        </w:rPr>
      </w:pPr>
      <w:r w:rsidRPr="001B2B07">
        <w:rPr>
          <w:rFonts w:ascii="Times New Roman" w:eastAsia="Times New Roman" w:hAnsi="Times New Roman"/>
          <w:sz w:val="22"/>
        </w:rPr>
        <w:t xml:space="preserve">MDS/MPD-ben, DFSP-ben, </w:t>
      </w:r>
      <w:r w:rsidR="00D42B2E" w:rsidRPr="00E15A2B">
        <w:rPr>
          <w:rFonts w:ascii="Times New Roman" w:eastAsia="Times New Roman" w:hAnsi="Times New Roman"/>
          <w:sz w:val="22"/>
        </w:rPr>
        <w:t>GIST-</w:t>
      </w:r>
      <w:r w:rsidR="00D42B2E">
        <w:rPr>
          <w:rFonts w:ascii="Times New Roman" w:eastAsia="Times New Roman" w:hAnsi="Times New Roman"/>
          <w:sz w:val="22"/>
        </w:rPr>
        <w:t xml:space="preserve">ben, </w:t>
      </w:r>
      <w:r w:rsidRPr="001B2B07">
        <w:rPr>
          <w:rFonts w:ascii="Times New Roman" w:eastAsia="Times New Roman" w:hAnsi="Times New Roman"/>
          <w:sz w:val="22"/>
        </w:rPr>
        <w:t xml:space="preserve">illetve HES/CEL-ben szenvedő gyermekek </w:t>
      </w:r>
      <w:r w:rsidR="003B2BCF">
        <w:rPr>
          <w:rFonts w:ascii="Times New Roman" w:eastAsia="Times New Roman" w:hAnsi="Times New Roman"/>
          <w:sz w:val="22"/>
        </w:rPr>
        <w:t xml:space="preserve">és serdülők </w:t>
      </w:r>
      <w:r w:rsidRPr="001B2B07">
        <w:rPr>
          <w:rFonts w:ascii="Times New Roman" w:eastAsia="Times New Roman" w:hAnsi="Times New Roman"/>
          <w:sz w:val="22"/>
        </w:rPr>
        <w:t>es</w:t>
      </w:r>
      <w:r w:rsidR="00065742" w:rsidRPr="001B2B07">
        <w:rPr>
          <w:rFonts w:ascii="Times New Roman" w:eastAsia="Times New Roman" w:hAnsi="Times New Roman"/>
          <w:sz w:val="22"/>
        </w:rPr>
        <w:t>etében</w:t>
      </w:r>
      <w:r w:rsidR="00445750">
        <w:rPr>
          <w:rFonts w:ascii="Times New Roman" w:eastAsia="Times New Roman" w:hAnsi="Times New Roman"/>
          <w:sz w:val="22"/>
        </w:rPr>
        <w:t xml:space="preserve"> </w:t>
      </w:r>
      <w:r w:rsidR="00065742" w:rsidRPr="001B2B07">
        <w:rPr>
          <w:rFonts w:ascii="Times New Roman" w:eastAsia="Times New Roman" w:hAnsi="Times New Roman"/>
          <w:sz w:val="22"/>
        </w:rPr>
        <w:t xml:space="preserve">nagyon kevés tapasztalat </w:t>
      </w:r>
      <w:r w:rsidRPr="001B2B07">
        <w:rPr>
          <w:rFonts w:ascii="Times New Roman" w:eastAsia="Times New Roman" w:hAnsi="Times New Roman"/>
          <w:sz w:val="22"/>
        </w:rPr>
        <w:t>áll rendelkezésre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322711DF" w14:textId="55A14926" w:rsidR="002A793D" w:rsidRPr="00F567BF" w:rsidRDefault="002A793D" w:rsidP="003C554E">
      <w:pPr>
        <w:spacing w:line="243" w:lineRule="auto"/>
        <w:ind w:right="24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Az imatinib biztonságosságát és hatásosságát MDS/MPD</w:t>
      </w:r>
      <w:r w:rsidR="00445750">
        <w:rPr>
          <w:rFonts w:ascii="Times New Roman" w:eastAsia="Times New Roman" w:hAnsi="Times New Roman"/>
          <w:sz w:val="22"/>
        </w:rPr>
        <w:t>-ben</w:t>
      </w:r>
      <w:r w:rsidRPr="00F567BF">
        <w:rPr>
          <w:rFonts w:ascii="Times New Roman" w:eastAsia="Times New Roman" w:hAnsi="Times New Roman"/>
          <w:sz w:val="22"/>
        </w:rPr>
        <w:t>, DFSP</w:t>
      </w:r>
      <w:r w:rsidR="00445750">
        <w:rPr>
          <w:rFonts w:ascii="Times New Roman" w:eastAsia="Times New Roman" w:hAnsi="Times New Roman"/>
          <w:sz w:val="22"/>
        </w:rPr>
        <w:t>-ben</w:t>
      </w:r>
      <w:r w:rsidR="00D42B2E">
        <w:rPr>
          <w:rFonts w:ascii="Times New Roman" w:eastAsia="Times New Roman" w:hAnsi="Times New Roman"/>
          <w:sz w:val="22"/>
        </w:rPr>
        <w:t xml:space="preserve">, </w:t>
      </w:r>
      <w:r w:rsidR="00D42B2E" w:rsidRPr="00E15A2B">
        <w:rPr>
          <w:rFonts w:ascii="Times New Roman" w:eastAsia="Times New Roman" w:hAnsi="Times New Roman"/>
          <w:sz w:val="22"/>
        </w:rPr>
        <w:t>GIST-</w:t>
      </w:r>
      <w:r w:rsidR="00D42B2E">
        <w:rPr>
          <w:rFonts w:ascii="Times New Roman" w:eastAsia="Times New Roman" w:hAnsi="Times New Roman"/>
          <w:sz w:val="22"/>
        </w:rPr>
        <w:t>ben,</w:t>
      </w:r>
      <w:r w:rsidR="00771301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és HES/CEL-ben szenvedő, 18</w:t>
      </w:r>
      <w:r w:rsidR="00110B92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évesnél fiatalabb gyermekek </w:t>
      </w:r>
      <w:r w:rsidR="00445750">
        <w:rPr>
          <w:rFonts w:ascii="Times New Roman" w:eastAsia="Times New Roman" w:hAnsi="Times New Roman"/>
          <w:sz w:val="22"/>
        </w:rPr>
        <w:t>és serdülők</w:t>
      </w:r>
      <w:r w:rsidR="00755DB6">
        <w:rPr>
          <w:rFonts w:ascii="Times New Roman" w:eastAsia="Times New Roman" w:hAnsi="Times New Roman"/>
          <w:sz w:val="22"/>
        </w:rPr>
        <w:t xml:space="preserve"> esetében</w:t>
      </w:r>
      <w:r w:rsidR="00445750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klinikai vizsgálatokban nem igazolták. A jelenleg rendelkezésre álló, publikált adatok </w:t>
      </w:r>
      <w:r w:rsidR="00755DB6">
        <w:rPr>
          <w:rFonts w:ascii="Times New Roman" w:eastAsia="Times New Roman" w:hAnsi="Times New Roman"/>
          <w:sz w:val="22"/>
        </w:rPr>
        <w:t xml:space="preserve">összefoglalása </w:t>
      </w:r>
      <w:r w:rsidRPr="00F567BF">
        <w:rPr>
          <w:rFonts w:ascii="Times New Roman" w:eastAsia="Times New Roman" w:hAnsi="Times New Roman"/>
          <w:sz w:val="22"/>
        </w:rPr>
        <w:t>az 5.1</w:t>
      </w:r>
      <w:r w:rsidR="00110B92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pontban </w:t>
      </w:r>
      <w:r w:rsidR="00597457">
        <w:rPr>
          <w:rFonts w:ascii="Times New Roman" w:eastAsia="Times New Roman" w:hAnsi="Times New Roman"/>
          <w:sz w:val="22"/>
        </w:rPr>
        <w:t>található</w:t>
      </w:r>
      <w:r w:rsidRPr="00F567BF">
        <w:rPr>
          <w:rFonts w:ascii="Times New Roman" w:eastAsia="Times New Roman" w:hAnsi="Times New Roman"/>
          <w:sz w:val="22"/>
        </w:rPr>
        <w:t>, de az adagolásra vonatkozó</w:t>
      </w:r>
      <w:r w:rsidR="00445750">
        <w:rPr>
          <w:rFonts w:ascii="Times New Roman" w:eastAsia="Times New Roman" w:hAnsi="Times New Roman"/>
          <w:sz w:val="22"/>
        </w:rPr>
        <w:t>an nem adható ajánlás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1FE56FD4" w14:textId="77777777" w:rsidR="002A793D" w:rsidRPr="00F567BF" w:rsidRDefault="002A793D" w:rsidP="003C554E">
      <w:pPr>
        <w:spacing w:line="255" w:lineRule="exact"/>
        <w:rPr>
          <w:rFonts w:ascii="Times New Roman" w:eastAsia="Times New Roman" w:hAnsi="Times New Roman"/>
        </w:rPr>
      </w:pPr>
    </w:p>
    <w:p w14:paraId="3FFFED5C" w14:textId="77777777" w:rsidR="00736DD6" w:rsidRDefault="00DF5FF6" w:rsidP="003C554E">
      <w:pPr>
        <w:spacing w:line="230" w:lineRule="auto"/>
        <w:rPr>
          <w:rFonts w:ascii="Times New Roman" w:eastAsia="Times New Roman" w:hAnsi="Times New Roman"/>
          <w:i/>
          <w:sz w:val="22"/>
        </w:rPr>
      </w:pPr>
      <w:r w:rsidRPr="002A7C91">
        <w:rPr>
          <w:rFonts w:ascii="Times New Roman" w:eastAsia="Times New Roman" w:hAnsi="Times New Roman"/>
          <w:i/>
          <w:sz w:val="22"/>
        </w:rPr>
        <w:t>Májkárosodás</w:t>
      </w:r>
    </w:p>
    <w:p w14:paraId="5841B7FD" w14:textId="77777777" w:rsidR="002A793D" w:rsidRPr="00F567BF" w:rsidRDefault="002A793D" w:rsidP="003C554E">
      <w:pPr>
        <w:spacing w:line="230" w:lineRule="auto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 xml:space="preserve">Az imatinib főként a májon keresztül metabolizálódik. Enyhe, </w:t>
      </w:r>
      <w:r w:rsidR="00DF5FF6">
        <w:rPr>
          <w:rFonts w:ascii="Times New Roman" w:eastAsia="Times New Roman" w:hAnsi="Times New Roman"/>
          <w:sz w:val="22"/>
        </w:rPr>
        <w:t>közepesen súlyos</w:t>
      </w:r>
      <w:r w:rsidRPr="00F567BF">
        <w:rPr>
          <w:rFonts w:ascii="Times New Roman" w:eastAsia="Times New Roman" w:hAnsi="Times New Roman"/>
          <w:sz w:val="22"/>
        </w:rPr>
        <w:t xml:space="preserve"> vagy súlyos</w:t>
      </w:r>
      <w:r w:rsidRPr="00F567BF">
        <w:rPr>
          <w:rFonts w:ascii="Times New Roman" w:eastAsia="Times New Roman" w:hAnsi="Times New Roman"/>
          <w:i/>
          <w:sz w:val="22"/>
        </w:rPr>
        <w:t xml:space="preserve"> </w:t>
      </w:r>
      <w:r w:rsidR="00445750">
        <w:rPr>
          <w:rFonts w:ascii="Times New Roman" w:eastAsia="Times New Roman" w:hAnsi="Times New Roman"/>
          <w:sz w:val="22"/>
        </w:rPr>
        <w:t>májkárosodásban szenvedő</w:t>
      </w:r>
      <w:r w:rsidRPr="00F567BF">
        <w:rPr>
          <w:rFonts w:ascii="Times New Roman" w:eastAsia="Times New Roman" w:hAnsi="Times New Roman"/>
          <w:sz w:val="22"/>
        </w:rPr>
        <w:t xml:space="preserve"> betegek eset</w:t>
      </w:r>
      <w:r w:rsidR="00FA3083" w:rsidRPr="00F567BF">
        <w:rPr>
          <w:rFonts w:ascii="Times New Roman" w:eastAsia="Times New Roman" w:hAnsi="Times New Roman"/>
          <w:sz w:val="22"/>
        </w:rPr>
        <w:t xml:space="preserve">ében a legkisebb javasolt </w:t>
      </w:r>
      <w:r w:rsidR="00506DFB">
        <w:rPr>
          <w:rFonts w:ascii="Times New Roman" w:eastAsia="Times New Roman" w:hAnsi="Times New Roman"/>
          <w:sz w:val="22"/>
        </w:rPr>
        <w:t>dózis</w:t>
      </w:r>
      <w:r w:rsidR="00FA3083" w:rsidRPr="00F567BF">
        <w:rPr>
          <w:rFonts w:ascii="Times New Roman" w:eastAsia="Times New Roman" w:hAnsi="Times New Roman"/>
          <w:sz w:val="22"/>
        </w:rPr>
        <w:t xml:space="preserve">, </w:t>
      </w:r>
      <w:r w:rsidRPr="00F567BF">
        <w:rPr>
          <w:rFonts w:ascii="Times New Roman" w:eastAsia="Times New Roman" w:hAnsi="Times New Roman"/>
          <w:sz w:val="22"/>
        </w:rPr>
        <w:t>napi 400</w:t>
      </w:r>
      <w:r w:rsidR="00065742" w:rsidRPr="00F567BF">
        <w:rPr>
          <w:rFonts w:ascii="Times New Roman" w:eastAsia="Times New Roman" w:hAnsi="Times New Roman"/>
          <w:sz w:val="22"/>
        </w:rPr>
        <w:t> </w:t>
      </w:r>
      <w:r w:rsidR="00FA3083" w:rsidRPr="00F567BF">
        <w:rPr>
          <w:rFonts w:ascii="Times New Roman" w:eastAsia="Times New Roman" w:hAnsi="Times New Roman"/>
          <w:sz w:val="22"/>
        </w:rPr>
        <w:t>mg</w:t>
      </w:r>
      <w:r w:rsidRPr="00F567BF">
        <w:rPr>
          <w:rFonts w:ascii="Times New Roman" w:eastAsia="Times New Roman" w:hAnsi="Times New Roman"/>
          <w:sz w:val="22"/>
        </w:rPr>
        <w:t xml:space="preserve"> alkalmazandó. A</w:t>
      </w:r>
      <w:r w:rsidR="00506DFB">
        <w:rPr>
          <w:rFonts w:ascii="Times New Roman" w:eastAsia="Times New Roman" w:hAnsi="Times New Roman"/>
          <w:sz w:val="22"/>
        </w:rPr>
        <w:t xml:space="preserve"> dózis</w:t>
      </w:r>
      <w:r w:rsidRPr="00F567BF">
        <w:rPr>
          <w:rFonts w:ascii="Times New Roman" w:eastAsia="Times New Roman" w:hAnsi="Times New Roman"/>
          <w:sz w:val="22"/>
        </w:rPr>
        <w:t xml:space="preserve"> csökkenthető, ha a beteg nem jól tolerálja (lásd 4.4, 4.8, és 5.2</w:t>
      </w:r>
      <w:r w:rsidR="00DF5FF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pont).</w:t>
      </w:r>
    </w:p>
    <w:p w14:paraId="6C3C4F62" w14:textId="77777777" w:rsidR="002A793D" w:rsidRPr="00F567BF" w:rsidRDefault="002A793D">
      <w:pPr>
        <w:spacing w:line="291" w:lineRule="exact"/>
        <w:rPr>
          <w:rFonts w:ascii="Times New Roman" w:eastAsia="Times New Roman" w:hAnsi="Times New Roman"/>
        </w:rPr>
      </w:pPr>
    </w:p>
    <w:p w14:paraId="60BE40B6" w14:textId="77777777" w:rsidR="002A793D" w:rsidRPr="00F567BF" w:rsidRDefault="002A793D" w:rsidP="00A05972">
      <w:pPr>
        <w:keepNext/>
        <w:spacing w:line="0" w:lineRule="atLeast"/>
        <w:rPr>
          <w:rFonts w:ascii="Times New Roman" w:eastAsia="Times New Roman" w:hAnsi="Times New Roman"/>
          <w:b/>
          <w:sz w:val="22"/>
        </w:rPr>
      </w:pPr>
      <w:bookmarkStart w:id="4" w:name="page41"/>
      <w:bookmarkEnd w:id="4"/>
      <w:r w:rsidRPr="00F567BF">
        <w:rPr>
          <w:rFonts w:ascii="Times New Roman" w:eastAsia="Times New Roman" w:hAnsi="Times New Roman"/>
          <w:b/>
          <w:sz w:val="22"/>
        </w:rPr>
        <w:t>A máj</w:t>
      </w:r>
      <w:r w:rsidR="00FA3083" w:rsidRPr="00F567BF">
        <w:rPr>
          <w:rFonts w:ascii="Times New Roman" w:eastAsia="Times New Roman" w:hAnsi="Times New Roman"/>
          <w:b/>
          <w:sz w:val="22"/>
        </w:rPr>
        <w:t>károsodás osztályozása</w:t>
      </w:r>
    </w:p>
    <w:tbl>
      <w:tblPr>
        <w:tblW w:w="893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  <w:gridCol w:w="5531"/>
      </w:tblGrid>
      <w:tr w:rsidR="002A793D" w:rsidRPr="00F567BF" w14:paraId="323D8D84" w14:textId="77777777" w:rsidTr="008B630E">
        <w:trPr>
          <w:trHeight w:val="252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C56559" w14:textId="77777777" w:rsidR="002A793D" w:rsidRPr="00F567BF" w:rsidRDefault="002A793D" w:rsidP="00445750">
            <w:pPr>
              <w:keepNext/>
              <w:spacing w:line="251" w:lineRule="exact"/>
              <w:ind w:left="12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>Májkárosodás</w:t>
            </w:r>
          </w:p>
        </w:tc>
        <w:tc>
          <w:tcPr>
            <w:tcW w:w="55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8CE025E" w14:textId="77777777" w:rsidR="002A793D" w:rsidRPr="00F567BF" w:rsidRDefault="002A793D" w:rsidP="00A05972">
            <w:pPr>
              <w:keepNext/>
              <w:spacing w:line="251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>Májfunkciós vizsgálatok</w:t>
            </w:r>
          </w:p>
        </w:tc>
      </w:tr>
      <w:tr w:rsidR="002A793D" w:rsidRPr="00F567BF" w14:paraId="106F2892" w14:textId="77777777" w:rsidTr="008B630E">
        <w:trPr>
          <w:trHeight w:val="229"/>
        </w:trPr>
        <w:tc>
          <w:tcPr>
            <w:tcW w:w="3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6AD1B9" w14:textId="77777777" w:rsidR="002A793D" w:rsidRPr="00F567BF" w:rsidRDefault="002A793D" w:rsidP="00A05972">
            <w:pPr>
              <w:keepNext/>
              <w:spacing w:line="229" w:lineRule="exact"/>
              <w:ind w:left="12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>Enyhe</w:t>
            </w:r>
          </w:p>
        </w:tc>
        <w:tc>
          <w:tcPr>
            <w:tcW w:w="5531" w:type="dxa"/>
            <w:tcBorders>
              <w:right w:val="single" w:sz="8" w:space="0" w:color="auto"/>
            </w:tcBorders>
            <w:vAlign w:val="bottom"/>
          </w:tcPr>
          <w:p w14:paraId="62FC9F11" w14:textId="278012E5" w:rsidR="002A793D" w:rsidRPr="00F567BF" w:rsidRDefault="002A793D" w:rsidP="00A05972">
            <w:pPr>
              <w:keepNext/>
              <w:spacing w:line="229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>Összbilirubin:</w:t>
            </w:r>
            <w:r w:rsidR="004B742B">
              <w:rPr>
                <w:rFonts w:ascii="Times New Roman" w:eastAsia="Times New Roman" w:hAnsi="Times New Roman"/>
                <w:sz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</w:rPr>
              <w:t>=</w:t>
            </w:r>
            <w:r w:rsidR="00771301">
              <w:rPr>
                <w:rFonts w:ascii="Times New Roman" w:eastAsia="Times New Roman" w:hAnsi="Times New Roman"/>
                <w:sz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</w:rPr>
              <w:t>1,5</w:t>
            </w:r>
            <w:r w:rsidR="003D15A9">
              <w:rPr>
                <w:rFonts w:ascii="Times New Roman" w:eastAsia="Times New Roman" w:hAnsi="Times New Roman"/>
                <w:sz w:val="22"/>
              </w:rPr>
              <w:t> </w:t>
            </w:r>
            <w:r w:rsidR="009375D9" w:rsidRPr="009375D9">
              <w:rPr>
                <w:rFonts w:ascii="Times New Roman" w:eastAsia="Times New Roman" w:hAnsi="Times New Roman"/>
                <w:sz w:val="22"/>
              </w:rPr>
              <w:t>×</w:t>
            </w:r>
            <w:r w:rsidR="003D15A9">
              <w:rPr>
                <w:rFonts w:ascii="Times New Roman" w:eastAsia="Times New Roman" w:hAnsi="Times New Roman"/>
                <w:sz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</w:rPr>
              <w:t>ULN</w:t>
            </w:r>
          </w:p>
        </w:tc>
      </w:tr>
      <w:tr w:rsidR="002A793D" w:rsidRPr="00F567BF" w14:paraId="6AE64776" w14:textId="77777777" w:rsidTr="00445750">
        <w:trPr>
          <w:trHeight w:val="241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7410E7" w14:textId="77777777" w:rsidR="002A793D" w:rsidRPr="00F567BF" w:rsidRDefault="002A793D" w:rsidP="00A05972">
            <w:pPr>
              <w:keepNext/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53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B939AB" w14:textId="227A718D" w:rsidR="002A793D" w:rsidRPr="00F567BF" w:rsidRDefault="002A793D" w:rsidP="00A05972">
            <w:pPr>
              <w:keepNext/>
              <w:spacing w:line="241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 xml:space="preserve">GOT: </w:t>
            </w:r>
            <w:r w:rsidR="002F201D">
              <w:rPr>
                <w:rFonts w:ascii="Times New Roman" w:eastAsia="Times New Roman" w:hAnsi="Times New Roman"/>
                <w:sz w:val="22"/>
              </w:rPr>
              <w:t>&gt; </w:t>
            </w:r>
            <w:r w:rsidRPr="00F567BF">
              <w:rPr>
                <w:rFonts w:ascii="Times New Roman" w:eastAsia="Times New Roman" w:hAnsi="Times New Roman"/>
                <w:sz w:val="22"/>
              </w:rPr>
              <w:t xml:space="preserve">ULN (lehet normális vagy </w:t>
            </w:r>
            <w:r w:rsidR="00273092">
              <w:rPr>
                <w:rFonts w:ascii="Times New Roman" w:eastAsia="Times New Roman" w:hAnsi="Times New Roman"/>
                <w:sz w:val="22"/>
              </w:rPr>
              <w:t>&lt; </w:t>
            </w:r>
            <w:r w:rsidRPr="00F567BF">
              <w:rPr>
                <w:rFonts w:ascii="Times New Roman" w:eastAsia="Times New Roman" w:hAnsi="Times New Roman"/>
                <w:sz w:val="22"/>
              </w:rPr>
              <w:t>ULN, ha az összbilirubin</w:t>
            </w:r>
            <w:r w:rsidR="00A25EBC">
              <w:rPr>
                <w:rFonts w:ascii="Times New Roman" w:eastAsia="Times New Roman" w:hAnsi="Times New Roman"/>
                <w:sz w:val="22"/>
              </w:rPr>
              <w:t> </w:t>
            </w:r>
            <w:r w:rsidR="00DF5FF6">
              <w:rPr>
                <w:rFonts w:ascii="Times New Roman" w:eastAsia="Times New Roman" w:hAnsi="Times New Roman"/>
                <w:sz w:val="22"/>
              </w:rPr>
              <w:t>&gt; </w:t>
            </w:r>
            <w:r w:rsidR="00DF5FF6" w:rsidRPr="00F567BF">
              <w:rPr>
                <w:rFonts w:ascii="Times New Roman" w:eastAsia="Times New Roman" w:hAnsi="Times New Roman"/>
                <w:sz w:val="22"/>
              </w:rPr>
              <w:t>ULN)</w:t>
            </w:r>
          </w:p>
        </w:tc>
      </w:tr>
      <w:tr w:rsidR="002A793D" w:rsidRPr="00F567BF" w14:paraId="349BA895" w14:textId="77777777" w:rsidTr="00445750">
        <w:trPr>
          <w:trHeight w:val="233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1F505AC0" w14:textId="77777777" w:rsidR="002A793D" w:rsidRPr="00F567BF" w:rsidRDefault="00DF5FF6" w:rsidP="00A05972">
            <w:pPr>
              <w:keepNext/>
              <w:spacing w:line="233" w:lineRule="exac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 xml:space="preserve">Közepesen súlyos </w:t>
            </w:r>
          </w:p>
        </w:tc>
        <w:tc>
          <w:tcPr>
            <w:tcW w:w="553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8B64C58" w14:textId="3D868CBC" w:rsidR="002A793D" w:rsidRPr="00F567BF" w:rsidRDefault="002A793D" w:rsidP="00A05972">
            <w:pPr>
              <w:keepNext/>
              <w:spacing w:line="233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 xml:space="preserve">Összbilirubin: </w:t>
            </w:r>
            <w:r w:rsidR="002F201D">
              <w:rPr>
                <w:rFonts w:ascii="Times New Roman" w:eastAsia="Times New Roman" w:hAnsi="Times New Roman"/>
                <w:sz w:val="22"/>
              </w:rPr>
              <w:t>&gt; </w:t>
            </w:r>
            <w:r w:rsidRPr="00F567BF">
              <w:rPr>
                <w:rFonts w:ascii="Times New Roman" w:eastAsia="Times New Roman" w:hAnsi="Times New Roman"/>
                <w:sz w:val="22"/>
              </w:rPr>
              <w:t>1,5–3,0</w:t>
            </w:r>
            <w:r w:rsidR="004B742B">
              <w:rPr>
                <w:rFonts w:ascii="Times New Roman" w:eastAsia="Times New Roman" w:hAnsi="Times New Roman"/>
                <w:sz w:val="22"/>
              </w:rPr>
              <w:t> </w:t>
            </w:r>
            <w:r w:rsidR="000817D6">
              <w:rPr>
                <w:rFonts w:ascii="Times New Roman" w:eastAsia="Times New Roman" w:hAnsi="Times New Roman"/>
                <w:sz w:val="22"/>
              </w:rPr>
              <w:t>× </w:t>
            </w:r>
            <w:r w:rsidRPr="00F567BF">
              <w:rPr>
                <w:rFonts w:ascii="Times New Roman" w:eastAsia="Times New Roman" w:hAnsi="Times New Roman"/>
                <w:sz w:val="22"/>
              </w:rPr>
              <w:t>ULN</w:t>
            </w:r>
          </w:p>
        </w:tc>
      </w:tr>
      <w:tr w:rsidR="002A793D" w:rsidRPr="00F567BF" w14:paraId="4E65C825" w14:textId="77777777" w:rsidTr="008B630E">
        <w:trPr>
          <w:trHeight w:val="245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9F2316" w14:textId="77777777" w:rsidR="002A793D" w:rsidRPr="00F567BF" w:rsidRDefault="002A793D" w:rsidP="00A05972">
            <w:pPr>
              <w:keepNext/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53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11DD5B" w14:textId="77777777" w:rsidR="002A793D" w:rsidRPr="00F567BF" w:rsidRDefault="002A793D" w:rsidP="00445750">
            <w:pPr>
              <w:keepNext/>
              <w:spacing w:line="241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 xml:space="preserve">GOT: </w:t>
            </w:r>
            <w:r w:rsidR="00445750">
              <w:rPr>
                <w:rFonts w:ascii="Times New Roman" w:eastAsia="Times New Roman" w:hAnsi="Times New Roman"/>
                <w:sz w:val="22"/>
              </w:rPr>
              <w:t>bármilyen érték</w:t>
            </w:r>
          </w:p>
        </w:tc>
      </w:tr>
      <w:tr w:rsidR="002A793D" w:rsidRPr="00F567BF" w14:paraId="28492F2D" w14:textId="77777777" w:rsidTr="008B630E">
        <w:trPr>
          <w:trHeight w:val="232"/>
        </w:trPr>
        <w:tc>
          <w:tcPr>
            <w:tcW w:w="3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BC1659" w14:textId="77777777" w:rsidR="002A793D" w:rsidRPr="00F567BF" w:rsidRDefault="002A793D" w:rsidP="00A05972">
            <w:pPr>
              <w:keepNext/>
              <w:spacing w:line="232" w:lineRule="exact"/>
              <w:ind w:left="12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>Súlyos</w:t>
            </w:r>
          </w:p>
        </w:tc>
        <w:tc>
          <w:tcPr>
            <w:tcW w:w="5531" w:type="dxa"/>
            <w:tcBorders>
              <w:right w:val="single" w:sz="8" w:space="0" w:color="auto"/>
            </w:tcBorders>
            <w:vAlign w:val="bottom"/>
          </w:tcPr>
          <w:p w14:paraId="17B2252F" w14:textId="30EF1CEB" w:rsidR="002A793D" w:rsidRPr="00F567BF" w:rsidRDefault="002A793D" w:rsidP="00A05972">
            <w:pPr>
              <w:keepNext/>
              <w:spacing w:line="232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 xml:space="preserve">Összbilirubin: </w:t>
            </w:r>
            <w:r w:rsidR="002F201D">
              <w:rPr>
                <w:rFonts w:ascii="Times New Roman" w:eastAsia="Times New Roman" w:hAnsi="Times New Roman"/>
                <w:sz w:val="22"/>
              </w:rPr>
              <w:t>&gt; </w:t>
            </w:r>
            <w:r w:rsidRPr="00F567BF">
              <w:rPr>
                <w:rFonts w:ascii="Times New Roman" w:eastAsia="Times New Roman" w:hAnsi="Times New Roman"/>
                <w:sz w:val="22"/>
              </w:rPr>
              <w:t>3–10</w:t>
            </w:r>
            <w:r w:rsidR="004B742B">
              <w:rPr>
                <w:rFonts w:ascii="Times New Roman" w:eastAsia="Times New Roman" w:hAnsi="Times New Roman"/>
                <w:sz w:val="22"/>
              </w:rPr>
              <w:t> </w:t>
            </w:r>
            <w:r w:rsidR="00394615">
              <w:rPr>
                <w:rFonts w:ascii="Times New Roman" w:eastAsia="Times New Roman" w:hAnsi="Times New Roman"/>
                <w:sz w:val="22"/>
              </w:rPr>
              <w:t>×</w:t>
            </w:r>
            <w:r w:rsidR="003D15A9">
              <w:rPr>
                <w:rFonts w:ascii="Times New Roman" w:eastAsia="Times New Roman" w:hAnsi="Times New Roman"/>
                <w:sz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</w:rPr>
              <w:t>ULN</w:t>
            </w:r>
          </w:p>
        </w:tc>
      </w:tr>
      <w:tr w:rsidR="002A793D" w:rsidRPr="00F567BF" w14:paraId="097AC058" w14:textId="77777777" w:rsidTr="00AA74FF">
        <w:trPr>
          <w:trHeight w:val="245"/>
        </w:trPr>
        <w:tc>
          <w:tcPr>
            <w:tcW w:w="3400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14:paraId="1AA3A68B" w14:textId="77777777" w:rsidR="002A793D" w:rsidRPr="00F567BF" w:rsidRDefault="002A793D" w:rsidP="00A05972">
            <w:pPr>
              <w:keepNext/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531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14:paraId="1338EA21" w14:textId="77777777" w:rsidR="002A793D" w:rsidRPr="00F567BF" w:rsidRDefault="002A793D" w:rsidP="00445750">
            <w:pPr>
              <w:keepNext/>
              <w:spacing w:line="241" w:lineRule="exact"/>
              <w:ind w:left="80"/>
              <w:rPr>
                <w:rFonts w:ascii="Times New Roman" w:eastAsia="Times New Roman" w:hAnsi="Times New Roman"/>
                <w:sz w:val="22"/>
              </w:rPr>
            </w:pPr>
            <w:r w:rsidRPr="00F567BF">
              <w:rPr>
                <w:rFonts w:ascii="Times New Roman" w:eastAsia="Times New Roman" w:hAnsi="Times New Roman"/>
                <w:sz w:val="22"/>
              </w:rPr>
              <w:t xml:space="preserve">GOT: </w:t>
            </w:r>
            <w:r w:rsidR="00445750">
              <w:rPr>
                <w:rFonts w:ascii="Times New Roman" w:eastAsia="Times New Roman" w:hAnsi="Times New Roman"/>
                <w:sz w:val="22"/>
              </w:rPr>
              <w:t>bármilyen érték</w:t>
            </w:r>
          </w:p>
        </w:tc>
      </w:tr>
      <w:tr w:rsidR="00AA74FF" w:rsidRPr="00F567BF" w14:paraId="3A7FF4D9" w14:textId="77777777" w:rsidTr="003B3AE9">
        <w:trPr>
          <w:trHeight w:val="245"/>
        </w:trPr>
        <w:tc>
          <w:tcPr>
            <w:tcW w:w="8931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1460CA2" w14:textId="0A35A62E" w:rsidR="00AA74FF" w:rsidRPr="00771301" w:rsidRDefault="00AA74FF" w:rsidP="00AA74FF">
            <w:pPr>
              <w:keepNext/>
              <w:spacing w:line="223" w:lineRule="auto"/>
              <w:ind w:left="120"/>
              <w:rPr>
                <w:rFonts w:ascii="Times New Roman" w:eastAsia="Times New Roman" w:hAnsi="Times New Roman"/>
              </w:rPr>
            </w:pPr>
            <w:r w:rsidRPr="00771301">
              <w:rPr>
                <w:rFonts w:ascii="Times New Roman" w:eastAsia="Times New Roman" w:hAnsi="Times New Roman"/>
              </w:rPr>
              <w:t>ULN = az adott intézményben alkalmazott normál</w:t>
            </w:r>
            <w:r w:rsidR="00CA5488">
              <w:rPr>
                <w:rFonts w:ascii="Times New Roman" w:eastAsia="Times New Roman" w:hAnsi="Times New Roman"/>
              </w:rPr>
              <w:t>érték</w:t>
            </w:r>
            <w:r w:rsidRPr="00771301">
              <w:rPr>
                <w:rFonts w:ascii="Times New Roman" w:eastAsia="Times New Roman" w:hAnsi="Times New Roman"/>
              </w:rPr>
              <w:t xml:space="preserve"> felső határa</w:t>
            </w:r>
          </w:p>
          <w:p w14:paraId="4CAD96D3" w14:textId="1F9ED39A" w:rsidR="00AA74FF" w:rsidRPr="00AA74FF" w:rsidRDefault="00AA74FF" w:rsidP="00AA74FF">
            <w:pPr>
              <w:spacing w:line="232" w:lineRule="auto"/>
              <w:ind w:left="120"/>
              <w:rPr>
                <w:rFonts w:ascii="Times New Roman" w:eastAsia="Times New Roman" w:hAnsi="Times New Roman"/>
              </w:rPr>
            </w:pPr>
            <w:r w:rsidRPr="00771301">
              <w:rPr>
                <w:rFonts w:ascii="Times New Roman" w:eastAsia="Times New Roman" w:hAnsi="Times New Roman"/>
              </w:rPr>
              <w:t>GOT = </w:t>
            </w:r>
            <w:r>
              <w:rPr>
                <w:rFonts w:ascii="Times New Roman" w:eastAsia="Times New Roman" w:hAnsi="Times New Roman"/>
              </w:rPr>
              <w:t>glutamát-oxálacetát-</w:t>
            </w:r>
            <w:r w:rsidRPr="00771301">
              <w:rPr>
                <w:rFonts w:ascii="Times New Roman" w:eastAsia="Times New Roman" w:hAnsi="Times New Roman"/>
              </w:rPr>
              <w:t>transzamináz</w:t>
            </w:r>
          </w:p>
        </w:tc>
      </w:tr>
    </w:tbl>
    <w:p w14:paraId="3A747C3E" w14:textId="77777777" w:rsidR="002A793D" w:rsidRPr="00771301" w:rsidRDefault="002A793D">
      <w:pPr>
        <w:spacing w:line="247" w:lineRule="exact"/>
        <w:rPr>
          <w:rFonts w:ascii="Times New Roman" w:eastAsia="Times New Roman" w:hAnsi="Times New Roman"/>
        </w:rPr>
      </w:pPr>
    </w:p>
    <w:p w14:paraId="21CF365C" w14:textId="77777777" w:rsidR="00771301" w:rsidRDefault="002A793D" w:rsidP="0037049C">
      <w:pPr>
        <w:ind w:right="260"/>
        <w:rPr>
          <w:rFonts w:ascii="Times New Roman" w:eastAsia="Times New Roman" w:hAnsi="Times New Roman"/>
          <w:i/>
          <w:sz w:val="22"/>
        </w:rPr>
      </w:pPr>
      <w:r w:rsidRPr="00F567BF">
        <w:rPr>
          <w:rFonts w:ascii="Times New Roman" w:eastAsia="Times New Roman" w:hAnsi="Times New Roman"/>
          <w:i/>
          <w:sz w:val="22"/>
        </w:rPr>
        <w:t>Vese</w:t>
      </w:r>
      <w:r w:rsidR="00B71C9C" w:rsidRPr="002A7C91">
        <w:rPr>
          <w:rFonts w:ascii="Times New Roman" w:eastAsia="Times New Roman" w:hAnsi="Times New Roman"/>
          <w:i/>
          <w:sz w:val="22"/>
        </w:rPr>
        <w:t>károsodá</w:t>
      </w:r>
      <w:r w:rsidRPr="00F567BF">
        <w:rPr>
          <w:rFonts w:ascii="Times New Roman" w:eastAsia="Times New Roman" w:hAnsi="Times New Roman"/>
          <w:i/>
          <w:sz w:val="22"/>
        </w:rPr>
        <w:t>s</w:t>
      </w:r>
    </w:p>
    <w:p w14:paraId="2565271D" w14:textId="262E4165" w:rsidR="002A793D" w:rsidRPr="00F567BF" w:rsidRDefault="002A793D" w:rsidP="0037049C">
      <w:pPr>
        <w:ind w:right="26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 xml:space="preserve">A </w:t>
      </w:r>
      <w:r w:rsidR="00A05972">
        <w:rPr>
          <w:rFonts w:ascii="Times New Roman" w:eastAsia="Times New Roman" w:hAnsi="Times New Roman"/>
          <w:sz w:val="22"/>
        </w:rPr>
        <w:t>vesekárosodásban szenvedő</w:t>
      </w:r>
      <w:r w:rsidRPr="00F567BF">
        <w:rPr>
          <w:rFonts w:ascii="Times New Roman" w:eastAsia="Times New Roman" w:hAnsi="Times New Roman"/>
          <w:i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vagy dializált betegek kezelését a leg</w:t>
      </w:r>
      <w:r w:rsidR="00CA5488">
        <w:rPr>
          <w:rFonts w:ascii="Times New Roman" w:eastAsia="Times New Roman" w:hAnsi="Times New Roman"/>
          <w:sz w:val="22"/>
        </w:rPr>
        <w:t>kisebb</w:t>
      </w:r>
      <w:r w:rsidRPr="00F567BF">
        <w:rPr>
          <w:rFonts w:ascii="Times New Roman" w:eastAsia="Times New Roman" w:hAnsi="Times New Roman"/>
          <w:i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ajánlott kezdő </w:t>
      </w:r>
      <w:r w:rsidR="00771301">
        <w:rPr>
          <w:rFonts w:ascii="Times New Roman" w:eastAsia="Times New Roman" w:hAnsi="Times New Roman"/>
          <w:sz w:val="22"/>
        </w:rPr>
        <w:t>dóziss</w:t>
      </w:r>
      <w:r w:rsidRPr="00F567BF">
        <w:rPr>
          <w:rFonts w:ascii="Times New Roman" w:eastAsia="Times New Roman" w:hAnsi="Times New Roman"/>
          <w:sz w:val="22"/>
        </w:rPr>
        <w:t>al (400</w:t>
      </w:r>
      <w:r w:rsidR="00065742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mg) kell megkezdeni. Ezeknél a betegeknél azonban fokozott óvatosság ajánlott. A</w:t>
      </w:r>
      <w:r w:rsidR="00771301">
        <w:rPr>
          <w:rFonts w:ascii="Times New Roman" w:eastAsia="Times New Roman" w:hAnsi="Times New Roman"/>
          <w:sz w:val="22"/>
        </w:rPr>
        <w:t xml:space="preserve"> dózis</w:t>
      </w:r>
      <w:r w:rsidRPr="00F567BF">
        <w:rPr>
          <w:rFonts w:ascii="Times New Roman" w:eastAsia="Times New Roman" w:hAnsi="Times New Roman"/>
          <w:sz w:val="22"/>
        </w:rPr>
        <w:t xml:space="preserve"> csökkenthető, ha a beteg nem jól tolerálja. Ha a beteg tolerálja, hatástalanság esetén a</w:t>
      </w:r>
      <w:r w:rsidR="00771301">
        <w:rPr>
          <w:rFonts w:ascii="Times New Roman" w:eastAsia="Times New Roman" w:hAnsi="Times New Roman"/>
          <w:sz w:val="22"/>
        </w:rPr>
        <w:t xml:space="preserve"> dózis</w:t>
      </w:r>
      <w:r w:rsidRPr="00F567BF">
        <w:rPr>
          <w:rFonts w:ascii="Times New Roman" w:eastAsia="Times New Roman" w:hAnsi="Times New Roman"/>
          <w:sz w:val="22"/>
        </w:rPr>
        <w:t xml:space="preserve"> emelhető (lásd 4.4 és 5.2</w:t>
      </w:r>
      <w:r w:rsidR="00B71C9C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pont).</w:t>
      </w:r>
    </w:p>
    <w:p w14:paraId="349A4626" w14:textId="77777777" w:rsidR="002A793D" w:rsidRPr="00F567BF" w:rsidRDefault="002A793D" w:rsidP="0037049C">
      <w:pPr>
        <w:rPr>
          <w:rFonts w:ascii="Times New Roman" w:eastAsia="Times New Roman" w:hAnsi="Times New Roman"/>
        </w:rPr>
      </w:pPr>
    </w:p>
    <w:p w14:paraId="1D81E5A4" w14:textId="77777777" w:rsidR="00771301" w:rsidRDefault="002A793D" w:rsidP="0037049C">
      <w:pPr>
        <w:ind w:right="560"/>
        <w:rPr>
          <w:rFonts w:ascii="Times New Roman" w:eastAsia="Times New Roman" w:hAnsi="Times New Roman"/>
          <w:i/>
          <w:sz w:val="22"/>
        </w:rPr>
      </w:pPr>
      <w:r w:rsidRPr="00F567BF">
        <w:rPr>
          <w:rFonts w:ascii="Times New Roman" w:eastAsia="Times New Roman" w:hAnsi="Times New Roman"/>
          <w:i/>
          <w:sz w:val="22"/>
        </w:rPr>
        <w:t>Idősek</w:t>
      </w:r>
    </w:p>
    <w:p w14:paraId="1B538325" w14:textId="0FD5671E" w:rsidR="002A793D" w:rsidRPr="00445750" w:rsidRDefault="00054ADD" w:rsidP="0037049C">
      <w:pPr>
        <w:ind w:right="560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</w:rPr>
        <w:t>Időseknél n</w:t>
      </w:r>
      <w:r w:rsidR="002A793D" w:rsidRPr="00771301">
        <w:rPr>
          <w:rFonts w:ascii="Times New Roman" w:eastAsia="Times New Roman" w:hAnsi="Times New Roman"/>
          <w:iCs/>
          <w:sz w:val="22"/>
        </w:rPr>
        <w:t>em</w:t>
      </w:r>
      <w:r w:rsidR="002A793D" w:rsidRPr="00F567BF">
        <w:rPr>
          <w:rFonts w:ascii="Times New Roman" w:eastAsia="Times New Roman" w:hAnsi="Times New Roman"/>
          <w:sz w:val="22"/>
        </w:rPr>
        <w:t xml:space="preserve"> végeztek specifikus vizsgálatokat az imatinib farmakokinetikájára vonatkozóan. </w:t>
      </w:r>
      <w:r w:rsidR="00445750" w:rsidRPr="00445750">
        <w:rPr>
          <w:rFonts w:ascii="Times New Roman" w:hAnsi="Times New Roman" w:cs="Times New Roman"/>
          <w:sz w:val="22"/>
          <w:szCs w:val="22"/>
        </w:rPr>
        <w:t>Felnőtt betegek bevonásával végzett klinikai vizsgálatokban,</w:t>
      </w:r>
      <w:r w:rsidR="00445750" w:rsidRPr="00445750" w:rsidDel="00643332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</w:t>
      </w:r>
      <w:r w:rsidR="00445750" w:rsidRPr="00445750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amelyekben a résztvevők több mint 20%-a 65 éves vagy ennél idősebb volt, nem tapasztaltak jelentős, </w:t>
      </w:r>
      <w:r w:rsidR="00A25EB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élet</w:t>
      </w:r>
      <w:r w:rsidR="00445750" w:rsidRPr="00445750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korhoz köthető farmakokinetikai különbségeket.</w:t>
      </w:r>
      <w:r w:rsidR="002A793D" w:rsidRPr="00445750">
        <w:rPr>
          <w:rFonts w:ascii="Times New Roman" w:eastAsia="Times New Roman" w:hAnsi="Times New Roman"/>
          <w:sz w:val="22"/>
          <w:szCs w:val="22"/>
        </w:rPr>
        <w:t xml:space="preserve"> Nem szükséges specifikus </w:t>
      </w:r>
      <w:r w:rsidR="00771301" w:rsidRPr="00445750">
        <w:rPr>
          <w:rFonts w:ascii="Times New Roman" w:eastAsia="Times New Roman" w:hAnsi="Times New Roman"/>
          <w:sz w:val="22"/>
          <w:szCs w:val="22"/>
        </w:rPr>
        <w:t>dózis</w:t>
      </w:r>
      <w:r w:rsidR="002A793D" w:rsidRPr="00445750">
        <w:rPr>
          <w:rFonts w:ascii="Times New Roman" w:eastAsia="Times New Roman" w:hAnsi="Times New Roman"/>
          <w:sz w:val="22"/>
          <w:szCs w:val="22"/>
        </w:rPr>
        <w:t>módosítás időskorban.</w:t>
      </w:r>
    </w:p>
    <w:p w14:paraId="6DDAEF9D" w14:textId="77777777" w:rsidR="002A793D" w:rsidRPr="00F567BF" w:rsidRDefault="002A793D" w:rsidP="0037049C">
      <w:pPr>
        <w:rPr>
          <w:rFonts w:ascii="Times New Roman" w:eastAsia="Times New Roman" w:hAnsi="Times New Roman"/>
        </w:rPr>
      </w:pPr>
    </w:p>
    <w:p w14:paraId="03275DB0" w14:textId="77777777" w:rsidR="0000438E" w:rsidRPr="000B1686" w:rsidRDefault="0000438E" w:rsidP="0037049C">
      <w:pPr>
        <w:rPr>
          <w:rFonts w:ascii="Times New Roman" w:eastAsia="Times New Roman" w:hAnsi="Times New Roman"/>
          <w:b/>
          <w:sz w:val="22"/>
          <w:szCs w:val="22"/>
          <w:u w:val="single"/>
        </w:rPr>
      </w:pPr>
      <w:r w:rsidRPr="000B1686">
        <w:rPr>
          <w:rFonts w:ascii="Times New Roman" w:eastAsia="Times New Roman" w:hAnsi="Times New Roman"/>
          <w:b/>
          <w:sz w:val="22"/>
          <w:szCs w:val="22"/>
          <w:u w:val="single"/>
        </w:rPr>
        <w:t>Az alkalmazás módja</w:t>
      </w:r>
    </w:p>
    <w:p w14:paraId="1841E1F6" w14:textId="77777777" w:rsidR="0037049C" w:rsidRPr="00F567BF" w:rsidRDefault="0037049C" w:rsidP="0037049C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Szájon át történő alkalmazásra.</w:t>
      </w:r>
    </w:p>
    <w:p w14:paraId="3286569D" w14:textId="544AC76E" w:rsidR="009F0746" w:rsidRPr="00F567BF" w:rsidRDefault="0000438E" w:rsidP="0037049C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Az előírt adagot </w:t>
      </w:r>
      <w:r w:rsidR="004E2BA3" w:rsidRPr="004E2BA3">
        <w:rPr>
          <w:rFonts w:ascii="Times New Roman" w:eastAsia="Times New Roman" w:hAnsi="Times New Roman" w:cs="Times New Roman"/>
          <w:i/>
          <w:sz w:val="22"/>
          <w:szCs w:val="22"/>
        </w:rPr>
        <w:t>per 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étkezés közben, egy nagy pohár vízzel kell bevenni, a gyomor</w:t>
      </w:r>
      <w:r w:rsidR="00B71C9C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bél</w:t>
      </w:r>
      <w:r w:rsidR="00D20C3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rendszeri irritáció kockázatának 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>minimalizálása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érdekében.</w:t>
      </w:r>
    </w:p>
    <w:p w14:paraId="66B59103" w14:textId="2FA1E126" w:rsidR="0000438E" w:rsidRPr="00F567BF" w:rsidRDefault="009F0746" w:rsidP="0037049C">
      <w:pPr>
        <w:rPr>
          <w:rFonts w:ascii="Times New Roman" w:eastAsia="Times New Roman" w:hAnsi="Times New Roman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Ha a beteg (p</w:t>
      </w:r>
      <w:r w:rsidR="00771301">
        <w:rPr>
          <w:rFonts w:ascii="Times New Roman" w:eastAsia="Times New Roman" w:hAnsi="Times New Roman" w:cs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l gyermek) nem tudja a kapszulát lenyelni, annak tartalma feloldható egy pohár vízben vagy almalében.</w:t>
      </w:r>
    </w:p>
    <w:p w14:paraId="5E8900F8" w14:textId="77777777" w:rsidR="0000438E" w:rsidRPr="00F567BF" w:rsidRDefault="0000438E">
      <w:pPr>
        <w:spacing w:line="240" w:lineRule="exact"/>
        <w:rPr>
          <w:rFonts w:ascii="Times New Roman" w:eastAsia="Times New Roman" w:hAnsi="Times New Roman"/>
        </w:rPr>
      </w:pPr>
    </w:p>
    <w:p w14:paraId="48F724FA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4.3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Ellenjavallatok</w:t>
      </w:r>
    </w:p>
    <w:p w14:paraId="4C526077" w14:textId="77777777" w:rsidR="002A793D" w:rsidRPr="00F567BF" w:rsidRDefault="002A793D">
      <w:pPr>
        <w:spacing w:line="242" w:lineRule="exact"/>
        <w:rPr>
          <w:rFonts w:ascii="Times New Roman" w:eastAsia="Times New Roman" w:hAnsi="Times New Roman"/>
        </w:rPr>
      </w:pPr>
    </w:p>
    <w:p w14:paraId="0F4B8050" w14:textId="77777777" w:rsidR="002A793D" w:rsidRPr="00F567BF" w:rsidRDefault="002A793D" w:rsidP="00445750">
      <w:pPr>
        <w:spacing w:line="230" w:lineRule="auto"/>
        <w:ind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készítmény hatóanyagával vagy a 6.1</w:t>
      </w:r>
      <w:r w:rsidR="000B006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pontban felsorolt bármely segédanyagával szembeni túlérzékenység.</w:t>
      </w:r>
    </w:p>
    <w:p w14:paraId="5E8630B0" w14:textId="77777777" w:rsidR="002A793D" w:rsidRPr="00F567BF" w:rsidRDefault="002A793D">
      <w:pPr>
        <w:spacing w:line="241" w:lineRule="exact"/>
        <w:rPr>
          <w:rFonts w:ascii="Times New Roman" w:eastAsia="Times New Roman" w:hAnsi="Times New Roman"/>
        </w:rPr>
      </w:pPr>
    </w:p>
    <w:p w14:paraId="5D06AF8B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4.4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Különleges figyelmeztetések és az alkalmazással kapcsolatos óvintézkedések</w:t>
      </w:r>
    </w:p>
    <w:p w14:paraId="64895F01" w14:textId="77777777" w:rsidR="002A793D" w:rsidRPr="00F567BF" w:rsidRDefault="002A793D">
      <w:pPr>
        <w:spacing w:line="242" w:lineRule="exact"/>
        <w:rPr>
          <w:rFonts w:ascii="Times New Roman" w:eastAsia="Times New Roman" w:hAnsi="Times New Roman"/>
        </w:rPr>
      </w:pPr>
    </w:p>
    <w:p w14:paraId="050E9EB4" w14:textId="73C892E8" w:rsidR="002A793D" w:rsidRPr="00F567BF" w:rsidRDefault="002A793D" w:rsidP="00445750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Amikor </w:t>
      </w:r>
      <w:r w:rsidR="00AD5074" w:rsidRPr="00F567BF">
        <w:rPr>
          <w:rFonts w:ascii="Times New Roman" w:eastAsia="Times New Roman" w:hAnsi="Times New Roman" w:cs="Times New Roman"/>
          <w:sz w:val="22"/>
          <w:szCs w:val="22"/>
        </w:rPr>
        <w:t>az imatinibet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egyéb gyógyszerekkel adják egyidejűleg, számolni kell a gyógyszerkölcsönhatás kialakulásának lehetőségével. Elővigyázatosság szükséges, ha </w:t>
      </w:r>
      <w:r w:rsidR="00AD5074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 proteáz-inhibítor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>r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al, azol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95F16" w:rsidRPr="002A7C91">
        <w:rPr>
          <w:rFonts w:ascii="Times New Roman" w:eastAsia="Times New Roman" w:hAnsi="Times New Roman" w:cs="Times New Roman"/>
          <w:sz w:val="22"/>
          <w:szCs w:val="22"/>
        </w:rPr>
        <w:t>típusú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gombaellenes </w:t>
      </w:r>
      <w:r w:rsidR="005F43C0">
        <w:rPr>
          <w:rFonts w:ascii="Times New Roman" w:eastAsia="Times New Roman" w:hAnsi="Times New Roman" w:cs="Times New Roman"/>
          <w:sz w:val="22"/>
          <w:szCs w:val="22"/>
        </w:rPr>
        <w:t>gyógy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szer</w:t>
      </w:r>
      <w:r w:rsidR="0096269B">
        <w:rPr>
          <w:rFonts w:ascii="Times New Roman" w:eastAsia="Times New Roman" w:hAnsi="Times New Roman" w:cs="Times New Roman"/>
          <w:sz w:val="22"/>
          <w:szCs w:val="22"/>
        </w:rPr>
        <w:t>r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el, egyes makrolidokkal (lásd 4.5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pont), szűk terápiás </w:t>
      </w:r>
      <w:r w:rsidR="00F0092D">
        <w:rPr>
          <w:rFonts w:ascii="Times New Roman" w:eastAsia="Times New Roman" w:hAnsi="Times New Roman" w:cs="Times New Roman"/>
          <w:sz w:val="22"/>
          <w:szCs w:val="22"/>
        </w:rPr>
        <w:t xml:space="preserve">ablakú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CYP3A4-szubsztráttal (p</w:t>
      </w:r>
      <w:r w:rsidR="00771301">
        <w:rPr>
          <w:rFonts w:ascii="Times New Roman" w:eastAsia="Times New Roman" w:hAnsi="Times New Roman" w:cs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l ciklosporin, pimozid, takrolimusz, szirolimusz, ergotamin,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lastRenderedPageBreak/>
        <w:t>diergotamin, fentanil, alfentanil, terfenadin, bortezomib, docetaxel, kinidin) vagy warfarinnal</w:t>
      </w:r>
      <w:r w:rsidR="00F0092D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0092D">
        <w:rPr>
          <w:rFonts w:ascii="Times New Roman" w:eastAsia="Times New Roman" w:hAnsi="Times New Roman" w:cs="Times New Roman"/>
          <w:sz w:val="22"/>
          <w:szCs w:val="22"/>
        </w:rPr>
        <w:t>illetve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egyéb kumarinszármazékkal együtt szedik (lásd 4.5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1CEB241A" w14:textId="77777777" w:rsidR="002A793D" w:rsidRPr="00F567BF" w:rsidRDefault="002A793D" w:rsidP="00065742">
      <w:pPr>
        <w:spacing w:line="2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3D4C294" w14:textId="70B8BD9F" w:rsidR="002A793D" w:rsidRPr="00F567BF" w:rsidRDefault="002A793D" w:rsidP="00445750">
      <w:pPr>
        <w:spacing w:line="242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Az imatinib és a CYP3A4-et indukáló gyógyszerek (p</w:t>
      </w:r>
      <w:r w:rsidR="00771301">
        <w:rPr>
          <w:rFonts w:ascii="Times New Roman" w:eastAsia="Times New Roman" w:hAnsi="Times New Roman" w:cs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l dexametazon, fenitoin, karbamazepin, rifampicin, fenobarbitál, vagy </w:t>
      </w:r>
      <w:r w:rsidRPr="00F567BF">
        <w:rPr>
          <w:rFonts w:ascii="Times New Roman" w:eastAsia="Times New Roman" w:hAnsi="Times New Roman" w:cs="Times New Roman"/>
          <w:i/>
          <w:sz w:val="22"/>
          <w:szCs w:val="22"/>
        </w:rPr>
        <w:t>Hypericum perforatum,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más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néven </w:t>
      </w:r>
      <w:r w:rsidR="00195F16" w:rsidRPr="002A7C91">
        <w:rPr>
          <w:rFonts w:ascii="Times New Roman" w:eastAsia="Times New Roman" w:hAnsi="Times New Roman" w:cs="Times New Roman"/>
          <w:sz w:val="22"/>
          <w:szCs w:val="22"/>
        </w:rPr>
        <w:t xml:space="preserve">közönséges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orbáncfű) egyidejű alkalmazásakor jelentősen csökkenhet </w:t>
      </w:r>
      <w:r w:rsidR="002D5F01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expozíció, potenciálisan fokozva a terápiás </w:t>
      </w:r>
      <w:r w:rsidR="00ED6CD2">
        <w:rPr>
          <w:rFonts w:ascii="Times New Roman" w:eastAsia="Times New Roman" w:hAnsi="Times New Roman" w:cs="Times New Roman"/>
          <w:sz w:val="22"/>
          <w:szCs w:val="22"/>
        </w:rPr>
        <w:t>sikertelenség</w:t>
      </w:r>
      <w:r w:rsidR="00ED6CD2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kockázatát. Ezért kerülni kell az erős CYP3A4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indukto</w:t>
      </w:r>
      <w:r w:rsidR="009F460B" w:rsidRPr="00F567BF">
        <w:rPr>
          <w:rFonts w:ascii="Times New Roman" w:eastAsia="Times New Roman" w:hAnsi="Times New Roman" w:cs="Times New Roman"/>
          <w:sz w:val="22"/>
          <w:szCs w:val="22"/>
        </w:rPr>
        <w:t xml:space="preserve">rok és az imatinib együttadását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(lásd 4.5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14396609" w14:textId="77777777" w:rsidR="002A793D" w:rsidRPr="00F567BF" w:rsidRDefault="002A793D" w:rsidP="00065742">
      <w:pPr>
        <w:spacing w:line="25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90C1892" w14:textId="77777777" w:rsidR="002A793D" w:rsidRPr="00F567BF" w:rsidRDefault="002A793D" w:rsidP="009F460B">
      <w:pPr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Hypothyreosis</w:t>
      </w:r>
    </w:p>
    <w:p w14:paraId="601786CF" w14:textId="77777777" w:rsidR="002A793D" w:rsidRPr="00F567BF" w:rsidRDefault="002A793D" w:rsidP="00065742">
      <w:pPr>
        <w:spacing w:line="4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19B9117" w14:textId="61CB5A20" w:rsidR="002A793D" w:rsidRPr="00F567BF" w:rsidRDefault="002A793D" w:rsidP="006270DC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Thyreoidectomián átesett, levotiroxin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pótlás alatt álló betegek </w:t>
      </w:r>
      <w:r w:rsidR="002D5F01" w:rsidRPr="00F567BF">
        <w:rPr>
          <w:rFonts w:ascii="Times New Roman" w:eastAsia="Times New Roman" w:hAnsi="Times New Roman" w:cs="Times New Roman"/>
          <w:sz w:val="22"/>
          <w:szCs w:val="22"/>
        </w:rPr>
        <w:t>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-kezelése során beszámoltak h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pot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hy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re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is klinikai tüneteivel járó esetekről (lásd 4.5</w:t>
      </w:r>
      <w:r w:rsidR="00195F16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 Ebben a betegcsoportban a pajzsmirigyserkentő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hormon (TSH) szint</w:t>
      </w:r>
      <w:r w:rsidR="000A26A1">
        <w:rPr>
          <w:rFonts w:ascii="Times New Roman" w:eastAsia="Times New Roman" w:hAnsi="Times New Roman" w:cs="Times New Roman"/>
          <w:sz w:val="22"/>
          <w:szCs w:val="22"/>
        </w:rPr>
        <w:t>jé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t szorosan ellenőrizni kell.</w:t>
      </w:r>
    </w:p>
    <w:p w14:paraId="4819C352" w14:textId="77777777" w:rsidR="002A793D" w:rsidRPr="00F567BF" w:rsidRDefault="002A793D" w:rsidP="00065742">
      <w:pPr>
        <w:spacing w:line="252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F6701D3" w14:textId="77777777" w:rsidR="002A793D" w:rsidRPr="00F567BF" w:rsidRDefault="002A793D" w:rsidP="006270DC">
      <w:pPr>
        <w:keepNext/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Hepatotoxicitás</w:t>
      </w:r>
    </w:p>
    <w:p w14:paraId="4DBDC335" w14:textId="514D6613" w:rsidR="002A793D" w:rsidRPr="00F567BF" w:rsidRDefault="002D5F01" w:rsidP="00C87919">
      <w:pPr>
        <w:keepNext/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főként a májon keresztül metabolizálódik, csak 13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%-a ürül a vesén keresztül. Enyhe, </w:t>
      </w:r>
      <w:r w:rsidR="00DF5FF6" w:rsidRPr="009501AC">
        <w:rPr>
          <w:rFonts w:ascii="Times New Roman" w:eastAsia="Times New Roman" w:hAnsi="Times New Roman" w:cs="Times New Roman"/>
          <w:sz w:val="22"/>
          <w:szCs w:val="22"/>
        </w:rPr>
        <w:t>közepesen súlyos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vagy súlyos </w:t>
      </w:r>
      <w:r w:rsidR="006270DC" w:rsidRPr="009501AC">
        <w:rPr>
          <w:rFonts w:ascii="Times New Roman" w:eastAsia="Times New Roman" w:hAnsi="Times New Roman" w:cs="Times New Roman"/>
          <w:sz w:val="22"/>
          <w:szCs w:val="22"/>
        </w:rPr>
        <w:t>májkárosodásban szenvedő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betegek</w:t>
      </w:r>
      <w:r w:rsidR="000B0068" w:rsidRPr="009501AC">
        <w:rPr>
          <w:rFonts w:ascii="Times New Roman" w:eastAsia="Times New Roman" w:hAnsi="Times New Roman" w:cs="Times New Roman"/>
          <w:sz w:val="22"/>
          <w:szCs w:val="22"/>
        </w:rPr>
        <w:t>nél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a perifériás vérképet és a májenzim</w:t>
      </w:r>
      <w:r w:rsidR="000A26A1">
        <w:rPr>
          <w:rFonts w:ascii="Times New Roman" w:eastAsia="Times New Roman" w:hAnsi="Times New Roman" w:cs="Times New Roman"/>
          <w:sz w:val="22"/>
          <w:szCs w:val="22"/>
        </w:rPr>
        <w:t>szinteket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gondosan monitorozni kell (lásd 4.2, 4.8 és 5.2</w:t>
      </w:r>
      <w:r w:rsidR="00013192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pont). </w:t>
      </w:r>
      <w:r w:rsidR="00C87919" w:rsidRPr="009501AC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Megjegyzendő, hogy gastointestinalis stomalis daganatban (GIST) szenvedő betegeknek májmetasztázisa</w:t>
      </w:r>
      <w:r w:rsidR="00C87919" w:rsidRPr="00C87919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 xml:space="preserve"> is lehet, ami májelégtelenséghez vezethet.</w:t>
      </w:r>
    </w:p>
    <w:p w14:paraId="03F6B401" w14:textId="77777777" w:rsidR="002A793D" w:rsidRPr="00F567BF" w:rsidRDefault="002A793D" w:rsidP="00065742">
      <w:pPr>
        <w:spacing w:line="25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A64457C" w14:textId="2151C8B0" w:rsidR="002A793D" w:rsidRPr="00F567BF" w:rsidRDefault="002A793D" w:rsidP="006270DC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Májkárosodás eseteit – beleértve a májelégtelenséget és a májnekrózist – figyelték meg az imatinib alkalmazása mellett. Ha az imatinibet nagy dózisú kemoterápiás </w:t>
      </w:r>
      <w:r w:rsidR="00BA7AFF">
        <w:rPr>
          <w:rFonts w:ascii="Times New Roman" w:eastAsia="Times New Roman" w:hAnsi="Times New Roman" w:cs="Times New Roman"/>
          <w:sz w:val="22"/>
          <w:szCs w:val="22"/>
        </w:rPr>
        <w:t>protokollal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kombinációban alkalmazzák, a súlyos májreakciók gyakoriságának növekedését figyelték meg. A májfunkciót gondosan ellenőrizni kell, ha az imatinibet olyan kemoterápiás protokollal alkalmazzák kombinációban, amely ismerten a májfunkció zavaraival</w:t>
      </w:r>
      <w:r w:rsidR="009F460B" w:rsidRPr="00F567BF">
        <w:rPr>
          <w:rFonts w:ascii="Times New Roman" w:eastAsia="Times New Roman" w:hAnsi="Times New Roman" w:cs="Times New Roman"/>
          <w:sz w:val="22"/>
          <w:szCs w:val="22"/>
        </w:rPr>
        <w:t xml:space="preserve"> járhat (lásd 4.5 és 4.8</w:t>
      </w:r>
      <w:r w:rsidR="00013192">
        <w:rPr>
          <w:rFonts w:ascii="Times New Roman" w:eastAsia="Times New Roman" w:hAnsi="Times New Roman" w:cs="Times New Roman"/>
          <w:sz w:val="22"/>
          <w:szCs w:val="22"/>
        </w:rPr>
        <w:t> </w:t>
      </w:r>
      <w:r w:rsidR="009F460B"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63CA6596" w14:textId="77777777" w:rsidR="001D6F9C" w:rsidRPr="00F567BF" w:rsidRDefault="001D6F9C" w:rsidP="000D04C6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</w:p>
    <w:p w14:paraId="66A80687" w14:textId="77777777" w:rsidR="002A793D" w:rsidRPr="00F567BF" w:rsidRDefault="002A793D" w:rsidP="00065742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u w:val="single"/>
        </w:rPr>
      </w:pPr>
      <w:bookmarkStart w:id="5" w:name="page42"/>
      <w:bookmarkEnd w:id="5"/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Folyadékretenció</w:t>
      </w:r>
    </w:p>
    <w:p w14:paraId="570F5D7B" w14:textId="073B0078" w:rsidR="002A793D" w:rsidRPr="00F567BF" w:rsidRDefault="002A793D" w:rsidP="008112BC">
      <w:pPr>
        <w:spacing w:line="229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Súlyos folyadékretencióról (pleuralis folyadék, ödéma, tüdőödé</w:t>
      </w:r>
      <w:r w:rsidR="008112BC" w:rsidRPr="00F567BF">
        <w:rPr>
          <w:rFonts w:ascii="Times New Roman" w:eastAsia="Times New Roman" w:hAnsi="Times New Roman" w:cs="Times New Roman"/>
          <w:sz w:val="22"/>
          <w:szCs w:val="22"/>
        </w:rPr>
        <w:t xml:space="preserve">ma, ascites, felületes ödéma) </w:t>
      </w:r>
      <w:r w:rsidR="002D5F01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 szedő újonnan diagnosztizált CML-es betegek</w:t>
      </w:r>
      <w:r w:rsidR="00BA7AFF">
        <w:rPr>
          <w:rFonts w:ascii="Times New Roman" w:eastAsia="Times New Roman" w:hAnsi="Times New Roman" w:cs="Times New Roman"/>
          <w:sz w:val="22"/>
          <w:szCs w:val="22"/>
        </w:rPr>
        <w:t xml:space="preserve"> mintegy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2,5%-ában számoltak be. Ezért kifejezetten javasolt a betegek 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testtömegének</w:t>
      </w:r>
      <w:r w:rsidR="000D04C6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rendszeres ellenőrzése. A váratlan, gyors testtömeg-gyarapodást gondosan ki kell vizsgálni, és amennyiben szükséges, mérlegelni kell a megfelelő szupportív kezelés </w:t>
      </w:r>
      <w:r w:rsidR="008F3FF1">
        <w:rPr>
          <w:rFonts w:ascii="Times New Roman" w:eastAsia="Times New Roman" w:hAnsi="Times New Roman" w:cs="Times New Roman"/>
          <w:sz w:val="22"/>
          <w:szCs w:val="22"/>
        </w:rPr>
        <w:t xml:space="preserve">és terápiás beavatkozás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elkezdését. Klinikai vizsgálatokban ezen tünetek </w:t>
      </w:r>
      <w:r w:rsidR="00F56E02">
        <w:rPr>
          <w:rFonts w:ascii="Times New Roman" w:eastAsia="Times New Roman" w:hAnsi="Times New Roman" w:cs="Times New Roman"/>
          <w:sz w:val="22"/>
          <w:szCs w:val="22"/>
        </w:rPr>
        <w:t>incidenciája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nagyobb volt az idősebb betegek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illetve azok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, akiknek az anamnézisében szívbetegség szerepelt. Ezért 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a szívbetegségben szenvedő betegek esetében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elővigyázatosság szükséges.</w:t>
      </w:r>
    </w:p>
    <w:p w14:paraId="03821BDE" w14:textId="77777777" w:rsidR="002A793D" w:rsidRPr="00F567BF" w:rsidRDefault="002A793D" w:rsidP="00065742">
      <w:pPr>
        <w:spacing w:line="255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3173C181" w14:textId="77777777" w:rsidR="002A793D" w:rsidRPr="00F567BF" w:rsidRDefault="002A793D" w:rsidP="00065742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Szívbetegségben szenvedő betegek</w:t>
      </w:r>
    </w:p>
    <w:p w14:paraId="40D351FF" w14:textId="77777777" w:rsidR="002A793D" w:rsidRPr="00F567BF" w:rsidRDefault="002A793D" w:rsidP="00065742">
      <w:pPr>
        <w:spacing w:line="3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5FD7F34" w14:textId="77777777" w:rsidR="002A793D" w:rsidRPr="00F567BF" w:rsidRDefault="002A793D" w:rsidP="00065742">
      <w:pPr>
        <w:spacing w:line="230" w:lineRule="auto"/>
        <w:ind w:right="8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Szívbetegség, a szívelégtelenség kockázati tényezőinek fennállása vagy korábban fennálló veseelégtelenség esetén a betegek gondos monitorozására van szükség. A szív- vagy veseelégtelenség tüneteit mutató betegeket ki kell vizsgálni és ennek megfelelően kell kezelni.</w:t>
      </w:r>
    </w:p>
    <w:p w14:paraId="6905A004" w14:textId="77777777" w:rsidR="002A793D" w:rsidRPr="00F567BF" w:rsidRDefault="002A793D" w:rsidP="00065742">
      <w:pPr>
        <w:spacing w:line="24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7D8A727" w14:textId="7E4454F4" w:rsidR="002A793D" w:rsidRPr="00F567BF" w:rsidRDefault="002A793D" w:rsidP="00065742">
      <w:pPr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HES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sejtek szívizomba történő okkult infiltrációjával járó hypereosinophilia szindrómás (HES) betegek köz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ött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F7979" w:rsidRPr="002A7C91">
        <w:rPr>
          <w:rFonts w:ascii="Times New Roman" w:eastAsia="Times New Roman" w:hAnsi="Times New Roman" w:cs="Times New Roman"/>
          <w:sz w:val="22"/>
          <w:szCs w:val="22"/>
        </w:rPr>
        <w:t>izolált</w:t>
      </w:r>
      <w:r w:rsidR="00AF7979" w:rsidRPr="00AF7979" w:rsidDel="00AF797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esetekben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 xml:space="preserve"> fellépő</w:t>
      </w:r>
      <w:r w:rsidR="00AF7979" w:rsidRPr="002A7C9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c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ardiog</w:t>
      </w:r>
      <w:r w:rsidR="00AF04D1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n sokk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</w:t>
      </w:r>
      <w:r w:rsidR="00403C7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balkamra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d</w:t>
      </w:r>
      <w:r w:rsidR="00F4314F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sfunc</w:t>
      </w:r>
      <w:r w:rsidR="005A3517">
        <w:rPr>
          <w:rFonts w:ascii="Times New Roman" w:eastAsia="Times New Roman" w:hAnsi="Times New Roman" w:cs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</w:t>
      </w:r>
      <w:r w:rsidR="005A3517">
        <w:rPr>
          <w:rFonts w:ascii="Times New Roman" w:eastAsia="Times New Roman" w:hAnsi="Times New Roman" w:cs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5A3517">
        <w:rPr>
          <w:rFonts w:ascii="Times New Roman" w:eastAsia="Times New Roman" w:hAnsi="Times New Roman" w:cs="Times New Roman"/>
          <w:sz w:val="22"/>
          <w:szCs w:val="22"/>
        </w:rPr>
        <w:t>összefüggésben volt</w:t>
      </w:r>
      <w:r w:rsidR="0060214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az imatinib-kezelés megkezdésekor fellépő HES-sejt</w:t>
      </w:r>
      <w:r w:rsidR="00602140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degranulációval. A </w:t>
      </w:r>
      <w:r w:rsidR="00602140">
        <w:rPr>
          <w:rFonts w:ascii="Times New Roman" w:eastAsia="Times New Roman" w:hAnsi="Times New Roman" w:cs="Times New Roman"/>
          <w:sz w:val="22"/>
          <w:szCs w:val="22"/>
        </w:rPr>
        <w:t>jelentések</w:t>
      </w:r>
      <w:r w:rsidR="00602140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szerint a kórállapot szisztémás szteroid adására, keringéstámogatásra és az imatinib-kezelés átmenetei felfüggesztésére reverz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i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bilisnek bizonyult. Mivel az imatinib alkalmazása kapcsán nem gyakran 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c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ardi</w:t>
      </w:r>
      <w:r w:rsidR="00AF7979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lis mellékhatásokat jelentettek, ezért a HES/CEL-ben szenvedő betegek esetében az imatinib-kezelés megkezdése előtt </w:t>
      </w:r>
      <w:r w:rsidR="00AB3AFE">
        <w:rPr>
          <w:rFonts w:ascii="Times New Roman" w:eastAsia="Times New Roman" w:hAnsi="Times New Roman" w:cs="Times New Roman"/>
          <w:sz w:val="22"/>
          <w:szCs w:val="22"/>
        </w:rPr>
        <w:t>figyelembe kell venni</w:t>
      </w:r>
      <w:r w:rsidR="00AB3AFE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az előny/kockázat arány gondos értékelés</w:t>
      </w:r>
      <w:r w:rsidR="001B5E13">
        <w:rPr>
          <w:rFonts w:ascii="Times New Roman" w:eastAsia="Times New Roman" w:hAnsi="Times New Roman" w:cs="Times New Roman"/>
          <w:sz w:val="22"/>
          <w:szCs w:val="22"/>
        </w:rPr>
        <w:t>ét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D9133A5" w14:textId="77777777" w:rsidR="002A793D" w:rsidRPr="00F567BF" w:rsidRDefault="002A793D" w:rsidP="00065742">
      <w:pPr>
        <w:spacing w:line="252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6772EC9" w14:textId="5AE84289" w:rsidR="002A793D" w:rsidRPr="00F567BF" w:rsidRDefault="002A793D" w:rsidP="00065742">
      <w:pPr>
        <w:spacing w:line="230" w:lineRule="auto"/>
        <w:ind w:right="6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PDGFR</w:t>
      </w:r>
      <w:r w:rsidR="00BC3E4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génátrendeződéssel társuló myelodysplasiás/myeloproliferat</w:t>
      </w:r>
      <w:r w:rsidR="00BC3E46">
        <w:rPr>
          <w:rFonts w:ascii="Times New Roman" w:eastAsia="Times New Roman" w:hAnsi="Times New Roman" w:cs="Times New Roman"/>
          <w:sz w:val="22"/>
          <w:szCs w:val="22"/>
        </w:rPr>
        <w:t>i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v kórképek magas eosinophilszámmal járhatnak. Ennek megfelelően HES/CEL, illetve MDS/MPD 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miatt</w:t>
      </w:r>
      <w:r w:rsidR="000D04C6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kezelt betegek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nél,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magas eosinophilszám esetén az imatinib-kezelés megkezdése előtt megfontolandó a kardiológiai kivizsgálás, echo</w:t>
      </w:r>
      <w:r w:rsidR="00CA3F1D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ardiogr</w:t>
      </w:r>
      <w:r w:rsidR="008410D7">
        <w:rPr>
          <w:rFonts w:ascii="Times New Roman" w:eastAsia="Times New Roman" w:hAnsi="Times New Roman" w:cs="Times New Roman"/>
          <w:sz w:val="22"/>
          <w:szCs w:val="22"/>
        </w:rPr>
        <w:t>áfia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elvégzése és a szérumtroponinszint meghatározása. Amennyiben ezek bármelyike kóros, megfontolandó kardiológiai 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ellenőrző vizsgálatok elvégzése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valamint szisztémás szteroid (1-2</w:t>
      </w:r>
      <w:r w:rsidR="008112BC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mg/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kg) 1-2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hétig tartó</w:t>
      </w:r>
      <w:r w:rsidR="00AF04D1">
        <w:rPr>
          <w:rFonts w:ascii="Times New Roman" w:eastAsia="Times New Roman" w:hAnsi="Times New Roman" w:cs="Times New Roman"/>
          <w:sz w:val="22"/>
          <w:szCs w:val="22"/>
        </w:rPr>
        <w:t>,</w:t>
      </w:r>
      <w:r w:rsidR="00AF04D1" w:rsidRPr="00AF04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F04D1" w:rsidRPr="00F567BF">
        <w:rPr>
          <w:rFonts w:ascii="Times New Roman" w:eastAsia="Times New Roman" w:hAnsi="Times New Roman" w:cs="Times New Roman"/>
          <w:sz w:val="22"/>
          <w:szCs w:val="22"/>
        </w:rPr>
        <w:t>profilaktikus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alkalmazása az imatinib-kezelés megkezdés</w:t>
      </w:r>
      <w:r w:rsidR="00AF04D1">
        <w:rPr>
          <w:rFonts w:ascii="Times New Roman" w:eastAsia="Times New Roman" w:hAnsi="Times New Roman" w:cs="Times New Roman"/>
          <w:sz w:val="22"/>
          <w:szCs w:val="22"/>
        </w:rPr>
        <w:t xml:space="preserve">ével </w:t>
      </w:r>
      <w:r w:rsidR="00AF04D1" w:rsidRPr="00F567BF">
        <w:rPr>
          <w:rFonts w:ascii="Times New Roman" w:eastAsia="Times New Roman" w:hAnsi="Times New Roman" w:cs="Times New Roman"/>
          <w:sz w:val="22"/>
          <w:szCs w:val="22"/>
        </w:rPr>
        <w:t>egyidejű</w:t>
      </w:r>
      <w:r w:rsidR="00AF04D1">
        <w:rPr>
          <w:rFonts w:ascii="Times New Roman" w:eastAsia="Times New Roman" w:hAnsi="Times New Roman" w:cs="Times New Roman"/>
          <w:sz w:val="22"/>
          <w:szCs w:val="22"/>
        </w:rPr>
        <w:t>leg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54AB9F2" w14:textId="77777777" w:rsidR="002A793D" w:rsidRPr="00F567BF" w:rsidRDefault="002A793D" w:rsidP="00065742">
      <w:pPr>
        <w:spacing w:line="25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ECC6C88" w14:textId="77777777" w:rsidR="002A793D" w:rsidRPr="00F567BF" w:rsidRDefault="002A793D" w:rsidP="00647049">
      <w:pPr>
        <w:keepNext/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lastRenderedPageBreak/>
        <w:t>Gastrointestinalis vérzés</w:t>
      </w:r>
    </w:p>
    <w:p w14:paraId="736C5B4B" w14:textId="77777777" w:rsidR="002A793D" w:rsidRPr="00F567BF" w:rsidRDefault="002A793D" w:rsidP="00647049">
      <w:pPr>
        <w:keepNext/>
        <w:spacing w:line="2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EF74DCD" w14:textId="1B4D69B3" w:rsidR="000D04C6" w:rsidRPr="000D04C6" w:rsidRDefault="000D04C6" w:rsidP="00647049">
      <w:pPr>
        <w:keepNext/>
        <w:spacing w:line="242" w:lineRule="auto"/>
        <w:ind w:right="-8"/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</w:pPr>
      <w:r w:rsidRPr="000D04C6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 xml:space="preserve">A nem reszekábilis és/vagy metasztatikus GIST-ben szenvedő betegek vizsgálata során mind gastrointestinalis, mind intratumoralis </w:t>
      </w:r>
      <w:r w:rsidRPr="009501AC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vérzésről beszámoltak (lásd 4.8 pont). A rendelkezésre álló adatok alapján nem azonosítottak olyan prediszponáló faktort (p</w:t>
      </w:r>
      <w:r w:rsidR="000B0068" w:rsidRPr="009501AC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éldáu</w:t>
      </w:r>
      <w:r w:rsidRPr="009501AC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l a tumor mérete, lokalizációja, véralvadási zavarok), amely a GIST-es betegekre nézve nagyobb kockázatot jelentene valamely típusú vérzésre. Mivel a vascularizáltság és vérzékenység eleve fokozott a GIST természetéből és klinikai lefolyásából adódóan, minden betegnél a szokásos gyakorlatot és eljárásokat kell követni a vérzés monitorozására és kezelésére.</w:t>
      </w:r>
    </w:p>
    <w:p w14:paraId="10706733" w14:textId="77777777" w:rsidR="000D04C6" w:rsidRPr="000D04C6" w:rsidRDefault="000D04C6" w:rsidP="00065742">
      <w:pPr>
        <w:spacing w:line="242" w:lineRule="auto"/>
        <w:ind w:right="220"/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</w:pPr>
    </w:p>
    <w:p w14:paraId="4333CC12" w14:textId="434D69CE" w:rsidR="002A793D" w:rsidRPr="00F567BF" w:rsidRDefault="000D04C6" w:rsidP="000D04C6">
      <w:pPr>
        <w:spacing w:line="242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0D04C6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 xml:space="preserve">Emellett a </w:t>
      </w:r>
      <w:r w:rsidR="002A793D" w:rsidRPr="000D04C6">
        <w:rPr>
          <w:rFonts w:ascii="Times New Roman" w:eastAsia="Times New Roman" w:hAnsi="Times New Roman" w:cs="Times New Roman"/>
          <w:sz w:val="22"/>
          <w:szCs w:val="22"/>
        </w:rPr>
        <w:t>CML-ben, ALL-ben és egyéb betegségben szenvedő betegeknél gastricus antralis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vascularis ectasiáról (GAVE), a gastrointestinalis vérzés egy ritka okáról számoltak be a forgalomba hozatalt követően (lásd 4.8</w:t>
      </w:r>
      <w:r w:rsidR="000B0068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pont). Amikor szükséges, megfontolható </w:t>
      </w:r>
      <w:r w:rsidR="005C43B6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-kezelés abbahagyása.</w:t>
      </w:r>
    </w:p>
    <w:p w14:paraId="35289F63" w14:textId="77777777" w:rsidR="002A793D" w:rsidRPr="00F567BF" w:rsidRDefault="002A793D" w:rsidP="00065742">
      <w:pPr>
        <w:spacing w:line="2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7277726D" w14:textId="77777777" w:rsidR="002A793D" w:rsidRPr="00F567BF" w:rsidRDefault="002A793D" w:rsidP="000D04C6">
      <w:pPr>
        <w:keepNext/>
        <w:spacing w:line="239" w:lineRule="auto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Tumorlízis</w:t>
      </w:r>
      <w:r w:rsidR="000D04C6">
        <w:rPr>
          <w:rFonts w:ascii="Times New Roman" w:eastAsia="Times New Roman" w:hAnsi="Times New Roman" w:cs="Times New Roman"/>
          <w:sz w:val="22"/>
          <w:szCs w:val="22"/>
          <w:u w:val="single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szindróma</w:t>
      </w:r>
    </w:p>
    <w:p w14:paraId="6B6DBB27" w14:textId="77777777" w:rsidR="002A793D" w:rsidRPr="00F567BF" w:rsidRDefault="002A793D" w:rsidP="000D04C6">
      <w:pPr>
        <w:keepNext/>
        <w:spacing w:line="2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6BB1B53C" w14:textId="77777777" w:rsidR="002A793D" w:rsidRPr="00F567BF" w:rsidRDefault="002A793D" w:rsidP="000D04C6">
      <w:pPr>
        <w:keepNext/>
        <w:spacing w:line="23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tumorlízis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szindróma (</w:t>
      </w:r>
      <w:r w:rsidRPr="000D04C6">
        <w:rPr>
          <w:rFonts w:ascii="Times New Roman" w:eastAsia="Times New Roman" w:hAnsi="Times New Roman" w:cs="Times New Roman"/>
          <w:i/>
          <w:sz w:val="22"/>
          <w:szCs w:val="22"/>
        </w:rPr>
        <w:t>tumour lysis syndrome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TLS) lehetséges előfordulása miatt </w:t>
      </w:r>
      <w:r w:rsidR="005C43B6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 megkezdése előtt javasolt a klinikailag jelentős mértékű dehidrációt korrigálni, illetve a magas húgysavszintet kezelni (lásd 4.8</w:t>
      </w:r>
      <w:r w:rsidR="000B0068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1B82B88F" w14:textId="77777777" w:rsidR="0045039F" w:rsidRPr="00F567BF" w:rsidRDefault="0045039F" w:rsidP="0045039F">
      <w:pPr>
        <w:spacing w:line="230" w:lineRule="auto"/>
        <w:ind w:right="460"/>
        <w:rPr>
          <w:rFonts w:ascii="Times New Roman" w:eastAsia="Times New Roman" w:hAnsi="Times New Roman" w:cs="Times New Roman"/>
          <w:sz w:val="22"/>
          <w:szCs w:val="22"/>
        </w:rPr>
      </w:pPr>
    </w:p>
    <w:p w14:paraId="00EEFFDF" w14:textId="49F6066E" w:rsidR="0045039F" w:rsidRPr="00F567BF" w:rsidRDefault="0045039F" w:rsidP="0045039F">
      <w:pPr>
        <w:spacing w:line="230" w:lineRule="auto"/>
        <w:ind w:right="460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Hepatitis</w:t>
      </w:r>
      <w:r w:rsidR="000437DF">
        <w:rPr>
          <w:rFonts w:ascii="Times New Roman" w:eastAsia="Times New Roman" w:hAnsi="Times New Roman" w:cs="Times New Roman"/>
          <w:sz w:val="22"/>
          <w:szCs w:val="22"/>
          <w:u w:val="single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B</w:t>
      </w:r>
      <w:r w:rsidR="00880B03">
        <w:rPr>
          <w:rFonts w:ascii="Times New Roman" w:eastAsia="Times New Roman" w:hAnsi="Times New Roman" w:cs="Times New Roman"/>
          <w:sz w:val="22"/>
          <w:szCs w:val="22"/>
          <w:u w:val="single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reaktiváció</w:t>
      </w:r>
    </w:p>
    <w:p w14:paraId="6BDAD125" w14:textId="6010D2D2" w:rsidR="0045039F" w:rsidRPr="00F567BF" w:rsidRDefault="0045039F" w:rsidP="000D04C6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hepatitis</w:t>
      </w:r>
      <w:r w:rsidR="000437DF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 reaktivációja fordult elő krónikus vírushordozó betegeknél, miután ezek a betegek BCR</w:t>
      </w:r>
      <w:r w:rsidR="00B33539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ABL tirozin-kináz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inhibitort kaptak. Egyes esetekben akut májelégtelenség vagy fulmináns hepatitis alakult ki, amely májtranszplantáció</w:t>
      </w:r>
      <w:r w:rsidR="000D04C6">
        <w:rPr>
          <w:rFonts w:ascii="Times New Roman" w:eastAsia="Times New Roman" w:hAnsi="Times New Roman" w:cs="Times New Roman"/>
          <w:sz w:val="22"/>
          <w:szCs w:val="22"/>
        </w:rPr>
        <w:t>t tett szükségessé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vagy a beteg halálához vezetett.</w:t>
      </w:r>
    </w:p>
    <w:p w14:paraId="44966F0E" w14:textId="77777777" w:rsidR="0045039F" w:rsidRPr="00F567BF" w:rsidRDefault="0045039F" w:rsidP="0045039F">
      <w:pPr>
        <w:spacing w:line="230" w:lineRule="auto"/>
        <w:ind w:right="460"/>
        <w:rPr>
          <w:rFonts w:ascii="Times New Roman" w:eastAsia="Times New Roman" w:hAnsi="Times New Roman" w:cs="Times New Roman"/>
          <w:sz w:val="22"/>
          <w:szCs w:val="22"/>
        </w:rPr>
      </w:pPr>
    </w:p>
    <w:p w14:paraId="5A2F3FC8" w14:textId="41C4D6B7" w:rsidR="0045039F" w:rsidRPr="00F567BF" w:rsidRDefault="0045039F" w:rsidP="000D04C6">
      <w:pPr>
        <w:spacing w:line="230" w:lineRule="auto"/>
        <w:ind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Latib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 megkezdése előtt a betegeknél a HBV</w:t>
      </w:r>
      <w:r w:rsidR="00880B03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fertőzöttség kivizsgálás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szükség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 A májbetegségek és a hepatitis</w:t>
      </w:r>
      <w:r w:rsidR="00BB58E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</w:t>
      </w:r>
      <w:r w:rsidR="00BB58E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 szakértőivel kell konzultálni a kezelés megkezdése előtt a pozitív hepatitis</w:t>
      </w:r>
      <w:r w:rsidR="00BB58E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</w:t>
      </w:r>
      <w:r w:rsidR="00BB58E6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szerológiájú betegeknél (beleértve az aktív betegséget is), valamint olyan betegek esetében, akiknél a kezelés közben derül ki a HBV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fertőzés. A Latib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kezelést igénylő HBV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hordozókat szorosan ellenőrizni kell a kezelés közben, valamint a kezelés befejezését követően több hónapon keresztül, hogy nem alakulnak-e ki az aktív HBV</w:t>
      </w:r>
      <w:r w:rsidR="00BD1BCD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fertőzés jelei és tünetei (lásd 4.8</w:t>
      </w:r>
      <w:r w:rsidR="00CF01E7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61AEB15F" w14:textId="77777777" w:rsidR="002A793D" w:rsidRPr="00F567BF" w:rsidRDefault="002A793D" w:rsidP="00065742">
      <w:pPr>
        <w:spacing w:line="236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5D781ED" w14:textId="77777777" w:rsidR="00602389" w:rsidRPr="00921BC7" w:rsidRDefault="00602389" w:rsidP="00602389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  <w:u w:val="single"/>
        </w:rPr>
      </w:pPr>
      <w:r w:rsidRPr="00921BC7">
        <w:rPr>
          <w:rFonts w:ascii="Times New Roman" w:hAnsi="Times New Roman" w:cs="Times New Roman"/>
          <w:sz w:val="22"/>
          <w:szCs w:val="22"/>
          <w:u w:val="single"/>
        </w:rPr>
        <w:t>Fototoxicitás</w:t>
      </w:r>
    </w:p>
    <w:p w14:paraId="37A0109A" w14:textId="376A4E08" w:rsidR="00602389" w:rsidRDefault="00602389" w:rsidP="00602389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921BC7">
        <w:rPr>
          <w:rFonts w:ascii="Times New Roman" w:hAnsi="Times New Roman" w:cs="Times New Roman"/>
          <w:sz w:val="22"/>
          <w:szCs w:val="22"/>
        </w:rPr>
        <w:t xml:space="preserve">Az imatinib-kezeléssel összefüggő fototoxicitás kockázata miatt a közvetlen </w:t>
      </w:r>
      <w:r w:rsidR="009949BE">
        <w:rPr>
          <w:rFonts w:ascii="Times New Roman" w:hAnsi="Times New Roman" w:cs="Times New Roman"/>
          <w:sz w:val="22"/>
          <w:szCs w:val="22"/>
        </w:rPr>
        <w:t>nap</w:t>
      </w:r>
      <w:r w:rsidRPr="00921BC7">
        <w:rPr>
          <w:rFonts w:ascii="Times New Roman" w:hAnsi="Times New Roman" w:cs="Times New Roman"/>
          <w:sz w:val="22"/>
          <w:szCs w:val="22"/>
        </w:rPr>
        <w:t xml:space="preserve">sugárzást kerülni vagy minimalizálni kell. A betegeket tájékoztatni kell arról, hogy öltözékükkel védekezzenek és használjanak magas faktorszámú </w:t>
      </w:r>
      <w:r w:rsidR="00055591">
        <w:rPr>
          <w:rFonts w:ascii="Times New Roman" w:hAnsi="Times New Roman" w:cs="Times New Roman"/>
          <w:sz w:val="22"/>
          <w:szCs w:val="22"/>
        </w:rPr>
        <w:t>fényvédő készítményt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2A9C3EE" w14:textId="77777777" w:rsidR="00602389" w:rsidRDefault="00602389" w:rsidP="00583C1C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</w:pPr>
    </w:p>
    <w:p w14:paraId="15CE4F17" w14:textId="77777777" w:rsidR="00583C1C" w:rsidRPr="00ED7B95" w:rsidRDefault="00583C1C" w:rsidP="00583C1C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  <w:r w:rsidRPr="00ED7B95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Thromboticus microangiopathia</w:t>
      </w:r>
    </w:p>
    <w:p w14:paraId="26BCDFBA" w14:textId="1CD7F6D7" w:rsidR="00583C1C" w:rsidRPr="00583C1C" w:rsidRDefault="00583C1C" w:rsidP="00583C1C">
      <w:pPr>
        <w:keepNext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A BCR-ABL tirozin</w:t>
      </w:r>
      <w:r w:rsidR="00055591">
        <w:rPr>
          <w:rFonts w:ascii="Times New Roman" w:hAnsi="Times New Roman" w:cs="Times New Roman"/>
          <w:bCs/>
          <w:color w:val="000000"/>
          <w:sz w:val="22"/>
          <w:szCs w:val="22"/>
        </w:rPr>
        <w:t>-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kináz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>-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inhibitorok (TKI-k) a</w:t>
      </w:r>
      <w:r w:rsidR="00775F9C">
        <w:rPr>
          <w:rFonts w:ascii="Times New Roman" w:hAnsi="Times New Roman" w:cs="Times New Roman"/>
          <w:bCs/>
          <w:color w:val="000000"/>
          <w:sz w:val="22"/>
          <w:szCs w:val="22"/>
        </w:rPr>
        <w:t>lkalmaz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ása 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és a 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thromboticus microangiopathi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>a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(TMA)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között összefüggés</w:t>
      </w:r>
      <w:r w:rsidR="001B6B68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áll fenn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, a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z imatinibbel 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kapcsolatos egyedi esetjelentéseket 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is </w:t>
      </w:r>
      <w:r w:rsidR="001B6B68">
        <w:rPr>
          <w:rFonts w:ascii="Times New Roman" w:hAnsi="Times New Roman" w:cs="Times New Roman"/>
          <w:bCs/>
          <w:color w:val="000000"/>
          <w:sz w:val="22"/>
          <w:szCs w:val="22"/>
        </w:rPr>
        <w:t>id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eértve 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(lásd 4.8</w:t>
      </w:r>
      <w:r w:rsidR="00CF01E7">
        <w:rPr>
          <w:rFonts w:ascii="Times New Roman" w:hAnsi="Times New Roman" w:cs="Times New Roman"/>
          <w:bCs/>
          <w:color w:val="000000"/>
          <w:sz w:val="22"/>
          <w:szCs w:val="22"/>
        </w:rPr>
        <w:t> 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pont). Ha </w:t>
      </w:r>
      <w:r w:rsidR="00ED7B95">
        <w:rPr>
          <w:rFonts w:ascii="Times New Roman" w:hAnsi="Times New Roman" w:cs="Times New Roman"/>
          <w:bCs/>
          <w:color w:val="000000"/>
          <w:sz w:val="22"/>
          <w:szCs w:val="22"/>
        </w:rPr>
        <w:t>a</w:t>
      </w:r>
      <w:r w:rsidR="0021544B">
        <w:rPr>
          <w:rFonts w:ascii="Times New Roman" w:hAnsi="Times New Roman" w:cs="Times New Roman"/>
          <w:bCs/>
          <w:color w:val="000000"/>
          <w:sz w:val="22"/>
          <w:szCs w:val="22"/>
        </w:rPr>
        <w:t>z</w:t>
      </w:r>
      <w:r w:rsidR="00ED7B9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21544B">
        <w:rPr>
          <w:rFonts w:ascii="Times New Roman" w:hAnsi="Times New Roman" w:cs="Times New Roman"/>
          <w:bCs/>
          <w:color w:val="000000"/>
          <w:sz w:val="22"/>
          <w:szCs w:val="22"/>
        </w:rPr>
        <w:t>imatinibbel</w:t>
      </w:r>
      <w:r w:rsidR="00775F9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kezelt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betegnél a TMA</w:t>
      </w:r>
      <w:r w:rsidR="006B25F9">
        <w:rPr>
          <w:rFonts w:ascii="Times New Roman" w:hAnsi="Times New Roman" w:cs="Times New Roman"/>
          <w:bCs/>
          <w:color w:val="000000"/>
          <w:sz w:val="22"/>
          <w:szCs w:val="22"/>
        </w:rPr>
        <w:t>-val összefüggésbe</w:t>
      </w:r>
      <w:r w:rsidR="00374DE0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hozható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laboratóriumi vagy klinikai </w:t>
      </w:r>
      <w:r w:rsidR="00374DE0">
        <w:rPr>
          <w:rFonts w:ascii="Times New Roman" w:hAnsi="Times New Roman" w:cs="Times New Roman"/>
          <w:bCs/>
          <w:color w:val="000000"/>
          <w:sz w:val="22"/>
          <w:szCs w:val="22"/>
        </w:rPr>
        <w:t>leletek mutatkoznak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, a kezelést fel kell függeszteni, és a TMA alapos kivizsgálása szükséges, beleértve az ADAMTS13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>-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aktivitást és az anti-ADAMTS13-antitest</w:t>
      </w:r>
      <w:r w:rsidR="00374DE0">
        <w:rPr>
          <w:rFonts w:ascii="Times New Roman" w:hAnsi="Times New Roman" w:cs="Times New Roman"/>
          <w:bCs/>
          <w:color w:val="000000"/>
          <w:sz w:val="22"/>
          <w:szCs w:val="22"/>
        </w:rPr>
        <w:t>-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meghatározást</w:t>
      </w:r>
      <w:r w:rsidR="002A589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is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. Ha az anti-ADAMTS13-antitest</w:t>
      </w:r>
      <w:r w:rsidR="00CE2CBF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szint</w:t>
      </w:r>
      <w:r w:rsidR="00CE2CBF">
        <w:rPr>
          <w:rFonts w:ascii="Times New Roman" w:hAnsi="Times New Roman" w:cs="Times New Roman"/>
          <w:bCs/>
          <w:color w:val="000000"/>
          <w:sz w:val="22"/>
          <w:szCs w:val="22"/>
        </w:rPr>
        <w:t>je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magas és az ADAMTS13</w:t>
      </w:r>
      <w:r w:rsidR="00094536">
        <w:rPr>
          <w:rFonts w:ascii="Times New Roman" w:hAnsi="Times New Roman" w:cs="Times New Roman"/>
          <w:bCs/>
          <w:color w:val="000000"/>
          <w:sz w:val="22"/>
          <w:szCs w:val="22"/>
        </w:rPr>
        <w:t>-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aktivitás alacsony, </w:t>
      </w:r>
      <w:r w:rsidR="00ED7B9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a </w:t>
      </w:r>
      <w:r w:rsidR="00ED7B95" w:rsidRPr="000D5A44">
        <w:rPr>
          <w:rFonts w:ascii="Times New Roman" w:hAnsi="Times New Roman" w:cs="Times New Roman"/>
          <w:bCs/>
          <w:color w:val="000000"/>
          <w:sz w:val="22"/>
          <w:szCs w:val="22"/>
        </w:rPr>
        <w:t>Latib</w:t>
      </w:r>
      <w:r w:rsidRPr="00583C1C">
        <w:rPr>
          <w:rFonts w:ascii="Times New Roman" w:hAnsi="Times New Roman" w:cs="Times New Roman"/>
          <w:bCs/>
          <w:color w:val="000000"/>
          <w:sz w:val="22"/>
          <w:szCs w:val="22"/>
        </w:rPr>
        <w:t>-kezelést nem szabad folytatni</w:t>
      </w:r>
      <w:r w:rsidR="00C45239">
        <w:rPr>
          <w:rFonts w:ascii="Times New Roman" w:hAnsi="Times New Roman" w:cs="Times New Roman"/>
          <w:bCs/>
          <w:color w:val="000000"/>
          <w:sz w:val="22"/>
          <w:szCs w:val="22"/>
        </w:rPr>
        <w:t>.</w:t>
      </w:r>
    </w:p>
    <w:p w14:paraId="36DFA927" w14:textId="77777777" w:rsidR="00583C1C" w:rsidRPr="00583C1C" w:rsidRDefault="00583C1C" w:rsidP="00583C1C">
      <w:pPr>
        <w:keepNext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3D691B0E" w14:textId="77777777" w:rsidR="002A793D" w:rsidRPr="00F567BF" w:rsidRDefault="002A793D" w:rsidP="00583C1C">
      <w:pPr>
        <w:keepNext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Laboratóriumi vizsgálatok</w:t>
      </w:r>
    </w:p>
    <w:p w14:paraId="043FB26B" w14:textId="77777777" w:rsidR="002A793D" w:rsidRPr="00F567BF" w:rsidRDefault="002A793D" w:rsidP="00065742">
      <w:pPr>
        <w:spacing w:line="2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AAC6D8B" w14:textId="19D2B68D" w:rsidR="002A793D" w:rsidRPr="00F567BF" w:rsidRDefault="00BD1BCD" w:rsidP="008B630E">
      <w:pPr>
        <w:widowControl w:val="0"/>
        <w:spacing w:line="242" w:lineRule="auto"/>
        <w:ind w:right="23"/>
        <w:rPr>
          <w:rFonts w:ascii="Times New Roman" w:eastAsia="Times New Roman" w:hAnsi="Times New Roman" w:cs="Times New Roman"/>
          <w:sz w:val="22"/>
          <w:szCs w:val="22"/>
        </w:rPr>
      </w:pPr>
      <w:r w:rsidRPr="002A7C91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2A7C91">
        <w:rPr>
          <w:rFonts w:ascii="Times New Roman" w:eastAsia="Times New Roman" w:hAnsi="Times New Roman" w:cs="Times New Roman"/>
          <w:sz w:val="22"/>
          <w:szCs w:val="22"/>
        </w:rPr>
        <w:t>kezelés során rendszeresen ellenőrizni kell a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teljes vérkép</w:t>
      </w:r>
      <w:r>
        <w:rPr>
          <w:rFonts w:ascii="Times New Roman" w:eastAsia="Times New Roman" w:hAnsi="Times New Roman" w:cs="Times New Roman"/>
          <w:sz w:val="22"/>
          <w:szCs w:val="22"/>
        </w:rPr>
        <w:t>et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DA5D55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CML</w:t>
      </w:r>
      <w:r w:rsidR="007C2665">
        <w:rPr>
          <w:rFonts w:ascii="Times New Roman" w:eastAsia="Times New Roman" w:hAnsi="Times New Roman" w:cs="Times New Roman"/>
          <w:sz w:val="22"/>
          <w:szCs w:val="22"/>
        </w:rPr>
        <w:t>-es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betegek </w:t>
      </w:r>
      <w:r w:rsidR="005C43B6" w:rsidRPr="00F567BF">
        <w:rPr>
          <w:rFonts w:ascii="Times New Roman" w:eastAsia="Times New Roman" w:hAnsi="Times New Roman" w:cs="Times New Roman"/>
          <w:sz w:val="22"/>
          <w:szCs w:val="22"/>
        </w:rPr>
        <w:t>imatinib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kezelés</w:t>
      </w:r>
      <w:r w:rsidR="00DA5D55">
        <w:rPr>
          <w:rFonts w:ascii="Times New Roman" w:eastAsia="Times New Roman" w:hAnsi="Times New Roman" w:cs="Times New Roman"/>
          <w:sz w:val="22"/>
          <w:szCs w:val="22"/>
        </w:rPr>
        <w:t>ét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neutropeni</w:t>
      </w:r>
      <w:r w:rsidR="00DA5D55">
        <w:rPr>
          <w:rFonts w:ascii="Times New Roman" w:eastAsia="Times New Roman" w:hAnsi="Times New Roman" w:cs="Times New Roman"/>
          <w:sz w:val="22"/>
          <w:szCs w:val="22"/>
        </w:rPr>
        <w:t>a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vagy thrombocytopeni</w:t>
      </w:r>
      <w:r w:rsidR="00DA5D55">
        <w:rPr>
          <w:rFonts w:ascii="Times New Roman" w:eastAsia="Times New Roman" w:hAnsi="Times New Roman" w:cs="Times New Roman"/>
          <w:sz w:val="22"/>
          <w:szCs w:val="22"/>
        </w:rPr>
        <w:t>a</w:t>
      </w:r>
      <w:r w:rsidR="00454734">
        <w:rPr>
          <w:rFonts w:ascii="Times New Roman" w:eastAsia="Times New Roman" w:hAnsi="Times New Roman" w:cs="Times New Roman"/>
          <w:sz w:val="22"/>
          <w:szCs w:val="22"/>
        </w:rPr>
        <w:t xml:space="preserve"> kialakulásával hozták összefüggésbe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. Ezen cytopeniák előfordulása azonban valószínűleg a kezelendő betegség stádiumától függött, és sokkal gyakoribb volt 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CML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 xml:space="preserve"> akcelerált fázisában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vagy blasztos krízisben, mint a 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 xml:space="preserve">CML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krónikus fázis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>ában lévő betegeknél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. Ilyen esetben </w:t>
      </w:r>
      <w:r w:rsidR="005C43B6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-kezelés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>t meg lehet szakítani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, vagy az alkalmazott </w:t>
      </w:r>
      <w:r w:rsidR="00602389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>t lehet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csökkent</w:t>
      </w:r>
      <w:r w:rsidR="002A5892">
        <w:rPr>
          <w:rFonts w:ascii="Times New Roman" w:eastAsia="Times New Roman" w:hAnsi="Times New Roman" w:cs="Times New Roman"/>
          <w:sz w:val="22"/>
          <w:szCs w:val="22"/>
        </w:rPr>
        <w:t>eni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, a 4.2</w:t>
      </w:r>
      <w:r w:rsidR="007C2665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pontban javasolt</w:t>
      </w:r>
      <w:r w:rsidR="005C07F3">
        <w:rPr>
          <w:rFonts w:ascii="Times New Roman" w:eastAsia="Times New Roman" w:hAnsi="Times New Roman" w:cs="Times New Roman"/>
          <w:sz w:val="22"/>
          <w:szCs w:val="22"/>
        </w:rPr>
        <w:t>ak szerint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3F32996" w14:textId="77777777" w:rsidR="002A793D" w:rsidRPr="00F567BF" w:rsidRDefault="002A793D" w:rsidP="00065742">
      <w:pPr>
        <w:spacing w:line="2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28F5343" w14:textId="77777777" w:rsidR="002A793D" w:rsidRPr="00F567BF" w:rsidRDefault="002A793D" w:rsidP="00065742">
      <w:pPr>
        <w:spacing w:line="229" w:lineRule="auto"/>
        <w:ind w:right="18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májfunkció</w:t>
      </w:r>
      <w:r w:rsidR="005C07F3">
        <w:rPr>
          <w:rFonts w:ascii="Times New Roman" w:eastAsia="Times New Roman" w:hAnsi="Times New Roman" w:cs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(transzaminázok, bilirubin, alkalikus foszfatáz) rendszeresen ellenőriz</w:t>
      </w:r>
      <w:r w:rsidR="005C07F3">
        <w:rPr>
          <w:rFonts w:ascii="Times New Roman" w:eastAsia="Times New Roman" w:hAnsi="Times New Roman" w:cs="Times New Roman"/>
          <w:sz w:val="22"/>
          <w:szCs w:val="22"/>
        </w:rPr>
        <w:t>ni kell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5C43B6" w:rsidRPr="00F567BF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-kezelésben részesülő betegek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F79D6CE" w14:textId="77777777" w:rsidR="002A793D" w:rsidRPr="00F567BF" w:rsidRDefault="002A793D" w:rsidP="00065742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0326FCA" w14:textId="0E240D3E" w:rsidR="002A793D" w:rsidRPr="00F567BF" w:rsidRDefault="002A5892" w:rsidP="002A5892">
      <w:pPr>
        <w:spacing w:line="231" w:lineRule="auto"/>
        <w:ind w:left="1" w:right="-8"/>
        <w:rPr>
          <w:rFonts w:ascii="Times New Roman" w:eastAsia="Times New Roman" w:hAnsi="Times New Roman" w:cs="Times New Roman"/>
          <w:sz w:val="22"/>
          <w:szCs w:val="22"/>
        </w:rPr>
      </w:pPr>
      <w:bookmarkStart w:id="6" w:name="page43"/>
      <w:bookmarkEnd w:id="6"/>
      <w:r>
        <w:rPr>
          <w:rFonts w:ascii="Times New Roman" w:eastAsia="Times New Roman" w:hAnsi="Times New Roman" w:cs="Times New Roman"/>
          <w:sz w:val="22"/>
          <w:szCs w:val="22"/>
        </w:rPr>
        <w:t>Vesekárosodásban szenvedő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betegek</w:t>
      </w:r>
      <w:r>
        <w:rPr>
          <w:rFonts w:ascii="Times New Roman" w:eastAsia="Times New Roman" w:hAnsi="Times New Roman" w:cs="Times New Roman"/>
          <w:sz w:val="22"/>
          <w:szCs w:val="22"/>
        </w:rPr>
        <w:t>nél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az imatinib plazmaexpozíciója magasabbank tűnik, mint a </w:t>
      </w:r>
      <w:r w:rsidR="003D3E34">
        <w:rPr>
          <w:rFonts w:ascii="Times New Roman" w:eastAsia="Times New Roman" w:hAnsi="Times New Roman" w:cs="Times New Roman"/>
          <w:sz w:val="22"/>
          <w:szCs w:val="22"/>
        </w:rPr>
        <w:t>normális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vesefunkciójú betegek</w:t>
      </w:r>
      <w:r>
        <w:rPr>
          <w:rFonts w:ascii="Times New Roman" w:eastAsia="Times New Roman" w:hAnsi="Times New Roman" w:cs="Times New Roman"/>
          <w:sz w:val="22"/>
          <w:szCs w:val="22"/>
        </w:rPr>
        <w:t>nél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. Ennek oka valószínűleg az, hogy ezen betegek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nél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megemelkedik az imatinibet megkötő alfa</w:t>
      </w:r>
      <w:r w:rsidR="000973E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D3E34">
        <w:rPr>
          <w:rFonts w:ascii="Times New Roman" w:eastAsia="Times New Roman" w:hAnsi="Times New Roman" w:cs="Times New Roman"/>
          <w:sz w:val="22"/>
          <w:szCs w:val="22"/>
        </w:rPr>
        <w:t>savas</w:t>
      </w:r>
      <w:r w:rsidR="001235E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glikoprotein (AGP) plazmaszintje. </w:t>
      </w:r>
      <w:r w:rsidR="00135D96">
        <w:rPr>
          <w:rFonts w:ascii="Times New Roman" w:eastAsia="Times New Roman" w:hAnsi="Times New Roman" w:cs="Times New Roman"/>
          <w:sz w:val="22"/>
          <w:szCs w:val="22"/>
        </w:rPr>
        <w:t>Vesekárosodásban szenvedő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betegeknek a legkisebb kezdő </w:t>
      </w:r>
      <w:r w:rsidR="00602389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t kell adni. Súlyos </w:t>
      </w:r>
      <w:r w:rsidR="00135D96">
        <w:rPr>
          <w:rFonts w:ascii="Times New Roman" w:eastAsia="Times New Roman" w:hAnsi="Times New Roman" w:cs="Times New Roman"/>
          <w:sz w:val="22"/>
          <w:szCs w:val="22"/>
        </w:rPr>
        <w:t>vesekárosodásban szenvedő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betegek kezelése óvatosságot igényel. A</w:t>
      </w:r>
      <w:r w:rsidR="00602389">
        <w:rPr>
          <w:rFonts w:ascii="Times New Roman" w:eastAsia="Times New Roman" w:hAnsi="Times New Roman" w:cs="Times New Roman"/>
          <w:sz w:val="22"/>
          <w:szCs w:val="22"/>
        </w:rPr>
        <w:t xml:space="preserve"> dózis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t csökkenteni lehet, amennyiben azt a beteg nem tolerálja (lásd 4.2 és 5.2</w:t>
      </w:r>
      <w:r w:rsidR="00CF01E7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79F73F6B" w14:textId="77777777" w:rsidR="002A793D" w:rsidRPr="00F567BF" w:rsidRDefault="002A793D" w:rsidP="00065742">
      <w:pPr>
        <w:spacing w:line="263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D48DE10" w14:textId="1F2F9D7D" w:rsidR="002A793D" w:rsidRPr="00F567BF" w:rsidRDefault="002A793D" w:rsidP="00135D96">
      <w:pPr>
        <w:spacing w:line="243" w:lineRule="auto"/>
        <w:ind w:left="1" w:right="-8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hosszú távú</w:t>
      </w:r>
      <w:r w:rsidR="005C07F3" w:rsidRPr="005C07F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imatinib-kezelés klinikailag jelentős vesefunkció</w:t>
      </w:r>
      <w:r w:rsidR="005C07F3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romlás</w:t>
      </w:r>
      <w:r w:rsidR="004217F6">
        <w:rPr>
          <w:rFonts w:ascii="Times New Roman" w:eastAsia="Times New Roman" w:hAnsi="Times New Roman" w:cs="Times New Roman"/>
          <w:sz w:val="22"/>
          <w:szCs w:val="22"/>
        </w:rPr>
        <w:t>hoz vezethet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135D96">
        <w:rPr>
          <w:rFonts w:ascii="Times New Roman" w:eastAsia="Times New Roman" w:hAnsi="Times New Roman" w:cs="Times New Roman"/>
          <w:sz w:val="22"/>
          <w:szCs w:val="22"/>
        </w:rPr>
        <w:t>Ennek megfelelően az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imatinib</w:t>
      </w:r>
      <w:r w:rsidR="00775F9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 megkezdése előtt a vesefunkciót vizsgálni,</w:t>
      </w:r>
      <w:r w:rsidR="00D27B8C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valamint a kezelés során szorosan monitorozni kell, különös tekintettel a veseműködési zavar kockázati tényezőit mutató betegekre. Veseműködési zavar észlelése esetén megfelelő ellátást és kezelést kell elrendeni a standard kezelési irányelvek szerint.</w:t>
      </w:r>
    </w:p>
    <w:p w14:paraId="0F7BDEC3" w14:textId="77777777" w:rsidR="002A793D" w:rsidRPr="00F567BF" w:rsidRDefault="002A793D" w:rsidP="00065742">
      <w:pPr>
        <w:spacing w:line="234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E1D953D" w14:textId="77777777" w:rsidR="002A793D" w:rsidRPr="00F567BF" w:rsidRDefault="002A793D" w:rsidP="00065742">
      <w:pPr>
        <w:spacing w:line="0" w:lineRule="atLeast"/>
        <w:ind w:left="1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Gyermekek</w:t>
      </w:r>
      <w:r w:rsidR="00D27B8C"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és serdülők</w:t>
      </w:r>
    </w:p>
    <w:p w14:paraId="6FF31A0D" w14:textId="77777777" w:rsidR="002A793D" w:rsidRPr="00F567BF" w:rsidRDefault="002A793D" w:rsidP="00065742">
      <w:pPr>
        <w:spacing w:line="4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C3B5D35" w14:textId="0AF118CF" w:rsidR="009D66CB" w:rsidRPr="00F567BF" w:rsidRDefault="00135D96" w:rsidP="001556E6">
      <w:pPr>
        <w:spacing w:line="230" w:lineRule="auto"/>
        <w:ind w:left="1" w:right="-8"/>
        <w:rPr>
          <w:rFonts w:ascii="Times New Roman" w:eastAsia="Times New Roman" w:hAnsi="Times New Roman" w:cs="Times New Roman"/>
          <w:sz w:val="22"/>
          <w:szCs w:val="22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Az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 imatinib</w:t>
      </w:r>
      <w:r w:rsidR="003F0F09">
        <w:rPr>
          <w:rFonts w:ascii="Times New Roman" w:eastAsia="Times New Roman" w:hAnsi="Times New Roman" w:cs="Times New Roman"/>
          <w:sz w:val="22"/>
          <w:szCs w:val="22"/>
        </w:rPr>
        <w:t xml:space="preserve">bel </w:t>
      </w:r>
      <w:r w:rsidR="003F0F09" w:rsidRPr="009501AC">
        <w:rPr>
          <w:rFonts w:ascii="Times New Roman" w:eastAsia="Times New Roman" w:hAnsi="Times New Roman" w:cs="Times New Roman"/>
          <w:sz w:val="22"/>
          <w:szCs w:val="22"/>
        </w:rPr>
        <w:t>kezelt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gyermekek és prepubertáskor</w:t>
      </w:r>
      <w:r w:rsidR="00101EFA">
        <w:rPr>
          <w:rFonts w:ascii="Times New Roman" w:eastAsia="Times New Roman" w:hAnsi="Times New Roman" w:cs="Times New Roman"/>
          <w:sz w:val="22"/>
          <w:szCs w:val="22"/>
        </w:rPr>
        <w:t xml:space="preserve">úak 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esetében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növekedés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i retardáció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 kialakulásáról szóló esetismertetések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 xml:space="preserve"> jelentek meg</w:t>
      </w:r>
      <w:r w:rsidR="002A793D" w:rsidRPr="009501AC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602389" w:rsidRPr="00CF69EE">
        <w:rPr>
          <w:rFonts w:ascii="Times New Roman" w:hAnsi="Times New Roman" w:cs="Times New Roman"/>
          <w:sz w:val="22"/>
          <w:szCs w:val="22"/>
        </w:rPr>
        <w:t>Egy megfigyeléses vizsgálatban, 12 és 24</w:t>
      </w:r>
      <w:r w:rsidR="00602389">
        <w:rPr>
          <w:rFonts w:ascii="Times New Roman" w:hAnsi="Times New Roman" w:cs="Times New Roman"/>
          <w:sz w:val="22"/>
          <w:szCs w:val="22"/>
        </w:rPr>
        <w:t> </w:t>
      </w:r>
      <w:r w:rsidR="00602389" w:rsidRPr="00CF69EE">
        <w:rPr>
          <w:rFonts w:ascii="Times New Roman" w:hAnsi="Times New Roman" w:cs="Times New Roman"/>
          <w:sz w:val="22"/>
          <w:szCs w:val="22"/>
        </w:rPr>
        <w:t>hónapos kezelés után</w:t>
      </w:r>
      <w:r w:rsidR="00602389">
        <w:rPr>
          <w:rFonts w:ascii="Times New Roman" w:hAnsi="Times New Roman" w:cs="Times New Roman"/>
          <w:sz w:val="22"/>
          <w:szCs w:val="22"/>
        </w:rPr>
        <w:t>,</w:t>
      </w:r>
      <w:r w:rsidR="00D50E96">
        <w:rPr>
          <w:rFonts w:ascii="Times New Roman" w:hAnsi="Times New Roman" w:cs="Times New Roman"/>
          <w:sz w:val="22"/>
          <w:szCs w:val="22"/>
        </w:rPr>
        <w:t xml:space="preserve"> a </w:t>
      </w:r>
      <w:r w:rsidR="00602389" w:rsidRPr="00CF69EE">
        <w:rPr>
          <w:rFonts w:ascii="Times New Roman" w:hAnsi="Times New Roman" w:cs="Times New Roman"/>
          <w:sz w:val="22"/>
          <w:szCs w:val="22"/>
        </w:rPr>
        <w:t>CML-ben szenvedő gyermekek és serdülők két kisebb</w:t>
      </w:r>
      <w:r w:rsidR="00A87D18">
        <w:rPr>
          <w:rFonts w:ascii="Times New Roman" w:hAnsi="Times New Roman" w:cs="Times New Roman"/>
          <w:sz w:val="22"/>
          <w:szCs w:val="22"/>
        </w:rPr>
        <w:t xml:space="preserve"> </w:t>
      </w:r>
      <w:r w:rsidR="00A87D18" w:rsidRPr="00A87D18">
        <w:rPr>
          <w:rFonts w:ascii="Times New Roman" w:eastAsia="Times New Roman" w:hAnsi="Times New Roman" w:cs="Times New Roman"/>
          <w:color w:val="000000"/>
          <w:kern w:val="2"/>
          <w:sz w:val="22"/>
          <w:szCs w:val="24"/>
          <w14:ligatures w14:val="standardContextual"/>
        </w:rPr>
        <w:t>–</w:t>
      </w:r>
      <w:r w:rsidR="00602389" w:rsidRPr="00CF69EE">
        <w:rPr>
          <w:rFonts w:ascii="Times New Roman" w:hAnsi="Times New Roman" w:cs="Times New Roman"/>
          <w:sz w:val="22"/>
          <w:szCs w:val="22"/>
        </w:rPr>
        <w:t xml:space="preserve"> </w:t>
      </w:r>
      <w:r w:rsidR="00A87D18">
        <w:rPr>
          <w:rFonts w:ascii="Times New Roman" w:hAnsi="Times New Roman" w:cs="Times New Roman"/>
          <w:sz w:val="22"/>
          <w:szCs w:val="22"/>
        </w:rPr>
        <w:t xml:space="preserve">a </w:t>
      </w:r>
      <w:r w:rsidR="00602389" w:rsidRPr="00CF69EE">
        <w:rPr>
          <w:rFonts w:ascii="Times New Roman" w:hAnsi="Times New Roman" w:cs="Times New Roman"/>
          <w:sz w:val="22"/>
          <w:szCs w:val="22"/>
        </w:rPr>
        <w:t>pubertásstátusztól és nemtől független</w:t>
      </w:r>
      <w:r w:rsidR="00602389" w:rsidRPr="00CF69E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A87D18" w:rsidRPr="00A87D18">
        <w:rPr>
          <w:rFonts w:ascii="Times New Roman" w:eastAsia="Times New Roman" w:hAnsi="Times New Roman" w:cs="Times New Roman"/>
          <w:color w:val="000000"/>
          <w:kern w:val="2"/>
          <w:sz w:val="22"/>
          <w:szCs w:val="24"/>
          <w14:ligatures w14:val="standardContextual"/>
        </w:rPr>
        <w:t>–</w:t>
      </w:r>
      <w:r w:rsidR="00A87D18">
        <w:rPr>
          <w:rFonts w:ascii="Times New Roman" w:eastAsia="Times New Roman" w:hAnsi="Times New Roman" w:cs="Times New Roman"/>
          <w:color w:val="000000"/>
          <w:kern w:val="2"/>
          <w:sz w:val="22"/>
          <w:szCs w:val="24"/>
          <w14:ligatures w14:val="standardContextual"/>
        </w:rPr>
        <w:t xml:space="preserve"> </w:t>
      </w:r>
      <w:r w:rsidR="00602389" w:rsidRPr="00CF69EE">
        <w:rPr>
          <w:rFonts w:ascii="Times New Roman" w:hAnsi="Times New Roman" w:cs="Times New Roman"/>
          <w:sz w:val="22"/>
          <w:szCs w:val="22"/>
        </w:rPr>
        <w:t>alcsoportjában a medián</w:t>
      </w:r>
      <w:r w:rsidR="007360F5">
        <w:rPr>
          <w:rFonts w:ascii="Times New Roman" w:hAnsi="Times New Roman" w:cs="Times New Roman"/>
          <w:sz w:val="22"/>
          <w:szCs w:val="22"/>
        </w:rPr>
        <w:t>,</w:t>
      </w:r>
      <w:r w:rsidR="00602389" w:rsidRPr="00CF69EE">
        <w:rPr>
          <w:rFonts w:ascii="Times New Roman" w:hAnsi="Times New Roman" w:cs="Times New Roman"/>
          <w:sz w:val="22"/>
          <w:szCs w:val="22"/>
        </w:rPr>
        <w:t xml:space="preserve"> testmagasságra vonatkozó standard deviációs pontszám statisztikailag</w:t>
      </w:r>
      <w:r w:rsidR="00602389" w:rsidRPr="00CF69E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602389" w:rsidRPr="00CF69EE">
        <w:rPr>
          <w:rFonts w:ascii="Times New Roman" w:hAnsi="Times New Roman" w:cs="Times New Roman"/>
          <w:sz w:val="22"/>
          <w:szCs w:val="22"/>
        </w:rPr>
        <w:t>szignifikáns csökkenését jelentették (</w:t>
      </w:r>
      <w:r w:rsidR="00602389">
        <w:rPr>
          <w:rFonts w:ascii="Times New Roman" w:hAnsi="Times New Roman" w:cs="Times New Roman"/>
          <w:sz w:val="22"/>
          <w:szCs w:val="22"/>
        </w:rPr>
        <w:t>a</w:t>
      </w:r>
      <w:r w:rsidR="00602389" w:rsidRPr="00CF69EE">
        <w:rPr>
          <w:rFonts w:ascii="Times New Roman" w:hAnsi="Times New Roman" w:cs="Times New Roman"/>
          <w:sz w:val="22"/>
          <w:szCs w:val="22"/>
        </w:rPr>
        <w:t>melynek klinikai jelentősége bizonytalan).</w:t>
      </w:r>
      <w:r w:rsidR="00602389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26F77" w:rsidRPr="00A26F77">
        <w:rPr>
          <w:rFonts w:ascii="Times New Roman" w:eastAsia="Times New Roman" w:hAnsi="Times New Roman" w:cs="Times New Roman"/>
          <w:sz w:val="22"/>
          <w:szCs w:val="22"/>
        </w:rPr>
        <w:t xml:space="preserve">Hasonló eredményeket figyeltek meg egy ALL-ben szenvedő gyermekekből és serdülőkből álló populációval végzett megfigyeléses vizsgálatban. </w:t>
      </w:r>
      <w:r w:rsidR="00602389">
        <w:rPr>
          <w:rFonts w:ascii="Times New Roman" w:eastAsia="Times New Roman" w:hAnsi="Times New Roman" w:cs="Times New Roman"/>
          <w:sz w:val="22"/>
          <w:szCs w:val="22"/>
        </w:rPr>
        <w:t>A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 xml:space="preserve">z imatinib-kezelés alatt álló gyermekek </w:t>
      </w:r>
      <w:r w:rsidR="00BE419E">
        <w:rPr>
          <w:rFonts w:ascii="Times New Roman" w:eastAsia="Times New Roman" w:hAnsi="Times New Roman" w:cs="Times New Roman"/>
          <w:sz w:val="22"/>
          <w:szCs w:val="22"/>
        </w:rPr>
        <w:t xml:space="preserve">és serdülők 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növekedésének gondos ellenőrzése javasolt (lásd 4.8</w:t>
      </w:r>
      <w:r w:rsidR="00036CFE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 w:cs="Times New Roman"/>
          <w:sz w:val="22"/>
          <w:szCs w:val="22"/>
        </w:rPr>
        <w:t>pont).</w:t>
      </w:r>
      <w:r w:rsidR="009D66CB" w:rsidRPr="00F567BF">
        <w:rPr>
          <w:rFonts w:ascii="Times New Roman" w:eastAsia="Times New Roman" w:hAnsi="Times New Roman" w:cs="Times New Roman"/>
          <w:sz w:val="22"/>
          <w:szCs w:val="22"/>
          <w:u w:val="single"/>
          <w:lang w:eastAsia="pl-PL"/>
        </w:rPr>
        <w:t xml:space="preserve"> </w:t>
      </w:r>
    </w:p>
    <w:p w14:paraId="6C739716" w14:textId="77777777" w:rsidR="009D66CB" w:rsidRPr="00F567BF" w:rsidRDefault="009D66CB" w:rsidP="009D66CB">
      <w:pPr>
        <w:spacing w:line="230" w:lineRule="auto"/>
        <w:ind w:left="1" w:right="240"/>
        <w:rPr>
          <w:rFonts w:ascii="Times New Roman" w:eastAsia="Times New Roman" w:hAnsi="Times New Roman" w:cs="Times New Roman"/>
          <w:sz w:val="22"/>
          <w:szCs w:val="22"/>
          <w:u w:val="single"/>
          <w:lang w:eastAsia="pl-PL"/>
        </w:rPr>
      </w:pPr>
    </w:p>
    <w:p w14:paraId="29782938" w14:textId="77777777" w:rsidR="009D66CB" w:rsidRPr="00F567BF" w:rsidRDefault="009D66CB" w:rsidP="009D66CB">
      <w:pPr>
        <w:spacing w:line="230" w:lineRule="auto"/>
        <w:ind w:left="1" w:right="240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 w:cs="Times New Roman"/>
          <w:sz w:val="22"/>
          <w:szCs w:val="22"/>
          <w:u w:val="single"/>
        </w:rPr>
        <w:t>Laktóz</w:t>
      </w:r>
    </w:p>
    <w:p w14:paraId="01D21780" w14:textId="77777777" w:rsidR="009D66CB" w:rsidRPr="00F567BF" w:rsidRDefault="009D66CB" w:rsidP="009D66CB">
      <w:pPr>
        <w:spacing w:line="230" w:lineRule="auto"/>
        <w:ind w:left="1" w:right="2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7D13D5" w:rsidRPr="00F567BF">
        <w:rPr>
          <w:rFonts w:ascii="Times New Roman" w:eastAsia="Times New Roman" w:hAnsi="Times New Roman" w:cs="Times New Roman"/>
          <w:sz w:val="22"/>
          <w:szCs w:val="22"/>
        </w:rPr>
        <w:t>Latib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laktózt tartalmaz.</w:t>
      </w:r>
    </w:p>
    <w:p w14:paraId="73DC27EB" w14:textId="77777777" w:rsidR="002A793D" w:rsidRPr="00F567BF" w:rsidRDefault="009D66CB" w:rsidP="009D66CB">
      <w:pPr>
        <w:spacing w:line="230" w:lineRule="auto"/>
        <w:ind w:left="1" w:right="240"/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Ritkán előforduló, örökletes galaktóz-intoleranciában, </w:t>
      </w:r>
      <w:r w:rsidR="009F5BC2">
        <w:rPr>
          <w:rFonts w:ascii="Times New Roman" w:eastAsia="Times New Roman" w:hAnsi="Times New Roman" w:cs="Times New Roman"/>
          <w:sz w:val="22"/>
          <w:szCs w:val="22"/>
        </w:rPr>
        <w:t xml:space="preserve">teljes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lakt</w:t>
      </w:r>
      <w:r w:rsidR="009F5BC2">
        <w:rPr>
          <w:rFonts w:ascii="Times New Roman" w:eastAsia="Times New Roman" w:hAnsi="Times New Roman" w:cs="Times New Roman"/>
          <w:sz w:val="22"/>
          <w:szCs w:val="22"/>
        </w:rPr>
        <w:t>á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z</w:t>
      </w:r>
      <w:r w:rsidR="009F5BC2">
        <w:rPr>
          <w:rFonts w:ascii="Times New Roman" w:eastAsia="Times New Roman" w:hAnsi="Times New Roman" w:cs="Times New Roman"/>
          <w:sz w:val="22"/>
          <w:szCs w:val="22"/>
        </w:rPr>
        <w:t>hiányban</w:t>
      </w:r>
      <w:r w:rsidR="009F5BC2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vagy glükóz-galaktóz malabszorpcióban a készítmény nem szedhető.</w:t>
      </w:r>
    </w:p>
    <w:p w14:paraId="5FF458D5" w14:textId="77777777" w:rsidR="002A793D" w:rsidRPr="00F567BF" w:rsidRDefault="002A793D">
      <w:pPr>
        <w:spacing w:line="240" w:lineRule="exact"/>
        <w:rPr>
          <w:rFonts w:ascii="Times New Roman" w:eastAsia="Times New Roman" w:hAnsi="Times New Roman"/>
        </w:rPr>
      </w:pPr>
    </w:p>
    <w:p w14:paraId="3C00DAE4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4.5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Gyógyszerkölcsönhatások és egyéb interakciók</w:t>
      </w:r>
    </w:p>
    <w:p w14:paraId="07DA2BCE" w14:textId="77777777" w:rsidR="002A793D" w:rsidRPr="00F567BF" w:rsidRDefault="002A793D">
      <w:pPr>
        <w:spacing w:line="229" w:lineRule="exact"/>
        <w:rPr>
          <w:rFonts w:ascii="Times New Roman" w:eastAsia="Times New Roman" w:hAnsi="Times New Roman"/>
        </w:rPr>
      </w:pPr>
    </w:p>
    <w:p w14:paraId="57CF428B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Hatóanyagok, </w:t>
      </w:r>
      <w:r w:rsidR="00775F9C">
        <w:rPr>
          <w:rFonts w:ascii="Times New Roman" w:eastAsia="Times New Roman" w:hAnsi="Times New Roman"/>
          <w:sz w:val="22"/>
          <w:szCs w:val="22"/>
          <w:u w:val="single"/>
        </w:rPr>
        <w:t>a</w:t>
      </w: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melyek </w:t>
      </w:r>
      <w:r w:rsidRPr="00F567BF">
        <w:rPr>
          <w:rFonts w:ascii="Times New Roman" w:eastAsia="Times New Roman" w:hAnsi="Times New Roman"/>
          <w:b/>
          <w:sz w:val="22"/>
          <w:szCs w:val="22"/>
          <w:u w:val="single"/>
        </w:rPr>
        <w:t>növelhetik</w:t>
      </w: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 az imatinib plazmakoncentrációját</w:t>
      </w:r>
    </w:p>
    <w:p w14:paraId="4538BDFD" w14:textId="4B9FBEE6" w:rsidR="002A793D" w:rsidRPr="00F567BF" w:rsidRDefault="002A793D" w:rsidP="00367A8E">
      <w:pPr>
        <w:spacing w:line="233" w:lineRule="auto"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Azok a</w:t>
      </w:r>
      <w:r w:rsidR="00F114FC">
        <w:rPr>
          <w:rFonts w:ascii="Times New Roman" w:eastAsia="Times New Roman" w:hAnsi="Times New Roman"/>
          <w:sz w:val="22"/>
          <w:szCs w:val="22"/>
        </w:rPr>
        <w:t xml:space="preserve"> ható</w:t>
      </w:r>
      <w:r w:rsidRPr="00F567BF">
        <w:rPr>
          <w:rFonts w:ascii="Times New Roman" w:eastAsia="Times New Roman" w:hAnsi="Times New Roman"/>
          <w:sz w:val="22"/>
          <w:szCs w:val="22"/>
        </w:rPr>
        <w:t>anyagok, melyek a citokróm P450 CYP3A4 izoenzim aktivitását gátolják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>l proteáz</w:t>
      </w:r>
      <w:r w:rsidR="00775F9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inhibitorok, mint az indinavir, lopinavir/ritonavir, ritonavir, szak</w:t>
      </w:r>
      <w:r w:rsidR="00367A8E">
        <w:rPr>
          <w:rFonts w:ascii="Times New Roman" w:eastAsia="Times New Roman" w:hAnsi="Times New Roman"/>
          <w:sz w:val="22"/>
          <w:szCs w:val="22"/>
        </w:rPr>
        <w:t>v</w:t>
      </w:r>
      <w:r w:rsidRPr="00F567BF">
        <w:rPr>
          <w:rFonts w:ascii="Times New Roman" w:eastAsia="Times New Roman" w:hAnsi="Times New Roman"/>
          <w:sz w:val="22"/>
          <w:szCs w:val="22"/>
        </w:rPr>
        <w:t>inavir, telaprevir, nelfinavir, boceprevir; azol</w:t>
      </w:r>
      <w:r w:rsidR="007360F5">
        <w:rPr>
          <w:rFonts w:ascii="Times New Roman" w:eastAsia="Times New Roman" w:hAnsi="Times New Roman"/>
          <w:sz w:val="22"/>
          <w:szCs w:val="22"/>
        </w:rPr>
        <w:t xml:space="preserve"> </w:t>
      </w:r>
      <w:r w:rsidR="00036CFE">
        <w:rPr>
          <w:rFonts w:ascii="Times New Roman" w:eastAsia="Times New Roman" w:hAnsi="Times New Roman"/>
          <w:sz w:val="22"/>
          <w:szCs w:val="22"/>
        </w:rPr>
        <w:t>típusú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gombaellenes szerek, beleértve a ketokonazolt, itrakonazolt, pozakonazolt, vorikonazolt; egyes makrolidok, mint az eritromicin, klaritromicin és telitromicin) csökkenthetik az imatinib metabolizmusát és növelhetik </w:t>
      </w:r>
      <w:r w:rsidR="005F284D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>koncentrációját. Az imatinib</w:t>
      </w:r>
      <w:r w:rsidR="00036CF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expozíció szignifikáns növekedését (az imatinib átlagos </w:t>
      </w:r>
      <w:r w:rsidR="00F45D7C">
        <w:rPr>
          <w:rFonts w:ascii="Times New Roman" w:eastAsia="Times New Roman" w:hAnsi="Times New Roman"/>
          <w:sz w:val="22"/>
          <w:szCs w:val="22"/>
        </w:rPr>
        <w:t>C</w:t>
      </w:r>
      <w:r w:rsidR="007F68BB" w:rsidRPr="00F567BF">
        <w:rPr>
          <w:rFonts w:ascii="Times New Roman" w:eastAsia="Times New Roman" w:hAnsi="Times New Roman"/>
          <w:sz w:val="22"/>
          <w:szCs w:val="22"/>
          <w:vertAlign w:val="subscript"/>
        </w:rPr>
        <w:t>max</w:t>
      </w:r>
      <w:r w:rsidRPr="00F567BF">
        <w:rPr>
          <w:rFonts w:ascii="Times New Roman" w:eastAsia="Times New Roman" w:hAnsi="Times New Roman"/>
          <w:sz w:val="22"/>
          <w:szCs w:val="22"/>
        </w:rPr>
        <w:t>-</w:t>
      </w:r>
      <w:r w:rsidR="009B2A0B">
        <w:rPr>
          <w:rFonts w:ascii="Times New Roman" w:eastAsia="Times New Roman" w:hAnsi="Times New Roman"/>
          <w:sz w:val="22"/>
          <w:szCs w:val="22"/>
        </w:rPr>
        <w:t>értéke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9B2A0B" w:rsidRPr="009B2A0B">
        <w:rPr>
          <w:rFonts w:ascii="Times New Roman" w:eastAsia="Times New Roman" w:hAnsi="Times New Roman"/>
          <w:sz w:val="22"/>
          <w:szCs w:val="22"/>
        </w:rPr>
        <w:t>26%-kal</w:t>
      </w:r>
      <w:r w:rsidR="00C14FC9">
        <w:rPr>
          <w:rFonts w:ascii="Times New Roman" w:eastAsia="Times New Roman" w:hAnsi="Times New Roman"/>
          <w:sz w:val="22"/>
          <w:szCs w:val="22"/>
        </w:rPr>
        <w:t>,</w:t>
      </w:r>
      <w:r w:rsidR="009B2A0B" w:rsidRPr="009B2A0B">
        <w:rPr>
          <w:rFonts w:ascii="Times New Roman" w:eastAsia="Times New Roman" w:hAnsi="Times New Roman"/>
          <w:sz w:val="22"/>
          <w:szCs w:val="22"/>
        </w:rPr>
        <w:t xml:space="preserve"> </w:t>
      </w:r>
      <w:r w:rsidR="00C14FC9">
        <w:rPr>
          <w:rFonts w:ascii="Times New Roman" w:eastAsia="Times New Roman" w:hAnsi="Times New Roman"/>
          <w:sz w:val="22"/>
          <w:szCs w:val="22"/>
        </w:rPr>
        <w:t>illetve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AUC-értéke 40%-kal nőtt) észlelték egészséges önkéntesek</w:t>
      </w:r>
      <w:r w:rsidR="00D10AE9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367A8E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ketokonazol (CYP3A4</w:t>
      </w:r>
      <w:r w:rsidR="00036CF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gátló) </w:t>
      </w:r>
      <w:r w:rsidR="00367A8E">
        <w:rPr>
          <w:rFonts w:ascii="Times New Roman" w:eastAsia="Times New Roman" w:hAnsi="Times New Roman"/>
          <w:sz w:val="22"/>
          <w:szCs w:val="22"/>
        </w:rPr>
        <w:t xml:space="preserve">egyszeri dózisának </w:t>
      </w:r>
      <w:r w:rsidRPr="00F567BF">
        <w:rPr>
          <w:rFonts w:ascii="Times New Roman" w:eastAsia="Times New Roman" w:hAnsi="Times New Roman"/>
          <w:sz w:val="22"/>
          <w:szCs w:val="22"/>
        </w:rPr>
        <w:t>e</w:t>
      </w:r>
      <w:r w:rsidR="003A68F1" w:rsidRPr="00F567BF">
        <w:rPr>
          <w:rFonts w:ascii="Times New Roman" w:eastAsia="Times New Roman" w:hAnsi="Times New Roman"/>
          <w:sz w:val="22"/>
          <w:szCs w:val="22"/>
        </w:rPr>
        <w:t xml:space="preserve">gyidejű adásakor.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="003A68F1" w:rsidRPr="00F567BF">
        <w:rPr>
          <w:rFonts w:ascii="Times New Roman" w:eastAsia="Times New Roman" w:hAnsi="Times New Roman"/>
          <w:sz w:val="22"/>
          <w:szCs w:val="22"/>
        </w:rPr>
        <w:t xml:space="preserve"> és a </w:t>
      </w:r>
      <w:r w:rsidRPr="00F567BF">
        <w:rPr>
          <w:rFonts w:ascii="Times New Roman" w:eastAsia="Times New Roman" w:hAnsi="Times New Roman"/>
          <w:sz w:val="22"/>
          <w:szCs w:val="22"/>
        </w:rPr>
        <w:t>CYP3A4-gátló</w:t>
      </w:r>
      <w:r w:rsidR="00367A8E">
        <w:rPr>
          <w:rFonts w:ascii="Times New Roman" w:eastAsia="Times New Roman" w:hAnsi="Times New Roman"/>
          <w:sz w:val="22"/>
          <w:szCs w:val="22"/>
        </w:rPr>
        <w:t xml:space="preserve">k családjába tartozó </w:t>
      </w:r>
      <w:r w:rsidRPr="00F567BF">
        <w:rPr>
          <w:rFonts w:ascii="Times New Roman" w:eastAsia="Times New Roman" w:hAnsi="Times New Roman"/>
          <w:sz w:val="22"/>
          <w:szCs w:val="22"/>
        </w:rPr>
        <w:t>hatóanyagok</w:t>
      </w:r>
      <w:r w:rsidR="00367A8E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együttes adásakor óvatosság szükséges.</w:t>
      </w:r>
    </w:p>
    <w:p w14:paraId="2CDD778A" w14:textId="77777777" w:rsidR="002A793D" w:rsidRPr="00F567BF" w:rsidRDefault="002A793D">
      <w:pPr>
        <w:spacing w:line="237" w:lineRule="exact"/>
        <w:rPr>
          <w:rFonts w:ascii="Times New Roman" w:eastAsia="Times New Roman" w:hAnsi="Times New Roman"/>
          <w:sz w:val="22"/>
          <w:szCs w:val="22"/>
        </w:rPr>
      </w:pPr>
    </w:p>
    <w:p w14:paraId="473FC0CC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Hatóanyagok, </w:t>
      </w:r>
      <w:r w:rsidR="00775F9C">
        <w:rPr>
          <w:rFonts w:ascii="Times New Roman" w:eastAsia="Times New Roman" w:hAnsi="Times New Roman"/>
          <w:sz w:val="22"/>
          <w:szCs w:val="22"/>
          <w:u w:val="single"/>
        </w:rPr>
        <w:t>a</w:t>
      </w: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melyek </w:t>
      </w:r>
      <w:r w:rsidRPr="00F567BF">
        <w:rPr>
          <w:rFonts w:ascii="Times New Roman" w:eastAsia="Times New Roman" w:hAnsi="Times New Roman"/>
          <w:b/>
          <w:sz w:val="22"/>
          <w:szCs w:val="22"/>
          <w:u w:val="single"/>
        </w:rPr>
        <w:t>csökkenthetik</w:t>
      </w:r>
      <w:r w:rsidRPr="00F567BF">
        <w:rPr>
          <w:rFonts w:ascii="Times New Roman" w:eastAsia="Times New Roman" w:hAnsi="Times New Roman"/>
          <w:sz w:val="22"/>
          <w:szCs w:val="22"/>
          <w:u w:val="single"/>
        </w:rPr>
        <w:t xml:space="preserve"> az imatinib plazmakoncentrációját</w:t>
      </w:r>
    </w:p>
    <w:p w14:paraId="73D43FE0" w14:textId="77777777" w:rsidR="002A793D" w:rsidRPr="00F567BF" w:rsidRDefault="002A793D">
      <w:pPr>
        <w:spacing w:line="2" w:lineRule="exact"/>
        <w:rPr>
          <w:rFonts w:ascii="Times New Roman" w:eastAsia="Times New Roman" w:hAnsi="Times New Roman"/>
          <w:sz w:val="22"/>
          <w:szCs w:val="22"/>
        </w:rPr>
      </w:pPr>
    </w:p>
    <w:p w14:paraId="30A3788D" w14:textId="197CB4BE" w:rsidR="002A793D" w:rsidRPr="00F567BF" w:rsidRDefault="002A793D" w:rsidP="00367A8E">
      <w:pPr>
        <w:spacing w:line="230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CYP3A4 aktivitását indukáló </w:t>
      </w:r>
      <w:r w:rsidR="00E53ADA">
        <w:rPr>
          <w:rFonts w:ascii="Times New Roman" w:eastAsia="Times New Roman" w:hAnsi="Times New Roman"/>
          <w:sz w:val="22"/>
          <w:szCs w:val="22"/>
        </w:rPr>
        <w:t>ható</w:t>
      </w:r>
      <w:r w:rsidRPr="00F567BF">
        <w:rPr>
          <w:rFonts w:ascii="Times New Roman" w:eastAsia="Times New Roman" w:hAnsi="Times New Roman"/>
          <w:sz w:val="22"/>
          <w:szCs w:val="22"/>
        </w:rPr>
        <w:t>anyagok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l dexametazon, fenitoin, karbamazepin, rifampicin, fenobarbitál, foszfenitoin, primidon vagy a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Hypericum perforatum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[</w:t>
      </w:r>
      <w:r w:rsidR="00036CFE" w:rsidRPr="002A7C91">
        <w:rPr>
          <w:rFonts w:ascii="Times New Roman" w:eastAsia="Times New Roman" w:hAnsi="Times New Roman"/>
          <w:sz w:val="22"/>
          <w:szCs w:val="22"/>
        </w:rPr>
        <w:t xml:space="preserve">közönséges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orbáncfű]) szignifikánsan csökkenthetik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="00036CF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expozíciót, potenciálisan növelve a </w:t>
      </w:r>
      <w:r w:rsidR="00367A8E">
        <w:rPr>
          <w:rFonts w:ascii="Times New Roman" w:eastAsia="Times New Roman" w:hAnsi="Times New Roman"/>
          <w:sz w:val="22"/>
          <w:szCs w:val="22"/>
        </w:rPr>
        <w:t>terápia sikertelenségének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lehetőségét.</w:t>
      </w:r>
    </w:p>
    <w:p w14:paraId="0A547C96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663C4548" w14:textId="2304E07E" w:rsidR="002A793D" w:rsidRPr="00F567BF" w:rsidRDefault="00367A8E">
      <w:pPr>
        <w:spacing w:line="217" w:lineRule="auto"/>
        <w:ind w:left="1" w:right="20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A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600</w:t>
      </w:r>
      <w:r w:rsidR="003A68F1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mg-os, ismételt </w:t>
      </w:r>
      <w:r>
        <w:rPr>
          <w:rFonts w:ascii="Times New Roman" w:eastAsia="Times New Roman" w:hAnsi="Times New Roman"/>
          <w:sz w:val="22"/>
          <w:szCs w:val="22"/>
        </w:rPr>
        <w:t>adagolású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rifampicin</w:t>
      </w:r>
      <w:r w:rsidR="00036CFE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előkezelést követő</w:t>
      </w:r>
      <w:r>
        <w:rPr>
          <w:rFonts w:ascii="Times New Roman" w:eastAsia="Times New Roman" w:hAnsi="Times New Roman"/>
          <w:sz w:val="22"/>
          <w:szCs w:val="22"/>
        </w:rPr>
        <w:t>,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egyszeri 400</w:t>
      </w:r>
      <w:r w:rsidR="003A68F1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</w:t>
      </w:r>
      <w:r>
        <w:rPr>
          <w:rFonts w:ascii="Times New Roman" w:eastAsia="Times New Roman" w:hAnsi="Times New Roman"/>
          <w:sz w:val="22"/>
          <w:szCs w:val="22"/>
        </w:rPr>
        <w:t>-os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imatinib</w:t>
      </w:r>
      <w:r w:rsidR="007360F5">
        <w:rPr>
          <w:rFonts w:ascii="Times New Roman" w:eastAsia="Times New Roman" w:hAnsi="Times New Roman"/>
          <w:sz w:val="22"/>
          <w:szCs w:val="22"/>
        </w:rPr>
        <w:t>-</w:t>
      </w:r>
      <w:r>
        <w:rPr>
          <w:rFonts w:ascii="Times New Roman" w:eastAsia="Times New Roman" w:hAnsi="Times New Roman"/>
          <w:sz w:val="22"/>
          <w:szCs w:val="22"/>
        </w:rPr>
        <w:t xml:space="preserve">dózis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bevétele a </w:t>
      </w:r>
      <w:r w:rsidR="00F45D7C">
        <w:rPr>
          <w:rFonts w:ascii="Times New Roman" w:eastAsia="Times New Roman" w:hAnsi="Times New Roman"/>
          <w:sz w:val="22"/>
          <w:szCs w:val="22"/>
        </w:rPr>
        <w:t>C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bscript"/>
        </w:rPr>
        <w:t>max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-</w:t>
      </w:r>
      <w:r w:rsidR="00BA3B92">
        <w:rPr>
          <w:rFonts w:ascii="Times New Roman" w:eastAsia="Times New Roman" w:hAnsi="Times New Roman"/>
          <w:sz w:val="22"/>
          <w:szCs w:val="22"/>
        </w:rPr>
        <w:t>értékben</w:t>
      </w:r>
      <w:r w:rsidR="0053678F" w:rsidRPr="0053678F">
        <w:rPr>
          <w:rFonts w:ascii="Times New Roman" w:eastAsia="Times New Roman" w:hAnsi="Times New Roman"/>
          <w:sz w:val="22"/>
          <w:szCs w:val="22"/>
        </w:rPr>
        <w:t xml:space="preserve"> legalább 54%-os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az AUC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bscript"/>
        </w:rPr>
        <w:t>0-∞</w:t>
      </w:r>
      <w:r w:rsidR="007360F5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értékben</w:t>
      </w:r>
      <w:r w:rsidR="008B0A8F">
        <w:rPr>
          <w:rFonts w:ascii="Times New Roman" w:eastAsia="Times New Roman" w:hAnsi="Times New Roman"/>
          <w:sz w:val="22"/>
          <w:szCs w:val="22"/>
        </w:rPr>
        <w:t xml:space="preserve"> legalább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74%-os csökkenést okozott a rifampicin nélküli kezeléshez képest. Hasonló eredményeket figyeltek meg azoknál a malignus gli</w:t>
      </w:r>
      <w:r w:rsidR="00FF1AAC">
        <w:rPr>
          <w:rFonts w:ascii="Times New Roman" w:eastAsia="Times New Roman" w:hAnsi="Times New Roman"/>
          <w:sz w:val="22"/>
          <w:szCs w:val="22"/>
        </w:rPr>
        <w:t>o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mában szenvedő,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imatinibbel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kezelt betegeknél, akik egyidejűleg enzimindukáló antiepileptikum</w:t>
      </w:r>
      <w:r w:rsidR="0085747A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l karbamazepin, oxkarbazepin, fenitoin) kezelésben részesültek. Az imatinib plazma</w:t>
      </w:r>
      <w:r w:rsidR="009A02A1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AUC-értéke 73%-kal csökkent az enzimindukáló antiepileptikumot nem szedő betegekhez képest. A rifampicin vagy más erős CYP3A4</w:t>
      </w:r>
      <w:r w:rsidR="00FF1AAC">
        <w:rPr>
          <w:rFonts w:ascii="Times New Roman" w:eastAsia="Times New Roman" w:hAnsi="Times New Roman"/>
          <w:sz w:val="22"/>
          <w:szCs w:val="22"/>
        </w:rPr>
        <w:noBreakHyphen/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induktor és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egyidejű adását el kell kerülni.</w:t>
      </w:r>
    </w:p>
    <w:p w14:paraId="313ABD3D" w14:textId="77777777" w:rsidR="002A793D" w:rsidRPr="00F567BF" w:rsidRDefault="002A793D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357A9E15" w14:textId="77777777" w:rsidR="002A793D" w:rsidRPr="003F0F09" w:rsidRDefault="002A793D" w:rsidP="008B630E">
      <w:pPr>
        <w:keepNext/>
        <w:spacing w:line="0" w:lineRule="atLeast"/>
        <w:rPr>
          <w:rFonts w:ascii="Times New Roman" w:eastAsia="Times New Roman" w:hAnsi="Times New Roman"/>
          <w:bCs/>
          <w:sz w:val="22"/>
          <w:szCs w:val="22"/>
          <w:u w:val="single"/>
        </w:rPr>
      </w:pPr>
      <w:r w:rsidRPr="003F0F09">
        <w:rPr>
          <w:rFonts w:ascii="Times New Roman" w:eastAsia="Times New Roman" w:hAnsi="Times New Roman"/>
          <w:bCs/>
          <w:sz w:val="22"/>
          <w:szCs w:val="22"/>
          <w:u w:val="single"/>
        </w:rPr>
        <w:t xml:space="preserve">Hatóanyagok, </w:t>
      </w:r>
      <w:r w:rsidR="00775F9C" w:rsidRPr="003F0F09">
        <w:rPr>
          <w:rFonts w:ascii="Times New Roman" w:eastAsia="Times New Roman" w:hAnsi="Times New Roman"/>
          <w:bCs/>
          <w:sz w:val="22"/>
          <w:szCs w:val="22"/>
          <w:u w:val="single"/>
        </w:rPr>
        <w:t>a</w:t>
      </w:r>
      <w:r w:rsidRPr="003F0F09">
        <w:rPr>
          <w:rFonts w:ascii="Times New Roman" w:eastAsia="Times New Roman" w:hAnsi="Times New Roman"/>
          <w:bCs/>
          <w:sz w:val="22"/>
          <w:szCs w:val="22"/>
          <w:u w:val="single"/>
        </w:rPr>
        <w:t xml:space="preserve">melyek plazmakoncentrációját </w:t>
      </w:r>
      <w:r w:rsidR="00132132" w:rsidRPr="003F0F09">
        <w:rPr>
          <w:rFonts w:ascii="Times New Roman" w:eastAsia="Times New Roman" w:hAnsi="Times New Roman"/>
          <w:bCs/>
          <w:sz w:val="22"/>
          <w:szCs w:val="22"/>
          <w:u w:val="single"/>
        </w:rPr>
        <w:t>az imatinib</w:t>
      </w:r>
      <w:r w:rsidRPr="003F0F09">
        <w:rPr>
          <w:rFonts w:ascii="Times New Roman" w:eastAsia="Times New Roman" w:hAnsi="Times New Roman"/>
          <w:bCs/>
          <w:sz w:val="22"/>
          <w:szCs w:val="22"/>
          <w:u w:val="single"/>
        </w:rPr>
        <w:t xml:space="preserve"> megváltoztathatja</w:t>
      </w:r>
    </w:p>
    <w:p w14:paraId="3C0F6C10" w14:textId="183F9CD5" w:rsidR="002A793D" w:rsidRPr="00F567BF" w:rsidRDefault="002A793D">
      <w:pPr>
        <w:spacing w:line="223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imatinib a szimvasztatin (CYP3A4</w:t>
      </w:r>
      <w:r w:rsidR="00FF1AA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szubsztrát) átlagos </w:t>
      </w:r>
      <w:r w:rsidR="00F45D7C">
        <w:rPr>
          <w:rFonts w:ascii="Times New Roman" w:eastAsia="Times New Roman" w:hAnsi="Times New Roman"/>
          <w:sz w:val="22"/>
          <w:szCs w:val="22"/>
        </w:rPr>
        <w:t>C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max</w:t>
      </w:r>
      <w:r w:rsidRPr="00F567BF">
        <w:rPr>
          <w:rFonts w:ascii="Times New Roman" w:eastAsia="Times New Roman" w:hAnsi="Times New Roman"/>
          <w:sz w:val="22"/>
          <w:szCs w:val="22"/>
        </w:rPr>
        <w:t>-</w:t>
      </w:r>
      <w:r w:rsidR="006B63D8">
        <w:rPr>
          <w:rFonts w:ascii="Times New Roman" w:eastAsia="Times New Roman" w:hAnsi="Times New Roman"/>
          <w:sz w:val="22"/>
          <w:szCs w:val="22"/>
        </w:rPr>
        <w:t>értékét</w:t>
      </w:r>
      <w:r w:rsidR="00543290">
        <w:rPr>
          <w:rFonts w:ascii="Times New Roman" w:eastAsia="Times New Roman" w:hAnsi="Times New Roman"/>
          <w:sz w:val="22"/>
          <w:szCs w:val="22"/>
        </w:rPr>
        <w:t xml:space="preserve"> 2-szeresére</w:t>
      </w:r>
      <w:r w:rsidRPr="00F567BF">
        <w:rPr>
          <w:rFonts w:ascii="Times New Roman" w:eastAsia="Times New Roman" w:hAnsi="Times New Roman"/>
          <w:sz w:val="22"/>
          <w:szCs w:val="22"/>
        </w:rPr>
        <w:t>, AUC-értékét 3,5</w:t>
      </w:r>
      <w:r w:rsidR="007360F5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 xml:space="preserve">szeresére növeli, ami arra utal, hogy az imatinib gátolja a CYP3A4 izoenzim aktivitását. Ezért óvatosság ajánlott, amikor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az imatinibet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FF1AAC" w:rsidRPr="00DB5D3A">
        <w:rPr>
          <w:rFonts w:ascii="Times New Roman" w:eastAsia="Times New Roman" w:hAnsi="Times New Roman"/>
          <w:sz w:val="22"/>
          <w:szCs w:val="22"/>
        </w:rPr>
        <w:t xml:space="preserve">szűk </w:t>
      </w:r>
      <w:r w:rsidRPr="00F567BF">
        <w:rPr>
          <w:rFonts w:ascii="Times New Roman" w:eastAsia="Times New Roman" w:hAnsi="Times New Roman"/>
          <w:sz w:val="22"/>
          <w:szCs w:val="22"/>
        </w:rPr>
        <w:t>terápiás</w:t>
      </w:r>
      <w:r w:rsidR="00A308D0">
        <w:rPr>
          <w:rFonts w:ascii="Times New Roman" w:eastAsia="Times New Roman" w:hAnsi="Times New Roman"/>
          <w:sz w:val="22"/>
          <w:szCs w:val="22"/>
        </w:rPr>
        <w:t xml:space="preserve"> ablak</w:t>
      </w:r>
      <w:r w:rsidR="0075671E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CYP3A4</w:t>
      </w:r>
      <w:r w:rsidR="00FF1AA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szubsztrát</w:t>
      </w:r>
      <w:r w:rsidR="00502881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>al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>l</w:t>
      </w:r>
      <w:r w:rsidR="003A68F1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ciklosporin, pimozid, takrolimusz, szirolimusz, ergotamin, diergotamin, fentanil, alfentanil, terfenadin, bortezomib, docetaxel és kinidin) adják együtt. </w:t>
      </w:r>
      <w:r w:rsidR="00132132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növelheti az egyéb, CYP3A4 enzimrendszeren keresztül metabolizálódó gyógyszerek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>l triazolo-benzodiazepinek, dihidropiridin</w:t>
      </w:r>
      <w:r w:rsidR="00FF1AAC" w:rsidRPr="00DB5D3A">
        <w:rPr>
          <w:rFonts w:ascii="Times New Roman" w:eastAsia="Times New Roman" w:hAnsi="Times New Roman"/>
          <w:sz w:val="22"/>
          <w:szCs w:val="22"/>
        </w:rPr>
        <w:t>-típusú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kalciumcsatorna-</w:t>
      </w:r>
      <w:r w:rsidR="00FF1AAC" w:rsidRPr="00DB5D3A">
        <w:rPr>
          <w:rFonts w:ascii="Times New Roman" w:eastAsia="Times New Roman" w:hAnsi="Times New Roman"/>
          <w:sz w:val="22"/>
          <w:szCs w:val="22"/>
        </w:rPr>
        <w:t>blokkolók</w:t>
      </w:r>
      <w:r w:rsidRPr="00F567BF">
        <w:rPr>
          <w:rFonts w:ascii="Times New Roman" w:eastAsia="Times New Roman" w:hAnsi="Times New Roman"/>
          <w:sz w:val="22"/>
          <w:szCs w:val="22"/>
        </w:rPr>
        <w:t>, egyes HMG-CoA</w:t>
      </w:r>
      <w:r w:rsidR="00FF1AA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reduktáz</w:t>
      </w:r>
      <w:r w:rsidR="00FF1AA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inhibitorok, 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>l sztatinok stb.) plazmaszintjét</w:t>
      </w:r>
      <w:r w:rsidR="00A35992">
        <w:rPr>
          <w:rFonts w:ascii="Times New Roman" w:eastAsia="Times New Roman" w:hAnsi="Times New Roman"/>
          <w:sz w:val="22"/>
          <w:szCs w:val="22"/>
        </w:rPr>
        <w:t xml:space="preserve"> is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36B172E3" w14:textId="77777777" w:rsidR="002A793D" w:rsidRPr="00F567BF" w:rsidRDefault="002A793D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50913678" w14:textId="7D9A093E" w:rsidR="002A793D" w:rsidRPr="00F567BF" w:rsidRDefault="002A793D">
      <w:pPr>
        <w:spacing w:line="230" w:lineRule="auto"/>
        <w:ind w:left="1" w:right="34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lastRenderedPageBreak/>
        <w:t xml:space="preserve">Az imatinib alkalmazásával </w:t>
      </w:r>
      <w:r w:rsidR="00DE25FE">
        <w:rPr>
          <w:rFonts w:ascii="Times New Roman" w:eastAsia="Times New Roman" w:hAnsi="Times New Roman"/>
          <w:sz w:val="22"/>
          <w:szCs w:val="22"/>
        </w:rPr>
        <w:t>ismerten együtt járó</w:t>
      </w:r>
      <w:r w:rsidR="000A1589">
        <w:rPr>
          <w:rFonts w:ascii="Times New Roman" w:eastAsia="Times New Roman" w:hAnsi="Times New Roman"/>
          <w:sz w:val="22"/>
          <w:szCs w:val="22"/>
        </w:rPr>
        <w:t>,</w:t>
      </w:r>
      <w:r w:rsidR="00DE25FE">
        <w:rPr>
          <w:rFonts w:ascii="Times New Roman" w:eastAsia="Times New Roman" w:hAnsi="Times New Roman"/>
          <w:sz w:val="22"/>
          <w:szCs w:val="22"/>
        </w:rPr>
        <w:t xml:space="preserve"> </w:t>
      </w:r>
      <w:r w:rsidR="000A1589">
        <w:rPr>
          <w:rFonts w:ascii="Times New Roman" w:eastAsia="Times New Roman" w:hAnsi="Times New Roman"/>
          <w:sz w:val="22"/>
          <w:szCs w:val="22"/>
        </w:rPr>
        <w:t xml:space="preserve">emelkedett </w:t>
      </w:r>
      <w:r w:rsidR="00367A8E">
        <w:rPr>
          <w:rFonts w:ascii="Times New Roman" w:eastAsia="Times New Roman" w:hAnsi="Times New Roman"/>
          <w:sz w:val="22"/>
          <w:szCs w:val="22"/>
        </w:rPr>
        <w:t xml:space="preserve">vérzési </w:t>
      </w:r>
      <w:r w:rsidR="00DB5ECE">
        <w:rPr>
          <w:rFonts w:ascii="Times New Roman" w:eastAsia="Times New Roman" w:hAnsi="Times New Roman"/>
          <w:sz w:val="22"/>
          <w:szCs w:val="22"/>
        </w:rPr>
        <w:t xml:space="preserve">rizikó miatt </w:t>
      </w:r>
      <w:r w:rsidR="00367A8E">
        <w:rPr>
          <w:rFonts w:ascii="Times New Roman" w:eastAsia="Times New Roman" w:hAnsi="Times New Roman"/>
          <w:sz w:val="22"/>
          <w:szCs w:val="22"/>
        </w:rPr>
        <w:t xml:space="preserve">(például haemorrhagia) </w:t>
      </w:r>
      <w:r w:rsidRPr="00F567BF">
        <w:rPr>
          <w:rFonts w:ascii="Times New Roman" w:eastAsia="Times New Roman" w:hAnsi="Times New Roman"/>
          <w:sz w:val="22"/>
          <w:szCs w:val="22"/>
        </w:rPr>
        <w:t>antikoaguláns kezelésre szoruló betegeknek kumarinszármazékok, például a warfarin helyett kis molekulatömegű vagy standard heparint kell kapniuk.</w:t>
      </w:r>
    </w:p>
    <w:p w14:paraId="6DE388C9" w14:textId="77777777" w:rsidR="00C9462D" w:rsidRPr="00F567BF" w:rsidRDefault="00C9462D">
      <w:pPr>
        <w:spacing w:line="230" w:lineRule="auto"/>
        <w:ind w:left="1" w:right="340"/>
        <w:rPr>
          <w:rFonts w:ascii="Times New Roman" w:eastAsia="Times New Roman" w:hAnsi="Times New Roman"/>
          <w:sz w:val="22"/>
          <w:szCs w:val="22"/>
        </w:rPr>
      </w:pPr>
    </w:p>
    <w:p w14:paraId="4D037623" w14:textId="0A9A9657" w:rsidR="002A793D" w:rsidRPr="00F567BF" w:rsidRDefault="002A793D" w:rsidP="001556E6">
      <w:pPr>
        <w:rPr>
          <w:rFonts w:ascii="Times New Roman" w:eastAsia="Times New Roman" w:hAnsi="Times New Roman"/>
          <w:sz w:val="22"/>
        </w:rPr>
      </w:pPr>
      <w:bookmarkStart w:id="7" w:name="page44"/>
      <w:bookmarkEnd w:id="7"/>
      <w:r w:rsidRPr="00F567BF">
        <w:rPr>
          <w:rFonts w:ascii="Times New Roman" w:eastAsia="Times New Roman" w:hAnsi="Times New Roman"/>
          <w:i/>
          <w:sz w:val="22"/>
        </w:rPr>
        <w:t xml:space="preserve">In vitro </w:t>
      </w:r>
      <w:r w:rsidR="00C9462D" w:rsidRPr="00F567BF">
        <w:rPr>
          <w:rFonts w:ascii="Times New Roman" w:eastAsia="Times New Roman" w:hAnsi="Times New Roman"/>
          <w:sz w:val="22"/>
        </w:rPr>
        <w:t xml:space="preserve">az imatinib </w:t>
      </w:r>
      <w:r w:rsidRPr="00F567BF">
        <w:rPr>
          <w:rFonts w:ascii="Times New Roman" w:eastAsia="Times New Roman" w:hAnsi="Times New Roman"/>
          <w:sz w:val="22"/>
        </w:rPr>
        <w:t xml:space="preserve">a citokróm P450 </w:t>
      </w:r>
      <w:r w:rsidR="00A22D48">
        <w:rPr>
          <w:rFonts w:ascii="Times New Roman" w:eastAsia="Times New Roman" w:hAnsi="Times New Roman"/>
          <w:sz w:val="22"/>
        </w:rPr>
        <w:t>2D6 (</w:t>
      </w:r>
      <w:r w:rsidRPr="00F567BF">
        <w:rPr>
          <w:rFonts w:ascii="Times New Roman" w:eastAsia="Times New Roman" w:hAnsi="Times New Roman"/>
          <w:sz w:val="22"/>
        </w:rPr>
        <w:t>CYP2D6</w:t>
      </w:r>
      <w:r w:rsidR="00A22D48">
        <w:rPr>
          <w:rFonts w:ascii="Times New Roman" w:eastAsia="Times New Roman" w:hAnsi="Times New Roman"/>
          <w:sz w:val="22"/>
        </w:rPr>
        <w:t>)</w:t>
      </w:r>
      <w:r w:rsidRPr="00F567BF">
        <w:rPr>
          <w:rFonts w:ascii="Times New Roman" w:eastAsia="Times New Roman" w:hAnsi="Times New Roman"/>
          <w:sz w:val="22"/>
        </w:rPr>
        <w:t xml:space="preserve"> izoenzim aktivitását </w:t>
      </w:r>
      <w:r w:rsidR="00A22D48">
        <w:rPr>
          <w:rFonts w:ascii="Times New Roman" w:eastAsia="Times New Roman" w:hAnsi="Times New Roman"/>
          <w:sz w:val="22"/>
        </w:rPr>
        <w:t>hasonló</w:t>
      </w:r>
      <w:r w:rsidR="00A22D48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koncentrációban gátolja,</w:t>
      </w:r>
      <w:r w:rsidRPr="00F567BF">
        <w:rPr>
          <w:rFonts w:ascii="Times New Roman" w:eastAsia="Times New Roman" w:hAnsi="Times New Roman"/>
          <w:i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mint amely a CYP3A4</w:t>
      </w:r>
      <w:r w:rsidR="003D0CEF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aktivitás</w:t>
      </w:r>
      <w:r w:rsidR="009A10B1">
        <w:rPr>
          <w:rFonts w:ascii="Times New Roman" w:eastAsia="Times New Roman" w:hAnsi="Times New Roman"/>
          <w:sz w:val="22"/>
        </w:rPr>
        <w:t>t</w:t>
      </w:r>
      <w:r w:rsidR="003D0CEF">
        <w:rPr>
          <w:rFonts w:ascii="Times New Roman" w:eastAsia="Times New Roman" w:hAnsi="Times New Roman"/>
          <w:sz w:val="22"/>
        </w:rPr>
        <w:t xml:space="preserve"> befolyásolja</w:t>
      </w:r>
      <w:r w:rsidRPr="00F567BF">
        <w:rPr>
          <w:rFonts w:ascii="Times New Roman" w:eastAsia="Times New Roman" w:hAnsi="Times New Roman"/>
          <w:sz w:val="22"/>
        </w:rPr>
        <w:t xml:space="preserve">. Az imatinib napi </w:t>
      </w:r>
      <w:r w:rsidR="00A22D48">
        <w:rPr>
          <w:rFonts w:ascii="Times New Roman" w:eastAsia="Times New Roman" w:hAnsi="Times New Roman"/>
          <w:sz w:val="22"/>
        </w:rPr>
        <w:t xml:space="preserve">kétszer </w:t>
      </w:r>
      <w:r w:rsidRPr="00F567BF">
        <w:rPr>
          <w:rFonts w:ascii="Times New Roman" w:eastAsia="Times New Roman" w:hAnsi="Times New Roman"/>
          <w:sz w:val="22"/>
        </w:rPr>
        <w:t>400</w:t>
      </w:r>
      <w:r w:rsidR="00C9462D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 </w:t>
      </w:r>
      <w:r w:rsidR="00602389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 xml:space="preserve">ban gátló hatást gyakorolt a metoprolol CYP2D6 által mediált metabolizmusára, </w:t>
      </w:r>
      <w:r w:rsidR="00775F9C">
        <w:rPr>
          <w:rFonts w:ascii="Times New Roman" w:eastAsia="Times New Roman" w:hAnsi="Times New Roman"/>
          <w:sz w:val="22"/>
        </w:rPr>
        <w:t>a</w:t>
      </w:r>
      <w:r w:rsidRPr="00F567BF">
        <w:rPr>
          <w:rFonts w:ascii="Times New Roman" w:eastAsia="Times New Roman" w:hAnsi="Times New Roman"/>
          <w:sz w:val="22"/>
        </w:rPr>
        <w:t xml:space="preserve">melynek következtében a metoprolol </w:t>
      </w:r>
      <w:r w:rsidR="00525BD7">
        <w:rPr>
          <w:rFonts w:ascii="Times New Roman" w:eastAsia="Times New Roman" w:hAnsi="Times New Roman"/>
          <w:sz w:val="22"/>
        </w:rPr>
        <w:t>C</w:t>
      </w:r>
      <w:r w:rsidRPr="00F567BF">
        <w:rPr>
          <w:rFonts w:ascii="Times New Roman" w:eastAsia="Times New Roman" w:hAnsi="Times New Roman"/>
          <w:sz w:val="27"/>
          <w:vertAlign w:val="subscript"/>
        </w:rPr>
        <w:t>max</w:t>
      </w:r>
      <w:r w:rsidRPr="00F567BF">
        <w:rPr>
          <w:rFonts w:ascii="Times New Roman" w:eastAsia="Times New Roman" w:hAnsi="Times New Roman"/>
          <w:sz w:val="22"/>
        </w:rPr>
        <w:t>- és AUC-értéke körülbelül 23%-kal növeked</w:t>
      </w:r>
      <w:r w:rsidR="00011823">
        <w:rPr>
          <w:rFonts w:ascii="Times New Roman" w:eastAsia="Times New Roman" w:hAnsi="Times New Roman"/>
          <w:sz w:val="22"/>
        </w:rPr>
        <w:t>ett</w:t>
      </w:r>
      <w:r w:rsidRPr="00F567BF">
        <w:rPr>
          <w:rFonts w:ascii="Times New Roman" w:eastAsia="Times New Roman" w:hAnsi="Times New Roman"/>
          <w:sz w:val="22"/>
        </w:rPr>
        <w:t xml:space="preserve"> (90%</w:t>
      </w:r>
      <w:r w:rsidR="00094536">
        <w:rPr>
          <w:rFonts w:ascii="Times New Roman" w:eastAsia="Times New Roman" w:hAnsi="Times New Roman"/>
          <w:sz w:val="22"/>
        </w:rPr>
        <w:t>-os</w:t>
      </w:r>
      <w:r w:rsidR="00C9462D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CI</w:t>
      </w:r>
      <w:r w:rsidR="00F879FC">
        <w:rPr>
          <w:rFonts w:ascii="Times New Roman" w:eastAsia="Times New Roman" w:hAnsi="Times New Roman"/>
          <w:sz w:val="22"/>
        </w:rPr>
        <w:t>:</w:t>
      </w:r>
      <w:r w:rsidRPr="00F567BF">
        <w:rPr>
          <w:rFonts w:ascii="Times New Roman" w:eastAsia="Times New Roman" w:hAnsi="Times New Roman"/>
          <w:sz w:val="22"/>
        </w:rPr>
        <w:t xml:space="preserve"> 1,16</w:t>
      </w:r>
      <w:r w:rsidR="00F879FC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1,30). Úgy tűnik, hogy az imatinib és a CYP2D6</w:t>
      </w:r>
      <w:r w:rsidR="00F879FC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 xml:space="preserve">szubsztrátok egyidejű alkalmazása esetén nincs szükség </w:t>
      </w:r>
      <w:r w:rsidR="00BA7EBD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 xml:space="preserve">módosításra, azonban óvatosság javasolt a szűk terápiás </w:t>
      </w:r>
      <w:r w:rsidR="00964E7D">
        <w:rPr>
          <w:rFonts w:ascii="Times New Roman" w:eastAsia="Times New Roman" w:hAnsi="Times New Roman"/>
          <w:sz w:val="22"/>
        </w:rPr>
        <w:t>ablakú</w:t>
      </w:r>
      <w:r w:rsidR="00964E7D" w:rsidRPr="00DB5D3A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CYP2D6</w:t>
      </w:r>
      <w:r w:rsidR="00F879FC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szubsztrátok (p</w:t>
      </w:r>
      <w:r w:rsidR="00775F9C">
        <w:rPr>
          <w:rFonts w:ascii="Times New Roman" w:eastAsia="Times New Roman" w:hAnsi="Times New Roman"/>
          <w:sz w:val="22"/>
        </w:rPr>
        <w:t>éldáu</w:t>
      </w:r>
      <w:r w:rsidRPr="00F567BF">
        <w:rPr>
          <w:rFonts w:ascii="Times New Roman" w:eastAsia="Times New Roman" w:hAnsi="Times New Roman"/>
          <w:sz w:val="22"/>
        </w:rPr>
        <w:t>l metoprolol) esetén. Metoprolollal kezelt betegek esetében megfontolandó a rendszeres klinikai ellenőrzés.</w:t>
      </w:r>
    </w:p>
    <w:p w14:paraId="18D804F1" w14:textId="77777777" w:rsidR="002A793D" w:rsidRPr="00F567BF" w:rsidRDefault="002A793D">
      <w:pPr>
        <w:spacing w:line="251" w:lineRule="exact"/>
        <w:rPr>
          <w:rFonts w:ascii="Times New Roman" w:eastAsia="Times New Roman" w:hAnsi="Times New Roman"/>
        </w:rPr>
      </w:pPr>
    </w:p>
    <w:p w14:paraId="32425E6E" w14:textId="25F6CAE3" w:rsidR="002A793D" w:rsidRPr="009501AC" w:rsidRDefault="00C9462D" w:rsidP="00BA7EBD">
      <w:pPr>
        <w:spacing w:line="230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Az imatinib</w:t>
      </w:r>
      <w:r w:rsidR="002A793D" w:rsidRPr="00F567BF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i/>
          <w:sz w:val="22"/>
        </w:rPr>
        <w:t xml:space="preserve">in </w:t>
      </w:r>
      <w:r w:rsidR="002A793D" w:rsidRPr="009501AC">
        <w:rPr>
          <w:rFonts w:ascii="Times New Roman" w:eastAsia="Times New Roman" w:hAnsi="Times New Roman"/>
          <w:i/>
          <w:sz w:val="22"/>
        </w:rPr>
        <w:t>vitro</w:t>
      </w:r>
      <w:r w:rsidR="002A793D" w:rsidRPr="009501AC">
        <w:rPr>
          <w:rFonts w:ascii="Times New Roman" w:eastAsia="Times New Roman" w:hAnsi="Times New Roman"/>
          <w:sz w:val="22"/>
        </w:rPr>
        <w:t xml:space="preserve"> gátolja a paracetamol </w:t>
      </w:r>
      <w:r w:rsidR="002A793D" w:rsidRPr="009501AC">
        <w:rPr>
          <w:rFonts w:ascii="Times New Roman" w:eastAsia="Times New Roman" w:hAnsi="Times New Roman"/>
          <w:i/>
          <w:sz w:val="22"/>
        </w:rPr>
        <w:t>O</w:t>
      </w:r>
      <w:r w:rsidR="002A793D" w:rsidRPr="009501AC">
        <w:rPr>
          <w:rFonts w:ascii="Times New Roman" w:eastAsia="Times New Roman" w:hAnsi="Times New Roman"/>
          <w:sz w:val="22"/>
        </w:rPr>
        <w:t>-gl</w:t>
      </w:r>
      <w:r w:rsidR="00F879FC" w:rsidRPr="009501AC">
        <w:rPr>
          <w:rFonts w:ascii="Times New Roman" w:eastAsia="Times New Roman" w:hAnsi="Times New Roman"/>
          <w:sz w:val="22"/>
        </w:rPr>
        <w:t>ü</w:t>
      </w:r>
      <w:r w:rsidR="002A793D" w:rsidRPr="009501AC">
        <w:rPr>
          <w:rFonts w:ascii="Times New Roman" w:eastAsia="Times New Roman" w:hAnsi="Times New Roman"/>
          <w:sz w:val="22"/>
        </w:rPr>
        <w:t>kuronidációját 58,5</w:t>
      </w:r>
      <w:r w:rsidRPr="009501AC">
        <w:rPr>
          <w:rFonts w:ascii="Times New Roman" w:eastAsia="Times New Roman" w:hAnsi="Times New Roman"/>
          <w:sz w:val="22"/>
        </w:rPr>
        <w:t> </w:t>
      </w:r>
      <w:r w:rsidR="002A793D" w:rsidRPr="009501AC">
        <w:rPr>
          <w:rFonts w:ascii="Times New Roman" w:eastAsia="Times New Roman" w:hAnsi="Times New Roman"/>
          <w:sz w:val="22"/>
        </w:rPr>
        <w:t>mi</w:t>
      </w:r>
      <w:r w:rsidR="003F0F09" w:rsidRPr="009501AC">
        <w:rPr>
          <w:rFonts w:ascii="Times New Roman" w:eastAsia="Times New Roman" w:hAnsi="Times New Roman"/>
          <w:sz w:val="22"/>
        </w:rPr>
        <w:t>k</w:t>
      </w:r>
      <w:r w:rsidR="002A793D" w:rsidRPr="009501AC">
        <w:rPr>
          <w:rFonts w:ascii="Times New Roman" w:eastAsia="Times New Roman" w:hAnsi="Times New Roman"/>
          <w:sz w:val="22"/>
        </w:rPr>
        <w:t>romol/l K</w:t>
      </w:r>
      <w:r w:rsidR="002A793D" w:rsidRPr="009501AC">
        <w:rPr>
          <w:rFonts w:ascii="Times New Roman" w:eastAsia="Times New Roman" w:hAnsi="Times New Roman"/>
          <w:sz w:val="22"/>
          <w:vertAlign w:val="subscript"/>
        </w:rPr>
        <w:t>i</w:t>
      </w:r>
      <w:r w:rsidR="002A793D" w:rsidRPr="009501AC">
        <w:rPr>
          <w:rFonts w:ascii="Times New Roman" w:eastAsia="Times New Roman" w:hAnsi="Times New Roman"/>
          <w:sz w:val="22"/>
        </w:rPr>
        <w:t xml:space="preserve">-érték mellett. Ez a gátló hatás </w:t>
      </w:r>
      <w:r w:rsidR="002A793D" w:rsidRPr="009501AC">
        <w:rPr>
          <w:rFonts w:ascii="Times New Roman" w:eastAsia="Times New Roman" w:hAnsi="Times New Roman"/>
          <w:i/>
          <w:sz w:val="22"/>
        </w:rPr>
        <w:t>in vivo</w:t>
      </w:r>
      <w:r w:rsidR="007E6A66">
        <w:rPr>
          <w:rFonts w:ascii="Times New Roman" w:eastAsia="Times New Roman" w:hAnsi="Times New Roman"/>
          <w:iCs/>
          <w:sz w:val="22"/>
        </w:rPr>
        <w:t>,</w:t>
      </w:r>
      <w:r w:rsidR="002A793D" w:rsidRPr="009501AC">
        <w:rPr>
          <w:rFonts w:ascii="Times New Roman" w:eastAsia="Times New Roman" w:hAnsi="Times New Roman"/>
          <w:sz w:val="22"/>
        </w:rPr>
        <w:t xml:space="preserve"> 400</w:t>
      </w:r>
      <w:r w:rsidRPr="009501AC">
        <w:rPr>
          <w:rFonts w:ascii="Times New Roman" w:eastAsia="Times New Roman" w:hAnsi="Times New Roman"/>
          <w:sz w:val="22"/>
        </w:rPr>
        <w:t> </w:t>
      </w:r>
      <w:r w:rsidR="002A793D" w:rsidRPr="009501AC">
        <w:rPr>
          <w:rFonts w:ascii="Times New Roman" w:eastAsia="Times New Roman" w:hAnsi="Times New Roman"/>
          <w:sz w:val="22"/>
        </w:rPr>
        <w:t xml:space="preserve">mg </w:t>
      </w:r>
      <w:r w:rsidRPr="009501AC">
        <w:rPr>
          <w:rFonts w:ascii="Times New Roman" w:eastAsia="Times New Roman" w:hAnsi="Times New Roman"/>
          <w:sz w:val="22"/>
        </w:rPr>
        <w:t>imatinib</w:t>
      </w:r>
      <w:r w:rsidR="002A793D" w:rsidRPr="009501AC">
        <w:rPr>
          <w:rFonts w:ascii="Times New Roman" w:eastAsia="Times New Roman" w:hAnsi="Times New Roman"/>
          <w:sz w:val="22"/>
        </w:rPr>
        <w:t xml:space="preserve"> és 1000</w:t>
      </w:r>
      <w:r w:rsidRPr="009501AC">
        <w:rPr>
          <w:rFonts w:ascii="Times New Roman" w:eastAsia="Times New Roman" w:hAnsi="Times New Roman"/>
          <w:sz w:val="22"/>
        </w:rPr>
        <w:t> </w:t>
      </w:r>
      <w:r w:rsidR="002A793D" w:rsidRPr="009501AC">
        <w:rPr>
          <w:rFonts w:ascii="Times New Roman" w:eastAsia="Times New Roman" w:hAnsi="Times New Roman"/>
          <w:sz w:val="22"/>
        </w:rPr>
        <w:t xml:space="preserve">mg paracetamol beadása után nem volt tapasztalható. </w:t>
      </w:r>
      <w:r w:rsidR="003F23B1">
        <w:rPr>
          <w:rFonts w:ascii="Times New Roman" w:eastAsia="Times New Roman" w:hAnsi="Times New Roman"/>
          <w:sz w:val="22"/>
        </w:rPr>
        <w:t>Nagyobb</w:t>
      </w:r>
      <w:r w:rsidR="003F23B1" w:rsidRPr="009501AC">
        <w:rPr>
          <w:rFonts w:ascii="Times New Roman" w:eastAsia="Times New Roman" w:hAnsi="Times New Roman"/>
          <w:sz w:val="22"/>
        </w:rPr>
        <w:t xml:space="preserve"> </w:t>
      </w:r>
      <w:r w:rsidRPr="009501AC">
        <w:rPr>
          <w:rFonts w:ascii="Times New Roman" w:eastAsia="Times New Roman" w:hAnsi="Times New Roman"/>
          <w:sz w:val="22"/>
        </w:rPr>
        <w:t>imatinib</w:t>
      </w:r>
      <w:r w:rsidR="00011823">
        <w:rPr>
          <w:rFonts w:ascii="Times New Roman" w:eastAsia="Times New Roman" w:hAnsi="Times New Roman"/>
          <w:sz w:val="22"/>
        </w:rPr>
        <w:t>-</w:t>
      </w:r>
      <w:r w:rsidR="002A793D" w:rsidRPr="009501AC">
        <w:rPr>
          <w:rFonts w:ascii="Times New Roman" w:eastAsia="Times New Roman" w:hAnsi="Times New Roman"/>
          <w:sz w:val="22"/>
        </w:rPr>
        <w:t xml:space="preserve"> és paracetamol</w:t>
      </w:r>
      <w:r w:rsidR="00011823">
        <w:rPr>
          <w:rFonts w:ascii="Times New Roman" w:eastAsia="Times New Roman" w:hAnsi="Times New Roman"/>
          <w:sz w:val="22"/>
        </w:rPr>
        <w:t>-</w:t>
      </w:r>
      <w:r w:rsidR="002A793D" w:rsidRPr="009501AC">
        <w:rPr>
          <w:rFonts w:ascii="Times New Roman" w:eastAsia="Times New Roman" w:hAnsi="Times New Roman"/>
          <w:sz w:val="22"/>
        </w:rPr>
        <w:t>dózist nem vizsgáltak.</w:t>
      </w:r>
    </w:p>
    <w:p w14:paraId="372D6360" w14:textId="77777777" w:rsidR="002A793D" w:rsidRPr="009501AC" w:rsidRDefault="002A793D">
      <w:pPr>
        <w:spacing w:line="247" w:lineRule="exact"/>
        <w:rPr>
          <w:rFonts w:ascii="Times New Roman" w:eastAsia="Times New Roman" w:hAnsi="Times New Roman"/>
        </w:rPr>
      </w:pPr>
    </w:p>
    <w:p w14:paraId="634A234E" w14:textId="07D22230" w:rsidR="002A793D" w:rsidRPr="00F567BF" w:rsidRDefault="002A793D">
      <w:pPr>
        <w:spacing w:line="230" w:lineRule="auto"/>
        <w:ind w:left="1" w:right="80"/>
        <w:rPr>
          <w:rFonts w:ascii="Times New Roman" w:eastAsia="Times New Roman" w:hAnsi="Times New Roman"/>
          <w:sz w:val="22"/>
        </w:rPr>
      </w:pPr>
      <w:r w:rsidRPr="009501AC">
        <w:rPr>
          <w:rFonts w:ascii="Times New Roman" w:eastAsia="Times New Roman" w:hAnsi="Times New Roman"/>
          <w:sz w:val="22"/>
        </w:rPr>
        <w:t xml:space="preserve">Ezért </w:t>
      </w:r>
      <w:r w:rsidR="00132132" w:rsidRPr="009501AC">
        <w:rPr>
          <w:rFonts w:ascii="Times New Roman" w:eastAsia="Times New Roman" w:hAnsi="Times New Roman"/>
          <w:sz w:val="22"/>
        </w:rPr>
        <w:t>az imatinib</w:t>
      </w:r>
      <w:r w:rsidRPr="009501AC">
        <w:rPr>
          <w:rFonts w:ascii="Times New Roman" w:eastAsia="Times New Roman" w:hAnsi="Times New Roman"/>
          <w:sz w:val="22"/>
        </w:rPr>
        <w:t xml:space="preserve"> és a paracetamol</w:t>
      </w:r>
      <w:r w:rsidRPr="00F567BF">
        <w:rPr>
          <w:rFonts w:ascii="Times New Roman" w:eastAsia="Times New Roman" w:hAnsi="Times New Roman"/>
          <w:sz w:val="22"/>
        </w:rPr>
        <w:t xml:space="preserve"> egyidejű, nagy dózisban történő alkalmazása során óvatosságra van szükség.</w:t>
      </w:r>
    </w:p>
    <w:p w14:paraId="2E39417A" w14:textId="77777777" w:rsidR="002A793D" w:rsidRPr="00F567BF" w:rsidRDefault="002A793D">
      <w:pPr>
        <w:spacing w:line="248" w:lineRule="exact"/>
        <w:rPr>
          <w:rFonts w:ascii="Times New Roman" w:eastAsia="Times New Roman" w:hAnsi="Times New Roman"/>
        </w:rPr>
      </w:pPr>
    </w:p>
    <w:p w14:paraId="6591AC80" w14:textId="77777777" w:rsidR="002A793D" w:rsidRPr="00F567BF" w:rsidRDefault="002A793D" w:rsidP="00BA7EBD">
      <w:pPr>
        <w:spacing w:line="242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Levotiroxin</w:t>
      </w:r>
      <w:r w:rsidR="0065392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kezelésben részesülő, thyreoidectomián átesett betegekben a levotiroxin plazmaexpozíciója csökkenhet </w:t>
      </w:r>
      <w:r w:rsidR="00C9462D" w:rsidRPr="00F567BF">
        <w:rPr>
          <w:rFonts w:ascii="Times New Roman" w:eastAsia="Times New Roman" w:hAnsi="Times New Roman"/>
          <w:sz w:val="22"/>
          <w:szCs w:val="22"/>
        </w:rPr>
        <w:t>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egyidejű alkalmazása esetén (lásd 4.4</w:t>
      </w:r>
      <w:r w:rsidR="00775F9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pont). Ezért ilyen esetben óvatosság javasolt. A megfigyelt interakció mechanizmusa azonban jelenleg nem ismert.</w:t>
      </w:r>
    </w:p>
    <w:p w14:paraId="209399C5" w14:textId="77777777" w:rsidR="002A793D" w:rsidRPr="00F567BF" w:rsidRDefault="002A793D">
      <w:pPr>
        <w:spacing w:line="244" w:lineRule="exact"/>
        <w:rPr>
          <w:rFonts w:ascii="Times New Roman" w:eastAsia="Times New Roman" w:hAnsi="Times New Roman"/>
          <w:sz w:val="22"/>
          <w:szCs w:val="22"/>
        </w:rPr>
      </w:pPr>
    </w:p>
    <w:p w14:paraId="597EEA4A" w14:textId="23763600" w:rsidR="002A793D" w:rsidRDefault="002A793D" w:rsidP="003D19F1">
      <w:pPr>
        <w:spacing w:line="230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Ph+</w:t>
      </w:r>
      <w:r w:rsidR="00BD7A6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ALL-es betegek esetében </w:t>
      </w:r>
      <w:r w:rsidR="00C9462D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kemoterápiával történő egyidejű alkalmazására vonatkozóan rendelkezésre áll klinikai tapasztalat (lásd 5.1</w:t>
      </w:r>
      <w:r w:rsidR="00BD7A6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pont), de az imatinib és a kemoterápiás szerek közötti gyógyszerkölcsönhatás nincs megfelelően meghatározva. Az imatinib által kiváltott nemkívánatos események (p</w:t>
      </w:r>
      <w:r w:rsidR="00775F9C">
        <w:rPr>
          <w:rFonts w:ascii="Times New Roman" w:eastAsia="Times New Roman" w:hAnsi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/>
          <w:sz w:val="22"/>
          <w:szCs w:val="22"/>
        </w:rPr>
        <w:t>l hepatotoxicitás, myelosuppressio stb</w:t>
      </w:r>
      <w:r w:rsidR="00CB1F98" w:rsidRPr="00F567BF">
        <w:rPr>
          <w:rFonts w:ascii="Times New Roman" w:eastAsia="Times New Roman" w:hAnsi="Times New Roman"/>
          <w:sz w:val="22"/>
          <w:szCs w:val="22"/>
        </w:rPr>
        <w:t>.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) </w:t>
      </w:r>
      <w:r w:rsidR="000D71F5">
        <w:rPr>
          <w:rFonts w:ascii="Times New Roman" w:eastAsia="Times New Roman" w:hAnsi="Times New Roman"/>
          <w:sz w:val="22"/>
          <w:szCs w:val="22"/>
        </w:rPr>
        <w:t>fokozódhatnak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valamint beszámoltak arról, hogy az imatinib </w:t>
      </w:r>
      <w:r w:rsidR="003D19F1">
        <w:rPr>
          <w:rFonts w:ascii="Times New Roman" w:eastAsia="Times New Roman" w:hAnsi="Times New Roman"/>
          <w:sz w:val="22"/>
          <w:szCs w:val="22"/>
        </w:rPr>
        <w:t xml:space="preserve">egyidejű alkalmazása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L-aszparaginázzal </w:t>
      </w:r>
      <w:r w:rsidR="003D19F1">
        <w:rPr>
          <w:rFonts w:ascii="Times New Roman" w:eastAsia="Times New Roman" w:hAnsi="Times New Roman"/>
          <w:sz w:val="22"/>
          <w:szCs w:val="22"/>
        </w:rPr>
        <w:t>fokozott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hepatotoxicitással járhat (lásd 4.8</w:t>
      </w:r>
      <w:r w:rsidR="00DC05C4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pont). Ezért </w:t>
      </w:r>
      <w:r w:rsidR="00CB1F98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kombinációban történő alkalmazása fokozott körültekintést igényel.</w:t>
      </w:r>
    </w:p>
    <w:p w14:paraId="4B6E0853" w14:textId="77777777" w:rsidR="00535FBD" w:rsidRDefault="00535FBD" w:rsidP="003D19F1">
      <w:pPr>
        <w:spacing w:line="230" w:lineRule="auto"/>
        <w:ind w:left="1" w:right="-8"/>
        <w:rPr>
          <w:rFonts w:ascii="Times New Roman" w:eastAsia="Times New Roman" w:hAnsi="Times New Roman"/>
          <w:sz w:val="22"/>
          <w:szCs w:val="22"/>
        </w:rPr>
      </w:pPr>
    </w:p>
    <w:p w14:paraId="161C503B" w14:textId="0DF65840" w:rsidR="00535FBD" w:rsidRPr="00F567BF" w:rsidRDefault="009A0729" w:rsidP="003D19F1">
      <w:pPr>
        <w:spacing w:line="230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9A0729">
        <w:rPr>
          <w:rFonts w:ascii="Times New Roman" w:eastAsia="Times New Roman" w:hAnsi="Times New Roman"/>
          <w:sz w:val="22"/>
          <w:szCs w:val="22"/>
        </w:rPr>
        <w:t>Az imatinib késleltetheti a metotrexát clearance-ét, főként, ha a metotrexátot nagy dózisban (&gt;</w:t>
      </w:r>
      <w:r w:rsidR="007E6A66">
        <w:rPr>
          <w:rFonts w:ascii="Times New Roman" w:eastAsia="Times New Roman" w:hAnsi="Times New Roman"/>
          <w:sz w:val="22"/>
          <w:szCs w:val="22"/>
        </w:rPr>
        <w:t> </w:t>
      </w:r>
      <w:r w:rsidRPr="009A0729">
        <w:rPr>
          <w:rFonts w:ascii="Times New Roman" w:eastAsia="Times New Roman" w:hAnsi="Times New Roman"/>
          <w:sz w:val="22"/>
          <w:szCs w:val="22"/>
        </w:rPr>
        <w:t>500</w:t>
      </w:r>
      <w:r>
        <w:rPr>
          <w:rFonts w:ascii="Times New Roman" w:eastAsia="Times New Roman" w:hAnsi="Times New Roman"/>
          <w:sz w:val="22"/>
          <w:szCs w:val="22"/>
        </w:rPr>
        <w:t> </w:t>
      </w:r>
      <w:r w:rsidRPr="009A0729">
        <w:rPr>
          <w:rFonts w:ascii="Times New Roman" w:eastAsia="Times New Roman" w:hAnsi="Times New Roman"/>
          <w:sz w:val="22"/>
          <w:szCs w:val="22"/>
        </w:rPr>
        <w:t>mg/m</w:t>
      </w:r>
      <w:r w:rsidRPr="009A0729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9A0729">
        <w:rPr>
          <w:rFonts w:ascii="Times New Roman" w:eastAsia="Times New Roman" w:hAnsi="Times New Roman"/>
          <w:sz w:val="22"/>
          <w:szCs w:val="22"/>
        </w:rPr>
        <w:t xml:space="preserve">) alkalmazzák. A </w:t>
      </w:r>
      <w:r>
        <w:rPr>
          <w:rFonts w:ascii="Times New Roman" w:eastAsia="Times New Roman" w:hAnsi="Times New Roman"/>
          <w:sz w:val="22"/>
          <w:szCs w:val="22"/>
        </w:rPr>
        <w:t>Latib</w:t>
      </w:r>
      <w:r w:rsidRPr="009A0729">
        <w:rPr>
          <w:rFonts w:ascii="Times New Roman" w:eastAsia="Times New Roman" w:hAnsi="Times New Roman"/>
          <w:sz w:val="22"/>
          <w:szCs w:val="22"/>
        </w:rPr>
        <w:t xml:space="preserve"> metotrexáttal való együttes alkalmazása esetén elővigyázatosság javasolt.</w:t>
      </w:r>
    </w:p>
    <w:p w14:paraId="74EEFCE9" w14:textId="77777777" w:rsidR="002A793D" w:rsidRPr="00F567BF" w:rsidRDefault="002A793D">
      <w:pPr>
        <w:spacing w:line="245" w:lineRule="exact"/>
        <w:rPr>
          <w:rFonts w:ascii="Times New Roman" w:eastAsia="Times New Roman" w:hAnsi="Times New Roman"/>
        </w:rPr>
      </w:pPr>
    </w:p>
    <w:p w14:paraId="0F69634B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4.6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Termékenység, terhesség és szoptatás</w:t>
      </w:r>
    </w:p>
    <w:p w14:paraId="5912F668" w14:textId="77777777" w:rsidR="002A793D" w:rsidRPr="00F567BF" w:rsidRDefault="002A793D">
      <w:pPr>
        <w:spacing w:line="230" w:lineRule="exact"/>
        <w:rPr>
          <w:rFonts w:ascii="Times New Roman" w:eastAsia="Times New Roman" w:hAnsi="Times New Roman"/>
        </w:rPr>
      </w:pPr>
    </w:p>
    <w:p w14:paraId="4783DC88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Fogamzóképes nők</w:t>
      </w:r>
    </w:p>
    <w:p w14:paraId="28B024B3" w14:textId="77777777" w:rsidR="002A793D" w:rsidRPr="00F567BF" w:rsidRDefault="002A793D">
      <w:pPr>
        <w:spacing w:line="2" w:lineRule="exact"/>
        <w:rPr>
          <w:rFonts w:ascii="Times New Roman" w:eastAsia="Times New Roman" w:hAnsi="Times New Roman"/>
        </w:rPr>
      </w:pPr>
    </w:p>
    <w:p w14:paraId="087CB1F6" w14:textId="09025813" w:rsidR="002A793D" w:rsidRPr="00F567BF" w:rsidRDefault="002A793D" w:rsidP="003D19F1">
      <w:pPr>
        <w:spacing w:line="230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Fogamzóképes nőknek javasolni</w:t>
      </w:r>
      <w:r w:rsidR="007E6A66">
        <w:rPr>
          <w:rFonts w:ascii="Times New Roman" w:eastAsia="Times New Roman" w:hAnsi="Times New Roman"/>
          <w:sz w:val="22"/>
        </w:rPr>
        <w:t xml:space="preserve"> kell</w:t>
      </w:r>
      <w:r w:rsidRPr="00F567BF">
        <w:rPr>
          <w:rFonts w:ascii="Times New Roman" w:eastAsia="Times New Roman" w:hAnsi="Times New Roman"/>
          <w:sz w:val="22"/>
        </w:rPr>
        <w:t xml:space="preserve">, hogy </w:t>
      </w:r>
      <w:r w:rsidR="00DC05C4" w:rsidRPr="00DC05C4">
        <w:rPr>
          <w:rFonts w:ascii="Times New Roman" w:eastAsia="Times New Roman" w:hAnsi="Times New Roman"/>
          <w:sz w:val="22"/>
        </w:rPr>
        <w:t xml:space="preserve">alkalmazzanak </w:t>
      </w:r>
      <w:r w:rsidRPr="00F567BF">
        <w:rPr>
          <w:rFonts w:ascii="Times New Roman" w:eastAsia="Times New Roman" w:hAnsi="Times New Roman"/>
          <w:sz w:val="22"/>
        </w:rPr>
        <w:t>hatékony fogamzásgátlást a kezelés alatt</w:t>
      </w:r>
      <w:r w:rsidR="00602389">
        <w:rPr>
          <w:rFonts w:ascii="Times New Roman" w:eastAsia="Times New Roman" w:hAnsi="Times New Roman"/>
          <w:sz w:val="22"/>
        </w:rPr>
        <w:t xml:space="preserve">, </w:t>
      </w:r>
      <w:r w:rsidR="00602389" w:rsidRPr="003E1C1E">
        <w:rPr>
          <w:rFonts w:ascii="Times New Roman" w:hAnsi="Times New Roman" w:cs="Times New Roman"/>
          <w:sz w:val="22"/>
          <w:szCs w:val="22"/>
        </w:rPr>
        <w:t>és még</w:t>
      </w:r>
      <w:r w:rsidR="00602389" w:rsidRPr="003E1C1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602389" w:rsidRPr="003E1C1E">
        <w:rPr>
          <w:rFonts w:ascii="Times New Roman" w:hAnsi="Times New Roman" w:cs="Times New Roman"/>
          <w:sz w:val="22"/>
          <w:szCs w:val="22"/>
        </w:rPr>
        <w:t>legalább 15</w:t>
      </w:r>
      <w:r w:rsidR="00602389">
        <w:rPr>
          <w:rFonts w:ascii="Times New Roman" w:hAnsi="Times New Roman" w:cs="Times New Roman"/>
          <w:sz w:val="22"/>
          <w:szCs w:val="22"/>
        </w:rPr>
        <w:t> </w:t>
      </w:r>
      <w:r w:rsidR="00602389" w:rsidRPr="003E1C1E">
        <w:rPr>
          <w:rFonts w:ascii="Times New Roman" w:hAnsi="Times New Roman" w:cs="Times New Roman"/>
          <w:sz w:val="22"/>
          <w:szCs w:val="22"/>
        </w:rPr>
        <w:t>napig</w:t>
      </w:r>
      <w:r w:rsidR="00602389" w:rsidRPr="003E1C1E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602389" w:rsidRPr="003E1C1E">
        <w:rPr>
          <w:rFonts w:ascii="Times New Roman" w:hAnsi="Times New Roman" w:cs="Times New Roman"/>
          <w:sz w:val="22"/>
          <w:szCs w:val="22"/>
        </w:rPr>
        <w:t>a</w:t>
      </w:r>
      <w:r w:rsidR="00602389">
        <w:rPr>
          <w:rFonts w:ascii="Times New Roman" w:hAnsi="Times New Roman" w:cs="Times New Roman"/>
          <w:sz w:val="22"/>
          <w:szCs w:val="22"/>
        </w:rPr>
        <w:t>z imatinib</w:t>
      </w:r>
      <w:r w:rsidR="00602389" w:rsidRPr="003E1C1E">
        <w:rPr>
          <w:rFonts w:ascii="Times New Roman" w:hAnsi="Times New Roman" w:cs="Times New Roman"/>
          <w:sz w:val="22"/>
          <w:szCs w:val="22"/>
        </w:rPr>
        <w:t>-kezelés befejezését</w:t>
      </w:r>
      <w:r w:rsidR="00602389" w:rsidRPr="003E1C1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602389" w:rsidRPr="003E1C1E">
        <w:rPr>
          <w:rFonts w:ascii="Times New Roman" w:hAnsi="Times New Roman" w:cs="Times New Roman"/>
          <w:sz w:val="22"/>
          <w:szCs w:val="22"/>
        </w:rPr>
        <w:t>követően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32C3D00F" w14:textId="77777777" w:rsidR="002A793D" w:rsidRPr="00F567BF" w:rsidRDefault="002A793D">
      <w:pPr>
        <w:spacing w:line="236" w:lineRule="exact"/>
        <w:rPr>
          <w:rFonts w:ascii="Times New Roman" w:eastAsia="Times New Roman" w:hAnsi="Times New Roman"/>
        </w:rPr>
      </w:pPr>
    </w:p>
    <w:p w14:paraId="1D1190F0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Terhesség</w:t>
      </w:r>
    </w:p>
    <w:p w14:paraId="45F21796" w14:textId="02C2FBE8" w:rsidR="002A793D" w:rsidRPr="00F567BF" w:rsidRDefault="002A793D" w:rsidP="003D19F1">
      <w:pPr>
        <w:spacing w:line="231" w:lineRule="auto"/>
        <w:ind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Az imatinib terhes nőknél történő alkalmazás</w:t>
      </w:r>
      <w:r w:rsidR="001B407E">
        <w:rPr>
          <w:rFonts w:ascii="Times New Roman" w:eastAsia="Times New Roman" w:hAnsi="Times New Roman"/>
          <w:sz w:val="22"/>
        </w:rPr>
        <w:t>áról</w:t>
      </w:r>
      <w:r w:rsidRPr="00F567BF">
        <w:rPr>
          <w:rFonts w:ascii="Times New Roman" w:eastAsia="Times New Roman" w:hAnsi="Times New Roman"/>
          <w:sz w:val="22"/>
        </w:rPr>
        <w:t xml:space="preserve"> korlátozott mennyiségű </w:t>
      </w:r>
      <w:r w:rsidR="00751909">
        <w:rPr>
          <w:rFonts w:ascii="Times New Roman" w:eastAsia="Times New Roman" w:hAnsi="Times New Roman"/>
          <w:sz w:val="22"/>
        </w:rPr>
        <w:t>adat</w:t>
      </w:r>
      <w:r w:rsidRPr="00F567BF">
        <w:rPr>
          <w:rFonts w:ascii="Times New Roman" w:eastAsia="Times New Roman" w:hAnsi="Times New Roman"/>
          <w:sz w:val="22"/>
        </w:rPr>
        <w:t xml:space="preserve"> áll rendelkezésre. </w:t>
      </w:r>
      <w:r w:rsidR="00D05725">
        <w:rPr>
          <w:rFonts w:ascii="Times New Roman" w:eastAsia="Times New Roman" w:hAnsi="Times New Roman" w:cs="Times New Roman"/>
          <w:sz w:val="22"/>
          <w:szCs w:val="22"/>
        </w:rPr>
        <w:t>Az imatinib</w:t>
      </w:r>
      <w:r w:rsidR="00D05725" w:rsidRPr="003E1C1E">
        <w:rPr>
          <w:rFonts w:ascii="Times New Roman" w:hAnsi="Times New Roman" w:cs="Times New Roman"/>
          <w:sz w:val="22"/>
          <w:szCs w:val="22"/>
        </w:rPr>
        <w:t>et szedő nők esetében a forgalomba hozatalt követően beszámoltak spontán</w:t>
      </w:r>
      <w:r w:rsidR="00D05725" w:rsidRPr="003E1C1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9159D8">
        <w:rPr>
          <w:rFonts w:ascii="Times New Roman" w:hAnsi="Times New Roman" w:cs="Times New Roman"/>
          <w:sz w:val="22"/>
          <w:szCs w:val="22"/>
        </w:rPr>
        <w:t>vetélésről</w:t>
      </w:r>
      <w:r w:rsidR="00D05725" w:rsidRPr="003E1C1E">
        <w:rPr>
          <w:rFonts w:ascii="Times New Roman" w:hAnsi="Times New Roman" w:cs="Times New Roman"/>
          <w:sz w:val="22"/>
          <w:szCs w:val="22"/>
        </w:rPr>
        <w:t xml:space="preserve"> és </w:t>
      </w:r>
      <w:r w:rsidR="009159D8">
        <w:rPr>
          <w:rFonts w:ascii="Times New Roman" w:hAnsi="Times New Roman" w:cs="Times New Roman"/>
          <w:sz w:val="22"/>
          <w:szCs w:val="22"/>
        </w:rPr>
        <w:t xml:space="preserve">a gyermek </w:t>
      </w:r>
      <w:r w:rsidR="00985035">
        <w:rPr>
          <w:rFonts w:ascii="Times New Roman" w:hAnsi="Times New Roman" w:cs="Times New Roman"/>
          <w:sz w:val="22"/>
          <w:szCs w:val="22"/>
        </w:rPr>
        <w:t xml:space="preserve">veleszületett </w:t>
      </w:r>
      <w:r w:rsidR="00D05725" w:rsidRPr="003E1C1E">
        <w:rPr>
          <w:rFonts w:ascii="Times New Roman" w:hAnsi="Times New Roman" w:cs="Times New Roman"/>
          <w:sz w:val="22"/>
          <w:szCs w:val="22"/>
        </w:rPr>
        <w:t>rendellenessége</w:t>
      </w:r>
      <w:r w:rsidR="00985035">
        <w:rPr>
          <w:rFonts w:ascii="Times New Roman" w:hAnsi="Times New Roman" w:cs="Times New Roman"/>
          <w:sz w:val="22"/>
          <w:szCs w:val="22"/>
        </w:rPr>
        <w:t>iről</w:t>
      </w:r>
      <w:r w:rsidR="00D05725" w:rsidRPr="003E1C1E">
        <w:rPr>
          <w:rFonts w:ascii="Times New Roman" w:hAnsi="Times New Roman" w:cs="Times New Roman"/>
          <w:sz w:val="22"/>
          <w:szCs w:val="22"/>
        </w:rPr>
        <w:t>.</w:t>
      </w:r>
      <w:r w:rsidR="00D05725">
        <w:rPr>
          <w:rFonts w:ascii="Times New Roman" w:hAnsi="Times New Roman" w:cs="Times New Roman"/>
          <w:sz w:val="22"/>
          <w:szCs w:val="22"/>
        </w:rPr>
        <w:t xml:space="preserve"> </w:t>
      </w:r>
      <w:r w:rsidR="00B46E74">
        <w:rPr>
          <w:rFonts w:ascii="Times New Roman" w:hAnsi="Times New Roman" w:cs="Times New Roman"/>
          <w:sz w:val="22"/>
          <w:szCs w:val="22"/>
        </w:rPr>
        <w:t>A</w:t>
      </w:r>
      <w:r w:rsidR="003D19F1">
        <w:rPr>
          <w:rFonts w:ascii="Times New Roman" w:eastAsia="Times New Roman" w:hAnsi="Times New Roman"/>
          <w:sz w:val="22"/>
        </w:rPr>
        <w:t>z állat</w:t>
      </w:r>
      <w:r w:rsidR="00B46E74">
        <w:rPr>
          <w:rFonts w:ascii="Times New Roman" w:eastAsia="Times New Roman" w:hAnsi="Times New Roman"/>
          <w:sz w:val="22"/>
        </w:rPr>
        <w:t>okkal végzett vizsgálatok azonban</w:t>
      </w:r>
      <w:r w:rsidRPr="00F567BF">
        <w:rPr>
          <w:rFonts w:ascii="Times New Roman" w:eastAsia="Times New Roman" w:hAnsi="Times New Roman"/>
          <w:sz w:val="22"/>
        </w:rPr>
        <w:t xml:space="preserve"> reproduk</w:t>
      </w:r>
      <w:r w:rsidR="00D6238B">
        <w:rPr>
          <w:rFonts w:ascii="Times New Roman" w:eastAsia="Times New Roman" w:hAnsi="Times New Roman"/>
          <w:sz w:val="22"/>
        </w:rPr>
        <w:t>ciós</w:t>
      </w:r>
      <w:r w:rsidRPr="00F567BF">
        <w:rPr>
          <w:rFonts w:ascii="Times New Roman" w:eastAsia="Times New Roman" w:hAnsi="Times New Roman"/>
          <w:sz w:val="22"/>
        </w:rPr>
        <w:t xml:space="preserve"> toxicitást igazoltak (lásd 5.3</w:t>
      </w:r>
      <w:r w:rsidR="00DC05C4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pont), a magzatra gyakorolt potenciális </w:t>
      </w:r>
      <w:r w:rsidR="004F1DCC">
        <w:rPr>
          <w:rFonts w:ascii="Times New Roman" w:eastAsia="Times New Roman" w:hAnsi="Times New Roman"/>
          <w:sz w:val="22"/>
        </w:rPr>
        <w:t>kockázat</w:t>
      </w:r>
      <w:r w:rsidRPr="00F567BF">
        <w:rPr>
          <w:rFonts w:ascii="Times New Roman" w:eastAsia="Times New Roman" w:hAnsi="Times New Roman"/>
          <w:sz w:val="22"/>
        </w:rPr>
        <w:t xml:space="preserve"> nem ismert. </w:t>
      </w:r>
      <w:r w:rsidR="00C4686E" w:rsidRPr="00F567BF">
        <w:rPr>
          <w:rFonts w:ascii="Times New Roman" w:eastAsia="Times New Roman" w:hAnsi="Times New Roman"/>
          <w:sz w:val="22"/>
        </w:rPr>
        <w:t>Az imatinib</w:t>
      </w:r>
      <w:r w:rsidRPr="00F567BF">
        <w:rPr>
          <w:rFonts w:ascii="Times New Roman" w:eastAsia="Times New Roman" w:hAnsi="Times New Roman"/>
          <w:sz w:val="22"/>
        </w:rPr>
        <w:t xml:space="preserve"> </w:t>
      </w:r>
      <w:r w:rsidR="00DC05C4" w:rsidRPr="00DB5D3A">
        <w:rPr>
          <w:rFonts w:ascii="Times New Roman" w:eastAsia="Times New Roman" w:hAnsi="Times New Roman"/>
          <w:sz w:val="22"/>
        </w:rPr>
        <w:t xml:space="preserve">nem alkalmazható </w:t>
      </w:r>
      <w:r w:rsidRPr="00F567BF">
        <w:rPr>
          <w:rFonts w:ascii="Times New Roman" w:eastAsia="Times New Roman" w:hAnsi="Times New Roman"/>
          <w:sz w:val="22"/>
        </w:rPr>
        <w:t xml:space="preserve">terhesség alatt, kivéve, ha erre egyértelműen szükség van. Amennyiben terhesség során alkalmazzák, </w:t>
      </w:r>
      <w:r w:rsidR="003D19F1">
        <w:rPr>
          <w:rFonts w:ascii="Times New Roman" w:eastAsia="Times New Roman" w:hAnsi="Times New Roman"/>
          <w:sz w:val="22"/>
        </w:rPr>
        <w:t>a beteget tájékoztatni</w:t>
      </w:r>
      <w:r w:rsidRPr="00F567BF">
        <w:rPr>
          <w:rFonts w:ascii="Times New Roman" w:eastAsia="Times New Roman" w:hAnsi="Times New Roman"/>
          <w:sz w:val="22"/>
        </w:rPr>
        <w:t xml:space="preserve"> kell a foetusra gyakorolt potenciális kockázat</w:t>
      </w:r>
      <w:r w:rsidR="003D19F1">
        <w:rPr>
          <w:rFonts w:ascii="Times New Roman" w:eastAsia="Times New Roman" w:hAnsi="Times New Roman"/>
          <w:sz w:val="22"/>
        </w:rPr>
        <w:t>ról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737FAB82" w14:textId="77777777" w:rsidR="002A793D" w:rsidRPr="00F567BF" w:rsidRDefault="002A793D">
      <w:pPr>
        <w:spacing w:line="236" w:lineRule="exact"/>
        <w:rPr>
          <w:rFonts w:ascii="Times New Roman" w:eastAsia="Times New Roman" w:hAnsi="Times New Roman"/>
          <w:sz w:val="22"/>
          <w:szCs w:val="22"/>
        </w:rPr>
      </w:pPr>
    </w:p>
    <w:p w14:paraId="03E38826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Szoptatás</w:t>
      </w:r>
    </w:p>
    <w:p w14:paraId="4AEADF43" w14:textId="55862E53" w:rsidR="002A793D" w:rsidRPr="00F567BF" w:rsidRDefault="002A793D" w:rsidP="00C4686E">
      <w:pPr>
        <w:spacing w:line="230" w:lineRule="auto"/>
        <w:ind w:right="2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 xml:space="preserve">Korlátozott </w:t>
      </w:r>
      <w:r w:rsidR="0095428F">
        <w:rPr>
          <w:rFonts w:ascii="Times New Roman" w:eastAsia="Times New Roman" w:hAnsi="Times New Roman"/>
          <w:sz w:val="22"/>
        </w:rPr>
        <w:t>me</w:t>
      </w:r>
      <w:r w:rsidR="008A227B">
        <w:rPr>
          <w:rFonts w:ascii="Times New Roman" w:eastAsia="Times New Roman" w:hAnsi="Times New Roman"/>
          <w:sz w:val="22"/>
        </w:rPr>
        <w:t xml:space="preserve">nnyiségű </w:t>
      </w:r>
      <w:r w:rsidRPr="00F567BF">
        <w:rPr>
          <w:rFonts w:ascii="Times New Roman" w:eastAsia="Times New Roman" w:hAnsi="Times New Roman"/>
          <w:sz w:val="22"/>
        </w:rPr>
        <w:t xml:space="preserve">információ áll rendelkezésre az imatinib emberi anyatejbe történő átjutásáról. Két szoptató nő bevonásával végzett vizsgálatokban kimutatták, hogy mind az imatinib, mind annak aktív metabolitja </w:t>
      </w:r>
      <w:r w:rsidR="005C767B">
        <w:rPr>
          <w:rFonts w:ascii="Times New Roman" w:eastAsia="Times New Roman" w:hAnsi="Times New Roman"/>
          <w:sz w:val="22"/>
        </w:rPr>
        <w:t>át</w:t>
      </w:r>
      <w:r w:rsidRPr="00F567BF">
        <w:rPr>
          <w:rFonts w:ascii="Times New Roman" w:eastAsia="Times New Roman" w:hAnsi="Times New Roman"/>
          <w:sz w:val="22"/>
        </w:rPr>
        <w:t>juthat az emberi anyatejbe. A</w:t>
      </w:r>
      <w:r w:rsidR="00044145">
        <w:rPr>
          <w:rFonts w:ascii="Times New Roman" w:eastAsia="Times New Roman" w:hAnsi="Times New Roman"/>
          <w:sz w:val="22"/>
        </w:rPr>
        <w:t>z anya</w:t>
      </w:r>
      <w:r w:rsidRPr="00F567BF">
        <w:rPr>
          <w:rFonts w:ascii="Times New Roman" w:eastAsia="Times New Roman" w:hAnsi="Times New Roman"/>
          <w:sz w:val="22"/>
        </w:rPr>
        <w:t>tej</w:t>
      </w:r>
      <w:r w:rsidR="007E6A66">
        <w:rPr>
          <w:rFonts w:ascii="Times New Roman" w:eastAsia="Times New Roman" w:hAnsi="Times New Roman"/>
          <w:sz w:val="22"/>
        </w:rPr>
        <w:t>/</w:t>
      </w:r>
      <w:r w:rsidRPr="00F567BF">
        <w:rPr>
          <w:rFonts w:ascii="Times New Roman" w:eastAsia="Times New Roman" w:hAnsi="Times New Roman"/>
          <w:sz w:val="22"/>
        </w:rPr>
        <w:t xml:space="preserve">plazma arányt </w:t>
      </w:r>
      <w:r w:rsidR="004D6E91">
        <w:rPr>
          <w:sz w:val="22"/>
          <w:szCs w:val="22"/>
        </w:rPr>
        <w:t xml:space="preserve">– </w:t>
      </w:r>
      <w:r w:rsidRPr="00F567BF">
        <w:rPr>
          <w:rFonts w:ascii="Times New Roman" w:eastAsia="Times New Roman" w:hAnsi="Times New Roman"/>
          <w:sz w:val="22"/>
        </w:rPr>
        <w:t>melyet egyetlen betegnél vizsgáltak</w:t>
      </w:r>
      <w:r w:rsidR="004D6E91" w:rsidRPr="004D6E91">
        <w:rPr>
          <w:sz w:val="22"/>
          <w:szCs w:val="22"/>
        </w:rPr>
        <w:t xml:space="preserve"> </w:t>
      </w:r>
      <w:r w:rsidR="004D6E91">
        <w:rPr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</w:rPr>
        <w:t xml:space="preserve"> az imatinib esetén 0,5-nek, metabolitja esetén 0,9-nek mérték, ami arra utal, hogy a metabolit nagyobb mértékben jut </w:t>
      </w:r>
      <w:r w:rsidR="00487298">
        <w:rPr>
          <w:rFonts w:ascii="Times New Roman" w:eastAsia="Times New Roman" w:hAnsi="Times New Roman"/>
          <w:sz w:val="22"/>
        </w:rPr>
        <w:t>át</w:t>
      </w:r>
      <w:r w:rsidRPr="00F567BF">
        <w:rPr>
          <w:rFonts w:ascii="Times New Roman" w:eastAsia="Times New Roman" w:hAnsi="Times New Roman"/>
          <w:sz w:val="22"/>
        </w:rPr>
        <w:t xml:space="preserve"> a</w:t>
      </w:r>
      <w:r w:rsidR="00044145">
        <w:rPr>
          <w:rFonts w:ascii="Times New Roman" w:eastAsia="Times New Roman" w:hAnsi="Times New Roman"/>
          <w:sz w:val="22"/>
        </w:rPr>
        <w:t>z anya</w:t>
      </w:r>
      <w:r w:rsidRPr="00F567BF">
        <w:rPr>
          <w:rFonts w:ascii="Times New Roman" w:eastAsia="Times New Roman" w:hAnsi="Times New Roman"/>
          <w:sz w:val="22"/>
        </w:rPr>
        <w:t xml:space="preserve">tejbe. Tekintettel az imatinib és a metabolit együttes koncentrációjára és a csecsemők napi maximális </w:t>
      </w:r>
      <w:r w:rsidR="00044145">
        <w:rPr>
          <w:rFonts w:ascii="Times New Roman" w:eastAsia="Times New Roman" w:hAnsi="Times New Roman"/>
          <w:sz w:val="22"/>
        </w:rPr>
        <w:t>anya</w:t>
      </w:r>
      <w:r w:rsidRPr="00F567BF">
        <w:rPr>
          <w:rFonts w:ascii="Times New Roman" w:eastAsia="Times New Roman" w:hAnsi="Times New Roman"/>
          <w:sz w:val="22"/>
        </w:rPr>
        <w:t xml:space="preserve">tejfogyasztására, a teljes expozíció várhatóan alacsony lesz (a terápiás </w:t>
      </w:r>
      <w:r w:rsidR="00B07194">
        <w:rPr>
          <w:rFonts w:ascii="Times New Roman" w:eastAsia="Times New Roman" w:hAnsi="Times New Roman"/>
          <w:sz w:val="22"/>
        </w:rPr>
        <w:t>dózis</w:t>
      </w:r>
      <w:r w:rsidR="00B07194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kb. 10%-a). Mivel azonban a csecsemő </w:t>
      </w:r>
      <w:r w:rsidR="004A7F6C">
        <w:rPr>
          <w:rFonts w:ascii="Times New Roman" w:eastAsia="Times New Roman" w:hAnsi="Times New Roman"/>
          <w:sz w:val="22"/>
        </w:rPr>
        <w:t>kis</w:t>
      </w:r>
      <w:r w:rsidRPr="00F567BF">
        <w:rPr>
          <w:rFonts w:ascii="Times New Roman" w:eastAsia="Times New Roman" w:hAnsi="Times New Roman"/>
          <w:sz w:val="22"/>
        </w:rPr>
        <w:t xml:space="preserve"> dózisú imatinib-expozíciójának hatása nem ismert, </w:t>
      </w:r>
      <w:r w:rsidR="00B07194" w:rsidRPr="003E1C1E">
        <w:rPr>
          <w:rFonts w:ascii="Times New Roman" w:hAnsi="Times New Roman" w:cs="Times New Roman"/>
          <w:sz w:val="22"/>
          <w:szCs w:val="22"/>
        </w:rPr>
        <w:t>az</w:t>
      </w:r>
      <w:r w:rsidR="00B07194">
        <w:rPr>
          <w:rFonts w:ascii="Times New Roman" w:hAnsi="Times New Roman" w:cs="Times New Roman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="00B07194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anya</w:t>
      </w:r>
      <w:r w:rsidR="00B07194" w:rsidRPr="003E1C1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a kezelés</w:t>
      </w:r>
      <w:r w:rsidR="00B07194" w:rsidRPr="003E1C1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alatt</w:t>
      </w:r>
      <w:r w:rsidR="00B07194" w:rsidRPr="003E1C1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és</w:t>
      </w:r>
      <w:r w:rsidR="00B07194" w:rsidRPr="003E1C1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az imatinib</w:t>
      </w:r>
      <w:r w:rsidR="00B07194">
        <w:rPr>
          <w:rFonts w:ascii="Times New Roman" w:eastAsia="Times New Roman" w:hAnsi="Times New Roman"/>
          <w:sz w:val="22"/>
        </w:rPr>
        <w:t>-kezelés</w:t>
      </w:r>
      <w:r w:rsidR="00B07194" w:rsidRPr="00F567BF">
        <w:rPr>
          <w:rFonts w:ascii="Times New Roman" w:eastAsia="Times New Roman" w:hAnsi="Times New Roman"/>
          <w:sz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befejezését</w:t>
      </w:r>
      <w:r w:rsidR="00B07194" w:rsidRPr="003E1C1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követően még</w:t>
      </w:r>
      <w:r w:rsidR="00B07194" w:rsidRPr="003E1C1E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legalább 15</w:t>
      </w:r>
      <w:r w:rsidR="00B07194">
        <w:rPr>
          <w:rFonts w:ascii="Times New Roman" w:hAnsi="Times New Roman" w:cs="Times New Roman"/>
          <w:sz w:val="22"/>
          <w:szCs w:val="22"/>
        </w:rPr>
        <w:t> </w:t>
      </w:r>
      <w:r w:rsidR="00B07194" w:rsidRPr="003E1C1E">
        <w:rPr>
          <w:rFonts w:ascii="Times New Roman" w:hAnsi="Times New Roman" w:cs="Times New Roman"/>
          <w:sz w:val="22"/>
          <w:szCs w:val="22"/>
        </w:rPr>
        <w:t>napig</w:t>
      </w:r>
      <w:r w:rsidR="00B07194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nem szoptathat.</w:t>
      </w:r>
    </w:p>
    <w:p w14:paraId="2F83F5CB" w14:textId="77777777" w:rsidR="002A793D" w:rsidRPr="00F567BF" w:rsidRDefault="002A793D">
      <w:pPr>
        <w:spacing w:line="259" w:lineRule="exact"/>
        <w:rPr>
          <w:rFonts w:ascii="Times New Roman" w:eastAsia="Times New Roman" w:hAnsi="Times New Roman"/>
        </w:rPr>
      </w:pPr>
    </w:p>
    <w:p w14:paraId="74792829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Termékenység</w:t>
      </w:r>
    </w:p>
    <w:p w14:paraId="6706AEAB" w14:textId="1EBEF2F9" w:rsidR="002213CA" w:rsidRPr="00F567BF" w:rsidRDefault="002A793D" w:rsidP="002213CA">
      <w:pPr>
        <w:spacing w:line="237" w:lineRule="auto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Nem klinikai vizsgálatokban a hím és nőstény patkányok termékenysége nem változott</w:t>
      </w:r>
      <w:r w:rsidR="007E6A66">
        <w:rPr>
          <w:rFonts w:ascii="Times New Roman" w:eastAsia="Times New Roman" w:hAnsi="Times New Roman"/>
          <w:sz w:val="22"/>
        </w:rPr>
        <w:t>,</w:t>
      </w:r>
      <w:r w:rsidRPr="00F567BF">
        <w:rPr>
          <w:rFonts w:ascii="Times New Roman" w:eastAsia="Times New Roman" w:hAnsi="Times New Roman"/>
          <w:sz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bár</w:t>
      </w:r>
      <w:r w:rsidR="00B07194" w:rsidRPr="003E1C1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B07194" w:rsidRPr="003E1C1E">
        <w:rPr>
          <w:rFonts w:ascii="Times New Roman" w:hAnsi="Times New Roman" w:cs="Times New Roman"/>
          <w:sz w:val="22"/>
          <w:szCs w:val="22"/>
        </w:rPr>
        <w:t>tapasztaltak a reproduk</w:t>
      </w:r>
      <w:r w:rsidR="00DC6315">
        <w:rPr>
          <w:rFonts w:ascii="Times New Roman" w:hAnsi="Times New Roman" w:cs="Times New Roman"/>
          <w:sz w:val="22"/>
          <w:szCs w:val="22"/>
        </w:rPr>
        <w:t>ciós</w:t>
      </w:r>
      <w:r w:rsidR="00B07194" w:rsidRPr="003E1C1E">
        <w:rPr>
          <w:rFonts w:ascii="Times New Roman" w:hAnsi="Times New Roman" w:cs="Times New Roman"/>
          <w:sz w:val="22"/>
          <w:szCs w:val="22"/>
        </w:rPr>
        <w:t xml:space="preserve"> paraméterekre kifejtett hatásokat</w:t>
      </w:r>
      <w:r w:rsidR="00B07194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(lásd 5.3</w:t>
      </w:r>
      <w:r w:rsidR="00DC05C4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pont). </w:t>
      </w:r>
      <w:r w:rsidR="002213CA" w:rsidRPr="00F567BF">
        <w:rPr>
          <w:rFonts w:ascii="Times New Roman" w:eastAsia="Times New Roman" w:hAnsi="Times New Roman"/>
          <w:sz w:val="22"/>
        </w:rPr>
        <w:t>Imatinib</w:t>
      </w:r>
      <w:r w:rsidR="00B01D87">
        <w:rPr>
          <w:rFonts w:ascii="Times New Roman" w:eastAsia="Times New Roman" w:hAnsi="Times New Roman"/>
          <w:sz w:val="22"/>
        </w:rPr>
        <w:t>bel kezelt</w:t>
      </w:r>
      <w:r w:rsidRPr="00F567BF">
        <w:rPr>
          <w:rFonts w:ascii="Times New Roman" w:eastAsia="Times New Roman" w:hAnsi="Times New Roman"/>
          <w:sz w:val="22"/>
        </w:rPr>
        <w:t xml:space="preserve"> betegekkel</w:t>
      </w:r>
      <w:r w:rsidR="007E6A66">
        <w:rPr>
          <w:rFonts w:ascii="Times New Roman" w:eastAsia="Times New Roman" w:hAnsi="Times New Roman"/>
          <w:sz w:val="22"/>
        </w:rPr>
        <w:t xml:space="preserve"> végzett</w:t>
      </w:r>
      <w:r w:rsidRPr="00F567BF">
        <w:rPr>
          <w:rFonts w:ascii="Times New Roman" w:eastAsia="Times New Roman" w:hAnsi="Times New Roman"/>
          <w:sz w:val="22"/>
        </w:rPr>
        <w:t xml:space="preserve">, valamint </w:t>
      </w:r>
      <w:r w:rsidR="00B01D87">
        <w:rPr>
          <w:rFonts w:ascii="Times New Roman" w:eastAsia="Times New Roman" w:hAnsi="Times New Roman"/>
          <w:sz w:val="22"/>
        </w:rPr>
        <w:t>az imatinib</w:t>
      </w:r>
      <w:r w:rsidRPr="00F567BF">
        <w:rPr>
          <w:rFonts w:ascii="Times New Roman" w:eastAsia="Times New Roman" w:hAnsi="Times New Roman"/>
          <w:sz w:val="22"/>
        </w:rPr>
        <w:t xml:space="preserve"> fertilitásra és a gam</w:t>
      </w:r>
      <w:r w:rsidR="002213CA" w:rsidRPr="00F567BF">
        <w:rPr>
          <w:rFonts w:ascii="Times New Roman" w:eastAsia="Times New Roman" w:hAnsi="Times New Roman"/>
          <w:sz w:val="22"/>
        </w:rPr>
        <w:t xml:space="preserve">etogenesisre gyakorolt hatásait </w:t>
      </w:r>
      <w:r w:rsidRPr="00F567BF">
        <w:rPr>
          <w:rFonts w:ascii="Times New Roman" w:eastAsia="Times New Roman" w:hAnsi="Times New Roman"/>
          <w:sz w:val="22"/>
        </w:rPr>
        <w:t xml:space="preserve">értékelő vizsgálatok nem </w:t>
      </w:r>
      <w:r w:rsidR="007E6A66">
        <w:rPr>
          <w:rFonts w:ascii="Times New Roman" w:eastAsia="Times New Roman" w:hAnsi="Times New Roman"/>
          <w:sz w:val="22"/>
        </w:rPr>
        <w:t>történtek</w:t>
      </w:r>
      <w:r w:rsidRPr="00F567BF">
        <w:rPr>
          <w:rFonts w:ascii="Times New Roman" w:eastAsia="Times New Roman" w:hAnsi="Times New Roman"/>
          <w:sz w:val="22"/>
        </w:rPr>
        <w:t xml:space="preserve">. </w:t>
      </w:r>
      <w:r w:rsidR="00C4686E" w:rsidRPr="00F567BF">
        <w:rPr>
          <w:rFonts w:ascii="Times New Roman" w:eastAsia="Times New Roman" w:hAnsi="Times New Roman"/>
          <w:sz w:val="22"/>
        </w:rPr>
        <w:t>Az imatinib</w:t>
      </w:r>
      <w:r w:rsidRPr="00F567BF">
        <w:rPr>
          <w:rFonts w:ascii="Times New Roman" w:eastAsia="Times New Roman" w:hAnsi="Times New Roman"/>
          <w:sz w:val="22"/>
        </w:rPr>
        <w:t>-kezelést kapó, a termékenységük miatt aggódó betegeknek beszélniük kell kezelőorvosukkal.</w:t>
      </w:r>
    </w:p>
    <w:p w14:paraId="0667C70B" w14:textId="77777777" w:rsidR="002213CA" w:rsidRPr="00800EB7" w:rsidRDefault="002213CA" w:rsidP="002213CA">
      <w:pPr>
        <w:tabs>
          <w:tab w:val="left" w:pos="567"/>
        </w:tabs>
        <w:outlineLvl w:val="0"/>
        <w:rPr>
          <w:rFonts w:ascii="Times New Roman" w:eastAsia="Times New Roman" w:hAnsi="Times New Roman" w:cs="Times New Roman"/>
          <w:noProof/>
          <w:sz w:val="22"/>
          <w:szCs w:val="22"/>
          <w:lang w:eastAsia="en-US"/>
        </w:rPr>
      </w:pPr>
      <w:bookmarkStart w:id="8" w:name="page45"/>
      <w:bookmarkEnd w:id="8"/>
    </w:p>
    <w:p w14:paraId="564B9A35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4.7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készítmény hatásai a gépjárművezetéshez és a gépek kezeléséhez szükséges képességekre</w:t>
      </w:r>
    </w:p>
    <w:p w14:paraId="2D67B959" w14:textId="77777777" w:rsidR="002A793D" w:rsidRPr="00F567BF" w:rsidRDefault="002A793D">
      <w:pPr>
        <w:spacing w:line="244" w:lineRule="exact"/>
        <w:rPr>
          <w:rFonts w:ascii="Times New Roman" w:eastAsia="Times New Roman" w:hAnsi="Times New Roman"/>
        </w:rPr>
      </w:pPr>
    </w:p>
    <w:p w14:paraId="7F3E59DA" w14:textId="205A6638" w:rsidR="002A793D" w:rsidRPr="00F567BF" w:rsidRDefault="002A793D">
      <w:pPr>
        <w:spacing w:line="230" w:lineRule="auto"/>
        <w:ind w:left="1" w:right="20"/>
        <w:rPr>
          <w:rFonts w:ascii="Times New Roman" w:eastAsia="Times New Roman" w:hAnsi="Times New Roman"/>
          <w:sz w:val="22"/>
        </w:rPr>
      </w:pPr>
      <w:r w:rsidRPr="00251F43">
        <w:rPr>
          <w:rFonts w:ascii="Times New Roman" w:eastAsia="Times New Roman" w:hAnsi="Times New Roman"/>
          <w:sz w:val="22"/>
        </w:rPr>
        <w:t>A betegeket figyelmeztetni kell, hogy az imatinib</w:t>
      </w:r>
      <w:r w:rsidR="00DC05C4" w:rsidRPr="00251F43">
        <w:rPr>
          <w:rFonts w:ascii="Times New Roman" w:eastAsia="Times New Roman" w:hAnsi="Times New Roman"/>
          <w:sz w:val="22"/>
        </w:rPr>
        <w:t>-</w:t>
      </w:r>
      <w:r w:rsidRPr="00251F43">
        <w:rPr>
          <w:rFonts w:ascii="Times New Roman" w:eastAsia="Times New Roman" w:hAnsi="Times New Roman"/>
          <w:sz w:val="22"/>
        </w:rPr>
        <w:t>terápia ideje alatt mellékhatások</w:t>
      </w:r>
      <w:r w:rsidR="00B01D87" w:rsidRPr="00251F43">
        <w:rPr>
          <w:rFonts w:ascii="Times New Roman" w:eastAsia="Times New Roman" w:hAnsi="Times New Roman"/>
          <w:sz w:val="22"/>
        </w:rPr>
        <w:t>at</w:t>
      </w:r>
      <w:r w:rsidRPr="00251F43">
        <w:rPr>
          <w:rFonts w:ascii="Times New Roman" w:eastAsia="Times New Roman" w:hAnsi="Times New Roman"/>
          <w:sz w:val="22"/>
        </w:rPr>
        <w:t xml:space="preserve">, </w:t>
      </w:r>
      <w:r w:rsidR="00B01D87" w:rsidRPr="00251F43">
        <w:rPr>
          <w:rFonts w:ascii="Times New Roman" w:eastAsia="Times New Roman" w:hAnsi="Times New Roman"/>
          <w:sz w:val="22"/>
        </w:rPr>
        <w:t xml:space="preserve">például </w:t>
      </w:r>
      <w:r w:rsidRPr="00251F43">
        <w:rPr>
          <w:rFonts w:ascii="Times New Roman" w:eastAsia="Times New Roman" w:hAnsi="Times New Roman"/>
          <w:sz w:val="22"/>
        </w:rPr>
        <w:t>szédülés</w:t>
      </w:r>
      <w:r w:rsidR="00B01D87" w:rsidRPr="00251F43">
        <w:rPr>
          <w:rFonts w:ascii="Times New Roman" w:eastAsia="Times New Roman" w:hAnsi="Times New Roman"/>
          <w:sz w:val="22"/>
        </w:rPr>
        <w:t>t</w:t>
      </w:r>
      <w:r w:rsidRPr="00251F43">
        <w:rPr>
          <w:rFonts w:ascii="Times New Roman" w:eastAsia="Times New Roman" w:hAnsi="Times New Roman"/>
          <w:sz w:val="22"/>
        </w:rPr>
        <w:t>, homályos látás</w:t>
      </w:r>
      <w:r w:rsidR="00B01D87" w:rsidRPr="00251F43">
        <w:rPr>
          <w:rFonts w:ascii="Times New Roman" w:eastAsia="Times New Roman" w:hAnsi="Times New Roman"/>
          <w:sz w:val="22"/>
        </w:rPr>
        <w:t>t</w:t>
      </w:r>
      <w:r w:rsidRPr="00251F43">
        <w:rPr>
          <w:rFonts w:ascii="Times New Roman" w:eastAsia="Times New Roman" w:hAnsi="Times New Roman"/>
          <w:sz w:val="22"/>
        </w:rPr>
        <w:t xml:space="preserve"> és aluszékonyság</w:t>
      </w:r>
      <w:r w:rsidR="00B01D87" w:rsidRPr="00251F43">
        <w:rPr>
          <w:rFonts w:ascii="Times New Roman" w:eastAsia="Times New Roman" w:hAnsi="Times New Roman"/>
          <w:sz w:val="22"/>
        </w:rPr>
        <w:t>ot</w:t>
      </w:r>
      <w:r w:rsidRPr="00251F43">
        <w:rPr>
          <w:rFonts w:ascii="Times New Roman" w:eastAsia="Times New Roman" w:hAnsi="Times New Roman"/>
          <w:sz w:val="22"/>
        </w:rPr>
        <w:t xml:space="preserve"> </w:t>
      </w:r>
      <w:r w:rsidR="00B01D87" w:rsidRPr="00251F43">
        <w:rPr>
          <w:rFonts w:ascii="Times New Roman" w:eastAsia="Times New Roman" w:hAnsi="Times New Roman"/>
          <w:sz w:val="22"/>
        </w:rPr>
        <w:t>tapasztalhatnak</w:t>
      </w:r>
      <w:r w:rsidRPr="00251F43">
        <w:rPr>
          <w:rFonts w:ascii="Times New Roman" w:eastAsia="Times New Roman" w:hAnsi="Times New Roman"/>
          <w:sz w:val="22"/>
        </w:rPr>
        <w:t xml:space="preserve">. Ezért óvatosság javasolt </w:t>
      </w:r>
      <w:r w:rsidR="00B01D87" w:rsidRPr="00251F43">
        <w:rPr>
          <w:rFonts w:ascii="Times New Roman" w:eastAsia="Times New Roman" w:hAnsi="Times New Roman"/>
          <w:sz w:val="22"/>
        </w:rPr>
        <w:t xml:space="preserve">a </w:t>
      </w:r>
      <w:r w:rsidRPr="00251F43">
        <w:rPr>
          <w:rFonts w:ascii="Times New Roman" w:eastAsia="Times New Roman" w:hAnsi="Times New Roman"/>
          <w:sz w:val="22"/>
        </w:rPr>
        <w:t xml:space="preserve">gépjárművezetés és </w:t>
      </w:r>
      <w:r w:rsidR="00F64213" w:rsidRPr="00251F43">
        <w:rPr>
          <w:rFonts w:ascii="Times New Roman" w:eastAsia="Times New Roman" w:hAnsi="Times New Roman"/>
          <w:sz w:val="22"/>
        </w:rPr>
        <w:t xml:space="preserve">a </w:t>
      </w:r>
      <w:r w:rsidRPr="00251F43">
        <w:rPr>
          <w:rFonts w:ascii="Times New Roman" w:eastAsia="Times New Roman" w:hAnsi="Times New Roman"/>
          <w:sz w:val="22"/>
        </w:rPr>
        <w:t>gép</w:t>
      </w:r>
      <w:r w:rsidR="00F64213" w:rsidRPr="00251F43">
        <w:rPr>
          <w:rFonts w:ascii="Times New Roman" w:eastAsia="Times New Roman" w:hAnsi="Times New Roman"/>
          <w:sz w:val="22"/>
        </w:rPr>
        <w:t xml:space="preserve">ek </w:t>
      </w:r>
      <w:r w:rsidRPr="00251F43">
        <w:rPr>
          <w:rFonts w:ascii="Times New Roman" w:eastAsia="Times New Roman" w:hAnsi="Times New Roman"/>
          <w:sz w:val="22"/>
        </w:rPr>
        <w:t>kezelés</w:t>
      </w:r>
      <w:r w:rsidR="00F64213" w:rsidRPr="00251F43">
        <w:rPr>
          <w:rFonts w:ascii="Times New Roman" w:eastAsia="Times New Roman" w:hAnsi="Times New Roman"/>
          <w:sz w:val="22"/>
        </w:rPr>
        <w:t>ének</w:t>
      </w:r>
      <w:r w:rsidRPr="00251F43">
        <w:rPr>
          <w:rFonts w:ascii="Times New Roman" w:eastAsia="Times New Roman" w:hAnsi="Times New Roman"/>
          <w:sz w:val="22"/>
        </w:rPr>
        <w:t xml:space="preserve"> ideje alatt.</w:t>
      </w:r>
    </w:p>
    <w:p w14:paraId="160A0E30" w14:textId="77777777" w:rsidR="002A793D" w:rsidRPr="00F567BF" w:rsidRDefault="002A793D">
      <w:pPr>
        <w:spacing w:line="240" w:lineRule="exact"/>
        <w:rPr>
          <w:rFonts w:ascii="Times New Roman" w:eastAsia="Times New Roman" w:hAnsi="Times New Roman"/>
        </w:rPr>
      </w:pPr>
    </w:p>
    <w:p w14:paraId="1ACF0302" w14:textId="77777777" w:rsidR="00FE083B" w:rsidRPr="00F567BF" w:rsidRDefault="00FE083B" w:rsidP="00800EB7">
      <w:pPr>
        <w:keepNext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4.8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Nemkívánatos hatások, mellékhatások</w:t>
      </w:r>
    </w:p>
    <w:p w14:paraId="12B326B7" w14:textId="77777777" w:rsidR="002A793D" w:rsidRPr="00F567BF" w:rsidRDefault="002A793D" w:rsidP="00800EB7">
      <w:pPr>
        <w:keepNext/>
        <w:spacing w:line="241" w:lineRule="exact"/>
        <w:rPr>
          <w:rFonts w:ascii="Times New Roman" w:eastAsia="Times New Roman" w:hAnsi="Times New Roman"/>
        </w:rPr>
      </w:pPr>
    </w:p>
    <w:p w14:paraId="7DE0FCCA" w14:textId="77777777" w:rsidR="009A1F49" w:rsidRPr="00F567BF" w:rsidRDefault="009A1F49" w:rsidP="00800EB7">
      <w:pPr>
        <w:keepNext/>
        <w:spacing w:line="241" w:lineRule="auto"/>
        <w:ind w:left="1" w:right="60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A biztonságossági profil összefoglalása</w:t>
      </w:r>
    </w:p>
    <w:p w14:paraId="3B4EC812" w14:textId="7BF88FF1" w:rsidR="002A793D" w:rsidRPr="00F567BF" w:rsidRDefault="002A793D" w:rsidP="00800EB7">
      <w:pPr>
        <w:keepNext/>
        <w:spacing w:line="241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előrehaladott stádiumú rosszindulatú betegségben szenvedő betegekn</w:t>
      </w:r>
      <w:r w:rsidR="001142D0">
        <w:rPr>
          <w:rFonts w:ascii="Times New Roman" w:eastAsia="Times New Roman" w:hAnsi="Times New Roman"/>
          <w:sz w:val="22"/>
          <w:szCs w:val="22"/>
        </w:rPr>
        <w:t>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számos </w:t>
      </w:r>
      <w:r w:rsidR="00B01D87">
        <w:rPr>
          <w:rFonts w:ascii="Times New Roman" w:eastAsia="Times New Roman" w:hAnsi="Times New Roman"/>
          <w:sz w:val="22"/>
          <w:szCs w:val="22"/>
        </w:rPr>
        <w:t>olyan</w:t>
      </w:r>
      <w:r w:rsidR="00BC2D1E">
        <w:rPr>
          <w:rFonts w:ascii="Times New Roman" w:eastAsia="Times New Roman" w:hAnsi="Times New Roman"/>
          <w:sz w:val="22"/>
          <w:szCs w:val="22"/>
        </w:rPr>
        <w:t xml:space="preserve"> betegség lehet jelen, amely</w:t>
      </w:r>
      <w:r w:rsidR="00B01D87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zavaró</w:t>
      </w:r>
      <w:r w:rsidR="00BC2D1E">
        <w:rPr>
          <w:rFonts w:ascii="Times New Roman" w:eastAsia="Times New Roman" w:hAnsi="Times New Roman"/>
          <w:sz w:val="22"/>
          <w:szCs w:val="22"/>
        </w:rPr>
        <w:t xml:space="preserve"> hatású</w:t>
      </w:r>
      <w:r w:rsidR="005356AA">
        <w:rPr>
          <w:rFonts w:ascii="Times New Roman" w:eastAsia="Times New Roman" w:hAnsi="Times New Roman"/>
          <w:sz w:val="22"/>
          <w:szCs w:val="22"/>
        </w:rPr>
        <w:t xml:space="preserve"> lehet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</w:t>
      </w:r>
      <w:r w:rsidR="005356AA">
        <w:rPr>
          <w:rFonts w:ascii="Times New Roman" w:eastAsia="Times New Roman" w:hAnsi="Times New Roman"/>
          <w:sz w:val="22"/>
          <w:szCs w:val="22"/>
        </w:rPr>
        <w:t xml:space="preserve">illetve </w:t>
      </w:r>
      <w:r w:rsidR="00B01D87">
        <w:rPr>
          <w:rFonts w:ascii="Times New Roman" w:eastAsia="Times New Roman" w:hAnsi="Times New Roman"/>
          <w:sz w:val="22"/>
          <w:szCs w:val="22"/>
        </w:rPr>
        <w:t>megnehezíti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mellékhatások ok-okozati összefüggéseinek megállapítását, mivel a különböző tünetek</w:t>
      </w:r>
      <w:r w:rsidR="00B01D87">
        <w:rPr>
          <w:rFonts w:ascii="Times New Roman" w:eastAsia="Times New Roman" w:hAnsi="Times New Roman"/>
          <w:sz w:val="22"/>
          <w:szCs w:val="22"/>
        </w:rPr>
        <w:t>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alapbetegség, a betegség progressziój</w:t>
      </w:r>
      <w:r w:rsidR="00B01D87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>, illetve az egyidejűleg adott számos más gyógyszer</w:t>
      </w:r>
      <w:r w:rsidR="00B01D87">
        <w:rPr>
          <w:rFonts w:ascii="Times New Roman" w:eastAsia="Times New Roman" w:hAnsi="Times New Roman"/>
          <w:sz w:val="22"/>
          <w:szCs w:val="22"/>
        </w:rPr>
        <w:t xml:space="preserve"> </w:t>
      </w:r>
      <w:r w:rsidR="005356AA">
        <w:rPr>
          <w:rFonts w:ascii="Times New Roman" w:eastAsia="Times New Roman" w:hAnsi="Times New Roman"/>
          <w:sz w:val="22"/>
          <w:szCs w:val="22"/>
        </w:rPr>
        <w:t>is</w:t>
      </w:r>
      <w:r w:rsidR="00B01D87">
        <w:rPr>
          <w:rFonts w:ascii="Times New Roman" w:eastAsia="Times New Roman" w:hAnsi="Times New Roman"/>
          <w:sz w:val="22"/>
          <w:szCs w:val="22"/>
        </w:rPr>
        <w:t xml:space="preserve"> okozhatja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585E2996" w14:textId="77777777" w:rsidR="002A793D" w:rsidRPr="00F567BF" w:rsidRDefault="002A793D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2F6E5189" w14:textId="19C3A166" w:rsidR="002A793D" w:rsidRPr="00101A5E" w:rsidRDefault="002A793D" w:rsidP="00101A5E">
      <w:pPr>
        <w:spacing w:line="231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CML-es betegek bevonásával végzett klinikai vizsgálatokban </w:t>
      </w:r>
      <w:r w:rsidR="00B77C66">
        <w:rPr>
          <w:rFonts w:ascii="Times New Roman" w:eastAsia="Times New Roman" w:hAnsi="Times New Roman"/>
          <w:sz w:val="22"/>
          <w:szCs w:val="22"/>
        </w:rPr>
        <w:t>a</w:t>
      </w:r>
      <w:r w:rsidR="00101A5E">
        <w:rPr>
          <w:rFonts w:ascii="Times New Roman" w:eastAsia="Times New Roman" w:hAnsi="Times New Roman"/>
          <w:sz w:val="22"/>
          <w:szCs w:val="22"/>
        </w:rPr>
        <w:t xml:space="preserve"> gyógyszerszedés gyógyszerrel összefüggő</w:t>
      </w:r>
      <w:r w:rsidR="00B77C66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mellékhatások miatt felfüggeszt</w:t>
      </w:r>
      <w:r w:rsidR="00934BE7">
        <w:rPr>
          <w:rFonts w:ascii="Times New Roman" w:eastAsia="Times New Roman" w:hAnsi="Times New Roman"/>
          <w:sz w:val="22"/>
          <w:szCs w:val="22"/>
        </w:rPr>
        <w:t>ették: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újonnan diagnosztizált betegek 2,4%-á</w:t>
      </w:r>
      <w:r w:rsidR="00070700">
        <w:rPr>
          <w:rFonts w:ascii="Times New Roman" w:eastAsia="Times New Roman" w:hAnsi="Times New Roman"/>
          <w:sz w:val="22"/>
          <w:szCs w:val="22"/>
        </w:rPr>
        <w:t>nál</w:t>
      </w:r>
      <w:r w:rsidR="00934BE7">
        <w:rPr>
          <w:rFonts w:ascii="Times New Roman" w:eastAsia="Times New Roman" w:hAnsi="Times New Roman"/>
          <w:sz w:val="22"/>
          <w:szCs w:val="22"/>
        </w:rPr>
        <w:t>;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késői krónikus fázisban</w:t>
      </w:r>
      <w:r w:rsidR="00934BE7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sikertelen interferon</w:t>
      </w:r>
      <w:r w:rsidR="00B77C66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kezelést követően</w:t>
      </w:r>
      <w:r w:rsidR="00934BE7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betegek 4%-á</w:t>
      </w:r>
      <w:r w:rsidR="00070700">
        <w:rPr>
          <w:rFonts w:ascii="Times New Roman" w:eastAsia="Times New Roman" w:hAnsi="Times New Roman"/>
          <w:sz w:val="22"/>
          <w:szCs w:val="22"/>
        </w:rPr>
        <w:t>nál</w:t>
      </w:r>
      <w:r w:rsidR="00934BE7">
        <w:rPr>
          <w:rFonts w:ascii="Times New Roman" w:eastAsia="Times New Roman" w:hAnsi="Times New Roman"/>
          <w:sz w:val="22"/>
          <w:szCs w:val="22"/>
        </w:rPr>
        <w:t>;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akcelerált </w:t>
      </w:r>
      <w:r w:rsidRPr="00101A5E">
        <w:rPr>
          <w:rFonts w:ascii="Times New Roman" w:eastAsia="Times New Roman" w:hAnsi="Times New Roman"/>
          <w:sz w:val="22"/>
          <w:szCs w:val="22"/>
        </w:rPr>
        <w:t>fázisban</w:t>
      </w:r>
      <w:r w:rsidR="00934BE7">
        <w:rPr>
          <w:rFonts w:ascii="Times New Roman" w:eastAsia="Times New Roman" w:hAnsi="Times New Roman"/>
          <w:sz w:val="22"/>
          <w:szCs w:val="22"/>
        </w:rPr>
        <w:t>,</w:t>
      </w:r>
      <w:r w:rsidRPr="00101A5E">
        <w:rPr>
          <w:rFonts w:ascii="Times New Roman" w:eastAsia="Times New Roman" w:hAnsi="Times New Roman"/>
          <w:sz w:val="22"/>
          <w:szCs w:val="22"/>
        </w:rPr>
        <w:t xml:space="preserve"> sikertelen interferon</w:t>
      </w:r>
      <w:r w:rsidR="00B77C66" w:rsidRPr="00101A5E">
        <w:rPr>
          <w:rFonts w:ascii="Times New Roman" w:eastAsia="Times New Roman" w:hAnsi="Times New Roman"/>
          <w:sz w:val="22"/>
          <w:szCs w:val="22"/>
        </w:rPr>
        <w:t>-</w:t>
      </w:r>
      <w:r w:rsidRPr="00101A5E">
        <w:rPr>
          <w:rFonts w:ascii="Times New Roman" w:eastAsia="Times New Roman" w:hAnsi="Times New Roman"/>
          <w:sz w:val="22"/>
          <w:szCs w:val="22"/>
        </w:rPr>
        <w:t>kezelést követően</w:t>
      </w:r>
      <w:r w:rsidR="00934BE7">
        <w:rPr>
          <w:rFonts w:ascii="Times New Roman" w:eastAsia="Times New Roman" w:hAnsi="Times New Roman"/>
          <w:sz w:val="22"/>
          <w:szCs w:val="22"/>
        </w:rPr>
        <w:t>,</w:t>
      </w:r>
      <w:r w:rsidRPr="00101A5E">
        <w:rPr>
          <w:rFonts w:ascii="Times New Roman" w:eastAsia="Times New Roman" w:hAnsi="Times New Roman"/>
          <w:sz w:val="22"/>
          <w:szCs w:val="22"/>
        </w:rPr>
        <w:t xml:space="preserve"> a betegek 4%-á</w:t>
      </w:r>
      <w:r w:rsidR="00070700" w:rsidRPr="00101A5E">
        <w:rPr>
          <w:rFonts w:ascii="Times New Roman" w:eastAsia="Times New Roman" w:hAnsi="Times New Roman"/>
          <w:sz w:val="22"/>
          <w:szCs w:val="22"/>
        </w:rPr>
        <w:t>nál</w:t>
      </w:r>
      <w:r w:rsidR="00934BE7">
        <w:rPr>
          <w:rFonts w:ascii="Times New Roman" w:eastAsia="Times New Roman" w:hAnsi="Times New Roman"/>
          <w:sz w:val="22"/>
          <w:szCs w:val="22"/>
        </w:rPr>
        <w:t>;</w:t>
      </w:r>
      <w:r w:rsidRPr="00101A5E">
        <w:rPr>
          <w:rFonts w:ascii="Times New Roman" w:eastAsia="Times New Roman" w:hAnsi="Times New Roman"/>
          <w:sz w:val="22"/>
          <w:szCs w:val="22"/>
        </w:rPr>
        <w:t xml:space="preserve"> és sikertelen int</w:t>
      </w:r>
      <w:r w:rsidR="00101A5E" w:rsidRPr="00101A5E">
        <w:rPr>
          <w:rFonts w:ascii="Times New Roman" w:eastAsia="Times New Roman" w:hAnsi="Times New Roman"/>
          <w:sz w:val="22"/>
          <w:szCs w:val="22"/>
        </w:rPr>
        <w:t>e</w:t>
      </w:r>
      <w:r w:rsidRPr="00101A5E">
        <w:rPr>
          <w:rFonts w:ascii="Times New Roman" w:eastAsia="Times New Roman" w:hAnsi="Times New Roman"/>
          <w:sz w:val="22"/>
          <w:szCs w:val="22"/>
        </w:rPr>
        <w:t>rferon</w:t>
      </w:r>
      <w:r w:rsidR="00B77C66" w:rsidRPr="00101A5E">
        <w:rPr>
          <w:rFonts w:ascii="Times New Roman" w:eastAsia="Times New Roman" w:hAnsi="Times New Roman"/>
          <w:sz w:val="22"/>
          <w:szCs w:val="22"/>
        </w:rPr>
        <w:t>-</w:t>
      </w:r>
      <w:r w:rsidRPr="00101A5E">
        <w:rPr>
          <w:rFonts w:ascii="Times New Roman" w:eastAsia="Times New Roman" w:hAnsi="Times New Roman"/>
          <w:sz w:val="22"/>
          <w:szCs w:val="22"/>
        </w:rPr>
        <w:t>kezelést követően</w:t>
      </w:r>
      <w:r w:rsidR="00934BE7">
        <w:rPr>
          <w:rFonts w:ascii="Times New Roman" w:eastAsia="Times New Roman" w:hAnsi="Times New Roman"/>
          <w:sz w:val="22"/>
          <w:szCs w:val="22"/>
        </w:rPr>
        <w:t>,</w:t>
      </w:r>
      <w:r w:rsidRPr="00101A5E">
        <w:rPr>
          <w:rFonts w:ascii="Times New Roman" w:eastAsia="Times New Roman" w:hAnsi="Times New Roman"/>
          <w:sz w:val="22"/>
          <w:szCs w:val="22"/>
        </w:rPr>
        <w:t xml:space="preserve"> a blasztos krízisben szenvedő betegek 5%-á</w:t>
      </w:r>
      <w:r w:rsidR="00070700" w:rsidRPr="00101A5E">
        <w:rPr>
          <w:rFonts w:ascii="Times New Roman" w:eastAsia="Times New Roman" w:hAnsi="Times New Roman"/>
          <w:sz w:val="22"/>
          <w:szCs w:val="22"/>
        </w:rPr>
        <w:t>nál</w:t>
      </w:r>
      <w:r w:rsidRPr="00101A5E">
        <w:rPr>
          <w:rFonts w:ascii="Times New Roman" w:eastAsia="Times New Roman" w:hAnsi="Times New Roman"/>
          <w:sz w:val="22"/>
          <w:szCs w:val="22"/>
        </w:rPr>
        <w:t xml:space="preserve">. </w:t>
      </w:r>
      <w:r w:rsidR="00101A5E" w:rsidRPr="00101A5E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A GIST vizsgálatban a betegek 4%-ánál kellett felfüggeszteni </w:t>
      </w:r>
      <w:r w:rsidR="00242D95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a vizsgálati gyógyszer szedését</w:t>
      </w:r>
      <w:r w:rsidR="00F770F5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a gyógyszerrel összefüggő </w:t>
      </w:r>
      <w:r w:rsidR="00101A5E" w:rsidRPr="00101A5E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a mellékhatások miatt.</w:t>
      </w:r>
    </w:p>
    <w:p w14:paraId="363AB9C8" w14:textId="77777777" w:rsidR="002A793D" w:rsidRPr="00F567BF" w:rsidRDefault="002A793D">
      <w:pPr>
        <w:spacing w:line="246" w:lineRule="exact"/>
        <w:rPr>
          <w:rFonts w:ascii="Times New Roman" w:eastAsia="Times New Roman" w:hAnsi="Times New Roman"/>
          <w:sz w:val="22"/>
          <w:szCs w:val="22"/>
        </w:rPr>
      </w:pPr>
    </w:p>
    <w:p w14:paraId="05F5EC4D" w14:textId="320630B6" w:rsidR="002A793D" w:rsidRPr="00F567BF" w:rsidRDefault="002A793D" w:rsidP="00101A5E">
      <w:pPr>
        <w:spacing w:line="241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mellékhatások, két kivételtől eltekintve, minden javallat esetén hasonlóak voltak. </w:t>
      </w:r>
      <w:r w:rsidR="00F770F5">
        <w:rPr>
          <w:rFonts w:ascii="Times New Roman" w:eastAsia="Times New Roman" w:hAnsi="Times New Roman"/>
          <w:sz w:val="22"/>
          <w:szCs w:val="22"/>
        </w:rPr>
        <w:t>M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yelosuppressio </w:t>
      </w:r>
      <w:r w:rsidR="00F770F5">
        <w:rPr>
          <w:rFonts w:ascii="Times New Roman" w:eastAsia="Times New Roman" w:hAnsi="Times New Roman"/>
          <w:sz w:val="22"/>
          <w:szCs w:val="22"/>
        </w:rPr>
        <w:t xml:space="preserve">többször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volt megfigyelhető a CML-es, mint a </w:t>
      </w:r>
      <w:r w:rsidR="00101A5E">
        <w:rPr>
          <w:rFonts w:ascii="Times New Roman" w:eastAsia="Times New Roman" w:hAnsi="Times New Roman"/>
          <w:sz w:val="22"/>
          <w:szCs w:val="22"/>
        </w:rPr>
        <w:t>GIST</w:t>
      </w:r>
      <w:r w:rsidR="005F43C0">
        <w:rPr>
          <w:rFonts w:ascii="Times New Roman" w:eastAsia="Times New Roman" w:hAnsi="Times New Roman"/>
          <w:sz w:val="22"/>
          <w:szCs w:val="22"/>
        </w:rPr>
        <w:t>-es</w:t>
      </w:r>
      <w:r w:rsidR="00101A5E">
        <w:rPr>
          <w:rFonts w:ascii="Times New Roman" w:eastAsia="Times New Roman" w:hAnsi="Times New Roman"/>
          <w:sz w:val="22"/>
          <w:szCs w:val="22"/>
        </w:rPr>
        <w:t xml:space="preserve"> betegeknél</w:t>
      </w:r>
      <w:r w:rsidRPr="00F567BF">
        <w:rPr>
          <w:rFonts w:ascii="Times New Roman" w:eastAsia="Times New Roman" w:hAnsi="Times New Roman"/>
          <w:sz w:val="22"/>
          <w:szCs w:val="22"/>
        </w:rPr>
        <w:t>, valószínűleg az alapbetegség miatt. A nem</w:t>
      </w:r>
      <w:r w:rsidR="00FD3440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re</w:t>
      </w:r>
      <w:r w:rsidR="00070700">
        <w:rPr>
          <w:rFonts w:ascii="Times New Roman" w:eastAsia="Times New Roman" w:hAnsi="Times New Roman"/>
          <w:sz w:val="22"/>
          <w:szCs w:val="22"/>
        </w:rPr>
        <w:t>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zekábilis és/vagy metasztatikus </w:t>
      </w:r>
      <w:r w:rsidR="00101A5E">
        <w:rPr>
          <w:rFonts w:ascii="Times New Roman" w:eastAsia="Times New Roman" w:hAnsi="Times New Roman"/>
          <w:sz w:val="22"/>
          <w:szCs w:val="22"/>
        </w:rPr>
        <w:t>GIST-ben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szenvedő betegekkel végzett </w:t>
      </w:r>
      <w:r w:rsidR="000E1567" w:rsidRPr="00F567BF">
        <w:rPr>
          <w:rFonts w:ascii="Times New Roman" w:eastAsia="Times New Roman" w:hAnsi="Times New Roman"/>
          <w:sz w:val="22"/>
          <w:szCs w:val="22"/>
        </w:rPr>
        <w:t>vizsgálatban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7</w:t>
      </w:r>
      <w:r w:rsidR="00101A5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beteg</w:t>
      </w:r>
      <w:r w:rsidR="00070700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(5%) jelentkezett </w:t>
      </w:r>
      <w:r w:rsidR="002867DB" w:rsidRPr="00DB5D3A">
        <w:rPr>
          <w:rFonts w:ascii="Times New Roman" w:eastAsia="Times New Roman" w:hAnsi="Times New Roman"/>
          <w:sz w:val="22"/>
          <w:szCs w:val="22"/>
        </w:rPr>
        <w:t>3</w:t>
      </w:r>
      <w:r w:rsidR="00C061A4">
        <w:rPr>
          <w:rFonts w:ascii="Times New Roman" w:eastAsia="Times New Roman" w:hAnsi="Times New Roman"/>
          <w:sz w:val="22"/>
          <w:szCs w:val="22"/>
        </w:rPr>
        <w:t>–</w:t>
      </w:r>
      <w:r w:rsidR="002867DB" w:rsidRPr="00DB5D3A">
        <w:rPr>
          <w:rFonts w:ascii="Times New Roman" w:eastAsia="Times New Roman" w:hAnsi="Times New Roman"/>
          <w:sz w:val="22"/>
          <w:szCs w:val="22"/>
        </w:rPr>
        <w:t>4</w:t>
      </w:r>
      <w:r w:rsidR="00C061A4">
        <w:rPr>
          <w:rFonts w:ascii="Times New Roman" w:eastAsia="Times New Roman" w:hAnsi="Times New Roman"/>
          <w:sz w:val="22"/>
          <w:szCs w:val="22"/>
        </w:rPr>
        <w:t>.</w:t>
      </w:r>
      <w:r w:rsidR="002867DB" w:rsidRPr="00DB5D3A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CTC</w:t>
      </w:r>
      <w:r w:rsidR="00C061A4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fok</w:t>
      </w:r>
      <w:r w:rsidR="002867DB">
        <w:rPr>
          <w:rFonts w:ascii="Times New Roman" w:eastAsia="Times New Roman" w:hAnsi="Times New Roman"/>
          <w:sz w:val="22"/>
          <w:szCs w:val="22"/>
        </w:rPr>
        <w:t>ozat</w:t>
      </w:r>
      <w:r w:rsidRPr="00F567BF">
        <w:rPr>
          <w:rFonts w:ascii="Times New Roman" w:eastAsia="Times New Roman" w:hAnsi="Times New Roman"/>
          <w:sz w:val="22"/>
          <w:szCs w:val="22"/>
        </w:rPr>
        <w:t>ú vérzés: gastrointestinalis vérzés 3 beteg</w:t>
      </w:r>
      <w:r w:rsidR="00D5329C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>, intratumoralis vérzés 3 beteg</w:t>
      </w:r>
      <w:r w:rsidR="00D5329C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1 beteg</w:t>
      </w:r>
      <w:r w:rsidR="00D5329C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mindkettő. A gastrointestinalis vérzés forrása a</w:t>
      </w:r>
      <w:r w:rsidR="005F43C0">
        <w:rPr>
          <w:rFonts w:ascii="Times New Roman" w:eastAsia="Times New Roman" w:hAnsi="Times New Roman"/>
          <w:sz w:val="22"/>
          <w:szCs w:val="22"/>
        </w:rPr>
        <w:t xml:space="preserve"> gastrointestinalis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tumor lehetett (lásd 4.4</w:t>
      </w:r>
      <w:r w:rsidR="00070700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pont). A gastrointestinalis, ill</w:t>
      </w:r>
      <w:r w:rsidR="00070700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7E2B11">
        <w:rPr>
          <w:rFonts w:ascii="Times New Roman" w:eastAsia="Times New Roman" w:hAnsi="Times New Roman"/>
          <w:sz w:val="22"/>
          <w:szCs w:val="22"/>
        </w:rPr>
        <w:t>intra</w:t>
      </w:r>
      <w:r w:rsidRPr="00F567BF">
        <w:rPr>
          <w:rFonts w:ascii="Times New Roman" w:eastAsia="Times New Roman" w:hAnsi="Times New Roman"/>
          <w:sz w:val="22"/>
          <w:szCs w:val="22"/>
        </w:rPr>
        <w:t>tumorali</w:t>
      </w:r>
      <w:r w:rsidR="002213CA" w:rsidRPr="00F567BF">
        <w:rPr>
          <w:rFonts w:ascii="Times New Roman" w:eastAsia="Times New Roman" w:hAnsi="Times New Roman"/>
          <w:sz w:val="22"/>
          <w:szCs w:val="22"/>
        </w:rPr>
        <w:t xml:space="preserve">s vérzés súlyos és </w:t>
      </w:r>
      <w:r w:rsidR="00646797">
        <w:rPr>
          <w:rFonts w:ascii="Times New Roman" w:eastAsia="Times New Roman" w:hAnsi="Times New Roman"/>
          <w:sz w:val="22"/>
          <w:szCs w:val="22"/>
        </w:rPr>
        <w:t>esetenként</w:t>
      </w:r>
      <w:r w:rsidR="00AD4C28">
        <w:rPr>
          <w:rFonts w:ascii="Times New Roman" w:eastAsia="Times New Roman" w:hAnsi="Times New Roman"/>
          <w:sz w:val="22"/>
          <w:szCs w:val="22"/>
        </w:rPr>
        <w:t xml:space="preserve"> </w:t>
      </w:r>
      <w:r w:rsidR="002213CA" w:rsidRPr="00F567BF">
        <w:rPr>
          <w:rFonts w:ascii="Times New Roman" w:eastAsia="Times New Roman" w:hAnsi="Times New Roman"/>
          <w:sz w:val="22"/>
          <w:szCs w:val="22"/>
        </w:rPr>
        <w:t xml:space="preserve">halálos </w:t>
      </w:r>
      <w:r w:rsidRPr="00F567BF">
        <w:rPr>
          <w:rFonts w:ascii="Times New Roman" w:eastAsia="Times New Roman" w:hAnsi="Times New Roman"/>
          <w:sz w:val="22"/>
          <w:szCs w:val="22"/>
        </w:rPr>
        <w:t>kimenetelű is lehet. A leggyakrabban (</w:t>
      </w:r>
      <w:r w:rsidRPr="00F567BF">
        <w:rPr>
          <w:rFonts w:ascii="Symbol" w:eastAsia="Symbol" w:hAnsi="Symbol"/>
          <w:sz w:val="22"/>
          <w:szCs w:val="22"/>
        </w:rPr>
        <w:t></w:t>
      </w:r>
      <w:r w:rsidR="00D5329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10%) észlelt </w:t>
      </w:r>
      <w:r w:rsidR="00101A5E">
        <w:rPr>
          <w:rFonts w:ascii="Times New Roman" w:eastAsia="Times New Roman" w:hAnsi="Times New Roman"/>
          <w:sz w:val="22"/>
          <w:szCs w:val="22"/>
        </w:rPr>
        <w:t>gyógyszerfüggő</w:t>
      </w:r>
      <w:r w:rsidR="00101A5E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mellékhatások mindkét betegségben</w:t>
      </w:r>
      <w:r w:rsidR="00C061A4">
        <w:rPr>
          <w:rFonts w:ascii="Times New Roman" w:eastAsia="Times New Roman" w:hAnsi="Times New Roman"/>
          <w:sz w:val="22"/>
          <w:szCs w:val="22"/>
        </w:rPr>
        <w:t xml:space="preserve"> az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enyhe hányinger, hányás, hasmenés, hasi fájdalom, fárad</w:t>
      </w:r>
      <w:r w:rsidR="00B955B0">
        <w:rPr>
          <w:rFonts w:ascii="Times New Roman" w:eastAsia="Times New Roman" w:hAnsi="Times New Roman"/>
          <w:sz w:val="22"/>
          <w:szCs w:val="22"/>
        </w:rPr>
        <w:t>tság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myalgia és izomgörcsök, valamint </w:t>
      </w:r>
      <w:r w:rsidR="00C061A4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>bőrkiütés volt</w:t>
      </w:r>
      <w:r w:rsidR="00C061A4">
        <w:rPr>
          <w:rFonts w:ascii="Times New Roman" w:eastAsia="Times New Roman" w:hAnsi="Times New Roman"/>
          <w:sz w:val="22"/>
          <w:szCs w:val="22"/>
        </w:rPr>
        <w:t>ak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</w:t>
      </w:r>
      <w:r w:rsidRPr="00C811A5">
        <w:rPr>
          <w:rFonts w:ascii="Times New Roman" w:eastAsia="Times New Roman" w:hAnsi="Times New Roman"/>
          <w:sz w:val="22"/>
          <w:szCs w:val="22"/>
        </w:rPr>
        <w:t>Valamennyi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vizsgálatban gyakori jelenség volt a felületes ödéma, amit elsősorban periorbit</w:t>
      </w:r>
      <w:r w:rsidR="00D5329C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>lisan vagy az alsó végtagon lehetett észlelni. Ezek az ödémák azonban csak ritkán voltak súlyosak, és diuretikummal vagy egyéb szupportív módon, ill</w:t>
      </w:r>
      <w:r w:rsidR="00070700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165A23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adagjának csökkentésével kezelhetők voltak.</w:t>
      </w:r>
    </w:p>
    <w:p w14:paraId="4676F3C1" w14:textId="77777777" w:rsidR="002A793D" w:rsidRPr="00F567BF" w:rsidRDefault="002A793D">
      <w:pPr>
        <w:spacing w:line="248" w:lineRule="exact"/>
        <w:rPr>
          <w:rFonts w:ascii="Times New Roman" w:eastAsia="Times New Roman" w:hAnsi="Times New Roman"/>
          <w:sz w:val="22"/>
          <w:szCs w:val="22"/>
        </w:rPr>
      </w:pPr>
    </w:p>
    <w:p w14:paraId="5C720C47" w14:textId="6F8274F8" w:rsidR="002A793D" w:rsidRPr="00F567BF" w:rsidRDefault="002A793D" w:rsidP="00C31603">
      <w:pPr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Amikor Ph+</w:t>
      </w:r>
      <w:r w:rsidR="00D5329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ALL-es betegek</w:t>
      </w:r>
      <w:r w:rsidR="00C811A5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imatinibet nagy dózisú kemoterápiával kombinációban alkalmazták, átmen</w:t>
      </w:r>
      <w:r w:rsidR="00500255">
        <w:rPr>
          <w:rFonts w:ascii="Times New Roman" w:eastAsia="Times New Roman" w:hAnsi="Times New Roman"/>
          <w:sz w:val="22"/>
          <w:szCs w:val="22"/>
        </w:rPr>
        <w:t>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ti hepatotoxicitást figyeltek meg, ami </w:t>
      </w:r>
      <w:r w:rsidR="00F31983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>transzaminázszintek emelkedése és hyperbilirubinaemia formájában jelentkezett. A korlátozott biztonság</w:t>
      </w:r>
      <w:r w:rsidR="00C811A5">
        <w:rPr>
          <w:rFonts w:ascii="Times New Roman" w:eastAsia="Times New Roman" w:hAnsi="Times New Roman"/>
          <w:sz w:val="22"/>
          <w:szCs w:val="22"/>
        </w:rPr>
        <w:t>osság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i adatbázis alapján </w:t>
      </w:r>
      <w:r w:rsidR="001D7777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gyermekeknél </w:t>
      </w:r>
      <w:r w:rsidR="00C811A5">
        <w:rPr>
          <w:rFonts w:ascii="Times New Roman" w:eastAsia="Times New Roman" w:hAnsi="Times New Roman"/>
          <w:sz w:val="22"/>
          <w:szCs w:val="22"/>
        </w:rPr>
        <w:t>és serdülőknél</w:t>
      </w:r>
      <w:r w:rsidR="001D7777">
        <w:rPr>
          <w:rFonts w:ascii="Times New Roman" w:eastAsia="Times New Roman" w:hAnsi="Times New Roman"/>
          <w:sz w:val="22"/>
          <w:szCs w:val="22"/>
        </w:rPr>
        <w:t xml:space="preserve"> eddig</w:t>
      </w:r>
      <w:r w:rsidR="00C811A5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jelentett nemkívánatos események a Ph</w:t>
      </w:r>
      <w:r w:rsidR="00D02E23">
        <w:rPr>
          <w:rFonts w:ascii="Times New Roman" w:eastAsia="Times New Roman" w:hAnsi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/>
          <w:sz w:val="22"/>
          <w:szCs w:val="22"/>
        </w:rPr>
        <w:t>ALL-ben szenvedő felnőtt betegek ismert biztonságossági profiljá</w:t>
      </w:r>
      <w:r w:rsidR="001D7777">
        <w:rPr>
          <w:rFonts w:ascii="Times New Roman" w:eastAsia="Times New Roman" w:hAnsi="Times New Roman"/>
          <w:sz w:val="22"/>
          <w:szCs w:val="22"/>
        </w:rPr>
        <w:t>val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1D7777">
        <w:rPr>
          <w:rFonts w:ascii="Times New Roman" w:eastAsia="Times New Roman" w:hAnsi="Times New Roman"/>
          <w:sz w:val="22"/>
          <w:szCs w:val="22"/>
        </w:rPr>
        <w:t>egyez</w:t>
      </w:r>
      <w:r w:rsidR="00800482">
        <w:rPr>
          <w:rFonts w:ascii="Times New Roman" w:eastAsia="Times New Roman" w:hAnsi="Times New Roman"/>
          <w:sz w:val="22"/>
          <w:szCs w:val="22"/>
        </w:rPr>
        <w:t>nek</w:t>
      </w:r>
      <w:r w:rsidRPr="00F567BF">
        <w:rPr>
          <w:rFonts w:ascii="Times New Roman" w:eastAsia="Times New Roman" w:hAnsi="Times New Roman"/>
          <w:sz w:val="22"/>
          <w:szCs w:val="22"/>
        </w:rPr>
        <w:t>. A Ph</w:t>
      </w:r>
      <w:r w:rsidR="00D02E23">
        <w:rPr>
          <w:rFonts w:ascii="Times New Roman" w:eastAsia="Times New Roman" w:hAnsi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ALL-ben szenvedő gyermekek </w:t>
      </w:r>
      <w:r w:rsidR="00C811A5">
        <w:rPr>
          <w:rFonts w:ascii="Times New Roman" w:eastAsia="Times New Roman" w:hAnsi="Times New Roman"/>
          <w:sz w:val="22"/>
          <w:szCs w:val="22"/>
        </w:rPr>
        <w:t xml:space="preserve">és serdülők </w:t>
      </w:r>
      <w:r w:rsidRPr="00F567BF">
        <w:rPr>
          <w:rFonts w:ascii="Times New Roman" w:eastAsia="Times New Roman" w:hAnsi="Times New Roman"/>
          <w:sz w:val="22"/>
          <w:szCs w:val="22"/>
        </w:rPr>
        <w:t>biztonság</w:t>
      </w:r>
      <w:r w:rsidR="00C811A5">
        <w:rPr>
          <w:rFonts w:ascii="Times New Roman" w:eastAsia="Times New Roman" w:hAnsi="Times New Roman"/>
          <w:sz w:val="22"/>
          <w:szCs w:val="22"/>
        </w:rPr>
        <w:t>osság</w:t>
      </w:r>
      <w:r w:rsidRPr="00F567BF">
        <w:rPr>
          <w:rFonts w:ascii="Times New Roman" w:eastAsia="Times New Roman" w:hAnsi="Times New Roman"/>
          <w:sz w:val="22"/>
          <w:szCs w:val="22"/>
        </w:rPr>
        <w:t>i adatbázisa nagyon korlátozott, bár új biztonságossági aggályt nem azonosítottak.</w:t>
      </w:r>
    </w:p>
    <w:p w14:paraId="1E4DDF7B" w14:textId="77777777" w:rsidR="002A793D" w:rsidRPr="00F567BF" w:rsidRDefault="002A793D" w:rsidP="00C31603">
      <w:pPr>
        <w:rPr>
          <w:rFonts w:ascii="Times New Roman" w:eastAsia="Times New Roman" w:hAnsi="Times New Roman"/>
          <w:sz w:val="22"/>
          <w:szCs w:val="22"/>
        </w:rPr>
      </w:pPr>
    </w:p>
    <w:p w14:paraId="2C832370" w14:textId="13336FA5" w:rsidR="00165A23" w:rsidRPr="00F567BF" w:rsidRDefault="002A793D" w:rsidP="00C31603">
      <w:pPr>
        <w:ind w:left="1" w:right="2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egyéb mellékhatások, mint a pleuralis folyadék</w:t>
      </w:r>
      <w:r w:rsidR="00C811A5">
        <w:rPr>
          <w:rFonts w:ascii="Times New Roman" w:eastAsia="Times New Roman" w:hAnsi="Times New Roman"/>
          <w:sz w:val="22"/>
          <w:szCs w:val="22"/>
        </w:rPr>
        <w:t>gyülem</w:t>
      </w:r>
      <w:r w:rsidRPr="00F567BF">
        <w:rPr>
          <w:rFonts w:ascii="Times New Roman" w:eastAsia="Times New Roman" w:hAnsi="Times New Roman"/>
          <w:sz w:val="22"/>
          <w:szCs w:val="22"/>
        </w:rPr>
        <w:t>, ascites, tüdőödéma és a gyors testtömeg</w:t>
      </w:r>
      <w:r w:rsidR="004A1DE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gyarapodás felszíni ödémával vagy anélkül, „folyadékretenció” gyűjtőnévvel jellemezhetők. Ezen mellékhatások általában </w:t>
      </w:r>
      <w:r w:rsidR="00165A23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adásának </w:t>
      </w:r>
      <w:r w:rsidR="00C811A5">
        <w:rPr>
          <w:rFonts w:ascii="Times New Roman" w:eastAsia="Times New Roman" w:hAnsi="Times New Roman"/>
          <w:sz w:val="22"/>
          <w:szCs w:val="22"/>
        </w:rPr>
        <w:t>átmeneti</w:t>
      </w:r>
      <w:r w:rsidR="00C811A5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felfüggesztésével és diuretikummal, valamint egyéb megfelelő szupportív ellátással kezelhetők. Mindazonáltal ezen mellékhatások némelyike súlyos, életet </w:t>
      </w:r>
      <w:r w:rsidR="00C811A5">
        <w:rPr>
          <w:rFonts w:ascii="Times New Roman" w:eastAsia="Times New Roman" w:hAnsi="Times New Roman"/>
          <w:sz w:val="22"/>
          <w:szCs w:val="22"/>
        </w:rPr>
        <w:t>veszélyeztető</w:t>
      </w:r>
      <w:r w:rsidR="00C811A5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is lehet. Több</w:t>
      </w:r>
      <w:r w:rsidR="00C061A4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blasztos krízisben lévő beteg halt meg pleur</w:t>
      </w:r>
      <w:r w:rsidR="001A1738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lis folyadékgyülem, pangásos szívelégtelenség és veseelégtelenség komplex klinikai </w:t>
      </w:r>
      <w:r w:rsidR="00CE03F0">
        <w:rPr>
          <w:rFonts w:ascii="Times New Roman" w:eastAsia="Times New Roman" w:hAnsi="Times New Roman"/>
          <w:sz w:val="22"/>
          <w:szCs w:val="22"/>
        </w:rPr>
        <w:t>kórtörténete</w:t>
      </w:r>
      <w:r w:rsidR="00893FB7">
        <w:rPr>
          <w:rFonts w:ascii="Times New Roman" w:eastAsia="Times New Roman" w:hAnsi="Times New Roman"/>
          <w:sz w:val="22"/>
          <w:szCs w:val="22"/>
        </w:rPr>
        <w:t xml:space="preserve"> következtében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3DF34A8B" w14:textId="77777777" w:rsidR="00165A23" w:rsidRPr="00F567BF" w:rsidRDefault="00165A23" w:rsidP="00C31603">
      <w:pPr>
        <w:ind w:left="1" w:right="20"/>
        <w:rPr>
          <w:rFonts w:ascii="Times New Roman" w:eastAsia="Times New Roman" w:hAnsi="Times New Roman"/>
          <w:sz w:val="22"/>
          <w:szCs w:val="22"/>
        </w:rPr>
      </w:pPr>
    </w:p>
    <w:p w14:paraId="397F7B95" w14:textId="363B009A" w:rsidR="002A793D" w:rsidRPr="00F567BF" w:rsidRDefault="00C811A5" w:rsidP="00C31603">
      <w:pPr>
        <w:ind w:left="1" w:right="20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lastRenderedPageBreak/>
        <w:t>A g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yermek</w:t>
      </w:r>
      <w:r w:rsidR="00070700" w:rsidRPr="00B86269">
        <w:rPr>
          <w:rFonts w:ascii="Times New Roman" w:hAnsi="Times New Roman" w:cs="Times New Roman"/>
          <w:sz w:val="22"/>
          <w:szCs w:val="22"/>
        </w:rPr>
        <w:t xml:space="preserve"> és serdülő</w:t>
      </w:r>
      <w:r w:rsidR="00C061A4">
        <w:rPr>
          <w:rFonts w:ascii="Times New Roman" w:hAnsi="Times New Roman" w:cs="Times New Roman"/>
          <w:sz w:val="22"/>
          <w:szCs w:val="22"/>
        </w:rPr>
        <w:t xml:space="preserve"> betegek</w:t>
      </w:r>
      <w:r w:rsidR="00070700" w:rsidRPr="00B86269">
        <w:rPr>
          <w:rFonts w:ascii="Times New Roman" w:hAnsi="Times New Roman" w:cs="Times New Roman"/>
          <w:sz w:val="22"/>
          <w:szCs w:val="22"/>
        </w:rPr>
        <w:t xml:space="preserve"> bevonásával végzett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klinikai vizsgálatok nem </w:t>
      </w:r>
      <w:r>
        <w:rPr>
          <w:rFonts w:ascii="Times New Roman" w:eastAsia="Times New Roman" w:hAnsi="Times New Roman"/>
          <w:sz w:val="22"/>
          <w:szCs w:val="22"/>
        </w:rPr>
        <w:t>eredményeztek különleges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gyógyszer</w:t>
      </w:r>
      <w:r w:rsidR="007B5F67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biztonságossági megállapítások</w:t>
      </w:r>
      <w:r>
        <w:rPr>
          <w:rFonts w:ascii="Times New Roman" w:eastAsia="Times New Roman" w:hAnsi="Times New Roman"/>
          <w:sz w:val="22"/>
          <w:szCs w:val="22"/>
        </w:rPr>
        <w:t>at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6AB4C8BC" w14:textId="77777777" w:rsidR="002A793D" w:rsidRPr="00F567BF" w:rsidRDefault="002A793D" w:rsidP="00C31603">
      <w:pPr>
        <w:rPr>
          <w:rFonts w:ascii="Times New Roman" w:eastAsia="Times New Roman" w:hAnsi="Times New Roman"/>
          <w:sz w:val="22"/>
          <w:szCs w:val="22"/>
        </w:rPr>
      </w:pPr>
    </w:p>
    <w:p w14:paraId="3485CAAF" w14:textId="77777777" w:rsidR="002A793D" w:rsidRPr="00F567BF" w:rsidRDefault="002A793D" w:rsidP="00756271">
      <w:pPr>
        <w:keepNext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Mellékhatások</w:t>
      </w:r>
    </w:p>
    <w:p w14:paraId="0BBD751E" w14:textId="77777777" w:rsidR="002A793D" w:rsidRPr="00F567BF" w:rsidRDefault="002A793D" w:rsidP="00756271">
      <w:pPr>
        <w:keepNext/>
        <w:rPr>
          <w:rFonts w:ascii="Times New Roman" w:eastAsia="Times New Roman" w:hAnsi="Times New Roman"/>
          <w:sz w:val="22"/>
          <w:szCs w:val="22"/>
        </w:rPr>
      </w:pPr>
    </w:p>
    <w:p w14:paraId="7E42B5B2" w14:textId="1092F4AE" w:rsidR="002A793D" w:rsidRPr="00F567BF" w:rsidRDefault="002A793D" w:rsidP="00756271">
      <w:pPr>
        <w:keepNext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Az </w:t>
      </w:r>
      <w:r w:rsidR="00A16632">
        <w:rPr>
          <w:rFonts w:ascii="Times New Roman" w:eastAsia="Times New Roman" w:hAnsi="Times New Roman"/>
          <w:sz w:val="22"/>
          <w:szCs w:val="22"/>
        </w:rPr>
        <w:t>izolált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eseteknél gyakrabban észlelt mellékhatások az alábbi táblázatban, szervrendszerek és gyakoriság szerint vannak felsorolva. A gyakorisági kateg</w:t>
      </w:r>
      <w:r w:rsidR="002213CA" w:rsidRPr="00F567BF">
        <w:rPr>
          <w:rFonts w:ascii="Times New Roman" w:eastAsia="Times New Roman" w:hAnsi="Times New Roman"/>
          <w:sz w:val="22"/>
          <w:szCs w:val="22"/>
        </w:rPr>
        <w:t xml:space="preserve">óriák meghatározása a következő </w:t>
      </w:r>
      <w:r w:rsidRPr="00F567BF">
        <w:rPr>
          <w:rFonts w:ascii="Times New Roman" w:eastAsia="Times New Roman" w:hAnsi="Times New Roman"/>
          <w:sz w:val="22"/>
          <w:szCs w:val="22"/>
        </w:rPr>
        <w:t>konvenciók szerint történt: nagyon gyakori (</w:t>
      </w:r>
      <w:r w:rsidR="001A1738">
        <w:rPr>
          <w:rFonts w:ascii="Times New Roman" w:hAnsi="Times New Roman" w:cs="Times New Roman"/>
          <w:noProof/>
          <w:color w:val="000000"/>
          <w:sz w:val="22"/>
          <w:szCs w:val="22"/>
          <w:lang w:eastAsia="pl-PL"/>
        </w:rPr>
        <w:t>≥ </w:t>
      </w:r>
      <w:r w:rsidRPr="00F567BF">
        <w:rPr>
          <w:rFonts w:ascii="Times New Roman" w:eastAsia="Times New Roman" w:hAnsi="Times New Roman"/>
          <w:sz w:val="22"/>
          <w:szCs w:val="22"/>
        </w:rPr>
        <w:t>1/10), gyakori (</w:t>
      </w:r>
      <w:r w:rsidR="001A1738">
        <w:rPr>
          <w:rFonts w:ascii="Times New Roman" w:hAnsi="Times New Roman" w:cs="Times New Roman"/>
          <w:noProof/>
          <w:color w:val="000000"/>
          <w:sz w:val="22"/>
          <w:szCs w:val="22"/>
          <w:lang w:eastAsia="pl-PL"/>
        </w:rPr>
        <w:t>≥ </w:t>
      </w:r>
      <w:r w:rsidRPr="00F567BF">
        <w:rPr>
          <w:rFonts w:ascii="Times New Roman" w:eastAsia="Times New Roman" w:hAnsi="Times New Roman"/>
          <w:sz w:val="22"/>
          <w:szCs w:val="22"/>
        </w:rPr>
        <w:t>1/100</w:t>
      </w:r>
      <w:r w:rsidR="00C061A4">
        <w:rPr>
          <w:rFonts w:ascii="Times New Roman" w:eastAsia="Times New Roman" w:hAnsi="Times New Roman"/>
          <w:sz w:val="22"/>
          <w:szCs w:val="22"/>
        </w:rPr>
        <w:t> </w:t>
      </w:r>
      <w:r w:rsidR="00070700">
        <w:rPr>
          <w:rFonts w:ascii="Times New Roman" w:eastAsia="Times New Roman" w:hAnsi="Times New Roman" w:cs="Times New Roman"/>
          <w:sz w:val="22"/>
          <w:szCs w:val="22"/>
        </w:rPr>
        <w:t>−</w:t>
      </w:r>
      <w:r w:rsidR="00C061A4">
        <w:rPr>
          <w:rFonts w:ascii="Times New Roman" w:eastAsia="Times New Roman" w:hAnsi="Times New Roman" w:cs="Times New Roman"/>
          <w:sz w:val="22"/>
          <w:szCs w:val="22"/>
        </w:rPr>
        <w:t> </w:t>
      </w:r>
      <w:r w:rsidR="003B42C5" w:rsidRPr="00F567BF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&lt;</w:t>
      </w:r>
      <w:r w:rsidR="001A1738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1/10), nem gyakori (</w:t>
      </w:r>
      <w:r w:rsidR="001A1738">
        <w:rPr>
          <w:rFonts w:ascii="Times New Roman" w:hAnsi="Times New Roman" w:cs="Times New Roman"/>
          <w:noProof/>
          <w:color w:val="000000"/>
          <w:sz w:val="22"/>
          <w:szCs w:val="22"/>
          <w:lang w:eastAsia="pl-PL"/>
        </w:rPr>
        <w:t>≥ </w:t>
      </w:r>
      <w:r w:rsidRPr="00F567BF">
        <w:rPr>
          <w:rFonts w:ascii="Times New Roman" w:eastAsia="Times New Roman" w:hAnsi="Times New Roman"/>
          <w:sz w:val="22"/>
          <w:szCs w:val="22"/>
        </w:rPr>
        <w:t>1/1000</w:t>
      </w:r>
      <w:r w:rsidR="00C061A4">
        <w:rPr>
          <w:rFonts w:ascii="Times New Roman" w:eastAsia="Times New Roman" w:hAnsi="Times New Roman"/>
          <w:sz w:val="22"/>
          <w:szCs w:val="22"/>
        </w:rPr>
        <w:t> </w:t>
      </w:r>
      <w:r w:rsidR="00070700">
        <w:rPr>
          <w:rFonts w:ascii="Times New Roman" w:eastAsia="Times New Roman" w:hAnsi="Times New Roman" w:cs="Times New Roman"/>
          <w:sz w:val="22"/>
          <w:szCs w:val="22"/>
        </w:rPr>
        <w:t>−</w:t>
      </w:r>
      <w:r w:rsidR="00C061A4">
        <w:rPr>
          <w:rFonts w:ascii="Times New Roman" w:eastAsia="Times New Roman" w:hAnsi="Times New Roman" w:cs="Times New Roman"/>
          <w:sz w:val="22"/>
          <w:szCs w:val="22"/>
        </w:rPr>
        <w:t> </w:t>
      </w:r>
      <w:r w:rsidR="003B42C5" w:rsidRPr="00F567BF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&lt;</w:t>
      </w:r>
      <w:r w:rsidR="001A1738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1/100), ritka (</w:t>
      </w:r>
      <w:r w:rsidR="001A1738">
        <w:rPr>
          <w:rFonts w:ascii="Times New Roman" w:hAnsi="Times New Roman" w:cs="Times New Roman"/>
          <w:noProof/>
          <w:color w:val="000000"/>
          <w:sz w:val="22"/>
          <w:szCs w:val="22"/>
          <w:lang w:eastAsia="pl-PL"/>
        </w:rPr>
        <w:t>≥ </w:t>
      </w:r>
      <w:r w:rsidRPr="00F567BF">
        <w:rPr>
          <w:rFonts w:ascii="Times New Roman" w:eastAsia="Times New Roman" w:hAnsi="Times New Roman"/>
          <w:sz w:val="22"/>
          <w:szCs w:val="22"/>
        </w:rPr>
        <w:t>1/10</w:t>
      </w:r>
      <w:r w:rsidR="001A1738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000</w:t>
      </w:r>
      <w:r w:rsidR="00C061A4">
        <w:rPr>
          <w:rFonts w:ascii="Times New Roman" w:eastAsia="Times New Roman" w:hAnsi="Times New Roman"/>
          <w:sz w:val="22"/>
          <w:szCs w:val="22"/>
        </w:rPr>
        <w:t> </w:t>
      </w:r>
      <w:r w:rsidR="00070700">
        <w:rPr>
          <w:rFonts w:ascii="Times New Roman" w:eastAsia="Times New Roman" w:hAnsi="Times New Roman" w:cs="Times New Roman"/>
          <w:sz w:val="22"/>
          <w:szCs w:val="22"/>
        </w:rPr>
        <w:t>−</w:t>
      </w:r>
      <w:r w:rsidR="00C061A4">
        <w:rPr>
          <w:rFonts w:ascii="Times New Roman" w:eastAsia="Times New Roman" w:hAnsi="Times New Roman" w:cs="Times New Roman"/>
          <w:sz w:val="22"/>
          <w:szCs w:val="22"/>
        </w:rPr>
        <w:t> </w:t>
      </w:r>
      <w:r w:rsidR="003B42C5" w:rsidRPr="00F567BF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&lt;</w:t>
      </w:r>
      <w:r w:rsidR="001A1738">
        <w:rPr>
          <w:rFonts w:ascii="Times New Roman" w:hAnsi="Times New Roman" w:cs="Times New Roman"/>
          <w:color w:val="000000"/>
          <w:sz w:val="22"/>
          <w:szCs w:val="22"/>
          <w:lang w:eastAsia="en-GB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1/1000), nagyon ritka (&lt;</w:t>
      </w:r>
      <w:r w:rsidR="00070700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1/10</w:t>
      </w:r>
      <w:r w:rsidR="001A1738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000), nem ismert (a </w:t>
      </w:r>
      <w:r w:rsidR="00070700">
        <w:rPr>
          <w:rFonts w:ascii="Times New Roman" w:eastAsia="Times New Roman" w:hAnsi="Times New Roman"/>
          <w:sz w:val="22"/>
          <w:szCs w:val="22"/>
        </w:rPr>
        <w:t xml:space="preserve">gyakoriság a </w:t>
      </w:r>
      <w:r w:rsidRPr="00F567BF">
        <w:rPr>
          <w:rFonts w:ascii="Times New Roman" w:eastAsia="Times New Roman" w:hAnsi="Times New Roman"/>
          <w:sz w:val="22"/>
          <w:szCs w:val="22"/>
        </w:rPr>
        <w:t>rendelkezésre álló</w:t>
      </w:r>
      <w:r w:rsidRPr="00800EB7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adatokból nem állapítható meg).</w:t>
      </w:r>
    </w:p>
    <w:p w14:paraId="60415789" w14:textId="77777777" w:rsidR="002213CA" w:rsidRPr="00F567BF" w:rsidRDefault="002213CA" w:rsidP="00C31603">
      <w:pPr>
        <w:rPr>
          <w:rFonts w:ascii="Times New Roman" w:eastAsia="Times New Roman" w:hAnsi="Times New Roman"/>
          <w:sz w:val="22"/>
          <w:szCs w:val="22"/>
        </w:rPr>
      </w:pPr>
    </w:p>
    <w:p w14:paraId="45C815EF" w14:textId="2C5B63E4" w:rsidR="002A793D" w:rsidRPr="00F567BF" w:rsidRDefault="002A793D" w:rsidP="00C31603">
      <w:pPr>
        <w:ind w:right="-8"/>
        <w:rPr>
          <w:rFonts w:ascii="Times New Roman" w:eastAsia="Times New Roman" w:hAnsi="Times New Roman"/>
          <w:sz w:val="22"/>
        </w:rPr>
      </w:pPr>
      <w:bookmarkStart w:id="9" w:name="page46"/>
      <w:bookmarkEnd w:id="9"/>
      <w:r w:rsidRPr="00F567BF">
        <w:rPr>
          <w:rFonts w:ascii="Times New Roman" w:eastAsia="Times New Roman" w:hAnsi="Times New Roman"/>
          <w:sz w:val="22"/>
        </w:rPr>
        <w:t xml:space="preserve">Az egyes gyakorisági kategóriákon belül a mellékhatások </w:t>
      </w:r>
      <w:r w:rsidR="00646797">
        <w:rPr>
          <w:rFonts w:ascii="Times New Roman" w:eastAsia="Times New Roman" w:hAnsi="Times New Roman"/>
          <w:sz w:val="22"/>
        </w:rPr>
        <w:t xml:space="preserve">gyakoriságuk sorrendjében </w:t>
      </w:r>
      <w:r w:rsidRPr="00F567BF">
        <w:rPr>
          <w:rFonts w:ascii="Times New Roman" w:eastAsia="Times New Roman" w:hAnsi="Times New Roman"/>
          <w:sz w:val="22"/>
        </w:rPr>
        <w:t>kerülnek megadásra</w:t>
      </w:r>
      <w:r w:rsidR="00646797">
        <w:rPr>
          <w:rFonts w:ascii="Times New Roman" w:eastAsia="Times New Roman" w:hAnsi="Times New Roman"/>
          <w:sz w:val="22"/>
        </w:rPr>
        <w:t>, elsőként a leggyakoribb mellékhatás szerepel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27FE52A2" w14:textId="77777777" w:rsidR="002A793D" w:rsidRPr="00F567BF" w:rsidRDefault="002A793D">
      <w:pPr>
        <w:spacing w:line="236" w:lineRule="exact"/>
        <w:rPr>
          <w:rFonts w:ascii="Times New Roman" w:eastAsia="Times New Roman" w:hAnsi="Times New Roman"/>
        </w:rPr>
      </w:pPr>
    </w:p>
    <w:p w14:paraId="62B4DE67" w14:textId="77777777" w:rsidR="002A793D" w:rsidRPr="00F567BF" w:rsidRDefault="002A793D" w:rsidP="00B51692">
      <w:pPr>
        <w:spacing w:line="0" w:lineRule="atLeast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</w:t>
      </w:r>
      <w:r w:rsidR="00B51692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mellékhatásokat, illetve azok gyakoriságát az 1.</w:t>
      </w:r>
      <w:r w:rsidR="004A1DE7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táblázat ismerteti.</w:t>
      </w:r>
    </w:p>
    <w:p w14:paraId="4FC4EF2E" w14:textId="77777777" w:rsidR="002A793D" w:rsidRPr="00F567BF" w:rsidRDefault="002A793D">
      <w:pPr>
        <w:spacing w:line="239" w:lineRule="exact"/>
        <w:rPr>
          <w:rFonts w:ascii="Times New Roman" w:eastAsia="Times New Roman" w:hAnsi="Times New Roman"/>
        </w:rPr>
      </w:pPr>
    </w:p>
    <w:p w14:paraId="5118A8C7" w14:textId="77777777" w:rsidR="002A793D" w:rsidRPr="00F567BF" w:rsidRDefault="002A793D" w:rsidP="00B51692">
      <w:pPr>
        <w:tabs>
          <w:tab w:val="left" w:pos="1240"/>
        </w:tabs>
        <w:spacing w:line="0" w:lineRule="atLeast"/>
        <w:rPr>
          <w:rFonts w:ascii="Times New Roman" w:eastAsia="Times New Roman" w:hAnsi="Times New Roman"/>
          <w:b/>
          <w:sz w:val="21"/>
        </w:rPr>
      </w:pPr>
      <w:r w:rsidRPr="00F567BF">
        <w:rPr>
          <w:rFonts w:ascii="Times New Roman" w:eastAsia="Times New Roman" w:hAnsi="Times New Roman"/>
          <w:b/>
          <w:sz w:val="22"/>
        </w:rPr>
        <w:t>1. táblázat</w:t>
      </w:r>
      <w:r w:rsidRPr="00F567BF">
        <w:rPr>
          <w:rFonts w:ascii="Times New Roman" w:eastAsia="Times New Roman" w:hAnsi="Times New Roman"/>
        </w:rPr>
        <w:tab/>
      </w:r>
      <w:r w:rsidRPr="00F567BF">
        <w:rPr>
          <w:rFonts w:ascii="Times New Roman" w:eastAsia="Times New Roman" w:hAnsi="Times New Roman"/>
          <w:b/>
          <w:sz w:val="21"/>
        </w:rPr>
        <w:t>A mellékhatások táblázatos összefoglalása</w:t>
      </w:r>
    </w:p>
    <w:p w14:paraId="3A0FB7CE" w14:textId="77777777" w:rsidR="00B51692" w:rsidRPr="00F567BF" w:rsidRDefault="00B51692">
      <w:pPr>
        <w:spacing w:line="275" w:lineRule="exact"/>
        <w:rPr>
          <w:rFonts w:ascii="Times New Roman" w:eastAsia="Times New Roman" w:hAnsi="Times New Roman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48"/>
        <w:gridCol w:w="7208"/>
      </w:tblGrid>
      <w:tr w:rsidR="003B42C5" w:rsidRPr="00F567BF" w14:paraId="2EFE5A37" w14:textId="77777777" w:rsidTr="00C31603">
        <w:tc>
          <w:tcPr>
            <w:tcW w:w="5000" w:type="pct"/>
            <w:gridSpan w:val="2"/>
          </w:tcPr>
          <w:p w14:paraId="080B27B1" w14:textId="77777777" w:rsidR="003B42C5" w:rsidRPr="00F567BF" w:rsidRDefault="00317C7F" w:rsidP="003B42C5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Fertőző betegségek és parazitafertőzések</w:t>
            </w:r>
          </w:p>
        </w:tc>
      </w:tr>
      <w:tr w:rsidR="003B42C5" w:rsidRPr="00F567BF" w14:paraId="56D08B6D" w14:textId="77777777" w:rsidTr="00A57BA5">
        <w:tc>
          <w:tcPr>
            <w:tcW w:w="1020" w:type="pct"/>
          </w:tcPr>
          <w:tbl>
            <w:tblPr>
              <w:tblW w:w="184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3"/>
            </w:tblGrid>
            <w:tr w:rsidR="00317C7F" w:rsidRPr="00F567BF" w14:paraId="62A94589" w14:textId="77777777" w:rsidTr="00924F3D">
              <w:trPr>
                <w:trHeight w:val="478"/>
              </w:trPr>
              <w:tc>
                <w:tcPr>
                  <w:tcW w:w="1843" w:type="dxa"/>
                </w:tcPr>
                <w:p w14:paraId="6ED7AA32" w14:textId="77777777" w:rsidR="00317C7F" w:rsidRPr="00F567BF" w:rsidRDefault="00317C7F" w:rsidP="00317C7F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F567BF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2"/>
                      <w:szCs w:val="22"/>
                      <w:lang w:eastAsia="en-GB"/>
                    </w:rPr>
                    <w:t>Nem gyakori:</w:t>
                  </w:r>
                </w:p>
              </w:tc>
            </w:tr>
          </w:tbl>
          <w:p w14:paraId="12DD7EE6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980" w:type="pct"/>
          </w:tcPr>
          <w:p w14:paraId="565A0722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Herpes zoster, herpes simplex, nasopharyngitis, pneumonia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sinusitis, cellulitis, 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felső légúti fertőzés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influenza, 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húgyúti fertőzés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gastroenteritis, sepsis</w:t>
            </w:r>
          </w:p>
        </w:tc>
      </w:tr>
      <w:tr w:rsidR="003B42C5" w:rsidRPr="00F567BF" w14:paraId="58147C15" w14:textId="77777777" w:rsidTr="00A57BA5">
        <w:tc>
          <w:tcPr>
            <w:tcW w:w="1020" w:type="pct"/>
          </w:tcPr>
          <w:p w14:paraId="1981B9E7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20C59C93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Gombafertőzés</w:t>
            </w:r>
          </w:p>
        </w:tc>
      </w:tr>
      <w:tr w:rsidR="00D01DCE" w:rsidRPr="00F567BF" w14:paraId="7BC2AF60" w14:textId="77777777" w:rsidTr="00A57BA5">
        <w:tc>
          <w:tcPr>
            <w:tcW w:w="1020" w:type="pct"/>
          </w:tcPr>
          <w:p w14:paraId="24E912D0" w14:textId="77777777" w:rsidR="00D01DCE" w:rsidRPr="00F567BF" w:rsidRDefault="00D01DCE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1C837F98" w14:textId="70C17DCA" w:rsidR="00D01DCE" w:rsidRPr="00F567BF" w:rsidRDefault="00D01DCE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Hepatitis</w:t>
            </w:r>
            <w:r w:rsidR="00E9395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B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reaktiváció</w:t>
            </w:r>
            <w:r w:rsidR="00080D2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7AC665FA" w14:textId="77777777" w:rsidTr="00C31603">
        <w:tc>
          <w:tcPr>
            <w:tcW w:w="5000" w:type="pct"/>
            <w:gridSpan w:val="2"/>
          </w:tcPr>
          <w:p w14:paraId="76CEE8D0" w14:textId="77777777" w:rsidR="003B42C5" w:rsidRPr="00F567BF" w:rsidRDefault="00317C7F" w:rsidP="00C31603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Jó-, rosszindulatú és nem meghatározott daganatok (beleértve a cisztákat és polipokat is)</w:t>
            </w:r>
          </w:p>
        </w:tc>
      </w:tr>
      <w:tr w:rsidR="003B42C5" w:rsidRPr="00F567BF" w14:paraId="707A42E1" w14:textId="77777777" w:rsidTr="00A57BA5">
        <w:tc>
          <w:tcPr>
            <w:tcW w:w="1020" w:type="pct"/>
          </w:tcPr>
          <w:p w14:paraId="28430FBF" w14:textId="77777777" w:rsidR="003B42C5" w:rsidRPr="00F567BF" w:rsidRDefault="00317C7F" w:rsidP="00C31603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2FBFE9D4" w14:textId="77777777" w:rsidR="003B42C5" w:rsidRPr="00F567BF" w:rsidRDefault="003B42C5" w:rsidP="00C31603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Tumor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lízis</w:t>
            </w:r>
            <w:r w:rsidR="00C316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szindróma</w:t>
            </w:r>
          </w:p>
        </w:tc>
      </w:tr>
      <w:tr w:rsidR="003B42C5" w:rsidRPr="00F567BF" w14:paraId="1437741D" w14:textId="77777777" w:rsidTr="00A57BA5">
        <w:tc>
          <w:tcPr>
            <w:tcW w:w="1020" w:type="pct"/>
          </w:tcPr>
          <w:p w14:paraId="1D649BE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37BE2252" w14:textId="77777777" w:rsidR="003B42C5" w:rsidRPr="00F567BF" w:rsidRDefault="00317C7F" w:rsidP="0072793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Tumo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vérzés/tumo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rne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óz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is*</w:t>
            </w:r>
          </w:p>
        </w:tc>
      </w:tr>
      <w:tr w:rsidR="003B42C5" w:rsidRPr="00F567BF" w14:paraId="5856852B" w14:textId="77777777" w:rsidTr="00C31603">
        <w:tc>
          <w:tcPr>
            <w:tcW w:w="5000" w:type="pct"/>
            <w:gridSpan w:val="2"/>
          </w:tcPr>
          <w:p w14:paraId="2E6E4B9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Immunrendszeri betegségek és tünetek</w:t>
            </w:r>
          </w:p>
        </w:tc>
      </w:tr>
      <w:tr w:rsidR="003B42C5" w:rsidRPr="00F567BF" w14:paraId="2EB04DF0" w14:textId="77777777" w:rsidTr="00A57BA5">
        <w:tc>
          <w:tcPr>
            <w:tcW w:w="1020" w:type="pct"/>
          </w:tcPr>
          <w:p w14:paraId="0A3FADFF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4802CE47" w14:textId="77777777" w:rsidR="003B42C5" w:rsidRPr="00F567BF" w:rsidRDefault="003B42C5" w:rsidP="00317C7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Anaphyla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xiás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shock*</w:t>
            </w:r>
          </w:p>
        </w:tc>
      </w:tr>
      <w:tr w:rsidR="003B42C5" w:rsidRPr="00F567BF" w14:paraId="7EFB6160" w14:textId="77777777" w:rsidTr="00C31603">
        <w:tc>
          <w:tcPr>
            <w:tcW w:w="5000" w:type="pct"/>
            <w:gridSpan w:val="2"/>
          </w:tcPr>
          <w:p w14:paraId="3CAAC95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Vérképzőszervi és nyirokrendszeri betegségek és tünetek</w:t>
            </w:r>
          </w:p>
        </w:tc>
      </w:tr>
      <w:tr w:rsidR="003B42C5" w:rsidRPr="00F567BF" w14:paraId="0FC47D18" w14:textId="77777777" w:rsidTr="00A57BA5">
        <w:tc>
          <w:tcPr>
            <w:tcW w:w="1020" w:type="pct"/>
          </w:tcPr>
          <w:p w14:paraId="0CD39E5B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2D6ED3EA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Neutropenia, thrombocytopenia, anaemia</w:t>
            </w:r>
          </w:p>
        </w:tc>
      </w:tr>
      <w:tr w:rsidR="003B42C5" w:rsidRPr="00F567BF" w14:paraId="073DD4AD" w14:textId="77777777" w:rsidTr="00A57BA5">
        <w:tc>
          <w:tcPr>
            <w:tcW w:w="1020" w:type="pct"/>
          </w:tcPr>
          <w:p w14:paraId="7FFFC753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128EB18B" w14:textId="1B57C713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Pancytopenia, </w:t>
            </w:r>
            <w:r w:rsidR="0064679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lázas</w:t>
            </w:r>
            <w:r w:rsidR="00AD4C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neutropenia</w:t>
            </w:r>
          </w:p>
        </w:tc>
      </w:tr>
      <w:tr w:rsidR="003B42C5" w:rsidRPr="00F567BF" w14:paraId="70CEABA6" w14:textId="77777777" w:rsidTr="00A57BA5">
        <w:tc>
          <w:tcPr>
            <w:tcW w:w="1020" w:type="pct"/>
          </w:tcPr>
          <w:p w14:paraId="6A14A6A5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3549F1D1" w14:textId="77777777" w:rsidR="003B42C5" w:rsidRPr="00F567BF" w:rsidRDefault="003B42C5" w:rsidP="00D421B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Thrombocythaemia, lymphopenia, 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csontvelő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depressio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eosinophilia, lymphadenopath</w:t>
            </w:r>
            <w:r w:rsidR="00D421B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ia</w:t>
            </w:r>
          </w:p>
        </w:tc>
      </w:tr>
      <w:tr w:rsidR="003B42C5" w:rsidRPr="00F567BF" w14:paraId="42F403D1" w14:textId="77777777" w:rsidTr="00A57BA5">
        <w:tc>
          <w:tcPr>
            <w:tcW w:w="1020" w:type="pct"/>
          </w:tcPr>
          <w:p w14:paraId="439BFF82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52A5EFF9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Haemolytic</w:t>
            </w:r>
            <w:r w:rsidR="00317C7F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us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anaemia</w:t>
            </w:r>
            <w:r w:rsidR="00480F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480F03" w:rsidRPr="00480F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</w:t>
            </w:r>
            <w:r w:rsidR="00480F03" w:rsidRPr="00480F03">
              <w:rPr>
                <w:rFonts w:ascii="Times New Roman" w:hAnsi="Times New Roman" w:cs="Times New Roman"/>
                <w:bCs/>
                <w:sz w:val="22"/>
                <w:szCs w:val="22"/>
              </w:rPr>
              <w:t>hromboticus microangiopathia</w:t>
            </w:r>
          </w:p>
        </w:tc>
      </w:tr>
      <w:tr w:rsidR="003B42C5" w:rsidRPr="00F567BF" w14:paraId="7B098608" w14:textId="77777777" w:rsidTr="00C31603">
        <w:tc>
          <w:tcPr>
            <w:tcW w:w="5000" w:type="pct"/>
            <w:gridSpan w:val="2"/>
          </w:tcPr>
          <w:p w14:paraId="26433308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Anyagcsere- és táplálkozási betegségek és tünetek</w:t>
            </w:r>
          </w:p>
        </w:tc>
      </w:tr>
      <w:tr w:rsidR="003B42C5" w:rsidRPr="00F567BF" w14:paraId="17ACE119" w14:textId="77777777" w:rsidTr="00A57BA5">
        <w:tc>
          <w:tcPr>
            <w:tcW w:w="1020" w:type="pct"/>
          </w:tcPr>
          <w:p w14:paraId="3767CFB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2498DEED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Anorexia</w:t>
            </w:r>
          </w:p>
        </w:tc>
      </w:tr>
      <w:tr w:rsidR="003B42C5" w:rsidRPr="00F567BF" w14:paraId="78D42100" w14:textId="77777777" w:rsidTr="00A57BA5">
        <w:tc>
          <w:tcPr>
            <w:tcW w:w="1020" w:type="pct"/>
          </w:tcPr>
          <w:p w14:paraId="5E443BFF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7ABE7D26" w14:textId="4A03B2A2" w:rsidR="003B42C5" w:rsidRPr="00F567BF" w:rsidRDefault="003B42C5" w:rsidP="0072793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Hypokalaemia,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étvágynövekedés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hypophosphataemia,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étvágycsökkenés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deh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dr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ác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</w:t>
            </w:r>
            <w:r w:rsidR="00727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ó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köszvény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hyperuri</w:t>
            </w:r>
            <w:r w:rsidR="00C061A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aemia, hypercalcaemia, hypergly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aemia, hyponatraemia</w:t>
            </w:r>
          </w:p>
        </w:tc>
      </w:tr>
      <w:tr w:rsidR="003B42C5" w:rsidRPr="00F567BF" w14:paraId="3833ACB3" w14:textId="77777777" w:rsidTr="00A57BA5">
        <w:tc>
          <w:tcPr>
            <w:tcW w:w="1020" w:type="pct"/>
          </w:tcPr>
          <w:p w14:paraId="7D02E320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72D032A4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Hyperkalaemia, hypomagnesaemia</w:t>
            </w:r>
          </w:p>
        </w:tc>
      </w:tr>
      <w:tr w:rsidR="003B42C5" w:rsidRPr="00F567BF" w14:paraId="7315C7B4" w14:textId="77777777" w:rsidTr="00C31603">
        <w:tc>
          <w:tcPr>
            <w:tcW w:w="5000" w:type="pct"/>
            <w:gridSpan w:val="2"/>
          </w:tcPr>
          <w:p w14:paraId="317510E4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Pszichiátriai kórképek</w:t>
            </w:r>
          </w:p>
        </w:tc>
      </w:tr>
      <w:tr w:rsidR="003B42C5" w:rsidRPr="00F567BF" w14:paraId="3621A7BC" w14:textId="77777777" w:rsidTr="00A57BA5">
        <w:tc>
          <w:tcPr>
            <w:tcW w:w="1020" w:type="pct"/>
          </w:tcPr>
          <w:p w14:paraId="259B2C2B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4CFA3720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Insomnia</w:t>
            </w:r>
          </w:p>
        </w:tc>
      </w:tr>
      <w:tr w:rsidR="003B42C5" w:rsidRPr="00F567BF" w14:paraId="4031B998" w14:textId="77777777" w:rsidTr="00A57BA5">
        <w:tc>
          <w:tcPr>
            <w:tcW w:w="1020" w:type="pct"/>
          </w:tcPr>
          <w:p w14:paraId="442C9A5C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7E2A84B3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Depress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zió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csökkent libido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szorongás</w:t>
            </w:r>
          </w:p>
        </w:tc>
      </w:tr>
      <w:tr w:rsidR="003B42C5" w:rsidRPr="00F567BF" w14:paraId="0A729CBE" w14:textId="77777777" w:rsidTr="00A57BA5">
        <w:tc>
          <w:tcPr>
            <w:tcW w:w="1020" w:type="pct"/>
          </w:tcPr>
          <w:p w14:paraId="4EA9CBB8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62F920F7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Zavart állapot</w:t>
            </w:r>
          </w:p>
        </w:tc>
      </w:tr>
      <w:tr w:rsidR="003B42C5" w:rsidRPr="00F567BF" w14:paraId="4CC80106" w14:textId="77777777" w:rsidTr="00C31603">
        <w:tc>
          <w:tcPr>
            <w:tcW w:w="5000" w:type="pct"/>
            <w:gridSpan w:val="2"/>
          </w:tcPr>
          <w:p w14:paraId="69F3E5E9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Idegrendszeri betegségek és tünetek</w:t>
            </w:r>
          </w:p>
        </w:tc>
      </w:tr>
      <w:tr w:rsidR="003B42C5" w:rsidRPr="00F567BF" w14:paraId="2EFA2640" w14:textId="77777777" w:rsidTr="00A57BA5">
        <w:tc>
          <w:tcPr>
            <w:tcW w:w="1020" w:type="pct"/>
          </w:tcPr>
          <w:p w14:paraId="2FDC13CE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28F08A66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Fejfájás</w:t>
            </w:r>
            <w:r w:rsidR="00C31603" w:rsidRPr="00C316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</w:p>
        </w:tc>
      </w:tr>
      <w:tr w:rsidR="003B42C5" w:rsidRPr="00F567BF" w14:paraId="06B65925" w14:textId="77777777" w:rsidTr="00A57BA5">
        <w:tc>
          <w:tcPr>
            <w:tcW w:w="1020" w:type="pct"/>
          </w:tcPr>
          <w:p w14:paraId="4D9A2BC2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2E8D8865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Szédülés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paraesthesia,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az ízérzés zavarai, hyp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aesthesia</w:t>
            </w:r>
          </w:p>
        </w:tc>
      </w:tr>
      <w:tr w:rsidR="003B42C5" w:rsidRPr="00F567BF" w14:paraId="3D0FD370" w14:textId="77777777" w:rsidTr="00A57BA5">
        <w:tc>
          <w:tcPr>
            <w:tcW w:w="1020" w:type="pct"/>
          </w:tcPr>
          <w:p w14:paraId="1C869ABD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72EB0446" w14:textId="1D64949E" w:rsidR="003B42C5" w:rsidRPr="00F567BF" w:rsidRDefault="003B42C5" w:rsidP="00C316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Migr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én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aluszékonyság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4F68D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ájulás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peri</w:t>
            </w:r>
            <w:r w:rsidR="00C061A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fé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riás neuropathia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memóriazavar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ischias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nyugtalan láb szindróma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tremor,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agyvérzés</w:t>
            </w:r>
          </w:p>
        </w:tc>
      </w:tr>
      <w:tr w:rsidR="003B42C5" w:rsidRPr="00F567BF" w14:paraId="0BA7420E" w14:textId="77777777" w:rsidTr="00A57BA5">
        <w:tc>
          <w:tcPr>
            <w:tcW w:w="1020" w:type="pct"/>
          </w:tcPr>
          <w:p w14:paraId="232F39A5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65C32D21" w14:textId="3F44DBEC" w:rsidR="003B42C5" w:rsidRPr="00F567BF" w:rsidRDefault="00335D94" w:rsidP="006440F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koponyaűri nyomás</w:t>
            </w:r>
            <w:r w:rsidR="004F68D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fokozódás</w:t>
            </w:r>
            <w:r w:rsidR="004F68D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co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nvulsio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optic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us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neuritis</w:t>
            </w:r>
          </w:p>
        </w:tc>
      </w:tr>
      <w:tr w:rsidR="003B42C5" w:rsidRPr="00F567BF" w14:paraId="7634C2D1" w14:textId="77777777" w:rsidTr="00A57BA5">
        <w:tc>
          <w:tcPr>
            <w:tcW w:w="1020" w:type="pct"/>
          </w:tcPr>
          <w:p w14:paraId="2A9DB841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7FB24CAF" w14:textId="1F8DEF4A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Cerebral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335D9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335D9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ma*</w:t>
            </w:r>
          </w:p>
        </w:tc>
      </w:tr>
      <w:tr w:rsidR="003B42C5" w:rsidRPr="00F567BF" w14:paraId="0E0C6A9A" w14:textId="77777777" w:rsidTr="00C31603">
        <w:tc>
          <w:tcPr>
            <w:tcW w:w="5000" w:type="pct"/>
            <w:gridSpan w:val="2"/>
          </w:tcPr>
          <w:p w14:paraId="6122C5D5" w14:textId="77777777" w:rsidR="003B42C5" w:rsidRPr="00F567BF" w:rsidRDefault="00BC46B2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Szembetegségek és szemészeti tünetek</w:t>
            </w:r>
          </w:p>
        </w:tc>
      </w:tr>
      <w:tr w:rsidR="003B42C5" w:rsidRPr="00F567BF" w14:paraId="7103E1D8" w14:textId="77777777" w:rsidTr="00A57BA5">
        <w:tc>
          <w:tcPr>
            <w:tcW w:w="1020" w:type="pct"/>
          </w:tcPr>
          <w:p w14:paraId="0D6250D8" w14:textId="77777777" w:rsidR="003B42C5" w:rsidRPr="00F567BF" w:rsidRDefault="00317C7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0FC4191B" w14:textId="77777777" w:rsidR="003B42C5" w:rsidRPr="00F567BF" w:rsidRDefault="00BC46B2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Szemhéjödéma, </w:t>
            </w:r>
            <w:r w:rsidR="006440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fokozott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könnyezés, kötőhártya-bevérzés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conjunctivitis,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szemszárazság, homályos látás</w:t>
            </w:r>
          </w:p>
        </w:tc>
      </w:tr>
      <w:tr w:rsidR="003B42C5" w:rsidRPr="00F567BF" w14:paraId="423BFD99" w14:textId="77777777" w:rsidTr="00A57BA5">
        <w:tc>
          <w:tcPr>
            <w:tcW w:w="1020" w:type="pct"/>
          </w:tcPr>
          <w:p w14:paraId="3CFC0EC9" w14:textId="77777777" w:rsidR="003B42C5" w:rsidRPr="00F567BF" w:rsidRDefault="00317C7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2CCFFD7A" w14:textId="308103B7" w:rsidR="003B42C5" w:rsidRPr="00F567BF" w:rsidRDefault="006440F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zemirritáció, szemfájdal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om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1F7FA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orbita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ödéma, sclerabevérzés, retinabevérzés, blepharitis, macula</w:t>
            </w:r>
            <w:r w:rsidR="00335D9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335D9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</w:t>
            </w:r>
          </w:p>
        </w:tc>
      </w:tr>
      <w:tr w:rsidR="003B42C5" w:rsidRPr="00F567BF" w14:paraId="53E7C6B3" w14:textId="77777777" w:rsidTr="00A57BA5">
        <w:tc>
          <w:tcPr>
            <w:tcW w:w="1020" w:type="pct"/>
          </w:tcPr>
          <w:p w14:paraId="127CACFA" w14:textId="77777777" w:rsidR="003B42C5" w:rsidRPr="00F567BF" w:rsidRDefault="00317C7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5404B6DB" w14:textId="013FAB64" w:rsidR="003B42C5" w:rsidRPr="00F567BF" w:rsidRDefault="003B42C5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Cataract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glaucoma, papill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</w:t>
            </w:r>
            <w:r w:rsidR="001F7FA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1F7FA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</w:t>
            </w:r>
          </w:p>
        </w:tc>
      </w:tr>
      <w:tr w:rsidR="003B42C5" w:rsidRPr="00F567BF" w14:paraId="5F62935E" w14:textId="77777777" w:rsidTr="00A57BA5">
        <w:tc>
          <w:tcPr>
            <w:tcW w:w="1020" w:type="pct"/>
          </w:tcPr>
          <w:p w14:paraId="7DBEA461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15B517E6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Üvegtesti vérzés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4C1151B1" w14:textId="77777777" w:rsidTr="00C31603">
        <w:tc>
          <w:tcPr>
            <w:tcW w:w="5000" w:type="pct"/>
            <w:gridSpan w:val="2"/>
          </w:tcPr>
          <w:p w14:paraId="63BC5B8E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A fül és az egyensúly-érzékelő szerv betegségei és tünetei</w:t>
            </w:r>
          </w:p>
        </w:tc>
      </w:tr>
      <w:tr w:rsidR="003B42C5" w:rsidRPr="00F567BF" w14:paraId="7E8A6FC1" w14:textId="77777777" w:rsidTr="00A57BA5">
        <w:tc>
          <w:tcPr>
            <w:tcW w:w="1020" w:type="pct"/>
          </w:tcPr>
          <w:p w14:paraId="4F77DDD9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4486B2E9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Vertigo, tinnitus, </w:t>
            </w:r>
            <w:r w:rsidR="00BC46B2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halláscsökkenés</w:t>
            </w:r>
          </w:p>
        </w:tc>
      </w:tr>
      <w:tr w:rsidR="003B42C5" w:rsidRPr="00F567BF" w14:paraId="1147E074" w14:textId="77777777" w:rsidTr="00C31603">
        <w:tc>
          <w:tcPr>
            <w:tcW w:w="5000" w:type="pct"/>
            <w:gridSpan w:val="2"/>
          </w:tcPr>
          <w:p w14:paraId="1FEE3A86" w14:textId="77777777" w:rsidR="003B42C5" w:rsidRPr="00F567BF" w:rsidRDefault="00BC46B2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Szívbetegségek és a szívvel kapcsolatos tünetek</w:t>
            </w:r>
          </w:p>
        </w:tc>
      </w:tr>
      <w:tr w:rsidR="003B42C5" w:rsidRPr="00F567BF" w14:paraId="13060F6B" w14:textId="77777777" w:rsidTr="00A57BA5">
        <w:tc>
          <w:tcPr>
            <w:tcW w:w="1020" w:type="pct"/>
          </w:tcPr>
          <w:p w14:paraId="0D7A7758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2E411D19" w14:textId="77777777" w:rsidR="003B42C5" w:rsidRPr="00F567BF" w:rsidRDefault="003B42C5" w:rsidP="006440F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Palpitatio, tachycardia,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pangásos szívelégtelenség</w:t>
            </w:r>
            <w:r w:rsidR="006440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3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tüdőödéma</w:t>
            </w:r>
          </w:p>
        </w:tc>
      </w:tr>
      <w:tr w:rsidR="003B42C5" w:rsidRPr="00F567BF" w14:paraId="56AEE320" w14:textId="77777777" w:rsidTr="00A57BA5">
        <w:tc>
          <w:tcPr>
            <w:tcW w:w="1020" w:type="pct"/>
          </w:tcPr>
          <w:p w14:paraId="6A8A2C59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51D4402D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Arrhythmia,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pitvarfibrilláció, szívmegállás, szívinfarktus, angina pectoris, pericardialis folyadékgyülem</w:t>
            </w:r>
          </w:p>
        </w:tc>
      </w:tr>
      <w:tr w:rsidR="003B42C5" w:rsidRPr="00F567BF" w14:paraId="7192B224" w14:textId="77777777" w:rsidTr="00A57BA5">
        <w:tc>
          <w:tcPr>
            <w:tcW w:w="1020" w:type="pct"/>
          </w:tcPr>
          <w:p w14:paraId="0E4C283B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1AB01E9A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Pericarditis*,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szívtamponád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6EEF81DB" w14:textId="77777777" w:rsidTr="00C31603">
        <w:tc>
          <w:tcPr>
            <w:tcW w:w="5000" w:type="pct"/>
            <w:gridSpan w:val="2"/>
          </w:tcPr>
          <w:p w14:paraId="23C8F1C3" w14:textId="77777777" w:rsidR="003B42C5" w:rsidRPr="00F567BF" w:rsidRDefault="0012003D" w:rsidP="006440F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Érbetegségek és tünetek</w:t>
            </w:r>
            <w:r w:rsidR="00644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vertAlign w:val="superscript"/>
                <w:lang w:eastAsia="en-GB"/>
              </w:rPr>
              <w:t>4</w:t>
            </w:r>
          </w:p>
        </w:tc>
      </w:tr>
      <w:tr w:rsidR="003B42C5" w:rsidRPr="00F567BF" w14:paraId="5960995F" w14:textId="77777777" w:rsidTr="00A57BA5">
        <w:tc>
          <w:tcPr>
            <w:tcW w:w="1020" w:type="pct"/>
          </w:tcPr>
          <w:p w14:paraId="75559B5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7035C201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Kipirulás, vérzés</w:t>
            </w:r>
          </w:p>
        </w:tc>
      </w:tr>
      <w:tr w:rsidR="003B42C5" w:rsidRPr="00F567BF" w14:paraId="67ACFCDB" w14:textId="77777777" w:rsidTr="00A57BA5">
        <w:tc>
          <w:tcPr>
            <w:tcW w:w="1020" w:type="pct"/>
          </w:tcPr>
          <w:p w14:paraId="69E8B8D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2007D617" w14:textId="234AD12C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Hypert</w:t>
            </w:r>
            <w:r w:rsidR="004B4E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ensio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haematoma, subduralis haematoma, végtaghidegség, hypot</w:t>
            </w:r>
            <w:r w:rsidR="001F7FA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ensio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Raynaud-jelenség</w:t>
            </w:r>
          </w:p>
        </w:tc>
      </w:tr>
      <w:tr w:rsidR="003B42C5" w:rsidRPr="00F567BF" w14:paraId="00ABBA90" w14:textId="77777777" w:rsidTr="00A57BA5">
        <w:tc>
          <w:tcPr>
            <w:tcW w:w="1020" w:type="pct"/>
          </w:tcPr>
          <w:p w14:paraId="726D48D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6590D797" w14:textId="77777777" w:rsidR="003B42C5" w:rsidRPr="00F567BF" w:rsidRDefault="003B42C5" w:rsidP="00D80AFA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Thrombosis/emboli</w:t>
            </w:r>
            <w:r w:rsidR="00D80AF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233301D7" w14:textId="77777777" w:rsidTr="00C31603">
        <w:tc>
          <w:tcPr>
            <w:tcW w:w="5000" w:type="pct"/>
            <w:gridSpan w:val="2"/>
          </w:tcPr>
          <w:p w14:paraId="5720DFB5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Légzőrendszeri, mellkasi és mediastinalis betegségek és tünetek</w:t>
            </w:r>
          </w:p>
        </w:tc>
      </w:tr>
      <w:tr w:rsidR="003B42C5" w:rsidRPr="00F567BF" w14:paraId="7BBE2208" w14:textId="77777777" w:rsidTr="00A57BA5">
        <w:tc>
          <w:tcPr>
            <w:tcW w:w="1020" w:type="pct"/>
          </w:tcPr>
          <w:p w14:paraId="76DA674C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33B9D8C7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Dyspnoe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orrvérzés, köhögés</w:t>
            </w:r>
          </w:p>
        </w:tc>
      </w:tr>
      <w:tr w:rsidR="003B42C5" w:rsidRPr="00F567BF" w14:paraId="50D17A54" w14:textId="77777777" w:rsidTr="00A57BA5">
        <w:tc>
          <w:tcPr>
            <w:tcW w:w="1020" w:type="pct"/>
          </w:tcPr>
          <w:p w14:paraId="482C81A5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6E7670C7" w14:textId="77777777" w:rsidR="003B42C5" w:rsidRPr="00F567BF" w:rsidRDefault="0012003D" w:rsidP="006440FF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Pleuralis folyadékgyülem</w:t>
            </w:r>
            <w:r w:rsidR="006440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5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pharyngolaryngeal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fájdalom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pharyngitis</w:t>
            </w:r>
          </w:p>
        </w:tc>
      </w:tr>
      <w:tr w:rsidR="003B42C5" w:rsidRPr="00F567BF" w14:paraId="0FF3ADC3" w14:textId="77777777" w:rsidTr="00A57BA5">
        <w:tc>
          <w:tcPr>
            <w:tcW w:w="1020" w:type="pct"/>
          </w:tcPr>
          <w:p w14:paraId="0F4EC20F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5B776F3F" w14:textId="08474E14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Pleuralis fájdalom, tüdőfibrosis, pulmonalis hypert</w:t>
            </w:r>
            <w:r w:rsidR="004B4E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ensio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tüdővérzés</w:t>
            </w:r>
          </w:p>
        </w:tc>
      </w:tr>
      <w:tr w:rsidR="003B42C5" w:rsidRPr="00F567BF" w14:paraId="7341AB9F" w14:textId="77777777" w:rsidTr="00A57BA5">
        <w:tc>
          <w:tcPr>
            <w:tcW w:w="1020" w:type="pct"/>
          </w:tcPr>
          <w:p w14:paraId="125DDE92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36303A84" w14:textId="77777777" w:rsidR="003B42C5" w:rsidRPr="00F567BF" w:rsidRDefault="0012003D" w:rsidP="0060251E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Akut </w:t>
            </w:r>
            <w:r w:rsidRPr="004D376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légzési elégtelenség</w:t>
            </w:r>
            <w:r w:rsidR="006440FF"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</w:t>
            </w:r>
            <w:r w:rsidR="00B07194"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</w:t>
            </w:r>
            <w:r w:rsidR="003B42C5" w:rsidRPr="004D376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*, </w:t>
            </w:r>
            <w:r w:rsidRPr="004D376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interstitialis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tüdőbetegség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7DA18040" w14:textId="77777777" w:rsidTr="00C31603">
        <w:tc>
          <w:tcPr>
            <w:tcW w:w="5000" w:type="pct"/>
            <w:gridSpan w:val="2"/>
          </w:tcPr>
          <w:p w14:paraId="3961F284" w14:textId="77777777" w:rsidR="003B42C5" w:rsidRPr="00F567BF" w:rsidRDefault="0012003D" w:rsidP="003B42C5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Emésztőrendszeri betegségek és tünetek</w:t>
            </w:r>
          </w:p>
        </w:tc>
      </w:tr>
      <w:tr w:rsidR="003B42C5" w:rsidRPr="00F567BF" w14:paraId="3FF44F57" w14:textId="77777777" w:rsidTr="00A57BA5">
        <w:tc>
          <w:tcPr>
            <w:tcW w:w="1020" w:type="pct"/>
          </w:tcPr>
          <w:p w14:paraId="37C21056" w14:textId="77777777" w:rsidR="003B42C5" w:rsidRPr="00F567BF" w:rsidRDefault="00317C7F" w:rsidP="003B42C5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2AF97B1A" w14:textId="77777777" w:rsidR="003B42C5" w:rsidRPr="00F567BF" w:rsidRDefault="0012003D" w:rsidP="003B42C5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Hányinger, hasmenés, hányás, dyspepsia, hasi fájdalom</w:t>
            </w:r>
            <w:r w:rsidR="002549F6" w:rsidRPr="002549F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6</w:t>
            </w:r>
          </w:p>
        </w:tc>
      </w:tr>
      <w:tr w:rsidR="003B42C5" w:rsidRPr="00F567BF" w14:paraId="0C2A0749" w14:textId="77777777" w:rsidTr="00A57BA5">
        <w:tc>
          <w:tcPr>
            <w:tcW w:w="1020" w:type="pct"/>
          </w:tcPr>
          <w:p w14:paraId="1A948D9B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50093458" w14:textId="77777777" w:rsidR="003B42C5" w:rsidRPr="00F567BF" w:rsidRDefault="0012003D" w:rsidP="002549F6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Flatulentia, haspuffadás, gastrooesophagealis reflux, obstipatio, szájszárazság, gastritis</w:t>
            </w:r>
          </w:p>
        </w:tc>
      </w:tr>
      <w:tr w:rsidR="003B42C5" w:rsidRPr="00F567BF" w14:paraId="6BC01D95" w14:textId="77777777" w:rsidTr="00A57BA5">
        <w:tc>
          <w:tcPr>
            <w:tcW w:w="1020" w:type="pct"/>
          </w:tcPr>
          <w:p w14:paraId="436643E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4547BA3A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Stomatitis,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szájüregi fekélyek, gastrointestinalis vérzés</w:t>
            </w:r>
            <w:r w:rsidR="002549F6" w:rsidRPr="002549F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7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eructatio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melaena, oesophagitis, ascites,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gyomorfekély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haematemesis, cheilitis, dysphagia, pancreatitis</w:t>
            </w:r>
          </w:p>
        </w:tc>
      </w:tr>
      <w:tr w:rsidR="003B42C5" w:rsidRPr="00F567BF" w14:paraId="654085D8" w14:textId="77777777" w:rsidTr="00A57BA5">
        <w:tc>
          <w:tcPr>
            <w:tcW w:w="1020" w:type="pct"/>
          </w:tcPr>
          <w:p w14:paraId="443BC727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4453FDE8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Colitis, ileus,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gyulladásos bélbetegség</w:t>
            </w:r>
          </w:p>
        </w:tc>
      </w:tr>
      <w:tr w:rsidR="003B42C5" w:rsidRPr="00F567BF" w14:paraId="547BC3C2" w14:textId="77777777" w:rsidTr="00A57BA5">
        <w:tc>
          <w:tcPr>
            <w:tcW w:w="1020" w:type="pct"/>
          </w:tcPr>
          <w:p w14:paraId="775BA421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11B47F13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Ileus/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bélelzáródás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*, gastrointestinal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 perforatio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*, diverticulitis*, gastric</w:t>
            </w:r>
            <w:r w:rsidR="00D80AF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us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antral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vascular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ectasia (GAVE)*</w:t>
            </w:r>
          </w:p>
        </w:tc>
      </w:tr>
      <w:tr w:rsidR="003B42C5" w:rsidRPr="00F567BF" w14:paraId="649B5F4B" w14:textId="77777777" w:rsidTr="00C31603">
        <w:tc>
          <w:tcPr>
            <w:tcW w:w="5000" w:type="pct"/>
            <w:gridSpan w:val="2"/>
          </w:tcPr>
          <w:p w14:paraId="2B11CABC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Máj- és epebetegségek, illetve tünetek</w:t>
            </w:r>
          </w:p>
        </w:tc>
      </w:tr>
      <w:tr w:rsidR="003B42C5" w:rsidRPr="00F567BF" w14:paraId="2A3DA45C" w14:textId="77777777" w:rsidTr="00A57BA5">
        <w:tc>
          <w:tcPr>
            <w:tcW w:w="1020" w:type="pct"/>
          </w:tcPr>
          <w:p w14:paraId="37A3A7A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1C635842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májenzimek szintjének emelkedése</w:t>
            </w:r>
          </w:p>
        </w:tc>
      </w:tr>
      <w:tr w:rsidR="003B42C5" w:rsidRPr="00F567BF" w14:paraId="063B1171" w14:textId="77777777" w:rsidTr="00A57BA5">
        <w:tc>
          <w:tcPr>
            <w:tcW w:w="1020" w:type="pct"/>
          </w:tcPr>
          <w:p w14:paraId="19D722BC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6D5C3A72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Hyperbilirubinaemia, hepatitis,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icterus</w:t>
            </w:r>
          </w:p>
        </w:tc>
      </w:tr>
      <w:tr w:rsidR="003B42C5" w:rsidRPr="00F567BF" w14:paraId="598C1F8F" w14:textId="77777777" w:rsidTr="00A57BA5">
        <w:tc>
          <w:tcPr>
            <w:tcW w:w="1020" w:type="pct"/>
          </w:tcPr>
          <w:p w14:paraId="2318D06E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0A00BE2B" w14:textId="77777777" w:rsidR="003B42C5" w:rsidRPr="00F567BF" w:rsidRDefault="0012003D" w:rsidP="002B080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Májelégtelenség</w:t>
            </w:r>
            <w:r w:rsidR="002B080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8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máj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ne</w:t>
            </w:r>
            <w:r w:rsidR="008C5AB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</w:t>
            </w:r>
            <w:r w:rsidR="008C5AB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óz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is</w:t>
            </w:r>
          </w:p>
        </w:tc>
      </w:tr>
      <w:tr w:rsidR="003B42C5" w:rsidRPr="00F567BF" w14:paraId="6EFF2557" w14:textId="77777777" w:rsidTr="00C31603">
        <w:tc>
          <w:tcPr>
            <w:tcW w:w="5000" w:type="pct"/>
            <w:gridSpan w:val="2"/>
          </w:tcPr>
          <w:p w14:paraId="6FA383AB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A bőr és a bőr alatti szövet betegségei és tünetei</w:t>
            </w:r>
          </w:p>
        </w:tc>
      </w:tr>
      <w:tr w:rsidR="003B42C5" w:rsidRPr="00F567BF" w14:paraId="38894152" w14:textId="77777777" w:rsidTr="00A57BA5">
        <w:tc>
          <w:tcPr>
            <w:tcW w:w="1020" w:type="pct"/>
          </w:tcPr>
          <w:p w14:paraId="4D485BF0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6BFBDE3A" w14:textId="1B60DCAF" w:rsidR="003B42C5" w:rsidRPr="00F567BF" w:rsidRDefault="0012003D" w:rsidP="00F053F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Periorbitalis </w:t>
            </w:r>
            <w:r w:rsidR="004B4E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4B4E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ma, dermatitis/ekzema/bőrkiütés</w:t>
            </w:r>
          </w:p>
        </w:tc>
      </w:tr>
      <w:tr w:rsidR="003B42C5" w:rsidRPr="00F567BF" w14:paraId="09F1A857" w14:textId="77777777" w:rsidTr="00A57BA5">
        <w:tc>
          <w:tcPr>
            <w:tcW w:w="1020" w:type="pct"/>
          </w:tcPr>
          <w:p w14:paraId="049BB02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63C14E9C" w14:textId="6DFEEBF8" w:rsidR="003B42C5" w:rsidRPr="00F567BF" w:rsidRDefault="003B42C5" w:rsidP="002B080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Pruritus, 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arcödéma, bőrszárazság, erythema, alopecia, éjszakai </w:t>
            </w:r>
            <w:r w:rsidR="0079488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izzadás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fényérzékenységi reakció</w:t>
            </w:r>
          </w:p>
        </w:tc>
      </w:tr>
      <w:tr w:rsidR="003B42C5" w:rsidRPr="00F567BF" w14:paraId="199006A4" w14:textId="77777777" w:rsidTr="00A57BA5">
        <w:tc>
          <w:tcPr>
            <w:tcW w:w="1020" w:type="pct"/>
          </w:tcPr>
          <w:p w14:paraId="16D3DA24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586443F6" w14:textId="5B55E838" w:rsidR="003B42C5" w:rsidRPr="00C51C42" w:rsidRDefault="0012003D" w:rsidP="003B49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Pustul</w:t>
            </w:r>
            <w:r w:rsidR="00B6114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aris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bőrkiütés, véraláfutás, fokozott </w:t>
            </w:r>
            <w:r w:rsidR="00E31DE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izzadás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urticaria, ecchymosis, </w:t>
            </w:r>
            <w:r w:rsidR="00655AB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véraláfutásra való fokozott hajlam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hypotrichosis, bőr</w:t>
            </w:r>
            <w:r w:rsidR="00B22D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hypopigmentatio, exfoliatív dermatitis, onychoclasi</w:t>
            </w:r>
            <w:r w:rsidR="003B49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folliculitis, petechiák, psoriasis, purpura, bőr</w:t>
            </w:r>
            <w:r w:rsidR="00B22D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hyperpigmentatio, bullosus bőrkiütés</w:t>
            </w:r>
            <w:r w:rsidR="00712A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panniculitis</w:t>
            </w:r>
            <w:r w:rsidR="00712A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12</w:t>
            </w:r>
          </w:p>
        </w:tc>
      </w:tr>
      <w:tr w:rsidR="003B42C5" w:rsidRPr="00F567BF" w14:paraId="45AA4628" w14:textId="77777777" w:rsidTr="00A57BA5">
        <w:tc>
          <w:tcPr>
            <w:tcW w:w="1020" w:type="pct"/>
          </w:tcPr>
          <w:p w14:paraId="455B85FD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63300E87" w14:textId="260B707E" w:rsidR="003B42C5" w:rsidRPr="00F567BF" w:rsidRDefault="0012003D" w:rsidP="003B49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Akut lázas neutrophil dermatosis (Sweet-szindróma), a körmök elszíneződése, angio</w:t>
            </w:r>
            <w:r w:rsidR="003F40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3F40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ma, </w:t>
            </w:r>
            <w:r w:rsidR="00E31DE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vesicularis</w:t>
            </w:r>
            <w:r w:rsidR="00E31DE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bőrkiütés, erythema multiforme, leukocytoclasticus vasculitis, Stevens</w:t>
            </w:r>
            <w:r w:rsidR="003B49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Johnson</w:t>
            </w:r>
            <w:r w:rsidR="003B490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szindróma, akut, generalizált exanthem</w:t>
            </w:r>
            <w:r w:rsidR="00C0491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ás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pustulosis (AGEP)</w:t>
            </w:r>
            <w:r w:rsidR="00D10E0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D10E0C" w:rsidRPr="00D10E0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pemphigus*</w:t>
            </w:r>
          </w:p>
        </w:tc>
      </w:tr>
      <w:tr w:rsidR="003B42C5" w:rsidRPr="00F567BF" w14:paraId="44C8ABD2" w14:textId="77777777" w:rsidTr="00A57BA5">
        <w:tc>
          <w:tcPr>
            <w:tcW w:w="1020" w:type="pct"/>
          </w:tcPr>
          <w:p w14:paraId="305242B3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</w:p>
        </w:tc>
        <w:tc>
          <w:tcPr>
            <w:tcW w:w="3980" w:type="pct"/>
          </w:tcPr>
          <w:p w14:paraId="5ED5A285" w14:textId="43DDC222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Palmoplantaris erythrodysaesthesia szindróma*, lichenoid keratosis*, lichen planus*, toxicus epidermalis necrolysis*, eosinophiliával és szisztémás tünetekkel járó</w:t>
            </w:r>
            <w:r w:rsidR="007475E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gyógyszer</w:t>
            </w:r>
            <w:r w:rsidR="007475E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reakció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(DRESS)*</w:t>
            </w:r>
            <w:r w:rsidR="00B0719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07194" w:rsidRPr="0087206F">
              <w:rPr>
                <w:rFonts w:ascii="Times New Roman" w:hAnsi="Times New Roman" w:cs="Times New Roman"/>
                <w:sz w:val="22"/>
                <w:szCs w:val="22"/>
              </w:rPr>
              <w:t>pseudoporphyria*</w:t>
            </w:r>
          </w:p>
        </w:tc>
      </w:tr>
      <w:tr w:rsidR="003B42C5" w:rsidRPr="00F567BF" w14:paraId="4C66C22D" w14:textId="77777777" w:rsidTr="00C31603">
        <w:tc>
          <w:tcPr>
            <w:tcW w:w="5000" w:type="pct"/>
            <w:gridSpan w:val="2"/>
          </w:tcPr>
          <w:p w14:paraId="61747985" w14:textId="77777777" w:rsidR="003B42C5" w:rsidRPr="00F567BF" w:rsidRDefault="0012003D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A csont- és izomrendszer, valamint a kötőszövet betegségei és tünetei</w:t>
            </w:r>
          </w:p>
        </w:tc>
      </w:tr>
      <w:tr w:rsidR="003B42C5" w:rsidRPr="00F567BF" w14:paraId="3CE72AF8" w14:textId="77777777" w:rsidTr="00A57BA5">
        <w:tc>
          <w:tcPr>
            <w:tcW w:w="1020" w:type="pct"/>
          </w:tcPr>
          <w:p w14:paraId="1D34108A" w14:textId="77777777" w:rsidR="003B42C5" w:rsidRPr="00F567BF" w:rsidRDefault="00317C7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716B4FF4" w14:textId="5B9A92D3" w:rsidR="003B42C5" w:rsidRPr="00F567BF" w:rsidRDefault="0012003D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Izomspazmus és </w:t>
            </w:r>
            <w:r w:rsidR="005A00C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görcs, </w:t>
            </w:r>
            <w:r w:rsidR="007818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musculoskeletalis</w:t>
            </w:r>
            <w:r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fájdal</w:t>
            </w:r>
            <w:r w:rsidR="005A00C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o</w:t>
            </w:r>
            <w:r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</w:t>
            </w:r>
            <w:r w:rsidR="003B4903"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9555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beleértve a </w:t>
            </w:r>
            <w:r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myalgiát</w:t>
            </w:r>
            <w:r w:rsidR="00B07194"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9</w:t>
            </w:r>
            <w:r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arthralgiát és a csontfájdalmat</w:t>
            </w:r>
            <w:r w:rsidR="00B07194" w:rsidRPr="00A00D1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10</w:t>
            </w:r>
          </w:p>
        </w:tc>
      </w:tr>
      <w:tr w:rsidR="003B42C5" w:rsidRPr="00F567BF" w14:paraId="6608B564" w14:textId="77777777" w:rsidTr="00A57BA5">
        <w:tc>
          <w:tcPr>
            <w:tcW w:w="1020" w:type="pct"/>
          </w:tcPr>
          <w:p w14:paraId="0B683228" w14:textId="77777777" w:rsidR="003B42C5" w:rsidRPr="00F567BF" w:rsidRDefault="00317C7F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3758D5A4" w14:textId="77777777" w:rsidR="003B42C5" w:rsidRPr="00F567BF" w:rsidRDefault="0012003D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Ízületi duzzanat</w:t>
            </w:r>
          </w:p>
        </w:tc>
      </w:tr>
      <w:tr w:rsidR="003B42C5" w:rsidRPr="00F567BF" w14:paraId="0E3D380B" w14:textId="77777777" w:rsidTr="00A57BA5">
        <w:tc>
          <w:tcPr>
            <w:tcW w:w="1020" w:type="pct"/>
          </w:tcPr>
          <w:p w14:paraId="77239BBC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2C1A7668" w14:textId="7F210710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Izom- és ízületi merevség</w:t>
            </w:r>
            <w:r w:rsidR="00C205A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C205A6" w:rsidRPr="00C205A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osteonecrosis*</w:t>
            </w:r>
          </w:p>
        </w:tc>
      </w:tr>
      <w:tr w:rsidR="003B42C5" w:rsidRPr="00F567BF" w14:paraId="3A36BD4F" w14:textId="77777777" w:rsidTr="00A57BA5">
        <w:tc>
          <w:tcPr>
            <w:tcW w:w="1020" w:type="pct"/>
          </w:tcPr>
          <w:p w14:paraId="5D9BC3AE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3BAEC134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Izomgyengeség, arthritis, rhabdomyolysis/myopathia</w:t>
            </w:r>
          </w:p>
        </w:tc>
      </w:tr>
      <w:tr w:rsidR="003B42C5" w:rsidRPr="00F567BF" w14:paraId="70DB37A5" w14:textId="77777777" w:rsidTr="00A57BA5">
        <w:tc>
          <w:tcPr>
            <w:tcW w:w="1020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82"/>
            </w:tblGrid>
            <w:tr w:rsidR="003B42C5" w:rsidRPr="00F567BF" w14:paraId="3F245026" w14:textId="77777777" w:rsidTr="00A35989">
              <w:trPr>
                <w:trHeight w:val="100"/>
              </w:trPr>
              <w:tc>
                <w:tcPr>
                  <w:tcW w:w="0" w:type="auto"/>
                </w:tcPr>
                <w:p w14:paraId="61095C3C" w14:textId="77777777" w:rsidR="003B42C5" w:rsidRPr="00F567BF" w:rsidRDefault="00317C7F" w:rsidP="003B42C5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F567BF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2"/>
                      <w:szCs w:val="22"/>
                      <w:lang w:eastAsia="en-GB"/>
                    </w:rPr>
                    <w:t>Nem ismert:</w:t>
                  </w:r>
                </w:p>
              </w:tc>
            </w:tr>
          </w:tbl>
          <w:p w14:paraId="6F23A049" w14:textId="77777777" w:rsidR="003B42C5" w:rsidRPr="00F567BF" w:rsidRDefault="003B42C5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980" w:type="pct"/>
          </w:tcPr>
          <w:p w14:paraId="44C91298" w14:textId="5D220F74" w:rsidR="003B42C5" w:rsidRPr="00F567BF" w:rsidRDefault="00F2782F" w:rsidP="00F053F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</w:t>
            </w:r>
            <w:r w:rsidR="0012003D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etardált növekedés gyermekeknél</w:t>
            </w:r>
            <w:r w:rsidR="00C866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és serdülőknél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</w:p>
        </w:tc>
      </w:tr>
      <w:tr w:rsidR="003B42C5" w:rsidRPr="00F567BF" w14:paraId="0A19EC70" w14:textId="77777777" w:rsidTr="00C31603">
        <w:tc>
          <w:tcPr>
            <w:tcW w:w="5000" w:type="pct"/>
            <w:gridSpan w:val="2"/>
          </w:tcPr>
          <w:p w14:paraId="24F29A65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Vese- és húgyúti betegségek és tünetek</w:t>
            </w:r>
          </w:p>
        </w:tc>
      </w:tr>
      <w:tr w:rsidR="003B42C5" w:rsidRPr="00F567BF" w14:paraId="68C85E94" w14:textId="77777777" w:rsidTr="00A57BA5">
        <w:tc>
          <w:tcPr>
            <w:tcW w:w="1020" w:type="pct"/>
          </w:tcPr>
          <w:p w14:paraId="1F902CB4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790FA8B7" w14:textId="77777777" w:rsidR="003B42C5" w:rsidRPr="00F567BF" w:rsidRDefault="0012003D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Vesefájdalmak, haematuria, akut veseelégtelenség, gyakori vizelés</w:t>
            </w:r>
          </w:p>
        </w:tc>
      </w:tr>
      <w:tr w:rsidR="003B42C5" w:rsidRPr="00F567BF" w14:paraId="108CCF35" w14:textId="77777777" w:rsidTr="00A57BA5">
        <w:tc>
          <w:tcPr>
            <w:tcW w:w="1020" w:type="pct"/>
          </w:tcPr>
          <w:p w14:paraId="69E13565" w14:textId="77777777" w:rsidR="003B42C5" w:rsidRPr="00F567BF" w:rsidRDefault="00B07DE9" w:rsidP="003B42C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ismert:</w:t>
            </w:r>
            <w:r w:rsidR="00BC46B2"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3980" w:type="pct"/>
          </w:tcPr>
          <w:p w14:paraId="7FCA5787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Krónikus veseelégtelenség</w:t>
            </w:r>
          </w:p>
        </w:tc>
      </w:tr>
      <w:tr w:rsidR="003B42C5" w:rsidRPr="00F567BF" w14:paraId="64BE457C" w14:textId="77777777" w:rsidTr="00C31603">
        <w:tc>
          <w:tcPr>
            <w:tcW w:w="5000" w:type="pct"/>
            <w:gridSpan w:val="2"/>
          </w:tcPr>
          <w:p w14:paraId="04F5CCCB" w14:textId="77777777" w:rsidR="003B42C5" w:rsidRPr="00F567BF" w:rsidRDefault="00F4263B" w:rsidP="007C6727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A nemi szervekkel és az emlőkkel kapcsolatos betegségek és tünetek</w:t>
            </w:r>
          </w:p>
        </w:tc>
      </w:tr>
      <w:tr w:rsidR="003B42C5" w:rsidRPr="00F567BF" w14:paraId="2BFAD7A5" w14:textId="77777777" w:rsidTr="00A57BA5">
        <w:tc>
          <w:tcPr>
            <w:tcW w:w="1020" w:type="pct"/>
          </w:tcPr>
          <w:p w14:paraId="727C99A9" w14:textId="77777777" w:rsidR="003B42C5" w:rsidRPr="00F567BF" w:rsidRDefault="00317C7F" w:rsidP="007C6727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311FCCA6" w14:textId="05924323" w:rsidR="003B42C5" w:rsidRPr="00F567BF" w:rsidRDefault="00F4263B" w:rsidP="007C6727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Gynaecomastia, erectilis dysfunctio</w:t>
            </w:r>
            <w:r w:rsidR="003B42C5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menorrhagia,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rendszertelen menstruáció, szexuális d</w:t>
            </w:r>
            <w:r w:rsidR="00F053F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</w:t>
            </w:r>
            <w:r w:rsidR="00F053F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z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fun</w:t>
            </w:r>
            <w:r w:rsidR="00F053F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kc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i</w:t>
            </w:r>
            <w:r w:rsidR="00F053F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ó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 emlőbimbó</w:t>
            </w:r>
            <w:r w:rsidR="00F053F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fájdalom, emlőmegnagyobbodás, scrotalis </w:t>
            </w:r>
            <w:r w:rsidR="00C866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ö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d</w:t>
            </w:r>
            <w:r w:rsidR="00C866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é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ma</w:t>
            </w:r>
          </w:p>
        </w:tc>
      </w:tr>
      <w:tr w:rsidR="003B42C5" w:rsidRPr="00F567BF" w14:paraId="27D59661" w14:textId="77777777" w:rsidTr="00A57BA5">
        <w:tc>
          <w:tcPr>
            <w:tcW w:w="1020" w:type="pct"/>
          </w:tcPr>
          <w:p w14:paraId="512F9887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29FB46BD" w14:textId="74851B93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Corpus luteum haemorrhagicum</w:t>
            </w:r>
            <w:r w:rsidR="00B22D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/</w:t>
            </w:r>
            <w:r w:rsidR="00B22D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cysta ovarii haemorrhagicum</w:t>
            </w:r>
          </w:p>
        </w:tc>
      </w:tr>
      <w:tr w:rsidR="003B42C5" w:rsidRPr="00F567BF" w14:paraId="63FA9B63" w14:textId="77777777" w:rsidTr="00C31603">
        <w:tc>
          <w:tcPr>
            <w:tcW w:w="5000" w:type="pct"/>
            <w:gridSpan w:val="2"/>
          </w:tcPr>
          <w:p w14:paraId="47F6D949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Általános tünetek, az alkalmazás helyén fellépő reakciók</w:t>
            </w:r>
          </w:p>
        </w:tc>
      </w:tr>
      <w:tr w:rsidR="003B42C5" w:rsidRPr="00F567BF" w14:paraId="10999DA7" w14:textId="77777777" w:rsidTr="00A57BA5">
        <w:tc>
          <w:tcPr>
            <w:tcW w:w="1020" w:type="pct"/>
          </w:tcPr>
          <w:p w14:paraId="202804F3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3A52ABE7" w14:textId="5726546E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Folyadékretenció és ödéma, fárad</w:t>
            </w:r>
            <w:r w:rsidR="0034546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tság</w:t>
            </w:r>
          </w:p>
        </w:tc>
      </w:tr>
      <w:tr w:rsidR="003B42C5" w:rsidRPr="00F567BF" w14:paraId="3047901F" w14:textId="77777777" w:rsidTr="00A57BA5">
        <w:tc>
          <w:tcPr>
            <w:tcW w:w="1020" w:type="pct"/>
          </w:tcPr>
          <w:p w14:paraId="7041D63F" w14:textId="77777777" w:rsidR="003B42C5" w:rsidRPr="00F567BF" w:rsidRDefault="00B07DE9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28C53323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Gyengeség, láz, anasarca, hidegrázás, borzongás</w:t>
            </w:r>
          </w:p>
        </w:tc>
      </w:tr>
      <w:tr w:rsidR="003B42C5" w:rsidRPr="00F567BF" w14:paraId="3EDBBF9B" w14:textId="77777777" w:rsidTr="00A57BA5">
        <w:tc>
          <w:tcPr>
            <w:tcW w:w="1020" w:type="pct"/>
          </w:tcPr>
          <w:p w14:paraId="4470B6E6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332573E4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Mellkasi fájdalom, rossz közérzet</w:t>
            </w:r>
          </w:p>
        </w:tc>
      </w:tr>
      <w:tr w:rsidR="003B42C5" w:rsidRPr="00F567BF" w14:paraId="67111CBD" w14:textId="77777777" w:rsidTr="00C31603">
        <w:tc>
          <w:tcPr>
            <w:tcW w:w="5000" w:type="pct"/>
            <w:gridSpan w:val="2"/>
          </w:tcPr>
          <w:p w14:paraId="0F52659E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>Laboratóriumi és egyéb vizsgálatok eredményei</w:t>
            </w:r>
          </w:p>
        </w:tc>
      </w:tr>
      <w:tr w:rsidR="003B42C5" w:rsidRPr="00F567BF" w14:paraId="49530260" w14:textId="77777777" w:rsidTr="00A57BA5">
        <w:tc>
          <w:tcPr>
            <w:tcW w:w="1020" w:type="pct"/>
          </w:tcPr>
          <w:p w14:paraId="16885D4C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Nagyon gyakori:</w:t>
            </w:r>
          </w:p>
        </w:tc>
        <w:tc>
          <w:tcPr>
            <w:tcW w:w="3980" w:type="pct"/>
          </w:tcPr>
          <w:p w14:paraId="086FEFE6" w14:textId="77777777" w:rsidR="003B42C5" w:rsidRPr="00F567BF" w:rsidRDefault="00F4263B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Testtömeg-növekedés</w:t>
            </w:r>
          </w:p>
        </w:tc>
      </w:tr>
      <w:tr w:rsidR="003B42C5" w:rsidRPr="00F567BF" w14:paraId="1B249D85" w14:textId="77777777" w:rsidTr="00A57BA5">
        <w:tc>
          <w:tcPr>
            <w:tcW w:w="1020" w:type="pct"/>
          </w:tcPr>
          <w:p w14:paraId="108F0315" w14:textId="77777777" w:rsidR="003B42C5" w:rsidRPr="00F567BF" w:rsidRDefault="00B07DE9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Gyakori:</w:t>
            </w:r>
          </w:p>
        </w:tc>
        <w:tc>
          <w:tcPr>
            <w:tcW w:w="3980" w:type="pct"/>
          </w:tcPr>
          <w:p w14:paraId="5975E6D0" w14:textId="77777777" w:rsidR="003B42C5" w:rsidRPr="00F567BF" w:rsidRDefault="00F4263B" w:rsidP="004A5A67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Testtömegcsökkenés</w:t>
            </w:r>
          </w:p>
        </w:tc>
      </w:tr>
      <w:tr w:rsidR="003B42C5" w:rsidRPr="00F567BF" w14:paraId="002FDFFD" w14:textId="77777777" w:rsidTr="00A57BA5">
        <w:tc>
          <w:tcPr>
            <w:tcW w:w="1020" w:type="pct"/>
          </w:tcPr>
          <w:p w14:paraId="66BBB6A1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Nem gyakori:</w:t>
            </w:r>
          </w:p>
        </w:tc>
        <w:tc>
          <w:tcPr>
            <w:tcW w:w="3980" w:type="pct"/>
          </w:tcPr>
          <w:p w14:paraId="4A5A2AFC" w14:textId="340D513A" w:rsidR="003B42C5" w:rsidRPr="00F567BF" w:rsidRDefault="008A3D7D" w:rsidP="00A55F9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vér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kreatininszint</w:t>
            </w:r>
            <w:r w:rsidR="004F781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jének emelkedése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4F781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 vér 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emelkedett kreatin-foszfokináz</w:t>
            </w:r>
            <w:r w:rsidR="00511B1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szint</w:t>
            </w:r>
            <w:r w:rsidR="00511B1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jének emelkedése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 vér 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laktát-dehidrogenáz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szint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jének emelkedése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 vér 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alkalikusfoszfatáz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szint</w:t>
            </w:r>
            <w:r w:rsidR="00B057E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jének</w:t>
            </w:r>
            <w:r w:rsidR="00BB18B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emelkedése</w:t>
            </w:r>
          </w:p>
        </w:tc>
      </w:tr>
      <w:tr w:rsidR="003B42C5" w:rsidRPr="00F567BF" w14:paraId="1A9D808B" w14:textId="77777777" w:rsidTr="00A57BA5">
        <w:tc>
          <w:tcPr>
            <w:tcW w:w="1020" w:type="pct"/>
          </w:tcPr>
          <w:p w14:paraId="47B0A99A" w14:textId="77777777" w:rsidR="003B42C5" w:rsidRPr="00F567BF" w:rsidRDefault="00317C7F" w:rsidP="003B42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eastAsia="en-GB"/>
              </w:rPr>
              <w:t>Ritka:</w:t>
            </w:r>
          </w:p>
        </w:tc>
        <w:tc>
          <w:tcPr>
            <w:tcW w:w="3980" w:type="pct"/>
          </w:tcPr>
          <w:p w14:paraId="5F6757BB" w14:textId="45B24379" w:rsidR="003B42C5" w:rsidRPr="00F567BF" w:rsidRDefault="00511B16" w:rsidP="00A55F9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A vér 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amilázszint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jének</w:t>
            </w:r>
            <w:r w:rsid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emelkedése</w:t>
            </w:r>
          </w:p>
        </w:tc>
      </w:tr>
      <w:tr w:rsidR="00A57BA5" w:rsidRPr="00F567BF" w14:paraId="39083087" w14:textId="77777777" w:rsidTr="00A57BA5">
        <w:tc>
          <w:tcPr>
            <w:tcW w:w="5000" w:type="pct"/>
            <w:gridSpan w:val="2"/>
          </w:tcPr>
          <w:p w14:paraId="3F6B4CD7" w14:textId="36DB30C8" w:rsidR="00A57BA5" w:rsidRPr="00F567BF" w:rsidRDefault="00A57BA5" w:rsidP="00A57BA5">
            <w:pPr>
              <w:tabs>
                <w:tab w:val="left" w:pos="284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ab/>
            </w:r>
            <w:r w:rsidR="0011567C">
              <w:rPr>
                <w:rFonts w:ascii="Times New Roman" w:eastAsia="Times New Roman" w:hAnsi="Times New Roman"/>
                <w:sz w:val="22"/>
                <w:szCs w:val="22"/>
              </w:rPr>
              <w:t>Az ilyen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 típusú reakciókat elsősorban az imatinibbel a forgalomba hozatalt követően szerzett tapasztalatok alapján jelentették. Ezek közé spontán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eset</w:t>
            </w:r>
            <w:r w:rsidR="004C2DBB">
              <w:rPr>
                <w:rFonts w:ascii="Times New Roman" w:eastAsia="Times New Roman" w:hAnsi="Times New Roman"/>
                <w:sz w:val="22"/>
                <w:szCs w:val="22"/>
              </w:rPr>
              <w:t>ismertetések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, valamint </w:t>
            </w:r>
            <w:r w:rsidR="004C2DBB">
              <w:rPr>
                <w:rFonts w:ascii="Times New Roman" w:eastAsia="Times New Roman" w:hAnsi="Times New Roman"/>
                <w:sz w:val="22"/>
                <w:szCs w:val="22"/>
              </w:rPr>
              <w:t>olyan, súlyos nemkívánatos események</w:t>
            </w:r>
            <w:r w:rsidR="006A75D4">
              <w:rPr>
                <w:rFonts w:ascii="Times New Roman" w:eastAsia="Times New Roman" w:hAnsi="Times New Roman"/>
                <w:sz w:val="22"/>
                <w:szCs w:val="22"/>
              </w:rPr>
              <w:t xml:space="preserve"> tartoznak, amelyeket</w:t>
            </w:r>
            <w:r w:rsidR="004C2DBB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folyamatban lévő vizsgálatok, </w:t>
            </w:r>
            <w:r w:rsidR="006A75D4">
              <w:rPr>
                <w:rFonts w:ascii="Times New Roman" w:eastAsia="Times New Roman" w:hAnsi="Times New Roman"/>
                <w:sz w:val="22"/>
                <w:szCs w:val="22"/>
              </w:rPr>
              <w:t>engedélyezés előtti gyógyszeralka</w:t>
            </w:r>
            <w:r w:rsidR="002D2411">
              <w:rPr>
                <w:rFonts w:ascii="Times New Roman" w:eastAsia="Times New Roman" w:hAnsi="Times New Roman"/>
                <w:sz w:val="22"/>
                <w:szCs w:val="22"/>
              </w:rPr>
              <w:t>l</w:t>
            </w:r>
            <w:r w:rsidR="006A75D4">
              <w:rPr>
                <w:rFonts w:ascii="Times New Roman" w:eastAsia="Times New Roman" w:hAnsi="Times New Roman"/>
                <w:sz w:val="22"/>
                <w:szCs w:val="22"/>
              </w:rPr>
              <w:t>mazás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, klinikai farmakológiai vizsgálatok és nem engedélyezett indikációkban folytatott, feltáró jellegű vizsgálatok</w:t>
            </w:r>
            <w:r w:rsidR="00A96A55">
              <w:rPr>
                <w:rFonts w:ascii="Times New Roman" w:eastAsia="Times New Roman" w:hAnsi="Times New Roman"/>
                <w:sz w:val="22"/>
                <w:szCs w:val="22"/>
              </w:rPr>
              <w:t xml:space="preserve"> során jelentettek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. Mivel ezeket a reakciókat egy bizonytalan méretű populációból jelentették, a gyakoriság</w:t>
            </w:r>
            <w:r w:rsidR="006C2009">
              <w:rPr>
                <w:rFonts w:ascii="Times New Roman" w:eastAsia="Times New Roman" w:hAnsi="Times New Roman"/>
                <w:sz w:val="22"/>
                <w:szCs w:val="22"/>
              </w:rPr>
              <w:t xml:space="preserve"> megbízható becslése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vagy az imatinib-expozícióval való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ok-okozati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 összefüggés megállapít</w:t>
            </w:r>
            <w:r w:rsidR="006C2009">
              <w:rPr>
                <w:rFonts w:ascii="Times New Roman" w:eastAsia="Times New Roman" w:hAnsi="Times New Roman"/>
                <w:sz w:val="22"/>
                <w:szCs w:val="22"/>
              </w:rPr>
              <w:t>ása nem mindig lehetséges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  <w:p w14:paraId="126FAD20" w14:textId="77777777" w:rsidR="00A57BA5" w:rsidRDefault="00A57BA5" w:rsidP="00A57BA5">
            <w:pPr>
              <w:tabs>
                <w:tab w:val="left" w:pos="0"/>
                <w:tab w:val="left" w:pos="284"/>
              </w:tabs>
              <w:ind w:left="284" w:right="-8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567BF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Pneumoniáról a leggyakrabban transzformált CML-ben</w:t>
            </w:r>
            <w:r w:rsidRPr="00DA010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és GIST-ben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szenvedő betegeknél számoltak be.</w:t>
            </w:r>
          </w:p>
          <w:p w14:paraId="61515002" w14:textId="11EB28CC" w:rsidR="00A57BA5" w:rsidRPr="00A55F9B" w:rsidRDefault="00A57BA5" w:rsidP="00A57BA5">
            <w:pPr>
              <w:tabs>
                <w:tab w:val="left" w:pos="0"/>
                <w:tab w:val="left" w:pos="284"/>
              </w:tabs>
              <w:ind w:left="284" w:right="-8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5F9B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2</w:t>
            </w:r>
            <w:r w:rsidRPr="00A55F9B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ab/>
            </w:r>
            <w:r w:rsidRP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hu-HU"/>
              </w:rPr>
              <w:t>A fejfájás GIST-ben szenvedő betegek esetében volt a leggyakoribb.</w:t>
            </w:r>
          </w:p>
          <w:p w14:paraId="07773D17" w14:textId="6F0CA517" w:rsidR="00A57BA5" w:rsidRPr="00F567BF" w:rsidRDefault="00A57BA5" w:rsidP="00A57BA5">
            <w:pPr>
              <w:tabs>
                <w:tab w:val="left" w:pos="284"/>
                <w:tab w:val="left" w:pos="680"/>
              </w:tabs>
              <w:ind w:left="284" w:right="-8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Betegévre vetítve gyakrabban figyeltek meg cardialis eseményeket</w:t>
            </w:r>
            <w:r w:rsidR="00B2005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236873">
              <w:t>–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 beleértve a pangásos szívelégtelenséget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is</w:t>
            </w:r>
            <w:r w:rsidR="00236873">
              <w:t xml:space="preserve"> –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transzformált CML-ben szenvedő betegek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nél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, mint krónikus CML-ben szenvedő betegek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nél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  <w:p w14:paraId="046F3F1A" w14:textId="77777777" w:rsidR="00A57BA5" w:rsidRPr="00F567BF" w:rsidRDefault="00A57BA5" w:rsidP="00A57BA5">
            <w:pPr>
              <w:tabs>
                <w:tab w:val="left" w:pos="284"/>
                <w:tab w:val="left" w:pos="680"/>
              </w:tabs>
              <w:ind w:left="284" w:right="-8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4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A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kipirulás a GIST-ben, míg a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vérzés (haematoma, haemorrhagia)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a GIST-ben és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a transzformált CML-ben (CML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AP és CML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BC) szenvedő betegeknél volt a leggyakoribb.</w:t>
            </w:r>
          </w:p>
          <w:p w14:paraId="3AD46E36" w14:textId="77777777" w:rsidR="00A57BA5" w:rsidRDefault="00A57BA5" w:rsidP="00A57BA5">
            <w:pPr>
              <w:tabs>
                <w:tab w:val="left" w:pos="284"/>
                <w:tab w:val="left" w:pos="66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5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Pleuralis folyadékgyülemről gyakrabban számoltak be </w:t>
            </w:r>
            <w:r w:rsidRPr="00350AC9">
              <w:rPr>
                <w:rFonts w:ascii="Times New Roman" w:eastAsia="Times New Roman" w:hAnsi="Times New Roman"/>
                <w:sz w:val="22"/>
                <w:szCs w:val="22"/>
              </w:rPr>
              <w:t xml:space="preserve">GIST-ben, illetve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transzformált CML-ben (CML-AP és CML-BC), mint krónikus CML-ben szenvedő betegeknél.</w:t>
            </w:r>
          </w:p>
          <w:p w14:paraId="0294D614" w14:textId="77777777" w:rsidR="00A57BA5" w:rsidRDefault="00A57BA5" w:rsidP="00A57BA5">
            <w:pPr>
              <w:tabs>
                <w:tab w:val="left" w:pos="284"/>
                <w:tab w:val="left" w:pos="66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6+7</w:t>
            </w:r>
            <w:r w:rsidRPr="00A55F9B"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A55F9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hu-HU"/>
              </w:rPr>
              <w:t>Hasfájást és gastrointestinalis vérzést a leggyakrabban GIST-ben szenvedő betegeknél figyeltek meg.</w:t>
            </w:r>
          </w:p>
          <w:p w14:paraId="22E5632E" w14:textId="294F038B" w:rsidR="00A57BA5" w:rsidRPr="00955568" w:rsidRDefault="00A57BA5" w:rsidP="00A57BA5">
            <w:pPr>
              <w:tabs>
                <w:tab w:val="left" w:pos="284"/>
                <w:tab w:val="left" w:pos="68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55568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8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ab/>
              <w:t>Beszámoltak májelégtelenség, illetve májnekrózis</w:t>
            </w:r>
            <w:r w:rsidR="00CC6528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CC6528" w:rsidRPr="00955568">
              <w:rPr>
                <w:rFonts w:ascii="Times New Roman" w:eastAsia="Times New Roman" w:hAnsi="Times New Roman"/>
                <w:sz w:val="22"/>
                <w:szCs w:val="22"/>
              </w:rPr>
              <w:t>néhány</w:t>
            </w:r>
            <w:r w:rsidR="00CC6528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CC6528" w:rsidRPr="00955568">
              <w:rPr>
                <w:rFonts w:ascii="Times New Roman" w:eastAsia="Times New Roman" w:hAnsi="Times New Roman"/>
                <w:sz w:val="22"/>
                <w:szCs w:val="22"/>
              </w:rPr>
              <w:t xml:space="preserve"> halálos kimenetelű </w:t>
            </w:r>
            <w:r w:rsidR="00CC6528">
              <w:rPr>
                <w:rFonts w:ascii="Times New Roman" w:eastAsia="Times New Roman" w:hAnsi="Times New Roman"/>
                <w:sz w:val="22"/>
                <w:szCs w:val="22"/>
              </w:rPr>
              <w:t>esetéről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  <w:p w14:paraId="551AB21B" w14:textId="5747AB8F" w:rsidR="00A57BA5" w:rsidRDefault="00A57BA5" w:rsidP="00A57BA5">
            <w:pPr>
              <w:tabs>
                <w:tab w:val="left" w:pos="284"/>
                <w:tab w:val="left" w:pos="68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55568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9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7010A">
              <w:rPr>
                <w:rFonts w:ascii="Times New Roman" w:eastAsia="Times New Roman" w:hAnsi="Times New Roman" w:cs="Times New Roman"/>
                <w:sz w:val="22"/>
                <w:szCs w:val="22"/>
              </w:rPr>
              <w:t>A forgalomba hozatalt követően</w:t>
            </w:r>
            <w:r w:rsidR="00B22D0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az</w:t>
            </w:r>
            <w:r w:rsidRPr="00F7010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imatinib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7010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terápia ideje alatt vagy a kezelés felfüggesztése után </w:t>
            </w:r>
            <w:r w:rsidR="00343655">
              <w:rPr>
                <w:rFonts w:ascii="Times New Roman" w:eastAsia="Times New Roman" w:hAnsi="Times New Roman" w:cs="Times New Roman"/>
                <w:sz w:val="22"/>
                <w:szCs w:val="22"/>
              </w:rPr>
              <w:t>m</w:t>
            </w:r>
            <w:r w:rsidR="00343655" w:rsidRPr="00343655">
              <w:rPr>
                <w:rFonts w:ascii="Times New Roman" w:eastAsia="Times New Roman" w:hAnsi="Times New Roman" w:cs="Times New Roman"/>
                <w:sz w:val="22"/>
                <w:szCs w:val="22"/>
              </w:rPr>
              <w:t>usculoskeletalis</w:t>
            </w:r>
            <w:r w:rsidR="0034365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F7010A">
              <w:rPr>
                <w:rFonts w:ascii="Times New Roman" w:eastAsia="Times New Roman" w:hAnsi="Times New Roman" w:cs="Times New Roman"/>
                <w:sz w:val="22"/>
                <w:szCs w:val="22"/>
              </w:rPr>
              <w:t>fájdalmat figyeltek meg.</w:t>
            </w:r>
          </w:p>
          <w:p w14:paraId="7C2F90D8" w14:textId="7B094FB2" w:rsidR="00A57BA5" w:rsidRPr="00955568" w:rsidRDefault="00A57BA5" w:rsidP="00A57BA5">
            <w:pPr>
              <w:tabs>
                <w:tab w:val="left" w:pos="284"/>
                <w:tab w:val="left" w:pos="68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5B5E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10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="00CB43BC">
              <w:rPr>
                <w:rFonts w:ascii="Times New Roman" w:eastAsia="Times New Roman" w:hAnsi="Times New Roman"/>
                <w:sz w:val="22"/>
                <w:szCs w:val="22"/>
              </w:rPr>
              <w:t>Musc</w:t>
            </w:r>
            <w:r w:rsidR="00343655">
              <w:rPr>
                <w:rFonts w:ascii="Times New Roman" w:eastAsia="Times New Roman" w:hAnsi="Times New Roman"/>
                <w:sz w:val="22"/>
                <w:szCs w:val="22"/>
              </w:rPr>
              <w:t>uloskeletalis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 xml:space="preserve"> fájdalm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a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>t, és ezzel kapcsolatos eseményeket gyakrabban figyeltek meg CML</w:t>
            </w:r>
            <w:r w:rsidR="00B22D0E"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>ben, mint</w:t>
            </w:r>
            <w:r w:rsidRPr="00955568">
              <w:rPr>
                <w:rFonts w:ascii="Times New Roman" w:hAnsi="Times New Roman" w:cs="Times New Roman"/>
                <w:sz w:val="22"/>
                <w:szCs w:val="22"/>
              </w:rPr>
              <w:t xml:space="preserve"> GIST-ben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 xml:space="preserve"> szenvedő betegeknél.</w:t>
            </w:r>
          </w:p>
          <w:p w14:paraId="47D4A2E8" w14:textId="712BA7B4" w:rsidR="00A57BA5" w:rsidRDefault="00A57BA5" w:rsidP="00A57BA5">
            <w:pPr>
              <w:tabs>
                <w:tab w:val="left" w:pos="284"/>
                <w:tab w:val="left" w:pos="680"/>
              </w:tabs>
              <w:ind w:left="284" w:hanging="28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55568"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1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ab/>
              <w:t xml:space="preserve">Az előrehaladott betegségben, súlyos fertőzésben, súlyos neutropeniában és egyéb súlyos kísérőbetegségben szenvedő betegeknél </w:t>
            </w:r>
            <w:r w:rsidR="00B22D0E">
              <w:rPr>
                <w:rFonts w:ascii="Times New Roman" w:eastAsia="Times New Roman" w:hAnsi="Times New Roman"/>
                <w:sz w:val="22"/>
                <w:szCs w:val="22"/>
              </w:rPr>
              <w:t>halálos</w:t>
            </w:r>
            <w:r w:rsidRPr="00955568">
              <w:rPr>
                <w:rFonts w:ascii="Times New Roman" w:eastAsia="Times New Roman" w:hAnsi="Times New Roman"/>
                <w:sz w:val="22"/>
                <w:szCs w:val="22"/>
              </w:rPr>
              <w:t xml:space="preserve"> kimenetelű eseteket jelentettek.</w:t>
            </w:r>
          </w:p>
          <w:p w14:paraId="055F6DE9" w14:textId="1B875128" w:rsidR="00A57BA5" w:rsidRDefault="00A57BA5" w:rsidP="00A57BA5">
            <w:pPr>
              <w:tabs>
                <w:tab w:val="left" w:pos="284"/>
                <w:tab w:val="left" w:pos="680"/>
              </w:tabs>
              <w:ind w:left="284" w:hanging="284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>12</w:t>
            </w:r>
            <w:r>
              <w:rPr>
                <w:rFonts w:ascii="Times New Roman" w:eastAsia="Times New Roman" w:hAnsi="Times New Roman"/>
                <w:sz w:val="22"/>
                <w:szCs w:val="22"/>
                <w:vertAlign w:val="superscript"/>
              </w:rPr>
              <w:tab/>
            </w:r>
            <w:r w:rsidRPr="00C51C42">
              <w:rPr>
                <w:rFonts w:ascii="Times New Roman" w:eastAsia="Times New Roman" w:hAnsi="Times New Roman"/>
                <w:sz w:val="22"/>
                <w:szCs w:val="22"/>
              </w:rPr>
              <w:t>Beleértve az erythema nodosumot</w:t>
            </w:r>
            <w:r w:rsidR="0013618A">
              <w:rPr>
                <w:rFonts w:ascii="Times New Roman" w:eastAsia="Times New Roman" w:hAnsi="Times New Roman"/>
                <w:sz w:val="22"/>
                <w:szCs w:val="22"/>
              </w:rPr>
              <w:t xml:space="preserve"> is</w:t>
            </w:r>
            <w:r w:rsidRPr="00C51C42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</w:tbl>
    <w:p w14:paraId="0EF138E1" w14:textId="77777777" w:rsidR="002F33CB" w:rsidRPr="00F567BF" w:rsidRDefault="002F33CB" w:rsidP="002F33CB">
      <w:pPr>
        <w:spacing w:line="0" w:lineRule="atLeast"/>
        <w:rPr>
          <w:rFonts w:ascii="Times New Roman" w:eastAsia="Times New Roman" w:hAnsi="Times New Roman"/>
          <w:sz w:val="22"/>
          <w:u w:val="single"/>
        </w:rPr>
      </w:pPr>
      <w:bookmarkStart w:id="10" w:name="page47"/>
      <w:bookmarkStart w:id="11" w:name="page49"/>
      <w:bookmarkEnd w:id="10"/>
      <w:bookmarkEnd w:id="11"/>
    </w:p>
    <w:p w14:paraId="571FC649" w14:textId="77777777" w:rsidR="002A793D" w:rsidRPr="00F567BF" w:rsidRDefault="002A793D" w:rsidP="00647049">
      <w:pPr>
        <w:keepNext/>
        <w:spacing w:line="0" w:lineRule="atLeast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lastRenderedPageBreak/>
        <w:t>Laboratóriumi eltérések</w:t>
      </w:r>
    </w:p>
    <w:p w14:paraId="7906C159" w14:textId="77777777" w:rsidR="002A793D" w:rsidRPr="00F567BF" w:rsidRDefault="002A793D" w:rsidP="00647049">
      <w:pPr>
        <w:keepNext/>
        <w:ind w:left="1"/>
        <w:rPr>
          <w:rFonts w:ascii="Times New Roman" w:eastAsia="Times New Roman" w:hAnsi="Times New Roman"/>
          <w:i/>
          <w:sz w:val="22"/>
          <w:szCs w:val="22"/>
        </w:rPr>
      </w:pPr>
      <w:r w:rsidRPr="00F567BF">
        <w:rPr>
          <w:rFonts w:ascii="Times New Roman" w:eastAsia="Times New Roman" w:hAnsi="Times New Roman"/>
          <w:i/>
          <w:sz w:val="22"/>
          <w:szCs w:val="22"/>
        </w:rPr>
        <w:t>Hematológia</w:t>
      </w:r>
    </w:p>
    <w:p w14:paraId="13346394" w14:textId="775E9DF8" w:rsidR="002A793D" w:rsidRPr="00F567BF" w:rsidRDefault="002A793D" w:rsidP="00647049">
      <w:pPr>
        <w:keepNext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CML-ben a cytopenia (főképp a neutropenia és thrombocytopenia) valamennyi vizsgálatban következetesen jelentkezett, és gyakoribbnak tűnt a nagyobb, </w:t>
      </w:r>
      <w:r w:rsidRPr="00F567BF">
        <w:rPr>
          <w:rFonts w:ascii="Symbol" w:eastAsia="Symbol" w:hAnsi="Symbol"/>
          <w:sz w:val="22"/>
          <w:szCs w:val="22"/>
        </w:rPr>
        <w:t></w:t>
      </w:r>
      <w:r w:rsidR="006C3DBD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750</w:t>
      </w:r>
      <w:r w:rsidR="004F2564" w:rsidRPr="00F567BF">
        <w:rPr>
          <w:rFonts w:ascii="Times New Roman" w:eastAsia="Times New Roman" w:hAnsi="Times New Roman"/>
          <w:sz w:val="22"/>
          <w:szCs w:val="22"/>
        </w:rPr>
        <w:t> </w:t>
      </w:r>
      <w:r w:rsidR="001C66CE" w:rsidRPr="00F567BF">
        <w:rPr>
          <w:rFonts w:ascii="Times New Roman" w:eastAsia="Times New Roman" w:hAnsi="Times New Roman"/>
          <w:sz w:val="22"/>
          <w:szCs w:val="22"/>
        </w:rPr>
        <w:t xml:space="preserve">mg dózis mellett </w:t>
      </w:r>
      <w:r w:rsidRPr="00F567BF">
        <w:rPr>
          <w:rFonts w:ascii="Times New Roman" w:eastAsia="Times New Roman" w:hAnsi="Times New Roman"/>
          <w:sz w:val="22"/>
          <w:szCs w:val="22"/>
        </w:rPr>
        <w:t>(</w:t>
      </w:r>
      <w:r w:rsidR="009C39BC">
        <w:rPr>
          <w:rFonts w:ascii="Times New Roman" w:eastAsia="Times New Roman" w:hAnsi="Times New Roman"/>
          <w:sz w:val="22"/>
          <w:szCs w:val="22"/>
        </w:rPr>
        <w:t xml:space="preserve">I. </w:t>
      </w:r>
      <w:r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9C39BC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vizsgálat). Viszont a cytopeniák előfordulása egyértelműen </w:t>
      </w:r>
      <w:r w:rsidR="001C66CE" w:rsidRPr="00F567BF">
        <w:rPr>
          <w:rFonts w:ascii="Times New Roman" w:eastAsia="Times New Roman" w:hAnsi="Times New Roman"/>
          <w:sz w:val="22"/>
          <w:szCs w:val="22"/>
        </w:rPr>
        <w:t xml:space="preserve">függött a betegség stádiumától; </w:t>
      </w:r>
      <w:r w:rsidRPr="00F567BF">
        <w:rPr>
          <w:rFonts w:ascii="Times New Roman" w:eastAsia="Times New Roman" w:hAnsi="Times New Roman"/>
          <w:sz w:val="22"/>
          <w:szCs w:val="22"/>
        </w:rPr>
        <w:t>3. vagy 4.</w:t>
      </w:r>
      <w:r w:rsidR="004A4039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fok</w:t>
      </w:r>
      <w:r w:rsidR="00AF15F5">
        <w:rPr>
          <w:rFonts w:ascii="Times New Roman" w:eastAsia="Times New Roman" w:hAnsi="Times New Roman"/>
          <w:sz w:val="22"/>
          <w:szCs w:val="22"/>
        </w:rPr>
        <w:t>ozatú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neutropenia (ANC </w:t>
      </w:r>
      <w:r w:rsidRPr="00F567BF">
        <w:rPr>
          <w:rFonts w:ascii="Symbol" w:eastAsia="Symbol" w:hAnsi="Symbol"/>
          <w:sz w:val="22"/>
          <w:szCs w:val="22"/>
        </w:rPr>
        <w:t></w:t>
      </w:r>
      <w:r w:rsidR="006C3DBD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1,0</w:t>
      </w:r>
      <w:r w:rsidR="00B22D0E">
        <w:rPr>
          <w:rFonts w:ascii="Times New Roman" w:eastAsia="Times New Roman" w:hAnsi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/>
          <w:sz w:val="22"/>
          <w:szCs w:val="22"/>
        </w:rPr>
        <w:t>×</w:t>
      </w:r>
      <w:r w:rsidRPr="00F567BF">
        <w:rPr>
          <w:rFonts w:ascii="Times New Roman" w:eastAsia="Times New Roman" w:hAnsi="Times New Roman"/>
          <w:sz w:val="22"/>
          <w:szCs w:val="22"/>
        </w:rPr>
        <w:t>10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/l) és thrombocytopenia (thrombocytaszám 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50</w:t>
      </w:r>
      <w:r w:rsidR="00B22D0E">
        <w:rPr>
          <w:rFonts w:ascii="Times New Roman" w:eastAsia="Times New Roman" w:hAnsi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/>
          <w:sz w:val="22"/>
          <w:szCs w:val="22"/>
        </w:rPr>
        <w:t>×</w:t>
      </w:r>
      <w:r w:rsidRPr="00F567BF">
        <w:rPr>
          <w:rFonts w:ascii="Times New Roman" w:eastAsia="Times New Roman" w:hAnsi="Times New Roman"/>
          <w:sz w:val="22"/>
          <w:szCs w:val="22"/>
        </w:rPr>
        <w:t>10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/>
          <w:sz w:val="22"/>
          <w:szCs w:val="22"/>
        </w:rPr>
        <w:t>/l) 4</w:t>
      </w:r>
      <w:r w:rsidR="00B22D0E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6</w:t>
      </w:r>
      <w:r w:rsidR="00B22D0E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szor gyakrabban fordult elő blasztos krízisben és akcelerált fázisban (59</w:t>
      </w:r>
      <w:r w:rsidR="00762B96" w:rsidRPr="00F567BF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64%, ill</w:t>
      </w:r>
      <w:r w:rsidR="00762B96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44</w:t>
      </w:r>
      <w:r w:rsidR="00762B96" w:rsidRPr="00F567BF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63% a neutropenia, ill</w:t>
      </w:r>
      <w:r w:rsidR="0060251E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thrombocytopenia vonatkozásában), összehasonlítva az újonnan diagnosztizált krónikus fázisú CML-es betegekkel (16,7% neutropenia, ill</w:t>
      </w:r>
      <w:r w:rsidR="00762B96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8,9% thrombocytopenia). Újonnan diagnosztizált krónikus fázisú CML-ben a 4.</w:t>
      </w:r>
      <w:r w:rsidR="004A4039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fok</w:t>
      </w:r>
      <w:r w:rsidR="00780AFB">
        <w:rPr>
          <w:rFonts w:ascii="Times New Roman" w:eastAsia="Times New Roman" w:hAnsi="Times New Roman"/>
          <w:sz w:val="22"/>
          <w:szCs w:val="22"/>
        </w:rPr>
        <w:t>ozatú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neutropenia (ANC 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0,5</w:t>
      </w:r>
      <w:r w:rsidR="00B22D0E">
        <w:rPr>
          <w:rFonts w:ascii="Times New Roman" w:eastAsia="Times New Roman" w:hAnsi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/>
          <w:sz w:val="22"/>
          <w:szCs w:val="22"/>
        </w:rPr>
        <w:t>×</w:t>
      </w:r>
      <w:r w:rsidR="00814C84">
        <w:rPr>
          <w:rFonts w:ascii="Times New Roman" w:eastAsia="Times New Roman" w:hAnsi="Times New Roman"/>
          <w:sz w:val="22"/>
          <w:szCs w:val="22"/>
        </w:rPr>
        <w:t>1</w:t>
      </w:r>
      <w:r w:rsidRPr="00F567BF">
        <w:rPr>
          <w:rFonts w:ascii="Times New Roman" w:eastAsia="Times New Roman" w:hAnsi="Times New Roman"/>
          <w:sz w:val="22"/>
          <w:szCs w:val="22"/>
        </w:rPr>
        <w:t>0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/l) és thrombocytopenia (thrombocytaszám 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10</w:t>
      </w:r>
      <w:r w:rsidR="00B22D0E">
        <w:rPr>
          <w:rFonts w:ascii="Times New Roman" w:eastAsia="Times New Roman" w:hAnsi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/>
          <w:sz w:val="22"/>
          <w:szCs w:val="22"/>
        </w:rPr>
        <w:t>×</w:t>
      </w:r>
      <w:r w:rsidRPr="00F567BF">
        <w:rPr>
          <w:rFonts w:ascii="Times New Roman" w:eastAsia="Times New Roman" w:hAnsi="Times New Roman"/>
          <w:sz w:val="22"/>
          <w:szCs w:val="22"/>
        </w:rPr>
        <w:t>10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9</w:t>
      </w:r>
      <w:r w:rsidRPr="00F567BF">
        <w:rPr>
          <w:rFonts w:ascii="Times New Roman" w:eastAsia="Times New Roman" w:hAnsi="Times New Roman"/>
          <w:sz w:val="22"/>
          <w:szCs w:val="22"/>
        </w:rPr>
        <w:t>/l) a betegek 3,6%-á</w:t>
      </w:r>
      <w:r w:rsidR="00C02C06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illetve </w:t>
      </w:r>
      <w:r w:rsidRPr="00F567BF">
        <w:rPr>
          <w:rFonts w:ascii="Symbol" w:eastAsia="Symbol" w:hAnsi="Symbol"/>
          <w:sz w:val="22"/>
          <w:szCs w:val="22"/>
        </w:rPr>
        <w:t></w:t>
      </w:r>
      <w:r w:rsidR="00D27544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1%-á</w:t>
      </w:r>
      <w:r w:rsidR="00C02C06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volt megfigyelhető. A neutropeniás, ill</w:t>
      </w:r>
      <w:r w:rsidR="00F9751E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thrombocytopeniás időszak medián </w:t>
      </w:r>
      <w:r w:rsidR="007F580E">
        <w:rPr>
          <w:rFonts w:ascii="Times New Roman" w:eastAsia="Times New Roman" w:hAnsi="Times New Roman"/>
          <w:sz w:val="22"/>
          <w:szCs w:val="22"/>
        </w:rPr>
        <w:t>idő</w:t>
      </w:r>
      <w:r w:rsidRPr="00F567BF">
        <w:rPr>
          <w:rFonts w:ascii="Times New Roman" w:eastAsia="Times New Roman" w:hAnsi="Times New Roman"/>
          <w:sz w:val="22"/>
          <w:szCs w:val="22"/>
        </w:rPr>
        <w:t>tartama 2–3</w:t>
      </w:r>
      <w:r w:rsidR="007F580E">
        <w:rPr>
          <w:rFonts w:ascii="Times New Roman" w:eastAsia="Times New Roman" w:hAnsi="Times New Roman"/>
          <w:sz w:val="22"/>
          <w:szCs w:val="22"/>
        </w:rPr>
        <w:t> hét</w:t>
      </w:r>
      <w:r w:rsidRPr="00F567BF">
        <w:rPr>
          <w:rFonts w:ascii="Times New Roman" w:eastAsia="Times New Roman" w:hAnsi="Times New Roman"/>
          <w:sz w:val="22"/>
          <w:szCs w:val="22"/>
        </w:rPr>
        <w:t>, ill</w:t>
      </w:r>
      <w:r w:rsidR="00F9751E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3–4</w:t>
      </w:r>
      <w:r w:rsidR="00F9751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hét között mozgott. Ezek a</w:t>
      </w:r>
      <w:r w:rsidR="00655AB0">
        <w:rPr>
          <w:rFonts w:ascii="Times New Roman" w:eastAsia="Times New Roman" w:hAnsi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655AB0">
        <w:rPr>
          <w:rFonts w:ascii="Times New Roman" w:eastAsia="Times New Roman" w:hAnsi="Times New Roman"/>
          <w:sz w:val="22"/>
          <w:szCs w:val="22"/>
        </w:rPr>
        <w:t xml:space="preserve">események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általában a dózis csökkentésével, vagy </w:t>
      </w:r>
      <w:r w:rsidR="00476100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>-kezelés megszakításával rendezhetők, de néhány esetben a kezelés végleges elhagyását teszik szükségessé. CML</w:t>
      </w:r>
      <w:r w:rsidR="00D27544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es gyermekek</w:t>
      </w:r>
      <w:r w:rsidR="00814C84">
        <w:rPr>
          <w:rFonts w:ascii="Times New Roman" w:eastAsia="Times New Roman" w:hAnsi="Times New Roman"/>
          <w:sz w:val="22"/>
          <w:szCs w:val="22"/>
        </w:rPr>
        <w:t xml:space="preserve">nél és serdülőknél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 leggyakrabban észlelt toxicitás </w:t>
      </w:r>
      <w:r w:rsidR="00B22D0E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>3. és 4.</w:t>
      </w:r>
      <w:r w:rsidR="00475B5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fok</w:t>
      </w:r>
      <w:r w:rsidR="00780AFB">
        <w:rPr>
          <w:rFonts w:ascii="Times New Roman" w:eastAsia="Times New Roman" w:hAnsi="Times New Roman"/>
          <w:sz w:val="22"/>
          <w:szCs w:val="22"/>
        </w:rPr>
        <w:t>ozatú</w:t>
      </w:r>
      <w:r w:rsidR="001C66CE" w:rsidRPr="00F567BF">
        <w:rPr>
          <w:rFonts w:ascii="Times New Roman" w:eastAsia="Times New Roman" w:hAnsi="Times New Roman"/>
          <w:sz w:val="22"/>
          <w:szCs w:val="22"/>
        </w:rPr>
        <w:t xml:space="preserve"> cytopeni</w:t>
      </w:r>
      <w:r w:rsidR="00D83CE4">
        <w:rPr>
          <w:rFonts w:ascii="Times New Roman" w:eastAsia="Times New Roman" w:hAnsi="Times New Roman"/>
          <w:sz w:val="22"/>
          <w:szCs w:val="22"/>
        </w:rPr>
        <w:t>a</w:t>
      </w:r>
      <w:r w:rsidR="001C66CE" w:rsidRPr="00F567BF">
        <w:rPr>
          <w:rFonts w:ascii="Times New Roman" w:eastAsia="Times New Roman" w:hAnsi="Times New Roman"/>
          <w:sz w:val="22"/>
          <w:szCs w:val="22"/>
        </w:rPr>
        <w:t xml:space="preserve"> volt, beleértve a </w:t>
      </w:r>
      <w:r w:rsidRPr="00F567BF">
        <w:rPr>
          <w:rFonts w:ascii="Times New Roman" w:eastAsia="Times New Roman" w:hAnsi="Times New Roman"/>
          <w:sz w:val="22"/>
          <w:szCs w:val="22"/>
        </w:rPr>
        <w:t>neutropeniát, thrombocytopeniát és anaemiát, melyek általában a kezelés első néhány hónapjában alakultak ki.</w:t>
      </w:r>
    </w:p>
    <w:p w14:paraId="5BDCDC23" w14:textId="77777777" w:rsidR="00814C84" w:rsidRPr="00814C84" w:rsidRDefault="00814C84" w:rsidP="00814C84">
      <w:pPr>
        <w:rPr>
          <w:rFonts w:ascii="Times New Roman" w:eastAsia="Times New Roman" w:hAnsi="Times New Roman" w:cs="Times New Roman"/>
          <w:iCs/>
          <w:color w:val="000000"/>
          <w:sz w:val="22"/>
          <w:szCs w:val="22"/>
          <w:lang w:bidi="hu-HU"/>
        </w:rPr>
      </w:pPr>
    </w:p>
    <w:p w14:paraId="42F60D78" w14:textId="6BDFCBA6" w:rsidR="00F9751E" w:rsidRPr="00814C84" w:rsidRDefault="00814C84" w:rsidP="00814C84">
      <w:pPr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</w:pPr>
      <w:r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A nem reszekábilis és/vagy 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metasztatikus GIST-ben szenvedő betegekkel végzett vizsgálatban 3., illetve 4. fok</w:t>
      </w:r>
      <w:r w:rsidR="008D3348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anaemiát a betegek 5,4%</w:t>
      </w:r>
      <w:r w:rsidR="00C02C06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-ánál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, illetve 0,7%-</w:t>
      </w:r>
      <w:r w:rsidR="007E5721"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ánál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jelentettek, ami – legalábbis esetenként – a gastrointestinalis vagy intratumoralis vérzésnek lehetett a következménye. </w:t>
      </w:r>
      <w:r w:rsidR="004A4039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Harmadik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, illetve 4.</w:t>
      </w:r>
      <w:r w:rsidR="004A4039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 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fok</w:t>
      </w:r>
      <w:r w:rsidR="007800E6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neutropeniát a betegek 7,5%</w:t>
      </w:r>
      <w:r w:rsidR="00C02C06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-ánál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, illetve 2,7%-ánál, 3.</w:t>
      </w:r>
      <w:r w:rsidR="004A4039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 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fok</w:t>
      </w:r>
      <w:r w:rsidR="007800E6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thrombocytopeniát pedig a betegek 0,7%-</w:t>
      </w:r>
      <w:r w:rsidR="007E5721"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á</w:t>
      </w:r>
      <w:r w:rsidRPr="009501A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nál figyeltek meg. Nem volt</w:t>
      </w:r>
      <w:r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olyan beteg, akinél 4. fok</w:t>
      </w:r>
      <w:r w:rsidR="007800E6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thrombocytopenia alakult volna ki. A fehérvérsejt</w:t>
      </w:r>
      <w:r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noBreakHyphen/>
        <w:t>, illetve neutrophil</w:t>
      </w:r>
      <w:r w:rsidR="005A79DB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sejt</w:t>
      </w:r>
      <w:r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szám csökkenése elsősorban a kezelés első 6 hetében fordult elő, később az értékek viszonylag stabilak maradtak.</w:t>
      </w:r>
    </w:p>
    <w:p w14:paraId="746F9DDD" w14:textId="77777777" w:rsidR="00814C84" w:rsidRPr="00814C84" w:rsidRDefault="00814C84" w:rsidP="00814C84">
      <w:pPr>
        <w:rPr>
          <w:rFonts w:ascii="Times New Roman" w:eastAsia="Times New Roman" w:hAnsi="Times New Roman"/>
          <w:sz w:val="22"/>
          <w:szCs w:val="22"/>
        </w:rPr>
      </w:pPr>
    </w:p>
    <w:p w14:paraId="79082F5A" w14:textId="77777777" w:rsidR="004F2564" w:rsidRPr="00F567BF" w:rsidRDefault="004F2564" w:rsidP="00800EB7">
      <w:pPr>
        <w:keepNext/>
        <w:spacing w:line="239" w:lineRule="auto"/>
        <w:ind w:left="1"/>
        <w:rPr>
          <w:rFonts w:ascii="Times New Roman" w:eastAsia="Times New Roman" w:hAnsi="Times New Roman"/>
          <w:i/>
          <w:sz w:val="22"/>
          <w:szCs w:val="22"/>
        </w:rPr>
      </w:pPr>
      <w:r w:rsidRPr="00F567BF">
        <w:rPr>
          <w:rFonts w:ascii="Times New Roman" w:eastAsia="Times New Roman" w:hAnsi="Times New Roman"/>
          <w:i/>
          <w:sz w:val="22"/>
          <w:szCs w:val="22"/>
        </w:rPr>
        <w:t>Biokémia</w:t>
      </w:r>
    </w:p>
    <w:p w14:paraId="4A0D8A81" w14:textId="39441E0E" w:rsidR="002A793D" w:rsidRPr="00814C84" w:rsidRDefault="002A793D" w:rsidP="00800EB7">
      <w:pPr>
        <w:keepNext/>
        <w:rPr>
          <w:rFonts w:ascii="Times New Roman" w:eastAsia="Times New Roman" w:hAnsi="Times New Roman"/>
          <w:i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 transzamináz</w:t>
      </w:r>
      <w:r w:rsidR="006708DD">
        <w:rPr>
          <w:rFonts w:ascii="Times New Roman" w:eastAsia="Times New Roman" w:hAnsi="Times New Roman"/>
          <w:sz w:val="22"/>
          <w:szCs w:val="22"/>
        </w:rPr>
        <w:t>szintek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5%) vagy a bilirubinszint (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1%) súlyos fokú emelkedését figyelték meg CML</w:t>
      </w:r>
      <w:r w:rsidR="00D27544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es betegek</w:t>
      </w:r>
      <w:r w:rsidR="00814C84">
        <w:rPr>
          <w:rFonts w:ascii="Times New Roman" w:eastAsia="Times New Roman" w:hAnsi="Times New Roman"/>
          <w:sz w:val="22"/>
          <w:szCs w:val="22"/>
        </w:rPr>
        <w:t>nél</w:t>
      </w:r>
      <w:r w:rsidR="007C6727">
        <w:rPr>
          <w:rFonts w:ascii="Times New Roman" w:eastAsia="Times New Roman" w:hAnsi="Times New Roman"/>
          <w:sz w:val="22"/>
          <w:szCs w:val="22"/>
        </w:rPr>
        <w:t>,</w:t>
      </w:r>
      <w:r w:rsidR="00655AB0">
        <w:rPr>
          <w:rFonts w:ascii="Times New Roman" w:eastAsia="Times New Roman" w:hAnsi="Times New Roman"/>
          <w:sz w:val="22"/>
          <w:szCs w:val="22"/>
        </w:rPr>
        <w:t xml:space="preserve"> ami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dózis csökkentésével vagy a kezelés megszakításával </w:t>
      </w:r>
      <w:r w:rsidR="00BF1BF7">
        <w:rPr>
          <w:rFonts w:ascii="Times New Roman" w:eastAsia="Times New Roman" w:hAnsi="Times New Roman"/>
          <w:sz w:val="22"/>
          <w:szCs w:val="22"/>
        </w:rPr>
        <w:t xml:space="preserve">általában </w:t>
      </w:r>
      <w:r w:rsidR="00814C84" w:rsidRPr="00F567BF">
        <w:rPr>
          <w:rFonts w:ascii="Times New Roman" w:eastAsia="Times New Roman" w:hAnsi="Times New Roman"/>
          <w:sz w:val="22"/>
          <w:szCs w:val="22"/>
        </w:rPr>
        <w:t xml:space="preserve">kezelhető volt </w:t>
      </w:r>
      <w:r w:rsidRPr="00F567BF">
        <w:rPr>
          <w:rFonts w:ascii="Times New Roman" w:eastAsia="Times New Roman" w:hAnsi="Times New Roman"/>
          <w:sz w:val="22"/>
          <w:szCs w:val="22"/>
        </w:rPr>
        <w:t>(ezen epizódok medián időtartama</w:t>
      </w:r>
      <w:r w:rsidR="00814C84">
        <w:rPr>
          <w:rFonts w:ascii="Times New Roman" w:eastAsia="Times New Roman" w:hAnsi="Times New Roman"/>
          <w:sz w:val="22"/>
          <w:szCs w:val="22"/>
        </w:rPr>
        <w:t xml:space="preserve"> körülbelül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egy hét volt). A terápia végleges felfüggesztése a májfunkciós laboratóriumi eltérések miatt a CML-es betegek kevesebb mint 1%-</w:t>
      </w:r>
      <w:r w:rsidR="001D4CE3" w:rsidRPr="00F567BF">
        <w:rPr>
          <w:rFonts w:ascii="Times New Roman" w:eastAsia="Times New Roman" w:hAnsi="Times New Roman"/>
          <w:sz w:val="22"/>
          <w:szCs w:val="22"/>
        </w:rPr>
        <w:t>á</w:t>
      </w:r>
      <w:r w:rsidR="00814C84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655AB0">
        <w:rPr>
          <w:rFonts w:ascii="Times New Roman" w:eastAsia="Times New Roman" w:hAnsi="Times New Roman"/>
          <w:sz w:val="22"/>
          <w:szCs w:val="22"/>
        </w:rPr>
        <w:t>következett be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GIST-ben szenvedő betegek (B2222</w:t>
      </w:r>
      <w:r w:rsidR="00701137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vizsgálat) 6,8%-ánál figyelték meg a GPT (glutamát-piruvát-transzamináz</w:t>
      </w:r>
      <w:r w:rsidR="00C828F2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-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) szint 3. vagy 4. fok</w:t>
      </w:r>
      <w:r w:rsidR="00D52B7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emelkedését, és 4,8%-ánál a GOT (glutamát-oxálacetát-transzamináz</w:t>
      </w:r>
      <w:r w:rsidR="00C828F2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-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) szint 3. vagy 4. fok</w:t>
      </w:r>
      <w:r w:rsidR="00D52B7C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>ozatú</w:t>
      </w:r>
      <w:r w:rsidR="00814C84" w:rsidRPr="00814C84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emelkedését.</w:t>
      </w:r>
      <w:r w:rsidR="004A4039">
        <w:rPr>
          <w:rFonts w:ascii="Times New Roman" w:eastAsia="Times New Roman" w:hAnsi="Times New Roman" w:cs="Times New Roman"/>
          <w:color w:val="000000"/>
          <w:sz w:val="22"/>
          <w:szCs w:val="22"/>
          <w:lang w:bidi="hu-HU"/>
        </w:rPr>
        <w:t xml:space="preserve"> </w:t>
      </w:r>
      <w:r w:rsidR="004A4039" w:rsidRPr="00307DBB">
        <w:rPr>
          <w:rFonts w:ascii="Times New Roman" w:eastAsia="Times New Roman" w:hAnsi="Times New Roman"/>
          <w:sz w:val="22"/>
        </w:rPr>
        <w:t>A bilirubinszint emelkedése 3% alatt volt.</w:t>
      </w:r>
    </w:p>
    <w:p w14:paraId="0487459E" w14:textId="77777777" w:rsidR="002A793D" w:rsidRPr="00F567BF" w:rsidRDefault="002A793D">
      <w:pPr>
        <w:spacing w:line="252" w:lineRule="exact"/>
        <w:rPr>
          <w:rFonts w:ascii="Times New Roman" w:eastAsia="Times New Roman" w:hAnsi="Times New Roman"/>
          <w:sz w:val="22"/>
          <w:szCs w:val="22"/>
        </w:rPr>
      </w:pPr>
    </w:p>
    <w:p w14:paraId="54866E34" w14:textId="4F968D7B" w:rsidR="002A793D" w:rsidRPr="00F567BF" w:rsidRDefault="002A793D">
      <w:pPr>
        <w:spacing w:line="229" w:lineRule="auto"/>
        <w:ind w:left="1" w:right="4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Előfordult cytolyti</w:t>
      </w:r>
      <w:r w:rsidR="001147F9">
        <w:rPr>
          <w:rFonts w:ascii="Times New Roman" w:eastAsia="Times New Roman" w:hAnsi="Times New Roman"/>
          <w:sz w:val="22"/>
          <w:szCs w:val="22"/>
        </w:rPr>
        <w:t>c</w:t>
      </w:r>
      <w:r w:rsidRPr="00F567BF">
        <w:rPr>
          <w:rFonts w:ascii="Times New Roman" w:eastAsia="Times New Roman" w:hAnsi="Times New Roman"/>
          <w:sz w:val="22"/>
          <w:szCs w:val="22"/>
        </w:rPr>
        <w:t>us és cholestati</w:t>
      </w:r>
      <w:r w:rsidR="001147F9">
        <w:rPr>
          <w:rFonts w:ascii="Times New Roman" w:eastAsia="Times New Roman" w:hAnsi="Times New Roman"/>
          <w:sz w:val="22"/>
          <w:szCs w:val="22"/>
        </w:rPr>
        <w:t>c</w:t>
      </w:r>
      <w:r w:rsidRPr="00F567BF">
        <w:rPr>
          <w:rFonts w:ascii="Times New Roman" w:eastAsia="Times New Roman" w:hAnsi="Times New Roman"/>
          <w:sz w:val="22"/>
          <w:szCs w:val="22"/>
        </w:rPr>
        <w:t>us hepatitis</w:t>
      </w:r>
      <w:r w:rsidR="00DD370D">
        <w:rPr>
          <w:rFonts w:ascii="Times New Roman" w:eastAsia="Times New Roman" w:hAnsi="Times New Roman"/>
          <w:sz w:val="22"/>
          <w:szCs w:val="22"/>
        </w:rPr>
        <w:t>, illetve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májelégtelenség, némelyik </w:t>
      </w:r>
      <w:r w:rsidR="007C6727" w:rsidRPr="007C6727">
        <w:rPr>
          <w:rFonts w:ascii="Times New Roman" w:hAnsi="Times New Roman" w:cs="Times New Roman"/>
          <w:color w:val="000000"/>
          <w:sz w:val="22"/>
          <w:szCs w:val="22"/>
        </w:rPr>
        <w:t>halálos kimenetelű volt, közöttük egy olyan eset, ahol a beteg nagy dózisban szedett paracetamolt</w:t>
      </w:r>
      <w:r w:rsidR="007C6727">
        <w:rPr>
          <w:rFonts w:ascii="Times New Roman" w:eastAsia="Times New Roman" w:hAnsi="Times New Roman"/>
          <w:sz w:val="22"/>
          <w:szCs w:val="22"/>
        </w:rPr>
        <w:t xml:space="preserve"> is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443E9662" w14:textId="77777777" w:rsidR="00080D26" w:rsidRPr="00F567BF" w:rsidRDefault="00080D26" w:rsidP="00080D26">
      <w:pPr>
        <w:spacing w:line="0" w:lineRule="atLeast"/>
        <w:rPr>
          <w:rFonts w:ascii="Times New Roman" w:eastAsia="Times New Roman" w:hAnsi="Times New Roman"/>
          <w:sz w:val="22"/>
          <w:u w:val="single"/>
        </w:rPr>
      </w:pPr>
    </w:p>
    <w:p w14:paraId="301C111C" w14:textId="77777777" w:rsidR="00080D26" w:rsidRDefault="00080D26" w:rsidP="00080D26">
      <w:pPr>
        <w:spacing w:line="0" w:lineRule="atLeast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Néhány k</w:t>
      </w:r>
      <w:r>
        <w:rPr>
          <w:rFonts w:ascii="Times New Roman" w:eastAsia="Times New Roman" w:hAnsi="Times New Roman"/>
          <w:sz w:val="22"/>
          <w:u w:val="single"/>
        </w:rPr>
        <w:t>iválasztott mellékhatás leírása</w:t>
      </w:r>
    </w:p>
    <w:p w14:paraId="3FC91B0A" w14:textId="77777777" w:rsidR="00080D26" w:rsidRPr="00080D26" w:rsidRDefault="00080D26" w:rsidP="00080D26">
      <w:pPr>
        <w:spacing w:line="0" w:lineRule="atLeast"/>
        <w:rPr>
          <w:rFonts w:ascii="Times New Roman" w:eastAsia="Times New Roman" w:hAnsi="Times New Roman"/>
          <w:i/>
          <w:sz w:val="22"/>
          <w:u w:val="single"/>
        </w:rPr>
      </w:pPr>
      <w:r w:rsidRPr="00080D26">
        <w:rPr>
          <w:rFonts w:ascii="Times New Roman" w:eastAsia="Times New Roman" w:hAnsi="Times New Roman"/>
          <w:i/>
          <w:sz w:val="22"/>
          <w:u w:val="single"/>
        </w:rPr>
        <w:t>Hepatitis</w:t>
      </w:r>
      <w:r w:rsidR="004A4039">
        <w:rPr>
          <w:rFonts w:ascii="Times New Roman" w:eastAsia="Times New Roman" w:hAnsi="Times New Roman"/>
          <w:i/>
          <w:sz w:val="22"/>
          <w:u w:val="single"/>
        </w:rPr>
        <w:t> </w:t>
      </w:r>
      <w:r w:rsidRPr="00080D26">
        <w:rPr>
          <w:rFonts w:ascii="Times New Roman" w:eastAsia="Times New Roman" w:hAnsi="Times New Roman"/>
          <w:i/>
          <w:sz w:val="22"/>
          <w:u w:val="single"/>
        </w:rPr>
        <w:t>B</w:t>
      </w:r>
      <w:r w:rsidR="001147F9">
        <w:rPr>
          <w:rFonts w:ascii="Times New Roman" w:eastAsia="Times New Roman" w:hAnsi="Times New Roman"/>
          <w:i/>
          <w:sz w:val="22"/>
          <w:u w:val="single"/>
        </w:rPr>
        <w:t>-</w:t>
      </w:r>
      <w:r w:rsidRPr="00080D26">
        <w:rPr>
          <w:rFonts w:ascii="Times New Roman" w:eastAsia="Times New Roman" w:hAnsi="Times New Roman"/>
          <w:i/>
          <w:sz w:val="22"/>
          <w:u w:val="single"/>
        </w:rPr>
        <w:t>reaktiváció</w:t>
      </w:r>
    </w:p>
    <w:p w14:paraId="211F2D7F" w14:textId="6B831988" w:rsidR="00080D26" w:rsidRPr="00F567BF" w:rsidRDefault="00080D26" w:rsidP="00080D26">
      <w:pPr>
        <w:spacing w:line="0" w:lineRule="atLeast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BCR-ABL tirozin</w:t>
      </w:r>
      <w:r w:rsidR="00D52B7C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kináz</w:t>
      </w:r>
      <w:r w:rsidR="001147F9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inhibitorok alkalmazásával kapcsolatban a hepatitis</w:t>
      </w:r>
      <w:r w:rsidR="004A4039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B reaktivációjáról számoltak be. Egyes esetekben akut májelégtelenség vagy fulmináns hepatitis alakult ki, amely májtranszplantáció</w:t>
      </w:r>
      <w:r w:rsidR="009D0E36">
        <w:rPr>
          <w:rFonts w:ascii="Times New Roman" w:eastAsia="Times New Roman" w:hAnsi="Times New Roman"/>
          <w:sz w:val="22"/>
        </w:rPr>
        <w:t>t tett szükségessé</w:t>
      </w:r>
      <w:r w:rsidRPr="00F567BF">
        <w:rPr>
          <w:rFonts w:ascii="Times New Roman" w:eastAsia="Times New Roman" w:hAnsi="Times New Roman"/>
          <w:sz w:val="22"/>
        </w:rPr>
        <w:t xml:space="preserve"> vagy halálos kimenetelhez vezetett (lásd 4.4</w:t>
      </w:r>
      <w:r w:rsidR="00F9751E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pont).</w:t>
      </w:r>
    </w:p>
    <w:p w14:paraId="442112F7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p w14:paraId="43E15F8D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Feltételezett mellékhatások bejelentése</w:t>
      </w:r>
    </w:p>
    <w:p w14:paraId="381B8B8D" w14:textId="0541DE2D" w:rsidR="002A793D" w:rsidRPr="00E17B94" w:rsidRDefault="002A793D" w:rsidP="008B630E">
      <w:pPr>
        <w:spacing w:line="230" w:lineRule="auto"/>
        <w:ind w:right="160"/>
        <w:rPr>
          <w:rFonts w:ascii="Times New Roman" w:eastAsia="Times New Roman" w:hAnsi="Times New Roman"/>
          <w:sz w:val="22"/>
          <w:szCs w:val="22"/>
          <w:highlight w:val="lightGray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E17B94">
          <w:rPr>
            <w:rFonts w:ascii="Times New Roman" w:eastAsia="Times New Roman" w:hAnsi="Times New Roman"/>
            <w:color w:val="0000FF"/>
            <w:sz w:val="22"/>
            <w:szCs w:val="22"/>
            <w:highlight w:val="lightGray"/>
            <w:u w:val="single"/>
          </w:rPr>
          <w:t>V. függelékben</w:t>
        </w:r>
        <w:r w:rsidRPr="00F567BF">
          <w:rPr>
            <w:rFonts w:ascii="Times New Roman" w:eastAsia="Times New Roman" w:hAnsi="Times New Roman"/>
            <w:sz w:val="22"/>
            <w:szCs w:val="22"/>
            <w:u w:val="single"/>
          </w:rPr>
          <w:t xml:space="preserve"> </w:t>
        </w:r>
      </w:hyperlink>
      <w:r w:rsidRPr="00E17B94">
        <w:rPr>
          <w:rFonts w:ascii="Times New Roman" w:eastAsia="Times New Roman" w:hAnsi="Times New Roman"/>
          <w:sz w:val="22"/>
          <w:szCs w:val="22"/>
          <w:highlight w:val="lightGray"/>
        </w:rPr>
        <w:t>található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E17B94">
        <w:rPr>
          <w:rFonts w:ascii="Times New Roman" w:eastAsia="Times New Roman" w:hAnsi="Times New Roman"/>
          <w:sz w:val="22"/>
          <w:szCs w:val="22"/>
          <w:highlight w:val="lightGray"/>
        </w:rPr>
        <w:t>elérhetőségek valamelyikén keresztül.</w:t>
      </w:r>
    </w:p>
    <w:p w14:paraId="13C56635" w14:textId="77777777" w:rsidR="002A793D" w:rsidRPr="00F567BF" w:rsidRDefault="002A793D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16EECBC2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4.9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Túladagolás</w:t>
      </w:r>
    </w:p>
    <w:p w14:paraId="620B9669" w14:textId="77777777" w:rsidR="002A793D" w:rsidRPr="00F567BF" w:rsidRDefault="002A793D" w:rsidP="0060488A">
      <w:pPr>
        <w:spacing w:line="242" w:lineRule="exact"/>
        <w:rPr>
          <w:rFonts w:ascii="Times New Roman" w:eastAsia="Times New Roman" w:hAnsi="Times New Roman"/>
        </w:rPr>
      </w:pPr>
    </w:p>
    <w:p w14:paraId="7196182D" w14:textId="1B7B1C0B" w:rsidR="002A793D" w:rsidRPr="00F567BF" w:rsidRDefault="002A793D" w:rsidP="0060488A">
      <w:pPr>
        <w:spacing w:line="230" w:lineRule="auto"/>
        <w:ind w:left="1" w:right="4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 xml:space="preserve">A javasolt terápiás dózisnál nagyobb adagokkal szerzett tapasztalat korlátozott. </w:t>
      </w:r>
      <w:r w:rsidR="009D0E36">
        <w:rPr>
          <w:rFonts w:ascii="Times New Roman" w:eastAsia="Times New Roman" w:hAnsi="Times New Roman"/>
          <w:sz w:val="22"/>
        </w:rPr>
        <w:t>Az i</w:t>
      </w:r>
      <w:r w:rsidR="0060488A" w:rsidRPr="00F567BF">
        <w:rPr>
          <w:rFonts w:ascii="Times New Roman" w:eastAsia="Times New Roman" w:hAnsi="Times New Roman"/>
          <w:sz w:val="22"/>
        </w:rPr>
        <w:t>matinib</w:t>
      </w:r>
      <w:r w:rsidR="00943436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túladagolás</w:t>
      </w:r>
      <w:r w:rsidR="009D0E36">
        <w:rPr>
          <w:rFonts w:ascii="Times New Roman" w:eastAsia="Times New Roman" w:hAnsi="Times New Roman"/>
          <w:sz w:val="22"/>
        </w:rPr>
        <w:t xml:space="preserve"> </w:t>
      </w:r>
      <w:r w:rsidR="00943436">
        <w:rPr>
          <w:rFonts w:ascii="Times New Roman" w:eastAsia="Times New Roman" w:hAnsi="Times New Roman"/>
          <w:sz w:val="22"/>
        </w:rPr>
        <w:t>izolált</w:t>
      </w:r>
      <w:r w:rsidRPr="00F567BF">
        <w:rPr>
          <w:rFonts w:ascii="Times New Roman" w:eastAsia="Times New Roman" w:hAnsi="Times New Roman"/>
          <w:sz w:val="22"/>
        </w:rPr>
        <w:t xml:space="preserve"> eseteiről </w:t>
      </w:r>
      <w:r w:rsidR="00943436">
        <w:rPr>
          <w:rFonts w:ascii="Times New Roman" w:eastAsia="Times New Roman" w:hAnsi="Times New Roman"/>
          <w:sz w:val="22"/>
        </w:rPr>
        <w:t xml:space="preserve">számoltak be </w:t>
      </w:r>
      <w:r w:rsidRPr="00F567BF">
        <w:rPr>
          <w:rFonts w:ascii="Times New Roman" w:eastAsia="Times New Roman" w:hAnsi="Times New Roman"/>
          <w:sz w:val="22"/>
        </w:rPr>
        <w:t xml:space="preserve">spontán </w:t>
      </w:r>
      <w:r w:rsidR="00943436">
        <w:rPr>
          <w:rFonts w:ascii="Times New Roman" w:eastAsia="Times New Roman" w:hAnsi="Times New Roman"/>
          <w:sz w:val="22"/>
        </w:rPr>
        <w:t>be</w:t>
      </w:r>
      <w:r w:rsidRPr="00F567BF">
        <w:rPr>
          <w:rFonts w:ascii="Times New Roman" w:eastAsia="Times New Roman" w:hAnsi="Times New Roman"/>
          <w:sz w:val="22"/>
        </w:rPr>
        <w:t>jelentések</w:t>
      </w:r>
      <w:r w:rsidR="00943436">
        <w:rPr>
          <w:rFonts w:ascii="Times New Roman" w:eastAsia="Times New Roman" w:hAnsi="Times New Roman"/>
          <w:sz w:val="22"/>
        </w:rPr>
        <w:t>ben</w:t>
      </w:r>
      <w:r w:rsidR="00597FD7">
        <w:rPr>
          <w:rFonts w:ascii="Times New Roman" w:eastAsia="Times New Roman" w:hAnsi="Times New Roman"/>
          <w:sz w:val="22"/>
        </w:rPr>
        <w:t>,</w:t>
      </w:r>
      <w:r w:rsidRPr="00F567BF">
        <w:rPr>
          <w:rFonts w:ascii="Times New Roman" w:eastAsia="Times New Roman" w:hAnsi="Times New Roman"/>
          <w:sz w:val="22"/>
        </w:rPr>
        <w:t xml:space="preserve"> </w:t>
      </w:r>
      <w:r w:rsidR="00597FD7">
        <w:rPr>
          <w:rFonts w:ascii="Times New Roman" w:eastAsia="Times New Roman" w:hAnsi="Times New Roman"/>
          <w:sz w:val="22"/>
        </w:rPr>
        <w:t>illetve</w:t>
      </w:r>
      <w:r w:rsidRPr="00F567BF">
        <w:rPr>
          <w:rFonts w:ascii="Times New Roman" w:eastAsia="Times New Roman" w:hAnsi="Times New Roman"/>
          <w:sz w:val="22"/>
        </w:rPr>
        <w:t xml:space="preserve"> a szakirodalomban. Túladagolás esetén a beteget obszerválni kell, és megfelelő tüneti kezelésben kell részesíteni. Ezekben az esetekben a beszámolók szerint a kimenetel általában „javult” vagy „</w:t>
      </w:r>
      <w:r w:rsidR="00597FD7">
        <w:rPr>
          <w:rFonts w:ascii="Times New Roman" w:eastAsia="Times New Roman" w:hAnsi="Times New Roman"/>
          <w:sz w:val="22"/>
        </w:rPr>
        <w:t>rendeződött</w:t>
      </w:r>
      <w:r w:rsidRPr="00F567BF">
        <w:rPr>
          <w:rFonts w:ascii="Times New Roman" w:eastAsia="Times New Roman" w:hAnsi="Times New Roman"/>
          <w:sz w:val="22"/>
        </w:rPr>
        <w:t>” volt. A különböző dózistartományokban jelentett események a következők</w:t>
      </w:r>
      <w:r w:rsidR="00701137">
        <w:rPr>
          <w:rFonts w:ascii="Times New Roman" w:eastAsia="Times New Roman" w:hAnsi="Times New Roman"/>
          <w:sz w:val="22"/>
        </w:rPr>
        <w:t xml:space="preserve"> voltak</w:t>
      </w:r>
      <w:r w:rsidRPr="00F567BF">
        <w:rPr>
          <w:rFonts w:ascii="Times New Roman" w:eastAsia="Times New Roman" w:hAnsi="Times New Roman"/>
          <w:sz w:val="22"/>
        </w:rPr>
        <w:t>:</w:t>
      </w:r>
    </w:p>
    <w:p w14:paraId="262A74FA" w14:textId="77777777" w:rsidR="002A793D" w:rsidRPr="00F567BF" w:rsidRDefault="002A793D" w:rsidP="0060488A">
      <w:pPr>
        <w:spacing w:line="240" w:lineRule="exact"/>
        <w:rPr>
          <w:rFonts w:ascii="Times New Roman" w:eastAsia="Times New Roman" w:hAnsi="Times New Roman"/>
        </w:rPr>
      </w:pPr>
    </w:p>
    <w:p w14:paraId="45D673C3" w14:textId="77777777" w:rsidR="002A793D" w:rsidRPr="00F567BF" w:rsidRDefault="002A793D" w:rsidP="00A559D7">
      <w:pPr>
        <w:ind w:left="1"/>
        <w:rPr>
          <w:rFonts w:ascii="Times New Roman" w:eastAsia="Times New Roman" w:hAnsi="Times New Roman"/>
          <w:i/>
          <w:sz w:val="22"/>
        </w:rPr>
      </w:pPr>
      <w:r w:rsidRPr="00F567BF">
        <w:rPr>
          <w:rFonts w:ascii="Times New Roman" w:eastAsia="Times New Roman" w:hAnsi="Times New Roman"/>
          <w:i/>
          <w:sz w:val="22"/>
        </w:rPr>
        <w:lastRenderedPageBreak/>
        <w:t>Felnőtt</w:t>
      </w:r>
      <w:r w:rsidR="001147F9">
        <w:rPr>
          <w:rFonts w:ascii="Times New Roman" w:eastAsia="Times New Roman" w:hAnsi="Times New Roman"/>
          <w:i/>
          <w:sz w:val="22"/>
        </w:rPr>
        <w:t>ek</w:t>
      </w:r>
    </w:p>
    <w:p w14:paraId="4F23CA9E" w14:textId="7032F2D6" w:rsidR="002A793D" w:rsidRPr="00F567BF" w:rsidRDefault="002A793D" w:rsidP="00A559D7">
      <w:pPr>
        <w:ind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1200</w:t>
      </w:r>
      <w:r w:rsidR="001147F9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1600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(az időtartam 1</w:t>
      </w:r>
      <w:r w:rsidR="006F527E">
        <w:rPr>
          <w:rFonts w:ascii="Times New Roman" w:eastAsia="Times New Roman" w:hAnsi="Times New Roman"/>
          <w:sz w:val="22"/>
        </w:rPr>
        <w:t xml:space="preserve"> és </w:t>
      </w:r>
      <w:r w:rsidRPr="00F567BF">
        <w:rPr>
          <w:rFonts w:ascii="Times New Roman" w:eastAsia="Times New Roman" w:hAnsi="Times New Roman"/>
          <w:sz w:val="22"/>
        </w:rPr>
        <w:t>10</w:t>
      </w:r>
      <w:r w:rsidR="001147F9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nap között változik): hányinger, hányás, hasmenés, bőrkiütés, erythema, ödéma, duzzanat, fáradtság, izomspasmus, thrombocytopenia, pancytopenia, hasi fájdalom, fejfájás, étvágycsökkenés.</w:t>
      </w:r>
    </w:p>
    <w:p w14:paraId="2B20F3E1" w14:textId="72D84482" w:rsidR="002A793D" w:rsidRPr="00F567BF" w:rsidRDefault="002A793D" w:rsidP="00A559D7">
      <w:pPr>
        <w:ind w:right="54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1800</w:t>
      </w:r>
      <w:r w:rsidR="001147F9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3200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(akár napi 3200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6</w:t>
      </w:r>
      <w:r w:rsidR="00F9751E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napon keresztül): gyengeség, myalgia, emelkedett kreatinin</w:t>
      </w:r>
      <w:r w:rsidR="001147F9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foszfokináz</w:t>
      </w:r>
      <w:r w:rsidR="00B6506C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szint, emelkedett bilirubinszint, gastrointestinalis fájdalom.</w:t>
      </w:r>
    </w:p>
    <w:p w14:paraId="2A38C878" w14:textId="77777777" w:rsidR="004F2564" w:rsidRPr="00F567BF" w:rsidRDefault="002A793D" w:rsidP="00A559D7">
      <w:pPr>
        <w:ind w:right="48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6400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(</w:t>
      </w:r>
      <w:r w:rsidR="00A559D7">
        <w:rPr>
          <w:rFonts w:ascii="Times New Roman" w:eastAsia="Times New Roman" w:hAnsi="Times New Roman"/>
          <w:sz w:val="22"/>
        </w:rPr>
        <w:t>egyszeri</w:t>
      </w:r>
      <w:r w:rsidR="00A559D7" w:rsidRPr="00F567BF">
        <w:rPr>
          <w:rFonts w:ascii="Times New Roman" w:eastAsia="Times New Roman" w:hAnsi="Times New Roman"/>
          <w:sz w:val="22"/>
        </w:rPr>
        <w:t xml:space="preserve"> </w:t>
      </w:r>
      <w:r w:rsidR="00475B5E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 xml:space="preserve">): </w:t>
      </w:r>
      <w:r w:rsidR="00A559D7">
        <w:rPr>
          <w:rFonts w:ascii="Times New Roman" w:eastAsia="Times New Roman" w:hAnsi="Times New Roman"/>
          <w:sz w:val="22"/>
        </w:rPr>
        <w:t>a</w:t>
      </w:r>
      <w:r w:rsidRPr="00F567BF">
        <w:rPr>
          <w:rFonts w:ascii="Times New Roman" w:eastAsia="Times New Roman" w:hAnsi="Times New Roman"/>
          <w:sz w:val="22"/>
        </w:rPr>
        <w:t xml:space="preserve"> szakirodalomban egy beteg esetéről számoltak be, akinél hányingert, hányást, hasi fájdalmat, lázat, arc</w:t>
      </w:r>
      <w:r w:rsidR="00A559D7">
        <w:rPr>
          <w:rFonts w:ascii="Times New Roman" w:eastAsia="Times New Roman" w:hAnsi="Times New Roman"/>
          <w:sz w:val="22"/>
        </w:rPr>
        <w:t>duzzanatot</w:t>
      </w:r>
      <w:r w:rsidRPr="00F567BF">
        <w:rPr>
          <w:rFonts w:ascii="Times New Roman" w:eastAsia="Times New Roman" w:hAnsi="Times New Roman"/>
          <w:sz w:val="22"/>
        </w:rPr>
        <w:t>, csökkent neutro</w:t>
      </w:r>
      <w:r w:rsidR="001147F9">
        <w:rPr>
          <w:rFonts w:ascii="Times New Roman" w:eastAsia="Times New Roman" w:hAnsi="Times New Roman"/>
          <w:sz w:val="22"/>
        </w:rPr>
        <w:t>ph</w:t>
      </w:r>
      <w:r w:rsidRPr="00F567BF">
        <w:rPr>
          <w:rFonts w:ascii="Times New Roman" w:eastAsia="Times New Roman" w:hAnsi="Times New Roman"/>
          <w:sz w:val="22"/>
        </w:rPr>
        <w:t>ilszámot, emelkedett transzaminázszinteket észleltek.</w:t>
      </w:r>
    </w:p>
    <w:p w14:paraId="5F6F733E" w14:textId="77777777" w:rsidR="002A793D" w:rsidRPr="00F567BF" w:rsidRDefault="002A793D" w:rsidP="00A559D7">
      <w:pPr>
        <w:rPr>
          <w:rFonts w:ascii="Times New Roman" w:eastAsia="Times New Roman" w:hAnsi="Times New Roman"/>
          <w:sz w:val="22"/>
        </w:rPr>
      </w:pPr>
      <w:bookmarkStart w:id="12" w:name="page50"/>
      <w:bookmarkEnd w:id="12"/>
      <w:r w:rsidRPr="00F567BF">
        <w:rPr>
          <w:rFonts w:ascii="Times New Roman" w:eastAsia="Times New Roman" w:hAnsi="Times New Roman"/>
          <w:sz w:val="22"/>
        </w:rPr>
        <w:t>8</w:t>
      </w:r>
      <w:r w:rsidR="001147F9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10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g (</w:t>
      </w:r>
      <w:r w:rsidR="00A559D7">
        <w:rPr>
          <w:rFonts w:ascii="Times New Roman" w:eastAsia="Times New Roman" w:hAnsi="Times New Roman"/>
          <w:sz w:val="22"/>
        </w:rPr>
        <w:t>egyszeri</w:t>
      </w:r>
      <w:r w:rsidR="00A559D7" w:rsidRPr="00F567BF">
        <w:rPr>
          <w:rFonts w:ascii="Times New Roman" w:eastAsia="Times New Roman" w:hAnsi="Times New Roman"/>
          <w:sz w:val="22"/>
        </w:rPr>
        <w:t xml:space="preserve"> </w:t>
      </w:r>
      <w:r w:rsidR="00475B5E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>): hányást és gastrointestinalis fájdalmat jelentettek.</w:t>
      </w:r>
    </w:p>
    <w:p w14:paraId="51A4EE95" w14:textId="77777777" w:rsidR="002A793D" w:rsidRPr="00F567BF" w:rsidRDefault="002A793D" w:rsidP="00A559D7">
      <w:pPr>
        <w:tabs>
          <w:tab w:val="left" w:pos="1950"/>
        </w:tabs>
        <w:rPr>
          <w:rFonts w:ascii="Times New Roman" w:eastAsia="Times New Roman" w:hAnsi="Times New Roman"/>
        </w:rPr>
      </w:pPr>
    </w:p>
    <w:p w14:paraId="3F61BAE5" w14:textId="77777777" w:rsidR="002A793D" w:rsidRPr="00F567BF" w:rsidRDefault="002A793D" w:rsidP="007C6727">
      <w:pPr>
        <w:keepNext/>
        <w:spacing w:line="0" w:lineRule="atLeast"/>
        <w:ind w:left="1"/>
        <w:rPr>
          <w:rFonts w:ascii="Times New Roman" w:eastAsia="Times New Roman" w:hAnsi="Times New Roman"/>
          <w:i/>
          <w:sz w:val="22"/>
        </w:rPr>
      </w:pPr>
      <w:r w:rsidRPr="00F567BF">
        <w:rPr>
          <w:rFonts w:ascii="Times New Roman" w:eastAsia="Times New Roman" w:hAnsi="Times New Roman"/>
          <w:i/>
          <w:sz w:val="22"/>
        </w:rPr>
        <w:t>Gyermekek</w:t>
      </w:r>
      <w:r w:rsidR="0060488A" w:rsidRPr="00F567BF">
        <w:rPr>
          <w:rFonts w:ascii="Times New Roman" w:eastAsia="Times New Roman" w:hAnsi="Times New Roman"/>
          <w:i/>
          <w:sz w:val="22"/>
        </w:rPr>
        <w:t xml:space="preserve"> és serdülők</w:t>
      </w:r>
    </w:p>
    <w:p w14:paraId="234BCB32" w14:textId="77777777" w:rsidR="002A793D" w:rsidRPr="00F567BF" w:rsidRDefault="002A793D" w:rsidP="007C6727">
      <w:pPr>
        <w:keepNext/>
        <w:spacing w:line="1" w:lineRule="exact"/>
        <w:rPr>
          <w:rFonts w:ascii="Times New Roman" w:eastAsia="Times New Roman" w:hAnsi="Times New Roman"/>
        </w:rPr>
      </w:pPr>
    </w:p>
    <w:p w14:paraId="2DBEF523" w14:textId="77777777" w:rsidR="002A793D" w:rsidRPr="00F567BF" w:rsidRDefault="002A793D" w:rsidP="007C6727">
      <w:pPr>
        <w:keepNext/>
        <w:spacing w:line="230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Egy 3</w:t>
      </w:r>
      <w:r w:rsidR="001147F9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éves fiúnál, aki </w:t>
      </w:r>
      <w:r w:rsidR="00A559D7">
        <w:rPr>
          <w:rFonts w:ascii="Times New Roman" w:eastAsia="Times New Roman" w:hAnsi="Times New Roman"/>
          <w:sz w:val="22"/>
        </w:rPr>
        <w:t>egyszeri</w:t>
      </w:r>
      <w:r w:rsidR="00A559D7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400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mg-os </w:t>
      </w:r>
      <w:r w:rsidR="00475B5E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>t kapott, hányást, hasmenést és étvágytalanságot, egy másik 3</w:t>
      </w:r>
      <w:r w:rsidR="001147F9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éves fiúnál, aki </w:t>
      </w:r>
      <w:r w:rsidR="00A559D7">
        <w:rPr>
          <w:rFonts w:ascii="Times New Roman" w:eastAsia="Times New Roman" w:hAnsi="Times New Roman"/>
          <w:sz w:val="22"/>
        </w:rPr>
        <w:t>egyszeri</w:t>
      </w:r>
      <w:r w:rsidR="00A559D7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980</w:t>
      </w:r>
      <w:r w:rsidR="0060488A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mg-os </w:t>
      </w:r>
      <w:r w:rsidR="00475B5E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>t kapott, fehérvérsejtszám-csökkenést és hasmenést észleltek.</w:t>
      </w:r>
    </w:p>
    <w:p w14:paraId="11CF0D7E" w14:textId="77777777" w:rsidR="002A793D" w:rsidRPr="00F567BF" w:rsidRDefault="002A793D" w:rsidP="0060488A">
      <w:pPr>
        <w:spacing w:line="247" w:lineRule="exact"/>
        <w:rPr>
          <w:rFonts w:ascii="Times New Roman" w:eastAsia="Times New Roman" w:hAnsi="Times New Roman"/>
        </w:rPr>
      </w:pPr>
    </w:p>
    <w:p w14:paraId="4F456314" w14:textId="77777777" w:rsidR="002A793D" w:rsidRPr="00F567BF" w:rsidRDefault="002A793D" w:rsidP="00A559D7">
      <w:pPr>
        <w:spacing w:line="230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Túladagolás esetén a beteget megfigyelés alatt kell tartani, és megfelelő szupportív kezelésben kell részesíteni.</w:t>
      </w:r>
    </w:p>
    <w:p w14:paraId="33F6DAF8" w14:textId="77777777" w:rsidR="002A793D" w:rsidRPr="00F567BF" w:rsidRDefault="002A793D" w:rsidP="001C66CE">
      <w:pPr>
        <w:rPr>
          <w:rFonts w:ascii="Times New Roman" w:eastAsia="Times New Roman" w:hAnsi="Times New Roman"/>
          <w:sz w:val="22"/>
          <w:szCs w:val="22"/>
        </w:rPr>
      </w:pPr>
    </w:p>
    <w:p w14:paraId="203B3ABB" w14:textId="77777777" w:rsidR="002A793D" w:rsidRPr="00F567BF" w:rsidRDefault="002A793D" w:rsidP="001C66CE">
      <w:pPr>
        <w:rPr>
          <w:rFonts w:ascii="Times New Roman" w:eastAsia="Times New Roman" w:hAnsi="Times New Roman"/>
          <w:sz w:val="22"/>
          <w:szCs w:val="22"/>
        </w:rPr>
      </w:pPr>
    </w:p>
    <w:p w14:paraId="1B48DB39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5.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FARMAKOLÓGIAI TULAJDONSÁGOK</w:t>
      </w:r>
    </w:p>
    <w:p w14:paraId="550ED187" w14:textId="77777777" w:rsidR="002A793D" w:rsidRPr="00F567BF" w:rsidRDefault="002A793D">
      <w:pPr>
        <w:spacing w:line="234" w:lineRule="exact"/>
        <w:rPr>
          <w:rFonts w:ascii="Times New Roman" w:eastAsia="Times New Roman" w:hAnsi="Times New Roman"/>
        </w:rPr>
      </w:pPr>
    </w:p>
    <w:p w14:paraId="34890E3F" w14:textId="77777777" w:rsidR="00FE083B" w:rsidRPr="00F567BF" w:rsidRDefault="00FE083B" w:rsidP="00FE083B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5.1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Farmakodinámiás tulajdonságok</w:t>
      </w:r>
    </w:p>
    <w:p w14:paraId="08F45770" w14:textId="77777777" w:rsidR="002A793D" w:rsidRPr="00F567BF" w:rsidRDefault="002A793D">
      <w:pPr>
        <w:spacing w:line="230" w:lineRule="exact"/>
        <w:rPr>
          <w:rFonts w:ascii="Times New Roman" w:eastAsia="Times New Roman" w:hAnsi="Times New Roman"/>
        </w:rPr>
      </w:pPr>
    </w:p>
    <w:p w14:paraId="20CB2148" w14:textId="114E3159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szCs w:val="22"/>
        </w:rPr>
      </w:pPr>
      <w:r w:rsidRPr="00C06522">
        <w:rPr>
          <w:rFonts w:ascii="Times New Roman" w:eastAsia="Times New Roman" w:hAnsi="Times New Roman"/>
          <w:sz w:val="22"/>
          <w:szCs w:val="22"/>
        </w:rPr>
        <w:t xml:space="preserve">Farmakoterápiás csoport: </w:t>
      </w:r>
      <w:r w:rsidR="004A4039" w:rsidRPr="00C06522">
        <w:rPr>
          <w:rFonts w:ascii="Times New Roman" w:eastAsia="Times New Roman" w:hAnsi="Times New Roman"/>
          <w:sz w:val="22"/>
          <w:szCs w:val="22"/>
        </w:rPr>
        <w:t>Daganatellenes szerek, BCR-ABL tirozin</w:t>
      </w:r>
      <w:r w:rsidR="00907292">
        <w:rPr>
          <w:rFonts w:ascii="Times New Roman" w:eastAsia="Times New Roman" w:hAnsi="Times New Roman"/>
          <w:sz w:val="22"/>
          <w:szCs w:val="22"/>
        </w:rPr>
        <w:t>-</w:t>
      </w:r>
      <w:r w:rsidRPr="00C06522">
        <w:rPr>
          <w:rFonts w:ascii="Times New Roman" w:eastAsia="Times New Roman" w:hAnsi="Times New Roman"/>
          <w:sz w:val="22"/>
          <w:szCs w:val="22"/>
        </w:rPr>
        <w:t>kináz</w:t>
      </w:r>
      <w:r w:rsidR="001147F9" w:rsidRPr="00C06522">
        <w:rPr>
          <w:rFonts w:ascii="Times New Roman" w:eastAsia="Times New Roman" w:hAnsi="Times New Roman"/>
          <w:sz w:val="22"/>
          <w:szCs w:val="22"/>
        </w:rPr>
        <w:t>-</w:t>
      </w:r>
      <w:r w:rsidR="00CE1303" w:rsidRPr="00C06522">
        <w:rPr>
          <w:rFonts w:ascii="Times New Roman" w:eastAsia="Times New Roman" w:hAnsi="Times New Roman"/>
          <w:sz w:val="22"/>
          <w:szCs w:val="22"/>
        </w:rPr>
        <w:t>gálók</w:t>
      </w:r>
      <w:r w:rsidRPr="00C06522">
        <w:rPr>
          <w:rFonts w:ascii="Times New Roman" w:eastAsia="Times New Roman" w:hAnsi="Times New Roman"/>
          <w:sz w:val="22"/>
          <w:szCs w:val="22"/>
        </w:rPr>
        <w:t>, ATC kód: L01</w:t>
      </w:r>
      <w:r w:rsidR="00FE4B5C" w:rsidRPr="00C06522">
        <w:rPr>
          <w:rFonts w:ascii="Times New Roman" w:eastAsia="Times New Roman" w:hAnsi="Times New Roman"/>
          <w:sz w:val="22"/>
          <w:szCs w:val="22"/>
        </w:rPr>
        <w:t>EA01</w:t>
      </w:r>
    </w:p>
    <w:p w14:paraId="2BC88679" w14:textId="77777777" w:rsidR="002A793D" w:rsidRPr="00F567BF" w:rsidRDefault="002A793D">
      <w:pPr>
        <w:spacing w:line="251" w:lineRule="exact"/>
        <w:rPr>
          <w:rFonts w:ascii="Times New Roman" w:eastAsia="Times New Roman" w:hAnsi="Times New Roman"/>
          <w:sz w:val="22"/>
          <w:szCs w:val="22"/>
        </w:rPr>
      </w:pPr>
    </w:p>
    <w:p w14:paraId="46DB9617" w14:textId="77777777" w:rsidR="002A793D" w:rsidRPr="00F567BF" w:rsidRDefault="002A793D" w:rsidP="00DB5D3A">
      <w:pPr>
        <w:keepNext/>
        <w:spacing w:line="0" w:lineRule="atLeast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Hatásmechanizmus</w:t>
      </w:r>
    </w:p>
    <w:p w14:paraId="7119CACB" w14:textId="334DAF1C" w:rsidR="002A793D" w:rsidRPr="009501AC" w:rsidRDefault="002A793D" w:rsidP="00AB7A1D">
      <w:pPr>
        <w:keepNext/>
        <w:spacing w:line="258" w:lineRule="auto"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Az imatinib egy kis molekulájú </w:t>
      </w:r>
      <w:r w:rsidRPr="009501AC">
        <w:rPr>
          <w:rFonts w:ascii="Times New Roman" w:eastAsia="Times New Roman" w:hAnsi="Times New Roman"/>
          <w:sz w:val="22"/>
          <w:szCs w:val="22"/>
        </w:rPr>
        <w:t>protein</w:t>
      </w:r>
      <w:r w:rsidR="006868FD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tirozin</w:t>
      </w:r>
      <w:r w:rsidR="006868FD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kináz</w:t>
      </w:r>
      <w:r w:rsidR="00BA0E56" w:rsidRPr="009501AC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inhibitor, ami hatékonyan gátolja a </w:t>
      </w:r>
      <w:r w:rsidR="007576BF" w:rsidRPr="009501AC">
        <w:rPr>
          <w:rFonts w:ascii="Times New Roman" w:eastAsia="Times New Roman" w:hAnsi="Times New Roman"/>
          <w:sz w:val="22"/>
          <w:szCs w:val="22"/>
        </w:rPr>
        <w:t>B</w:t>
      </w:r>
      <w:r w:rsidR="007576BF">
        <w:rPr>
          <w:rFonts w:ascii="Times New Roman" w:eastAsia="Times New Roman" w:hAnsi="Times New Roman"/>
          <w:sz w:val="22"/>
          <w:szCs w:val="22"/>
        </w:rPr>
        <w:t>CR</w:t>
      </w:r>
      <w:r w:rsidRPr="009501AC">
        <w:rPr>
          <w:rFonts w:ascii="Times New Roman" w:eastAsia="Times New Roman" w:hAnsi="Times New Roman"/>
          <w:sz w:val="22"/>
          <w:szCs w:val="22"/>
        </w:rPr>
        <w:t>-A</w:t>
      </w:r>
      <w:r w:rsidR="007576BF">
        <w:rPr>
          <w:rFonts w:ascii="Times New Roman" w:eastAsia="Times New Roman" w:hAnsi="Times New Roman"/>
          <w:sz w:val="22"/>
          <w:szCs w:val="22"/>
        </w:rPr>
        <w:t>BL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tirozin</w:t>
      </w:r>
      <w:r w:rsidR="007576BF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kináz (TK), valamint több TK-receptor aktivitását: a Kit-et, az őssejtfaktor (SCF) receptorát, amit a c-Kit protoonkogén kódol, a diszkoidin domén</w:t>
      </w:r>
      <w:r w:rsidR="00701137">
        <w:rPr>
          <w:rFonts w:ascii="Times New Roman" w:eastAsia="Times New Roman" w:hAnsi="Times New Roman"/>
          <w:sz w:val="22"/>
          <w:szCs w:val="22"/>
        </w:rPr>
        <w:t xml:space="preserve"> </w:t>
      </w:r>
      <w:r w:rsidRPr="009501AC">
        <w:rPr>
          <w:rFonts w:ascii="Times New Roman" w:eastAsia="Times New Roman" w:hAnsi="Times New Roman"/>
          <w:sz w:val="22"/>
          <w:szCs w:val="22"/>
        </w:rPr>
        <w:t>receptorokat (DDR1 és DDR2), a kolóniastimuláló faktor</w:t>
      </w:r>
      <w:r w:rsidR="00FA6862" w:rsidRPr="009501AC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receptort (CSF-1R) és a thrombocytaeredetű n</w:t>
      </w:r>
      <w:r w:rsidR="001C66CE" w:rsidRPr="009501AC">
        <w:rPr>
          <w:rFonts w:ascii="Times New Roman" w:eastAsia="Times New Roman" w:hAnsi="Times New Roman"/>
          <w:sz w:val="22"/>
          <w:szCs w:val="22"/>
        </w:rPr>
        <w:t>övekedési faktor</w:t>
      </w:r>
      <w:r w:rsidR="00701137">
        <w:rPr>
          <w:rFonts w:ascii="Times New Roman" w:eastAsia="Times New Roman" w:hAnsi="Times New Roman"/>
          <w:sz w:val="22"/>
          <w:szCs w:val="22"/>
        </w:rPr>
        <w:t xml:space="preserve"> </w:t>
      </w:r>
      <w:r w:rsidR="001C66CE" w:rsidRPr="009501AC">
        <w:rPr>
          <w:rFonts w:ascii="Times New Roman" w:eastAsia="Times New Roman" w:hAnsi="Times New Roman"/>
          <w:sz w:val="22"/>
          <w:szCs w:val="22"/>
        </w:rPr>
        <w:t>receptor</w:t>
      </w:r>
      <w:r w:rsidR="00762B96" w:rsidRPr="009501AC">
        <w:rPr>
          <w:rFonts w:ascii="Times New Roman" w:eastAsia="Times New Roman" w:hAnsi="Times New Roman"/>
          <w:sz w:val="22"/>
          <w:szCs w:val="22"/>
        </w:rPr>
        <w:t>-</w:t>
      </w:r>
      <w:r w:rsidR="001C66CE" w:rsidRPr="009501AC">
        <w:rPr>
          <w:rFonts w:ascii="Times New Roman" w:eastAsia="Times New Roman" w:hAnsi="Times New Roman"/>
          <w:sz w:val="22"/>
          <w:szCs w:val="22"/>
        </w:rPr>
        <w:t xml:space="preserve">alfát 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és -bétát (PDGFR-alfa és PDGFR-béta). Az imatinib </w:t>
      </w:r>
      <w:r w:rsidR="00AB7A1D" w:rsidRPr="009501AC">
        <w:rPr>
          <w:rFonts w:ascii="Times New Roman" w:eastAsia="Times New Roman" w:hAnsi="Times New Roman"/>
          <w:sz w:val="22"/>
          <w:szCs w:val="22"/>
        </w:rPr>
        <w:t xml:space="preserve">képes </w:t>
      </w:r>
      <w:r w:rsidR="000A15AD">
        <w:rPr>
          <w:rFonts w:ascii="Times New Roman" w:eastAsia="Times New Roman" w:hAnsi="Times New Roman"/>
          <w:sz w:val="22"/>
          <w:szCs w:val="22"/>
        </w:rPr>
        <w:t>gátolni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eze</w:t>
      </w:r>
      <w:r w:rsidR="001A1282">
        <w:rPr>
          <w:rFonts w:ascii="Times New Roman" w:eastAsia="Times New Roman" w:hAnsi="Times New Roman"/>
          <w:sz w:val="22"/>
          <w:szCs w:val="22"/>
        </w:rPr>
        <w:t>n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receptor-kinázok aktiválódása által mediált celluláris </w:t>
      </w:r>
      <w:r w:rsidR="00CD19DB">
        <w:rPr>
          <w:rFonts w:ascii="Times New Roman" w:eastAsia="Times New Roman" w:hAnsi="Times New Roman"/>
          <w:sz w:val="22"/>
          <w:szCs w:val="22"/>
        </w:rPr>
        <w:t>történéseket is</w:t>
      </w:r>
      <w:r w:rsidRPr="009501AC">
        <w:rPr>
          <w:rFonts w:ascii="Times New Roman" w:eastAsia="Times New Roman" w:hAnsi="Times New Roman"/>
          <w:sz w:val="22"/>
          <w:szCs w:val="22"/>
        </w:rPr>
        <w:t>.</w:t>
      </w:r>
    </w:p>
    <w:p w14:paraId="0585B0CE" w14:textId="77777777" w:rsidR="002A793D" w:rsidRPr="009501AC" w:rsidRDefault="002A793D">
      <w:pPr>
        <w:spacing w:line="252" w:lineRule="exact"/>
        <w:rPr>
          <w:rFonts w:ascii="Times New Roman" w:eastAsia="Times New Roman" w:hAnsi="Times New Roman"/>
          <w:sz w:val="22"/>
          <w:szCs w:val="22"/>
        </w:rPr>
      </w:pPr>
    </w:p>
    <w:p w14:paraId="74DC8767" w14:textId="77777777" w:rsidR="002A793D" w:rsidRPr="00AB7A1D" w:rsidRDefault="002A793D" w:rsidP="0097242A">
      <w:pPr>
        <w:keepNext/>
        <w:rPr>
          <w:rFonts w:ascii="Times New Roman" w:eastAsia="Times New Roman" w:hAnsi="Times New Roman"/>
          <w:sz w:val="22"/>
          <w:szCs w:val="22"/>
          <w:u w:val="single"/>
        </w:rPr>
      </w:pPr>
      <w:r w:rsidRPr="009501AC">
        <w:rPr>
          <w:rFonts w:ascii="Times New Roman" w:eastAsia="Times New Roman" w:hAnsi="Times New Roman"/>
          <w:sz w:val="22"/>
          <w:szCs w:val="22"/>
          <w:u w:val="single"/>
        </w:rPr>
        <w:t>Farmakodinámiás hatások</w:t>
      </w:r>
    </w:p>
    <w:p w14:paraId="4B437FF1" w14:textId="77777777" w:rsidR="002A793D" w:rsidRPr="00F567BF" w:rsidRDefault="002A793D" w:rsidP="0097242A">
      <w:pPr>
        <w:keepNext/>
        <w:spacing w:line="2" w:lineRule="exact"/>
        <w:rPr>
          <w:rFonts w:ascii="Times New Roman" w:eastAsia="Times New Roman" w:hAnsi="Times New Roman"/>
          <w:sz w:val="22"/>
          <w:szCs w:val="22"/>
        </w:rPr>
      </w:pPr>
    </w:p>
    <w:p w14:paraId="77900E66" w14:textId="512BD1A5" w:rsidR="002A793D" w:rsidRPr="00F567BF" w:rsidRDefault="002A793D" w:rsidP="0097242A">
      <w:pPr>
        <w:keepNext/>
        <w:widowControl w:val="0"/>
        <w:spacing w:line="230" w:lineRule="auto"/>
        <w:ind w:right="159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imatinib protein</w:t>
      </w:r>
      <w:r w:rsidR="001004CF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tirozin</w:t>
      </w:r>
      <w:r w:rsidR="001004CF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kináz</w:t>
      </w:r>
      <w:r w:rsidR="00FA686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inhibitor, hatékonyan gátolja a B</w:t>
      </w:r>
      <w:r w:rsidR="001004CF">
        <w:rPr>
          <w:rFonts w:ascii="Times New Roman" w:eastAsia="Times New Roman" w:hAnsi="Times New Roman"/>
          <w:sz w:val="22"/>
          <w:szCs w:val="22"/>
        </w:rPr>
        <w:t>CR</w:t>
      </w:r>
      <w:r w:rsidRPr="00F567BF">
        <w:rPr>
          <w:rFonts w:ascii="Times New Roman" w:eastAsia="Times New Roman" w:hAnsi="Times New Roman"/>
          <w:sz w:val="22"/>
          <w:szCs w:val="22"/>
        </w:rPr>
        <w:t>-A</w:t>
      </w:r>
      <w:r w:rsidR="001004CF">
        <w:rPr>
          <w:rFonts w:ascii="Times New Roman" w:eastAsia="Times New Roman" w:hAnsi="Times New Roman"/>
          <w:sz w:val="22"/>
          <w:szCs w:val="22"/>
        </w:rPr>
        <w:t>BL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tirozin</w:t>
      </w:r>
      <w:r w:rsidR="00982A39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kinázt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vitro,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celluláris szinten, és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vivo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A vegyület a </w:t>
      </w:r>
      <w:r w:rsidR="00982A39" w:rsidRPr="00F567BF">
        <w:rPr>
          <w:rFonts w:ascii="Times New Roman" w:eastAsia="Times New Roman" w:hAnsi="Times New Roman"/>
          <w:sz w:val="22"/>
          <w:szCs w:val="22"/>
        </w:rPr>
        <w:t>BCR-ABL</w:t>
      </w:r>
      <w:r w:rsidR="00AB7A1D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pozitív sejtvonalak és a Philadelphia</w:t>
      </w:r>
      <w:r w:rsidR="0070113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kromoszóma</w:t>
      </w:r>
      <w:r w:rsidR="00FA6862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pozitív CML</w:t>
      </w:r>
      <w:r w:rsidR="00AB7A1D">
        <w:rPr>
          <w:rFonts w:ascii="Times New Roman" w:eastAsia="Times New Roman" w:hAnsi="Times New Roman"/>
          <w:sz w:val="22"/>
          <w:szCs w:val="22"/>
        </w:rPr>
        <w:t>-es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akut lymphoblastos leukaemiás (ALL) betegekből frissen izolált leukaemiás sejtek proliferációját szelektíven gátolja, és azokban apopt</w:t>
      </w:r>
      <w:r w:rsidR="00FA6862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>ist indukál.</w:t>
      </w:r>
    </w:p>
    <w:p w14:paraId="6C8554B1" w14:textId="77777777" w:rsidR="002A793D" w:rsidRPr="00F567BF" w:rsidRDefault="002A793D">
      <w:pPr>
        <w:spacing w:line="249" w:lineRule="exact"/>
        <w:rPr>
          <w:rFonts w:ascii="Times New Roman" w:eastAsia="Times New Roman" w:hAnsi="Times New Roman"/>
          <w:sz w:val="22"/>
          <w:szCs w:val="22"/>
        </w:rPr>
      </w:pPr>
    </w:p>
    <w:p w14:paraId="520EEB08" w14:textId="19167518" w:rsidR="002A793D" w:rsidRPr="00F567BF" w:rsidRDefault="002A793D" w:rsidP="00CA57F1">
      <w:pPr>
        <w:spacing w:line="229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Állatmodellekben, </w:t>
      </w:r>
      <w:r w:rsidR="00AF4608" w:rsidRPr="00F567BF">
        <w:rPr>
          <w:rFonts w:ascii="Times New Roman" w:eastAsia="Times New Roman" w:hAnsi="Times New Roman"/>
          <w:sz w:val="22"/>
          <w:szCs w:val="22"/>
        </w:rPr>
        <w:t>BCR-ABL</w:t>
      </w:r>
      <w:r w:rsidR="00FA686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pozitív tumorsejteket használva, a vegyület </w:t>
      </w:r>
      <w:r w:rsidR="00CA57F1">
        <w:rPr>
          <w:rFonts w:ascii="Times New Roman" w:eastAsia="Times New Roman" w:hAnsi="Times New Roman"/>
          <w:sz w:val="22"/>
          <w:szCs w:val="22"/>
        </w:rPr>
        <w:t>monoterápiaként alkalmazva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in vivo </w:t>
      </w:r>
      <w:r w:rsidRPr="00F567BF">
        <w:rPr>
          <w:rFonts w:ascii="Times New Roman" w:eastAsia="Times New Roman" w:hAnsi="Times New Roman"/>
          <w:sz w:val="22"/>
          <w:szCs w:val="22"/>
        </w:rPr>
        <w:t>antitumor</w:t>
      </w:r>
      <w:r w:rsidR="00012DD9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aktivitást</w:t>
      </w:r>
      <w:r w:rsidR="00CA57F1" w:rsidRPr="00CA57F1">
        <w:rPr>
          <w:rFonts w:ascii="Times New Roman" w:eastAsia="Times New Roman" w:hAnsi="Times New Roman"/>
          <w:sz w:val="22"/>
          <w:szCs w:val="22"/>
        </w:rPr>
        <w:t xml:space="preserve"> </w:t>
      </w:r>
      <w:r w:rsidR="00CA57F1" w:rsidRPr="00F567BF">
        <w:rPr>
          <w:rFonts w:ascii="Times New Roman" w:eastAsia="Times New Roman" w:hAnsi="Times New Roman"/>
          <w:sz w:val="22"/>
          <w:szCs w:val="22"/>
        </w:rPr>
        <w:t>mutat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215B7EEE" w14:textId="77777777" w:rsidR="002A793D" w:rsidRPr="00F567BF" w:rsidRDefault="002A793D">
      <w:pPr>
        <w:spacing w:line="249" w:lineRule="exact"/>
        <w:rPr>
          <w:rFonts w:ascii="Times New Roman" w:eastAsia="Times New Roman" w:hAnsi="Times New Roman"/>
          <w:sz w:val="22"/>
          <w:szCs w:val="22"/>
        </w:rPr>
      </w:pPr>
    </w:p>
    <w:p w14:paraId="4E212EF3" w14:textId="6FE2CAF6" w:rsidR="00F9751E" w:rsidRPr="00800EB7" w:rsidRDefault="00CA57F1">
      <w:pPr>
        <w:spacing w:line="230" w:lineRule="auto"/>
        <w:ind w:left="1" w:right="1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A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z imatinib </w:t>
      </w:r>
      <w:r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ovábbá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gátolja a thrombocytaeredetű növekedési faktor (PDGF)</w:t>
      </w:r>
      <w:r w:rsidR="0058545E" w:rsidRPr="00DB5D3A">
        <w:rPr>
          <w:rFonts w:ascii="Times New Roman" w:eastAsia="Times New Roman" w:hAnsi="Times New Roman" w:cs="Times New Roman"/>
          <w:spacing w:val="-1"/>
          <w:sz w:val="22"/>
          <w:szCs w:val="22"/>
          <w:lang w:eastAsia="en-US"/>
        </w:rPr>
        <w:t xml:space="preserve"> </w:t>
      </w:r>
      <w:r w:rsidR="0058545E" w:rsidRPr="00DB5D3A">
        <w:rPr>
          <w:rFonts w:ascii="Times New Roman" w:eastAsia="Times New Roman" w:hAnsi="Times New Roman"/>
          <w:sz w:val="22"/>
          <w:szCs w:val="22"/>
        </w:rPr>
        <w:t>tirozin</w:t>
      </w:r>
      <w:r w:rsidR="00012DD9">
        <w:rPr>
          <w:rFonts w:ascii="Times New Roman" w:eastAsia="Times New Roman" w:hAnsi="Times New Roman"/>
          <w:sz w:val="22"/>
          <w:szCs w:val="22"/>
        </w:rPr>
        <w:t>-</w:t>
      </w:r>
      <w:r w:rsidR="0058545E" w:rsidRPr="00DB5D3A">
        <w:rPr>
          <w:rFonts w:ascii="Times New Roman" w:eastAsia="Times New Roman" w:hAnsi="Times New Roman"/>
          <w:sz w:val="22"/>
          <w:szCs w:val="22"/>
        </w:rPr>
        <w:t>kináz</w:t>
      </w:r>
      <w:r w:rsidR="0058545E" w:rsidRPr="00DB5D3A">
        <w:rPr>
          <w:rFonts w:ascii="Times New Roman" w:eastAsia="Times New Roman" w:hAnsi="Times New Roman"/>
          <w:sz w:val="22"/>
          <w:szCs w:val="22"/>
        </w:rPr>
        <w:noBreakHyphen/>
        <w:t>receptort, a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PDGF-R</w:t>
      </w:r>
      <w:r w:rsidR="0058545E">
        <w:rPr>
          <w:rFonts w:ascii="Times New Roman" w:eastAsia="Times New Roman" w:hAnsi="Times New Roman"/>
          <w:sz w:val="22"/>
          <w:szCs w:val="22"/>
        </w:rPr>
        <w:t>-t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az őssejtfaktor</w:t>
      </w:r>
      <w:r w:rsidR="0058545E">
        <w:rPr>
          <w:rFonts w:ascii="Times New Roman" w:eastAsia="Times New Roman" w:hAnsi="Times New Roman"/>
          <w:sz w:val="22"/>
          <w:szCs w:val="22"/>
        </w:rPr>
        <w:t>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(</w:t>
      </w:r>
      <w:r w:rsidR="00862687" w:rsidRPr="00862687">
        <w:rPr>
          <w:rFonts w:ascii="Times New Roman" w:eastAsia="Times New Roman" w:hAnsi="Times New Roman"/>
          <w:i/>
          <w:iCs/>
          <w:sz w:val="22"/>
          <w:szCs w:val="22"/>
        </w:rPr>
        <w:t>stem cell factor</w:t>
      </w:r>
      <w:r w:rsidR="00862687">
        <w:rPr>
          <w:rFonts w:ascii="Times New Roman" w:eastAsia="Times New Roman" w:hAnsi="Times New Roman"/>
          <w:sz w:val="22"/>
          <w:szCs w:val="22"/>
        </w:rPr>
        <w:t xml:space="preserve">,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SCF), a c-Kit-et, és gátolja a PDGF és SCF által közvetített celluláris folyamatokat</w:t>
      </w:r>
      <w:r w:rsidR="00A224F7">
        <w:rPr>
          <w:rFonts w:ascii="Times New Roman" w:eastAsia="Times New Roman" w:hAnsi="Times New Roman"/>
          <w:sz w:val="22"/>
          <w:szCs w:val="22"/>
        </w:rPr>
        <w:t>.</w:t>
      </w:r>
      <w:r w:rsidR="00CE1303">
        <w:rPr>
          <w:rFonts w:ascii="Times New Roman" w:eastAsia="Times New Roman" w:hAnsi="Times New Roman"/>
          <w:sz w:val="22"/>
          <w:szCs w:val="22"/>
        </w:rPr>
        <w:t xml:space="preserve"> </w:t>
      </w:r>
      <w:r w:rsidR="00CE1303">
        <w:rPr>
          <w:rFonts w:ascii="Times New Roman" w:eastAsia="Times New Roman" w:hAnsi="Times New Roman"/>
          <w:sz w:val="22"/>
        </w:rPr>
        <w:t xml:space="preserve">Az imatinib </w:t>
      </w:r>
      <w:r w:rsidR="00CE1303">
        <w:rPr>
          <w:rFonts w:ascii="Times New Roman" w:eastAsia="Times New Roman" w:hAnsi="Times New Roman"/>
          <w:i/>
          <w:sz w:val="22"/>
        </w:rPr>
        <w:t>in vitro</w:t>
      </w:r>
      <w:r w:rsidR="00CE1303">
        <w:rPr>
          <w:rFonts w:ascii="Times New Roman" w:eastAsia="Times New Roman" w:hAnsi="Times New Roman"/>
          <w:sz w:val="22"/>
        </w:rPr>
        <w:t xml:space="preserve"> az aktiváló </w:t>
      </w:r>
      <w:r w:rsidR="00CE1303">
        <w:rPr>
          <w:rFonts w:ascii="Times New Roman" w:eastAsia="Times New Roman" w:hAnsi="Times New Roman"/>
          <w:i/>
          <w:sz w:val="22"/>
        </w:rPr>
        <w:t>kit</w:t>
      </w:r>
      <w:r w:rsidR="00CE1303">
        <w:rPr>
          <w:rFonts w:ascii="Times New Roman" w:eastAsia="Times New Roman" w:hAnsi="Times New Roman"/>
          <w:sz w:val="22"/>
        </w:rPr>
        <w:t xml:space="preserve"> mutációt expresszáló gastrointestinalis stromalis tumor</w:t>
      </w:r>
      <w:r w:rsidR="00800EB7">
        <w:rPr>
          <w:rFonts w:ascii="Times New Roman" w:eastAsia="Times New Roman" w:hAnsi="Times New Roman"/>
          <w:sz w:val="22"/>
        </w:rPr>
        <w:t>-</w:t>
      </w:r>
      <w:r w:rsidR="00CE1303">
        <w:rPr>
          <w:rFonts w:ascii="Times New Roman" w:eastAsia="Times New Roman" w:hAnsi="Times New Roman"/>
          <w:sz w:val="22"/>
        </w:rPr>
        <w:t xml:space="preserve"> (GIST</w:t>
      </w:r>
      <w:r w:rsidR="0038543C">
        <w:rPr>
          <w:rFonts w:ascii="Times New Roman" w:eastAsia="Times New Roman" w:hAnsi="Times New Roman"/>
          <w:sz w:val="22"/>
        </w:rPr>
        <w:t>-</w:t>
      </w:r>
      <w:r w:rsidR="00CE1303">
        <w:rPr>
          <w:rFonts w:ascii="Times New Roman" w:eastAsia="Times New Roman" w:hAnsi="Times New Roman"/>
          <w:sz w:val="22"/>
        </w:rPr>
        <w:t>) sejtek proliferációját gátolja, és apoptózisukat indukálja.</w:t>
      </w:r>
    </w:p>
    <w:p w14:paraId="6A130CD9" w14:textId="5C80AC6A" w:rsidR="002A793D" w:rsidRPr="00F567BF" w:rsidRDefault="002A793D">
      <w:pPr>
        <w:spacing w:line="230" w:lineRule="auto"/>
        <w:ind w:left="1" w:right="10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MDS/MPD,</w:t>
      </w:r>
      <w:r w:rsidR="0060488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a HES/CEL, valamint a DFSP patogenezise kapcsán felmerült a PDGF</w:t>
      </w:r>
      <w:r w:rsidR="0058545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receptor vagy az A</w:t>
      </w:r>
      <w:r w:rsidR="0038543C">
        <w:rPr>
          <w:rFonts w:ascii="Times New Roman" w:eastAsia="Times New Roman" w:hAnsi="Times New Roman"/>
          <w:sz w:val="22"/>
          <w:szCs w:val="22"/>
        </w:rPr>
        <w:t>BL</w:t>
      </w:r>
      <w:r w:rsidR="0058545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protein</w:t>
      </w:r>
      <w:r w:rsidR="0058545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tirozin</w:t>
      </w:r>
      <w:r w:rsidR="0038543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kinázok konstitutív aktivációja, amely a különböző partnerfehérjékkel való fúzió, illetve a PDGF konstitutív termelődésének következménye. Az imatinib gátolja a PDGFR és A</w:t>
      </w:r>
      <w:r w:rsidR="004178C3">
        <w:rPr>
          <w:rFonts w:ascii="Times New Roman" w:eastAsia="Times New Roman" w:hAnsi="Times New Roman"/>
          <w:sz w:val="22"/>
          <w:szCs w:val="22"/>
        </w:rPr>
        <w:t>BL</w:t>
      </w:r>
      <w:r w:rsidRPr="00F567BF">
        <w:rPr>
          <w:rFonts w:ascii="Times New Roman" w:eastAsia="Times New Roman" w:hAnsi="Times New Roman"/>
          <w:sz w:val="22"/>
          <w:szCs w:val="22"/>
        </w:rPr>
        <w:t>-kináz kóros regulációja által okozott sejtproliferációt és jelátvitelt.</w:t>
      </w:r>
    </w:p>
    <w:p w14:paraId="77E0C23C" w14:textId="77777777" w:rsidR="002A793D" w:rsidRPr="00F567BF" w:rsidRDefault="002A793D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04887D19" w14:textId="77777777" w:rsidR="002A793D" w:rsidRPr="00F567BF" w:rsidRDefault="002A793D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Klinikai vizsgálatok krónikus myeloid leukaemiában</w:t>
      </w:r>
    </w:p>
    <w:p w14:paraId="0333E0F5" w14:textId="08F915D0" w:rsidR="002A793D" w:rsidRPr="00F567BF" w:rsidRDefault="006C167D" w:rsidP="006C167D">
      <w:pPr>
        <w:spacing w:line="230" w:lineRule="auto"/>
        <w:ind w:right="4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hat</w:t>
      </w:r>
      <w:r w:rsidR="0058545E">
        <w:rPr>
          <w:rFonts w:ascii="Times New Roman" w:eastAsia="Times New Roman" w:hAnsi="Times New Roman"/>
          <w:sz w:val="22"/>
          <w:szCs w:val="22"/>
        </w:rPr>
        <w:t>ásos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ságát a </w:t>
      </w:r>
      <w:r w:rsidR="00CF2824">
        <w:rPr>
          <w:rFonts w:ascii="Times New Roman" w:eastAsia="Times New Roman" w:hAnsi="Times New Roman"/>
          <w:sz w:val="22"/>
          <w:szCs w:val="22"/>
        </w:rPr>
        <w:t>teljes</w:t>
      </w:r>
      <w:r w:rsidR="00CA57F1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 xml:space="preserve">hematológiai és </w:t>
      </w:r>
      <w:r w:rsidR="00703FFA" w:rsidRPr="009501AC">
        <w:rPr>
          <w:rFonts w:ascii="Times New Roman" w:eastAsia="Times New Roman" w:hAnsi="Times New Roman"/>
          <w:sz w:val="22"/>
          <w:szCs w:val="22"/>
        </w:rPr>
        <w:t>citogen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>etikai válaszarány, valamint a progressziómentes túlélés határozza meg. Az újonnan diagnosztizált, krónikus fázisú CML</w:t>
      </w:r>
      <w:r w:rsidR="00CA57F1" w:rsidRPr="009501AC">
        <w:rPr>
          <w:rFonts w:ascii="Times New Roman" w:eastAsia="Times New Roman" w:hAnsi="Times New Roman"/>
          <w:sz w:val="22"/>
          <w:szCs w:val="22"/>
        </w:rPr>
        <w:t>-</w:t>
      </w:r>
      <w:r w:rsidR="004750FE" w:rsidRPr="009501AC">
        <w:rPr>
          <w:rFonts w:ascii="Times New Roman" w:eastAsia="Times New Roman" w:hAnsi="Times New Roman"/>
          <w:sz w:val="22"/>
          <w:szCs w:val="22"/>
        </w:rPr>
        <w:t>vizsgálatok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 xml:space="preserve"> kivételével </w:t>
      </w:r>
      <w:r w:rsidR="00CA57F1" w:rsidRPr="009501AC">
        <w:rPr>
          <w:rFonts w:ascii="Times New Roman" w:eastAsia="Times New Roman" w:hAnsi="Times New Roman"/>
          <w:sz w:val="22"/>
          <w:szCs w:val="22"/>
        </w:rPr>
        <w:t>a kezelés klinikai előnyeit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 xml:space="preserve"> (p</w:t>
      </w:r>
      <w:r w:rsidR="00EA32F5" w:rsidRPr="009501AC">
        <w:rPr>
          <w:rFonts w:ascii="Times New Roman" w:eastAsia="Times New Roman" w:hAnsi="Times New Roman"/>
          <w:sz w:val="22"/>
          <w:szCs w:val="22"/>
        </w:rPr>
        <w:t>éldáu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 xml:space="preserve">l a betegséggel összefüggő tünetek javulását vagy a túlélési arány növekedését) </w:t>
      </w:r>
      <w:r w:rsidR="00CA57F1" w:rsidRPr="009501AC">
        <w:rPr>
          <w:rFonts w:ascii="Times New Roman" w:eastAsia="Times New Roman" w:hAnsi="Times New Roman"/>
          <w:sz w:val="22"/>
          <w:szCs w:val="22"/>
        </w:rPr>
        <w:t>bemutató kontrollos vizsgálat</w:t>
      </w:r>
      <w:r w:rsidR="00754FBA">
        <w:rPr>
          <w:rFonts w:ascii="Times New Roman" w:eastAsia="Times New Roman" w:hAnsi="Times New Roman"/>
          <w:sz w:val="22"/>
          <w:szCs w:val="22"/>
        </w:rPr>
        <w:t>ot</w:t>
      </w:r>
      <w:r w:rsidR="00CA57F1" w:rsidRPr="009501AC">
        <w:rPr>
          <w:rFonts w:ascii="Times New Roman" w:eastAsia="Times New Roman" w:hAnsi="Times New Roman"/>
          <w:sz w:val="22"/>
          <w:szCs w:val="22"/>
        </w:rPr>
        <w:t xml:space="preserve"> nem </w:t>
      </w:r>
      <w:r w:rsidR="00754FBA">
        <w:rPr>
          <w:rFonts w:ascii="Times New Roman" w:eastAsia="Times New Roman" w:hAnsi="Times New Roman"/>
          <w:sz w:val="22"/>
          <w:szCs w:val="22"/>
        </w:rPr>
        <w:t>végezte</w:t>
      </w:r>
      <w:r w:rsidR="00701137">
        <w:rPr>
          <w:rFonts w:ascii="Times New Roman" w:eastAsia="Times New Roman" w:hAnsi="Times New Roman"/>
          <w:sz w:val="22"/>
          <w:szCs w:val="22"/>
        </w:rPr>
        <w:t>k</w:t>
      </w:r>
      <w:r w:rsidR="002A793D" w:rsidRPr="009501AC">
        <w:rPr>
          <w:rFonts w:ascii="Times New Roman" w:eastAsia="Times New Roman" w:hAnsi="Times New Roman"/>
          <w:sz w:val="22"/>
          <w:szCs w:val="22"/>
        </w:rPr>
        <w:t>.</w:t>
      </w:r>
    </w:p>
    <w:p w14:paraId="7849C54E" w14:textId="77777777" w:rsidR="002A793D" w:rsidRPr="00F567BF" w:rsidRDefault="002A793D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41234B48" w14:textId="08E06EA9" w:rsidR="002A793D" w:rsidRPr="00F567BF" w:rsidRDefault="00C8437B" w:rsidP="00350D65">
      <w:pPr>
        <w:spacing w:line="231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lastRenderedPageBreak/>
        <w:t xml:space="preserve">Három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nagy, nemzetközi, nyílt</w:t>
      </w:r>
      <w:r w:rsidR="00754FBA">
        <w:rPr>
          <w:rFonts w:ascii="Times New Roman" w:eastAsia="Times New Roman" w:hAnsi="Times New Roman"/>
          <w:sz w:val="22"/>
          <w:szCs w:val="22"/>
        </w:rPr>
        <w:t xml:space="preserve"> elrendezésű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nem</w:t>
      </w:r>
      <w:r w:rsidR="00FD3440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kontroll</w:t>
      </w:r>
      <w:r w:rsidR="0058545E">
        <w:rPr>
          <w:rFonts w:ascii="Times New Roman" w:eastAsia="Times New Roman" w:hAnsi="Times New Roman"/>
          <w:sz w:val="22"/>
          <w:szCs w:val="22"/>
        </w:rPr>
        <w:t>os</w:t>
      </w:r>
      <w:r w:rsidR="00CC62F5">
        <w:rPr>
          <w:rFonts w:ascii="Times New Roman" w:eastAsia="Times New Roman" w:hAnsi="Times New Roman"/>
          <w:sz w:val="22"/>
          <w:szCs w:val="22"/>
        </w:rPr>
        <w:t>, II.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fázis</w:t>
      </w:r>
      <w:r w:rsidR="00CC62F5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vizsgálat</w:t>
      </w:r>
      <w:r w:rsidR="0058652E">
        <w:rPr>
          <w:rFonts w:ascii="Times New Roman" w:eastAsia="Times New Roman" w:hAnsi="Times New Roman"/>
          <w:sz w:val="22"/>
          <w:szCs w:val="22"/>
        </w:rPr>
        <w:t>ot folytattak le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Philadelphia</w:t>
      </w:r>
      <w:r w:rsidR="00CC62F5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kromoszóma</w:t>
      </w:r>
      <w:r w:rsidR="0058545E">
        <w:rPr>
          <w:rFonts w:ascii="Times New Roman" w:eastAsia="Times New Roman" w:hAnsi="Times New Roman"/>
          <w:sz w:val="22"/>
          <w:szCs w:val="22"/>
        </w:rPr>
        <w:noBreakHyphen/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pozitív (Ph+)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előrehaladott,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blasztos </w:t>
      </w:r>
      <w:r w:rsidR="00754FBA">
        <w:rPr>
          <w:rFonts w:ascii="Times New Roman" w:eastAsia="Times New Roman" w:hAnsi="Times New Roman"/>
          <w:sz w:val="22"/>
          <w:szCs w:val="22"/>
        </w:rPr>
        <w:t xml:space="preserve">krízisben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vagy akcelerált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fázisban levő CML-es betegekkel</w:t>
      </w:r>
      <w:r w:rsidRPr="00F567BF">
        <w:rPr>
          <w:rFonts w:ascii="Times New Roman" w:eastAsia="Times New Roman" w:hAnsi="Times New Roman"/>
          <w:sz w:val="22"/>
          <w:szCs w:val="22"/>
        </w:rPr>
        <w:t>, valamint egyéb Ph+ leukaemiákban, ill</w:t>
      </w:r>
      <w:r w:rsidR="00F9751E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alfa-interferon</w:t>
      </w:r>
      <w:r w:rsidR="00CD74EB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(IFN</w:t>
      </w:r>
      <w:r w:rsidR="00CD74EB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) terápiára rezisztens krónikus fázisú CML-ben szenvedő betegekkel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.</w:t>
      </w:r>
      <w:r w:rsidR="00350D65" w:rsidRPr="00F567BF">
        <w:t xml:space="preserve"> 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>Egy nagy, nyílt</w:t>
      </w:r>
      <w:r w:rsidR="0033092C">
        <w:rPr>
          <w:rFonts w:ascii="Times New Roman" w:eastAsia="Times New Roman" w:hAnsi="Times New Roman"/>
          <w:sz w:val="22"/>
          <w:szCs w:val="22"/>
        </w:rPr>
        <w:t xml:space="preserve"> elrendezésű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>, multicentrikus, nemzetközi, randomizált</w:t>
      </w:r>
      <w:r w:rsidR="0058545E">
        <w:rPr>
          <w:rFonts w:ascii="Times New Roman" w:eastAsia="Times New Roman" w:hAnsi="Times New Roman"/>
          <w:sz w:val="22"/>
          <w:szCs w:val="22"/>
        </w:rPr>
        <w:t>,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CC62F5">
        <w:rPr>
          <w:rFonts w:ascii="Times New Roman" w:eastAsia="Times New Roman" w:hAnsi="Times New Roman"/>
          <w:sz w:val="22"/>
          <w:szCs w:val="22"/>
        </w:rPr>
        <w:t xml:space="preserve">III. 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CC62F5">
        <w:rPr>
          <w:rFonts w:ascii="Times New Roman" w:eastAsia="Times New Roman" w:hAnsi="Times New Roman"/>
          <w:sz w:val="22"/>
          <w:szCs w:val="22"/>
        </w:rPr>
        <w:t>ú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 xml:space="preserve"> vizsgálatot végeztek újonnan diagnosztizált Ph+</w:t>
      </w:r>
      <w:r w:rsidR="0058545E">
        <w:rPr>
          <w:rFonts w:ascii="Times New Roman" w:eastAsia="Times New Roman" w:hAnsi="Times New Roman"/>
          <w:sz w:val="22"/>
          <w:szCs w:val="22"/>
        </w:rPr>
        <w:t> </w:t>
      </w:r>
      <w:r w:rsidR="00350D65" w:rsidRPr="00F567BF">
        <w:rPr>
          <w:rFonts w:ascii="Times New Roman" w:eastAsia="Times New Roman" w:hAnsi="Times New Roman"/>
          <w:sz w:val="22"/>
          <w:szCs w:val="22"/>
        </w:rPr>
        <w:t xml:space="preserve">CML-es betegekkel. </w:t>
      </w:r>
      <w:r w:rsidR="00456E05">
        <w:rPr>
          <w:rFonts w:ascii="Times New Roman" w:eastAsia="Times New Roman" w:hAnsi="Times New Roman"/>
          <w:sz w:val="22"/>
          <w:szCs w:val="22"/>
        </w:rPr>
        <w:t>Ezen felül</w:t>
      </w:r>
      <w:r w:rsidR="00456E05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két </w:t>
      </w:r>
      <w:r w:rsidR="002831EF">
        <w:rPr>
          <w:rFonts w:ascii="Times New Roman" w:eastAsia="Times New Roman" w:hAnsi="Times New Roman"/>
          <w:sz w:val="22"/>
          <w:szCs w:val="22"/>
        </w:rPr>
        <w:t xml:space="preserve">I.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2831EF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, valamint egy </w:t>
      </w:r>
      <w:r w:rsidR="00CC62F5">
        <w:rPr>
          <w:rFonts w:ascii="Times New Roman" w:eastAsia="Times New Roman" w:hAnsi="Times New Roman"/>
          <w:sz w:val="22"/>
          <w:szCs w:val="22"/>
        </w:rPr>
        <w:t xml:space="preserve">II.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CC62F5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vizsgálatban kezeltek gyermekeket</w:t>
      </w:r>
      <w:r w:rsidR="0033092C">
        <w:rPr>
          <w:rFonts w:ascii="Times New Roman" w:eastAsia="Times New Roman" w:hAnsi="Times New Roman"/>
          <w:sz w:val="22"/>
          <w:szCs w:val="22"/>
        </w:rPr>
        <w:t xml:space="preserve"> és serdülőket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020BE300" w14:textId="77777777" w:rsidR="00762B96" w:rsidRDefault="00762B96" w:rsidP="00EA73C4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bookmarkStart w:id="13" w:name="page51"/>
      <w:bookmarkEnd w:id="13"/>
    </w:p>
    <w:p w14:paraId="1D102250" w14:textId="17395C2C" w:rsidR="002A793D" w:rsidRPr="00F567BF" w:rsidRDefault="00350D65" w:rsidP="00EA73C4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Valamennyi klinikai vizsgálatot figyelembe véve</w:t>
      </w:r>
      <w:r w:rsidR="0058545E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 betegek 38</w:t>
      </w:r>
      <w:r w:rsidR="00CD74EB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40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%</w:t>
      </w:r>
      <w:r w:rsidR="006C167D" w:rsidRPr="00F567BF">
        <w:rPr>
          <w:rFonts w:ascii="Times New Roman" w:eastAsia="Times New Roman" w:hAnsi="Times New Roman"/>
          <w:sz w:val="22"/>
          <w:szCs w:val="22"/>
        </w:rPr>
        <w:t>-a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60</w:t>
      </w:r>
      <w:r w:rsidR="0058545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éves vagy ennél id</w:t>
      </w:r>
      <w:r w:rsidR="00EA73C4" w:rsidRPr="00F567BF">
        <w:rPr>
          <w:rFonts w:ascii="Times New Roman" w:eastAsia="Times New Roman" w:hAnsi="Times New Roman"/>
          <w:sz w:val="22"/>
          <w:szCs w:val="22"/>
        </w:rPr>
        <w:t xml:space="preserve">ősebb,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10</w:t>
      </w:r>
      <w:r w:rsidR="00CD74EB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12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%-a 70</w:t>
      </w:r>
      <w:r w:rsidR="0058545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éves vagy ennél idősebb volt.</w:t>
      </w:r>
    </w:p>
    <w:p w14:paraId="0F010A18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</w:rPr>
      </w:pPr>
    </w:p>
    <w:p w14:paraId="665C3A63" w14:textId="77777777" w:rsidR="00CD74EB" w:rsidRDefault="00350D65" w:rsidP="00350D65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350D65">
        <w:rPr>
          <w:rFonts w:ascii="Times New Roman" w:hAnsi="Times New Roman" w:cs="Times New Roman"/>
          <w:i/>
          <w:iCs/>
          <w:color w:val="000000"/>
          <w:sz w:val="22"/>
          <w:szCs w:val="22"/>
        </w:rPr>
        <w:t>Újonnan diagnosztizált krónikus fázis</w:t>
      </w:r>
    </w:p>
    <w:p w14:paraId="35ECF996" w14:textId="5AB25EC2" w:rsidR="00350D65" w:rsidRPr="00350D65" w:rsidRDefault="00CD74EB" w:rsidP="00350D6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E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z, a felnőttek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bevonásával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végzett, </w:t>
      </w:r>
      <w:r w:rsidR="00CC62F5">
        <w:rPr>
          <w:rFonts w:ascii="Times New Roman" w:hAnsi="Times New Roman" w:cs="Times New Roman"/>
          <w:color w:val="000000"/>
          <w:sz w:val="22"/>
          <w:szCs w:val="22"/>
        </w:rPr>
        <w:t xml:space="preserve">III. 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fázis</w:t>
      </w:r>
      <w:r w:rsidR="00CC62F5">
        <w:rPr>
          <w:rFonts w:ascii="Times New Roman" w:hAnsi="Times New Roman" w:cs="Times New Roman"/>
          <w:color w:val="000000"/>
          <w:sz w:val="22"/>
          <w:szCs w:val="22"/>
        </w:rPr>
        <w:t>ú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vizsgálat 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</w:rPr>
        <w:t>az imatinib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noBreakHyphen/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monoterápiát hasonlította össze az alfa-interferon (IFN) 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citarabin (Ara-C) kombinált kezeléssel. Azok a betegek, akiknél nem alakult ki válasz (6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hónap alatt nem következett be </w:t>
      </w:r>
      <w:r w:rsidR="00E13498" w:rsidRPr="00E13498">
        <w:rPr>
          <w:rFonts w:ascii="Times New Roman" w:hAnsi="Times New Roman" w:cs="Times New Roman"/>
          <w:color w:val="000000"/>
          <w:sz w:val="22"/>
          <w:szCs w:val="22"/>
        </w:rPr>
        <w:t>teljes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hematológiai válasz </w:t>
      </w:r>
      <w:r>
        <w:rPr>
          <w:rFonts w:ascii="Times New Roman" w:hAnsi="Times New Roman" w:cs="Times New Roman"/>
          <w:color w:val="000000"/>
          <w:sz w:val="22"/>
          <w:szCs w:val="22"/>
        </w:rPr>
        <w:t>[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CHR</w:t>
      </w:r>
      <w:r>
        <w:rPr>
          <w:rFonts w:ascii="Times New Roman" w:hAnsi="Times New Roman" w:cs="Times New Roman"/>
          <w:color w:val="000000"/>
          <w:sz w:val="22"/>
          <w:szCs w:val="22"/>
        </w:rPr>
        <w:t>]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, nőtt a fehérvérsejtszám, nem volt nagyfokú </w:t>
      </w:r>
      <w:r>
        <w:rPr>
          <w:rFonts w:ascii="Times New Roman" w:hAnsi="Times New Roman" w:cs="Times New Roman"/>
          <w:color w:val="000000"/>
          <w:sz w:val="22"/>
          <w:szCs w:val="22"/>
        </w:rPr>
        <w:t>[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major</w:t>
      </w:r>
      <w:r>
        <w:rPr>
          <w:rFonts w:ascii="Times New Roman" w:hAnsi="Times New Roman" w:cs="Times New Roman"/>
          <w:color w:val="000000"/>
          <w:sz w:val="22"/>
          <w:szCs w:val="22"/>
        </w:rPr>
        <w:t>]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3FFA">
        <w:rPr>
          <w:rFonts w:ascii="Times New Roman" w:hAnsi="Times New Roman" w:cs="Times New Roman"/>
          <w:color w:val="000000"/>
          <w:sz w:val="22"/>
          <w:szCs w:val="22"/>
        </w:rPr>
        <w:t>citogen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etikai válasz </w:t>
      </w:r>
      <w:r>
        <w:rPr>
          <w:rFonts w:ascii="Times New Roman" w:hAnsi="Times New Roman" w:cs="Times New Roman"/>
          <w:color w:val="000000"/>
          <w:sz w:val="22"/>
          <w:szCs w:val="22"/>
        </w:rPr>
        <w:t>[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MCyR</w:t>
      </w:r>
      <w:r>
        <w:rPr>
          <w:rFonts w:ascii="Times New Roman" w:hAnsi="Times New Roman" w:cs="Times New Roman"/>
          <w:color w:val="000000"/>
          <w:sz w:val="22"/>
          <w:szCs w:val="22"/>
        </w:rPr>
        <w:t>]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24 hónapon belül), illetve megszűnt a válasz (CHR vagy MCyR megszűnése), vagy </w:t>
      </w:r>
      <w:r w:rsidR="00AD7934">
        <w:rPr>
          <w:rFonts w:ascii="Times New Roman" w:hAnsi="Times New Roman" w:cs="Times New Roman"/>
          <w:color w:val="000000"/>
          <w:sz w:val="22"/>
          <w:szCs w:val="22"/>
        </w:rPr>
        <w:t xml:space="preserve">súlyos mértékben 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nem tolerálták a kezelést, </w:t>
      </w:r>
      <w:r w:rsidR="00AD7934">
        <w:rPr>
          <w:rFonts w:ascii="Times New Roman" w:hAnsi="Times New Roman" w:cs="Times New Roman"/>
          <w:color w:val="000000"/>
          <w:sz w:val="22"/>
          <w:szCs w:val="22"/>
        </w:rPr>
        <w:t>válthattak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kezelési csoport</w:t>
      </w:r>
      <w:r w:rsidR="00AD7934">
        <w:rPr>
          <w:rFonts w:ascii="Times New Roman" w:hAnsi="Times New Roman" w:cs="Times New Roman"/>
          <w:color w:val="000000"/>
          <w:sz w:val="22"/>
          <w:szCs w:val="22"/>
        </w:rPr>
        <w:t>ot</w:t>
      </w:r>
      <w:r w:rsidR="0092667F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 w:rsidR="0092667F" w:rsidRPr="0092667F">
        <w:rPr>
          <w:rFonts w:ascii="Times New Roman" w:hAnsi="Times New Roman" w:cs="Times New Roman"/>
          <w:i/>
          <w:iCs/>
          <w:color w:val="000000"/>
          <w:sz w:val="22"/>
          <w:szCs w:val="22"/>
        </w:rPr>
        <w:t>cross-over</w:t>
      </w:r>
      <w:r w:rsidR="0092667F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</w:rPr>
        <w:t>Az imatinib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-csoportban a betegek naponta 400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mg 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</w:rPr>
        <w:t>imatinibet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kaptak, az IFN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csoportban 5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>
        <w:rPr>
          <w:rFonts w:ascii="Times New Roman" w:hAnsi="Times New Roman" w:cs="Times New Roman"/>
          <w:color w:val="000000"/>
          <w:sz w:val="22"/>
          <w:szCs w:val="22"/>
        </w:rPr>
        <w:t>millió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 xml:space="preserve"> NE/m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/nap IFN és 20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mg/m</w:t>
      </w:r>
      <w:r w:rsidR="00350D65" w:rsidRPr="00F567BF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/nap Ara-C kombinációt kaptak subcutan, havonta 10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="00350D65" w:rsidRPr="00350D65">
        <w:rPr>
          <w:rFonts w:ascii="Times New Roman" w:hAnsi="Times New Roman" w:cs="Times New Roman"/>
          <w:color w:val="000000"/>
          <w:sz w:val="22"/>
          <w:szCs w:val="22"/>
        </w:rPr>
        <w:t>napon keresztül.</w:t>
      </w:r>
    </w:p>
    <w:p w14:paraId="5F2FB22D" w14:textId="77777777" w:rsidR="00350D65" w:rsidRPr="00F567BF" w:rsidRDefault="00350D65" w:rsidP="00350D65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43D35B83" w14:textId="5E7C883E" w:rsidR="00350D65" w:rsidRPr="00F567BF" w:rsidRDefault="00350D65" w:rsidP="00CD74EB">
      <w:pPr>
        <w:rPr>
          <w:rFonts w:ascii="Times New Roman" w:eastAsia="Times New Roman" w:hAnsi="Times New Roman"/>
        </w:rPr>
      </w:pPr>
      <w:r w:rsidRPr="00F567BF">
        <w:rPr>
          <w:rFonts w:ascii="Times New Roman" w:hAnsi="Times New Roman" w:cs="Times New Roman"/>
          <w:color w:val="000000"/>
          <w:sz w:val="22"/>
          <w:szCs w:val="22"/>
        </w:rPr>
        <w:t>Összesen 1106</w:t>
      </w:r>
      <w:r w:rsidR="00460ACF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beteget randomizáltak (553-</w:t>
      </w:r>
      <w:r w:rsidR="004750FE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t mind</w:t>
      </w:r>
      <w:r w:rsidR="0092667F">
        <w:rPr>
          <w:rFonts w:ascii="Times New Roman" w:hAnsi="Times New Roman" w:cs="Times New Roman"/>
          <w:color w:val="000000"/>
          <w:sz w:val="22"/>
          <w:szCs w:val="22"/>
        </w:rPr>
        <w:t>két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 csoportban). A két csoport a kiindulási </w:t>
      </w:r>
      <w:r w:rsidR="00C91F84">
        <w:rPr>
          <w:rFonts w:ascii="Times New Roman" w:hAnsi="Times New Roman" w:cs="Times New Roman"/>
          <w:color w:val="000000"/>
          <w:sz w:val="22"/>
          <w:szCs w:val="22"/>
        </w:rPr>
        <w:t>jellemzőket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 illetően kiegyenlített volt. Az átlagéletkor 51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év (18–70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év) volt. A betegek 21,9%-a volt 60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éves vagy </w:t>
      </w:r>
      <w:r w:rsidR="00C91F84">
        <w:rPr>
          <w:rFonts w:ascii="Times New Roman" w:hAnsi="Times New Roman" w:cs="Times New Roman"/>
          <w:color w:val="000000"/>
          <w:sz w:val="22"/>
          <w:szCs w:val="22"/>
        </w:rPr>
        <w:t>idősebb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. 59% volt a férfiak és 41% volt a nők aránya; 89,9% kaukázusi, 4,7% fekete</w:t>
      </w:r>
      <w:r w:rsidR="00C03B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55AB0">
        <w:rPr>
          <w:rFonts w:ascii="Times New Roman" w:hAnsi="Times New Roman" w:cs="Times New Roman"/>
          <w:color w:val="000000"/>
          <w:sz w:val="22"/>
          <w:szCs w:val="22"/>
        </w:rPr>
        <w:t>bőrű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 rasszbeli volt. Hét évvel az utolsó beteg bevonása után az első vonalbeli kezelés medián időtartama az imatinib-csoportban 82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hónap, az IFN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csoportban 8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hónap volt. A másodvonalbeli imatinib-kezelés medián időtartama 64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hónap volt. Az első vonalbeli imatinib-kezelésben részesülő betegek átlagos napi </w:t>
      </w:r>
      <w:r w:rsidR="00475B5E">
        <w:rPr>
          <w:rFonts w:ascii="Times New Roman" w:hAnsi="Times New Roman" w:cs="Times New Roman"/>
          <w:color w:val="000000"/>
          <w:sz w:val="22"/>
          <w:szCs w:val="22"/>
        </w:rPr>
        <w:t>dózis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a 406</w:t>
      </w:r>
      <w:r w:rsidR="00CD74EB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±</w:t>
      </w:r>
      <w:r w:rsidR="00CD74EB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76 mg volt. A vizsgálat elsődleges hat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ásos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sági végpontja a progres</w:t>
      </w:r>
      <w:r w:rsidR="00245FA0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ziómentes túlélés. Progressziónak az alábbi események bármelyikének bekövetkeztét tekintették: akcelerált fázisba vagy blasztos krízisbe való progresszió, halál, a CHR vagy MCyR megszűnése, vagy, ha megfelelő kezelés mellett sem jött létre CHR, nőtt a fehérvérsejtszám. Fő másodlagos végpontok: </w:t>
      </w:r>
      <w:r w:rsidR="004E448F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E30E12">
        <w:rPr>
          <w:rFonts w:ascii="Times New Roman" w:hAnsi="Times New Roman" w:cs="Times New Roman"/>
          <w:color w:val="000000"/>
          <w:sz w:val="22"/>
          <w:szCs w:val="22"/>
        </w:rPr>
        <w:t>nagyfokú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3FFA">
        <w:rPr>
          <w:rFonts w:ascii="Times New Roman" w:hAnsi="Times New Roman" w:cs="Times New Roman"/>
          <w:color w:val="000000"/>
          <w:sz w:val="22"/>
          <w:szCs w:val="22"/>
        </w:rPr>
        <w:t>citogen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etikai válasz, a hematológiai válasz, molekuláris válasz (a minimális reziduális betegség értékelése), az akcelerált fázisig vagy a blasztos krízisig eltelt idő és a túlélés. A 2.</w:t>
      </w:r>
      <w:r w:rsidR="00F41009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Pr="00F567BF">
        <w:rPr>
          <w:rFonts w:ascii="Times New Roman" w:hAnsi="Times New Roman" w:cs="Times New Roman"/>
          <w:color w:val="000000"/>
          <w:sz w:val="22"/>
          <w:szCs w:val="22"/>
        </w:rPr>
        <w:t>táblázat a kezelésre adott választ mutatja.</w:t>
      </w:r>
    </w:p>
    <w:p w14:paraId="1E6A9166" w14:textId="77777777" w:rsidR="00350D65" w:rsidRPr="00F567BF" w:rsidRDefault="00350D65">
      <w:pPr>
        <w:spacing w:line="235" w:lineRule="exact"/>
        <w:rPr>
          <w:rFonts w:ascii="Times New Roman" w:eastAsia="Times New Roman" w:hAnsi="Times New Roman"/>
        </w:rPr>
      </w:pPr>
    </w:p>
    <w:p w14:paraId="7958C39A" w14:textId="57F98BED" w:rsidR="00350D65" w:rsidRPr="00F567BF" w:rsidRDefault="00350D65" w:rsidP="00C230B5">
      <w:pPr>
        <w:keepNext/>
        <w:tabs>
          <w:tab w:val="left" w:pos="1134"/>
        </w:tabs>
        <w:ind w:left="1134" w:hanging="1134"/>
        <w:rPr>
          <w:rFonts w:ascii="Times New Roman" w:eastAsia="Times New Roman" w:hAnsi="Times New Roman"/>
          <w:b/>
          <w:sz w:val="22"/>
          <w:szCs w:val="22"/>
        </w:rPr>
      </w:pPr>
      <w:r w:rsidRPr="00F567BF">
        <w:rPr>
          <w:rFonts w:ascii="Times New Roman" w:eastAsia="Times New Roman" w:hAnsi="Times New Roman"/>
          <w:b/>
          <w:sz w:val="22"/>
          <w:szCs w:val="22"/>
        </w:rPr>
        <w:t>2. táblázat</w:t>
      </w:r>
      <w:r w:rsidR="00F41009">
        <w:rPr>
          <w:rFonts w:ascii="Times New Roman" w:eastAsia="Times New Roman" w:hAnsi="Times New Roman"/>
          <w:b/>
          <w:sz w:val="22"/>
          <w:szCs w:val="22"/>
        </w:rPr>
        <w:t>:</w:t>
      </w:r>
      <w:r w:rsidRPr="00F567BF">
        <w:rPr>
          <w:rFonts w:ascii="Times New Roman" w:eastAsia="Times New Roman" w:hAnsi="Times New Roman"/>
          <w:b/>
          <w:sz w:val="22"/>
          <w:szCs w:val="22"/>
        </w:rPr>
        <w:tab/>
      </w:r>
      <w:r w:rsidR="00C230B5">
        <w:rPr>
          <w:rFonts w:ascii="Times New Roman" w:eastAsia="Times New Roman" w:hAnsi="Times New Roman"/>
          <w:b/>
          <w:sz w:val="22"/>
          <w:szCs w:val="22"/>
        </w:rPr>
        <w:t>A</w:t>
      </w:r>
      <w:r w:rsidR="00C230B5" w:rsidRPr="00F567BF">
        <w:rPr>
          <w:rFonts w:ascii="Times New Roman" w:eastAsia="Times New Roman" w:hAnsi="Times New Roman"/>
          <w:b/>
          <w:sz w:val="22"/>
          <w:szCs w:val="22"/>
        </w:rPr>
        <w:t xml:space="preserve"> kezelésre adott válasz </w:t>
      </w:r>
      <w:r w:rsidR="00C230B5">
        <w:rPr>
          <w:rFonts w:ascii="Times New Roman" w:eastAsia="Times New Roman" w:hAnsi="Times New Roman"/>
          <w:b/>
          <w:sz w:val="22"/>
          <w:szCs w:val="22"/>
        </w:rPr>
        <w:t>a</w:t>
      </w:r>
      <w:r w:rsidRPr="00F567BF">
        <w:rPr>
          <w:rFonts w:ascii="Times New Roman" w:eastAsia="Times New Roman" w:hAnsi="Times New Roman"/>
          <w:b/>
          <w:sz w:val="22"/>
          <w:szCs w:val="22"/>
        </w:rPr>
        <w:t>z újonnan diagnosztizált CML vizsgálat</w:t>
      </w:r>
      <w:r w:rsidR="004E448F">
        <w:rPr>
          <w:rFonts w:ascii="Times New Roman" w:eastAsia="Times New Roman" w:hAnsi="Times New Roman"/>
          <w:b/>
          <w:sz w:val="22"/>
          <w:szCs w:val="22"/>
        </w:rPr>
        <w:t>á</w:t>
      </w:r>
      <w:r w:rsidR="00C230B5">
        <w:rPr>
          <w:rFonts w:ascii="Times New Roman" w:eastAsia="Times New Roman" w:hAnsi="Times New Roman"/>
          <w:b/>
          <w:sz w:val="22"/>
          <w:szCs w:val="22"/>
        </w:rPr>
        <w:t>ban</w:t>
      </w:r>
      <w:r w:rsidRPr="00F567BF">
        <w:rPr>
          <w:rFonts w:ascii="Times New Roman" w:eastAsia="Times New Roman" w:hAnsi="Times New Roman"/>
          <w:b/>
          <w:sz w:val="22"/>
          <w:szCs w:val="22"/>
        </w:rPr>
        <w:t xml:space="preserve"> (84</w:t>
      </w:r>
      <w:r w:rsidR="00A224F7">
        <w:rPr>
          <w:rFonts w:ascii="Times New Roman" w:eastAsia="Times New Roman" w:hAnsi="Times New Roman"/>
          <w:b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b/>
          <w:sz w:val="22"/>
          <w:szCs w:val="22"/>
        </w:rPr>
        <w:t>hónapos adatok)</w:t>
      </w:r>
    </w:p>
    <w:p w14:paraId="5D54EB12" w14:textId="77777777" w:rsidR="00350D65" w:rsidRPr="00F567BF" w:rsidRDefault="00350D65" w:rsidP="00C230B5">
      <w:pPr>
        <w:keepNext/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tbl>
      <w:tblPr>
        <w:tblW w:w="4477" w:type="pct"/>
        <w:tblInd w:w="-10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00"/>
        <w:gridCol w:w="1973"/>
        <w:gridCol w:w="2532"/>
      </w:tblGrid>
      <w:tr w:rsidR="00350D65" w:rsidRPr="00350D65" w14:paraId="50A2A49D" w14:textId="77777777" w:rsidTr="00F9751E"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02C2" w14:textId="77777777" w:rsidR="00350D65" w:rsidRPr="00350D65" w:rsidRDefault="00350D65" w:rsidP="00C230B5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(</w:t>
            </w:r>
            <w:r w:rsidRPr="00F567B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A legjobb válaszarányok</w:t>
            </w:r>
            <w:r w:rsidRPr="00350D65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9190" w14:textId="77777777" w:rsidR="00350D65" w:rsidRPr="00350D65" w:rsidRDefault="00350D65" w:rsidP="00C230B5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350D65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Imatinib</w:t>
            </w:r>
          </w:p>
          <w:p w14:paraId="721E06EB" w14:textId="77777777" w:rsidR="00350D65" w:rsidRPr="00350D65" w:rsidRDefault="00350D65" w:rsidP="00C230B5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</w:t>
            </w:r>
            <w:r w:rsidR="00F9751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=</w:t>
            </w:r>
            <w:r w:rsidR="00F9751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553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5BC3" w14:textId="77777777" w:rsidR="00350D65" w:rsidRPr="00350D65" w:rsidRDefault="00350D65" w:rsidP="00C230B5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350D65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IFN+Ara-C</w:t>
            </w:r>
          </w:p>
          <w:p w14:paraId="6058FB04" w14:textId="77777777" w:rsidR="00350D65" w:rsidRPr="00350D65" w:rsidRDefault="00350D65" w:rsidP="00C230B5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</w:t>
            </w:r>
            <w:r w:rsidR="00F9751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=</w:t>
            </w:r>
            <w:r w:rsidR="00F9751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553</w:t>
            </w:r>
          </w:p>
        </w:tc>
      </w:tr>
      <w:tr w:rsidR="00350D65" w:rsidRPr="00350D65" w14:paraId="28C10F5E" w14:textId="77777777" w:rsidTr="00F9751E">
        <w:trPr>
          <w:trHeight w:val="338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4EA" w14:textId="77777777" w:rsidR="00350D65" w:rsidRPr="00350D65" w:rsidRDefault="00350D65" w:rsidP="00C230B5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Hematológiai válasz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2B60" w14:textId="77777777" w:rsidR="00350D65" w:rsidRPr="00350D65" w:rsidRDefault="00350D65" w:rsidP="00C230B5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B55A" w14:textId="77777777" w:rsidR="00350D65" w:rsidRPr="00350D65" w:rsidRDefault="00350D65" w:rsidP="00C230B5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</w:p>
        </w:tc>
      </w:tr>
      <w:tr w:rsidR="00350D65" w:rsidRPr="00350D65" w14:paraId="5194F153" w14:textId="77777777" w:rsidTr="00F9751E">
        <w:trPr>
          <w:trHeight w:val="337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628B" w14:textId="77777777" w:rsidR="00350D65" w:rsidRPr="00350D65" w:rsidRDefault="00350D65" w:rsidP="00C230B5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CHR 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arány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n 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165C" w14:textId="77777777" w:rsidR="00350D65" w:rsidRPr="00350D65" w:rsidRDefault="00350D65" w:rsidP="00C230B5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534 (96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6%)*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932C" w14:textId="77777777" w:rsidR="00350D65" w:rsidRPr="00350D65" w:rsidRDefault="00350D65" w:rsidP="00C230B5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313 (56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6%)*</w:t>
            </w:r>
          </w:p>
        </w:tc>
      </w:tr>
      <w:tr w:rsidR="00350D65" w:rsidRPr="00350D65" w14:paraId="206D1AC1" w14:textId="77777777" w:rsidTr="00F9751E">
        <w:trPr>
          <w:trHeight w:val="337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E09" w14:textId="77777777" w:rsidR="00350D65" w:rsidRPr="00350D65" w:rsidRDefault="00350D65" w:rsidP="008B630E">
            <w:pPr>
              <w:ind w:left="426" w:hanging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[95%</w:t>
            </w:r>
            <w:r w:rsidR="0009453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-os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CI]</w:t>
            </w:r>
          </w:p>
          <w:p w14:paraId="0824D3CB" w14:textId="77777777" w:rsidR="00350D65" w:rsidRPr="00350D65" w:rsidRDefault="00350D65" w:rsidP="00350D65">
            <w:pPr>
              <w:ind w:left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C208" w14:textId="5FF587F3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[94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7%</w:t>
            </w:r>
            <w:r w:rsidR="00B90E06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; 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97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9%]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519F" w14:textId="0EFF1996" w:rsidR="00350D65" w:rsidRPr="00350D65" w:rsidRDefault="00350D65" w:rsidP="00F4100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[52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4%</w:t>
            </w:r>
            <w:r w:rsidR="00084FB8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; 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60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8%]</w:t>
            </w:r>
          </w:p>
        </w:tc>
      </w:tr>
      <w:tr w:rsidR="00350D65" w:rsidRPr="00350D65" w14:paraId="1C9CAB2A" w14:textId="77777777" w:rsidTr="00F9751E">
        <w:trPr>
          <w:trHeight w:val="337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175D" w14:textId="77777777" w:rsidR="00350D65" w:rsidRPr="00350D65" w:rsidRDefault="00703FFA" w:rsidP="00350D65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Citogen</w:t>
            </w:r>
            <w:r w:rsidR="00350D65" w:rsidRPr="00F567B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etikai válasz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F593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nl-NL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B103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nl-NL"/>
              </w:rPr>
            </w:pPr>
          </w:p>
        </w:tc>
      </w:tr>
      <w:tr w:rsidR="00350D65" w:rsidRPr="00350D65" w14:paraId="775E3B05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3363" w14:textId="77777777" w:rsidR="00350D65" w:rsidRPr="00350D65" w:rsidRDefault="00350D65" w:rsidP="00350D6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Nagyfokú válasz (MCyR) 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 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4197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490 (88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6%)*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3BE3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129 (23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3%)*</w:t>
            </w:r>
          </w:p>
        </w:tc>
      </w:tr>
      <w:tr w:rsidR="00350D65" w:rsidRPr="00350D65" w14:paraId="316E3AFF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1A8F" w14:textId="77777777" w:rsidR="00350D65" w:rsidRPr="00350D65" w:rsidRDefault="00350D65" w:rsidP="008B630E">
            <w:pPr>
              <w:ind w:left="426" w:hanging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[95%</w:t>
            </w:r>
            <w:r w:rsidR="0009453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-os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CI]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E7F2" w14:textId="62DE4D68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[85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7%</w:t>
            </w:r>
            <w:r w:rsidR="00B90E0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; 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91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1%]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FC78" w14:textId="6DC17411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[19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9%</w:t>
            </w:r>
            <w:r w:rsidR="00B90E0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27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1%]</w:t>
            </w:r>
          </w:p>
        </w:tc>
      </w:tr>
      <w:tr w:rsidR="00350D65" w:rsidRPr="00350D65" w14:paraId="69B5EF06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356" w14:textId="318E93D5" w:rsidR="00350D65" w:rsidRPr="00350D65" w:rsidRDefault="00E13498" w:rsidP="00350D65">
            <w:pPr>
              <w:ind w:left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</w:t>
            </w:r>
            <w:r w:rsidRPr="00E1349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eljes</w:t>
            </w:r>
            <w:r w:rsidR="00350D65"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CyR n 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CE1F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456 (82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5%)*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22BF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64 (11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6%)*</w:t>
            </w:r>
          </w:p>
        </w:tc>
      </w:tr>
      <w:tr w:rsidR="00350D65" w:rsidRPr="00350D65" w14:paraId="06AFBEBB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99EB" w14:textId="77777777" w:rsidR="00350D65" w:rsidRPr="00350D65" w:rsidRDefault="00350D65" w:rsidP="00350D65">
            <w:pPr>
              <w:ind w:left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Részleges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CyR n (%)</w:t>
            </w:r>
          </w:p>
          <w:p w14:paraId="1CE06C98" w14:textId="77777777" w:rsidR="00350D65" w:rsidRPr="00350D65" w:rsidRDefault="00350D65" w:rsidP="00350D65">
            <w:pPr>
              <w:ind w:left="42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BABD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34 (6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1%)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D55B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65 (11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8%)</w:t>
            </w:r>
          </w:p>
        </w:tc>
      </w:tr>
      <w:tr w:rsidR="00350D65" w:rsidRPr="00350D65" w14:paraId="529207F8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C807" w14:textId="77777777" w:rsidR="00350D65" w:rsidRPr="00350D65" w:rsidRDefault="00350D65" w:rsidP="00350D65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Molekuláris válasz</w:t>
            </w:r>
            <w:r w:rsidRPr="00350D65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en-GB"/>
              </w:rPr>
              <w:t>**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81F2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ECBE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</w:p>
        </w:tc>
      </w:tr>
      <w:tr w:rsidR="00350D65" w:rsidRPr="00350D65" w14:paraId="6DDFF62C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91DB" w14:textId="77777777" w:rsidR="00350D65" w:rsidRPr="00350D65" w:rsidRDefault="00350D65" w:rsidP="00350D6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Nagyfokú válasz a 12. hónapban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5374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153/305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2%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5B42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8/83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9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6%</w:t>
            </w:r>
          </w:p>
        </w:tc>
      </w:tr>
      <w:tr w:rsidR="00350D65" w:rsidRPr="00350D65" w14:paraId="3675BA1C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F849" w14:textId="77777777" w:rsidR="00350D65" w:rsidRPr="00350D65" w:rsidRDefault="00350D65" w:rsidP="00350D6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Nagyfokú válasz a 24. hónapban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DD91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73/104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70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2%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BD5E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3/12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924F3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25%</w:t>
            </w:r>
          </w:p>
        </w:tc>
      </w:tr>
      <w:tr w:rsidR="00350D65" w:rsidRPr="00350D65" w14:paraId="2DEC68C6" w14:textId="77777777" w:rsidTr="00F9751E">
        <w:trPr>
          <w:trHeight w:val="210"/>
        </w:trPr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8608" w14:textId="77777777" w:rsidR="00350D65" w:rsidRPr="00350D65" w:rsidRDefault="00350D65" w:rsidP="00350D6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Nagyfokú válasz a 84. hónapban 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(%)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D425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102/116</w:t>
            </w:r>
            <w:r w:rsidR="0061442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61442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87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,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9%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7738" w14:textId="77777777" w:rsidR="00350D65" w:rsidRPr="00350D65" w:rsidRDefault="00350D65" w:rsidP="00350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3/4</w:t>
            </w:r>
            <w:r w:rsidR="0061442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=</w:t>
            </w:r>
            <w:r w:rsidR="0061442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75%</w:t>
            </w:r>
          </w:p>
        </w:tc>
      </w:tr>
      <w:tr w:rsidR="00350D65" w:rsidRPr="00350D65" w14:paraId="5781E4A0" w14:textId="77777777" w:rsidTr="00F9751E">
        <w:trPr>
          <w:trHeight w:val="21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4E11" w14:textId="77777777" w:rsidR="00350D65" w:rsidRPr="00F9751E" w:rsidRDefault="00350D65" w:rsidP="002A5193">
            <w:pPr>
              <w:tabs>
                <w:tab w:val="left" w:pos="308"/>
              </w:tabs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350D6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*</w:t>
            </w:r>
            <w:r w:rsidR="002A5193" w:rsidRPr="002A519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ab/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p&lt;</w:t>
            </w:r>
            <w:r w:rsidR="002A5193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0,001, Fischer-féle egzakt próba</w:t>
            </w:r>
          </w:p>
          <w:p w14:paraId="78CBCFB8" w14:textId="45CA1C55" w:rsidR="00350D65" w:rsidRPr="00F9751E" w:rsidRDefault="00350D65" w:rsidP="002A5193">
            <w:pPr>
              <w:tabs>
                <w:tab w:val="left" w:pos="308"/>
              </w:tabs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**</w:t>
            </w:r>
            <w:r w:rsidR="002A5193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ab/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 molekuláris válasz százalékarány</w:t>
            </w:r>
            <w:r w:rsidR="004E448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ai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rendelkezésre álló mintákon alapulnak</w:t>
            </w:r>
          </w:p>
          <w:p w14:paraId="3DECB51D" w14:textId="7CA16DC7" w:rsidR="00350D65" w:rsidRPr="00F9751E" w:rsidRDefault="00350D65" w:rsidP="00350D65">
            <w:pPr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</w:pP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lastRenderedPageBreak/>
              <w:t>A hematológiai válasz kritériumai (minde</w:t>
            </w:r>
            <w:r w:rsidR="00A312CC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n választ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 xml:space="preserve"> meg</w:t>
            </w:r>
            <w:r w:rsidR="00A312CC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 xml:space="preserve"> kell 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erősít</w:t>
            </w:r>
            <w:r w:rsidR="00A312CC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eni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 xml:space="preserve"> </w:t>
            </w:r>
            <w:r w:rsidR="002F201D"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≥ 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4</w:t>
            </w:r>
            <w:r w:rsidR="002A5193"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 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hét múlva):</w:t>
            </w:r>
          </w:p>
          <w:p w14:paraId="3CECE956" w14:textId="31A70693" w:rsidR="00350D65" w:rsidRPr="00F9751E" w:rsidRDefault="00350D65" w:rsidP="00350D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</w:t>
            </w:r>
            <w:r w:rsidR="0051183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ehérvérsejtszám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273092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&lt;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  <w:r w:rsidR="004E448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="002F201D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×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en-GB"/>
              </w:rPr>
              <w:t>9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/l, 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thrombocytaszám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273092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&lt;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  <w:r w:rsidR="004E448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="002F201D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×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en-GB"/>
              </w:rPr>
              <w:t>9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/l, myelocyt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  <w:r w:rsidR="004E448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+</w:t>
            </w:r>
            <w:r w:rsidR="004E448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metamyelocyt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273092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&lt;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5% 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 vérben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nincs </w:t>
            </w:r>
            <w:r w:rsidR="001D4763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blaszt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és promyelocyta a vérben, basophil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273092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&lt;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20%, </w:t>
            </w:r>
            <w:r w:rsidR="000C2861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nincs extramedullaris </w:t>
            </w:r>
            <w:r w:rsidR="0051183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érintettség</w:t>
            </w:r>
          </w:p>
          <w:p w14:paraId="575215E6" w14:textId="2A6FC97D" w:rsidR="00350D65" w:rsidRPr="00F9751E" w:rsidRDefault="000C2861" w:rsidP="00350D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 xml:space="preserve">A </w:t>
            </w:r>
            <w:r w:rsidR="00703FFA"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citogen</w:t>
            </w: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etikai válasz kritériumai</w:t>
            </w:r>
            <w:r w:rsidR="00350D65"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: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E13498" w:rsidRPr="00E1349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teljes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 0% Ph+ metafázis; részleges: 1–35%; minor: 36</w:t>
            </w:r>
            <w:r w:rsidR="0061442C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–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65%; minimális: 66–95%. A nagyfokú választ (0–35%) a </w:t>
            </w:r>
            <w:r w:rsidR="00E13498" w:rsidRPr="00E1349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teljes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és részleges válasz együttesen jelenti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  <w:p w14:paraId="031F014F" w14:textId="3754BE2F" w:rsidR="00350D65" w:rsidRPr="00350D65" w:rsidRDefault="000C2861" w:rsidP="002A519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A nagyfokú molekuláris válasz kritériumai</w:t>
            </w:r>
            <w:r w:rsidR="00350D65" w:rsidRPr="00F9751E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: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 B</w:t>
            </w:r>
            <w:r w:rsidR="00161907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CR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-A</w:t>
            </w:r>
            <w:r w:rsidR="00161907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BL</w:t>
            </w:r>
            <w:r w:rsidR="0016190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transzkrip</w:t>
            </w:r>
            <w:r w:rsidR="0016190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tum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mennyiségének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2F201D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≥ 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3 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logaritmus</w:t>
            </w:r>
            <w:r w:rsidR="00C310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os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csökkenése a perifériás vérben 12</w:t>
            </w:r>
            <w:r w:rsidR="00C310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  <w:r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hónapos kezelést követően (valós idejű, kvantatív reverz transzkriptáz PCR módszerrel mérve) egy standard kiindulási értékhez viszonyítva</w:t>
            </w:r>
            <w:r w:rsidR="00350D65" w:rsidRPr="00F9751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</w:tr>
    </w:tbl>
    <w:p w14:paraId="2D2CBF6C" w14:textId="77777777" w:rsidR="00350D65" w:rsidRPr="00F567BF" w:rsidRDefault="00350D65">
      <w:pPr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p w14:paraId="28B84EEE" w14:textId="0A80B4F5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Az első vonalbeli kezelésre adott </w:t>
      </w:r>
      <w:r w:rsidR="00E13498" w:rsidRPr="00E13498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hematológiai válasz, nagyfokú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 és </w:t>
      </w:r>
      <w:r w:rsidR="00E13498" w:rsidRPr="00E13498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 arányait Kaplan</w:t>
      </w:r>
      <w:r w:rsidR="004E448F">
        <w:rPr>
          <w:rFonts w:ascii="Times New Roman" w:eastAsia="Times New Roman" w:hAnsi="Times New Roman" w:cs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Meier</w:t>
      </w:r>
      <w:r w:rsidR="00E13498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módszerrel </w:t>
      </w:r>
      <w:r w:rsidR="00CA2339">
        <w:rPr>
          <w:rFonts w:ascii="Times New Roman" w:eastAsia="Times New Roman" w:hAnsi="Times New Roman" w:cs="Times New Roman"/>
          <w:sz w:val="22"/>
          <w:szCs w:val="22"/>
        </w:rPr>
        <w:t>becsülték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melynek során a nem reagálókat az utolsó vizsgálat időpontjában </w:t>
      </w:r>
      <w:r w:rsidR="0049351D">
        <w:rPr>
          <w:rFonts w:ascii="Times New Roman" w:eastAsia="Times New Roman" w:hAnsi="Times New Roman" w:cs="Times New Roman"/>
          <w:sz w:val="22"/>
          <w:szCs w:val="22"/>
        </w:rPr>
        <w:t>cenzorálták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 Az első vonalbeli imatinib-kezelésre adott becsült kumulatív válaszarányok ezen módszerrel meghatározott értékei a kezelés időtartamának előrehaladtával javultak: 12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hónapos kezelés esetén a CHR 96,4%, a CCyR 69,5% volt, 84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hónapos kezelés esetén pedig a CHR 98,4%, a CCyR 87,2% volt.</w:t>
      </w:r>
    </w:p>
    <w:p w14:paraId="41B8B8E2" w14:textId="64DC5288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Hétéves nyomon</w:t>
      </w:r>
      <w:r w:rsidR="0049351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követés során az imatinib-csoportban 93 (16,8%) progresszióval kapcsolatos esemény lépett fel: 37 esetben (6,7%) akcelerált fázisba vagy blasztos krízisbe történő progresszió, 31 esetben (5,6%) a nagyfokú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 megszűnése, 15 esetben (2,7%) a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hematológiai válasz megszűnése vagy a fehérvérsejtszám emelkedése, és 10 esetben (1,8%) a CML</w:t>
      </w:r>
      <w:r w:rsidR="00C33962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től független halálozás. Ezzel szemben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Ara-C-csoportban 165 esemény (29,8%) következett be, melyek közül 130 az első vonalbeli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Ara-C</w:t>
      </w:r>
      <w:r w:rsidR="00C33962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 mellett lépett fel.</w:t>
      </w:r>
    </w:p>
    <w:p w14:paraId="66998752" w14:textId="77777777" w:rsidR="00256072" w:rsidRPr="00F567BF" w:rsidRDefault="00256072" w:rsidP="00F31466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AE95119" w14:textId="6DC7242B" w:rsidR="00256072" w:rsidRPr="00F567BF" w:rsidRDefault="00256072" w:rsidP="00F31466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>A 84.</w:t>
      </w:r>
      <w:r w:rsidR="00CE1303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hónapban az akcelerált fázisba vagy a blasztos krízisbe való progressziótól mentes betegek becsült aránya szignifikánsan magasabb volt az imatinib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mint az INF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csoportban (92,5% </w:t>
      </w:r>
      <w:r w:rsidRPr="00647049">
        <w:rPr>
          <w:rFonts w:ascii="Times New Roman" w:eastAsia="Times New Roman" w:hAnsi="Times New Roman" w:cs="Times New Roman"/>
          <w:i/>
          <w:iCs/>
          <w:sz w:val="22"/>
          <w:szCs w:val="22"/>
        </w:rPr>
        <w:t>vs.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85,1%, p</w:t>
      </w:r>
      <w:r w:rsidR="00CE1303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0,001). Az akcelerált fázisba vagy blasztos krízisbe történő progresszió éves aránya a kezelés időtartamával párhuzamosan csökkent, és a 4</w:t>
      </w:r>
      <w:r w:rsidRPr="005A1F6B">
        <w:rPr>
          <w:rFonts w:ascii="Times New Roman" w:eastAsia="Times New Roman" w:hAnsi="Times New Roman" w:cs="Times New Roman"/>
          <w:sz w:val="22"/>
          <w:szCs w:val="22"/>
        </w:rPr>
        <w:t>., ill</w:t>
      </w:r>
      <w:r w:rsidR="005A1F6B">
        <w:rPr>
          <w:rFonts w:ascii="Times New Roman" w:eastAsia="Times New Roman" w:hAnsi="Times New Roman" w:cs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5.</w:t>
      </w:r>
      <w:r w:rsidR="00475B5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évben kevesebb volt </w:t>
      </w:r>
      <w:r w:rsidR="007E1692">
        <w:rPr>
          <w:rFonts w:ascii="Times New Roman" w:eastAsia="Times New Roman" w:hAnsi="Times New Roman" w:cs="Times New Roman"/>
          <w:sz w:val="22"/>
          <w:szCs w:val="22"/>
        </w:rPr>
        <w:t xml:space="preserve">évi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1%-nál. A becsült progre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sziómentes túlélési arány a 84.</w:t>
      </w:r>
      <w:r w:rsidR="00475B5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hónapban 81,2% volt az imatinib-csoportban, a kontrollcsoportban pedig 60,6% (p</w:t>
      </w:r>
      <w:r w:rsidR="00CE1303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0,001). Imatinib mellett a progresszió minden típusának éves aránya szintén csökkent az idő előrehaladtával.</w:t>
      </w:r>
    </w:p>
    <w:p w14:paraId="53D8ECAB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3FC4BFD" w14:textId="51E3356D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9501AC">
        <w:rPr>
          <w:rFonts w:ascii="Times New Roman" w:eastAsia="Times New Roman" w:hAnsi="Times New Roman" w:cs="Times New Roman"/>
          <w:sz w:val="22"/>
          <w:szCs w:val="22"/>
        </w:rPr>
        <w:t>Az imatinib-csoportban összesen 71</w:t>
      </w:r>
      <w:r w:rsidR="00460ACF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beteg (12,8%),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Ara-C-csoportban 85</w:t>
      </w:r>
      <w:r w:rsidR="00460ACF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beteg (15,4%) halt meg. A 84.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hónapban a becsült teljes túlélés az imatinib-csoportban 86,4% (83</w:t>
      </w:r>
      <w:r w:rsidR="00EA32F5" w:rsidRPr="009501AC">
        <w:rPr>
          <w:rFonts w:ascii="Times New Roman" w:eastAsia="Times New Roman" w:hAnsi="Times New Roman" w:cs="Times New Roman"/>
          <w:sz w:val="22"/>
          <w:szCs w:val="22"/>
        </w:rPr>
        <w:t>−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90),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Ara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C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csoportban 83,3% (80</w:t>
      </w:r>
      <w:r w:rsidR="00EA32F5" w:rsidRPr="009501AC">
        <w:rPr>
          <w:rFonts w:ascii="Times New Roman" w:eastAsia="Times New Roman" w:hAnsi="Times New Roman" w:cs="Times New Roman"/>
          <w:sz w:val="22"/>
          <w:szCs w:val="22"/>
        </w:rPr>
        <w:t>−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87) volt (p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=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0,073, log</w:t>
      </w:r>
      <w:r w:rsidR="00072661" w:rsidRPr="009501A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rank próba). Az „eseményig eltelt idő” végpontot nagymértékben befolyásolja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 w:cs="Times New Roman"/>
          <w:sz w:val="22"/>
          <w:szCs w:val="22"/>
        </w:rPr>
        <w:t>Ara-C kezelésről imatinib-kezelésre történő váltás magas aránya. Az imatinib-kezelés túlélésre gyakorolt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hatását krónikus fázisú, újonnan diagnosztizált CML-ben tovább vizsgálták a fenti imatinib</w:t>
      </w:r>
      <w:r w:rsidR="00F9570C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adatok, valamint egy,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Ara-C-t (n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=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325) azonos protokoll szerint alkalmazó </w:t>
      </w:r>
      <w:r w:rsidR="002831EF">
        <w:rPr>
          <w:rFonts w:ascii="Times New Roman" w:eastAsia="Times New Roman" w:hAnsi="Times New Roman" w:cs="Times New Roman"/>
          <w:sz w:val="22"/>
          <w:szCs w:val="22"/>
        </w:rPr>
        <w:t xml:space="preserve">III.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fázis</w:t>
      </w:r>
      <w:r w:rsidR="002831EF">
        <w:rPr>
          <w:rFonts w:ascii="Times New Roman" w:eastAsia="Times New Roman" w:hAnsi="Times New Roman" w:cs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vizsgálat elsődleges adatainak retrospektív elemzése során. Ezen retrospektív elemzés igazolta a</w:t>
      </w:r>
      <w:r w:rsidR="002E77EE">
        <w:rPr>
          <w:rFonts w:ascii="Times New Roman" w:eastAsia="Times New Roman" w:hAnsi="Times New Roman" w:cs="Times New Roman"/>
          <w:sz w:val="22"/>
          <w:szCs w:val="22"/>
        </w:rPr>
        <w:t>z imatinib-kezelés szuperioritását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az IFN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+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Ara-C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</w:t>
      </w:r>
      <w:r w:rsidR="00B24E5F">
        <w:rPr>
          <w:rFonts w:ascii="Times New Roman" w:eastAsia="Times New Roman" w:hAnsi="Times New Roman" w:cs="Times New Roman"/>
          <w:sz w:val="22"/>
          <w:szCs w:val="22"/>
        </w:rPr>
        <w:t>sel szemben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(p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0,001) a teljes túlélés tekintetében; 42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hónapon belül 47 (8,5%)</w:t>
      </w:r>
      <w:r w:rsidR="00B858EF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imatinib-kezelést és 63 (19,4%) IFN+Ara-C</w:t>
      </w:r>
      <w:r w:rsidR="00072661">
        <w:rPr>
          <w:rFonts w:ascii="Times New Roman" w:eastAsia="Times New Roman" w:hAnsi="Times New Roman" w:cs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kezelést kapott beteg halt meg.</w:t>
      </w:r>
    </w:p>
    <w:p w14:paraId="40FC0A04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01924E1" w14:textId="0EA30880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Az imatinib-kezelésben részesülő betegek esetében a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és molekuláris válasz mértéke egyértelmű hatással volt a hosszú távú kimenetel</w:t>
      </w:r>
      <w:r w:rsidR="00E6053C">
        <w:rPr>
          <w:rFonts w:ascii="Times New Roman" w:eastAsia="Times New Roman" w:hAnsi="Times New Roman" w:cs="Times New Roman"/>
          <w:sz w:val="22"/>
          <w:szCs w:val="22"/>
        </w:rPr>
        <w:t>ek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re. Míg a 12. hónapban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választ (részleges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választ) mutató betegek körülbelül 96%-a (93%-a) a 84. hónapra nem progrediált akcelerált fázisba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blasztos krízisbe, addig a 12. hónapban nagyfokú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</w:t>
      </w:r>
      <w:r w:rsidR="00E6053C">
        <w:rPr>
          <w:rFonts w:ascii="Times New Roman" w:eastAsia="Times New Roman" w:hAnsi="Times New Roman" w:cs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6053C">
        <w:rPr>
          <w:rFonts w:ascii="Times New Roman" w:eastAsia="Times New Roman" w:hAnsi="Times New Roman" w:cs="Times New Roman"/>
          <w:sz w:val="22"/>
          <w:szCs w:val="22"/>
        </w:rPr>
        <w:t>nem mutató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betegeknek csak 81%-a nem progrediált előrehaladott CML-be a 84. hónapra (p</w:t>
      </w:r>
      <w:r w:rsidR="00E770AD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73092">
        <w:rPr>
          <w:rFonts w:ascii="Times New Roman" w:eastAsia="Times New Roman" w:hAnsi="Times New Roman" w:cs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0,001 összesítve, p</w:t>
      </w:r>
      <w:r w:rsidR="00E770AD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=</w:t>
      </w:r>
      <w:r w:rsidR="00E770AD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0,25 a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választ és részleges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választ mutató csoportok összehasonlítása esetén). Azoknál a betegeknél, akik a 12. hónapban a </w:t>
      </w:r>
      <w:r w:rsidR="00ED428E" w:rsidRPr="00F567BF">
        <w:rPr>
          <w:rFonts w:ascii="Times New Roman" w:eastAsia="Times New Roman" w:hAnsi="Times New Roman" w:cs="Times New Roman"/>
          <w:sz w:val="22"/>
          <w:szCs w:val="22"/>
        </w:rPr>
        <w:t>BCR</w:t>
      </w:r>
      <w:r w:rsidR="00ED428E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ED428E" w:rsidRPr="00F567BF">
        <w:rPr>
          <w:rFonts w:ascii="Times New Roman" w:eastAsia="Times New Roman" w:hAnsi="Times New Roman" w:cs="Times New Roman"/>
          <w:sz w:val="22"/>
          <w:szCs w:val="22"/>
        </w:rPr>
        <w:t>ABL</w:t>
      </w:r>
      <w:r w:rsidR="00E770AD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transzkripció legalább 3 logaritmus</w:t>
      </w:r>
      <w:r w:rsidR="00ED428E">
        <w:rPr>
          <w:rFonts w:ascii="Times New Roman" w:eastAsia="Times New Roman" w:hAnsi="Times New Roman" w:cs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csökkenését mutatták, a progressziómentesség (akcelerált fázisba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/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blasztos krízisbe) fennmaradásának valószínűsége a 84. hónapban 99% volt. Hasonló eredményeket kaptak a 18 hónapos iránymutató analízis során.</w:t>
      </w:r>
    </w:p>
    <w:p w14:paraId="7FA89504" w14:textId="77777777" w:rsidR="00256072" w:rsidRPr="00D421B9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169AD06" w14:textId="51B1DD72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356B0D">
        <w:rPr>
          <w:rFonts w:ascii="Times New Roman" w:eastAsia="Times New Roman" w:hAnsi="Times New Roman" w:cs="Times New Roman"/>
          <w:sz w:val="22"/>
          <w:szCs w:val="22"/>
        </w:rPr>
        <w:t>Ezen vizsgálatban lehetőség volt a dózis napi 400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 mg-ról napi 600 mg-ra, majd napi 600 mg-ról napi 800 mg-ra történő emelésére. A 42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hónapos nyomon</w:t>
      </w:r>
      <w:r w:rsidR="008A721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követés után 11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317FC1" w:rsidRPr="00F567BF">
        <w:rPr>
          <w:rFonts w:ascii="Times New Roman" w:eastAsia="Times New Roman" w:hAnsi="Times New Roman" w:cs="Times New Roman"/>
          <w:sz w:val="22"/>
          <w:szCs w:val="22"/>
        </w:rPr>
        <w:t>beteg</w:t>
      </w:r>
      <w:r w:rsidR="00317FC1">
        <w:rPr>
          <w:rFonts w:ascii="Times New Roman" w:eastAsia="Times New Roman" w:hAnsi="Times New Roman" w:cs="Times New Roman"/>
          <w:sz w:val="22"/>
          <w:szCs w:val="22"/>
        </w:rPr>
        <w:t>nél</w:t>
      </w:r>
      <w:r w:rsidR="00317FC1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(4</w:t>
      </w:r>
      <w:r w:rsidR="00F9751E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héten belül) a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 bizonyítottan megszűnt. Ezen 11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beteg közül 4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beteg gyógyszeradagját emelték napi 800 mg-ra, közülük kettőnél újra megjelent a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 (1 részleges, 1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az utóbbi molekuláris választ is mutatott), míg azon 7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beteg közül, akiknek nem emelték az adagját, csak egynél alakult ki ismét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válasz. Bizonyos mellékhatások előfordulása gyakoribb volt azon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lastRenderedPageBreak/>
        <w:t>40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beteg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, akiknek a napi adagját 800 mg-ra emelték, a dózisemelést megelőző beteg</w:t>
      </w:r>
      <w:r w:rsidR="00EA3ED1">
        <w:rPr>
          <w:rFonts w:ascii="Times New Roman" w:eastAsia="Times New Roman" w:hAnsi="Times New Roman" w:cs="Times New Roman"/>
          <w:sz w:val="22"/>
          <w:szCs w:val="22"/>
        </w:rPr>
        <w:t>populációhoz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viszonyítva (n</w:t>
      </w:r>
      <w:r w:rsidR="00E03984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=</w:t>
      </w:r>
      <w:r w:rsidR="00E03984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551). A gyakoribb mellékhatások közé tartoz</w:t>
      </w:r>
      <w:r w:rsidR="00EA3ED1">
        <w:rPr>
          <w:rFonts w:ascii="Times New Roman" w:eastAsia="Times New Roman" w:hAnsi="Times New Roman" w:cs="Times New Roman"/>
          <w:sz w:val="22"/>
          <w:szCs w:val="22"/>
        </w:rPr>
        <w:t>ik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 gastrointestinalis vérzés, a conjunctivitis és a transzaminázszint</w:t>
      </w:r>
      <w:r w:rsidR="005A415A">
        <w:rPr>
          <w:rFonts w:ascii="Times New Roman" w:eastAsia="Times New Roman" w:hAnsi="Times New Roman" w:cs="Times New Roman"/>
          <w:sz w:val="22"/>
          <w:szCs w:val="22"/>
        </w:rPr>
        <w:t>ek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, illetve </w:t>
      </w:r>
      <w:r w:rsidR="005A415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bilirubinszint emelkedése. Más mellékhatásról azonos vagy kisebb gyakorisággal számoltak be.</w:t>
      </w:r>
    </w:p>
    <w:p w14:paraId="4E1F6851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DBE83EB" w14:textId="2F893721" w:rsidR="009B2DA1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 xml:space="preserve">Krónikus fázis, </w:t>
      </w:r>
      <w:r w:rsidR="005A415A"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>sikertelen</w:t>
      </w:r>
      <w:r w:rsidR="009B2DA1"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 xml:space="preserve"> </w:t>
      </w:r>
      <w:r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>IFN-</w:t>
      </w:r>
      <w:r w:rsidR="009B2DA1"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>kezelés</w:t>
      </w:r>
      <w:r w:rsidRPr="00F567BF">
        <w:rPr>
          <w:rFonts w:ascii="Times New Roman" w:eastAsia="Times New Roman" w:hAnsi="Times New Roman" w:cs="Times New Roman"/>
          <w:i/>
          <w:sz w:val="22"/>
          <w:szCs w:val="22"/>
        </w:rPr>
        <w:t>: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5F1BA8E" w14:textId="1E67FEA3" w:rsidR="00256072" w:rsidRPr="00F567BF" w:rsidRDefault="009B2DA1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Ötszázharminckét (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532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felnőtt beteget kezeltek 400 mg kezdő dózissal. A betegek</w:t>
      </w:r>
      <w:r w:rsidR="00534FD3">
        <w:rPr>
          <w:rFonts w:ascii="Times New Roman" w:eastAsia="Times New Roman" w:hAnsi="Times New Roman" w:cs="Times New Roman"/>
          <w:sz w:val="22"/>
          <w:szCs w:val="22"/>
        </w:rPr>
        <w:t>et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 három nagy</w:t>
      </w:r>
      <w:r w:rsidR="00534FD3">
        <w:rPr>
          <w:rFonts w:ascii="Times New Roman" w:eastAsia="Times New Roman" w:hAnsi="Times New Roman" w:cs="Times New Roman"/>
          <w:sz w:val="22"/>
          <w:szCs w:val="22"/>
        </w:rPr>
        <w:t xml:space="preserve"> csoportra osztották: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 hematológiai </w:t>
      </w:r>
      <w:r w:rsidR="00BA2D2E">
        <w:rPr>
          <w:rFonts w:ascii="Times New Roman" w:eastAsia="Times New Roman" w:hAnsi="Times New Roman" w:cs="Times New Roman"/>
          <w:sz w:val="22"/>
          <w:szCs w:val="22"/>
        </w:rPr>
        <w:t>sikertelenség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 (29%),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</w:t>
      </w:r>
      <w:r w:rsidR="00BA2D2E">
        <w:rPr>
          <w:rFonts w:ascii="Times New Roman" w:eastAsia="Times New Roman" w:hAnsi="Times New Roman" w:cs="Times New Roman"/>
          <w:sz w:val="22"/>
          <w:szCs w:val="22"/>
        </w:rPr>
        <w:t>sikertelenség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 (35%) vagy IFN</w:t>
      </w:r>
      <w:r w:rsidR="00054C1F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intolerancia (36%). A betegek előzetesen 14</w:t>
      </w:r>
      <w:r w:rsidR="00054C1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hónapon (medián idő) át kaptak IFN</w:t>
      </w:r>
      <w:r w:rsidR="00054C1F">
        <w:rPr>
          <w:rFonts w:ascii="Times New Roman" w:eastAsia="Times New Roman" w:hAnsi="Times New Roman" w:cs="Times New Roman"/>
          <w:sz w:val="22"/>
          <w:szCs w:val="22"/>
        </w:rPr>
        <w:t>-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kezelést 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≥ 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25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F201D">
        <w:rPr>
          <w:rFonts w:ascii="Times New Roman" w:eastAsia="Times New Roman" w:hAnsi="Times New Roman" w:cs="Times New Roman"/>
          <w:sz w:val="22"/>
          <w:szCs w:val="22"/>
        </w:rPr>
        <w:t>×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10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6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/l NE/hét </w:t>
      </w:r>
      <w:r w:rsidR="00475B5E">
        <w:rPr>
          <w:rFonts w:ascii="Times New Roman" w:eastAsia="Times New Roman" w:hAnsi="Times New Roman" w:cs="Times New Roman"/>
          <w:sz w:val="22"/>
          <w:szCs w:val="22"/>
        </w:rPr>
        <w:t>dózis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ban, és valamennyien késői krónikus fázisban voltak, a diagnózistól számított (medián) 32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hónapban. A primer hat</w:t>
      </w:r>
      <w:r w:rsidR="00054C1F">
        <w:rPr>
          <w:rFonts w:ascii="Times New Roman" w:eastAsia="Times New Roman" w:hAnsi="Times New Roman" w:cs="Times New Roman"/>
          <w:sz w:val="22"/>
          <w:szCs w:val="22"/>
        </w:rPr>
        <w:t>ásos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sági mutató a vizsgálatban a nagyfokú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etikai válasz </w:t>
      </w:r>
      <w:r w:rsidR="00FD61D6">
        <w:rPr>
          <w:rFonts w:ascii="Times New Roman" w:eastAsia="Times New Roman" w:hAnsi="Times New Roman" w:cs="Times New Roman"/>
          <w:sz w:val="22"/>
          <w:szCs w:val="22"/>
        </w:rPr>
        <w:t xml:space="preserve">aránya 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>volt (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="00256072" w:rsidRPr="00F567BF">
        <w:rPr>
          <w:rFonts w:ascii="Times New Roman" w:eastAsia="Times New Roman" w:hAnsi="Times New Roman" w:cs="Times New Roman"/>
          <w:sz w:val="22"/>
          <w:szCs w:val="22"/>
        </w:rPr>
        <w:t xml:space="preserve"> + részleges válasz: 0–35% Ph+ metafázis a csontvelőben).</w:t>
      </w:r>
    </w:p>
    <w:p w14:paraId="458E9155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96A491E" w14:textId="226B07A8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Ebben a vizsgálatban a betegek 65%-a elérte a nagyfokú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választ, ami a betegek 53%</w:t>
      </w:r>
      <w:r w:rsidR="003B457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á</w:t>
      </w:r>
      <w:r w:rsidR="00124B29">
        <w:rPr>
          <w:rFonts w:ascii="Times New Roman" w:eastAsia="Times New Roman" w:hAnsi="Times New Roman" w:cs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(megerősített 43%-</w:t>
      </w:r>
      <w:r w:rsidR="004D0137">
        <w:rPr>
          <w:rFonts w:ascii="Times New Roman" w:eastAsia="Times New Roman" w:hAnsi="Times New Roman" w:cs="Times New Roman"/>
          <w:sz w:val="22"/>
          <w:szCs w:val="22"/>
        </w:rPr>
        <w:t>á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ban) volt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(3.</w:t>
      </w:r>
      <w:r w:rsidR="0061442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táblázat). </w:t>
      </w:r>
      <w:r w:rsidR="002939B1">
        <w:rPr>
          <w:rFonts w:ascii="Times New Roman" w:eastAsia="Times New Roman" w:hAnsi="Times New Roman" w:cs="Times New Roman"/>
          <w:sz w:val="22"/>
          <w:szCs w:val="22"/>
        </w:rPr>
        <w:t>T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hematológiai válasz a betegek 95%-a esetében következett be.</w:t>
      </w:r>
    </w:p>
    <w:p w14:paraId="4D83B234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42348AB" w14:textId="77777777" w:rsidR="00E12616" w:rsidRPr="003050CA" w:rsidRDefault="00256072" w:rsidP="00256072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3050CA">
        <w:rPr>
          <w:rFonts w:ascii="Times New Roman" w:eastAsia="Times New Roman" w:hAnsi="Times New Roman" w:cs="Times New Roman"/>
          <w:i/>
          <w:sz w:val="22"/>
          <w:szCs w:val="22"/>
          <w:u w:val="single"/>
        </w:rPr>
        <w:t>Akcelerált fázis</w:t>
      </w:r>
      <w:r w:rsidRPr="003050CA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: </w:t>
      </w:r>
    </w:p>
    <w:p w14:paraId="50585878" w14:textId="7F117A44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  <w:r w:rsidRPr="00D421B9">
        <w:rPr>
          <w:rFonts w:ascii="Times New Roman" w:eastAsia="Times New Roman" w:hAnsi="Times New Roman" w:cs="Times New Roman"/>
          <w:sz w:val="22"/>
          <w:szCs w:val="22"/>
        </w:rPr>
        <w:t>235</w:t>
      </w:r>
      <w:r w:rsidR="003255CB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D421B9">
        <w:rPr>
          <w:rFonts w:ascii="Times New Roman" w:eastAsia="Times New Roman" w:hAnsi="Times New Roman" w:cs="Times New Roman"/>
          <w:sz w:val="22"/>
          <w:szCs w:val="22"/>
        </w:rPr>
        <w:t xml:space="preserve"> akcelerált fázisban levő felnőtt beteget vontak be a vizsgálatba. Az első 77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D421B9">
        <w:rPr>
          <w:rFonts w:ascii="Times New Roman" w:eastAsia="Times New Roman" w:hAnsi="Times New Roman" w:cs="Times New Roman"/>
          <w:sz w:val="22"/>
          <w:szCs w:val="22"/>
        </w:rPr>
        <w:t>beteg kezdő adagja 400</w:t>
      </w:r>
      <w:r w:rsidR="00F31466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mg volt, a protokollt később módosították a </w:t>
      </w:r>
      <w:r w:rsidR="004D0137">
        <w:rPr>
          <w:rFonts w:ascii="Times New Roman" w:eastAsia="Times New Roman" w:hAnsi="Times New Roman" w:cs="Times New Roman"/>
          <w:sz w:val="22"/>
          <w:szCs w:val="22"/>
        </w:rPr>
        <w:t>nagyobb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dózisok engedélyezése érdekében, így a további 158</w:t>
      </w:r>
      <w:r w:rsidR="00460AC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beteg kezdő adagja 600</w:t>
      </w:r>
      <w:r w:rsidR="00F31466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 lett.</w:t>
      </w:r>
    </w:p>
    <w:p w14:paraId="6846DCCA" w14:textId="77777777" w:rsidR="00256072" w:rsidRPr="00F567BF" w:rsidRDefault="00256072" w:rsidP="0025607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191327D" w14:textId="60AE9CD3" w:rsidR="00350D65" w:rsidRPr="00F567BF" w:rsidRDefault="00256072" w:rsidP="00D9081A">
      <w:pPr>
        <w:rPr>
          <w:rFonts w:ascii="Times New Roman" w:eastAsia="Times New Roman" w:hAnsi="Times New Roman" w:cs="Times New Roman"/>
          <w:sz w:val="22"/>
          <w:szCs w:val="22"/>
        </w:rPr>
      </w:pP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A primer hatásossági mutató a hematológiai válaszarány volt: melyet vagy a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hematológiai válasz, a leukaemia hiánya (p</w:t>
      </w:r>
      <w:r w:rsidR="00124B29">
        <w:rPr>
          <w:rFonts w:ascii="Times New Roman" w:eastAsia="Times New Roman" w:hAnsi="Times New Roman" w:cs="Times New Roman"/>
          <w:sz w:val="22"/>
          <w:szCs w:val="22"/>
        </w:rPr>
        <w:t>éldáu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l nem volt </w:t>
      </w:r>
      <w:r w:rsidR="001D4763">
        <w:rPr>
          <w:rFonts w:ascii="Times New Roman" w:eastAsia="Times New Roman" w:hAnsi="Times New Roman" w:cs="Times New Roman"/>
          <w:sz w:val="22"/>
          <w:szCs w:val="22"/>
        </w:rPr>
        <w:t>blaszt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sejt a vérben és a csontvelőben, de nem volt tökéletes normalizálódás a perifériás vérben, mint a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válasz esetén), vagy a krónikus CML fázisba való visszatérés jelentett. Igazolt hematológiai válasz a betegek 71,5%-</w:t>
      </w:r>
      <w:r w:rsidR="0046530D" w:rsidRPr="00F567BF">
        <w:rPr>
          <w:rFonts w:ascii="Times New Roman" w:eastAsia="Times New Roman" w:hAnsi="Times New Roman" w:cs="Times New Roman"/>
          <w:sz w:val="22"/>
          <w:szCs w:val="22"/>
        </w:rPr>
        <w:t>á</w:t>
      </w:r>
      <w:r w:rsidR="0046530D">
        <w:rPr>
          <w:rFonts w:ascii="Times New Roman" w:eastAsia="Times New Roman" w:hAnsi="Times New Roman" w:cs="Times New Roman"/>
          <w:sz w:val="22"/>
          <w:szCs w:val="22"/>
        </w:rPr>
        <w:t>nál</w:t>
      </w:r>
      <w:r w:rsidR="0046530D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volt (3. táblázat). Fontos tény, hogy a betegek 27,7%-a elért </w:t>
      </w:r>
      <w:r w:rsidR="00C321B7">
        <w:rPr>
          <w:rFonts w:ascii="Times New Roman" w:eastAsia="Times New Roman" w:hAnsi="Times New Roman" w:cs="Times New Roman"/>
          <w:sz w:val="22"/>
          <w:szCs w:val="22"/>
        </w:rPr>
        <w:t>nagyfokú</w:t>
      </w:r>
      <w:r w:rsidR="0084521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 w:cs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etikai választ is, ami a betegek 20,4%-</w:t>
      </w:r>
      <w:r w:rsidR="0046530D" w:rsidRPr="00F567BF">
        <w:rPr>
          <w:rFonts w:ascii="Times New Roman" w:eastAsia="Times New Roman" w:hAnsi="Times New Roman" w:cs="Times New Roman"/>
          <w:sz w:val="22"/>
          <w:szCs w:val="22"/>
        </w:rPr>
        <w:t>á</w:t>
      </w:r>
      <w:r w:rsidR="0046530D">
        <w:rPr>
          <w:rFonts w:ascii="Times New Roman" w:eastAsia="Times New Roman" w:hAnsi="Times New Roman" w:cs="Times New Roman"/>
          <w:sz w:val="22"/>
          <w:szCs w:val="22"/>
        </w:rPr>
        <w:t>nál</w:t>
      </w:r>
      <w:r w:rsidR="0046530D"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(megerősítetten 16%-</w:t>
      </w:r>
      <w:r w:rsidR="00311FED">
        <w:rPr>
          <w:rFonts w:ascii="Times New Roman" w:eastAsia="Times New Roman" w:hAnsi="Times New Roman" w:cs="Times New Roman"/>
          <w:sz w:val="22"/>
          <w:szCs w:val="22"/>
        </w:rPr>
        <w:t>ánál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2939B1" w:rsidRPr="002939B1">
        <w:rPr>
          <w:rFonts w:ascii="Times New Roman" w:eastAsia="Times New Roman" w:hAnsi="Times New Roman" w:cs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volt. A 600</w:t>
      </w:r>
      <w:r w:rsidR="00F31466" w:rsidRPr="00F567BF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mg-mal kezelt betegek</w:t>
      </w:r>
      <w:r w:rsidR="00311FED">
        <w:rPr>
          <w:rFonts w:ascii="Times New Roman" w:eastAsia="Times New Roman" w:hAnsi="Times New Roman" w:cs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 progressziómentes túlélés, ill</w:t>
      </w:r>
      <w:r w:rsidR="00124B29">
        <w:rPr>
          <w:rFonts w:ascii="Times New Roman" w:eastAsia="Times New Roman" w:hAnsi="Times New Roman" w:cs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a</w:t>
      </w:r>
      <w:r w:rsidR="00BE5DF8">
        <w:rPr>
          <w:rFonts w:ascii="Times New Roman" w:eastAsia="Times New Roman" w:hAnsi="Times New Roman" w:cs="Times New Roman"/>
          <w:sz w:val="22"/>
          <w:szCs w:val="22"/>
        </w:rPr>
        <w:t xml:space="preserve"> teljes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túlélés jelenlegi becsült </w:t>
      </w:r>
      <w:r w:rsidR="00BE5DF8">
        <w:rPr>
          <w:rFonts w:ascii="Times New Roman" w:eastAsia="Times New Roman" w:hAnsi="Times New Roman" w:cs="Times New Roman"/>
          <w:sz w:val="22"/>
          <w:szCs w:val="22"/>
        </w:rPr>
        <w:t>medián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értéke 22,9</w:t>
      </w:r>
      <w:r w:rsidR="00BE5DF8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E5DF8">
        <w:rPr>
          <w:rFonts w:ascii="Times New Roman" w:eastAsia="Times New Roman" w:hAnsi="Times New Roman" w:cs="Times New Roman"/>
          <w:sz w:val="22"/>
          <w:szCs w:val="22"/>
        </w:rPr>
        <w:t>illetve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 xml:space="preserve"> 42,5</w:t>
      </w:r>
      <w:r w:rsidR="003B457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hónap</w:t>
      </w:r>
      <w:r w:rsidR="00611C97">
        <w:rPr>
          <w:rFonts w:ascii="Times New Roman" w:eastAsia="Times New Roman" w:hAnsi="Times New Roman" w:cs="Times New Roman"/>
          <w:sz w:val="22"/>
          <w:szCs w:val="22"/>
        </w:rPr>
        <w:t xml:space="preserve"> volt</w:t>
      </w:r>
      <w:r w:rsidRPr="00F567B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A4A979D" w14:textId="77777777" w:rsidR="00256072" w:rsidRPr="00F567BF" w:rsidRDefault="00256072" w:rsidP="00D9081A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D9433BB" w14:textId="77777777" w:rsidR="00E12616" w:rsidRPr="003050CA" w:rsidRDefault="002A793D" w:rsidP="00D9081A">
      <w:pPr>
        <w:rPr>
          <w:rFonts w:ascii="Times New Roman" w:eastAsia="Times New Roman" w:hAnsi="Times New Roman"/>
          <w:sz w:val="22"/>
          <w:u w:val="single"/>
        </w:rPr>
      </w:pPr>
      <w:r w:rsidRPr="003050CA">
        <w:rPr>
          <w:rFonts w:ascii="Times New Roman" w:eastAsia="Times New Roman" w:hAnsi="Times New Roman"/>
          <w:i/>
          <w:sz w:val="22"/>
          <w:u w:val="single"/>
        </w:rPr>
        <w:t>Myeloid blasztos krízis</w:t>
      </w:r>
      <w:r w:rsidRPr="003050CA">
        <w:rPr>
          <w:rFonts w:ascii="Times New Roman" w:eastAsia="Times New Roman" w:hAnsi="Times New Roman"/>
          <w:sz w:val="22"/>
          <w:u w:val="single"/>
        </w:rPr>
        <w:t xml:space="preserve">: </w:t>
      </w:r>
    </w:p>
    <w:p w14:paraId="5AA73056" w14:textId="4E7AB7FB" w:rsidR="002A793D" w:rsidRPr="00F567BF" w:rsidRDefault="002A793D" w:rsidP="00D9081A">
      <w:pPr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260</w:t>
      </w:r>
      <w:r w:rsidR="003255CB">
        <w:rPr>
          <w:rFonts w:ascii="Times New Roman" w:eastAsia="Times New Roman" w:hAnsi="Times New Roman"/>
          <w:sz w:val="22"/>
        </w:rPr>
        <w:t>,</w:t>
      </w:r>
      <w:r w:rsidRPr="00F567BF">
        <w:rPr>
          <w:rFonts w:ascii="Times New Roman" w:eastAsia="Times New Roman" w:hAnsi="Times New Roman"/>
          <w:sz w:val="22"/>
        </w:rPr>
        <w:t xml:space="preserve"> myeloid blasztos krízis fázisban levő bete</w:t>
      </w:r>
      <w:r w:rsidR="00504142" w:rsidRPr="00F567BF">
        <w:rPr>
          <w:rFonts w:ascii="Times New Roman" w:eastAsia="Times New Roman" w:hAnsi="Times New Roman"/>
          <w:sz w:val="22"/>
        </w:rPr>
        <w:t xml:space="preserve">get vontak be a vizsgálatba. </w:t>
      </w:r>
      <w:r w:rsidR="00813D09">
        <w:rPr>
          <w:rFonts w:ascii="Times New Roman" w:eastAsia="Times New Roman" w:hAnsi="Times New Roman"/>
          <w:sz w:val="22"/>
        </w:rPr>
        <w:t>Kilencvenöt (</w:t>
      </w:r>
      <w:r w:rsidR="00504142" w:rsidRPr="00F567BF">
        <w:rPr>
          <w:rFonts w:ascii="Times New Roman" w:eastAsia="Times New Roman" w:hAnsi="Times New Roman"/>
          <w:sz w:val="22"/>
        </w:rPr>
        <w:t>95</w:t>
      </w:r>
      <w:r w:rsidR="00813D09">
        <w:rPr>
          <w:rFonts w:ascii="Times New Roman" w:eastAsia="Times New Roman" w:hAnsi="Times New Roman"/>
          <w:sz w:val="22"/>
        </w:rPr>
        <w:t>)</w:t>
      </w:r>
      <w:r w:rsidR="00504142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(37%) beteg részesült korábban kemoterápiában az akcelerált fázis va</w:t>
      </w:r>
      <w:r w:rsidR="00504142" w:rsidRPr="00F567BF">
        <w:rPr>
          <w:rFonts w:ascii="Times New Roman" w:eastAsia="Times New Roman" w:hAnsi="Times New Roman"/>
          <w:sz w:val="22"/>
        </w:rPr>
        <w:t>gy a blasztos krízis kezelés</w:t>
      </w:r>
      <w:r w:rsidR="00E033BF">
        <w:rPr>
          <w:rFonts w:ascii="Times New Roman" w:eastAsia="Times New Roman" w:hAnsi="Times New Roman"/>
          <w:sz w:val="22"/>
        </w:rPr>
        <w:t>ér</w:t>
      </w:r>
      <w:r w:rsidR="00D9081A">
        <w:rPr>
          <w:rFonts w:ascii="Times New Roman" w:eastAsia="Times New Roman" w:hAnsi="Times New Roman"/>
          <w:sz w:val="22"/>
        </w:rPr>
        <w:t>e</w:t>
      </w:r>
      <w:r w:rsidR="00504142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(„előkezelt betegek”), míg 165 </w:t>
      </w:r>
      <w:r w:rsidR="00D9081A" w:rsidRPr="00F567BF">
        <w:rPr>
          <w:rFonts w:ascii="Times New Roman" w:eastAsia="Times New Roman" w:hAnsi="Times New Roman"/>
          <w:sz w:val="22"/>
        </w:rPr>
        <w:t xml:space="preserve">beteg </w:t>
      </w:r>
      <w:r w:rsidRPr="00F567BF">
        <w:rPr>
          <w:rFonts w:ascii="Times New Roman" w:eastAsia="Times New Roman" w:hAnsi="Times New Roman"/>
          <w:sz w:val="22"/>
        </w:rPr>
        <w:t>(63%) nem kapott kezelést („kezeletlen betegek”). Az első 37</w:t>
      </w:r>
      <w:r w:rsidR="001C589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beteg kezdő dózisa 400</w:t>
      </w:r>
      <w:r w:rsidR="00504142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 volt, a protokollt később módosították a </w:t>
      </w:r>
      <w:r w:rsidR="003463C3">
        <w:rPr>
          <w:rFonts w:ascii="Times New Roman" w:eastAsia="Times New Roman" w:hAnsi="Times New Roman"/>
          <w:sz w:val="22"/>
        </w:rPr>
        <w:t>nagyobb</w:t>
      </w:r>
      <w:r w:rsidRPr="00F567BF">
        <w:rPr>
          <w:rFonts w:ascii="Times New Roman" w:eastAsia="Times New Roman" w:hAnsi="Times New Roman"/>
          <w:sz w:val="22"/>
        </w:rPr>
        <w:t xml:space="preserve"> dózisok engedélyezése érdekében, így a </w:t>
      </w:r>
      <w:r w:rsidR="00D9081A">
        <w:rPr>
          <w:rFonts w:ascii="Times New Roman" w:eastAsia="Times New Roman" w:hAnsi="Times New Roman"/>
          <w:sz w:val="22"/>
        </w:rPr>
        <w:t>fennmaradó</w:t>
      </w:r>
      <w:r w:rsidR="00D9081A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223</w:t>
      </w:r>
      <w:r w:rsidR="001C589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beteg kezdő </w:t>
      </w:r>
      <w:r w:rsidR="00475B5E">
        <w:rPr>
          <w:rFonts w:ascii="Times New Roman" w:eastAsia="Times New Roman" w:hAnsi="Times New Roman"/>
          <w:sz w:val="22"/>
        </w:rPr>
        <w:t>dózis</w:t>
      </w:r>
      <w:r w:rsidRPr="00F567BF">
        <w:rPr>
          <w:rFonts w:ascii="Times New Roman" w:eastAsia="Times New Roman" w:hAnsi="Times New Roman"/>
          <w:sz w:val="22"/>
        </w:rPr>
        <w:t>a 600</w:t>
      </w:r>
      <w:r w:rsidR="00504142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lett.</w:t>
      </w:r>
    </w:p>
    <w:p w14:paraId="5AF6316D" w14:textId="77777777" w:rsidR="002A793D" w:rsidRPr="00F567BF" w:rsidRDefault="002A793D">
      <w:pPr>
        <w:spacing w:line="247" w:lineRule="exact"/>
        <w:rPr>
          <w:rFonts w:ascii="Times New Roman" w:eastAsia="Times New Roman" w:hAnsi="Times New Roman"/>
        </w:rPr>
      </w:pPr>
    </w:p>
    <w:p w14:paraId="31D308CD" w14:textId="54F107AD" w:rsidR="002A793D" w:rsidRPr="00F567BF" w:rsidRDefault="002A793D" w:rsidP="00D9081A">
      <w:pPr>
        <w:spacing w:line="230" w:lineRule="auto"/>
        <w:ind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primer hat</w:t>
      </w:r>
      <w:r w:rsidR="003B457A">
        <w:rPr>
          <w:rFonts w:ascii="Times New Roman" w:eastAsia="Times New Roman" w:hAnsi="Times New Roman"/>
          <w:sz w:val="22"/>
        </w:rPr>
        <w:t>ásos</w:t>
      </w:r>
      <w:r w:rsidRPr="00F567BF">
        <w:rPr>
          <w:rFonts w:ascii="Times New Roman" w:eastAsia="Times New Roman" w:hAnsi="Times New Roman"/>
          <w:sz w:val="22"/>
        </w:rPr>
        <w:t xml:space="preserve">sági mutató – ugyanazokat a kritériumokat alkalmazva, mint az akcelerált fázisú vizsgálatban – a hematológiai válaszarány volt: melyet vagy a </w:t>
      </w:r>
      <w:r w:rsidR="002939B1" w:rsidRPr="002939B1">
        <w:rPr>
          <w:rFonts w:ascii="Times New Roman" w:eastAsia="Times New Roman" w:hAnsi="Times New Roman"/>
          <w:sz w:val="22"/>
        </w:rPr>
        <w:t>teljes</w:t>
      </w:r>
      <w:r w:rsidRPr="00F567BF">
        <w:rPr>
          <w:rFonts w:ascii="Times New Roman" w:eastAsia="Times New Roman" w:hAnsi="Times New Roman"/>
          <w:sz w:val="22"/>
        </w:rPr>
        <w:t xml:space="preserve"> hematológiai válasz, a leukaemia hiánya, vagy a krónikus CML fázisba való visszatérés jelentett. Ebben a vizsgálatban a betegek 31%-a ért </w:t>
      </w:r>
      <w:r w:rsidR="000D38D0" w:rsidRPr="00F567BF">
        <w:rPr>
          <w:rFonts w:ascii="Times New Roman" w:eastAsia="Times New Roman" w:hAnsi="Times New Roman"/>
          <w:sz w:val="22"/>
        </w:rPr>
        <w:t>el</w:t>
      </w:r>
      <w:r w:rsidR="000D38D0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hematológiai választ (a kezeletlen betegek 36%-a, az előkezeltek 22%-a). A válaszarány a 600</w:t>
      </w:r>
      <w:r w:rsidR="00504142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 dózissal kezelt betegek körében magasabb </w:t>
      </w:r>
      <w:r w:rsidR="000D38D0" w:rsidRPr="00F567BF">
        <w:rPr>
          <w:rFonts w:ascii="Times New Roman" w:eastAsia="Times New Roman" w:hAnsi="Times New Roman"/>
          <w:sz w:val="22"/>
        </w:rPr>
        <w:t xml:space="preserve">volt </w:t>
      </w:r>
      <w:r w:rsidRPr="00F567BF">
        <w:rPr>
          <w:rFonts w:ascii="Times New Roman" w:eastAsia="Times New Roman" w:hAnsi="Times New Roman"/>
          <w:sz w:val="22"/>
        </w:rPr>
        <w:t>(33%), mint a 400</w:t>
      </w:r>
      <w:r w:rsidR="00504142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mg-mal </w:t>
      </w:r>
      <w:r w:rsidR="00AB5724" w:rsidRPr="00F567BF">
        <w:rPr>
          <w:rFonts w:ascii="Times New Roman" w:eastAsia="Times New Roman" w:hAnsi="Times New Roman"/>
          <w:sz w:val="22"/>
        </w:rPr>
        <w:t>kezeltek</w:t>
      </w:r>
      <w:r w:rsidR="00AB5724">
        <w:rPr>
          <w:rFonts w:ascii="Times New Roman" w:eastAsia="Times New Roman" w:hAnsi="Times New Roman"/>
          <w:sz w:val="22"/>
        </w:rPr>
        <w:t>nél</w:t>
      </w:r>
      <w:r w:rsidR="00AB5724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(16%, p</w:t>
      </w:r>
      <w:r w:rsidR="003B457A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=</w:t>
      </w:r>
      <w:r w:rsidR="003B457A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0,0220). A jelenleg becsült </w:t>
      </w:r>
      <w:r w:rsidR="000D38D0">
        <w:rPr>
          <w:rFonts w:ascii="Times New Roman" w:eastAsia="Times New Roman" w:hAnsi="Times New Roman"/>
          <w:sz w:val="22"/>
        </w:rPr>
        <w:t>medián</w:t>
      </w:r>
      <w:r w:rsidR="000D38D0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túlélés 7,7, ill</w:t>
      </w:r>
      <w:r w:rsidR="00124B29">
        <w:rPr>
          <w:rFonts w:ascii="Times New Roman" w:eastAsia="Times New Roman" w:hAnsi="Times New Roman"/>
          <w:sz w:val="22"/>
        </w:rPr>
        <w:t>etve</w:t>
      </w:r>
      <w:r w:rsidRPr="00F567BF">
        <w:rPr>
          <w:rFonts w:ascii="Times New Roman" w:eastAsia="Times New Roman" w:hAnsi="Times New Roman"/>
          <w:sz w:val="22"/>
        </w:rPr>
        <w:t xml:space="preserve"> 4,7</w:t>
      </w:r>
      <w:r w:rsidR="003B457A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hónap volt a korábban kezeletlen, ill</w:t>
      </w:r>
      <w:r w:rsidR="00124B29">
        <w:rPr>
          <w:rFonts w:ascii="Times New Roman" w:eastAsia="Times New Roman" w:hAnsi="Times New Roman"/>
          <w:sz w:val="22"/>
        </w:rPr>
        <w:t>etve</w:t>
      </w:r>
      <w:r w:rsidRPr="00F567BF">
        <w:rPr>
          <w:rFonts w:ascii="Times New Roman" w:eastAsia="Times New Roman" w:hAnsi="Times New Roman"/>
          <w:sz w:val="22"/>
        </w:rPr>
        <w:t xml:space="preserve"> </w:t>
      </w:r>
      <w:r w:rsidR="000D38D0">
        <w:rPr>
          <w:rFonts w:ascii="Times New Roman" w:eastAsia="Times New Roman" w:hAnsi="Times New Roman"/>
          <w:sz w:val="22"/>
        </w:rPr>
        <w:t xml:space="preserve">az </w:t>
      </w:r>
      <w:r w:rsidRPr="00F567BF">
        <w:rPr>
          <w:rFonts w:ascii="Times New Roman" w:eastAsia="Times New Roman" w:hAnsi="Times New Roman"/>
          <w:sz w:val="22"/>
        </w:rPr>
        <w:t>előkezelt betegek</w:t>
      </w:r>
      <w:r w:rsidR="000D38D0">
        <w:rPr>
          <w:rFonts w:ascii="Times New Roman" w:eastAsia="Times New Roman" w:hAnsi="Times New Roman"/>
          <w:sz w:val="22"/>
        </w:rPr>
        <w:t xml:space="preserve"> esetében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08057106" w14:textId="77777777" w:rsidR="002A793D" w:rsidRPr="00F567BF" w:rsidRDefault="002A793D">
      <w:pPr>
        <w:spacing w:line="252" w:lineRule="exact"/>
        <w:rPr>
          <w:rFonts w:ascii="Times New Roman" w:eastAsia="Times New Roman" w:hAnsi="Times New Roman"/>
        </w:rPr>
      </w:pPr>
    </w:p>
    <w:p w14:paraId="794A18A0" w14:textId="77777777" w:rsidR="00652029" w:rsidRDefault="002A793D" w:rsidP="000D38D0">
      <w:pPr>
        <w:spacing w:line="229" w:lineRule="auto"/>
        <w:ind w:right="-8"/>
        <w:rPr>
          <w:rFonts w:ascii="Times New Roman" w:eastAsia="Times New Roman" w:hAnsi="Times New Roman"/>
          <w:sz w:val="22"/>
        </w:rPr>
      </w:pPr>
      <w:r w:rsidRPr="00652029">
        <w:rPr>
          <w:rFonts w:ascii="Times New Roman" w:eastAsia="Times New Roman" w:hAnsi="Times New Roman"/>
          <w:i/>
          <w:sz w:val="22"/>
          <w:u w:val="single"/>
        </w:rPr>
        <w:t>Lymphoid blasztos krízis</w:t>
      </w:r>
      <w:r w:rsidRPr="00652029">
        <w:rPr>
          <w:rFonts w:ascii="Times New Roman" w:eastAsia="Times New Roman" w:hAnsi="Times New Roman"/>
          <w:sz w:val="22"/>
          <w:u w:val="single"/>
        </w:rPr>
        <w:t>:</w:t>
      </w:r>
      <w:r w:rsidRPr="00F567BF">
        <w:rPr>
          <w:rFonts w:ascii="Times New Roman" w:eastAsia="Times New Roman" w:hAnsi="Times New Roman"/>
          <w:sz w:val="22"/>
        </w:rPr>
        <w:t xml:space="preserve"> </w:t>
      </w:r>
    </w:p>
    <w:p w14:paraId="53CDB0C5" w14:textId="3DC05C7A" w:rsidR="002A793D" w:rsidRPr="00F567BF" w:rsidRDefault="00652029" w:rsidP="000D38D0">
      <w:pPr>
        <w:spacing w:line="229" w:lineRule="auto"/>
        <w:ind w:right="-8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</w:t>
      </w:r>
      <w:r w:rsidR="002A793D" w:rsidRPr="00F567BF">
        <w:rPr>
          <w:rFonts w:ascii="Times New Roman" w:eastAsia="Times New Roman" w:hAnsi="Times New Roman"/>
          <w:sz w:val="22"/>
        </w:rPr>
        <w:t xml:space="preserve">orlátozott számú beteget vontak be </w:t>
      </w:r>
      <w:r w:rsidR="00312570">
        <w:rPr>
          <w:rFonts w:ascii="Times New Roman" w:eastAsia="Times New Roman" w:hAnsi="Times New Roman"/>
          <w:sz w:val="22"/>
        </w:rPr>
        <w:t xml:space="preserve">I. </w:t>
      </w:r>
      <w:r w:rsidR="002A793D" w:rsidRPr="00F567BF">
        <w:rPr>
          <w:rFonts w:ascii="Times New Roman" w:eastAsia="Times New Roman" w:hAnsi="Times New Roman"/>
          <w:sz w:val="22"/>
        </w:rPr>
        <w:t>fázis</w:t>
      </w:r>
      <w:r w:rsidR="00312570">
        <w:rPr>
          <w:rFonts w:ascii="Times New Roman" w:eastAsia="Times New Roman" w:hAnsi="Times New Roman"/>
          <w:sz w:val="22"/>
        </w:rPr>
        <w:t>ú</w:t>
      </w:r>
      <w:r w:rsidR="002A793D" w:rsidRPr="00F567BF">
        <w:rPr>
          <w:rFonts w:ascii="Times New Roman" w:eastAsia="Times New Roman" w:hAnsi="Times New Roman"/>
          <w:sz w:val="22"/>
        </w:rPr>
        <w:t xml:space="preserve"> vizsgálatokba (n</w:t>
      </w:r>
      <w:r w:rsidR="00E84E63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=</w:t>
      </w:r>
      <w:r w:rsidR="00E84E63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10). A</w:t>
      </w:r>
      <w:r w:rsidR="002A793D" w:rsidRPr="00F567BF">
        <w:rPr>
          <w:rFonts w:ascii="Times New Roman" w:eastAsia="Times New Roman" w:hAnsi="Times New Roman"/>
          <w:i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 xml:space="preserve">hematológiai válaszarány 70%, </w:t>
      </w:r>
      <w:r w:rsidR="00E033BF">
        <w:rPr>
          <w:rFonts w:ascii="Times New Roman" w:eastAsia="Times New Roman" w:hAnsi="Times New Roman"/>
          <w:sz w:val="22"/>
        </w:rPr>
        <w:t xml:space="preserve">a válasz </w:t>
      </w:r>
      <w:r w:rsidR="002A793D" w:rsidRPr="00F567BF">
        <w:rPr>
          <w:rFonts w:ascii="Times New Roman" w:eastAsia="Times New Roman" w:hAnsi="Times New Roman"/>
          <w:sz w:val="22"/>
        </w:rPr>
        <w:t>időtartama pedig 2–3</w:t>
      </w:r>
      <w:r w:rsidR="00E84E63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hónap volt.</w:t>
      </w:r>
    </w:p>
    <w:p w14:paraId="15035B3F" w14:textId="77777777" w:rsidR="001C5896" w:rsidRPr="00F567BF" w:rsidRDefault="001C5896">
      <w:pPr>
        <w:spacing w:line="229" w:lineRule="auto"/>
        <w:ind w:right="600"/>
        <w:rPr>
          <w:rFonts w:ascii="Times New Roman" w:eastAsia="Times New Roman" w:hAnsi="Times New Roman"/>
          <w:sz w:val="22"/>
        </w:rPr>
      </w:pPr>
    </w:p>
    <w:p w14:paraId="3CD04605" w14:textId="17A88BFD" w:rsidR="002A793D" w:rsidRPr="00F567BF" w:rsidRDefault="00F31466" w:rsidP="00647049">
      <w:pPr>
        <w:keepNext/>
        <w:tabs>
          <w:tab w:val="left" w:pos="1134"/>
        </w:tabs>
        <w:spacing w:line="0" w:lineRule="atLeast"/>
        <w:rPr>
          <w:rFonts w:ascii="Times New Roman" w:eastAsia="Times New Roman" w:hAnsi="Times New Roman"/>
          <w:b/>
          <w:sz w:val="22"/>
        </w:rPr>
      </w:pPr>
      <w:bookmarkStart w:id="14" w:name="page54"/>
      <w:bookmarkEnd w:id="14"/>
      <w:r w:rsidRPr="00F567BF">
        <w:rPr>
          <w:rFonts w:ascii="Times New Roman" w:eastAsia="Times New Roman" w:hAnsi="Times New Roman"/>
          <w:b/>
          <w:sz w:val="22"/>
        </w:rPr>
        <w:lastRenderedPageBreak/>
        <w:t>3</w:t>
      </w:r>
      <w:r w:rsidR="002A793D" w:rsidRPr="00F567BF">
        <w:rPr>
          <w:rFonts w:ascii="Times New Roman" w:eastAsia="Times New Roman" w:hAnsi="Times New Roman"/>
          <w:b/>
          <w:sz w:val="22"/>
        </w:rPr>
        <w:t>. táblázat</w:t>
      </w:r>
      <w:r w:rsidR="00E84E63">
        <w:rPr>
          <w:rFonts w:ascii="Times New Roman" w:eastAsia="Times New Roman" w:hAnsi="Times New Roman"/>
          <w:b/>
          <w:sz w:val="22"/>
        </w:rPr>
        <w:t>:</w:t>
      </w:r>
      <w:r w:rsidR="002A793D" w:rsidRPr="00F567BF">
        <w:rPr>
          <w:rFonts w:ascii="Times New Roman" w:eastAsia="Times New Roman" w:hAnsi="Times New Roman"/>
        </w:rPr>
        <w:tab/>
      </w:r>
      <w:r w:rsidR="002A793D" w:rsidRPr="00F567BF">
        <w:rPr>
          <w:rFonts w:ascii="Times New Roman" w:eastAsia="Times New Roman" w:hAnsi="Times New Roman"/>
          <w:b/>
          <w:sz w:val="22"/>
        </w:rPr>
        <w:t>Terápiás válasz a felnőttek bevonásával végzett CML</w:t>
      </w:r>
      <w:r w:rsidR="00E033BF">
        <w:rPr>
          <w:rFonts w:ascii="Times New Roman" w:eastAsia="Times New Roman" w:hAnsi="Times New Roman"/>
          <w:b/>
          <w:sz w:val="22"/>
        </w:rPr>
        <w:t>-</w:t>
      </w:r>
      <w:r w:rsidR="002A793D" w:rsidRPr="00F567BF">
        <w:rPr>
          <w:rFonts w:ascii="Times New Roman" w:eastAsia="Times New Roman" w:hAnsi="Times New Roman"/>
          <w:b/>
          <w:sz w:val="22"/>
        </w:rPr>
        <w:t>vizsgálat</w:t>
      </w:r>
      <w:r w:rsidRPr="00F567BF">
        <w:rPr>
          <w:rFonts w:ascii="Times New Roman" w:eastAsia="Times New Roman" w:hAnsi="Times New Roman"/>
          <w:b/>
          <w:sz w:val="22"/>
        </w:rPr>
        <w:t>ok</w:t>
      </w:r>
      <w:r w:rsidR="002A793D" w:rsidRPr="00F567BF">
        <w:rPr>
          <w:rFonts w:ascii="Times New Roman" w:eastAsia="Times New Roman" w:hAnsi="Times New Roman"/>
          <w:b/>
          <w:sz w:val="22"/>
        </w:rPr>
        <w:t>ban</w:t>
      </w:r>
    </w:p>
    <w:p w14:paraId="1D1B0842" w14:textId="77777777" w:rsidR="002A793D" w:rsidRPr="00756271" w:rsidRDefault="002A793D" w:rsidP="00647049">
      <w:pPr>
        <w:keepNext/>
        <w:spacing w:line="232" w:lineRule="exact"/>
        <w:rPr>
          <w:rFonts w:ascii="Times New Roman" w:eastAsia="Times New Roman" w:hAnsi="Times New Roman"/>
          <w:sz w:val="22"/>
          <w:szCs w:val="22"/>
        </w:rPr>
      </w:pPr>
    </w:p>
    <w:tbl>
      <w:tblPr>
        <w:tblW w:w="5140" w:type="pct"/>
        <w:tblInd w:w="-10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47"/>
        <w:gridCol w:w="1842"/>
        <w:gridCol w:w="1700"/>
        <w:gridCol w:w="2121"/>
      </w:tblGrid>
      <w:tr w:rsidR="00E86F9D" w:rsidRPr="00F567BF" w14:paraId="4FF442FC" w14:textId="77777777" w:rsidTr="008B630E">
        <w:tc>
          <w:tcPr>
            <w:tcW w:w="1959" w:type="pct"/>
          </w:tcPr>
          <w:p w14:paraId="311888AB" w14:textId="77777777" w:rsidR="00F31466" w:rsidRPr="00F567BF" w:rsidRDefault="00F31466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89" w:type="pct"/>
          </w:tcPr>
          <w:p w14:paraId="153FE6E9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0110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vizsgálat</w:t>
            </w:r>
          </w:p>
          <w:p w14:paraId="4F8A2381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37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hónap adata</w:t>
            </w:r>
          </w:p>
          <w:p w14:paraId="6E9F8C79" w14:textId="77777777" w:rsidR="00E033BF" w:rsidRDefault="00F31466" w:rsidP="00E033BF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krónikus fázis</w:t>
            </w:r>
          </w:p>
          <w:p w14:paraId="0180E1CF" w14:textId="39BD713D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IFN-</w:t>
            </w:r>
            <w:r w:rsidR="00A50AF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sikertelenség</w:t>
            </w:r>
          </w:p>
          <w:p w14:paraId="486382CA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(n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=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532)</w:t>
            </w:r>
          </w:p>
        </w:tc>
        <w:tc>
          <w:tcPr>
            <w:tcW w:w="913" w:type="pct"/>
          </w:tcPr>
          <w:p w14:paraId="2C9D48E4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0109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vizsgálat</w:t>
            </w:r>
          </w:p>
          <w:p w14:paraId="2902190A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40,5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hónap adata</w:t>
            </w:r>
          </w:p>
          <w:p w14:paraId="50874FAD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akcelerált fázis</w:t>
            </w:r>
          </w:p>
          <w:p w14:paraId="72087EC7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(n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=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235)</w:t>
            </w:r>
          </w:p>
        </w:tc>
        <w:tc>
          <w:tcPr>
            <w:tcW w:w="1139" w:type="pct"/>
          </w:tcPr>
          <w:p w14:paraId="4AF49DD1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0102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vizsgálat</w:t>
            </w:r>
          </w:p>
          <w:p w14:paraId="255728C7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38</w:t>
            </w:r>
            <w:r w:rsidR="007C1EB8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hónap adata</w:t>
            </w:r>
          </w:p>
          <w:p w14:paraId="1BC42992" w14:textId="77777777" w:rsidR="00F31466" w:rsidRPr="00F567BF" w:rsidRDefault="00F31466" w:rsidP="00647049">
            <w:pPr>
              <w:keepNext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myeloid blasztos krízis</w:t>
            </w:r>
          </w:p>
          <w:p w14:paraId="4F7B8042" w14:textId="77777777" w:rsidR="00F31466" w:rsidRPr="00F567BF" w:rsidRDefault="00F31466" w:rsidP="00647049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(n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=</w:t>
            </w:r>
            <w:r w:rsidR="00124B29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260) </w:t>
            </w:r>
          </w:p>
        </w:tc>
      </w:tr>
      <w:tr w:rsidR="00F31466" w:rsidRPr="00F567BF" w14:paraId="5B25ED6D" w14:textId="77777777" w:rsidTr="008B630E">
        <w:trPr>
          <w:trHeight w:val="338"/>
        </w:trPr>
        <w:tc>
          <w:tcPr>
            <w:tcW w:w="5000" w:type="pct"/>
            <w:gridSpan w:val="4"/>
          </w:tcPr>
          <w:p w14:paraId="68BAA3AC" w14:textId="77777777" w:rsidR="00F31466" w:rsidRPr="00F567BF" w:rsidRDefault="00F31466" w:rsidP="00647049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a betegek %-a (CI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bscript"/>
                <w:lang w:eastAsia="en-GB"/>
              </w:rPr>
              <w:t>95%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E86F9D" w:rsidRPr="00F567BF" w14:paraId="64C65A3E" w14:textId="77777777" w:rsidTr="008B630E">
        <w:tc>
          <w:tcPr>
            <w:tcW w:w="1959" w:type="pct"/>
            <w:tcBorders>
              <w:bottom w:val="nil"/>
            </w:tcBorders>
          </w:tcPr>
          <w:p w14:paraId="591256AC" w14:textId="77777777" w:rsidR="00F31466" w:rsidRPr="00F567BF" w:rsidRDefault="00F31466" w:rsidP="00647049">
            <w:pPr>
              <w:keepNext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Hematológiai válasz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1</w:t>
            </w:r>
          </w:p>
        </w:tc>
        <w:tc>
          <w:tcPr>
            <w:tcW w:w="989" w:type="pct"/>
            <w:tcBorders>
              <w:bottom w:val="nil"/>
            </w:tcBorders>
          </w:tcPr>
          <w:p w14:paraId="2F93E9CA" w14:textId="77777777" w:rsidR="00F31466" w:rsidRPr="00F567BF" w:rsidRDefault="00F31466" w:rsidP="00647049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95% (92,3–96,3)</w:t>
            </w:r>
          </w:p>
        </w:tc>
        <w:tc>
          <w:tcPr>
            <w:tcW w:w="913" w:type="pct"/>
            <w:tcBorders>
              <w:bottom w:val="nil"/>
              <w:right w:val="single" w:sz="2" w:space="0" w:color="auto"/>
            </w:tcBorders>
          </w:tcPr>
          <w:p w14:paraId="587CB409" w14:textId="77777777" w:rsidR="00F31466" w:rsidRPr="00F567BF" w:rsidRDefault="00F31466" w:rsidP="00647049">
            <w:pPr>
              <w:keepNext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71% (65,3–77,2)</w:t>
            </w:r>
          </w:p>
        </w:tc>
        <w:tc>
          <w:tcPr>
            <w:tcW w:w="1139" w:type="pct"/>
            <w:tcBorders>
              <w:left w:val="single" w:sz="2" w:space="0" w:color="auto"/>
              <w:bottom w:val="nil"/>
            </w:tcBorders>
          </w:tcPr>
          <w:p w14:paraId="4313AC50" w14:textId="77777777" w:rsidR="00F31466" w:rsidRPr="00F567BF" w:rsidRDefault="00F31466" w:rsidP="00647049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31% (25,2–36,8) </w:t>
            </w:r>
          </w:p>
        </w:tc>
      </w:tr>
      <w:tr w:rsidR="00E86F9D" w:rsidRPr="00F567BF" w14:paraId="0505B570" w14:textId="77777777" w:rsidTr="008B630E">
        <w:tc>
          <w:tcPr>
            <w:tcW w:w="1959" w:type="pct"/>
            <w:tcBorders>
              <w:top w:val="nil"/>
              <w:bottom w:val="nil"/>
            </w:tcBorders>
          </w:tcPr>
          <w:p w14:paraId="2880ECEB" w14:textId="33ADF486" w:rsidR="00F31466" w:rsidRPr="00F567BF" w:rsidRDefault="002939B1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</w:t>
            </w:r>
            <w:r w:rsidRPr="002939B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eljes</w:t>
            </w:r>
            <w:r w:rsidR="00F31466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hematológiai válasz (CHR)</w:t>
            </w:r>
          </w:p>
        </w:tc>
        <w:tc>
          <w:tcPr>
            <w:tcW w:w="989" w:type="pct"/>
            <w:tcBorders>
              <w:top w:val="nil"/>
              <w:bottom w:val="nil"/>
            </w:tcBorders>
          </w:tcPr>
          <w:p w14:paraId="750DB887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95%</w:t>
            </w:r>
          </w:p>
        </w:tc>
        <w:tc>
          <w:tcPr>
            <w:tcW w:w="913" w:type="pct"/>
            <w:tcBorders>
              <w:top w:val="nil"/>
              <w:bottom w:val="nil"/>
              <w:right w:val="single" w:sz="2" w:space="0" w:color="auto"/>
            </w:tcBorders>
          </w:tcPr>
          <w:p w14:paraId="2A6D05FC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42%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  <w:bottom w:val="nil"/>
            </w:tcBorders>
          </w:tcPr>
          <w:p w14:paraId="338B609A" w14:textId="77777777" w:rsidR="00F31466" w:rsidRPr="00F567BF" w:rsidDel="00755564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8% </w:t>
            </w:r>
          </w:p>
        </w:tc>
      </w:tr>
      <w:tr w:rsidR="00E86F9D" w:rsidRPr="00F567BF" w14:paraId="44A6237E" w14:textId="77777777" w:rsidTr="008B630E">
        <w:tc>
          <w:tcPr>
            <w:tcW w:w="1959" w:type="pct"/>
            <w:tcBorders>
              <w:top w:val="nil"/>
              <w:bottom w:val="nil"/>
            </w:tcBorders>
          </w:tcPr>
          <w:p w14:paraId="470E33B9" w14:textId="7FCC3840" w:rsidR="00F31466" w:rsidRPr="00F567BF" w:rsidRDefault="003954CA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Nincs leukaemiára utaló bizonyíték</w:t>
            </w:r>
            <w:r w:rsidR="00F31466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(NEL) </w:t>
            </w:r>
          </w:p>
        </w:tc>
        <w:tc>
          <w:tcPr>
            <w:tcW w:w="989" w:type="pct"/>
            <w:tcBorders>
              <w:top w:val="nil"/>
              <w:bottom w:val="nil"/>
            </w:tcBorders>
          </w:tcPr>
          <w:p w14:paraId="06E3163B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nincs adat</w:t>
            </w:r>
          </w:p>
        </w:tc>
        <w:tc>
          <w:tcPr>
            <w:tcW w:w="913" w:type="pct"/>
            <w:tcBorders>
              <w:top w:val="nil"/>
              <w:bottom w:val="nil"/>
              <w:right w:val="single" w:sz="2" w:space="0" w:color="auto"/>
            </w:tcBorders>
          </w:tcPr>
          <w:p w14:paraId="50D876A0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12%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  <w:bottom w:val="nil"/>
            </w:tcBorders>
          </w:tcPr>
          <w:p w14:paraId="1B4BC3E0" w14:textId="77777777" w:rsidR="00F31466" w:rsidRPr="00F567BF" w:rsidDel="00755564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5%</w:t>
            </w:r>
          </w:p>
        </w:tc>
      </w:tr>
      <w:tr w:rsidR="00E86F9D" w:rsidRPr="00F567BF" w14:paraId="08827E5C" w14:textId="77777777" w:rsidTr="008B630E">
        <w:tc>
          <w:tcPr>
            <w:tcW w:w="1959" w:type="pct"/>
            <w:tcBorders>
              <w:top w:val="nil"/>
              <w:bottom w:val="single" w:sz="2" w:space="0" w:color="auto"/>
            </w:tcBorders>
          </w:tcPr>
          <w:p w14:paraId="34AC7EAD" w14:textId="77777777" w:rsidR="00F31466" w:rsidRPr="00F567BF" w:rsidRDefault="00F31466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Visszatérés a krónikus fázisba (RTC)</w:t>
            </w:r>
          </w:p>
        </w:tc>
        <w:tc>
          <w:tcPr>
            <w:tcW w:w="989" w:type="pct"/>
            <w:tcBorders>
              <w:top w:val="nil"/>
              <w:bottom w:val="single" w:sz="2" w:space="0" w:color="auto"/>
            </w:tcBorders>
          </w:tcPr>
          <w:p w14:paraId="58848DE2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nincs adat</w:t>
            </w:r>
          </w:p>
        </w:tc>
        <w:tc>
          <w:tcPr>
            <w:tcW w:w="913" w:type="pct"/>
            <w:tcBorders>
              <w:top w:val="nil"/>
              <w:bottom w:val="single" w:sz="2" w:space="0" w:color="auto"/>
              <w:right w:val="single" w:sz="2" w:space="0" w:color="auto"/>
            </w:tcBorders>
          </w:tcPr>
          <w:p w14:paraId="70440B8A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17%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  <w:bottom w:val="single" w:sz="2" w:space="0" w:color="auto"/>
            </w:tcBorders>
          </w:tcPr>
          <w:p w14:paraId="7D7B914F" w14:textId="77777777" w:rsidR="00F31466" w:rsidRPr="00F567BF" w:rsidDel="00755564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18%</w:t>
            </w:r>
          </w:p>
        </w:tc>
      </w:tr>
      <w:tr w:rsidR="00E86F9D" w:rsidRPr="00F567BF" w14:paraId="7E241618" w14:textId="77777777" w:rsidTr="008B630E">
        <w:trPr>
          <w:trHeight w:val="210"/>
        </w:trPr>
        <w:tc>
          <w:tcPr>
            <w:tcW w:w="1959" w:type="pct"/>
            <w:tcBorders>
              <w:bottom w:val="nil"/>
              <w:right w:val="single" w:sz="2" w:space="0" w:color="auto"/>
            </w:tcBorders>
          </w:tcPr>
          <w:p w14:paraId="1136503D" w14:textId="77777777" w:rsidR="00F31466" w:rsidRPr="00F567BF" w:rsidRDefault="00F31466" w:rsidP="008B630E">
            <w:pPr>
              <w:ind w:left="250" w:hanging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Nagyfokú </w:t>
            </w:r>
            <w:r w:rsidR="00703FF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citogen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etikai válasz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2</w:t>
            </w:r>
          </w:p>
        </w:tc>
        <w:tc>
          <w:tcPr>
            <w:tcW w:w="989" w:type="pct"/>
            <w:tcBorders>
              <w:bottom w:val="nil"/>
            </w:tcBorders>
          </w:tcPr>
          <w:p w14:paraId="6BB0EC34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65% (61,2–69,5)</w:t>
            </w:r>
          </w:p>
        </w:tc>
        <w:tc>
          <w:tcPr>
            <w:tcW w:w="913" w:type="pct"/>
            <w:tcBorders>
              <w:bottom w:val="nil"/>
              <w:right w:val="single" w:sz="2" w:space="0" w:color="auto"/>
            </w:tcBorders>
          </w:tcPr>
          <w:p w14:paraId="7D6281FF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28% (22,0–33,9)</w:t>
            </w:r>
          </w:p>
        </w:tc>
        <w:tc>
          <w:tcPr>
            <w:tcW w:w="1139" w:type="pct"/>
            <w:tcBorders>
              <w:left w:val="single" w:sz="2" w:space="0" w:color="auto"/>
              <w:bottom w:val="nil"/>
            </w:tcBorders>
          </w:tcPr>
          <w:p w14:paraId="4721FE42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15% (11,2–20,4)</w:t>
            </w:r>
          </w:p>
        </w:tc>
      </w:tr>
      <w:tr w:rsidR="00E86F9D" w:rsidRPr="00F567BF" w14:paraId="48A51ED0" w14:textId="77777777" w:rsidTr="008B630E">
        <w:trPr>
          <w:trHeight w:val="210"/>
        </w:trPr>
        <w:tc>
          <w:tcPr>
            <w:tcW w:w="1959" w:type="pct"/>
            <w:tcBorders>
              <w:top w:val="nil"/>
              <w:bottom w:val="nil"/>
              <w:right w:val="single" w:sz="2" w:space="0" w:color="auto"/>
            </w:tcBorders>
          </w:tcPr>
          <w:p w14:paraId="49709B0B" w14:textId="338A7778" w:rsidR="00F31466" w:rsidRPr="00F567BF" w:rsidRDefault="002939B1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Teljes</w:t>
            </w:r>
          </w:p>
        </w:tc>
        <w:tc>
          <w:tcPr>
            <w:tcW w:w="989" w:type="pct"/>
            <w:tcBorders>
              <w:top w:val="nil"/>
              <w:bottom w:val="nil"/>
            </w:tcBorders>
          </w:tcPr>
          <w:p w14:paraId="7FF8C671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53%</w:t>
            </w:r>
          </w:p>
        </w:tc>
        <w:tc>
          <w:tcPr>
            <w:tcW w:w="913" w:type="pct"/>
            <w:tcBorders>
              <w:top w:val="nil"/>
              <w:bottom w:val="nil"/>
              <w:right w:val="single" w:sz="2" w:space="0" w:color="auto"/>
            </w:tcBorders>
          </w:tcPr>
          <w:p w14:paraId="05E1C7E7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20%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  <w:bottom w:val="nil"/>
            </w:tcBorders>
          </w:tcPr>
          <w:p w14:paraId="41BE9D4B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7%</w:t>
            </w:r>
          </w:p>
        </w:tc>
      </w:tr>
      <w:tr w:rsidR="00E86F9D" w:rsidRPr="00F567BF" w14:paraId="79AC2C2C" w14:textId="77777777" w:rsidTr="008B630E">
        <w:trPr>
          <w:trHeight w:val="210"/>
        </w:trPr>
        <w:tc>
          <w:tcPr>
            <w:tcW w:w="1959" w:type="pct"/>
            <w:tcBorders>
              <w:top w:val="nil"/>
              <w:bottom w:val="nil"/>
              <w:right w:val="single" w:sz="2" w:space="0" w:color="auto"/>
            </w:tcBorders>
          </w:tcPr>
          <w:p w14:paraId="019BDFDE" w14:textId="77777777" w:rsidR="00F31466" w:rsidRPr="00F567BF" w:rsidRDefault="00F31466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(Megerősített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vertAlign w:val="superscript"/>
                <w:lang w:eastAsia="en-GB"/>
              </w:rPr>
              <w:t>3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) (95%</w:t>
            </w:r>
            <w:r w:rsidR="0009453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-os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 xml:space="preserve"> CI)</w:t>
            </w:r>
          </w:p>
        </w:tc>
        <w:tc>
          <w:tcPr>
            <w:tcW w:w="989" w:type="pct"/>
            <w:tcBorders>
              <w:top w:val="nil"/>
              <w:bottom w:val="nil"/>
            </w:tcBorders>
          </w:tcPr>
          <w:p w14:paraId="53E7F401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(43%) [38,6–47,2]</w:t>
            </w:r>
          </w:p>
        </w:tc>
        <w:tc>
          <w:tcPr>
            <w:tcW w:w="913" w:type="pct"/>
            <w:tcBorders>
              <w:top w:val="nil"/>
              <w:bottom w:val="nil"/>
              <w:right w:val="single" w:sz="2" w:space="0" w:color="auto"/>
            </w:tcBorders>
          </w:tcPr>
          <w:p w14:paraId="0488B897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(16%) [11,3–21,0]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  <w:bottom w:val="nil"/>
            </w:tcBorders>
          </w:tcPr>
          <w:p w14:paraId="0C1E18DA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(2%) [0,6</w:t>
            </w:r>
            <w:r w:rsidR="0061442C"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4,4]</w:t>
            </w:r>
          </w:p>
        </w:tc>
      </w:tr>
      <w:tr w:rsidR="00E86F9D" w:rsidRPr="00F567BF" w14:paraId="252C9498" w14:textId="77777777" w:rsidTr="008B630E">
        <w:trPr>
          <w:trHeight w:val="210"/>
        </w:trPr>
        <w:tc>
          <w:tcPr>
            <w:tcW w:w="1959" w:type="pct"/>
            <w:tcBorders>
              <w:top w:val="nil"/>
              <w:right w:val="single" w:sz="2" w:space="0" w:color="auto"/>
            </w:tcBorders>
          </w:tcPr>
          <w:p w14:paraId="5D27910A" w14:textId="77777777" w:rsidR="00F31466" w:rsidRPr="00F567BF" w:rsidRDefault="00F31466" w:rsidP="008B630E">
            <w:pPr>
              <w:ind w:left="2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Részleges</w:t>
            </w:r>
          </w:p>
        </w:tc>
        <w:tc>
          <w:tcPr>
            <w:tcW w:w="989" w:type="pct"/>
            <w:tcBorders>
              <w:top w:val="nil"/>
            </w:tcBorders>
          </w:tcPr>
          <w:p w14:paraId="51F40C9D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12%</w:t>
            </w:r>
          </w:p>
        </w:tc>
        <w:tc>
          <w:tcPr>
            <w:tcW w:w="913" w:type="pct"/>
            <w:tcBorders>
              <w:top w:val="nil"/>
              <w:right w:val="single" w:sz="2" w:space="0" w:color="auto"/>
            </w:tcBorders>
          </w:tcPr>
          <w:p w14:paraId="1A94D707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7%</w:t>
            </w:r>
          </w:p>
        </w:tc>
        <w:tc>
          <w:tcPr>
            <w:tcW w:w="1139" w:type="pct"/>
            <w:tcBorders>
              <w:top w:val="nil"/>
              <w:left w:val="single" w:sz="2" w:space="0" w:color="auto"/>
            </w:tcBorders>
          </w:tcPr>
          <w:p w14:paraId="5B09E1E9" w14:textId="77777777" w:rsidR="00F31466" w:rsidRPr="00F567BF" w:rsidRDefault="00F31466" w:rsidP="002C66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n-GB"/>
              </w:rPr>
              <w:t>8%</w:t>
            </w:r>
          </w:p>
        </w:tc>
      </w:tr>
      <w:tr w:rsidR="00F31466" w:rsidRPr="00F567BF" w14:paraId="28EDB9DB" w14:textId="77777777" w:rsidTr="008B630E">
        <w:tc>
          <w:tcPr>
            <w:tcW w:w="5000" w:type="pct"/>
            <w:gridSpan w:val="4"/>
          </w:tcPr>
          <w:p w14:paraId="3A4D42BE" w14:textId="27B9BC13" w:rsidR="00F31466" w:rsidRPr="00124B29" w:rsidRDefault="00F31466" w:rsidP="008B630E">
            <w:pPr>
              <w:tabs>
                <w:tab w:val="left" w:pos="288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vertAlign w:val="superscript"/>
                <w:lang w:eastAsia="nl-NL"/>
              </w:rPr>
              <w:t>1</w:t>
            </w:r>
            <w:r w:rsidR="00346EE8" w:rsidRPr="00346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nl-NL"/>
              </w:rPr>
              <w:tab/>
            </w:r>
            <w:r w:rsidR="00E0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A h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ematológiai válasz kritériumai (minde</w:t>
            </w:r>
            <w:r w:rsidR="00A77E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n választ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 xml:space="preserve"> meg</w:t>
            </w:r>
            <w:r w:rsidR="00A77E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 xml:space="preserve"> kell 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erősít</w:t>
            </w:r>
            <w:r w:rsidR="00A77E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eni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 xml:space="preserve"> </w:t>
            </w:r>
            <w:r w:rsidR="002F201D"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≥ 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 xml:space="preserve">4 hét </w:t>
            </w:r>
            <w:r w:rsidR="00A77E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múlva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):</w:t>
            </w:r>
          </w:p>
          <w:p w14:paraId="41063D5A" w14:textId="01C0348F" w:rsidR="00F31466" w:rsidRPr="00124B29" w:rsidRDefault="00F31466" w:rsidP="00501541">
            <w:pPr>
              <w:ind w:left="392"/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</w:pP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CHR</w:t>
            </w:r>
            <w:r w:rsidR="00B61102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(</w:t>
            </w:r>
            <w:r w:rsidR="003954CA" w:rsidRPr="00583DC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nl-NL"/>
              </w:rPr>
              <w:t>complet haematological response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)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: a 0110 vizsgálatban</w:t>
            </w:r>
            <w:r w:rsidR="00583D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: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f</w:t>
            </w:r>
            <w:r w:rsidR="00583D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ehérvérsejt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szám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/l, thrombocytaszám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450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/l, myelocyta + metamyelocyta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5% a vérben, nincs </w:t>
            </w:r>
            <w:r w:rsidR="001D4763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blaszt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és promyelocyta a vérben, basophil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20%, nincs extramedullaris </w:t>
            </w:r>
            <w:r w:rsidR="00CF3918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érintettség</w:t>
            </w:r>
            <w:r w:rsidR="007D7B3B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;</w:t>
            </w:r>
            <w:r w:rsidR="000D38D0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a 0102 és 0109 vizsgálatban</w:t>
            </w:r>
            <w:r w:rsidR="007D7B3B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: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ANC</w:t>
            </w:r>
            <w:r w:rsidR="00346EE8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≥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1,5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/l, thrombocytaszám </w:t>
            </w:r>
            <w:r w:rsidR="00346EE8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≥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100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/l, nincs </w:t>
            </w:r>
            <w:r w:rsidR="001D4763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blaszt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a vérben, </w:t>
            </w:r>
            <w:r w:rsidR="00A20C8E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blaszt 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a csontvelőben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5% és nincs extramedull</w:t>
            </w:r>
            <w:r w:rsidR="00A20C8E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a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ris betegség.</w:t>
            </w:r>
          </w:p>
          <w:p w14:paraId="276C86BB" w14:textId="19401D94" w:rsidR="00F31466" w:rsidRPr="00124B29" w:rsidRDefault="00F31466" w:rsidP="00346EE8">
            <w:pPr>
              <w:ind w:left="392"/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</w:pP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NEL</w:t>
            </w:r>
            <w:r w:rsidR="00B61102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(</w:t>
            </w:r>
            <w:r w:rsidR="003954CA" w:rsidRPr="000B304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nl-NL"/>
              </w:rPr>
              <w:t>no evidence of leukaemia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)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: ugyanazon kritériumok, mint a CHR</w:t>
            </w:r>
            <w:r w:rsidR="000B3047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eseté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ben, de ANC 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≥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/l, és a thrombocytaszám 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≥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20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 </w:t>
            </w:r>
            <w:r w:rsidR="002F201D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×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10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9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/l (csak a 0102 és 0109 vizsgálatban).</w:t>
            </w:r>
          </w:p>
          <w:p w14:paraId="09797008" w14:textId="6FDC1EB6" w:rsidR="00F31466" w:rsidRPr="00124B29" w:rsidRDefault="00F31466" w:rsidP="00346EE8">
            <w:pPr>
              <w:ind w:left="392"/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</w:pP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RTC</w:t>
            </w:r>
            <w:r w:rsidR="00B61102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(</w:t>
            </w:r>
            <w:r w:rsidR="003954CA" w:rsidRPr="007D5C2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nl-NL"/>
              </w:rPr>
              <w:t>return to chronic phase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)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: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15% </w:t>
            </w:r>
            <w:r w:rsidR="001D4763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blaszt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, ill</w:t>
            </w:r>
            <w:r w:rsidR="007C1EB8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etve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30% </w:t>
            </w:r>
            <w:r w:rsidR="001D4763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blaszt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+ promyelocyta a csontvelőben és a perifériás vérben, </w:t>
            </w:r>
            <w:r w:rsidR="00273092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&lt; 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20% basophil a peri</w:t>
            </w:r>
            <w:r w:rsidR="00E033B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fé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riás vérben, 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a lépet és a májat érintő elváltozásokon kív</w:t>
            </w:r>
            <w:r w:rsidR="003A06E3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ü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l 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nincs </w:t>
            </w:r>
            <w:r w:rsidR="003954C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jelen 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extramedull</w:t>
            </w:r>
            <w:r w:rsidR="00ED7AD0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a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ris betegség (csak a 0102 és 0109 vizsgálatban).</w:t>
            </w:r>
          </w:p>
          <w:p w14:paraId="12CB89F2" w14:textId="6A9315FD" w:rsidR="00F31466" w:rsidRPr="00124B29" w:rsidRDefault="00F31466" w:rsidP="00756271">
            <w:pPr>
              <w:keepNext/>
              <w:tabs>
                <w:tab w:val="left" w:pos="278"/>
              </w:tabs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</w:pP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eastAsia="nl-NL"/>
              </w:rPr>
              <w:t>2</w:t>
            </w:r>
            <w:r w:rsidR="00346EE8"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ab/>
            </w:r>
            <w:r w:rsidR="00E0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A c</w:t>
            </w:r>
            <w:r w:rsidR="00703FFA"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itogen</w:t>
            </w:r>
            <w:r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>etikai válasz kritériumai:</w:t>
            </w:r>
          </w:p>
          <w:p w14:paraId="2577D4BE" w14:textId="7753FB05" w:rsidR="00F31466" w:rsidRPr="00124B29" w:rsidRDefault="00F31466" w:rsidP="00756271">
            <w:pPr>
              <w:keepNext/>
              <w:tabs>
                <w:tab w:val="left" w:pos="278"/>
              </w:tabs>
              <w:ind w:left="250"/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</w:pP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A nagyfokú </w:t>
            </w:r>
            <w:r w:rsidR="00703FFA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citogen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etikai válasz a </w:t>
            </w:r>
            <w:r w:rsidR="00C42D8F" w:rsidRPr="00C42D8F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teljes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és részleges válasz együttese: </w:t>
            </w:r>
            <w:r w:rsidR="002939B1" w:rsidRPr="002939B1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teljes</w:t>
            </w:r>
            <w:r w:rsidR="00615953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(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0% Ph+ metafázis</w:t>
            </w:r>
            <w:r w:rsidR="00615953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)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, részleges</w:t>
            </w:r>
            <w:r w:rsidR="00615953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(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1–35%</w:t>
            </w:r>
            <w:r w:rsidR="00615953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)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.</w:t>
            </w:r>
          </w:p>
          <w:p w14:paraId="01294FF9" w14:textId="26F4BB03" w:rsidR="00F31466" w:rsidRPr="00F567BF" w:rsidRDefault="00F31466" w:rsidP="00756271">
            <w:pPr>
              <w:keepNext/>
              <w:tabs>
                <w:tab w:val="left" w:pos="278"/>
              </w:tabs>
              <w:ind w:left="250" w:hanging="250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en-GB"/>
              </w:rPr>
            </w:pP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nl-NL"/>
              </w:rPr>
              <w:t>3</w:t>
            </w:r>
            <w:r w:rsidR="00ED7AD0" w:rsidRPr="00124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nl-NL"/>
              </w:rPr>
              <w:tab/>
            </w:r>
            <w:r w:rsidR="002939B1" w:rsidRPr="00C42D8F">
              <w:rPr>
                <w:rFonts w:ascii="Times New Roman" w:eastAsia="Times New Roman" w:hAnsi="Times New Roman" w:cs="Times New Roman"/>
                <w:color w:val="000000"/>
                <w:lang w:eastAsia="nl-NL"/>
              </w:rPr>
              <w:t>T</w:t>
            </w:r>
            <w:r w:rsidR="002939B1" w:rsidRPr="002939B1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eljes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 </w:t>
            </w:r>
            <w:r w:rsidR="00703FFA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citogen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etikai válasz</w:t>
            </w:r>
            <w:r w:rsidR="00C60AF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, amit 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az első csontvelővizsgálat után </w:t>
            </w:r>
            <w:r w:rsidR="00C60AFA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legalább egy hónappal el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végzett második </w:t>
            </w:r>
            <w:r w:rsidR="00703FFA"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citogen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 xml:space="preserve">etikai </w:t>
            </w:r>
            <w:r w:rsidR="00DF3A4D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csontvelő-értékelés igazol</w:t>
            </w:r>
            <w:r w:rsidRPr="00124B29">
              <w:rPr>
                <w:rFonts w:ascii="Times New Roman" w:eastAsia="Times New Roman" w:hAnsi="Times New Roman" w:cs="Times New Roman"/>
                <w:bCs/>
                <w:color w:val="000000"/>
                <w:lang w:eastAsia="nl-NL"/>
              </w:rPr>
              <w:t>.</w:t>
            </w:r>
          </w:p>
        </w:tc>
      </w:tr>
    </w:tbl>
    <w:p w14:paraId="42FFDB74" w14:textId="77777777" w:rsidR="002C660E" w:rsidRPr="00F567BF" w:rsidRDefault="002C660E">
      <w:pPr>
        <w:spacing w:line="232" w:lineRule="exact"/>
        <w:rPr>
          <w:rFonts w:ascii="Times New Roman" w:eastAsia="Times New Roman" w:hAnsi="Times New Roman"/>
        </w:rPr>
      </w:pPr>
    </w:p>
    <w:p w14:paraId="518A495A" w14:textId="77777777" w:rsidR="00224126" w:rsidRPr="00652029" w:rsidRDefault="002A793D" w:rsidP="00272D86">
      <w:pPr>
        <w:ind w:right="-8"/>
        <w:rPr>
          <w:rFonts w:ascii="Times New Roman" w:eastAsia="Times New Roman" w:hAnsi="Times New Roman"/>
          <w:i/>
          <w:sz w:val="22"/>
          <w:szCs w:val="22"/>
          <w:u w:val="single"/>
        </w:rPr>
      </w:pP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Gyermekek</w:t>
      </w:r>
      <w:r w:rsidR="00AA3604" w:rsidRPr="00652029">
        <w:rPr>
          <w:rFonts w:ascii="Times New Roman" w:eastAsia="Times New Roman" w:hAnsi="Times New Roman" w:cs="Times New Roman"/>
          <w:i/>
          <w:sz w:val="22"/>
          <w:szCs w:val="22"/>
          <w:u w:val="single"/>
          <w:lang w:eastAsia="en-US"/>
        </w:rPr>
        <w:t xml:space="preserve"> </w:t>
      </w:r>
      <w:r w:rsidR="00AA3604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és serdülők</w:t>
      </w: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:</w:t>
      </w:r>
    </w:p>
    <w:p w14:paraId="6C92CEC3" w14:textId="515C2D81" w:rsidR="002A793D" w:rsidRPr="00F567BF" w:rsidRDefault="00224126" w:rsidP="00272D86">
      <w:pPr>
        <w:ind w:right="-8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Ö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sszesen 26, 18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év alatti krónikus fázisú 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i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11) vagy blasztos krízisben lévő CML-es</w:t>
      </w:r>
      <w:r>
        <w:rPr>
          <w:rFonts w:ascii="Times New Roman" w:eastAsia="Times New Roman" w:hAnsi="Times New Roman"/>
          <w:sz w:val="22"/>
          <w:szCs w:val="22"/>
        </w:rPr>
        <w:t>,</w:t>
      </w:r>
      <w:r w:rsidR="002A793D"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>illetve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Ph+ akut leukaemiás 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15) </w:t>
      </w:r>
      <w:r w:rsidR="000D38D0">
        <w:rPr>
          <w:rFonts w:ascii="Times New Roman" w:eastAsia="Times New Roman" w:hAnsi="Times New Roman"/>
          <w:sz w:val="22"/>
          <w:szCs w:val="22"/>
        </w:rPr>
        <w:t>gyermek és serdül</w:t>
      </w:r>
      <w:r w:rsidR="00E033BF">
        <w:rPr>
          <w:rFonts w:ascii="Times New Roman" w:eastAsia="Times New Roman" w:hAnsi="Times New Roman"/>
          <w:sz w:val="22"/>
          <w:szCs w:val="22"/>
        </w:rPr>
        <w:t>ő</w:t>
      </w:r>
      <w:r w:rsidR="00775744">
        <w:rPr>
          <w:rFonts w:ascii="Times New Roman" w:eastAsia="Times New Roman" w:hAnsi="Times New Roman"/>
          <w:sz w:val="22"/>
          <w:szCs w:val="22"/>
        </w:rPr>
        <w:t xml:space="preserve"> beteget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vontak be a dóziseszkalációs </w:t>
      </w:r>
      <w:r w:rsidR="00312570">
        <w:rPr>
          <w:rFonts w:ascii="Times New Roman" w:eastAsia="Times New Roman" w:hAnsi="Times New Roman"/>
          <w:sz w:val="22"/>
          <w:szCs w:val="22"/>
        </w:rPr>
        <w:t>I.</w:t>
      </w:r>
      <w:r w:rsidR="007C1EB8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312570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vizsgálatba. </w:t>
      </w:r>
      <w:r w:rsidR="00FE67A2">
        <w:rPr>
          <w:rFonts w:ascii="Times New Roman" w:eastAsia="Times New Roman" w:hAnsi="Times New Roman"/>
          <w:sz w:val="22"/>
          <w:szCs w:val="22"/>
        </w:rPr>
        <w:t>Többszörösen</w:t>
      </w:r>
      <w:r w:rsidR="00FE67A2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előkezelt betegek voltak, 46%-uk átesett már csontvelő-transzplantáción, illetve 73%-uk előzetesen kombinált kemoterápiát kapott. A </w:t>
      </w:r>
      <w:r w:rsidR="00272D86">
        <w:rPr>
          <w:rFonts w:ascii="Times New Roman" w:eastAsia="Times New Roman" w:hAnsi="Times New Roman"/>
          <w:sz w:val="22"/>
          <w:szCs w:val="22"/>
        </w:rPr>
        <w:t>betegek</w:t>
      </w:r>
      <w:r w:rsidR="00272D86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imatinib</w:t>
      </w:r>
      <w:r w:rsidR="00E033BF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dózisa 260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 xml:space="preserve">/nap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5), 340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/nap 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9), 440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/nap 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7), ill</w:t>
      </w:r>
      <w:r w:rsidR="00124B29">
        <w:rPr>
          <w:rFonts w:ascii="Times New Roman" w:eastAsia="Times New Roman" w:hAnsi="Times New Roman"/>
          <w:sz w:val="22"/>
          <w:szCs w:val="22"/>
        </w:rPr>
        <w:t>etve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570</w:t>
      </w:r>
      <w:r w:rsidR="00990452" w:rsidRPr="00F567BF">
        <w:rPr>
          <w:rFonts w:ascii="Times New Roman" w:eastAsia="Times New Roman" w:hAnsi="Times New Roman"/>
          <w:b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/nap (n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=</w:t>
      </w:r>
      <w:r w:rsidR="00AA360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5) volt. A krónikus fázisú CML</w:t>
      </w:r>
      <w:r w:rsidR="00272D86">
        <w:rPr>
          <w:rFonts w:ascii="Times New Roman" w:eastAsia="Times New Roman" w:hAnsi="Times New Roman"/>
          <w:sz w:val="22"/>
          <w:szCs w:val="22"/>
        </w:rPr>
        <w:t>-es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betegek közül 9</w:t>
      </w:r>
      <w:r w:rsidR="00E42B47">
        <w:rPr>
          <w:rFonts w:ascii="Times New Roman" w:eastAsia="Times New Roman" w:hAnsi="Times New Roman"/>
          <w:sz w:val="22"/>
          <w:szCs w:val="22"/>
        </w:rPr>
        <w:t>-nek állnak rendelkezésre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E033BF">
        <w:rPr>
          <w:rFonts w:ascii="Times New Roman" w:eastAsia="Times New Roman" w:hAnsi="Times New Roman"/>
          <w:sz w:val="22"/>
          <w:szCs w:val="22"/>
        </w:rPr>
        <w:t xml:space="preserve">a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8F5293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etikai adatai: közülük 4 (44%) ért el </w:t>
      </w:r>
      <w:r w:rsidR="00DC4CF3">
        <w:rPr>
          <w:rFonts w:ascii="Times New Roman" w:eastAsia="Times New Roman" w:hAnsi="Times New Roman"/>
          <w:sz w:val="22"/>
          <w:szCs w:val="22"/>
        </w:rPr>
        <w:t>teljes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, és 3 (33%) részleges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8D107C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etikai választ; ez 77% MCyR-nek felel meg.</w:t>
      </w:r>
    </w:p>
    <w:p w14:paraId="5712FA49" w14:textId="77777777" w:rsidR="002A793D" w:rsidRPr="00F567BF" w:rsidRDefault="002A793D" w:rsidP="000450D8">
      <w:pPr>
        <w:rPr>
          <w:rFonts w:ascii="Times New Roman" w:eastAsia="Times New Roman" w:hAnsi="Times New Roman"/>
          <w:sz w:val="22"/>
          <w:szCs w:val="22"/>
        </w:rPr>
      </w:pPr>
    </w:p>
    <w:p w14:paraId="0E18AEA5" w14:textId="2E9C9A74" w:rsidR="002A793D" w:rsidRPr="00F567BF" w:rsidRDefault="002A793D" w:rsidP="00272D86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Összesen 51 újonnan </w:t>
      </w:r>
      <w:r w:rsidRPr="009501AC">
        <w:rPr>
          <w:rFonts w:ascii="Times New Roman" w:eastAsia="Times New Roman" w:hAnsi="Times New Roman"/>
          <w:sz w:val="22"/>
          <w:szCs w:val="22"/>
        </w:rPr>
        <w:t>diagnosztizált és kezeletlen krónikus fázisú CML-</w:t>
      </w:r>
      <w:r w:rsidR="00272D86" w:rsidRPr="009501AC">
        <w:rPr>
          <w:rFonts w:ascii="Times New Roman" w:eastAsia="Times New Roman" w:hAnsi="Times New Roman"/>
          <w:sz w:val="22"/>
          <w:szCs w:val="22"/>
        </w:rPr>
        <w:t>ben szenvedő gyerm</w:t>
      </w:r>
      <w:r w:rsidR="00BB797C" w:rsidRPr="009501AC">
        <w:rPr>
          <w:rFonts w:ascii="Times New Roman" w:eastAsia="Times New Roman" w:hAnsi="Times New Roman"/>
          <w:sz w:val="22"/>
          <w:szCs w:val="22"/>
        </w:rPr>
        <w:t>e</w:t>
      </w:r>
      <w:r w:rsidR="00272D86" w:rsidRPr="009501AC">
        <w:rPr>
          <w:rFonts w:ascii="Times New Roman" w:eastAsia="Times New Roman" w:hAnsi="Times New Roman"/>
          <w:sz w:val="22"/>
          <w:szCs w:val="22"/>
        </w:rPr>
        <w:t>k</w:t>
      </w:r>
      <w:r w:rsidR="00E033BF">
        <w:rPr>
          <w:rFonts w:ascii="Times New Roman" w:eastAsia="Times New Roman" w:hAnsi="Times New Roman"/>
          <w:sz w:val="22"/>
          <w:szCs w:val="22"/>
        </w:rPr>
        <w:t>et és</w:t>
      </w:r>
      <w:r w:rsidR="00272D86" w:rsidRPr="009501AC">
        <w:rPr>
          <w:rFonts w:ascii="Times New Roman" w:eastAsia="Times New Roman" w:hAnsi="Times New Roman"/>
          <w:sz w:val="22"/>
          <w:szCs w:val="22"/>
        </w:rPr>
        <w:t xml:space="preserve"> serdülő</w:t>
      </w:r>
      <w:r w:rsidRPr="009501AC">
        <w:rPr>
          <w:rFonts w:ascii="Times New Roman" w:eastAsia="Times New Roman" w:hAnsi="Times New Roman"/>
          <w:sz w:val="22"/>
          <w:szCs w:val="22"/>
        </w:rPr>
        <w:t>t vontak be egy nyílt</w:t>
      </w:r>
      <w:r w:rsidR="00DC4CF3">
        <w:rPr>
          <w:rFonts w:ascii="Times New Roman" w:eastAsia="Times New Roman" w:hAnsi="Times New Roman"/>
          <w:sz w:val="22"/>
          <w:szCs w:val="22"/>
        </w:rPr>
        <w:t xml:space="preserve"> elrendezésű</w:t>
      </w:r>
      <w:r w:rsidRPr="009501AC">
        <w:rPr>
          <w:rFonts w:ascii="Times New Roman" w:eastAsia="Times New Roman" w:hAnsi="Times New Roman"/>
          <w:sz w:val="22"/>
          <w:szCs w:val="22"/>
        </w:rPr>
        <w:t>, multicentrikus, egykar</w:t>
      </w:r>
      <w:r w:rsidR="005E26D4">
        <w:rPr>
          <w:rFonts w:ascii="Times New Roman" w:eastAsia="Times New Roman" w:hAnsi="Times New Roman"/>
          <w:sz w:val="22"/>
          <w:szCs w:val="22"/>
        </w:rPr>
        <w:t>ú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, </w:t>
      </w:r>
      <w:r w:rsidR="00312570" w:rsidRPr="009501AC">
        <w:rPr>
          <w:rFonts w:ascii="Times New Roman" w:eastAsia="Times New Roman" w:hAnsi="Times New Roman"/>
          <w:sz w:val="22"/>
          <w:szCs w:val="22"/>
        </w:rPr>
        <w:t xml:space="preserve">II. </w:t>
      </w:r>
      <w:r w:rsidRPr="009501AC">
        <w:rPr>
          <w:rFonts w:ascii="Times New Roman" w:eastAsia="Times New Roman" w:hAnsi="Times New Roman"/>
          <w:sz w:val="22"/>
          <w:szCs w:val="22"/>
        </w:rPr>
        <w:t>fázis</w:t>
      </w:r>
      <w:r w:rsidR="00312570" w:rsidRPr="009501AC">
        <w:rPr>
          <w:rFonts w:ascii="Times New Roman" w:eastAsia="Times New Roman" w:hAnsi="Times New Roman"/>
          <w:sz w:val="22"/>
          <w:szCs w:val="22"/>
        </w:rPr>
        <w:t>ú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vizsgálatba. </w:t>
      </w:r>
      <w:r w:rsidR="00990452" w:rsidRPr="009501AC">
        <w:rPr>
          <w:rFonts w:ascii="Times New Roman" w:eastAsia="Times New Roman" w:hAnsi="Times New Roman"/>
          <w:sz w:val="22"/>
          <w:szCs w:val="22"/>
        </w:rPr>
        <w:t>Az imatinib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dózisa 340</w:t>
      </w:r>
      <w:r w:rsidR="00990452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mg/m</w:t>
      </w:r>
      <w:r w:rsidRPr="009501AC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/nap volt, dózislimitáló toxicitás hiányában a kezelést nem szakították meg. </w:t>
      </w:r>
      <w:r w:rsidR="00990452" w:rsidRPr="009501AC">
        <w:rPr>
          <w:rFonts w:ascii="Times New Roman" w:eastAsia="Times New Roman" w:hAnsi="Times New Roman"/>
          <w:sz w:val="22"/>
          <w:szCs w:val="22"/>
        </w:rPr>
        <w:t>Az imatinib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-kezelés gyors választ indukál az újonnan diagnosztizált </w:t>
      </w:r>
      <w:r w:rsidR="00272D86" w:rsidRPr="009501AC">
        <w:rPr>
          <w:rFonts w:ascii="Times New Roman" w:eastAsia="Times New Roman" w:hAnsi="Times New Roman"/>
          <w:sz w:val="22"/>
          <w:szCs w:val="22"/>
        </w:rPr>
        <w:t>gyermek, illetve serdülő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</w:t>
      </w:r>
      <w:r w:rsidR="00DC3E6B" w:rsidRPr="009501AC">
        <w:rPr>
          <w:rFonts w:ascii="Times New Roman" w:eastAsia="Times New Roman" w:hAnsi="Times New Roman"/>
          <w:sz w:val="22"/>
          <w:szCs w:val="22"/>
        </w:rPr>
        <w:t>CML-</w:t>
      </w:r>
      <w:r w:rsidR="00DC3E6B">
        <w:rPr>
          <w:rFonts w:ascii="Times New Roman" w:eastAsia="Times New Roman" w:hAnsi="Times New Roman"/>
          <w:sz w:val="22"/>
          <w:szCs w:val="22"/>
        </w:rPr>
        <w:t xml:space="preserve">es </w:t>
      </w:r>
      <w:r w:rsidRPr="009501AC">
        <w:rPr>
          <w:rFonts w:ascii="Times New Roman" w:eastAsia="Times New Roman" w:hAnsi="Times New Roman"/>
          <w:sz w:val="22"/>
          <w:szCs w:val="22"/>
        </w:rPr>
        <w:t>betegek</w:t>
      </w:r>
      <w:r w:rsidR="00E033BF">
        <w:rPr>
          <w:rFonts w:ascii="Times New Roman" w:eastAsia="Times New Roman" w:hAnsi="Times New Roman"/>
          <w:sz w:val="22"/>
          <w:szCs w:val="22"/>
        </w:rPr>
        <w:t>nél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, </w:t>
      </w:r>
      <w:r w:rsidR="00BB4478">
        <w:rPr>
          <w:rFonts w:ascii="Times New Roman" w:eastAsia="Times New Roman" w:hAnsi="Times New Roman"/>
          <w:sz w:val="22"/>
          <w:szCs w:val="22"/>
        </w:rPr>
        <w:t>és</w:t>
      </w:r>
      <w:r w:rsidR="00BB4478" w:rsidRPr="009501AC">
        <w:rPr>
          <w:rFonts w:ascii="Times New Roman" w:eastAsia="Times New Roman" w:hAnsi="Times New Roman"/>
          <w:sz w:val="22"/>
          <w:szCs w:val="22"/>
        </w:rPr>
        <w:t xml:space="preserve"> </w:t>
      </w:r>
      <w:r w:rsidRPr="009501AC">
        <w:rPr>
          <w:rFonts w:ascii="Times New Roman" w:eastAsia="Times New Roman" w:hAnsi="Times New Roman"/>
          <w:sz w:val="22"/>
          <w:szCs w:val="22"/>
        </w:rPr>
        <w:t>8</w:t>
      </w:r>
      <w:r w:rsidR="000B0D25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hetes kezelés után</w:t>
      </w:r>
      <w:r w:rsidR="00986577" w:rsidRPr="009501AC">
        <w:rPr>
          <w:rFonts w:ascii="Times New Roman" w:eastAsia="Times New Roman" w:hAnsi="Times New Roman"/>
          <w:sz w:val="22"/>
          <w:szCs w:val="22"/>
        </w:rPr>
        <w:t xml:space="preserve"> </w:t>
      </w:r>
      <w:r w:rsidR="00BB4478">
        <w:rPr>
          <w:rFonts w:ascii="Times New Roman" w:eastAsia="Times New Roman" w:hAnsi="Times New Roman"/>
          <w:sz w:val="22"/>
          <w:szCs w:val="22"/>
        </w:rPr>
        <w:t xml:space="preserve">a CHR </w:t>
      </w:r>
      <w:r w:rsidR="00986577" w:rsidRPr="009501AC">
        <w:rPr>
          <w:rFonts w:ascii="Times New Roman" w:eastAsia="Times New Roman" w:hAnsi="Times New Roman"/>
          <w:sz w:val="22"/>
          <w:szCs w:val="22"/>
        </w:rPr>
        <w:t>78%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. A CHR magas arányához 65%-os </w:t>
      </w:r>
      <w:r w:rsidR="00F8474E">
        <w:rPr>
          <w:rFonts w:ascii="Times New Roman" w:eastAsia="Times New Roman" w:hAnsi="Times New Roman"/>
          <w:sz w:val="22"/>
          <w:szCs w:val="22"/>
        </w:rPr>
        <w:t>teljes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</w:t>
      </w:r>
      <w:r w:rsidR="00703FFA" w:rsidRPr="009501AC">
        <w:rPr>
          <w:rFonts w:ascii="Times New Roman" w:eastAsia="Times New Roman" w:hAnsi="Times New Roman"/>
          <w:sz w:val="22"/>
          <w:szCs w:val="22"/>
        </w:rPr>
        <w:t>c</w:t>
      </w:r>
      <w:r w:rsidR="008D107C">
        <w:rPr>
          <w:rFonts w:ascii="Times New Roman" w:eastAsia="Times New Roman" w:hAnsi="Times New Roman"/>
          <w:sz w:val="22"/>
          <w:szCs w:val="22"/>
        </w:rPr>
        <w:t>i</w:t>
      </w:r>
      <w:r w:rsidR="00703FFA" w:rsidRPr="009501AC">
        <w:rPr>
          <w:rFonts w:ascii="Times New Roman" w:eastAsia="Times New Roman" w:hAnsi="Times New Roman"/>
          <w:sz w:val="22"/>
          <w:szCs w:val="22"/>
        </w:rPr>
        <w:t>togen</w:t>
      </w:r>
      <w:r w:rsidRPr="009501AC">
        <w:rPr>
          <w:rFonts w:ascii="Times New Roman" w:eastAsia="Times New Roman" w:hAnsi="Times New Roman"/>
          <w:sz w:val="22"/>
          <w:szCs w:val="22"/>
        </w:rPr>
        <w:t>etikai válasz (CCyR) társul, ami hasonló a felnőttek</w:t>
      </w:r>
      <w:r w:rsidR="00986577" w:rsidRPr="009501AC">
        <w:rPr>
          <w:rFonts w:ascii="Times New Roman" w:eastAsia="Times New Roman" w:hAnsi="Times New Roman"/>
          <w:sz w:val="22"/>
          <w:szCs w:val="22"/>
        </w:rPr>
        <w:t xml:space="preserve">nél </w:t>
      </w:r>
      <w:r w:rsidR="00F8474E">
        <w:rPr>
          <w:rFonts w:ascii="Times New Roman" w:eastAsia="Times New Roman" w:hAnsi="Times New Roman"/>
          <w:sz w:val="22"/>
          <w:szCs w:val="22"/>
        </w:rPr>
        <w:t>tapasztalt</w:t>
      </w:r>
      <w:r w:rsidR="00BB797C" w:rsidRPr="009501AC">
        <w:rPr>
          <w:rFonts w:ascii="Times New Roman" w:eastAsia="Times New Roman" w:hAnsi="Times New Roman"/>
          <w:sz w:val="22"/>
          <w:szCs w:val="22"/>
        </w:rPr>
        <w:t xml:space="preserve"> eredmény</w:t>
      </w:r>
      <w:r w:rsidR="00986577" w:rsidRPr="009501AC">
        <w:rPr>
          <w:rFonts w:ascii="Times New Roman" w:eastAsia="Times New Roman" w:hAnsi="Times New Roman"/>
          <w:sz w:val="22"/>
          <w:szCs w:val="22"/>
        </w:rPr>
        <w:t>ekhez</w:t>
      </w:r>
      <w:r w:rsidR="00990452" w:rsidRPr="009501AC">
        <w:rPr>
          <w:rFonts w:ascii="Times New Roman" w:eastAsia="Times New Roman" w:hAnsi="Times New Roman"/>
          <w:sz w:val="22"/>
          <w:szCs w:val="22"/>
        </w:rPr>
        <w:t xml:space="preserve">. Ezenkívül </w:t>
      </w:r>
      <w:r w:rsidRPr="009501AC">
        <w:rPr>
          <w:rFonts w:ascii="Times New Roman" w:eastAsia="Times New Roman" w:hAnsi="Times New Roman"/>
          <w:sz w:val="22"/>
          <w:szCs w:val="22"/>
        </w:rPr>
        <w:t>16%-</w:t>
      </w:r>
      <w:r w:rsidR="00986577" w:rsidRPr="009501AC">
        <w:rPr>
          <w:rFonts w:ascii="Times New Roman" w:eastAsia="Times New Roman" w:hAnsi="Times New Roman"/>
          <w:sz w:val="22"/>
          <w:szCs w:val="22"/>
        </w:rPr>
        <w:t>uknál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figyeltek meg részleges </w:t>
      </w:r>
      <w:r w:rsidR="00703FFA" w:rsidRPr="009501AC">
        <w:rPr>
          <w:rFonts w:ascii="Times New Roman" w:eastAsia="Times New Roman" w:hAnsi="Times New Roman"/>
          <w:sz w:val="22"/>
          <w:szCs w:val="22"/>
        </w:rPr>
        <w:t>c</w:t>
      </w:r>
      <w:r w:rsidR="008D107C">
        <w:rPr>
          <w:rFonts w:ascii="Times New Roman" w:eastAsia="Times New Roman" w:hAnsi="Times New Roman"/>
          <w:sz w:val="22"/>
          <w:szCs w:val="22"/>
        </w:rPr>
        <w:t>i</w:t>
      </w:r>
      <w:r w:rsidR="00703FFA" w:rsidRPr="009501AC">
        <w:rPr>
          <w:rFonts w:ascii="Times New Roman" w:eastAsia="Times New Roman" w:hAnsi="Times New Roman"/>
          <w:sz w:val="22"/>
          <w:szCs w:val="22"/>
        </w:rPr>
        <w:t>togen</w:t>
      </w:r>
      <w:r w:rsidRPr="009501AC">
        <w:rPr>
          <w:rFonts w:ascii="Times New Roman" w:eastAsia="Times New Roman" w:hAnsi="Times New Roman"/>
          <w:sz w:val="22"/>
          <w:szCs w:val="22"/>
        </w:rPr>
        <w:t>etikai választ (PCyR); ez 81% MCyR</w:t>
      </w:r>
      <w:r w:rsidRPr="00F567BF">
        <w:rPr>
          <w:rFonts w:ascii="Times New Roman" w:eastAsia="Times New Roman" w:hAnsi="Times New Roman"/>
          <w:sz w:val="22"/>
          <w:szCs w:val="22"/>
        </w:rPr>
        <w:t>-nek felel meg. A CCyR-t elérő betegek többségében a 3. és a 10. hónap között alakult ki a CCyR, és a válaszig eltelt idő mediánértéke a Kaplan</w:t>
      </w:r>
      <w:r w:rsidR="00A817F0" w:rsidRPr="00A817F0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Meier</w:t>
      </w:r>
      <w:r w:rsidR="00FA39A5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becslés szerint 5,6</w:t>
      </w:r>
      <w:r w:rsidR="004111C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hónap</w:t>
      </w:r>
      <w:r w:rsidR="003954CA">
        <w:rPr>
          <w:rFonts w:ascii="Times New Roman" w:eastAsia="Times New Roman" w:hAnsi="Times New Roman"/>
          <w:sz w:val="22"/>
          <w:szCs w:val="22"/>
        </w:rPr>
        <w:t xml:space="preserve"> volt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63F0A789" w14:textId="77777777" w:rsidR="002A793D" w:rsidRPr="00F567BF" w:rsidRDefault="002A793D" w:rsidP="000450D8">
      <w:pPr>
        <w:rPr>
          <w:rFonts w:ascii="Times New Roman" w:eastAsia="Times New Roman" w:hAnsi="Times New Roman"/>
          <w:sz w:val="22"/>
          <w:szCs w:val="22"/>
        </w:rPr>
      </w:pPr>
    </w:p>
    <w:p w14:paraId="22582A6F" w14:textId="48DE2B95" w:rsidR="002A793D" w:rsidRPr="00F567BF" w:rsidRDefault="002A793D" w:rsidP="000450D8">
      <w:pPr>
        <w:ind w:right="66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Európai Gyógyszerügynökség a gyermek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 xml:space="preserve">ek </w:t>
      </w:r>
      <w:r w:rsidR="007D5924">
        <w:rPr>
          <w:rFonts w:ascii="Times New Roman" w:eastAsia="Times New Roman" w:hAnsi="Times New Roman"/>
          <w:sz w:val="22"/>
          <w:szCs w:val="22"/>
        </w:rPr>
        <w:t xml:space="preserve">és serdülők 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esetén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minden 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 xml:space="preserve">korosztálynál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eltekint </w:t>
      </w:r>
      <w:r w:rsidR="00990452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vizsgálati eredményeinek benyújtási kötelezettségétől Philadelphia</w:t>
      </w:r>
      <w:r w:rsidR="0098657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kromoszóma</w:t>
      </w:r>
      <w:r w:rsidR="0098657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</w:t>
      </w:r>
      <w:r w:rsidR="00CE586A" w:rsidRPr="00F567BF">
        <w:rPr>
          <w:rFonts w:ascii="Times New Roman" w:eastAsia="Times New Roman" w:hAnsi="Times New Roman"/>
          <w:sz w:val="22"/>
          <w:szCs w:val="22"/>
        </w:rPr>
        <w:t xml:space="preserve">BCR-ABL </w:t>
      </w:r>
      <w:r w:rsidRPr="00F567BF">
        <w:rPr>
          <w:rFonts w:ascii="Times New Roman" w:eastAsia="Times New Roman" w:hAnsi="Times New Roman"/>
          <w:sz w:val="22"/>
          <w:szCs w:val="22"/>
        </w:rPr>
        <w:t>transzlokáció</w:t>
      </w:r>
      <w:r w:rsidR="001E21A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)</w:t>
      </w:r>
      <w:r w:rsidR="00986577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pozitív (Ph+) krónikus myeloid leukaemi</w:t>
      </w:r>
      <w:r w:rsidR="00CE586A">
        <w:rPr>
          <w:rFonts w:ascii="Times New Roman" w:eastAsia="Times New Roman" w:hAnsi="Times New Roman"/>
          <w:sz w:val="22"/>
          <w:szCs w:val="22"/>
        </w:rPr>
        <w:t>a indikációban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(lásd 4.2</w:t>
      </w:r>
      <w:r w:rsidR="004111C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pont, gyermekgyógyászati alkalmazásra vonatkozó információk).</w:t>
      </w:r>
    </w:p>
    <w:p w14:paraId="2B609AE0" w14:textId="77777777" w:rsidR="002A793D" w:rsidRPr="00F567BF" w:rsidRDefault="002A793D" w:rsidP="000450D8">
      <w:pPr>
        <w:ind w:right="660"/>
        <w:rPr>
          <w:rFonts w:ascii="Times New Roman" w:eastAsia="Times New Roman" w:hAnsi="Times New Roman"/>
          <w:sz w:val="22"/>
          <w:szCs w:val="22"/>
        </w:rPr>
      </w:pPr>
    </w:p>
    <w:p w14:paraId="34223FD8" w14:textId="77777777" w:rsidR="002A793D" w:rsidRPr="00F567BF" w:rsidRDefault="002A793D" w:rsidP="00647049">
      <w:pPr>
        <w:keepNext/>
        <w:rPr>
          <w:rFonts w:ascii="Times New Roman" w:eastAsia="Times New Roman" w:hAnsi="Times New Roman"/>
          <w:sz w:val="22"/>
          <w:szCs w:val="22"/>
          <w:u w:val="single"/>
        </w:rPr>
      </w:pPr>
      <w:bookmarkStart w:id="15" w:name="page55"/>
      <w:bookmarkEnd w:id="15"/>
      <w:r w:rsidRPr="00F567BF">
        <w:rPr>
          <w:rFonts w:ascii="Times New Roman" w:eastAsia="Times New Roman" w:hAnsi="Times New Roman"/>
          <w:sz w:val="22"/>
          <w:szCs w:val="22"/>
          <w:u w:val="single"/>
        </w:rPr>
        <w:lastRenderedPageBreak/>
        <w:t>Klinikai vizsgálatok Ph</w:t>
      </w:r>
      <w:r w:rsidR="00BD35B0">
        <w:rPr>
          <w:rFonts w:ascii="Times New Roman" w:eastAsia="Times New Roman" w:hAnsi="Times New Roman"/>
          <w:sz w:val="22"/>
          <w:szCs w:val="22"/>
          <w:u w:val="single"/>
        </w:rPr>
        <w:t>+ </w:t>
      </w:r>
      <w:r w:rsidRPr="00F567BF">
        <w:rPr>
          <w:rFonts w:ascii="Times New Roman" w:eastAsia="Times New Roman" w:hAnsi="Times New Roman"/>
          <w:sz w:val="22"/>
          <w:szCs w:val="22"/>
          <w:u w:val="single"/>
        </w:rPr>
        <w:t>ALL-ben</w:t>
      </w:r>
    </w:p>
    <w:p w14:paraId="749E48BC" w14:textId="77777777" w:rsidR="00652029" w:rsidRDefault="00652029" w:rsidP="00647049">
      <w:pPr>
        <w:keepNext/>
        <w:rPr>
          <w:rFonts w:ascii="Times New Roman" w:eastAsia="Times New Roman" w:hAnsi="Times New Roman"/>
          <w:i/>
          <w:sz w:val="22"/>
          <w:szCs w:val="22"/>
          <w:u w:val="single"/>
        </w:rPr>
      </w:pPr>
    </w:p>
    <w:p w14:paraId="6CA94873" w14:textId="77777777" w:rsidR="00652029" w:rsidRDefault="002A793D" w:rsidP="00647049">
      <w:pPr>
        <w:keepNext/>
        <w:rPr>
          <w:rFonts w:ascii="Times New Roman" w:eastAsia="Times New Roman" w:hAnsi="Times New Roman"/>
          <w:i/>
          <w:sz w:val="22"/>
          <w:szCs w:val="22"/>
        </w:rPr>
      </w:pP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Újonnan diagnosztizált Ph</w:t>
      </w:r>
      <w:r w:rsidR="00BD35B0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+ </w:t>
      </w: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ALL: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</w:p>
    <w:p w14:paraId="20F80B5A" w14:textId="5569AD00" w:rsidR="002A793D" w:rsidRPr="00F567BF" w:rsidRDefault="002A793D" w:rsidP="00074424">
      <w:pPr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Egy kontroll</w:t>
      </w:r>
      <w:r w:rsidR="004111CE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vizsgálatban (ADE10) 55 újonnan diagnosztizált,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55</w:t>
      </w:r>
      <w:r w:rsidR="004111CE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 vagy idősebb beteg</w:t>
      </w:r>
      <w:r w:rsidR="00124B29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hasonlították össze az imatinibbel, illetve a kemoterápiával történő indukciós kezelést. Az imatinibmonoterápia szignifikánsan magasabb arányban indukált </w:t>
      </w:r>
      <w:r w:rsidR="00E72F31">
        <w:rPr>
          <w:rFonts w:ascii="Times New Roman" w:eastAsia="Times New Roman" w:hAnsi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hematológiai választ, mint a kemoterápia (96,3% </w:t>
      </w:r>
      <w:r w:rsidRPr="00647049">
        <w:rPr>
          <w:rFonts w:ascii="Times New Roman" w:eastAsia="Times New Roman" w:hAnsi="Times New Roman"/>
          <w:i/>
          <w:iCs/>
          <w:sz w:val="22"/>
          <w:szCs w:val="22"/>
        </w:rPr>
        <w:t xml:space="preserve">vs. </w:t>
      </w:r>
      <w:r w:rsidRPr="00F567BF">
        <w:rPr>
          <w:rFonts w:ascii="Times New Roman" w:eastAsia="Times New Roman" w:hAnsi="Times New Roman"/>
          <w:sz w:val="22"/>
          <w:szCs w:val="22"/>
        </w:rPr>
        <w:t>50%; p</w:t>
      </w:r>
      <w:r w:rsidR="00B36BF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=</w:t>
      </w:r>
      <w:r w:rsidR="00B36BF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0,0001). Amikor a kemoterápiára nem vagy rosszul reagáló betegeknek </w:t>
      </w:r>
      <w:r w:rsidR="00780FE5">
        <w:rPr>
          <w:rFonts w:ascii="Times New Roman" w:eastAsia="Times New Roman" w:hAnsi="Times New Roman"/>
          <w:sz w:val="22"/>
          <w:szCs w:val="22"/>
        </w:rPr>
        <w:t>mentő (</w:t>
      </w:r>
      <w:r w:rsidRPr="00F567BF">
        <w:rPr>
          <w:rFonts w:ascii="Times New Roman" w:eastAsia="Times New Roman" w:hAnsi="Times New Roman"/>
          <w:sz w:val="22"/>
          <w:szCs w:val="22"/>
        </w:rPr>
        <w:t>„salvage”</w:t>
      </w:r>
      <w:r w:rsidR="00780FE5">
        <w:rPr>
          <w:rFonts w:ascii="Times New Roman" w:eastAsia="Times New Roman" w:hAnsi="Times New Roman"/>
          <w:sz w:val="22"/>
          <w:szCs w:val="22"/>
        </w:rPr>
        <w:t>)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kezelésként imatinibet adtak, 11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betegből 9 esetében (81,8%) </w:t>
      </w:r>
      <w:r w:rsidR="00E72F31">
        <w:rPr>
          <w:rFonts w:ascii="Times New Roman" w:eastAsia="Times New Roman" w:hAnsi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hematológiai választ értek el. Ezen klinikai hatáshoz a </w:t>
      </w:r>
      <w:r w:rsidR="00E72F31" w:rsidRPr="00F567BF">
        <w:rPr>
          <w:rFonts w:ascii="Times New Roman" w:eastAsia="Times New Roman" w:hAnsi="Times New Roman"/>
          <w:sz w:val="22"/>
          <w:szCs w:val="22"/>
        </w:rPr>
        <w:t>BCR-ABL</w:t>
      </w:r>
      <w:r w:rsidR="00B36BF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transzkripció nagyobb mértékű csökkenése társult az imatinibbel kezelt betegek</w:t>
      </w:r>
      <w:r w:rsidR="00124B29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>, mint a kemoterápiás vizsgálati kar</w:t>
      </w:r>
      <w:r w:rsidR="00780FE5">
        <w:rPr>
          <w:rFonts w:ascii="Times New Roman" w:eastAsia="Times New Roman" w:hAnsi="Times New Roman"/>
          <w:sz w:val="22"/>
          <w:szCs w:val="22"/>
        </w:rPr>
        <w:t>on</w:t>
      </w:r>
      <w:r w:rsidR="00E033BF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2</w:t>
      </w:r>
      <w:r w:rsidR="00B36BF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hetes kezelés után (p</w:t>
      </w:r>
      <w:r w:rsidR="00B36BF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=</w:t>
      </w:r>
      <w:r w:rsidR="00B36BF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0,02). Az indukciót követően minden beteg imatinibet és konszolidációs kemoterápiát (lásd </w:t>
      </w:r>
      <w:r w:rsidR="00F31466" w:rsidRPr="00F567BF">
        <w:rPr>
          <w:rFonts w:ascii="Times New Roman" w:eastAsia="Times New Roman" w:hAnsi="Times New Roman"/>
          <w:sz w:val="22"/>
          <w:szCs w:val="22"/>
        </w:rPr>
        <w:t>4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  <w:r w:rsidR="0061442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táblázat) kapott, és a 8. héten a </w:t>
      </w:r>
      <w:r w:rsidR="005C3EB4" w:rsidRPr="00F567BF">
        <w:rPr>
          <w:rFonts w:ascii="Times New Roman" w:eastAsia="Times New Roman" w:hAnsi="Times New Roman"/>
          <w:sz w:val="22"/>
          <w:szCs w:val="22"/>
        </w:rPr>
        <w:t>BCR-ABL</w:t>
      </w:r>
      <w:r w:rsidR="00E033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transzkriptum szintje mindkét vizsgálati kar</w:t>
      </w:r>
      <w:r w:rsidR="00780FE5">
        <w:rPr>
          <w:rFonts w:ascii="Times New Roman" w:eastAsia="Times New Roman" w:hAnsi="Times New Roman"/>
          <w:sz w:val="22"/>
          <w:szCs w:val="22"/>
        </w:rPr>
        <w:t>on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azonos volt. Amint az a vizsgálat elrendezése alapján várható volt, nem figyeltek meg különbséget a remisszió időtartama, a betegségmentes túlélés vagy a teljes túlélés terén, bár a </w:t>
      </w:r>
      <w:r w:rsidR="002E2040">
        <w:rPr>
          <w:rFonts w:ascii="Times New Roman" w:eastAsia="Times New Roman" w:hAnsi="Times New Roman"/>
          <w:sz w:val="22"/>
          <w:szCs w:val="22"/>
        </w:rPr>
        <w:t>teljes</w:t>
      </w:r>
      <w:r w:rsidR="00780FE5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molekuláris választ mutató és</w:t>
      </w:r>
      <w:r w:rsidRPr="00F567BF">
        <w:rPr>
          <w:rFonts w:ascii="Times New Roman" w:eastAsia="Times New Roman" w:hAnsi="Times New Roman"/>
          <w:sz w:val="22"/>
        </w:rPr>
        <w:t xml:space="preserve"> minimális reziduális betegségben szenvedő betegeknél jobb kimenetet láttak mind a remisszió időtartama (p</w:t>
      </w:r>
      <w:r w:rsidR="007572A5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=</w:t>
      </w:r>
      <w:r w:rsidR="007572A5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0,01), mind a betegségmentes túlélés (p</w:t>
      </w:r>
      <w:r w:rsidR="007572A5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=</w:t>
      </w:r>
      <w:r w:rsidR="007572A5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0,02) </w:t>
      </w:r>
      <w:r w:rsidR="00780FE5">
        <w:rPr>
          <w:rFonts w:ascii="Times New Roman" w:eastAsia="Times New Roman" w:hAnsi="Times New Roman"/>
          <w:sz w:val="22"/>
        </w:rPr>
        <w:t>tekintetében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66D832EA" w14:textId="77777777" w:rsidR="002A793D" w:rsidRPr="00F567BF" w:rsidRDefault="002A793D" w:rsidP="00074424">
      <w:pPr>
        <w:rPr>
          <w:rFonts w:ascii="Times New Roman" w:eastAsia="Times New Roman" w:hAnsi="Times New Roman"/>
        </w:rPr>
      </w:pPr>
    </w:p>
    <w:p w14:paraId="0F263631" w14:textId="63730B91" w:rsidR="002A793D" w:rsidRPr="00F567BF" w:rsidRDefault="00780FE5" w:rsidP="00074424">
      <w:pPr>
        <w:ind w:right="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Kétszáztizenegy (</w:t>
      </w:r>
      <w:r w:rsidR="002A793D" w:rsidRPr="00F567BF">
        <w:rPr>
          <w:rFonts w:ascii="Times New Roman" w:eastAsia="Times New Roman" w:hAnsi="Times New Roman"/>
          <w:sz w:val="22"/>
        </w:rPr>
        <w:t>211</w:t>
      </w:r>
      <w:r>
        <w:rPr>
          <w:rFonts w:ascii="Times New Roman" w:eastAsia="Times New Roman" w:hAnsi="Times New Roman"/>
          <w:sz w:val="22"/>
        </w:rPr>
        <w:t>)</w:t>
      </w:r>
      <w:r w:rsidR="002A793D" w:rsidRPr="00F567BF">
        <w:rPr>
          <w:rFonts w:ascii="Times New Roman" w:eastAsia="Times New Roman" w:hAnsi="Times New Roman"/>
          <w:sz w:val="22"/>
        </w:rPr>
        <w:t xml:space="preserve"> újonnan diagnosztizált Ph</w:t>
      </w:r>
      <w:r w:rsidR="00BD35B0">
        <w:rPr>
          <w:rFonts w:ascii="Times New Roman" w:eastAsia="Times New Roman" w:hAnsi="Times New Roman"/>
          <w:sz w:val="22"/>
        </w:rPr>
        <w:t>+ </w:t>
      </w:r>
      <w:r w:rsidR="002A793D" w:rsidRPr="00F567BF">
        <w:rPr>
          <w:rFonts w:ascii="Times New Roman" w:eastAsia="Times New Roman" w:hAnsi="Times New Roman"/>
          <w:sz w:val="22"/>
        </w:rPr>
        <w:t xml:space="preserve">ALL-es betegből álló </w:t>
      </w:r>
      <w:r w:rsidR="003954CA">
        <w:rPr>
          <w:rFonts w:ascii="Times New Roman" w:eastAsia="Times New Roman" w:hAnsi="Times New Roman"/>
          <w:sz w:val="22"/>
        </w:rPr>
        <w:t>populáció</w:t>
      </w:r>
      <w:r w:rsidR="009E4EEA">
        <w:rPr>
          <w:rFonts w:ascii="Times New Roman" w:eastAsia="Times New Roman" w:hAnsi="Times New Roman"/>
          <w:sz w:val="22"/>
        </w:rPr>
        <w:t>val</w:t>
      </w:r>
      <w:r w:rsidR="003954CA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>végzett négy, nem</w:t>
      </w:r>
      <w:r w:rsidR="009E1DAB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>kontroll</w:t>
      </w:r>
      <w:r w:rsidR="007572A5">
        <w:rPr>
          <w:rFonts w:ascii="Times New Roman" w:eastAsia="Times New Roman" w:hAnsi="Times New Roman"/>
          <w:sz w:val="22"/>
        </w:rPr>
        <w:t>os</w:t>
      </w:r>
      <w:r w:rsidR="002A793D" w:rsidRPr="00F567BF">
        <w:rPr>
          <w:rFonts w:ascii="Times New Roman" w:eastAsia="Times New Roman" w:hAnsi="Times New Roman"/>
          <w:sz w:val="22"/>
        </w:rPr>
        <w:t xml:space="preserve"> klinikai vizsgálat (AAU02, ADE04, AJP01 és AUS01) eredményei összhangban vannak a</w:t>
      </w:r>
      <w:r>
        <w:rPr>
          <w:rFonts w:ascii="Times New Roman" w:eastAsia="Times New Roman" w:hAnsi="Times New Roman"/>
          <w:sz w:val="22"/>
        </w:rPr>
        <w:t>z előbbiekben</w:t>
      </w:r>
      <w:r w:rsidR="002A793D" w:rsidRPr="00F567BF">
        <w:rPr>
          <w:rFonts w:ascii="Times New Roman" w:eastAsia="Times New Roman" w:hAnsi="Times New Roman"/>
          <w:sz w:val="22"/>
        </w:rPr>
        <w:t xml:space="preserve"> ismertetett eredményekkel. Az imatinib </w:t>
      </w:r>
      <w:r>
        <w:rPr>
          <w:rFonts w:ascii="Times New Roman" w:eastAsia="Times New Roman" w:hAnsi="Times New Roman"/>
          <w:sz w:val="22"/>
        </w:rPr>
        <w:t xml:space="preserve">kombinálása az </w:t>
      </w:r>
      <w:r w:rsidR="002A793D" w:rsidRPr="00F567BF">
        <w:rPr>
          <w:rFonts w:ascii="Times New Roman" w:eastAsia="Times New Roman" w:hAnsi="Times New Roman"/>
          <w:sz w:val="22"/>
        </w:rPr>
        <w:t xml:space="preserve">indukciós kemoterápiával (lásd </w:t>
      </w:r>
      <w:r w:rsidR="00F31466" w:rsidRPr="00F567BF">
        <w:rPr>
          <w:rFonts w:ascii="Times New Roman" w:eastAsia="Times New Roman" w:hAnsi="Times New Roman"/>
          <w:sz w:val="22"/>
        </w:rPr>
        <w:t>4</w:t>
      </w:r>
      <w:r w:rsidR="002A793D" w:rsidRPr="00F567BF">
        <w:rPr>
          <w:rFonts w:ascii="Times New Roman" w:eastAsia="Times New Roman" w:hAnsi="Times New Roman"/>
          <w:sz w:val="22"/>
        </w:rPr>
        <w:t>.</w:t>
      </w:r>
      <w:r w:rsidR="0061442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 xml:space="preserve">táblázat) 93%-os </w:t>
      </w:r>
      <w:r w:rsidR="0081688E">
        <w:rPr>
          <w:rFonts w:ascii="Times New Roman" w:eastAsia="Times New Roman" w:hAnsi="Times New Roman"/>
          <w:sz w:val="22"/>
        </w:rPr>
        <w:t>teljes</w:t>
      </w:r>
      <w:r w:rsidR="0081688E" w:rsidRPr="00F567BF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 xml:space="preserve">hematológiai válaszarányt (a 158 értékelhető betegből 147) és 90%-os nagyfokú </w:t>
      </w:r>
      <w:r w:rsidR="00703FFA">
        <w:rPr>
          <w:rFonts w:ascii="Times New Roman" w:eastAsia="Times New Roman" w:hAnsi="Times New Roman"/>
          <w:sz w:val="22"/>
        </w:rPr>
        <w:t>citogen</w:t>
      </w:r>
      <w:r w:rsidR="002A793D" w:rsidRPr="00F567BF">
        <w:rPr>
          <w:rFonts w:ascii="Times New Roman" w:eastAsia="Times New Roman" w:hAnsi="Times New Roman"/>
          <w:sz w:val="22"/>
        </w:rPr>
        <w:t xml:space="preserve">etikai válaszarányt (a 21 értékelhető betegből 19) eredményezett. A </w:t>
      </w:r>
      <w:r w:rsidR="0081688E">
        <w:rPr>
          <w:rFonts w:ascii="Times New Roman" w:eastAsia="Times New Roman" w:hAnsi="Times New Roman"/>
          <w:sz w:val="22"/>
        </w:rPr>
        <w:t>teljes</w:t>
      </w:r>
      <w:r w:rsidR="002A793D" w:rsidRPr="00F567BF">
        <w:rPr>
          <w:rFonts w:ascii="Times New Roman" w:eastAsia="Times New Roman" w:hAnsi="Times New Roman"/>
          <w:sz w:val="22"/>
        </w:rPr>
        <w:t xml:space="preserve"> molekuláris válaszarány 48% volt (a 102 értékelhető betegből 49). Két vizsgálatban (AJP01 és AUS01) a betegségmentes túlélés (DFS) és a teljes túlélés (OS) folyamatosan meghaladta az 1</w:t>
      </w:r>
      <w:r w:rsidR="007572A5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 xml:space="preserve">évet, és </w:t>
      </w:r>
      <w:r w:rsidR="00EF005C">
        <w:rPr>
          <w:rFonts w:ascii="Times New Roman" w:eastAsia="Times New Roman" w:hAnsi="Times New Roman"/>
          <w:sz w:val="22"/>
        </w:rPr>
        <w:t>szuperior</w:t>
      </w:r>
      <w:r w:rsidR="00EF005C" w:rsidRPr="00F567BF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 xml:space="preserve">volt a </w:t>
      </w:r>
      <w:r w:rsidR="00EC7116">
        <w:rPr>
          <w:rFonts w:ascii="Times New Roman" w:eastAsia="Times New Roman" w:hAnsi="Times New Roman"/>
          <w:sz w:val="22"/>
        </w:rPr>
        <w:t>historikus</w:t>
      </w:r>
      <w:r w:rsidR="00EC7116" w:rsidRPr="00F567BF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>kontroll</w:t>
      </w:r>
      <w:r w:rsidR="00EC7116">
        <w:rPr>
          <w:rFonts w:ascii="Times New Roman" w:eastAsia="Times New Roman" w:hAnsi="Times New Roman"/>
          <w:sz w:val="22"/>
        </w:rPr>
        <w:t>al szemben</w:t>
      </w:r>
      <w:r w:rsidR="002A793D" w:rsidRPr="00F567BF">
        <w:rPr>
          <w:rFonts w:ascii="Times New Roman" w:eastAsia="Times New Roman" w:hAnsi="Times New Roman"/>
          <w:sz w:val="22"/>
        </w:rPr>
        <w:t xml:space="preserve"> (DFS p</w:t>
      </w:r>
      <w:r w:rsidR="007572A5">
        <w:rPr>
          <w:rFonts w:ascii="Times New Roman" w:eastAsia="Times New Roman" w:hAnsi="Times New Roman"/>
          <w:sz w:val="22"/>
        </w:rPr>
        <w:t> </w:t>
      </w:r>
      <w:r w:rsidR="00273092">
        <w:rPr>
          <w:rFonts w:ascii="Times New Roman" w:eastAsia="Times New Roman" w:hAnsi="Times New Roman"/>
          <w:sz w:val="22"/>
        </w:rPr>
        <w:t>&lt; </w:t>
      </w:r>
      <w:r w:rsidR="002A793D" w:rsidRPr="00F567BF">
        <w:rPr>
          <w:rFonts w:ascii="Times New Roman" w:eastAsia="Times New Roman" w:hAnsi="Times New Roman"/>
          <w:sz w:val="22"/>
        </w:rPr>
        <w:t>0,001; OS p</w:t>
      </w:r>
      <w:r w:rsidR="007572A5">
        <w:rPr>
          <w:rFonts w:ascii="Times New Roman" w:eastAsia="Times New Roman" w:hAnsi="Times New Roman"/>
          <w:sz w:val="22"/>
        </w:rPr>
        <w:t> </w:t>
      </w:r>
      <w:r w:rsidR="00273092">
        <w:rPr>
          <w:rFonts w:ascii="Times New Roman" w:eastAsia="Times New Roman" w:hAnsi="Times New Roman"/>
          <w:sz w:val="22"/>
        </w:rPr>
        <w:t>&lt; </w:t>
      </w:r>
      <w:r w:rsidR="002A793D" w:rsidRPr="00F567BF">
        <w:rPr>
          <w:rFonts w:ascii="Times New Roman" w:eastAsia="Times New Roman" w:hAnsi="Times New Roman"/>
          <w:sz w:val="22"/>
        </w:rPr>
        <w:t>0,0001).</w:t>
      </w:r>
    </w:p>
    <w:p w14:paraId="47F9C0F4" w14:textId="77777777" w:rsidR="002A793D" w:rsidRPr="00F567BF" w:rsidRDefault="002A793D">
      <w:pPr>
        <w:spacing w:line="285" w:lineRule="exact"/>
        <w:rPr>
          <w:rFonts w:ascii="Times New Roman" w:eastAsia="Times New Roman" w:hAnsi="Times New Roman"/>
        </w:rPr>
      </w:pPr>
    </w:p>
    <w:p w14:paraId="536C3199" w14:textId="52D09F23" w:rsidR="002A793D" w:rsidRPr="00F567BF" w:rsidRDefault="00F31466" w:rsidP="00FD6F1E">
      <w:pPr>
        <w:keepNext/>
        <w:spacing w:line="237" w:lineRule="auto"/>
        <w:ind w:left="1140" w:right="640" w:hanging="1132"/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4</w:t>
      </w:r>
      <w:r w:rsidR="002A793D" w:rsidRPr="00F567BF">
        <w:rPr>
          <w:rFonts w:ascii="Times New Roman" w:eastAsia="Times New Roman" w:hAnsi="Times New Roman"/>
          <w:b/>
          <w:sz w:val="22"/>
        </w:rPr>
        <w:t xml:space="preserve">. táblázat </w:t>
      </w:r>
      <w:r w:rsidRPr="00F567BF">
        <w:rPr>
          <w:rFonts w:ascii="Times New Roman" w:eastAsia="Times New Roman" w:hAnsi="Times New Roman"/>
          <w:b/>
          <w:sz w:val="22"/>
        </w:rPr>
        <w:tab/>
      </w:r>
      <w:r w:rsidR="007A3E98">
        <w:rPr>
          <w:rFonts w:ascii="Times New Roman" w:eastAsia="Times New Roman" w:hAnsi="Times New Roman"/>
          <w:b/>
          <w:sz w:val="22"/>
        </w:rPr>
        <w:t>A</w:t>
      </w:r>
      <w:r w:rsidR="002A793D" w:rsidRPr="00F567BF">
        <w:rPr>
          <w:rFonts w:ascii="Times New Roman" w:eastAsia="Times New Roman" w:hAnsi="Times New Roman"/>
          <w:b/>
          <w:sz w:val="22"/>
        </w:rPr>
        <w:t xml:space="preserve">z imatinibbel kombinációban </w:t>
      </w:r>
      <w:r w:rsidR="007A3E98" w:rsidRPr="00F567BF">
        <w:rPr>
          <w:rFonts w:ascii="Times New Roman" w:eastAsia="Times New Roman" w:hAnsi="Times New Roman"/>
          <w:b/>
          <w:sz w:val="22"/>
        </w:rPr>
        <w:t>alkalmaz</w:t>
      </w:r>
      <w:r w:rsidR="007A3E98">
        <w:rPr>
          <w:rFonts w:ascii="Times New Roman" w:eastAsia="Times New Roman" w:hAnsi="Times New Roman"/>
          <w:b/>
          <w:sz w:val="22"/>
        </w:rPr>
        <w:t>ott kemoterápiás kezelési protokollok</w:t>
      </w:r>
    </w:p>
    <w:p w14:paraId="78B79611" w14:textId="77777777" w:rsidR="00A41A08" w:rsidRPr="00F567BF" w:rsidRDefault="00A41A08" w:rsidP="00FD6F1E">
      <w:pPr>
        <w:keepNext/>
        <w:rPr>
          <w:rFonts w:ascii="Times New Roman" w:eastAsia="Times New Roman" w:hAnsi="Times New Roman"/>
          <w:sz w:val="22"/>
          <w:szCs w:val="22"/>
        </w:rPr>
      </w:pPr>
    </w:p>
    <w:tbl>
      <w:tblPr>
        <w:tblW w:w="0" w:type="auto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83"/>
        <w:gridCol w:w="6972"/>
      </w:tblGrid>
      <w:tr w:rsidR="00074424" w:rsidRPr="00F567BF" w14:paraId="4B4A662C" w14:textId="77777777" w:rsidTr="00317E2E">
        <w:tc>
          <w:tcPr>
            <w:tcW w:w="2235" w:type="dxa"/>
          </w:tcPr>
          <w:p w14:paraId="36050210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ADE10 vizsgálat </w:t>
            </w:r>
          </w:p>
        </w:tc>
        <w:tc>
          <w:tcPr>
            <w:tcW w:w="7309" w:type="dxa"/>
          </w:tcPr>
          <w:p w14:paraId="792CEB43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74424" w:rsidRPr="00F567BF" w14:paraId="13AE71AE" w14:textId="77777777" w:rsidTr="00317E2E">
        <w:tc>
          <w:tcPr>
            <w:tcW w:w="2235" w:type="dxa"/>
          </w:tcPr>
          <w:p w14:paraId="003E7124" w14:textId="77777777" w:rsidR="00074424" w:rsidRPr="00F567BF" w:rsidRDefault="0082341B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Előfázis</w:t>
            </w:r>
          </w:p>
        </w:tc>
        <w:tc>
          <w:tcPr>
            <w:tcW w:w="7309" w:type="dxa"/>
          </w:tcPr>
          <w:p w14:paraId="76872CAB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10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3AC99DF9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200</w:t>
            </w:r>
            <w:r w:rsidR="0082341B" w:rsidRPr="00F567B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3., 4., 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3BE3970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12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 intrathecal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is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alkalmazás 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7B1EC2A4" w14:textId="77777777" w:rsidTr="00317E2E">
        <w:tc>
          <w:tcPr>
            <w:tcW w:w="2235" w:type="dxa"/>
          </w:tcPr>
          <w:p w14:paraId="264BDA95" w14:textId="790CA05A" w:rsidR="00074424" w:rsidRPr="00F567BF" w:rsidRDefault="0082341B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Remisszió indukció</w:t>
            </w:r>
            <w:r w:rsidR="00EC711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ja</w:t>
            </w:r>
          </w:p>
        </w:tc>
        <w:tc>
          <w:tcPr>
            <w:tcW w:w="7309" w:type="dxa"/>
          </w:tcPr>
          <w:p w14:paraId="470D4CB6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10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6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7. és 13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16.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444C000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1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7. és 14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3C86B0B1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IDA 8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(0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),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7., 8., 14. és 15.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6355756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500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)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7643A56" w14:textId="77777777" w:rsidR="00074424" w:rsidRPr="00F567BF" w:rsidRDefault="00074424" w:rsidP="00FD6F1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60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22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25. és 29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32.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22A12A97" w14:textId="77777777" w:rsidTr="00317E2E">
        <w:tc>
          <w:tcPr>
            <w:tcW w:w="2235" w:type="dxa"/>
          </w:tcPr>
          <w:p w14:paraId="661DFFC4" w14:textId="77777777" w:rsidR="00074424" w:rsidRPr="00F567BF" w:rsidRDefault="0082341B" w:rsidP="008B630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Konszolidációs terápia I, III, V</w:t>
            </w:r>
          </w:p>
        </w:tc>
        <w:tc>
          <w:tcPr>
            <w:tcW w:w="7309" w:type="dxa"/>
          </w:tcPr>
          <w:p w14:paraId="27E9FB84" w14:textId="77777777" w:rsidR="00074424" w:rsidRPr="00F567BF" w:rsidRDefault="00074424" w:rsidP="008B630E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500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(24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)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 és 15.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5662AD5A" w14:textId="77777777" w:rsidR="00074424" w:rsidRPr="00F567BF" w:rsidRDefault="00074424" w:rsidP="00780FE5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6-MP 25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20.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1834B632" w14:textId="77777777" w:rsidTr="00317E2E">
        <w:tc>
          <w:tcPr>
            <w:tcW w:w="2235" w:type="dxa"/>
          </w:tcPr>
          <w:p w14:paraId="1BEBB4FB" w14:textId="77777777" w:rsidR="00074424" w:rsidRPr="00F567BF" w:rsidRDefault="0082341B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Konszolidációs terápia II, IV</w:t>
            </w:r>
          </w:p>
        </w:tc>
        <w:tc>
          <w:tcPr>
            <w:tcW w:w="7309" w:type="dxa"/>
          </w:tcPr>
          <w:p w14:paraId="3C8AB7A8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75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30B483E5" w14:textId="77777777" w:rsidR="00074424" w:rsidRPr="00F567BF" w:rsidRDefault="00074424" w:rsidP="00780FE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VM26 60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4A49C5B8" w14:textId="77777777" w:rsidTr="00317E2E">
        <w:tc>
          <w:tcPr>
            <w:tcW w:w="2235" w:type="dxa"/>
          </w:tcPr>
          <w:p w14:paraId="393E5303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AAU02 vizsgálat</w:t>
            </w:r>
          </w:p>
        </w:tc>
        <w:tc>
          <w:tcPr>
            <w:tcW w:w="7309" w:type="dxa"/>
          </w:tcPr>
          <w:p w14:paraId="2703726F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74424" w:rsidRPr="00F567BF" w14:paraId="5B830467" w14:textId="77777777" w:rsidTr="00317E2E">
        <w:tc>
          <w:tcPr>
            <w:tcW w:w="2235" w:type="dxa"/>
          </w:tcPr>
          <w:p w14:paraId="0B3302EE" w14:textId="4F8F9949" w:rsidR="00074424" w:rsidRPr="00F567BF" w:rsidRDefault="0082341B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Indukciós terápia (</w:t>
            </w:r>
            <w:r w:rsidRPr="00F567BF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de</w:t>
            </w:r>
            <w:r w:rsidR="00226847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novo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Ph</w:t>
            </w:r>
            <w:r w:rsidR="00BD35B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+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ALL)</w:t>
            </w:r>
          </w:p>
        </w:tc>
        <w:tc>
          <w:tcPr>
            <w:tcW w:w="7309" w:type="dxa"/>
          </w:tcPr>
          <w:p w14:paraId="3F042B32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Daunorubicin 30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3. és 15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16.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DF9E2A0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2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teljes 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az 1., 8., 15. és 22.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677D637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750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82341B" w:rsidRPr="00F567BF">
              <w:t xml:space="preserve">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 és 8.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0E61B767" w14:textId="77777777" w:rsidR="00074424" w:rsidRPr="00F567BF" w:rsidRDefault="004E2BA3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redni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on 60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7. és 15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55C59F77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IDA 9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28. 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9838926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15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intrathecalis alkalmazás az 1., 8., 15. és 22.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6314660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40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intrathecalis alkalmazás az 1., 8., 15. és 22.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82341B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0B65CD56" w14:textId="77777777" w:rsidR="00074424" w:rsidRPr="00F567BF" w:rsidRDefault="00E10481" w:rsidP="00E1048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Metilprednizolon 40 mg intrathecalis alkalmazás az 1., 8., 15. és 22.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49BFB9E4" w14:textId="77777777" w:rsidTr="00317E2E">
        <w:tc>
          <w:tcPr>
            <w:tcW w:w="2235" w:type="dxa"/>
          </w:tcPr>
          <w:p w14:paraId="4C4CCB0B" w14:textId="77777777" w:rsidR="00074424" w:rsidRPr="00F567BF" w:rsidRDefault="0082341B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Konszolidációs terápia (</w:t>
            </w:r>
            <w:r w:rsidRPr="00F567BF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de novo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Ph</w:t>
            </w:r>
            <w:r w:rsidR="00BD35B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+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ALL)</w:t>
            </w:r>
          </w:p>
        </w:tc>
        <w:tc>
          <w:tcPr>
            <w:tcW w:w="7309" w:type="dxa"/>
          </w:tcPr>
          <w:p w14:paraId="391646DA" w14:textId="77777777" w:rsidR="00074424" w:rsidRPr="00F567BF" w:rsidRDefault="00E10481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1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000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/12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óra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(3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26A8FB94" w14:textId="77777777" w:rsidR="00074424" w:rsidRPr="00F567BF" w:rsidRDefault="003476FE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itoxantron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10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a 3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3BC82333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15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intrathecalis alkalmazás 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07FB2B7B" w14:textId="77777777" w:rsidR="00074424" w:rsidRPr="00F567BF" w:rsidRDefault="00E10481" w:rsidP="00E1048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Metilprednizolon 40 mg intrathecalis alkalmazás 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76B4A5BB" w14:textId="77777777" w:rsidTr="00317E2E">
        <w:tc>
          <w:tcPr>
            <w:tcW w:w="2235" w:type="dxa"/>
          </w:tcPr>
          <w:p w14:paraId="5B4B401C" w14:textId="77777777" w:rsidR="00074424" w:rsidRPr="00F567BF" w:rsidRDefault="00074424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lastRenderedPageBreak/>
              <w:t>ADE04 vizsgálat</w:t>
            </w:r>
          </w:p>
        </w:tc>
        <w:tc>
          <w:tcPr>
            <w:tcW w:w="7309" w:type="dxa"/>
          </w:tcPr>
          <w:p w14:paraId="70E75BAB" w14:textId="77777777" w:rsidR="00074424" w:rsidRPr="00F567BF" w:rsidRDefault="00074424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74424" w:rsidRPr="00F567BF" w14:paraId="0798EC78" w14:textId="77777777" w:rsidTr="00317E2E">
        <w:tc>
          <w:tcPr>
            <w:tcW w:w="2235" w:type="dxa"/>
          </w:tcPr>
          <w:p w14:paraId="0B46E575" w14:textId="77777777" w:rsidR="00074424" w:rsidRPr="00F567BF" w:rsidRDefault="00E10481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Előfázis</w:t>
            </w:r>
          </w:p>
        </w:tc>
        <w:tc>
          <w:tcPr>
            <w:tcW w:w="7309" w:type="dxa"/>
          </w:tcPr>
          <w:p w14:paraId="39DD69FC" w14:textId="77777777" w:rsidR="00074424" w:rsidRPr="00F567BF" w:rsidRDefault="00074424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10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7E37B006" w14:textId="77777777" w:rsidR="00074424" w:rsidRPr="00F567BF" w:rsidRDefault="00074424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200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E10481" w:rsidRPr="00F567BF">
              <w:t xml:space="preserve">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3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3968E152" w14:textId="77777777" w:rsidR="00074424" w:rsidRPr="00F567BF" w:rsidRDefault="00074424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15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intrathecalis alkalmazás 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686B3103" w14:textId="77777777" w:rsidTr="00317E2E">
        <w:tc>
          <w:tcPr>
            <w:tcW w:w="2235" w:type="dxa"/>
          </w:tcPr>
          <w:p w14:paraId="10B47DBB" w14:textId="77777777" w:rsidR="00074424" w:rsidRPr="00F567BF" w:rsidRDefault="00E10481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Indukciós terápia I</w:t>
            </w:r>
          </w:p>
        </w:tc>
        <w:tc>
          <w:tcPr>
            <w:tcW w:w="7309" w:type="dxa"/>
          </w:tcPr>
          <w:p w14:paraId="77482301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10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2573E6C9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2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E10481" w:rsidRPr="00F567BF">
              <w:t xml:space="preserve">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6., 13. és 20.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A696597" w14:textId="77777777" w:rsidR="00074424" w:rsidRPr="00F567BF" w:rsidRDefault="003476FE" w:rsidP="00780FE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aunorubicin 45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E10481" w:rsidRPr="00F567BF">
              <w:t xml:space="preserve">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 6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7. és 13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14.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3602AF27" w14:textId="77777777" w:rsidTr="00317E2E">
        <w:tc>
          <w:tcPr>
            <w:tcW w:w="2235" w:type="dxa"/>
          </w:tcPr>
          <w:p w14:paraId="73443427" w14:textId="77777777" w:rsidR="00074424" w:rsidRPr="00F567BF" w:rsidRDefault="00E10481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Indukciós terápia 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II</w:t>
            </w:r>
          </w:p>
        </w:tc>
        <w:tc>
          <w:tcPr>
            <w:tcW w:w="7309" w:type="dxa"/>
          </w:tcPr>
          <w:p w14:paraId="1A91A3DF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1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 26. és 46.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0486479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75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 28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31., 35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38. és 42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54435437" w14:textId="77777777" w:rsidR="00074424" w:rsidRPr="00F567BF" w:rsidRDefault="00074424" w:rsidP="00780FE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6-MP 60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26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46.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470909DE" w14:textId="77777777" w:rsidTr="00317E2E">
        <w:tc>
          <w:tcPr>
            <w:tcW w:w="2235" w:type="dxa"/>
          </w:tcPr>
          <w:p w14:paraId="20063799" w14:textId="77777777" w:rsidR="00074424" w:rsidRPr="00F567BF" w:rsidRDefault="00E10481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Konszolidációs terápia</w:t>
            </w:r>
          </w:p>
        </w:tc>
        <w:tc>
          <w:tcPr>
            <w:tcW w:w="7309" w:type="dxa"/>
          </w:tcPr>
          <w:p w14:paraId="298FA68D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10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06F52B05" w14:textId="77777777" w:rsidR="00074424" w:rsidRPr="00F567BF" w:rsidRDefault="003476FE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inde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zin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3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E10481" w:rsidRPr="00F567BF">
              <w:t xml:space="preserve">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06801059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,5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(24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79FFDC47" w14:textId="77777777" w:rsidR="00074424" w:rsidRPr="00F567BF" w:rsidRDefault="003476FE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E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topo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zid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250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 4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7B2879A" w14:textId="77777777" w:rsidR="00074424" w:rsidRPr="00F567BF" w:rsidRDefault="00074424" w:rsidP="003476F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2</w:t>
            </w:r>
            <w:r w:rsidR="003476F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61442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órás, 12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óránként) az 5.</w:t>
            </w:r>
            <w:r w:rsidR="0076519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E10481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25598DC2" w14:textId="77777777" w:rsidTr="00317E2E">
        <w:tc>
          <w:tcPr>
            <w:tcW w:w="2235" w:type="dxa"/>
          </w:tcPr>
          <w:p w14:paraId="40CC6B35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AJP01 vizsgálat</w:t>
            </w:r>
          </w:p>
        </w:tc>
        <w:tc>
          <w:tcPr>
            <w:tcW w:w="7309" w:type="dxa"/>
          </w:tcPr>
          <w:p w14:paraId="7D3996C2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74424" w:rsidRPr="00F567BF" w14:paraId="2FFAA35D" w14:textId="77777777" w:rsidTr="00317E2E">
        <w:tc>
          <w:tcPr>
            <w:tcW w:w="2235" w:type="dxa"/>
          </w:tcPr>
          <w:p w14:paraId="77A019EC" w14:textId="77777777" w:rsidR="00074424" w:rsidRPr="00F567BF" w:rsidRDefault="00662379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Indukciós terápia</w:t>
            </w:r>
          </w:p>
        </w:tc>
        <w:tc>
          <w:tcPr>
            <w:tcW w:w="7309" w:type="dxa"/>
          </w:tcPr>
          <w:p w14:paraId="540F79C1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1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70BEC73D" w14:textId="77777777" w:rsidR="00074424" w:rsidRPr="00F567BF" w:rsidRDefault="00A627C7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aunorubicin 60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(1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61EE5F1A" w14:textId="77777777" w:rsidR="00074424" w:rsidRPr="00F567BF" w:rsidRDefault="00A627C7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ris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ztin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1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662379" w:rsidRPr="00F567BF">
              <w:t xml:space="preserve">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1., 8., 15. és 21.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0C350AC" w14:textId="77777777" w:rsidR="00074424" w:rsidRPr="00F567BF" w:rsidRDefault="00A627C7" w:rsidP="006623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redni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zolon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60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nap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</w:p>
        </w:tc>
      </w:tr>
      <w:tr w:rsidR="00074424" w:rsidRPr="00F567BF" w14:paraId="1DAA5225" w14:textId="77777777" w:rsidTr="00317E2E">
        <w:tc>
          <w:tcPr>
            <w:tcW w:w="2235" w:type="dxa"/>
          </w:tcPr>
          <w:p w14:paraId="3D59E833" w14:textId="77777777" w:rsidR="00074424" w:rsidRPr="00F567BF" w:rsidRDefault="00662379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Konszolidációs terápia</w:t>
            </w:r>
          </w:p>
        </w:tc>
        <w:tc>
          <w:tcPr>
            <w:tcW w:w="7309" w:type="dxa"/>
          </w:tcPr>
          <w:p w14:paraId="3D2DB5F5" w14:textId="77777777" w:rsidR="00074424" w:rsidRPr="00F567BF" w:rsidRDefault="00780FE5" w:rsidP="00780FE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Váltakozó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kemoterápiás kezelés: nagy dózisú kemoterápiás kezelés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–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 g/m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(24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 és Ara-C 2 g/m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(12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óránként) a 2</w:t>
            </w:r>
            <w:r w:rsidR="00A627C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noBreakHyphen/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3.</w:t>
            </w:r>
            <w:r w:rsidR="00A627C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napon, 4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cikluson keresztül</w:t>
            </w:r>
          </w:p>
        </w:tc>
      </w:tr>
      <w:tr w:rsidR="00074424" w:rsidRPr="00F567BF" w14:paraId="60D26584" w14:textId="77777777" w:rsidTr="00317E2E">
        <w:tc>
          <w:tcPr>
            <w:tcW w:w="2235" w:type="dxa"/>
          </w:tcPr>
          <w:p w14:paraId="2A1E1CA0" w14:textId="77777777" w:rsidR="00074424" w:rsidRPr="00F567BF" w:rsidRDefault="00662379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Fenntartó kezelés</w:t>
            </w:r>
          </w:p>
        </w:tc>
        <w:tc>
          <w:tcPr>
            <w:tcW w:w="7309" w:type="dxa"/>
          </w:tcPr>
          <w:p w14:paraId="603CEF07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 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662379" w:rsidRPr="00F567BF">
              <w:t xml:space="preserve"> 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az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1CAAD5A2" w14:textId="77777777" w:rsidR="00074424" w:rsidRPr="00F567BF" w:rsidRDefault="00A627C7" w:rsidP="00780FE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redni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zolon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60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662379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</w:t>
            </w:r>
          </w:p>
        </w:tc>
      </w:tr>
      <w:tr w:rsidR="00074424" w:rsidRPr="00F567BF" w14:paraId="08693FD3" w14:textId="77777777" w:rsidTr="00317E2E">
        <w:tc>
          <w:tcPr>
            <w:tcW w:w="2235" w:type="dxa"/>
          </w:tcPr>
          <w:p w14:paraId="028D659A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AUS01 vizsgálat</w:t>
            </w:r>
          </w:p>
        </w:tc>
        <w:tc>
          <w:tcPr>
            <w:tcW w:w="7309" w:type="dxa"/>
          </w:tcPr>
          <w:p w14:paraId="057F86F6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74424" w:rsidRPr="00F567BF" w14:paraId="5E9DB10D" w14:textId="77777777" w:rsidTr="00317E2E">
        <w:tc>
          <w:tcPr>
            <w:tcW w:w="2235" w:type="dxa"/>
          </w:tcPr>
          <w:p w14:paraId="48C22B74" w14:textId="77777777" w:rsidR="00074424" w:rsidRPr="00F567BF" w:rsidRDefault="00662379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Indukciós-konszolidációs terápia</w:t>
            </w:r>
          </w:p>
        </w:tc>
        <w:tc>
          <w:tcPr>
            <w:tcW w:w="7309" w:type="dxa"/>
          </w:tcPr>
          <w:p w14:paraId="5C09D95C" w14:textId="77777777" w:rsidR="00A627C7" w:rsidRDefault="00662379" w:rsidP="006623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Hyper-CVAD kezelés:</w:t>
            </w:r>
          </w:p>
          <w:p w14:paraId="00E477AA" w14:textId="77777777" w:rsidR="00662379" w:rsidRPr="00F567BF" w:rsidRDefault="00662379" w:rsidP="006623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 300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(3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órás, 12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óránként) az 1</w:t>
            </w:r>
            <w:r w:rsidR="00780FE5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napon;</w:t>
            </w:r>
          </w:p>
          <w:p w14:paraId="57CF750C" w14:textId="77777777" w:rsidR="00662379" w:rsidRPr="00F567BF" w:rsidRDefault="00662379" w:rsidP="006623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Vinkrisztin 2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a 4. és 11.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napon;</w:t>
            </w:r>
          </w:p>
          <w:p w14:paraId="4CCA215B" w14:textId="77777777" w:rsidR="00662379" w:rsidRPr="00F567BF" w:rsidRDefault="00662379" w:rsidP="006623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Doxorubicin 50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(24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 4.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napon;</w:t>
            </w:r>
          </w:p>
          <w:p w14:paraId="016E76C1" w14:textId="77777777" w:rsidR="00A627C7" w:rsidRDefault="00662379" w:rsidP="00A3302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40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mg/nap az 1</w:t>
            </w:r>
            <w:r w:rsidR="00D8065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4. és 11</w:t>
            </w:r>
            <w:r w:rsidR="00D8065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14.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napon, váltva az alábbi kezeléssel:</w:t>
            </w:r>
          </w:p>
          <w:p w14:paraId="05CE83A9" w14:textId="77777777" w:rsidR="00074424" w:rsidRPr="00F567BF" w:rsidRDefault="00662379" w:rsidP="00D806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1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(24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órás) az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napon, Ara-C 1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(2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órás, 12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óránként) a 2</w:t>
            </w:r>
            <w:r w:rsidR="00D8065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napon (összesen 8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kezelés)</w:t>
            </w:r>
          </w:p>
        </w:tc>
      </w:tr>
      <w:tr w:rsidR="00074424" w:rsidRPr="00F567BF" w14:paraId="72419C6B" w14:textId="77777777" w:rsidTr="00317E2E">
        <w:tc>
          <w:tcPr>
            <w:tcW w:w="2235" w:type="dxa"/>
          </w:tcPr>
          <w:p w14:paraId="629E3012" w14:textId="77777777" w:rsidR="00074424" w:rsidRPr="00F567BF" w:rsidRDefault="00662379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Fenntartó kezelés</w:t>
            </w:r>
          </w:p>
        </w:tc>
        <w:tc>
          <w:tcPr>
            <w:tcW w:w="7309" w:type="dxa"/>
          </w:tcPr>
          <w:p w14:paraId="69A71627" w14:textId="77777777" w:rsidR="00074424" w:rsidRPr="00F567BF" w:rsidRDefault="00074424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2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4E2BA3" w:rsidRPr="004E2BA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iv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havonta 13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hónapon keresztül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14:paraId="4A09BA6C" w14:textId="77777777" w:rsidR="00074424" w:rsidRPr="00F567BF" w:rsidRDefault="00A627C7" w:rsidP="00A3302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redni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zolon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200</w:t>
            </w:r>
            <w:r w:rsidR="00A3302F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074424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mg </w:t>
            </w:r>
            <w:r w:rsidR="004E2BA3" w:rsidRPr="004E2BA3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en-US"/>
              </w:rPr>
              <w:t>per os</w:t>
            </w:r>
            <w:r w:rsidR="007A547E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havonta 5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7A547E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napig 13</w:t>
            </w:r>
            <w:r w:rsidR="00BB797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7A547E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hónapon keresztül</w:t>
            </w:r>
          </w:p>
        </w:tc>
      </w:tr>
      <w:tr w:rsidR="00074424" w:rsidRPr="00F567BF" w14:paraId="4DF4C7D3" w14:textId="77777777" w:rsidTr="00317E2E">
        <w:tc>
          <w:tcPr>
            <w:tcW w:w="9544" w:type="dxa"/>
            <w:gridSpan w:val="2"/>
          </w:tcPr>
          <w:p w14:paraId="5A1AB73F" w14:textId="77777777" w:rsidR="00074424" w:rsidRPr="00F567BF" w:rsidRDefault="007A547E" w:rsidP="0007442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Minden kezelési protokoll tartalmaz szteroidot, központi idegrendszeri hatások profilaxisa céljából.</w:t>
            </w:r>
          </w:p>
        </w:tc>
      </w:tr>
      <w:tr w:rsidR="00074424" w:rsidRPr="00F567BF" w14:paraId="7877B2D9" w14:textId="77777777" w:rsidTr="00317E2E">
        <w:tc>
          <w:tcPr>
            <w:tcW w:w="9544" w:type="dxa"/>
            <w:gridSpan w:val="2"/>
          </w:tcPr>
          <w:p w14:paraId="42A2BE9F" w14:textId="1C21AD19" w:rsidR="00074424" w:rsidRPr="00124B29" w:rsidRDefault="00074424" w:rsidP="007A547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 xml:space="preserve">Ara-C: </w:t>
            </w:r>
            <w:r w:rsidR="00A627C7" w:rsidRPr="00124B29">
              <w:rPr>
                <w:rFonts w:ascii="Times New Roman" w:eastAsia="Times New Roman" w:hAnsi="Times New Roman" w:cs="Times New Roman"/>
                <w:lang w:eastAsia="en-US"/>
              </w:rPr>
              <w:t>c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itarabin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 xml:space="preserve">; CP: 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ciklofoszfamid; DEX: dexamet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a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zon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; MTX: metotrex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át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; 6</w:t>
            </w:r>
            <w:r w:rsidR="00A627C7" w:rsidRPr="00124B29">
              <w:rPr>
                <w:rFonts w:ascii="Times New Roman" w:eastAsia="Times New Roman" w:hAnsi="Times New Roman" w:cs="Times New Roman"/>
                <w:lang w:eastAsia="en-US"/>
              </w:rPr>
              <w:noBreakHyphen/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MP: 6</w:t>
            </w:r>
            <w:r w:rsidR="00A627C7" w:rsidRPr="00124B29">
              <w:rPr>
                <w:rFonts w:ascii="Times New Roman" w:eastAsia="Times New Roman" w:hAnsi="Times New Roman" w:cs="Times New Roman"/>
                <w:lang w:eastAsia="en-US"/>
              </w:rPr>
              <w:noBreakHyphen/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mer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kaptopurin;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 xml:space="preserve"> VM26: 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t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enipo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zid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; VCR: vin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k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>ris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ztin; IDA: idarubicin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 xml:space="preserve">; </w:t>
            </w:r>
            <w:r w:rsidR="004E2BA3" w:rsidRPr="00124B29">
              <w:rPr>
                <w:rFonts w:ascii="Times New Roman" w:eastAsia="Times New Roman" w:hAnsi="Times New Roman" w:cs="Times New Roman"/>
                <w:lang w:eastAsia="en-US"/>
              </w:rPr>
              <w:t>iv</w:t>
            </w:r>
            <w:r w:rsidRPr="00124B29">
              <w:rPr>
                <w:rFonts w:ascii="Times New Roman" w:eastAsia="Times New Roman" w:hAnsi="Times New Roman" w:cs="Times New Roman"/>
                <w:lang w:eastAsia="en-US"/>
              </w:rPr>
              <w:t xml:space="preserve">.: </w:t>
            </w:r>
            <w:r w:rsidR="007A547E" w:rsidRPr="00124B29">
              <w:rPr>
                <w:rFonts w:ascii="Times New Roman" w:eastAsia="Times New Roman" w:hAnsi="Times New Roman" w:cs="Times New Roman"/>
                <w:lang w:eastAsia="en-US"/>
              </w:rPr>
              <w:t>intravénás alkalmazás</w:t>
            </w:r>
          </w:p>
        </w:tc>
      </w:tr>
    </w:tbl>
    <w:p w14:paraId="23152DEA" w14:textId="77777777" w:rsidR="003D06F0" w:rsidRPr="00D8065F" w:rsidRDefault="003D06F0" w:rsidP="003D06F0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7E8F1FE1" w14:textId="77777777" w:rsidR="00406680" w:rsidRPr="00652029" w:rsidRDefault="002A793D" w:rsidP="00406680">
      <w:pPr>
        <w:spacing w:line="239" w:lineRule="auto"/>
        <w:ind w:right="440"/>
        <w:rPr>
          <w:rFonts w:ascii="Times New Roman" w:eastAsia="Times New Roman" w:hAnsi="Times New Roman"/>
          <w:i/>
          <w:sz w:val="22"/>
          <w:szCs w:val="22"/>
          <w:u w:val="single"/>
        </w:rPr>
      </w:pP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Gyermek</w:t>
      </w:r>
      <w:r w:rsidR="00406680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ek és serdülők</w:t>
      </w:r>
    </w:p>
    <w:p w14:paraId="53C6EB94" w14:textId="58C3EEEF" w:rsidR="002A793D" w:rsidRPr="00F567BF" w:rsidRDefault="002A793D" w:rsidP="00D86B3D">
      <w:pPr>
        <w:spacing w:line="239" w:lineRule="auto"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I2301</w:t>
      </w:r>
      <w:r w:rsidR="00BB6BA6">
        <w:rPr>
          <w:rFonts w:ascii="Times New Roman" w:eastAsia="Times New Roman" w:hAnsi="Times New Roman"/>
          <w:sz w:val="22"/>
          <w:szCs w:val="22"/>
        </w:rPr>
        <w:t>-es számú</w:t>
      </w:r>
      <w:r w:rsidRPr="00F567BF">
        <w:rPr>
          <w:rFonts w:ascii="Times New Roman" w:eastAsia="Times New Roman" w:hAnsi="Times New Roman"/>
          <w:sz w:val="22"/>
          <w:szCs w:val="22"/>
        </w:rPr>
        <w:t>, nyílt elrendezésű, multicentrikus, szekvenciális kohorszú,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nem randomizált, </w:t>
      </w:r>
      <w:r w:rsidR="00312570">
        <w:rPr>
          <w:rFonts w:ascii="Times New Roman" w:eastAsia="Times New Roman" w:hAnsi="Times New Roman"/>
          <w:sz w:val="22"/>
          <w:szCs w:val="22"/>
        </w:rPr>
        <w:t>III.</w:t>
      </w:r>
      <w:r w:rsidR="00226847">
        <w:rPr>
          <w:rFonts w:ascii="Times New Roman" w:eastAsia="Times New Roman" w:hAnsi="Times New Roman"/>
          <w:sz w:val="22"/>
          <w:szCs w:val="22"/>
        </w:rPr>
        <w:t> </w:t>
      </w:r>
      <w:r w:rsidR="002A79A9">
        <w:rPr>
          <w:rFonts w:ascii="Times New Roman" w:eastAsia="Times New Roman" w:hAnsi="Times New Roman"/>
          <w:sz w:val="22"/>
          <w:szCs w:val="22"/>
        </w:rPr>
        <w:t>f</w:t>
      </w:r>
      <w:r w:rsidRPr="00F567BF">
        <w:rPr>
          <w:rFonts w:ascii="Times New Roman" w:eastAsia="Times New Roman" w:hAnsi="Times New Roman"/>
          <w:sz w:val="22"/>
          <w:szCs w:val="22"/>
        </w:rPr>
        <w:t>ázis</w:t>
      </w:r>
      <w:r w:rsidR="00312570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vizsgálatba összesen 93, Ph</w:t>
      </w:r>
      <w:r w:rsidR="00BD35B0">
        <w:rPr>
          <w:rFonts w:ascii="Times New Roman" w:eastAsia="Times New Roman" w:hAnsi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/>
          <w:sz w:val="22"/>
          <w:szCs w:val="22"/>
        </w:rPr>
        <w:t>ALL</w:t>
      </w:r>
      <w:r w:rsidR="00D86B3D">
        <w:rPr>
          <w:rFonts w:ascii="Times New Roman" w:eastAsia="Times New Roman" w:hAnsi="Times New Roman"/>
          <w:sz w:val="22"/>
          <w:szCs w:val="22"/>
        </w:rPr>
        <w:t>-</w:t>
      </w:r>
      <w:r w:rsidR="00BB6BA6">
        <w:rPr>
          <w:rFonts w:ascii="Times New Roman" w:eastAsia="Times New Roman" w:hAnsi="Times New Roman"/>
          <w:sz w:val="22"/>
          <w:szCs w:val="22"/>
        </w:rPr>
        <w:t>ben szenvedő</w:t>
      </w:r>
      <w:r w:rsidR="00D86B3D">
        <w:rPr>
          <w:rFonts w:ascii="Times New Roman" w:eastAsia="Times New Roman" w:hAnsi="Times New Roman"/>
          <w:sz w:val="22"/>
          <w:szCs w:val="22"/>
        </w:rPr>
        <w:t xml:space="preserve"> gyermek</w:t>
      </w:r>
      <w:r w:rsidRPr="00F567BF">
        <w:rPr>
          <w:rFonts w:ascii="Times New Roman" w:eastAsia="Times New Roman" w:hAnsi="Times New Roman"/>
          <w:sz w:val="22"/>
          <w:szCs w:val="22"/>
        </w:rPr>
        <w:t>, serdülő és fiatal felnőtt</w:t>
      </w:r>
      <w:r w:rsidR="00BB6BA6">
        <w:rPr>
          <w:rFonts w:ascii="Times New Roman" w:eastAsia="Times New Roman" w:hAnsi="Times New Roman"/>
          <w:sz w:val="22"/>
          <w:szCs w:val="22"/>
        </w:rPr>
        <w:t xml:space="preserve"> beteget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vontak be (1</w:t>
      </w:r>
      <w:r w:rsidR="002A79A9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 kortól 22</w:t>
      </w:r>
      <w:r w:rsidR="002A79A9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éves korig), és kezeltek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imatinibbel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(340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/nap), az indukciós kezelés után intenzív kemoterápiával kombinálva.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>et intermittálva adták az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1</w:t>
      </w:r>
      <w:r w:rsidR="00D8065F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5. kohorszban, kohorszról</w:t>
      </w:r>
      <w:r w:rsidR="00226847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kohorszra növekvő időtartamban, és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az imatinibet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A53955">
        <w:rPr>
          <w:rFonts w:ascii="Times New Roman" w:eastAsia="Times New Roman" w:hAnsi="Times New Roman"/>
          <w:sz w:val="22"/>
          <w:szCs w:val="22"/>
        </w:rPr>
        <w:t xml:space="preserve">egyre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korábban kezdve. Az 1. kohorsz a legalacsonyabb </w:t>
      </w:r>
      <w:r w:rsidR="00D86B3D">
        <w:rPr>
          <w:rFonts w:ascii="Times New Roman" w:eastAsia="Times New Roman" w:hAnsi="Times New Roman"/>
          <w:sz w:val="22"/>
          <w:szCs w:val="22"/>
        </w:rPr>
        <w:t>intenzitással, míg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5. kohorsz a legmagasabb </w:t>
      </w:r>
      <w:r w:rsidR="00D86B3D">
        <w:rPr>
          <w:rFonts w:ascii="Times New Roman" w:eastAsia="Times New Roman" w:hAnsi="Times New Roman"/>
          <w:sz w:val="22"/>
          <w:szCs w:val="22"/>
        </w:rPr>
        <w:t xml:space="preserve">intenzitással kapta az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imatinib</w:t>
      </w:r>
      <w:r w:rsidR="00D86B3D">
        <w:rPr>
          <w:rFonts w:ascii="Times New Roman" w:eastAsia="Times New Roman" w:hAnsi="Times New Roman"/>
          <w:sz w:val="22"/>
          <w:szCs w:val="22"/>
        </w:rPr>
        <w:t>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(az első kemoterápiás ciklus alatt a leg</w:t>
      </w:r>
      <w:r w:rsidR="007379D0">
        <w:rPr>
          <w:rFonts w:ascii="Times New Roman" w:eastAsia="Times New Roman" w:hAnsi="Times New Roman"/>
          <w:sz w:val="22"/>
          <w:szCs w:val="22"/>
        </w:rPr>
        <w:t>több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napo</w:t>
      </w:r>
      <w:r w:rsidR="007379D0">
        <w:rPr>
          <w:rFonts w:ascii="Times New Roman" w:eastAsia="Times New Roman" w:hAnsi="Times New Roman"/>
          <w:sz w:val="22"/>
          <w:szCs w:val="22"/>
        </w:rPr>
        <w:t>n át történő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folyamatos, napi </w:t>
      </w:r>
      <w:r w:rsidR="00927B87">
        <w:rPr>
          <w:rFonts w:ascii="Times New Roman" w:eastAsia="Times New Roman" w:hAnsi="Times New Roman"/>
          <w:sz w:val="22"/>
          <w:szCs w:val="22"/>
        </w:rPr>
        <w:t>imatinib-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adagolás).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>Az imatinib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folyamatos, napi expozíciója a terápiás ciklus korai időszakában, kemoterápiával kombinálva az 5. kohorsz betegeinél (n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=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50) javította a 4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éves, eseménymentes túlélést (</w:t>
      </w:r>
      <w:r w:rsidR="00D86B3D">
        <w:rPr>
          <w:rFonts w:ascii="Times New Roman" w:eastAsia="Times New Roman" w:hAnsi="Times New Roman"/>
          <w:i/>
          <w:sz w:val="22"/>
          <w:szCs w:val="22"/>
        </w:rPr>
        <w:t>event-free survival</w:t>
      </w:r>
      <w:r w:rsidR="00D86B3D" w:rsidRPr="00D86B3D">
        <w:rPr>
          <w:rFonts w:ascii="Times New Roman" w:eastAsia="Times New Roman" w:hAnsi="Times New Roman"/>
          <w:sz w:val="22"/>
          <w:szCs w:val="22"/>
        </w:rPr>
        <w:t xml:space="preserve">, </w:t>
      </w:r>
      <w:r w:rsidRPr="00F567BF">
        <w:rPr>
          <w:rFonts w:ascii="Times New Roman" w:eastAsia="Times New Roman" w:hAnsi="Times New Roman"/>
          <w:sz w:val="22"/>
          <w:szCs w:val="22"/>
        </w:rPr>
        <w:t>EFS), azokhoz a historikus kontrollokhoz képest (n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=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120), akik </w:t>
      </w:r>
      <w:r w:rsidR="00406680" w:rsidRPr="00F567BF">
        <w:rPr>
          <w:rFonts w:ascii="Times New Roman" w:eastAsia="Times New Roman" w:hAnsi="Times New Roman"/>
          <w:sz w:val="22"/>
          <w:szCs w:val="22"/>
        </w:rPr>
        <w:t xml:space="preserve">imatinib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nélkül kaptak standard kemoterápiát (69,6% </w:t>
      </w:r>
      <w:r w:rsidRPr="00647049">
        <w:rPr>
          <w:rFonts w:ascii="Times New Roman" w:eastAsia="Times New Roman" w:hAnsi="Times New Roman"/>
          <w:i/>
          <w:iCs/>
          <w:sz w:val="22"/>
          <w:szCs w:val="22"/>
        </w:rPr>
        <w:t xml:space="preserve">vs. </w:t>
      </w:r>
      <w:r w:rsidRPr="00F567BF">
        <w:rPr>
          <w:rFonts w:ascii="Times New Roman" w:eastAsia="Times New Roman" w:hAnsi="Times New Roman"/>
          <w:sz w:val="22"/>
          <w:szCs w:val="22"/>
        </w:rPr>
        <w:t>31,6%). A becsült 4</w:t>
      </w:r>
      <w:r w:rsidR="00F60B5B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 teljes túlélés az 5. kohorsz betegeinél 83,6% volt, a historikus kontrolloknál észlelt 44,8%-hoz képest. Az 5. kohorsz 50</w:t>
      </w:r>
      <w:r w:rsidR="00A531ED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betege közül 20 (40%) esett át haemopoeticusőssejt</w:t>
      </w:r>
      <w:r w:rsidR="00D86B3D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transzplantáción.</w:t>
      </w:r>
    </w:p>
    <w:p w14:paraId="11487BE3" w14:textId="77777777" w:rsidR="002A793D" w:rsidRPr="00F567BF" w:rsidRDefault="002A793D">
      <w:pPr>
        <w:spacing w:line="283" w:lineRule="exact"/>
        <w:rPr>
          <w:rFonts w:ascii="Times New Roman" w:eastAsia="Times New Roman" w:hAnsi="Times New Roman"/>
        </w:rPr>
      </w:pPr>
    </w:p>
    <w:p w14:paraId="24C57541" w14:textId="2CCCC874" w:rsidR="00790E6A" w:rsidRDefault="00F31466" w:rsidP="00647049">
      <w:pPr>
        <w:keepNext/>
        <w:tabs>
          <w:tab w:val="left" w:pos="1134"/>
        </w:tabs>
        <w:spacing w:line="237" w:lineRule="auto"/>
        <w:ind w:left="1134" w:right="-8" w:hanging="1134"/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lastRenderedPageBreak/>
        <w:t>5</w:t>
      </w:r>
      <w:r w:rsidR="002A793D" w:rsidRPr="00F567BF">
        <w:rPr>
          <w:rFonts w:ascii="Times New Roman" w:eastAsia="Times New Roman" w:hAnsi="Times New Roman"/>
          <w:b/>
          <w:sz w:val="22"/>
        </w:rPr>
        <w:t>. táblázat</w:t>
      </w:r>
      <w:r w:rsidR="00F60B5B">
        <w:rPr>
          <w:rFonts w:ascii="Times New Roman" w:eastAsia="Times New Roman" w:hAnsi="Times New Roman"/>
          <w:b/>
          <w:sz w:val="22"/>
        </w:rPr>
        <w:t>:</w:t>
      </w:r>
      <w:r w:rsidRPr="00F567BF">
        <w:rPr>
          <w:rFonts w:ascii="Times New Roman" w:eastAsia="Times New Roman" w:hAnsi="Times New Roman"/>
          <w:b/>
          <w:sz w:val="22"/>
        </w:rPr>
        <w:tab/>
      </w:r>
      <w:r w:rsidR="002A793D" w:rsidRPr="00F567BF">
        <w:rPr>
          <w:rFonts w:ascii="Times New Roman" w:eastAsia="Times New Roman" w:hAnsi="Times New Roman"/>
          <w:b/>
          <w:sz w:val="22"/>
        </w:rPr>
        <w:t>Az I2301</w:t>
      </w:r>
      <w:r w:rsidR="00FC76D9">
        <w:rPr>
          <w:rFonts w:ascii="Times New Roman" w:eastAsia="Times New Roman" w:hAnsi="Times New Roman"/>
          <w:b/>
          <w:sz w:val="22"/>
        </w:rPr>
        <w:t>-es számú</w:t>
      </w:r>
      <w:r w:rsidR="002A793D" w:rsidRPr="00F567BF">
        <w:rPr>
          <w:rFonts w:ascii="Times New Roman" w:eastAsia="Times New Roman" w:hAnsi="Times New Roman"/>
          <w:b/>
          <w:sz w:val="22"/>
        </w:rPr>
        <w:t xml:space="preserve"> vizsgálatban az imatinibbel kombinációban alkalmazott kemoterápiás </w:t>
      </w:r>
      <w:r w:rsidR="00762B96">
        <w:rPr>
          <w:rFonts w:ascii="Times New Roman" w:eastAsia="Times New Roman" w:hAnsi="Times New Roman"/>
          <w:b/>
          <w:sz w:val="22"/>
        </w:rPr>
        <w:t>kezelési protokoll</w:t>
      </w:r>
    </w:p>
    <w:p w14:paraId="46300485" w14:textId="77777777" w:rsidR="00762B96" w:rsidRPr="00D86B3D" w:rsidRDefault="00762B96" w:rsidP="00647049">
      <w:pPr>
        <w:keepNext/>
        <w:tabs>
          <w:tab w:val="left" w:pos="1134"/>
        </w:tabs>
        <w:spacing w:line="237" w:lineRule="auto"/>
        <w:ind w:left="1134" w:right="580" w:hanging="1134"/>
        <w:rPr>
          <w:rFonts w:ascii="Times New Roman" w:eastAsia="Times New Roman" w:hAnsi="Times New Roman"/>
          <w:sz w:val="22"/>
        </w:rPr>
      </w:pPr>
    </w:p>
    <w:tbl>
      <w:tblPr>
        <w:tblW w:w="0" w:type="auto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42"/>
        <w:gridCol w:w="6313"/>
      </w:tblGrid>
      <w:tr w:rsidR="005D6DA7" w:rsidRPr="00F567BF" w14:paraId="01CBFE87" w14:textId="77777777" w:rsidTr="00371521">
        <w:tc>
          <w:tcPr>
            <w:tcW w:w="2842" w:type="dxa"/>
          </w:tcPr>
          <w:p w14:paraId="3B2A4E37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1. konszolidációs blokk</w:t>
            </w:r>
          </w:p>
          <w:p w14:paraId="61075D09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</w:tc>
        <w:tc>
          <w:tcPr>
            <w:tcW w:w="6313" w:type="dxa"/>
          </w:tcPr>
          <w:p w14:paraId="7288FFED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VP-16 (100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F60B5B" w:rsidRPr="00F60B5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iv.): 1</w:t>
            </w:r>
            <w:r w:rsidR="00D86B3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CCF2940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Ifoszfamid (1,8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F60B5B" w:rsidRPr="00F60B5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iv.): 1</w:t>
            </w:r>
            <w:r w:rsidR="00D86B3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26E435C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MESNA (360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/dózis 3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8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dózis/nap, iv.): 1</w:t>
            </w:r>
            <w:r w:rsidR="00D86B3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B1AE25C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 </w:t>
            </w:r>
            <w:r w:rsidR="00F60B5B" w:rsidRPr="00F60B5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/kg, sc.): 6-15.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vagy addig, amíg az ANC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1500 a mélypont után</w:t>
            </w:r>
          </w:p>
          <w:p w14:paraId="316AB745" w14:textId="77777777" w:rsidR="005D6DA7" w:rsidRPr="00F567BF" w:rsidRDefault="00F257A9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257A9">
              <w:rPr>
                <w:rFonts w:ascii="Times New Roman" w:eastAsia="Times New Roman" w:hAnsi="Times New Roman" w:cs="Times New Roman"/>
                <w:sz w:val="22"/>
                <w:szCs w:val="22"/>
                <w:lang w:val="sl-SI" w:eastAsia="en-US"/>
              </w:rPr>
              <w:t>I</w:t>
            </w:r>
            <w:r w:rsidRPr="006E2FD1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t.</w:t>
            </w:r>
            <w:r w:rsidR="005D6DA7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metotrexát (életkorra korrigált): CSAK az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5D6DA7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6605A65C" w14:textId="77777777" w:rsidR="005D6DA7" w:rsidRPr="00F567BF" w:rsidRDefault="00265E38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Hármas it. kezelés (életkorra korrigált): 8., 15.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nap</w:t>
            </w:r>
          </w:p>
        </w:tc>
      </w:tr>
      <w:tr w:rsidR="005D6DA7" w:rsidRPr="00F567BF" w14:paraId="0206A038" w14:textId="77777777" w:rsidTr="00371521">
        <w:tc>
          <w:tcPr>
            <w:tcW w:w="2842" w:type="dxa"/>
          </w:tcPr>
          <w:p w14:paraId="09F03220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2. konszolidációs blokk</w:t>
            </w:r>
          </w:p>
          <w:p w14:paraId="5EBFA821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  <w:p w14:paraId="79A1D4CA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313" w:type="dxa"/>
          </w:tcPr>
          <w:p w14:paraId="506D3FFE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át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(5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24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óra alatt, iv.):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A3CE1CC" w14:textId="77777777" w:rsidR="005D6DA7" w:rsidRPr="00F567BF" w:rsidRDefault="00265E38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Leukovorin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36.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órában, iv.; 15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iv. vagy p.o. 6</w:t>
            </w:r>
            <w:r w:rsidR="00D86B3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6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dózis)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iii: 2. és 3.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CAEFF83" w14:textId="77777777" w:rsidR="005D6DA7" w:rsidRPr="00F567BF" w:rsidRDefault="00265E38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08D2B77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(3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 12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×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4, iv.): 2. és 3.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2C95D22" w14:textId="77777777" w:rsidR="005D6DA7" w:rsidRPr="00F567BF" w:rsidRDefault="005D6DA7" w:rsidP="00456FF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G-CSF (5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/kg, 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sc.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): 4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13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 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nap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 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vagy addig, amíg az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ANC 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 xml:space="preserve">1500 </w:t>
            </w:r>
            <w:r w:rsidR="00265E38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nl-NL"/>
              </w:rPr>
              <w:t>a mélypont után</w:t>
            </w:r>
          </w:p>
        </w:tc>
      </w:tr>
      <w:tr w:rsidR="005D6DA7" w:rsidRPr="00F567BF" w14:paraId="7C88DB02" w14:textId="77777777" w:rsidTr="00371521">
        <w:tc>
          <w:tcPr>
            <w:tcW w:w="2842" w:type="dxa"/>
          </w:tcPr>
          <w:p w14:paraId="533D4708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1. reindukciós blokk</w:t>
            </w:r>
          </w:p>
          <w:p w14:paraId="70DAE1B4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</w:tc>
        <w:tc>
          <w:tcPr>
            <w:tcW w:w="6313" w:type="dxa"/>
          </w:tcPr>
          <w:p w14:paraId="1811ACDB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(1,5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1., 8. és 15.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792107C6" w14:textId="6FB23E8F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DAUN (45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 b</w:t>
            </w:r>
            <w:r w:rsidR="0019177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o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lus, iv.): 1. és 2.</w:t>
            </w:r>
            <w:r w:rsidR="00133D1A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3343C4E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CPM (250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/dózis 12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4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dózis, iv.): 3. és 4.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5FA3C1B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PEG-ASP (2500 NE/m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im.): 4.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6BE07B06" w14:textId="77777777" w:rsidR="00E61AEF" w:rsidRPr="00F567BF" w:rsidRDefault="00E61AEF" w:rsidP="00A531E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</w:t>
            </w:r>
            <w:r w:rsidRPr="00F567BF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/kg, sc.): 5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14.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vagy addig, amíg az ANC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1500 a mélypont után</w:t>
            </w:r>
          </w:p>
          <w:p w14:paraId="1DDC9440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 és 15.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3230285A" w14:textId="77777777" w:rsidR="005D6DA7" w:rsidRPr="00F567BF" w:rsidRDefault="00E61AEF" w:rsidP="00456FF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(6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7. és 15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21.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</w:tc>
      </w:tr>
      <w:tr w:rsidR="005D6DA7" w:rsidRPr="00F567BF" w14:paraId="0D7534E2" w14:textId="77777777" w:rsidTr="00371521">
        <w:tc>
          <w:tcPr>
            <w:tcW w:w="2842" w:type="dxa"/>
          </w:tcPr>
          <w:p w14:paraId="2946E585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1. intenzifikációs blokk</w:t>
            </w:r>
          </w:p>
          <w:p w14:paraId="1FDFFAA8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(9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</w:tc>
        <w:tc>
          <w:tcPr>
            <w:tcW w:w="6313" w:type="dxa"/>
          </w:tcPr>
          <w:p w14:paraId="6E9FC29D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Metotrexát (5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24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óra alatt, iv.): 1. és 15.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1F9FB19" w14:textId="77777777" w:rsidR="00E61AEF" w:rsidRPr="00F567BF" w:rsidRDefault="00E61AEF" w:rsidP="00A531E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Leukovorin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36.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órában, iv.; 15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iv. vagy p.o. 6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6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dózis)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iii: 2., 3., 16. és 17.</w:t>
            </w:r>
            <w:r w:rsidR="00E80003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6E229D82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 és 22.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101839B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VP-16 (100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7222BA21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CPM (300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394B889D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MESNA (150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21C4B5FF" w14:textId="77777777" w:rsidR="00E61AEF" w:rsidRPr="00F567BF" w:rsidRDefault="00E61AEF" w:rsidP="008B630E">
            <w:pPr>
              <w:autoSpaceDE w:val="0"/>
              <w:autoSpaceDN w:val="0"/>
              <w:adjustRightInd w:val="0"/>
              <w:ind w:left="122" w:hanging="122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/kg, sc.): 27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vagy addig, amíg az ANC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1500 a mélypont után</w:t>
            </w:r>
          </w:p>
          <w:p w14:paraId="1286ABA4" w14:textId="77777777" w:rsidR="00E61AEF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(3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12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iv.): 43.</w:t>
            </w:r>
            <w:r w:rsidR="00456FF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44.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373684D" w14:textId="77777777" w:rsidR="005D6DA7" w:rsidRPr="00F567BF" w:rsidRDefault="00E61AEF" w:rsidP="00E61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L-ASP (6000 NE/m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im.): 44.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ap</w:t>
            </w:r>
          </w:p>
        </w:tc>
      </w:tr>
      <w:tr w:rsidR="005D6DA7" w:rsidRPr="00F567BF" w14:paraId="550DC4E4" w14:textId="77777777" w:rsidTr="00371521">
        <w:tc>
          <w:tcPr>
            <w:tcW w:w="2842" w:type="dxa"/>
          </w:tcPr>
          <w:p w14:paraId="647A6C96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br w:type="page"/>
              <w:t xml:space="preserve">2. reindukciós </w:t>
            </w:r>
            <w:r w:rsidRPr="0011612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blokk</w:t>
            </w:r>
          </w:p>
          <w:p w14:paraId="47A48FF5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(3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</w:tc>
        <w:tc>
          <w:tcPr>
            <w:tcW w:w="6313" w:type="dxa"/>
          </w:tcPr>
          <w:p w14:paraId="0F337F33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(1,5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1., 8. és 15.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5A38F29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DAUN (45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 bólus, iv.): 1. és 2.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2EB7E43F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CPM (250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/dózis 12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4 dózis, iv.): 3. és 4.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FBC223F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PEG-ASP (2500 NE/m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im.): 4.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F7AB12A" w14:textId="77777777" w:rsidR="00973F5F" w:rsidRPr="00F567BF" w:rsidRDefault="00973F5F" w:rsidP="008B630E">
            <w:pPr>
              <w:autoSpaceDE w:val="0"/>
              <w:autoSpaceDN w:val="0"/>
              <w:adjustRightInd w:val="0"/>
              <w:ind w:left="122" w:hanging="122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11612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tt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kg, sc.): 5</w:t>
            </w:r>
            <w:r w:rsidR="0011612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14.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vagy addig, amíg az ANC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1500 a mélypont után</w:t>
            </w:r>
          </w:p>
          <w:p w14:paraId="30EB6FC6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 és 15.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32BDEC3" w14:textId="77777777" w:rsidR="005D6DA7" w:rsidRPr="00F567BF" w:rsidRDefault="00973F5F" w:rsidP="0011612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(6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11612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7. és 15</w:t>
            </w:r>
            <w:r w:rsidR="00116126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21.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</w:tc>
      </w:tr>
      <w:tr w:rsidR="005D6DA7" w:rsidRPr="00F567BF" w14:paraId="6B2AAF27" w14:textId="77777777" w:rsidTr="00371521">
        <w:tc>
          <w:tcPr>
            <w:tcW w:w="2842" w:type="dxa"/>
          </w:tcPr>
          <w:p w14:paraId="0C4747CE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2. intenzifikációs blokk</w:t>
            </w:r>
          </w:p>
          <w:p w14:paraId="259A6FAC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(9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hét)</w:t>
            </w:r>
          </w:p>
        </w:tc>
        <w:tc>
          <w:tcPr>
            <w:tcW w:w="6313" w:type="dxa"/>
          </w:tcPr>
          <w:p w14:paraId="30BAD80D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Metotrexát (5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24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óra alatt, iv.): 1. és 15.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AFF37E7" w14:textId="77777777" w:rsidR="00973F5F" w:rsidRPr="00F567BF" w:rsidRDefault="00973F5F" w:rsidP="00A531E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Leukovorin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36.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órában, iv.; 15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iv. vagy p.o. 6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6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dózis)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iii: 2., 3., 16. és 17.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7C104FD6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 és 22.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18D3CA6B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VP-16 (100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10092026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CPM (300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9230AE6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MESNA (150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22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26.</w:t>
            </w:r>
            <w:r w:rsidR="00F85F42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60660321" w14:textId="77777777" w:rsidR="00973F5F" w:rsidRPr="00F567BF" w:rsidRDefault="00973F5F" w:rsidP="008B630E">
            <w:pPr>
              <w:autoSpaceDE w:val="0"/>
              <w:autoSpaceDN w:val="0"/>
              <w:adjustRightInd w:val="0"/>
              <w:ind w:left="122" w:hanging="122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/kg, sc.): 27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36.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vagy addig, amíg az ANC</w:t>
            </w:r>
            <w:r w:rsid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2F201D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&gt;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1500 a mélypont után</w:t>
            </w:r>
          </w:p>
          <w:p w14:paraId="4492E034" w14:textId="77777777" w:rsidR="00973F5F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ARA-C (3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12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iv.): 43., 44.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1B01537" w14:textId="77777777" w:rsidR="005D6DA7" w:rsidRPr="00F567BF" w:rsidRDefault="00973F5F" w:rsidP="00973F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L-ASP (6000 NE/m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im.): 44.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</w:tc>
      </w:tr>
      <w:tr w:rsidR="005D6DA7" w:rsidRPr="00F567BF" w14:paraId="39AAC1A9" w14:textId="77777777" w:rsidTr="00371521">
        <w:tc>
          <w:tcPr>
            <w:tcW w:w="2842" w:type="dxa"/>
          </w:tcPr>
          <w:p w14:paraId="5F8E52A4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lastRenderedPageBreak/>
              <w:t>Fenntartó kezelés</w:t>
            </w:r>
          </w:p>
          <w:p w14:paraId="720557EF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(8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hetes ciklusok)</w:t>
            </w:r>
          </w:p>
          <w:p w14:paraId="520B5D6A" w14:textId="77777777" w:rsidR="005D6DA7" w:rsidRPr="00F567BF" w:rsidRDefault="005D6DA7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1–4.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c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iklus</w:t>
            </w:r>
          </w:p>
        </w:tc>
        <w:tc>
          <w:tcPr>
            <w:tcW w:w="6313" w:type="dxa"/>
          </w:tcPr>
          <w:p w14:paraId="190B9370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MTX (5 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24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óra alatt, iv.): 1.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6C23E0B0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Leukovorin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a 36.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órában, iv.; 15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iv. vagy p.o. 6</w:t>
            </w:r>
            <w:r w:rsidR="00DB2B8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óránként, 6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dózis)</w:t>
            </w:r>
            <w:r w:rsidR="00DB2B8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iii: 2. és 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376FB833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Hármas 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. kezelés (életkorra korrigált): 1., 29.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3FA4488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(1,5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iv.): 1., 29.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4324049A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(6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5.;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7D150B3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6-MP (75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8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28.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1411CB2E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Metotrexát (20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/hét, p.o.): 8., 15., 22.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09AC699F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VP-16 (100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iv.):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365CBE4C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CPM (300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, iv.):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1EFD32AB" w14:textId="77777777" w:rsidR="00973F5F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MESNA iv.,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728D816A" w14:textId="77777777" w:rsidR="005D6DA7" w:rsidRPr="00F567BF" w:rsidRDefault="00973F5F" w:rsidP="00647049">
            <w:pPr>
              <w:keepNex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G-CSF (5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F257A9" w:rsidRPr="00F257A9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mikrogramm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tt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kg, sc.): 34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="001D13F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ap</w:t>
            </w:r>
          </w:p>
        </w:tc>
      </w:tr>
      <w:tr w:rsidR="005D6DA7" w:rsidRPr="00F567BF" w14:paraId="1783F8A6" w14:textId="77777777" w:rsidTr="00371521">
        <w:tc>
          <w:tcPr>
            <w:tcW w:w="2842" w:type="dxa"/>
          </w:tcPr>
          <w:p w14:paraId="66D43780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Fenntartó kezelés</w:t>
            </w:r>
          </w:p>
          <w:p w14:paraId="766211CC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(8</w:t>
            </w:r>
            <w:r w:rsidR="00A531ED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hetes ciklusok)</w:t>
            </w:r>
          </w:p>
          <w:p w14:paraId="2B51B952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ciklus</w:t>
            </w:r>
          </w:p>
        </w:tc>
        <w:tc>
          <w:tcPr>
            <w:tcW w:w="6313" w:type="dxa"/>
          </w:tcPr>
          <w:p w14:paraId="793F3C27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Koponya</w:t>
            </w:r>
            <w:r w:rsidR="00DB2B8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irradiáció (csak az 5. blokkban)</w:t>
            </w:r>
          </w:p>
          <w:p w14:paraId="09F39B4F" w14:textId="77777777" w:rsidR="00003E16" w:rsidRPr="00F567BF" w:rsidRDefault="00DB2B8B" w:rsidP="00DB2B8B">
            <w:pPr>
              <w:autoSpaceDE w:val="0"/>
              <w:autoSpaceDN w:val="0"/>
              <w:adjustRightInd w:val="0"/>
              <w:ind w:left="264" w:hanging="142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- 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12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Gy 8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frakcióban, minden olyan betegnél, aki a diagnózis pillanatában CNS1 és CNS2 stádiumban van</w:t>
            </w:r>
          </w:p>
          <w:p w14:paraId="6199D1FB" w14:textId="77777777" w:rsidR="00003E16" w:rsidRPr="00F567BF" w:rsidRDefault="00DB2B8B" w:rsidP="00DB2B8B">
            <w:pPr>
              <w:autoSpaceDE w:val="0"/>
              <w:autoSpaceDN w:val="0"/>
              <w:adjustRightInd w:val="0"/>
              <w:ind w:left="264" w:hanging="142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- 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18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Gy 10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003E16"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frakcióban, minden olyan betegnél, aki a diagnózis pillanatában CNS3 stádiumban van</w:t>
            </w:r>
          </w:p>
          <w:p w14:paraId="6519716F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(1,5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1., 29.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1C2194B4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(6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5.;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 nap</w:t>
            </w:r>
          </w:p>
          <w:p w14:paraId="4F528E03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6-MP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11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56.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(Az 5.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ciklus 1.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napján kezdődő koponya</w:t>
            </w:r>
            <w:r w:rsidR="00DB2B8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irradiáció 6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napja alatt a 6-MP adását abba kell hagyni. A 6-MP-t a koponya</w:t>
            </w:r>
            <w:r w:rsidR="00DB2B8B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irradiáció befejezése utáni 1.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 kell elkezdeni.)</w:t>
            </w:r>
          </w:p>
          <w:p w14:paraId="2D1EF404" w14:textId="77777777" w:rsidR="005D6DA7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Metotrexát (20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/hét, p.o.): 8., 15., 22., 29., 36., 43., 50.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</w:tc>
      </w:tr>
      <w:tr w:rsidR="005D6DA7" w:rsidRPr="00F567BF" w14:paraId="65A020E4" w14:textId="77777777" w:rsidTr="00371521">
        <w:tc>
          <w:tcPr>
            <w:tcW w:w="2842" w:type="dxa"/>
          </w:tcPr>
          <w:p w14:paraId="3CE6BED0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Fenntartó kezelés</w:t>
            </w:r>
          </w:p>
          <w:p w14:paraId="7B33087A" w14:textId="77777777" w:rsidR="005D6DA7" w:rsidRPr="00F567BF" w:rsidRDefault="005D6DA7" w:rsidP="005D6D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(8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hetes ciklusok)</w:t>
            </w:r>
          </w:p>
          <w:p w14:paraId="6FD92522" w14:textId="77777777" w:rsidR="005D6DA7" w:rsidRPr="00F567BF" w:rsidRDefault="005D6DA7" w:rsidP="002031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12.</w:t>
            </w:r>
            <w:r w:rsidR="00E434AC"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ciklus</w:t>
            </w:r>
          </w:p>
        </w:tc>
        <w:tc>
          <w:tcPr>
            <w:tcW w:w="6313" w:type="dxa"/>
          </w:tcPr>
          <w:p w14:paraId="78726A15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VCR (1,5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iv.): 1., 29.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585C94A6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DEX (6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5.; 29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33.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72BF893B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6-MP (75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/nap, p.o.): 1</w:t>
            </w:r>
            <w:r w:rsidR="002031A0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–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56.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  <w:p w14:paraId="39008FF9" w14:textId="77777777" w:rsidR="00003E16" w:rsidRPr="00F567BF" w:rsidRDefault="00003E16" w:rsidP="00003E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Metotrexát (20 mg/m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/hét, p.o.): 1., 8., 15., 22., 29., 36., 43., 50.</w:t>
            </w:r>
            <w:r w:rsidR="005F4F77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 </w:t>
            </w:r>
            <w:r w:rsidRPr="00F567B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nap</w:t>
            </w:r>
          </w:p>
        </w:tc>
      </w:tr>
      <w:tr w:rsidR="00371521" w:rsidRPr="00F567BF" w14:paraId="34A4137E" w14:textId="77777777" w:rsidTr="00761FC9">
        <w:tc>
          <w:tcPr>
            <w:tcW w:w="9155" w:type="dxa"/>
            <w:gridSpan w:val="2"/>
          </w:tcPr>
          <w:p w14:paraId="24ADA51D" w14:textId="363E8FB2" w:rsidR="00371521" w:rsidRPr="00F567BF" w:rsidRDefault="00371521" w:rsidP="00371521">
            <w:pPr>
              <w:spacing w:line="238" w:lineRule="auto"/>
              <w:ind w:right="-8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G-CSF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granulocytakolónia</w:t>
            </w:r>
            <w:r w:rsidR="00226847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stimuláló faktor, VP-16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etopozid, MTX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metotrexát, iv.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intravénás, sc.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subcutan, </w:t>
            </w:r>
            <w:r w:rsidRPr="00F257A9">
              <w:rPr>
                <w:rFonts w:ascii="Times New Roman" w:eastAsia="Times New Roman" w:hAnsi="Times New Roman"/>
                <w:sz w:val="22"/>
                <w:szCs w:val="22"/>
              </w:rPr>
              <w:t>it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intrathecalis, p.o.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4E2BA3">
              <w:rPr>
                <w:rFonts w:ascii="Times New Roman" w:eastAsia="Times New Roman" w:hAnsi="Times New Roman"/>
                <w:i/>
                <w:sz w:val="22"/>
                <w:szCs w:val="22"/>
              </w:rPr>
              <w:t>per os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, im.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intramuscularis, ARA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C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citarabin, CPM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ciklofoszfamid, VCR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vinkrisztin, DEX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dexametazon, DAUN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daunorubicin, 6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MP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noBreakHyphen/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merkaptopurin, E. Coli L-ASP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L-aszparagináz, PEG-ASP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="00226847">
              <w:rPr>
                <w:rFonts w:ascii="Times New Roman" w:eastAsia="Times New Roman" w:hAnsi="Times New Roman"/>
                <w:sz w:val="22"/>
                <w:szCs w:val="22"/>
              </w:rPr>
              <w:t>peg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aszparagináz, MESNA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2-merkaptoetán-szulfonát-nátrium, iii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vagy amíg a</w:t>
            </w:r>
            <w:r w:rsidR="00226847">
              <w:rPr>
                <w:rFonts w:ascii="Times New Roman" w:eastAsia="Times New Roman" w:hAnsi="Times New Roman"/>
                <w:sz w:val="22"/>
                <w:szCs w:val="22"/>
              </w:rPr>
              <w:t>z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 xml:space="preserve"> MTX-szint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&lt;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0,1 </w:t>
            </w:r>
            <w:r w:rsidRPr="003C554E">
              <w:rPr>
                <w:rFonts w:ascii="Times New Roman" w:eastAsia="Times New Roman" w:hAnsi="Times New Roman"/>
                <w:sz w:val="22"/>
                <w:szCs w:val="22"/>
              </w:rPr>
              <w:t>mikromol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, Gy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F567BF">
              <w:rPr>
                <w:rFonts w:ascii="Times New Roman" w:eastAsia="Times New Roman" w:hAnsi="Times New Roman"/>
                <w:sz w:val="22"/>
                <w:szCs w:val="22"/>
              </w:rPr>
              <w:t>Gray</w:t>
            </w:r>
          </w:p>
        </w:tc>
      </w:tr>
    </w:tbl>
    <w:p w14:paraId="5B14844C" w14:textId="77777777" w:rsidR="002A793D" w:rsidRPr="00F567BF" w:rsidRDefault="002A793D">
      <w:pPr>
        <w:spacing w:line="277" w:lineRule="exact"/>
        <w:rPr>
          <w:rFonts w:ascii="Times New Roman" w:eastAsia="Times New Roman" w:hAnsi="Times New Roman"/>
          <w:sz w:val="22"/>
          <w:szCs w:val="22"/>
        </w:rPr>
      </w:pPr>
      <w:bookmarkStart w:id="16" w:name="page58"/>
      <w:bookmarkStart w:id="17" w:name="page59"/>
      <w:bookmarkEnd w:id="16"/>
      <w:bookmarkEnd w:id="17"/>
    </w:p>
    <w:p w14:paraId="3D2437D1" w14:textId="4D7BA242" w:rsidR="002A793D" w:rsidRPr="00F567BF" w:rsidRDefault="002A793D" w:rsidP="002031A0">
      <w:pPr>
        <w:spacing w:line="258" w:lineRule="auto"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AIT07</w:t>
      </w:r>
      <w:r w:rsidR="00226847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vizsgálat egy multicentrikus, nyílt elrendezésű, randomizált, </w:t>
      </w:r>
      <w:r w:rsidR="00312570">
        <w:rPr>
          <w:rFonts w:ascii="Times New Roman" w:eastAsia="Times New Roman" w:hAnsi="Times New Roman"/>
          <w:sz w:val="22"/>
          <w:szCs w:val="22"/>
        </w:rPr>
        <w:t xml:space="preserve">II/III. </w:t>
      </w:r>
      <w:r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312570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 volt, amelyben 128 (1</w:t>
      </w:r>
      <w:r w:rsidR="00124B29">
        <w:rPr>
          <w:rFonts w:ascii="Times New Roman" w:eastAsia="Times New Roman" w:hAnsi="Times New Roman"/>
          <w:sz w:val="22"/>
          <w:szCs w:val="22"/>
        </w:rPr>
        <w:t> </w:t>
      </w:r>
      <w:r w:rsidR="00124B29">
        <w:rPr>
          <w:rFonts w:ascii="Times New Roman" w:eastAsia="Times New Roman" w:hAnsi="Times New Roman" w:cs="Times New Roman"/>
          <w:sz w:val="22"/>
          <w:szCs w:val="22"/>
        </w:rPr>
        <w:t>−</w:t>
      </w:r>
      <w:r w:rsidR="00124B29">
        <w:rPr>
          <w:rFonts w:ascii="Times New Roman" w:eastAsia="Times New Roman" w:hAnsi="Times New Roman"/>
          <w:sz w:val="22"/>
          <w:szCs w:val="22"/>
        </w:rPr>
        <w:t> </w:t>
      </w:r>
      <w:r w:rsidR="00273092">
        <w:rPr>
          <w:rFonts w:ascii="Times New Roman" w:eastAsia="Times New Roman" w:hAnsi="Times New Roman"/>
          <w:sz w:val="22"/>
          <w:szCs w:val="22"/>
        </w:rPr>
        <w:t>&lt; </w:t>
      </w:r>
      <w:r w:rsidRPr="00F567BF">
        <w:rPr>
          <w:rFonts w:ascii="Times New Roman" w:eastAsia="Times New Roman" w:hAnsi="Times New Roman"/>
          <w:sz w:val="22"/>
          <w:szCs w:val="22"/>
        </w:rPr>
        <w:t>18</w:t>
      </w:r>
      <w:r w:rsidR="004153C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</w:t>
      </w:r>
      <w:r w:rsidR="00B943B0" w:rsidRPr="00F567BF">
        <w:rPr>
          <w:rFonts w:ascii="Times New Roman" w:eastAsia="Times New Roman" w:hAnsi="Times New Roman"/>
          <w:sz w:val="22"/>
          <w:szCs w:val="22"/>
        </w:rPr>
        <w:t>)</w:t>
      </w:r>
      <w:r w:rsidR="00B53EAE">
        <w:rPr>
          <w:rFonts w:ascii="Times New Roman" w:eastAsia="Times New Roman" w:hAnsi="Times New Roman"/>
          <w:sz w:val="22"/>
          <w:szCs w:val="22"/>
        </w:rPr>
        <w:t xml:space="preserve"> beteget </w:t>
      </w:r>
      <w:r w:rsidR="00B943B0">
        <w:rPr>
          <w:rFonts w:ascii="Times New Roman" w:eastAsia="Times New Roman" w:hAnsi="Times New Roman"/>
          <w:sz w:val="22"/>
          <w:szCs w:val="22"/>
        </w:rPr>
        <w:t>kezeltek imatinibbel</w:t>
      </w:r>
      <w:r w:rsidR="002C4206">
        <w:rPr>
          <w:rFonts w:ascii="Times New Roman" w:eastAsia="Times New Roman" w:hAnsi="Times New Roman"/>
          <w:sz w:val="22"/>
          <w:szCs w:val="22"/>
        </w:rPr>
        <w:t>,</w:t>
      </w:r>
      <w:r w:rsidR="00B943B0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kemoterápiával </w:t>
      </w:r>
      <w:r w:rsidR="002031A0">
        <w:rPr>
          <w:rFonts w:ascii="Times New Roman" w:eastAsia="Times New Roman" w:hAnsi="Times New Roman"/>
          <w:sz w:val="22"/>
          <w:szCs w:val="22"/>
        </w:rPr>
        <w:t>kombiná</w:t>
      </w:r>
      <w:r w:rsidR="00B943B0">
        <w:rPr>
          <w:rFonts w:ascii="Times New Roman" w:eastAsia="Times New Roman" w:hAnsi="Times New Roman"/>
          <w:sz w:val="22"/>
          <w:szCs w:val="22"/>
        </w:rPr>
        <w:t>cióban</w:t>
      </w:r>
      <w:r w:rsidR="00BC1F49" w:rsidRPr="007650C2">
        <w:rPr>
          <w:rFonts w:ascii="Times New Roman" w:eastAsia="Times New Roman" w:hAnsi="Times New Roman"/>
          <w:sz w:val="22"/>
          <w:szCs w:val="22"/>
        </w:rPr>
        <w:t>. Úgy t</w:t>
      </w:r>
      <w:r w:rsidRPr="007650C2">
        <w:rPr>
          <w:rFonts w:ascii="Times New Roman" w:eastAsia="Times New Roman" w:hAnsi="Times New Roman"/>
          <w:sz w:val="22"/>
          <w:szCs w:val="22"/>
        </w:rPr>
        <w:t xml:space="preserve">űnik, hogy ennek a vizsgálatnak a biztonságossági adatai </w:t>
      </w:r>
      <w:r w:rsidR="00965BBB" w:rsidRPr="007650C2">
        <w:rPr>
          <w:rFonts w:ascii="Times New Roman" w:eastAsia="Times New Roman" w:hAnsi="Times New Roman"/>
          <w:sz w:val="22"/>
          <w:szCs w:val="22"/>
        </w:rPr>
        <w:t>összhangban vannak</w:t>
      </w:r>
      <w:r w:rsidR="00411FED" w:rsidRPr="007650C2">
        <w:rPr>
          <w:rFonts w:ascii="Times New Roman" w:eastAsia="Times New Roman" w:hAnsi="Times New Roman"/>
          <w:sz w:val="22"/>
          <w:szCs w:val="22"/>
        </w:rPr>
        <w:t xml:space="preserve"> </w:t>
      </w:r>
      <w:r w:rsidRPr="007650C2">
        <w:rPr>
          <w:rFonts w:ascii="Times New Roman" w:eastAsia="Times New Roman" w:hAnsi="Times New Roman"/>
          <w:sz w:val="22"/>
          <w:szCs w:val="22"/>
        </w:rPr>
        <w:t>a</w:t>
      </w:r>
      <w:r w:rsidR="00BC1F49" w:rsidRPr="007650C2">
        <w:rPr>
          <w:rFonts w:ascii="Times New Roman" w:eastAsia="Times New Roman" w:hAnsi="Times New Roman"/>
          <w:sz w:val="22"/>
          <w:szCs w:val="22"/>
        </w:rPr>
        <w:t xml:space="preserve"> Ph</w:t>
      </w:r>
      <w:r w:rsidR="00BD35B0" w:rsidRPr="007650C2">
        <w:rPr>
          <w:rFonts w:ascii="Times New Roman" w:eastAsia="Times New Roman" w:hAnsi="Times New Roman"/>
          <w:sz w:val="22"/>
          <w:szCs w:val="22"/>
        </w:rPr>
        <w:t>+ </w:t>
      </w:r>
      <w:r w:rsidR="00BC1F49" w:rsidRPr="007650C2">
        <w:rPr>
          <w:rFonts w:ascii="Times New Roman" w:eastAsia="Times New Roman" w:hAnsi="Times New Roman"/>
          <w:sz w:val="22"/>
          <w:szCs w:val="22"/>
        </w:rPr>
        <w:t>ALL</w:t>
      </w:r>
      <w:r w:rsidR="00411FED" w:rsidRPr="007650C2">
        <w:rPr>
          <w:rFonts w:ascii="Times New Roman" w:eastAsia="Times New Roman" w:hAnsi="Times New Roman"/>
          <w:sz w:val="22"/>
          <w:szCs w:val="22"/>
        </w:rPr>
        <w:t xml:space="preserve"> betegeknél tapasztalt</w:t>
      </w:r>
      <w:r w:rsidR="00BC1F49" w:rsidRPr="007650C2">
        <w:rPr>
          <w:rFonts w:ascii="Times New Roman" w:eastAsia="Times New Roman" w:hAnsi="Times New Roman"/>
          <w:sz w:val="22"/>
          <w:szCs w:val="22"/>
        </w:rPr>
        <w:t xml:space="preserve"> </w:t>
      </w:r>
      <w:r w:rsidRPr="007650C2">
        <w:rPr>
          <w:rFonts w:ascii="Times New Roman" w:eastAsia="Times New Roman" w:hAnsi="Times New Roman"/>
          <w:sz w:val="22"/>
          <w:szCs w:val="22"/>
        </w:rPr>
        <w:t>imatinib biztonságossági profil</w:t>
      </w:r>
      <w:r w:rsidR="00D453A2">
        <w:rPr>
          <w:rFonts w:ascii="Times New Roman" w:eastAsia="Times New Roman" w:hAnsi="Times New Roman"/>
          <w:sz w:val="22"/>
          <w:szCs w:val="22"/>
        </w:rPr>
        <w:t>jával</w:t>
      </w:r>
      <w:r w:rsidRPr="007650C2">
        <w:rPr>
          <w:rFonts w:ascii="Times New Roman" w:eastAsia="Times New Roman" w:hAnsi="Times New Roman"/>
          <w:sz w:val="22"/>
          <w:szCs w:val="22"/>
        </w:rPr>
        <w:t>.</w:t>
      </w:r>
    </w:p>
    <w:p w14:paraId="317E2F75" w14:textId="77777777" w:rsidR="002A793D" w:rsidRPr="00F567BF" w:rsidRDefault="002A793D">
      <w:pPr>
        <w:spacing w:line="264" w:lineRule="exact"/>
        <w:rPr>
          <w:rFonts w:ascii="Times New Roman" w:eastAsia="Times New Roman" w:hAnsi="Times New Roman"/>
          <w:sz w:val="22"/>
          <w:szCs w:val="22"/>
        </w:rPr>
      </w:pPr>
    </w:p>
    <w:p w14:paraId="5410CE3A" w14:textId="77777777" w:rsidR="00652029" w:rsidRDefault="002C4206" w:rsidP="00726B49">
      <w:pPr>
        <w:spacing w:line="230" w:lineRule="auto"/>
        <w:ind w:right="140"/>
        <w:rPr>
          <w:rFonts w:ascii="Times New Roman" w:eastAsia="Times New Roman" w:hAnsi="Times New Roman"/>
          <w:i/>
          <w:sz w:val="22"/>
          <w:szCs w:val="22"/>
        </w:rPr>
      </w:pPr>
      <w:r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Relabáló</w:t>
      </w:r>
      <w:r w:rsidR="002A793D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/refrakter Ph</w:t>
      </w:r>
      <w:r w:rsidR="00BD35B0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+ </w:t>
      </w:r>
      <w:r w:rsidR="002A793D" w:rsidRPr="00652029">
        <w:rPr>
          <w:rFonts w:ascii="Times New Roman" w:eastAsia="Times New Roman" w:hAnsi="Times New Roman"/>
          <w:i/>
          <w:sz w:val="22"/>
          <w:szCs w:val="22"/>
          <w:u w:val="single"/>
        </w:rPr>
        <w:t>ALL:</w:t>
      </w:r>
      <w:r w:rsidR="002A793D"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</w:p>
    <w:p w14:paraId="50EF6FDF" w14:textId="0E00D411" w:rsidR="002A793D" w:rsidRPr="00F567BF" w:rsidRDefault="002031A0" w:rsidP="00726B49">
      <w:pPr>
        <w:spacing w:line="230" w:lineRule="auto"/>
        <w:ind w:right="140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Az imatinibet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C4206">
        <w:rPr>
          <w:rFonts w:ascii="Times New Roman" w:eastAsia="Times New Roman" w:hAnsi="Times New Roman"/>
          <w:sz w:val="22"/>
          <w:szCs w:val="22"/>
        </w:rPr>
        <w:t>relabáló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/refrakter Ph</w:t>
      </w:r>
      <w:r w:rsidR="00BD35B0">
        <w:rPr>
          <w:rFonts w:ascii="Times New Roman" w:eastAsia="Times New Roman" w:hAnsi="Times New Roman"/>
          <w:sz w:val="22"/>
          <w:szCs w:val="22"/>
        </w:rPr>
        <w:t>+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ALL-</w:t>
      </w:r>
      <w:r>
        <w:rPr>
          <w:rFonts w:ascii="Times New Roman" w:eastAsia="Times New Roman" w:hAnsi="Times New Roman"/>
          <w:sz w:val="22"/>
          <w:szCs w:val="22"/>
        </w:rPr>
        <w:t>ben szenvedő</w:t>
      </w:r>
      <w:r w:rsidR="002A793D" w:rsidRPr="002031A0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betegek</w:t>
      </w:r>
      <w:r>
        <w:rPr>
          <w:rFonts w:ascii="Times New Roman" w:eastAsia="Times New Roman" w:hAnsi="Times New Roman"/>
          <w:sz w:val="22"/>
          <w:szCs w:val="22"/>
        </w:rPr>
        <w:t>nek önmagában adva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a terápiás válasz szempontjából értékelhető 411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betegből 53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</w:t>
      </w:r>
      <w:r w:rsidR="00124B29">
        <w:rPr>
          <w:rFonts w:ascii="Times New Roman" w:eastAsia="Times New Roman" w:hAnsi="Times New Roman"/>
          <w:sz w:val="22"/>
          <w:szCs w:val="22"/>
        </w:rPr>
        <w:t>nél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30%-os hematológiai válaszarányt (9% </w:t>
      </w:r>
      <w:r w:rsidR="00474C14">
        <w:rPr>
          <w:rFonts w:ascii="Times New Roman" w:eastAsia="Times New Roman" w:hAnsi="Times New Roman"/>
          <w:sz w:val="22"/>
          <w:szCs w:val="22"/>
        </w:rPr>
        <w:t>teljes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) és 23%-os nagyfokú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CD5916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etikai válaszarányt értek el. (Fontos megjegyezni, hogy a 411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betegből 353-at </w:t>
      </w:r>
      <w:r w:rsidR="00A56A71">
        <w:rPr>
          <w:rFonts w:ascii="Times New Roman" w:eastAsia="Times New Roman" w:hAnsi="Times New Roman"/>
          <w:sz w:val="22"/>
          <w:szCs w:val="22"/>
        </w:rPr>
        <w:t xml:space="preserve">engedélyezés előtti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gyógyszer</w:t>
      </w:r>
      <w:r w:rsidR="00D63A34">
        <w:rPr>
          <w:rFonts w:ascii="Times New Roman" w:eastAsia="Times New Roman" w:hAnsi="Times New Roman"/>
          <w:sz w:val="22"/>
          <w:szCs w:val="22"/>
        </w:rPr>
        <w:t>alkalmazás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keretében kezeltek, és esetükben nem gyűjtöttek adatokat a primer válaszról.) A progresszióig eltelt idő mediánértéke a teljes 411</w:t>
      </w:r>
      <w:r w:rsidR="00E434A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fős </w:t>
      </w:r>
      <w:r w:rsidR="002C4206">
        <w:rPr>
          <w:rFonts w:ascii="Times New Roman" w:eastAsia="Times New Roman" w:hAnsi="Times New Roman"/>
          <w:sz w:val="22"/>
          <w:szCs w:val="22"/>
        </w:rPr>
        <w:t>relabáló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/refrakter Ph</w:t>
      </w:r>
      <w:r w:rsidR="00BD35B0">
        <w:rPr>
          <w:rFonts w:ascii="Times New Roman" w:eastAsia="Times New Roman" w:hAnsi="Times New Roman"/>
          <w:sz w:val="22"/>
          <w:szCs w:val="22"/>
        </w:rPr>
        <w:t>+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ALL-es betegmintában 2,6</w:t>
      </w:r>
      <w:r w:rsidR="00C13A2E">
        <w:rPr>
          <w:rFonts w:ascii="Times New Roman" w:eastAsia="Times New Roman" w:hAnsi="Times New Roman"/>
          <w:sz w:val="22"/>
          <w:szCs w:val="22"/>
        </w:rPr>
        <w:noBreakHyphen/>
      </w:r>
      <w:r w:rsidR="002A793D" w:rsidRPr="00F567BF">
        <w:rPr>
          <w:rFonts w:ascii="Times New Roman" w:eastAsia="Times New Roman" w:hAnsi="Times New Roman"/>
          <w:sz w:val="22"/>
          <w:szCs w:val="22"/>
        </w:rPr>
        <w:t>3,1</w:t>
      </w:r>
      <w:r w:rsidR="00C13A2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hónap,</w:t>
      </w:r>
      <w:r w:rsidR="00EA7449">
        <w:rPr>
          <w:rFonts w:ascii="Times New Roman" w:eastAsia="Times New Roman" w:hAnsi="Times New Roman"/>
          <w:sz w:val="22"/>
          <w:szCs w:val="22"/>
        </w:rPr>
        <w:t xml:space="preserve"> míg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a teljes túlélés mediánértéke a 401</w:t>
      </w:r>
      <w:r w:rsidR="00EF14E0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értékelhető beteg esetében 4,9</w:t>
      </w:r>
      <w:r w:rsidR="00C13A2E">
        <w:rPr>
          <w:rFonts w:ascii="Times New Roman" w:eastAsia="Times New Roman" w:hAnsi="Times New Roman"/>
          <w:sz w:val="22"/>
          <w:szCs w:val="22"/>
        </w:rPr>
        <w:noBreakHyphen/>
      </w:r>
      <w:r w:rsidR="002A793D" w:rsidRPr="00F567BF">
        <w:rPr>
          <w:rFonts w:ascii="Times New Roman" w:eastAsia="Times New Roman" w:hAnsi="Times New Roman"/>
          <w:sz w:val="22"/>
          <w:szCs w:val="22"/>
        </w:rPr>
        <w:t>9</w:t>
      </w:r>
      <w:r w:rsidR="00C13A2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 volt. Hasonló eredményeket kaptak, amikor az adatok ismételt elemzésekor csak az 55</w:t>
      </w:r>
      <w:r w:rsidR="00C13A2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éves és idősebb betegek adatait vizsgálták.</w:t>
      </w:r>
    </w:p>
    <w:p w14:paraId="0CA3AC16" w14:textId="77777777" w:rsidR="002A793D" w:rsidRPr="00F567BF" w:rsidRDefault="002A793D">
      <w:pPr>
        <w:spacing w:line="200" w:lineRule="exact"/>
        <w:rPr>
          <w:rFonts w:ascii="Times New Roman" w:eastAsia="Times New Roman" w:hAnsi="Times New Roman"/>
        </w:rPr>
      </w:pPr>
    </w:p>
    <w:p w14:paraId="7E0D74F2" w14:textId="77777777" w:rsidR="002A793D" w:rsidRPr="00F567BF" w:rsidRDefault="002A793D" w:rsidP="0097242A">
      <w:pPr>
        <w:keepNext/>
        <w:spacing w:line="0" w:lineRule="atLeast"/>
        <w:rPr>
          <w:rFonts w:ascii="Times New Roman" w:eastAsia="Times New Roman" w:hAnsi="Times New Roman"/>
          <w:sz w:val="22"/>
          <w:szCs w:val="22"/>
          <w:u w:val="single"/>
        </w:rPr>
      </w:pPr>
      <w:bookmarkStart w:id="18" w:name="page60"/>
      <w:bookmarkEnd w:id="18"/>
      <w:r w:rsidRPr="00F567BF">
        <w:rPr>
          <w:rFonts w:ascii="Times New Roman" w:eastAsia="Times New Roman" w:hAnsi="Times New Roman"/>
          <w:sz w:val="22"/>
          <w:szCs w:val="22"/>
          <w:u w:val="single"/>
        </w:rPr>
        <w:t>Klinikai vizsgálatok MDS/MPD-ben</w:t>
      </w:r>
    </w:p>
    <w:p w14:paraId="478E00D4" w14:textId="77777777" w:rsidR="00652029" w:rsidRDefault="00652029" w:rsidP="00BE0D1A">
      <w:pPr>
        <w:spacing w:line="245" w:lineRule="auto"/>
        <w:rPr>
          <w:rFonts w:ascii="Times New Roman" w:eastAsia="Times New Roman" w:hAnsi="Times New Roman"/>
          <w:sz w:val="22"/>
          <w:szCs w:val="22"/>
        </w:rPr>
      </w:pPr>
    </w:p>
    <w:p w14:paraId="654C6784" w14:textId="140658F3" w:rsidR="00002D8F" w:rsidRDefault="002A793D" w:rsidP="00BE0D1A">
      <w:pPr>
        <w:spacing w:line="245" w:lineRule="auto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Ebben az indikációban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az imatinib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alkalmazásáról nagyon kevés tapasztalat áll rendelkezésre. Ezen tapasztalatok a hematológiai és a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CD5916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etikai válaszarányokon alapulnak. Nem végeztek </w:t>
      </w:r>
      <w:r w:rsidR="00D42E2C">
        <w:rPr>
          <w:rFonts w:ascii="Times New Roman" w:eastAsia="Times New Roman" w:hAnsi="Times New Roman"/>
          <w:sz w:val="22"/>
          <w:szCs w:val="22"/>
        </w:rPr>
        <w:t xml:space="preserve">a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klinikai előnyt vagy a túlélés javulását igazoló </w:t>
      </w:r>
      <w:r w:rsidR="00D42E2C">
        <w:rPr>
          <w:rFonts w:ascii="Times New Roman" w:eastAsia="Times New Roman" w:hAnsi="Times New Roman"/>
          <w:sz w:val="22"/>
          <w:szCs w:val="22"/>
        </w:rPr>
        <w:t xml:space="preserve">kontrollos </w:t>
      </w:r>
      <w:r w:rsidRPr="00F567BF">
        <w:rPr>
          <w:rFonts w:ascii="Times New Roman" w:eastAsia="Times New Roman" w:hAnsi="Times New Roman"/>
          <w:sz w:val="22"/>
          <w:szCs w:val="22"/>
        </w:rPr>
        <w:t>klinikai vizsgálatot. Egy nyílt</w:t>
      </w:r>
      <w:r w:rsidR="000F1821">
        <w:rPr>
          <w:rFonts w:ascii="Times New Roman" w:eastAsia="Times New Roman" w:hAnsi="Times New Roman"/>
          <w:sz w:val="22"/>
          <w:szCs w:val="22"/>
        </w:rPr>
        <w:t xml:space="preserve"> elrend</w:t>
      </w:r>
      <w:r w:rsidR="00C93ACD">
        <w:rPr>
          <w:rFonts w:ascii="Times New Roman" w:eastAsia="Times New Roman" w:hAnsi="Times New Roman"/>
          <w:sz w:val="22"/>
          <w:szCs w:val="22"/>
        </w:rPr>
        <w:t>e</w:t>
      </w:r>
      <w:r w:rsidR="000F1821">
        <w:rPr>
          <w:rFonts w:ascii="Times New Roman" w:eastAsia="Times New Roman" w:hAnsi="Times New Roman"/>
          <w:sz w:val="22"/>
          <w:szCs w:val="22"/>
        </w:rPr>
        <w:t>zésű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multicentrikus, </w:t>
      </w:r>
      <w:r w:rsidR="00312570">
        <w:rPr>
          <w:rFonts w:ascii="Times New Roman" w:eastAsia="Times New Roman" w:hAnsi="Times New Roman"/>
          <w:sz w:val="22"/>
          <w:szCs w:val="22"/>
        </w:rPr>
        <w:t>II.</w:t>
      </w:r>
      <w:r w:rsidR="00800EB7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312570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klinikai vizsgálatban (B2225</w:t>
      </w:r>
      <w:r w:rsidR="004F1DA6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vizsgálat) tanulmányozták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az imatinib </w:t>
      </w:r>
      <w:r w:rsidRPr="00F567BF">
        <w:rPr>
          <w:rFonts w:ascii="Times New Roman" w:eastAsia="Times New Roman" w:hAnsi="Times New Roman"/>
          <w:sz w:val="22"/>
          <w:szCs w:val="22"/>
        </w:rPr>
        <w:t>hatásait A</w:t>
      </w:r>
      <w:r w:rsidR="004F1DA6">
        <w:rPr>
          <w:rFonts w:ascii="Times New Roman" w:eastAsia="Times New Roman" w:hAnsi="Times New Roman"/>
          <w:sz w:val="22"/>
          <w:szCs w:val="22"/>
        </w:rPr>
        <w:t>BL</w:t>
      </w:r>
      <w:r w:rsidRPr="00F567BF">
        <w:rPr>
          <w:rFonts w:ascii="Times New Roman" w:eastAsia="Times New Roman" w:hAnsi="Times New Roman"/>
          <w:sz w:val="22"/>
          <w:szCs w:val="22"/>
        </w:rPr>
        <w:t>, Kit vagy PDGFR protein</w:t>
      </w:r>
      <w:r w:rsidR="0011501D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tirozin</w:t>
      </w:r>
      <w:r w:rsidR="004F1DA6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kináz</w:t>
      </w:r>
      <w:r w:rsidR="004F1DA6">
        <w:rPr>
          <w:rFonts w:ascii="Times New Roman" w:eastAsia="Times New Roman" w:hAnsi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/>
          <w:sz w:val="22"/>
          <w:szCs w:val="22"/>
        </w:rPr>
        <w:t>al kapcsolat</w:t>
      </w:r>
      <w:r w:rsidR="00002FFE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életet veszélyeztető betegségben </w:t>
      </w:r>
      <w:r w:rsidRPr="00F567BF">
        <w:rPr>
          <w:rFonts w:ascii="Times New Roman" w:eastAsia="Times New Roman" w:hAnsi="Times New Roman"/>
          <w:sz w:val="22"/>
          <w:szCs w:val="22"/>
        </w:rPr>
        <w:lastRenderedPageBreak/>
        <w:t>szenvedő egyénekből álló különböző betegcsoportokban. Ebbe a vizsgálatba 7</w:t>
      </w:r>
      <w:r w:rsidR="00E434A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MDS/MPD-ben szenvedő beteget vontak be, akik napi 400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mg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imatinibet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kaptak. </w:t>
      </w:r>
      <w:r w:rsidR="00D42E2C">
        <w:rPr>
          <w:rFonts w:ascii="Times New Roman" w:eastAsia="Times New Roman" w:hAnsi="Times New Roman"/>
          <w:sz w:val="22"/>
          <w:szCs w:val="22"/>
        </w:rPr>
        <w:t>Három</w:t>
      </w:r>
      <w:r w:rsidR="00650FE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betegnél </w:t>
      </w:r>
      <w:r w:rsidR="00650FEF">
        <w:rPr>
          <w:rFonts w:ascii="Times New Roman" w:eastAsia="Times New Roman" w:hAnsi="Times New Roman"/>
          <w:sz w:val="22"/>
          <w:szCs w:val="22"/>
        </w:rPr>
        <w:t>teljes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hematológiai válasz</w:t>
      </w:r>
      <w:r w:rsidR="00D42E2C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(CHR), egy betegnél részleges hematológiai válasz</w:t>
      </w:r>
      <w:r w:rsidR="00D42E2C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(PHR) </w:t>
      </w:r>
      <w:r w:rsidR="00D42E2C">
        <w:rPr>
          <w:rFonts w:ascii="Times New Roman" w:eastAsia="Times New Roman" w:hAnsi="Times New Roman"/>
          <w:sz w:val="22"/>
          <w:szCs w:val="22"/>
        </w:rPr>
        <w:t>értek el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Az eredeti analízis idején a </w:t>
      </w:r>
      <w:r w:rsidR="00BC7CE2">
        <w:rPr>
          <w:rFonts w:ascii="Times New Roman" w:eastAsia="Times New Roman" w:hAnsi="Times New Roman"/>
          <w:sz w:val="22"/>
          <w:szCs w:val="22"/>
        </w:rPr>
        <w:t xml:space="preserve">négy </w:t>
      </w:r>
      <w:r w:rsidRPr="00F567BF">
        <w:rPr>
          <w:rFonts w:ascii="Times New Roman" w:eastAsia="Times New Roman" w:hAnsi="Times New Roman"/>
          <w:sz w:val="22"/>
          <w:szCs w:val="22"/>
        </w:rPr>
        <w:t>PDGFR</w:t>
      </w:r>
      <w:r w:rsidR="00BC7CE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génátrendeződést mutató beteg közül </w:t>
      </w:r>
      <w:r w:rsidR="00715F7A">
        <w:rPr>
          <w:rFonts w:ascii="Times New Roman" w:eastAsia="Times New Roman" w:hAnsi="Times New Roman"/>
          <w:sz w:val="22"/>
          <w:szCs w:val="22"/>
        </w:rPr>
        <w:t>három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nál </w:t>
      </w:r>
      <w:r w:rsidR="00715F7A" w:rsidRPr="00F567BF">
        <w:rPr>
          <w:rFonts w:ascii="Times New Roman" w:eastAsia="Times New Roman" w:hAnsi="Times New Roman"/>
          <w:sz w:val="22"/>
          <w:szCs w:val="22"/>
        </w:rPr>
        <w:t>(2</w:t>
      </w:r>
      <w:r w:rsidR="00715F7A">
        <w:rPr>
          <w:rFonts w:ascii="Times New Roman" w:eastAsia="Times New Roman" w:hAnsi="Times New Roman"/>
          <w:sz w:val="22"/>
          <w:szCs w:val="22"/>
        </w:rPr>
        <w:t> </w:t>
      </w:r>
      <w:r w:rsidR="00715F7A" w:rsidRPr="00F567BF">
        <w:rPr>
          <w:rFonts w:ascii="Times New Roman" w:eastAsia="Times New Roman" w:hAnsi="Times New Roman"/>
          <w:sz w:val="22"/>
          <w:szCs w:val="22"/>
        </w:rPr>
        <w:t>CHR és 1</w:t>
      </w:r>
      <w:r w:rsidR="00715F7A">
        <w:rPr>
          <w:rFonts w:ascii="Times New Roman" w:eastAsia="Times New Roman" w:hAnsi="Times New Roman"/>
          <w:sz w:val="22"/>
          <w:szCs w:val="22"/>
        </w:rPr>
        <w:t> </w:t>
      </w:r>
      <w:r w:rsidR="00715F7A" w:rsidRPr="00F567BF">
        <w:rPr>
          <w:rFonts w:ascii="Times New Roman" w:eastAsia="Times New Roman" w:hAnsi="Times New Roman"/>
          <w:sz w:val="22"/>
          <w:szCs w:val="22"/>
        </w:rPr>
        <w:t>PHR)</w:t>
      </w:r>
      <w:r w:rsidR="00715F7A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jelentkezett hematológiai válasz. Ezen betegek életkora 20</w:t>
      </w:r>
      <w:r w:rsidR="001D4209">
        <w:rPr>
          <w:rFonts w:ascii="Times New Roman" w:eastAsia="Times New Roman" w:hAnsi="Times New Roman"/>
          <w:sz w:val="22"/>
          <w:szCs w:val="22"/>
        </w:rPr>
        <w:t xml:space="preserve"> és </w:t>
      </w:r>
      <w:r w:rsidRPr="00F567BF">
        <w:rPr>
          <w:rFonts w:ascii="Times New Roman" w:eastAsia="Times New Roman" w:hAnsi="Times New Roman"/>
          <w:sz w:val="22"/>
          <w:szCs w:val="22"/>
        </w:rPr>
        <w:t>72</w:t>
      </w:r>
      <w:r w:rsidR="000912A0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 között volt.</w:t>
      </w:r>
    </w:p>
    <w:p w14:paraId="3F2C19AE" w14:textId="77777777" w:rsidR="005F4F77" w:rsidRDefault="005F4F77" w:rsidP="00BE0D1A">
      <w:pPr>
        <w:spacing w:line="245" w:lineRule="auto"/>
        <w:rPr>
          <w:rFonts w:ascii="Times New Roman" w:eastAsia="Times New Roman" w:hAnsi="Times New Roman"/>
          <w:sz w:val="22"/>
          <w:szCs w:val="22"/>
        </w:rPr>
      </w:pPr>
    </w:p>
    <w:p w14:paraId="19E2032D" w14:textId="1BD4567A" w:rsidR="005F4F77" w:rsidRDefault="00F249D1" w:rsidP="005F4F77">
      <w:pPr>
        <w:pStyle w:val="Szvegtrzs"/>
        <w:ind w:right="-8"/>
      </w:pPr>
      <w:r>
        <w:t xml:space="preserve">Létrehoztak </w:t>
      </w:r>
      <w:r w:rsidRPr="00F249D1">
        <w:t>egy obszervációs regisztert (L2401</w:t>
      </w:r>
      <w:r w:rsidR="00EF14E0">
        <w:t xml:space="preserve"> </w:t>
      </w:r>
      <w:r w:rsidRPr="00F249D1">
        <w:t>vizsgálat)</w:t>
      </w:r>
      <w:r w:rsidR="005F4F77">
        <w:t>, hogy hosszú távú biztonságossági és hatásossági adatokat gyűjtsenek a PDGFR-béta</w:t>
      </w:r>
      <w:r w:rsidR="005F4F77">
        <w:rPr>
          <w:spacing w:val="1"/>
        </w:rPr>
        <w:t xml:space="preserve"> </w:t>
      </w:r>
      <w:r w:rsidR="005F4F77">
        <w:t>génátrendeződéssel</w:t>
      </w:r>
      <w:r w:rsidR="005F4F77">
        <w:rPr>
          <w:spacing w:val="-5"/>
        </w:rPr>
        <w:t xml:space="preserve"> </w:t>
      </w:r>
      <w:r w:rsidR="005F4F77">
        <w:t>társuló</w:t>
      </w:r>
      <w:r w:rsidR="005F4F77">
        <w:rPr>
          <w:spacing w:val="-5"/>
        </w:rPr>
        <w:t xml:space="preserve"> </w:t>
      </w:r>
      <w:r w:rsidR="005F4F77">
        <w:t>myeloproliferativ</w:t>
      </w:r>
      <w:r w:rsidR="005F4F77">
        <w:rPr>
          <w:spacing w:val="-5"/>
        </w:rPr>
        <w:t xml:space="preserve"> </w:t>
      </w:r>
      <w:r w:rsidR="005F4F77">
        <w:t>daganatban</w:t>
      </w:r>
      <w:r w:rsidR="005F4F77">
        <w:rPr>
          <w:spacing w:val="-3"/>
        </w:rPr>
        <w:t xml:space="preserve"> </w:t>
      </w:r>
      <w:r w:rsidR="005F4F77">
        <w:t>szenvedő</w:t>
      </w:r>
      <w:r w:rsidR="005F4F77">
        <w:rPr>
          <w:spacing w:val="-2"/>
        </w:rPr>
        <w:t xml:space="preserve"> </w:t>
      </w:r>
      <w:r w:rsidR="005F4F77">
        <w:t>olyan</w:t>
      </w:r>
      <w:r w:rsidR="005F4F77">
        <w:rPr>
          <w:spacing w:val="-3"/>
        </w:rPr>
        <w:t xml:space="preserve"> </w:t>
      </w:r>
      <w:r w:rsidR="005F4F77">
        <w:t>betegek</w:t>
      </w:r>
      <w:r w:rsidR="00F222FD">
        <w:t>r</w:t>
      </w:r>
      <w:r w:rsidR="005F4F77">
        <w:t>ől,</w:t>
      </w:r>
      <w:r w:rsidR="005F4F77">
        <w:rPr>
          <w:spacing w:val="-2"/>
        </w:rPr>
        <w:t xml:space="preserve"> </w:t>
      </w:r>
      <w:r w:rsidR="005F4F77">
        <w:t>akiket imatinibbel kezeltek. Az ebbe a regiszterbe bevont</w:t>
      </w:r>
      <w:r w:rsidR="005F4F77">
        <w:rPr>
          <w:spacing w:val="-1"/>
        </w:rPr>
        <w:t xml:space="preserve"> </w:t>
      </w:r>
      <w:r w:rsidR="005F4F77">
        <w:t>23</w:t>
      </w:r>
      <w:r w:rsidR="005F4F77">
        <w:rPr>
          <w:spacing w:val="-1"/>
        </w:rPr>
        <w:t> </w:t>
      </w:r>
      <w:r w:rsidR="005F4F77">
        <w:t>beteg</w:t>
      </w:r>
      <w:r w:rsidR="005F4F77">
        <w:rPr>
          <w:spacing w:val="-3"/>
        </w:rPr>
        <w:t xml:space="preserve"> </w:t>
      </w:r>
      <w:r w:rsidR="005F4F77">
        <w:t>264 mg-os</w:t>
      </w:r>
      <w:r w:rsidR="005F4F77">
        <w:rPr>
          <w:spacing w:val="1"/>
        </w:rPr>
        <w:t xml:space="preserve"> </w:t>
      </w:r>
      <w:r w:rsidR="005F4F77">
        <w:t>medián</w:t>
      </w:r>
      <w:r w:rsidR="005F4F77">
        <w:rPr>
          <w:spacing w:val="-1"/>
        </w:rPr>
        <w:t xml:space="preserve"> </w:t>
      </w:r>
      <w:r w:rsidR="005F4F77">
        <w:t>napi</w:t>
      </w:r>
      <w:r w:rsidR="005F4F77">
        <w:rPr>
          <w:spacing w:val="-3"/>
        </w:rPr>
        <w:t xml:space="preserve"> </w:t>
      </w:r>
      <w:r w:rsidR="005F4F77">
        <w:t>dózisban</w:t>
      </w:r>
      <w:r w:rsidR="005F4F77">
        <w:rPr>
          <w:spacing w:val="-1"/>
        </w:rPr>
        <w:t xml:space="preserve"> </w:t>
      </w:r>
      <w:r w:rsidR="005F4F77">
        <w:t>kapott</w:t>
      </w:r>
      <w:r w:rsidR="005F4F77">
        <w:rPr>
          <w:spacing w:val="-1"/>
        </w:rPr>
        <w:t xml:space="preserve"> </w:t>
      </w:r>
      <w:r w:rsidR="005F4F77">
        <w:t>imatinibet (szélsőértékek: 100</w:t>
      </w:r>
      <w:r w:rsidR="005F4F77">
        <w:noBreakHyphen/>
        <w:t>400 mg), 7,2 éves medián időtartamban (szélsőértékek: 0,1</w:t>
      </w:r>
      <w:r w:rsidR="005F4F77">
        <w:noBreakHyphen/>
        <w:t>12,7 év). A regiszter obszervációs jellegéből</w:t>
      </w:r>
      <w:r w:rsidR="005F4F77">
        <w:rPr>
          <w:spacing w:val="1"/>
        </w:rPr>
        <w:t xml:space="preserve"> </w:t>
      </w:r>
      <w:r w:rsidR="005F4F77">
        <w:t>adódóan a 23 bevont betegből a hematológiai vizsgálati adatok 22 betegnél, a citogenetikai vizsgálati</w:t>
      </w:r>
      <w:r w:rsidR="00EF14E0">
        <w:t xml:space="preserve"> </w:t>
      </w:r>
      <w:r w:rsidR="005F4F77">
        <w:rPr>
          <w:spacing w:val="-52"/>
        </w:rPr>
        <w:t xml:space="preserve"> </w:t>
      </w:r>
      <w:r w:rsidR="005F4F77">
        <w:t>eredmények</w:t>
      </w:r>
      <w:r w:rsidR="005F4F77">
        <w:rPr>
          <w:spacing w:val="-3"/>
        </w:rPr>
        <w:t xml:space="preserve"> </w:t>
      </w:r>
      <w:r w:rsidR="005F4F77">
        <w:t>9 betegnél, a</w:t>
      </w:r>
      <w:r w:rsidR="005F4F77">
        <w:rPr>
          <w:spacing w:val="-2"/>
        </w:rPr>
        <w:t xml:space="preserve"> </w:t>
      </w:r>
      <w:r w:rsidR="005F4F77">
        <w:t>molekuláris</w:t>
      </w:r>
      <w:r w:rsidR="005F4F77">
        <w:rPr>
          <w:spacing w:val="-1"/>
        </w:rPr>
        <w:t xml:space="preserve"> </w:t>
      </w:r>
      <w:r w:rsidR="005F4F77">
        <w:t>vizsgálati</w:t>
      </w:r>
      <w:r w:rsidR="005F4F77">
        <w:rPr>
          <w:spacing w:val="1"/>
        </w:rPr>
        <w:t xml:space="preserve"> </w:t>
      </w:r>
      <w:r w:rsidR="005F4F77">
        <w:t>adatok</w:t>
      </w:r>
      <w:r w:rsidR="005F4F77">
        <w:rPr>
          <w:spacing w:val="-3"/>
        </w:rPr>
        <w:t xml:space="preserve"> </w:t>
      </w:r>
      <w:r w:rsidR="005F4F77">
        <w:t>17</w:t>
      </w:r>
      <w:r w:rsidR="005F4F77">
        <w:rPr>
          <w:spacing w:val="1"/>
        </w:rPr>
        <w:t> </w:t>
      </w:r>
      <w:r w:rsidR="005F4F77">
        <w:t>betegnél</w:t>
      </w:r>
      <w:r w:rsidR="005F4F77">
        <w:rPr>
          <w:spacing w:val="-1"/>
        </w:rPr>
        <w:t xml:space="preserve"> </w:t>
      </w:r>
      <w:r w:rsidR="005F4F77">
        <w:t>álltak</w:t>
      </w:r>
      <w:r w:rsidR="005F4F77">
        <w:rPr>
          <w:spacing w:val="-2"/>
        </w:rPr>
        <w:t xml:space="preserve"> </w:t>
      </w:r>
      <w:r w:rsidR="005F4F77">
        <w:t>rendelkezésre.</w:t>
      </w:r>
    </w:p>
    <w:p w14:paraId="0EA09C75" w14:textId="24CABCA9" w:rsidR="005F4F77" w:rsidRDefault="005F4F77" w:rsidP="005F4F77">
      <w:pPr>
        <w:pStyle w:val="Szvegtrzs"/>
        <w:ind w:right="-8"/>
      </w:pPr>
      <w:r>
        <w:t>Konzervatívan feltételezve, hogy azok a betegek, akiknél az adatok hiányoztak, nonreszponderek</w:t>
      </w:r>
      <w:r>
        <w:rPr>
          <w:spacing w:val="1"/>
        </w:rPr>
        <w:t xml:space="preserve"> </w:t>
      </w:r>
      <w:r>
        <w:t xml:space="preserve">voltak, </w:t>
      </w:r>
      <w:r w:rsidR="001A4B86">
        <w:t>teljes</w:t>
      </w:r>
      <w:r>
        <w:t xml:space="preserve"> hematológiai választ 20/23 (87%) betegnél, </w:t>
      </w:r>
      <w:r w:rsidR="00C576D4">
        <w:t>teljes</w:t>
      </w:r>
      <w:r>
        <w:t xml:space="preserve"> c</w:t>
      </w:r>
      <w:r w:rsidR="00AD6988">
        <w:t>i</w:t>
      </w:r>
      <w:r>
        <w:t>togenetikai választ 9/23</w:t>
      </w:r>
      <w:r>
        <w:rPr>
          <w:spacing w:val="1"/>
        </w:rPr>
        <w:t xml:space="preserve"> </w:t>
      </w:r>
      <w:r>
        <w:t xml:space="preserve">(39,1%) betegnél, és molekuláris választ 11/23 (47,8%) betegnél figyeltek meg. Amikor a </w:t>
      </w:r>
      <w:r w:rsidRPr="001D4AC3">
        <w:t>válaszadási arányt</w:t>
      </w:r>
      <w:r>
        <w:t xml:space="preserve"> </w:t>
      </w:r>
      <w:r>
        <w:rPr>
          <w:spacing w:val="-52"/>
        </w:rPr>
        <w:t xml:space="preserve">  </w:t>
      </w:r>
      <w:r>
        <w:t>olyan betegeknél számították, akiknél legalább egy valós vizsgálati adat volt, a CHR, CCyR és</w:t>
      </w:r>
      <w:r>
        <w:rPr>
          <w:spacing w:val="-52"/>
        </w:rPr>
        <w:t xml:space="preserve">      </w:t>
      </w:r>
      <w:r>
        <w:t xml:space="preserve"> MR</w:t>
      </w:r>
      <w:r>
        <w:rPr>
          <w:spacing w:val="-1"/>
        </w:rPr>
        <w:t xml:space="preserve"> </w:t>
      </w:r>
      <w:r>
        <w:t>válaszadási</w:t>
      </w:r>
      <w:r>
        <w:rPr>
          <w:spacing w:val="1"/>
        </w:rPr>
        <w:t xml:space="preserve"> </w:t>
      </w:r>
      <w:r>
        <w:t>arány</w:t>
      </w:r>
      <w:r>
        <w:rPr>
          <w:spacing w:val="-2"/>
        </w:rPr>
        <w:t xml:space="preserve"> </w:t>
      </w:r>
      <w:r>
        <w:t>sorrendben</w:t>
      </w:r>
      <w:r>
        <w:rPr>
          <w:spacing w:val="1"/>
        </w:rPr>
        <w:t xml:space="preserve"> </w:t>
      </w:r>
      <w:r>
        <w:t>20/22</w:t>
      </w:r>
      <w:r>
        <w:rPr>
          <w:spacing w:val="-3"/>
        </w:rPr>
        <w:t xml:space="preserve"> </w:t>
      </w:r>
      <w:r>
        <w:t>(90,9%), 9/9</w:t>
      </w:r>
      <w:r>
        <w:rPr>
          <w:spacing w:val="-3"/>
        </w:rPr>
        <w:t xml:space="preserve"> </w:t>
      </w:r>
      <w:r>
        <w:t>(100%)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11/17 (64,7%) volt.</w:t>
      </w:r>
    </w:p>
    <w:p w14:paraId="429EF671" w14:textId="77777777" w:rsidR="005F4F77" w:rsidRDefault="005F4F77" w:rsidP="005F4F77">
      <w:pPr>
        <w:pStyle w:val="Szvegtrzs"/>
        <w:ind w:right="-8"/>
      </w:pPr>
    </w:p>
    <w:p w14:paraId="676120E5" w14:textId="6CD549A8" w:rsidR="002A793D" w:rsidRPr="00F567BF" w:rsidRDefault="00906539" w:rsidP="00EF72D5">
      <w:pPr>
        <w:spacing w:line="245" w:lineRule="auto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Tizenhárom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publiká</w:t>
      </w:r>
      <w:r w:rsidR="008823DC">
        <w:rPr>
          <w:rFonts w:ascii="Times New Roman" w:eastAsia="Times New Roman" w:hAnsi="Times New Roman"/>
          <w:sz w:val="22"/>
          <w:szCs w:val="22"/>
        </w:rPr>
        <w:t>ció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további 24</w:t>
      </w:r>
      <w:r w:rsidR="00EF14E0">
        <w:rPr>
          <w:rFonts w:ascii="Times New Roman" w:eastAsia="Times New Roman" w:hAnsi="Times New Roman"/>
          <w:sz w:val="22"/>
          <w:szCs w:val="22"/>
        </w:rPr>
        <w:t>,</w:t>
      </w:r>
      <w:r w:rsidR="00E434A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MDS/MPD-s betegről számolt be. </w:t>
      </w:r>
      <w:r>
        <w:rPr>
          <w:rFonts w:ascii="Times New Roman" w:eastAsia="Times New Roman" w:hAnsi="Times New Roman"/>
          <w:sz w:val="22"/>
          <w:szCs w:val="22"/>
        </w:rPr>
        <w:t xml:space="preserve">Huszonegy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beteget kezeltek napi 400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imatinibbel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míg a másik 3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beteg kisebb </w:t>
      </w:r>
      <w:r w:rsidR="005F4F77">
        <w:rPr>
          <w:rFonts w:ascii="Times New Roman" w:eastAsia="Times New Roman" w:hAnsi="Times New Roman"/>
          <w:sz w:val="22"/>
          <w:szCs w:val="22"/>
        </w:rPr>
        <w:t>dózis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t kapott. </w:t>
      </w:r>
      <w:r>
        <w:rPr>
          <w:rFonts w:ascii="Times New Roman" w:eastAsia="Times New Roman" w:hAnsi="Times New Roman"/>
          <w:sz w:val="22"/>
          <w:szCs w:val="22"/>
        </w:rPr>
        <w:t xml:space="preserve">Tizenegy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</w:t>
      </w:r>
      <w:r w:rsidR="00EF14E0">
        <w:rPr>
          <w:rFonts w:ascii="Times New Roman" w:eastAsia="Times New Roman" w:hAnsi="Times New Roman"/>
          <w:sz w:val="22"/>
          <w:szCs w:val="22"/>
        </w:rPr>
        <w:t>nél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mutattak ki PDGFR</w:t>
      </w:r>
      <w:r w:rsidR="008823DC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génátrendeződést, akik közül 9-nél jelentkezett CHR és egynél PHR. Ezen betegek életkora 2</w:t>
      </w:r>
      <w:r w:rsidR="00EF14E0">
        <w:rPr>
          <w:rFonts w:ascii="Times New Roman" w:eastAsia="Times New Roman" w:hAnsi="Times New Roman"/>
          <w:sz w:val="22"/>
          <w:szCs w:val="22"/>
        </w:rPr>
        <w:t> </w:t>
      </w:r>
      <w:r w:rsidR="00B1793F">
        <w:rPr>
          <w:rFonts w:ascii="Times New Roman" w:eastAsia="Times New Roman" w:hAnsi="Times New Roman"/>
          <w:sz w:val="22"/>
          <w:szCs w:val="22"/>
        </w:rPr>
        <w:t xml:space="preserve">és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79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év között volt. Egy </w:t>
      </w:r>
      <w:r w:rsidR="00B1793F">
        <w:rPr>
          <w:rFonts w:ascii="Times New Roman" w:eastAsia="Times New Roman" w:hAnsi="Times New Roman"/>
          <w:sz w:val="22"/>
          <w:szCs w:val="22"/>
        </w:rPr>
        <w:t xml:space="preserve">nemrégiben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megjelent p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ublikáció szerint, mely ebből a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11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betegből 6-ról naprakész információkat közöl</w:t>
      </w:r>
      <w:r w:rsidR="00EF14E0">
        <w:rPr>
          <w:rFonts w:ascii="Times New Roman" w:eastAsia="Times New Roman" w:hAnsi="Times New Roman"/>
          <w:sz w:val="22"/>
          <w:szCs w:val="22"/>
        </w:rPr>
        <w:t>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, ezen betegek mindegyike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AD6988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etikai remisszióban maradt (32</w:t>
      </w:r>
      <w:r w:rsidR="00EF14E0">
        <w:rPr>
          <w:rFonts w:ascii="Times New Roman" w:eastAsia="Times New Roman" w:hAnsi="Times New Roman"/>
          <w:sz w:val="22"/>
          <w:szCs w:val="22"/>
        </w:rPr>
        <w:t>–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38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hónap). Ugyanez a publikáció hosszú távú követési adatokat közöl</w:t>
      </w:r>
      <w:r w:rsidR="00EF14E0">
        <w:rPr>
          <w:rFonts w:ascii="Times New Roman" w:eastAsia="Times New Roman" w:hAnsi="Times New Roman"/>
          <w:sz w:val="22"/>
          <w:szCs w:val="22"/>
        </w:rPr>
        <w:t>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12</w:t>
      </w:r>
      <w:r w:rsidR="00EF14E0">
        <w:rPr>
          <w:rFonts w:ascii="Times New Roman" w:eastAsia="Times New Roman" w:hAnsi="Times New Roman"/>
          <w:sz w:val="22"/>
          <w:szCs w:val="22"/>
        </w:rPr>
        <w:t>,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PDGFR</w:t>
      </w:r>
      <w:r w:rsidR="00EB0A86">
        <w:rPr>
          <w:rFonts w:ascii="Times New Roman" w:eastAsia="Times New Roman" w:hAnsi="Times New Roman"/>
          <w:sz w:val="22"/>
          <w:szCs w:val="22"/>
        </w:rPr>
        <w:t>-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génátrendeződéssel társuló MDS/MPD-ben szenved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ő betegről (</w:t>
      </w:r>
      <w:r w:rsidR="00EF14E0">
        <w:rPr>
          <w:rFonts w:ascii="Times New Roman" w:eastAsia="Times New Roman" w:hAnsi="Times New Roman"/>
          <w:sz w:val="22"/>
          <w:szCs w:val="22"/>
        </w:rPr>
        <w:t xml:space="preserve">ebből 5 beteg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a B2225</w:t>
      </w:r>
      <w:r w:rsidR="00EF14E0">
        <w:rPr>
          <w:rFonts w:ascii="Times New Roman" w:eastAsia="Times New Roman" w:hAnsi="Times New Roman"/>
          <w:sz w:val="22"/>
          <w:szCs w:val="22"/>
        </w:rPr>
        <w:t xml:space="preserve">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vizsgálat</w:t>
      </w:r>
      <w:r w:rsidR="00EF14E0">
        <w:rPr>
          <w:rFonts w:ascii="Times New Roman" w:eastAsia="Times New Roman" w:hAnsi="Times New Roman"/>
          <w:sz w:val="22"/>
          <w:szCs w:val="22"/>
        </w:rPr>
        <w:t xml:space="preserve"> résztvevője volt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). Ezek a betegek átlagosan 47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hónapon keresztül (24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nap</w:t>
      </w:r>
      <w:r w:rsidR="00EF72D5">
        <w:rPr>
          <w:rFonts w:ascii="Times New Roman" w:eastAsia="Times New Roman" w:hAnsi="Times New Roman"/>
          <w:sz w:val="22"/>
          <w:szCs w:val="22"/>
        </w:rPr>
        <w:t> </w:t>
      </w:r>
      <w:r w:rsidR="001C5896">
        <w:rPr>
          <w:rFonts w:ascii="Times New Roman" w:eastAsia="Times New Roman" w:hAnsi="Times New Roman"/>
          <w:sz w:val="22"/>
          <w:szCs w:val="22"/>
        </w:rPr>
        <w:t>–</w:t>
      </w:r>
      <w:r w:rsidR="00EF72D5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60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hónap) kaptak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>imatinibet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. </w:t>
      </w:r>
      <w:r w:rsidR="00726429">
        <w:rPr>
          <w:rFonts w:ascii="Times New Roman" w:eastAsia="Times New Roman" w:hAnsi="Times New Roman"/>
          <w:sz w:val="22"/>
          <w:szCs w:val="22"/>
        </w:rPr>
        <w:t>K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özül</w:t>
      </w:r>
      <w:r w:rsidR="00726429">
        <w:rPr>
          <w:rFonts w:ascii="Times New Roman" w:eastAsia="Times New Roman" w:hAnsi="Times New Roman"/>
          <w:sz w:val="22"/>
          <w:szCs w:val="22"/>
        </w:rPr>
        <w:t>ük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6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 esetében a követési idő jelenleg meghaladja a 4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évet. </w:t>
      </w:r>
      <w:r>
        <w:rPr>
          <w:rFonts w:ascii="Times New Roman" w:eastAsia="Times New Roman" w:hAnsi="Times New Roman"/>
          <w:sz w:val="22"/>
          <w:szCs w:val="22"/>
        </w:rPr>
        <w:t xml:space="preserve">Tizenegy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beteg esetében jelentkezett gyorsan kialakuló CHR, 10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beteg esetében szűntek meg teljesen a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AD6988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etikai rendellenességek</w:t>
      </w:r>
      <w:r w:rsidR="00726429">
        <w:rPr>
          <w:rFonts w:ascii="Times New Roman" w:eastAsia="Times New Roman" w:hAnsi="Times New Roman"/>
          <w:sz w:val="22"/>
          <w:szCs w:val="22"/>
        </w:rPr>
        <w:t>,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és csökkent vagy nem volt kimutatható a RT-PCR-rel mért fúziós transzkripció. A hematológiai válasz átlagosan 49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hónapig (19</w:t>
      </w:r>
      <w:r w:rsidR="00EF72D5">
        <w:rPr>
          <w:rFonts w:ascii="Times New Roman" w:eastAsia="Times New Roman" w:hAnsi="Times New Roman"/>
          <w:sz w:val="22"/>
          <w:szCs w:val="22"/>
        </w:rPr>
        <w:t>–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60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hónap), a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AD6988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etikai válasz átlagosan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47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hónapig (16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59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hónap) maradt fent. A teljes túlélés a diagnózis időpontjától számít</w:t>
      </w:r>
      <w:r w:rsidR="00EF72D5">
        <w:rPr>
          <w:rFonts w:ascii="Times New Roman" w:eastAsia="Times New Roman" w:hAnsi="Times New Roman"/>
          <w:sz w:val="22"/>
          <w:szCs w:val="22"/>
        </w:rPr>
        <w:t>ott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65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hónap (25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234</w:t>
      </w:r>
      <w:r w:rsidR="00F76824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hónap). </w:t>
      </w:r>
      <w:r w:rsidR="00BE0D1A" w:rsidRPr="00F567BF">
        <w:rPr>
          <w:rFonts w:ascii="Times New Roman" w:eastAsia="Times New Roman" w:hAnsi="Times New Roman"/>
          <w:sz w:val="22"/>
          <w:szCs w:val="22"/>
        </w:rPr>
        <w:t xml:space="preserve">Az imatinib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alkalmazása a genetikai transzlokációt nem mutató betegek esetében rendszerint nem eredményez javulást.</w:t>
      </w:r>
    </w:p>
    <w:p w14:paraId="1437D4D9" w14:textId="77777777" w:rsidR="002A793D" w:rsidRPr="00F567BF" w:rsidRDefault="002A793D">
      <w:pPr>
        <w:spacing w:line="261" w:lineRule="exact"/>
        <w:rPr>
          <w:rFonts w:ascii="Times New Roman" w:eastAsia="Times New Roman" w:hAnsi="Times New Roman"/>
          <w:sz w:val="22"/>
          <w:szCs w:val="22"/>
        </w:rPr>
      </w:pPr>
    </w:p>
    <w:p w14:paraId="3CED52A3" w14:textId="5B16F4E1" w:rsidR="002A793D" w:rsidRPr="00F567BF" w:rsidRDefault="002A793D" w:rsidP="00EF72D5">
      <w:pPr>
        <w:spacing w:line="232" w:lineRule="auto"/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MDS/MPD-ben szenvedő </w:t>
      </w:r>
      <w:r w:rsidR="003954CA">
        <w:rPr>
          <w:rFonts w:ascii="Times New Roman" w:eastAsia="Times New Roman" w:hAnsi="Times New Roman"/>
          <w:sz w:val="22"/>
          <w:szCs w:val="22"/>
        </w:rPr>
        <w:t>gyermek, illetve serdülő betegekel</w:t>
      </w:r>
      <w:r w:rsidR="003954C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nincsenek kontroll</w:t>
      </w:r>
      <w:r w:rsidR="00D74B5A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vizsgálatok. Négy publikációban </w:t>
      </w:r>
      <w:r w:rsidR="00D4348D">
        <w:rPr>
          <w:rFonts w:ascii="Times New Roman" w:eastAsia="Times New Roman" w:hAnsi="Times New Roman"/>
          <w:sz w:val="22"/>
          <w:szCs w:val="22"/>
        </w:rPr>
        <w:t>öt</w:t>
      </w:r>
      <w:r w:rsidRPr="00F567BF">
        <w:rPr>
          <w:rFonts w:ascii="Times New Roman" w:eastAsia="Times New Roman" w:hAnsi="Times New Roman"/>
          <w:sz w:val="22"/>
          <w:szCs w:val="22"/>
        </w:rPr>
        <w:t>, PDGFR-rel társult, MDS/MPD-ben szenvedő betegnél génátrendeződésről számoltak be. Ezen betegek életkora 3</w:t>
      </w:r>
      <w:r w:rsidR="00D74B5A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hónap és 4</w:t>
      </w:r>
      <w:r w:rsidR="00D74B5A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 közé esett, és az imatinibet napi 50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mg-os dózisban vagy napi 92,5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340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dózisban kapták. Minden beteg </w:t>
      </w:r>
      <w:r w:rsidR="0012179F">
        <w:rPr>
          <w:rFonts w:ascii="Times New Roman" w:eastAsia="Times New Roman" w:hAnsi="Times New Roman"/>
          <w:sz w:val="22"/>
          <w:szCs w:val="22"/>
        </w:rPr>
        <w:t>teljes</w:t>
      </w:r>
      <w:r w:rsidR="003954CA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hematológiai választ, </w:t>
      </w:r>
      <w:r w:rsidR="00703FFA">
        <w:rPr>
          <w:rFonts w:ascii="Times New Roman" w:eastAsia="Times New Roman" w:hAnsi="Times New Roman"/>
          <w:sz w:val="22"/>
          <w:szCs w:val="22"/>
        </w:rPr>
        <w:t>c</w:t>
      </w:r>
      <w:r w:rsidR="00AD6988">
        <w:rPr>
          <w:rFonts w:ascii="Times New Roman" w:eastAsia="Times New Roman" w:hAnsi="Times New Roman"/>
          <w:sz w:val="22"/>
          <w:szCs w:val="22"/>
        </w:rPr>
        <w:t>i</w:t>
      </w:r>
      <w:r w:rsidR="00703FFA">
        <w:rPr>
          <w:rFonts w:ascii="Times New Roman" w:eastAsia="Times New Roman" w:hAnsi="Times New Roman"/>
          <w:sz w:val="22"/>
          <w:szCs w:val="22"/>
        </w:rPr>
        <w:t>togen</w:t>
      </w:r>
      <w:r w:rsidRPr="00F567BF">
        <w:rPr>
          <w:rFonts w:ascii="Times New Roman" w:eastAsia="Times New Roman" w:hAnsi="Times New Roman"/>
          <w:sz w:val="22"/>
          <w:szCs w:val="22"/>
        </w:rPr>
        <w:t>etikai választ és/vagy klinikai választ ért el.</w:t>
      </w:r>
    </w:p>
    <w:p w14:paraId="77880DD4" w14:textId="77777777" w:rsidR="002A793D" w:rsidRPr="00F567BF" w:rsidRDefault="002A793D">
      <w:pPr>
        <w:spacing w:line="253" w:lineRule="exact"/>
        <w:rPr>
          <w:rFonts w:ascii="Times New Roman" w:eastAsia="Times New Roman" w:hAnsi="Times New Roman"/>
          <w:sz w:val="22"/>
          <w:szCs w:val="22"/>
        </w:rPr>
      </w:pPr>
    </w:p>
    <w:p w14:paraId="39877D52" w14:textId="77777777" w:rsidR="002A793D" w:rsidRPr="00F567BF" w:rsidRDefault="002A793D" w:rsidP="00E14354">
      <w:pPr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Klinikai vizsgálatok HES/CEL-ben</w:t>
      </w:r>
    </w:p>
    <w:p w14:paraId="6CFBE588" w14:textId="77777777" w:rsidR="00652029" w:rsidRDefault="00652029" w:rsidP="008F7B2B">
      <w:pPr>
        <w:ind w:right="-8"/>
        <w:rPr>
          <w:rFonts w:ascii="Times New Roman" w:eastAsia="Times New Roman" w:hAnsi="Times New Roman"/>
          <w:sz w:val="22"/>
          <w:szCs w:val="22"/>
        </w:rPr>
      </w:pPr>
    </w:p>
    <w:p w14:paraId="1DDF7DA5" w14:textId="73A50008" w:rsidR="002A793D" w:rsidRPr="00F567BF" w:rsidRDefault="002A793D" w:rsidP="00EF72D5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Egy nyílt</w:t>
      </w:r>
      <w:r w:rsidR="002B503B">
        <w:rPr>
          <w:rFonts w:ascii="Times New Roman" w:eastAsia="Times New Roman" w:hAnsi="Times New Roman"/>
          <w:sz w:val="22"/>
          <w:szCs w:val="22"/>
        </w:rPr>
        <w:t xml:space="preserve"> elrendezésű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, multicentrikus, </w:t>
      </w:r>
      <w:r w:rsidR="00312570">
        <w:rPr>
          <w:rFonts w:ascii="Times New Roman" w:eastAsia="Times New Roman" w:hAnsi="Times New Roman"/>
          <w:sz w:val="22"/>
          <w:szCs w:val="22"/>
        </w:rPr>
        <w:t xml:space="preserve">II. </w:t>
      </w:r>
      <w:r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312570">
        <w:rPr>
          <w:rFonts w:ascii="Times New Roman" w:eastAsia="Times New Roman" w:hAnsi="Times New Roman"/>
          <w:sz w:val="22"/>
          <w:szCs w:val="22"/>
        </w:rPr>
        <w:t>ú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klinikai vizsgálatban (B2225</w:t>
      </w:r>
      <w:r w:rsidR="00EF72D5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vizsgálat) az </w:t>
      </w:r>
      <w:r w:rsidR="002B503B" w:rsidRPr="00F567BF">
        <w:rPr>
          <w:rFonts w:ascii="Times New Roman" w:eastAsia="Times New Roman" w:hAnsi="Times New Roman"/>
          <w:sz w:val="22"/>
          <w:szCs w:val="22"/>
        </w:rPr>
        <w:t>A</w:t>
      </w:r>
      <w:r w:rsidR="002B503B">
        <w:rPr>
          <w:rFonts w:ascii="Times New Roman" w:eastAsia="Times New Roman" w:hAnsi="Times New Roman"/>
          <w:sz w:val="22"/>
          <w:szCs w:val="22"/>
        </w:rPr>
        <w:t>BL</w:t>
      </w:r>
      <w:r w:rsidRPr="00F567BF">
        <w:rPr>
          <w:rFonts w:ascii="Times New Roman" w:eastAsia="Times New Roman" w:hAnsi="Times New Roman"/>
          <w:sz w:val="22"/>
          <w:szCs w:val="22"/>
        </w:rPr>
        <w:t>, Kit vagy PDGFR protein</w:t>
      </w:r>
      <w:r w:rsidR="00754141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tirozin</w:t>
      </w:r>
      <w:r w:rsidR="00860D68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kinázokkal kapcsolatban álló</w:t>
      </w:r>
      <w:r w:rsidR="008F7B2B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8F7B2B">
        <w:rPr>
          <w:rFonts w:ascii="Times New Roman" w:eastAsia="Times New Roman" w:hAnsi="Times New Roman"/>
          <w:sz w:val="22"/>
          <w:szCs w:val="22"/>
        </w:rPr>
        <w:t>életveszély</w:t>
      </w:r>
      <w:r w:rsidR="00860D68">
        <w:rPr>
          <w:rFonts w:ascii="Times New Roman" w:eastAsia="Times New Roman" w:hAnsi="Times New Roman"/>
          <w:sz w:val="22"/>
          <w:szCs w:val="22"/>
        </w:rPr>
        <w:t>es</w:t>
      </w:r>
      <w:r w:rsidR="008F7B2B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betegségben szenvedő betegek különféle populációiban vizsgálták 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az imatinibet</w:t>
      </w:r>
      <w:r w:rsidRPr="00F567BF">
        <w:rPr>
          <w:rFonts w:ascii="Times New Roman" w:eastAsia="Times New Roman" w:hAnsi="Times New Roman"/>
          <w:sz w:val="22"/>
          <w:szCs w:val="22"/>
        </w:rPr>
        <w:t>. Az ezen vizsgálatba bevont 14 HES/CEL-ben szenvedő beteg naponta 100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1000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</w:t>
      </w:r>
      <w:r w:rsidR="00E07786">
        <w:rPr>
          <w:rFonts w:ascii="Times New Roman" w:eastAsia="Times New Roman" w:hAnsi="Times New Roman"/>
          <w:sz w:val="22"/>
          <w:szCs w:val="22"/>
        </w:rPr>
        <w:t>-os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adagban kapott 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imatinibet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</w:t>
      </w:r>
      <w:r w:rsidR="008F7B2B">
        <w:rPr>
          <w:rFonts w:ascii="Times New Roman" w:eastAsia="Times New Roman" w:hAnsi="Times New Roman"/>
          <w:sz w:val="22"/>
          <w:szCs w:val="22"/>
        </w:rPr>
        <w:t>Harmincöt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publikált esettanulmányban és esetsorozatban további 162 HES/CEL-ben szenvedő betegről számoltak be, akik naponta 75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800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</w:t>
      </w:r>
      <w:r w:rsidR="00002D8F">
        <w:rPr>
          <w:rFonts w:ascii="Times New Roman" w:eastAsia="Times New Roman" w:hAnsi="Times New Roman"/>
          <w:sz w:val="22"/>
          <w:szCs w:val="22"/>
        </w:rPr>
        <w:t>-os dózisban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kaptak 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imatinibet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</w:t>
      </w:r>
      <w:r w:rsidR="00C66377">
        <w:rPr>
          <w:rFonts w:ascii="Times New Roman" w:eastAsia="Times New Roman" w:hAnsi="Times New Roman"/>
          <w:sz w:val="22"/>
          <w:szCs w:val="22"/>
        </w:rPr>
        <w:t>Az ö</w:t>
      </w:r>
      <w:r w:rsidRPr="00F567BF">
        <w:rPr>
          <w:rFonts w:ascii="Times New Roman" w:eastAsia="Times New Roman" w:hAnsi="Times New Roman"/>
          <w:sz w:val="22"/>
          <w:szCs w:val="22"/>
        </w:rPr>
        <w:t>sszesen 176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betegből 117 esetében vizsgálták a cito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genetikai rendellenességeket. E</w:t>
      </w:r>
      <w:r w:rsidR="00C66377">
        <w:rPr>
          <w:rFonts w:ascii="Times New Roman" w:eastAsia="Times New Roman" w:hAnsi="Times New Roman"/>
          <w:sz w:val="22"/>
          <w:szCs w:val="22"/>
        </w:rPr>
        <w:t>zen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117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beteg közül 61 esetében mutatták ki a FIP1L1-PDGFR</w:t>
      </w:r>
      <w:r w:rsidR="003309DC" w:rsidRPr="00F567BF">
        <w:rPr>
          <w:rFonts w:ascii="Times New Roman" w:eastAsia="Times New Roman" w:hAnsi="Times New Roman"/>
          <w:sz w:val="22"/>
          <w:szCs w:val="22"/>
        </w:rPr>
        <w:t>-alfa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fúziós kinázt. </w:t>
      </w:r>
      <w:r w:rsidR="00C66377">
        <w:rPr>
          <w:rFonts w:ascii="Times New Roman" w:eastAsia="Times New Roman" w:hAnsi="Times New Roman"/>
          <w:sz w:val="22"/>
          <w:szCs w:val="22"/>
        </w:rPr>
        <w:t>Három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másik publikációban további 4 FIP1L1-PDGFR</w:t>
      </w:r>
      <w:r w:rsidR="003309DC" w:rsidRPr="00F567BF">
        <w:rPr>
          <w:rFonts w:ascii="Times New Roman" w:eastAsia="Times New Roman" w:hAnsi="Times New Roman"/>
          <w:sz w:val="22"/>
          <w:szCs w:val="22"/>
        </w:rPr>
        <w:t>-alfa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fúziós kináz</w:t>
      </w:r>
      <w:r w:rsidR="00A76C1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pozitív, HES-ben szenvedő betegről számoltak be. Mind a 65 FIP1L1-PDGFR</w:t>
      </w:r>
      <w:r w:rsidR="003309DC" w:rsidRPr="00F567BF">
        <w:rPr>
          <w:rFonts w:ascii="Times New Roman" w:eastAsia="Times New Roman" w:hAnsi="Times New Roman"/>
          <w:sz w:val="22"/>
          <w:szCs w:val="22"/>
        </w:rPr>
        <w:t>-alfa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fúziós kináz</w:t>
      </w:r>
      <w:r w:rsidR="00A76C1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pozitív beteg </w:t>
      </w:r>
      <w:r w:rsidR="0073545D">
        <w:rPr>
          <w:rFonts w:ascii="Times New Roman" w:eastAsia="Times New Roman" w:hAnsi="Times New Roman"/>
          <w:sz w:val="22"/>
          <w:szCs w:val="22"/>
        </w:rPr>
        <w:t>teljes</w:t>
      </w:r>
      <w:r w:rsidR="00C66377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hematológiai választ ért el, amely hónapokig fennmaradt (</w:t>
      </w:r>
      <w:r w:rsidR="009E44D9">
        <w:rPr>
          <w:rFonts w:ascii="Times New Roman" w:eastAsia="Times New Roman" w:hAnsi="Times New Roman"/>
          <w:sz w:val="22"/>
          <w:szCs w:val="22"/>
        </w:rPr>
        <w:t>&gt;</w:t>
      </w:r>
      <w:r w:rsidRPr="00F567BF">
        <w:rPr>
          <w:rFonts w:ascii="Times New Roman" w:eastAsia="Times New Roman" w:hAnsi="Times New Roman"/>
          <w:sz w:val="22"/>
          <w:szCs w:val="22"/>
        </w:rPr>
        <w:t>1</w:t>
      </w:r>
      <w:r w:rsidR="009E44D9">
        <w:rPr>
          <w:rFonts w:ascii="Times New Roman" w:eastAsia="Times New Roman" w:hAnsi="Times New Roman"/>
          <w:sz w:val="22"/>
          <w:szCs w:val="22"/>
        </w:rPr>
        <w:t xml:space="preserve"> és</w:t>
      </w:r>
      <w:r w:rsidR="00C66377">
        <w:rPr>
          <w:rFonts w:ascii="Times New Roman" w:eastAsia="Times New Roman" w:hAnsi="Times New Roman"/>
          <w:sz w:val="22"/>
          <w:szCs w:val="22"/>
        </w:rPr>
        <w:t xml:space="preserve"> </w:t>
      </w:r>
      <w:r w:rsidR="009E44D9">
        <w:rPr>
          <w:rFonts w:ascii="Times New Roman" w:eastAsia="Times New Roman" w:hAnsi="Times New Roman"/>
          <w:sz w:val="22"/>
          <w:szCs w:val="22"/>
        </w:rPr>
        <w:t>&gt;</w:t>
      </w:r>
      <w:r w:rsidRPr="00F567BF">
        <w:rPr>
          <w:rFonts w:ascii="Times New Roman" w:eastAsia="Times New Roman" w:hAnsi="Times New Roman"/>
          <w:sz w:val="22"/>
          <w:szCs w:val="22"/>
        </w:rPr>
        <w:t>44 hónap</w:t>
      </w:r>
      <w:r w:rsidR="00491EBC">
        <w:rPr>
          <w:rFonts w:ascii="Times New Roman" w:eastAsia="Times New Roman" w:hAnsi="Times New Roman"/>
          <w:sz w:val="22"/>
          <w:szCs w:val="22"/>
        </w:rPr>
        <w:t xml:space="preserve"> közötti tartományban</w:t>
      </w:r>
      <w:r w:rsidRPr="00F567BF">
        <w:rPr>
          <w:rFonts w:ascii="Times New Roman" w:eastAsia="Times New Roman" w:hAnsi="Times New Roman"/>
          <w:sz w:val="22"/>
          <w:szCs w:val="22"/>
        </w:rPr>
        <w:t>, a bejelentés időpont</w:t>
      </w:r>
      <w:r w:rsidR="00C66377">
        <w:rPr>
          <w:rFonts w:ascii="Times New Roman" w:eastAsia="Times New Roman" w:hAnsi="Times New Roman"/>
          <w:sz w:val="22"/>
          <w:szCs w:val="22"/>
        </w:rPr>
        <w:t>j</w:t>
      </w:r>
      <w:r w:rsidR="00491EBC">
        <w:rPr>
          <w:rFonts w:ascii="Times New Roman" w:eastAsia="Times New Roman" w:hAnsi="Times New Roman"/>
          <w:sz w:val="22"/>
          <w:szCs w:val="22"/>
        </w:rPr>
        <w:t>akor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cenzorálva). Amint arról egy </w:t>
      </w:r>
      <w:r w:rsidR="00982F0F">
        <w:rPr>
          <w:rFonts w:ascii="Times New Roman" w:eastAsia="Times New Roman" w:hAnsi="Times New Roman"/>
          <w:sz w:val="22"/>
          <w:szCs w:val="22"/>
        </w:rPr>
        <w:t>nemrégiben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megjelent publikációban beszámoltak, a 65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beteg közül 21 ért el </w:t>
      </w:r>
      <w:r w:rsidR="00982F0F">
        <w:rPr>
          <w:rFonts w:ascii="Times New Roman" w:eastAsia="Times New Roman" w:hAnsi="Times New Roman"/>
          <w:sz w:val="22"/>
          <w:szCs w:val="22"/>
        </w:rPr>
        <w:t>teljes</w:t>
      </w:r>
      <w:r w:rsidR="009C5D5F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 xml:space="preserve">olekuláris remissziót </w:t>
      </w:r>
      <w:r w:rsidR="009C5D5F">
        <w:rPr>
          <w:rFonts w:ascii="Times New Roman" w:eastAsia="Times New Roman" w:hAnsi="Times New Roman"/>
          <w:sz w:val="22"/>
          <w:szCs w:val="22"/>
        </w:rPr>
        <w:t>a medián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28</w:t>
      </w:r>
      <w:r w:rsidR="00A76C1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hónapos (13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67</w:t>
      </w:r>
      <w:r w:rsidR="00A76C1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hónap) követési idő </w:t>
      </w:r>
      <w:r w:rsidR="00570D14">
        <w:rPr>
          <w:rFonts w:ascii="Times New Roman" w:eastAsia="Times New Roman" w:hAnsi="Times New Roman"/>
          <w:sz w:val="22"/>
          <w:szCs w:val="22"/>
        </w:rPr>
        <w:t>mellett</w:t>
      </w:r>
      <w:r w:rsidRPr="00F567BF">
        <w:rPr>
          <w:rFonts w:ascii="Times New Roman" w:eastAsia="Times New Roman" w:hAnsi="Times New Roman"/>
          <w:sz w:val="22"/>
          <w:szCs w:val="22"/>
        </w:rPr>
        <w:t>. Ezen betegek életkora 25</w:t>
      </w:r>
      <w:r w:rsidR="00EF72D5">
        <w:rPr>
          <w:rFonts w:ascii="Times New Roman" w:eastAsia="Times New Roman" w:hAnsi="Times New Roman"/>
          <w:sz w:val="22"/>
          <w:szCs w:val="22"/>
        </w:rPr>
        <w:t xml:space="preserve"> és </w:t>
      </w:r>
      <w:r w:rsidRPr="00F567BF">
        <w:rPr>
          <w:rFonts w:ascii="Times New Roman" w:eastAsia="Times New Roman" w:hAnsi="Times New Roman"/>
          <w:sz w:val="22"/>
          <w:szCs w:val="22"/>
        </w:rPr>
        <w:t>72</w:t>
      </w:r>
      <w:r w:rsidR="00A76C12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 között volt. Az esettanulmányokban ezenkívül a vizsgálatvezetők a tünete</w:t>
      </w:r>
      <w:r w:rsidR="002F012B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az egyéb szervek </w:t>
      </w:r>
      <w:r w:rsidR="002F012B">
        <w:rPr>
          <w:rFonts w:ascii="Times New Roman" w:eastAsia="Times New Roman" w:hAnsi="Times New Roman"/>
          <w:sz w:val="22"/>
          <w:szCs w:val="22"/>
        </w:rPr>
        <w:t>diszfunkciójának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lastRenderedPageBreak/>
        <w:t xml:space="preserve">javulásáról számoltak be. Javulásról számoltak be az alábbi szervrendszerek tekintetében: </w:t>
      </w:r>
      <w:r w:rsidR="003309DC" w:rsidRPr="00F567BF">
        <w:rPr>
          <w:rFonts w:ascii="Times New Roman" w:eastAsia="Times New Roman" w:hAnsi="Times New Roman"/>
          <w:sz w:val="22"/>
          <w:szCs w:val="22"/>
        </w:rPr>
        <w:t xml:space="preserve">szív, </w:t>
      </w:r>
      <w:r w:rsidRPr="00F567BF">
        <w:rPr>
          <w:rFonts w:ascii="Times New Roman" w:eastAsia="Times New Roman" w:hAnsi="Times New Roman"/>
          <w:sz w:val="22"/>
          <w:szCs w:val="22"/>
        </w:rPr>
        <w:t>idegren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dszer, bőr</w:t>
      </w:r>
      <w:r w:rsidR="00EF72D5">
        <w:rPr>
          <w:rFonts w:ascii="Times New Roman" w:eastAsia="Times New Roman" w:hAnsi="Times New Roman"/>
          <w:sz w:val="22"/>
          <w:szCs w:val="22"/>
        </w:rPr>
        <w:t xml:space="preserve"> 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/</w:t>
      </w:r>
      <w:r w:rsidR="00EF72D5">
        <w:rPr>
          <w:rFonts w:ascii="Times New Roman" w:eastAsia="Times New Roman" w:hAnsi="Times New Roman"/>
          <w:sz w:val="22"/>
          <w:szCs w:val="22"/>
        </w:rPr>
        <w:t xml:space="preserve"> 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 xml:space="preserve">bőr alatti szövetek, </w:t>
      </w:r>
      <w:r w:rsidRPr="00F567BF">
        <w:rPr>
          <w:rFonts w:ascii="Times New Roman" w:eastAsia="Times New Roman" w:hAnsi="Times New Roman"/>
          <w:sz w:val="22"/>
          <w:szCs w:val="22"/>
        </w:rPr>
        <w:t>légzőrendszer/mellkas/mediastinum, vázizom/kötőszövet/érrendszer és emésztőrendszer.</w:t>
      </w:r>
    </w:p>
    <w:p w14:paraId="21E3E807" w14:textId="77777777" w:rsidR="002A793D" w:rsidRPr="00F567BF" w:rsidRDefault="002A793D" w:rsidP="00E14354">
      <w:pPr>
        <w:rPr>
          <w:rFonts w:ascii="Times New Roman" w:eastAsia="Times New Roman" w:hAnsi="Times New Roman"/>
          <w:sz w:val="22"/>
          <w:szCs w:val="22"/>
        </w:rPr>
      </w:pPr>
    </w:p>
    <w:p w14:paraId="3F491A27" w14:textId="403F0542" w:rsidR="002A793D" w:rsidRDefault="002A793D" w:rsidP="00EF72D5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HES/CEL-ben szenvedő </w:t>
      </w:r>
      <w:r w:rsidR="009C5D5F">
        <w:rPr>
          <w:rFonts w:ascii="Times New Roman" w:eastAsia="Times New Roman" w:hAnsi="Times New Roman"/>
          <w:sz w:val="22"/>
          <w:szCs w:val="22"/>
        </w:rPr>
        <w:t>gyermek</w:t>
      </w:r>
      <w:r w:rsidR="00A479A6">
        <w:rPr>
          <w:rFonts w:ascii="Times New Roman" w:eastAsia="Times New Roman" w:hAnsi="Times New Roman"/>
          <w:sz w:val="22"/>
          <w:szCs w:val="22"/>
        </w:rPr>
        <w:t>,</w:t>
      </w:r>
      <w:r w:rsidR="009C5D5F">
        <w:rPr>
          <w:rFonts w:ascii="Times New Roman" w:eastAsia="Times New Roman" w:hAnsi="Times New Roman"/>
          <w:sz w:val="22"/>
          <w:szCs w:val="22"/>
        </w:rPr>
        <w:t xml:space="preserve"> </w:t>
      </w:r>
      <w:r w:rsidR="00A479A6">
        <w:rPr>
          <w:rFonts w:ascii="Times New Roman" w:eastAsia="Times New Roman" w:hAnsi="Times New Roman"/>
          <w:sz w:val="22"/>
          <w:szCs w:val="22"/>
        </w:rPr>
        <w:t>illetve</w:t>
      </w:r>
      <w:r w:rsidR="009C5D5F">
        <w:rPr>
          <w:rFonts w:ascii="Times New Roman" w:eastAsia="Times New Roman" w:hAnsi="Times New Roman"/>
          <w:sz w:val="22"/>
          <w:szCs w:val="22"/>
        </w:rPr>
        <w:t xml:space="preserve"> serdülő</w:t>
      </w:r>
      <w:r w:rsidR="00006A6B">
        <w:rPr>
          <w:rFonts w:ascii="Times New Roman" w:eastAsia="Times New Roman" w:hAnsi="Times New Roman"/>
          <w:sz w:val="22"/>
          <w:szCs w:val="22"/>
        </w:rPr>
        <w:t xml:space="preserve"> betegekkel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nincsenek kontroll</w:t>
      </w:r>
      <w:r w:rsidR="00A76C12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vizsgálatok. Három publikációban </w:t>
      </w:r>
      <w:r w:rsidR="00006A6B">
        <w:rPr>
          <w:rFonts w:ascii="Times New Roman" w:eastAsia="Times New Roman" w:hAnsi="Times New Roman"/>
          <w:sz w:val="22"/>
          <w:szCs w:val="22"/>
        </w:rPr>
        <w:t>három</w:t>
      </w:r>
      <w:r w:rsidRPr="00F567BF">
        <w:rPr>
          <w:rFonts w:ascii="Times New Roman" w:eastAsia="Times New Roman" w:hAnsi="Times New Roman"/>
          <w:sz w:val="22"/>
          <w:szCs w:val="22"/>
        </w:rPr>
        <w:t>,HES-ben</w:t>
      </w:r>
      <w:r w:rsidR="00006A6B">
        <w:rPr>
          <w:rFonts w:ascii="Times New Roman" w:eastAsia="Times New Roman" w:hAnsi="Times New Roman"/>
          <w:sz w:val="22"/>
          <w:szCs w:val="22"/>
        </w:rPr>
        <w:t>, illetve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CEL-ben szenvedő betegnél </w:t>
      </w:r>
      <w:r w:rsidR="00A4521D">
        <w:rPr>
          <w:rFonts w:ascii="Times New Roman" w:eastAsia="Times New Roman" w:hAnsi="Times New Roman"/>
          <w:sz w:val="22"/>
          <w:szCs w:val="22"/>
        </w:rPr>
        <w:t xml:space="preserve">társult </w:t>
      </w:r>
      <w:r w:rsidR="00A4521D" w:rsidRPr="00A4521D">
        <w:rPr>
          <w:rFonts w:ascii="Times New Roman" w:eastAsia="Times New Roman" w:hAnsi="Times New Roman"/>
          <w:sz w:val="22"/>
          <w:szCs w:val="22"/>
        </w:rPr>
        <w:t>PDGFR-</w:t>
      </w:r>
      <w:r w:rsidRPr="00F567BF">
        <w:rPr>
          <w:rFonts w:ascii="Times New Roman" w:eastAsia="Times New Roman" w:hAnsi="Times New Roman"/>
          <w:sz w:val="22"/>
          <w:szCs w:val="22"/>
        </w:rPr>
        <w:t>génátrendeződésről számoltak be. Ezen betegek életkora 2 és 16</w:t>
      </w:r>
      <w:r w:rsidR="00E908C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 közé esett, és az imatinibet napi 300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>-es dózisban vagy napi 200</w:t>
      </w:r>
      <w:r w:rsidR="00EF72D5" w:rsidRPr="00EF72D5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>400</w:t>
      </w:r>
      <w:r w:rsidR="0090561A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mg dózisban kapták. Minden beteg </w:t>
      </w:r>
      <w:r w:rsidR="00ED016F">
        <w:rPr>
          <w:rFonts w:ascii="Times New Roman" w:eastAsia="Times New Roman" w:hAnsi="Times New Roman"/>
          <w:sz w:val="22"/>
          <w:szCs w:val="22"/>
        </w:rPr>
        <w:t xml:space="preserve">teljes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hematológiai választ, </w:t>
      </w:r>
      <w:r w:rsidR="00ED016F">
        <w:rPr>
          <w:rFonts w:ascii="Times New Roman" w:eastAsia="Times New Roman" w:hAnsi="Times New Roman"/>
          <w:sz w:val="22"/>
          <w:szCs w:val="22"/>
        </w:rPr>
        <w:t>teljes</w:t>
      </w:r>
      <w:r w:rsidR="009C5D5F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703FFA">
        <w:rPr>
          <w:rFonts w:ascii="Times New Roman" w:eastAsia="Times New Roman" w:hAnsi="Times New Roman"/>
          <w:sz w:val="22"/>
          <w:szCs w:val="22"/>
        </w:rPr>
        <w:t>citogen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etikai választ és/vagy </w:t>
      </w:r>
      <w:r w:rsidR="002B503B">
        <w:rPr>
          <w:rFonts w:ascii="Times New Roman" w:eastAsia="Times New Roman" w:hAnsi="Times New Roman"/>
          <w:sz w:val="22"/>
          <w:szCs w:val="22"/>
        </w:rPr>
        <w:t>teljes</w:t>
      </w:r>
      <w:r w:rsidR="009C5D5F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molekuláris választ ért el.</w:t>
      </w:r>
    </w:p>
    <w:p w14:paraId="727D1A30" w14:textId="77777777" w:rsidR="00E07786" w:rsidRDefault="00E07786" w:rsidP="009C5D5F">
      <w:pPr>
        <w:ind w:right="-8"/>
        <w:rPr>
          <w:rFonts w:ascii="Times New Roman" w:eastAsia="Times New Roman" w:hAnsi="Times New Roman"/>
          <w:sz w:val="22"/>
          <w:szCs w:val="22"/>
        </w:rPr>
      </w:pPr>
    </w:p>
    <w:p w14:paraId="4462A357" w14:textId="77777777" w:rsidR="00E07786" w:rsidRDefault="00E07786" w:rsidP="00E07786">
      <w:pPr>
        <w:spacing w:line="0" w:lineRule="atLeast"/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eastAsia="Times New Roman" w:hAnsi="Times New Roman"/>
          <w:sz w:val="22"/>
          <w:u w:val="single"/>
        </w:rPr>
        <w:t>Klinikai vizsgálatok nem reszekábilis és/vagy metasztatikus GIST-ben</w:t>
      </w:r>
    </w:p>
    <w:p w14:paraId="17211CD8" w14:textId="77777777" w:rsidR="00E07786" w:rsidRDefault="00E07786" w:rsidP="00E07786">
      <w:pPr>
        <w:spacing w:line="7" w:lineRule="exact"/>
        <w:rPr>
          <w:rFonts w:ascii="Times New Roman" w:eastAsia="Times New Roman" w:hAnsi="Times New Roman"/>
        </w:rPr>
      </w:pPr>
    </w:p>
    <w:p w14:paraId="30ED5636" w14:textId="77777777" w:rsidR="00652029" w:rsidRDefault="00652029" w:rsidP="00E07786">
      <w:pPr>
        <w:spacing w:line="239" w:lineRule="auto"/>
        <w:ind w:right="242"/>
        <w:rPr>
          <w:rFonts w:ascii="Times New Roman" w:eastAsia="Times New Roman" w:hAnsi="Times New Roman"/>
          <w:sz w:val="22"/>
        </w:rPr>
      </w:pPr>
    </w:p>
    <w:p w14:paraId="6C5C54F2" w14:textId="007F8CAA" w:rsidR="00E07786" w:rsidRDefault="00E07786" w:rsidP="00E07786">
      <w:pPr>
        <w:spacing w:line="239" w:lineRule="auto"/>
        <w:ind w:right="242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Egy nyílt</w:t>
      </w:r>
      <w:r w:rsidR="004C3C11">
        <w:rPr>
          <w:rFonts w:ascii="Times New Roman" w:eastAsia="Times New Roman" w:hAnsi="Times New Roman"/>
          <w:sz w:val="22"/>
        </w:rPr>
        <w:t xml:space="preserve"> elrendezésű</w:t>
      </w:r>
      <w:r>
        <w:rPr>
          <w:rFonts w:ascii="Times New Roman" w:eastAsia="Times New Roman" w:hAnsi="Times New Roman"/>
          <w:sz w:val="22"/>
        </w:rPr>
        <w:t>, randomizált, nem kontrollos, nemzetközi II. fázisú vizsgálat történt nem</w:t>
      </w:r>
      <w:r w:rsidR="000554CF">
        <w:rPr>
          <w:rFonts w:ascii="Times New Roman" w:eastAsia="Times New Roman" w:hAnsi="Times New Roman"/>
          <w:sz w:val="22"/>
        </w:rPr>
        <w:t xml:space="preserve"> </w:t>
      </w:r>
      <w:r w:rsidR="003D3906">
        <w:rPr>
          <w:rFonts w:ascii="Times New Roman" w:eastAsia="Times New Roman" w:hAnsi="Times New Roman"/>
          <w:sz w:val="22"/>
        </w:rPr>
        <w:t>reszekábilis</w:t>
      </w:r>
      <w:r>
        <w:rPr>
          <w:rFonts w:ascii="Times New Roman" w:eastAsia="Times New Roman" w:hAnsi="Times New Roman"/>
          <w:sz w:val="22"/>
        </w:rPr>
        <w:t xml:space="preserve"> vagy metasztatizáló malignus gastrointestinalis stromalis tumorban (GIST-ben) szenvedő betegek bevonásával. 147 beteget vál</w:t>
      </w:r>
      <w:r w:rsidR="000554CF">
        <w:rPr>
          <w:rFonts w:ascii="Times New Roman" w:eastAsia="Times New Roman" w:hAnsi="Times New Roman"/>
          <w:sz w:val="22"/>
        </w:rPr>
        <w:t>asztottak</w:t>
      </w:r>
      <w:r>
        <w:rPr>
          <w:rFonts w:ascii="Times New Roman" w:eastAsia="Times New Roman" w:hAnsi="Times New Roman"/>
          <w:sz w:val="22"/>
        </w:rPr>
        <w:t xml:space="preserve"> be a vizsgálatba, és a randomizációt követően napi egyszer 400 mg vagy 600 mg imatinibet kaptak </w:t>
      </w:r>
      <w:r>
        <w:rPr>
          <w:rFonts w:ascii="Times New Roman" w:eastAsia="Times New Roman" w:hAnsi="Times New Roman"/>
          <w:i/>
          <w:sz w:val="22"/>
        </w:rPr>
        <w:t>per os</w:t>
      </w:r>
      <w:r>
        <w:rPr>
          <w:rFonts w:ascii="Times New Roman" w:eastAsia="Times New Roman" w:hAnsi="Times New Roman"/>
          <w:sz w:val="22"/>
        </w:rPr>
        <w:t>, 36 hónapig. Ezen betegek életkora 18</w:t>
      </w:r>
      <w:r w:rsidR="00EF72D5">
        <w:rPr>
          <w:rFonts w:ascii="Times New Roman" w:eastAsia="Times New Roman" w:hAnsi="Times New Roman"/>
          <w:sz w:val="22"/>
        </w:rPr>
        <w:t xml:space="preserve"> és </w:t>
      </w:r>
      <w:r>
        <w:rPr>
          <w:rFonts w:ascii="Times New Roman" w:eastAsia="Times New Roman" w:hAnsi="Times New Roman"/>
          <w:sz w:val="22"/>
        </w:rPr>
        <w:t xml:space="preserve">83 év közötti, kórszövettani diagnózisuk Kit-pozitív malignus GIST volt, ami </w:t>
      </w:r>
      <w:r w:rsidR="000554CF">
        <w:rPr>
          <w:rFonts w:ascii="Times New Roman" w:eastAsia="Times New Roman" w:hAnsi="Times New Roman"/>
          <w:sz w:val="22"/>
        </w:rPr>
        <w:t>nem reszekábilis</w:t>
      </w:r>
      <w:r>
        <w:rPr>
          <w:rFonts w:ascii="Times New Roman" w:eastAsia="Times New Roman" w:hAnsi="Times New Roman"/>
          <w:sz w:val="22"/>
        </w:rPr>
        <w:t xml:space="preserve"> és/vagy metasztatikus volt.</w:t>
      </w:r>
    </w:p>
    <w:p w14:paraId="2D33B6E2" w14:textId="77777777" w:rsidR="00E07786" w:rsidRPr="00F567BF" w:rsidRDefault="00E07786" w:rsidP="009C5D5F">
      <w:pPr>
        <w:ind w:right="-8"/>
        <w:rPr>
          <w:rFonts w:ascii="Times New Roman" w:eastAsia="Times New Roman" w:hAnsi="Times New Roman"/>
          <w:sz w:val="22"/>
          <w:szCs w:val="22"/>
        </w:rPr>
      </w:pPr>
    </w:p>
    <w:p w14:paraId="33FBD664" w14:textId="6CA0ECC1" w:rsidR="00E07786" w:rsidRDefault="00E07786" w:rsidP="00E07786">
      <w:pPr>
        <w:spacing w:line="237" w:lineRule="auto"/>
        <w:ind w:right="462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Az immunhisztokémiai vizsgálat rutinszerűen Kit</w:t>
      </w:r>
      <w:r w:rsidR="004C066A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antitesttel (A-4502, nyúl polyclonalis antiszérum, 1:100; DAKO Corporation, Carpinteria, CA)</w:t>
      </w:r>
      <w:r w:rsidR="00332941">
        <w:rPr>
          <w:rFonts w:ascii="Times New Roman" w:eastAsia="Times New Roman" w:hAnsi="Times New Roman"/>
          <w:sz w:val="22"/>
        </w:rPr>
        <w:t xml:space="preserve"> történt</w:t>
      </w:r>
      <w:r>
        <w:rPr>
          <w:rFonts w:ascii="Times New Roman" w:eastAsia="Times New Roman" w:hAnsi="Times New Roman"/>
          <w:sz w:val="22"/>
        </w:rPr>
        <w:t>, antig</w:t>
      </w:r>
      <w:r w:rsidR="00A123EC">
        <w:rPr>
          <w:rFonts w:ascii="Times New Roman" w:eastAsia="Times New Roman" w:hAnsi="Times New Roman"/>
          <w:sz w:val="22"/>
        </w:rPr>
        <w:t>é</w:t>
      </w:r>
      <w:r>
        <w:rPr>
          <w:rFonts w:ascii="Times New Roman" w:eastAsia="Times New Roman" w:hAnsi="Times New Roman"/>
          <w:sz w:val="22"/>
        </w:rPr>
        <w:t>n</w:t>
      </w:r>
      <w:r w:rsidR="00A123EC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visszanyerés</w:t>
      </w:r>
      <w:r w:rsidR="00A123EC">
        <w:rPr>
          <w:rFonts w:ascii="Times New Roman" w:eastAsia="Times New Roman" w:hAnsi="Times New Roman"/>
          <w:sz w:val="22"/>
        </w:rPr>
        <w:t xml:space="preserve"> után,</w:t>
      </w:r>
      <w:r>
        <w:rPr>
          <w:rFonts w:ascii="Times New Roman" w:eastAsia="Times New Roman" w:hAnsi="Times New Roman"/>
          <w:sz w:val="22"/>
        </w:rPr>
        <w:t xml:space="preserve"> avidin-biotin-peroxidáz komplex módszerrel történő vizsgálat szerint.</w:t>
      </w:r>
    </w:p>
    <w:p w14:paraId="5F5C8F72" w14:textId="77777777" w:rsidR="00E07786" w:rsidRDefault="00E07786" w:rsidP="00E07786">
      <w:pPr>
        <w:spacing w:line="266" w:lineRule="exact"/>
        <w:rPr>
          <w:rFonts w:ascii="Times New Roman" w:eastAsia="Times New Roman" w:hAnsi="Times New Roman"/>
        </w:rPr>
      </w:pPr>
    </w:p>
    <w:p w14:paraId="7CF7EF70" w14:textId="59F4B698" w:rsidR="00E07786" w:rsidRDefault="00E07786" w:rsidP="00647049">
      <w:pPr>
        <w:spacing w:line="237" w:lineRule="auto"/>
        <w:ind w:right="382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Az objektív terápiás válasz volt a hat</w:t>
      </w:r>
      <w:r w:rsidR="00902AC7">
        <w:rPr>
          <w:rFonts w:ascii="Times New Roman" w:eastAsia="Times New Roman" w:hAnsi="Times New Roman"/>
          <w:sz w:val="22"/>
        </w:rPr>
        <w:t>ásosság</w:t>
      </w:r>
      <w:r>
        <w:rPr>
          <w:rFonts w:ascii="Times New Roman" w:eastAsia="Times New Roman" w:hAnsi="Times New Roman"/>
          <w:sz w:val="22"/>
        </w:rPr>
        <w:t xml:space="preserve"> elsődleges bizonyítéka. A daganatnak legalább egy helyen mérhetőnek kellett lennie. A terápiás választ a </w:t>
      </w:r>
      <w:r w:rsidRPr="004C3C11">
        <w:rPr>
          <w:rFonts w:ascii="Times New Roman" w:eastAsia="Times New Roman" w:hAnsi="Times New Roman"/>
          <w:i/>
          <w:iCs/>
          <w:sz w:val="22"/>
        </w:rPr>
        <w:t>Southwestern Oncology Group</w:t>
      </w:r>
      <w:r>
        <w:rPr>
          <w:rFonts w:ascii="Times New Roman" w:eastAsia="Times New Roman" w:hAnsi="Times New Roman"/>
          <w:sz w:val="22"/>
        </w:rPr>
        <w:t xml:space="preserve"> (SWOG</w:t>
      </w:r>
      <w:r w:rsidR="004C3C11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) kritériumok alapján mérték. Az eredményeket a 6. táblázat mutatja be.</w:t>
      </w:r>
    </w:p>
    <w:p w14:paraId="4EA99286" w14:textId="77777777" w:rsidR="00E07786" w:rsidRDefault="00E07786" w:rsidP="00E07786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5A66FBD0" w14:textId="77777777" w:rsidR="00E07786" w:rsidRDefault="00E07786" w:rsidP="00E07786">
      <w:pPr>
        <w:tabs>
          <w:tab w:val="left" w:pos="1140"/>
        </w:tabs>
        <w:spacing w:line="0" w:lineRule="atLeast"/>
        <w:ind w:left="20"/>
        <w:rPr>
          <w:rFonts w:ascii="Times New Roman" w:eastAsia="Times New Roman" w:hAnsi="Times New Roman"/>
          <w:b/>
          <w:sz w:val="21"/>
        </w:rPr>
      </w:pPr>
      <w:r>
        <w:rPr>
          <w:rFonts w:ascii="Times New Roman" w:eastAsia="Times New Roman" w:hAnsi="Times New Roman"/>
          <w:b/>
          <w:sz w:val="22"/>
        </w:rPr>
        <w:t xml:space="preserve">6. táblázat: </w:t>
      </w:r>
      <w:r>
        <w:rPr>
          <w:rFonts w:ascii="Times New Roman" w:eastAsia="Times New Roman" w:hAnsi="Times New Roman"/>
          <w:b/>
          <w:sz w:val="21"/>
        </w:rPr>
        <w:t>A legjobb tumorválasz az STIB2222 vizsgálatban (GIST)</w:t>
      </w:r>
    </w:p>
    <w:p w14:paraId="3BD7524C" w14:textId="77777777" w:rsidR="00E07786" w:rsidRDefault="00E07786" w:rsidP="00E07786">
      <w:pPr>
        <w:tabs>
          <w:tab w:val="left" w:pos="1140"/>
        </w:tabs>
        <w:spacing w:line="0" w:lineRule="atLeast"/>
        <w:ind w:left="20"/>
        <w:rPr>
          <w:rFonts w:ascii="Times New Roman" w:eastAsia="Times New Roman" w:hAnsi="Times New Roman"/>
          <w:b/>
          <w:sz w:val="21"/>
        </w:rPr>
      </w:pPr>
    </w:p>
    <w:tbl>
      <w:tblPr>
        <w:tblStyle w:val="Rcsostblzat"/>
        <w:tblW w:w="0" w:type="auto"/>
        <w:tblInd w:w="20" w:type="dxa"/>
        <w:tblLook w:val="04A0" w:firstRow="1" w:lastRow="0" w:firstColumn="1" w:lastColumn="0" w:noHBand="0" w:noVBand="1"/>
      </w:tblPr>
      <w:tblGrid>
        <w:gridCol w:w="4516"/>
        <w:gridCol w:w="4516"/>
      </w:tblGrid>
      <w:tr w:rsidR="0072623E" w14:paraId="4189502A" w14:textId="77777777" w:rsidTr="0072623E">
        <w:tc>
          <w:tcPr>
            <w:tcW w:w="4516" w:type="dxa"/>
          </w:tcPr>
          <w:p w14:paraId="72365EC6" w14:textId="781D287F" w:rsidR="0072623E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b/>
                <w:sz w:val="21"/>
              </w:rPr>
            </w:pPr>
            <w:r>
              <w:rPr>
                <w:rFonts w:ascii="Times New Roman" w:eastAsia="Times New Roman" w:hAnsi="Times New Roman"/>
                <w:sz w:val="22"/>
              </w:rPr>
              <w:t>A legjobb válasz</w:t>
            </w:r>
          </w:p>
        </w:tc>
        <w:tc>
          <w:tcPr>
            <w:tcW w:w="4516" w:type="dxa"/>
          </w:tcPr>
          <w:p w14:paraId="53E709CD" w14:textId="77777777" w:rsidR="0072623E" w:rsidRDefault="0072623E" w:rsidP="0072623E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Minden dózis (n = 147)</w:t>
            </w:r>
          </w:p>
          <w:p w14:paraId="616FCDB8" w14:textId="77777777" w:rsidR="0072623E" w:rsidRDefault="0072623E" w:rsidP="0072623E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400 mg (n = 73)</w:t>
            </w:r>
          </w:p>
          <w:p w14:paraId="1933FA4A" w14:textId="77777777" w:rsidR="0072623E" w:rsidRDefault="0072623E" w:rsidP="0072623E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600 mg (n = 74)</w:t>
            </w:r>
          </w:p>
          <w:p w14:paraId="1620DA85" w14:textId="77777777" w:rsidR="0072623E" w:rsidRDefault="0072623E" w:rsidP="0072623E">
            <w:pPr>
              <w:spacing w:line="249" w:lineRule="exac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n (%)</w:t>
            </w:r>
          </w:p>
          <w:p w14:paraId="2ADED475" w14:textId="5F4D64EF" w:rsidR="0072623E" w:rsidRPr="0072623E" w:rsidRDefault="0072623E" w:rsidP="0072623E">
            <w:pPr>
              <w:spacing w:line="249" w:lineRule="exac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72623E" w:rsidRPr="003A7531" w14:paraId="201C3F4D" w14:textId="77777777" w:rsidTr="0072623E">
        <w:tc>
          <w:tcPr>
            <w:tcW w:w="4516" w:type="dxa"/>
          </w:tcPr>
          <w:p w14:paraId="4BD535EC" w14:textId="2449A277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Teljes válasz</w:t>
            </w:r>
          </w:p>
        </w:tc>
        <w:tc>
          <w:tcPr>
            <w:tcW w:w="4516" w:type="dxa"/>
          </w:tcPr>
          <w:p w14:paraId="4D827055" w14:textId="012B23F9" w:rsidR="0072623E" w:rsidRPr="003A7531" w:rsidRDefault="00302509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1"/>
              </w:rPr>
              <w:t>1</w:t>
            </w:r>
            <w:r w:rsidR="003A7531">
              <w:rPr>
                <w:rFonts w:ascii="Times New Roman" w:eastAsia="Times New Roman" w:hAnsi="Times New Roman"/>
                <w:sz w:val="21"/>
              </w:rPr>
              <w:t xml:space="preserve"> (0,7)</w:t>
            </w:r>
          </w:p>
        </w:tc>
      </w:tr>
      <w:tr w:rsidR="0072623E" w:rsidRPr="003A7531" w14:paraId="311F5945" w14:textId="77777777" w:rsidTr="0072623E">
        <w:tc>
          <w:tcPr>
            <w:tcW w:w="4516" w:type="dxa"/>
          </w:tcPr>
          <w:p w14:paraId="76B53F51" w14:textId="076726FA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Részleges válasz</w:t>
            </w:r>
          </w:p>
        </w:tc>
        <w:tc>
          <w:tcPr>
            <w:tcW w:w="4516" w:type="dxa"/>
          </w:tcPr>
          <w:p w14:paraId="224AF82B" w14:textId="77BF91A8" w:rsidR="0072623E" w:rsidRPr="003A7531" w:rsidRDefault="003A7531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98 (66,7)</w:t>
            </w:r>
          </w:p>
        </w:tc>
      </w:tr>
      <w:tr w:rsidR="0072623E" w:rsidRPr="003A7531" w14:paraId="1335C155" w14:textId="77777777" w:rsidTr="0072623E">
        <w:tc>
          <w:tcPr>
            <w:tcW w:w="4516" w:type="dxa"/>
          </w:tcPr>
          <w:p w14:paraId="1AB08921" w14:textId="6B2D90DC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Stabil betegség</w:t>
            </w:r>
          </w:p>
        </w:tc>
        <w:tc>
          <w:tcPr>
            <w:tcW w:w="4516" w:type="dxa"/>
          </w:tcPr>
          <w:p w14:paraId="01898165" w14:textId="0831E42F" w:rsidR="0072623E" w:rsidRPr="003A7531" w:rsidRDefault="003A7531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23 (</w:t>
            </w:r>
            <w:r w:rsidR="005A3067">
              <w:rPr>
                <w:rFonts w:ascii="Times New Roman" w:eastAsia="Times New Roman" w:hAnsi="Times New Roman"/>
                <w:sz w:val="21"/>
              </w:rPr>
              <w:t>15,6)</w:t>
            </w:r>
          </w:p>
        </w:tc>
      </w:tr>
      <w:tr w:rsidR="0072623E" w:rsidRPr="003A7531" w14:paraId="4BB4C5E9" w14:textId="77777777" w:rsidTr="0072623E">
        <w:tc>
          <w:tcPr>
            <w:tcW w:w="4516" w:type="dxa"/>
          </w:tcPr>
          <w:p w14:paraId="104691DB" w14:textId="75468651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Progresszív betegség</w:t>
            </w:r>
          </w:p>
        </w:tc>
        <w:tc>
          <w:tcPr>
            <w:tcW w:w="4516" w:type="dxa"/>
          </w:tcPr>
          <w:p w14:paraId="7E563178" w14:textId="294DE671" w:rsidR="0072623E" w:rsidRPr="003A7531" w:rsidRDefault="00A333C3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18 (12,2)</w:t>
            </w:r>
          </w:p>
        </w:tc>
      </w:tr>
      <w:tr w:rsidR="0072623E" w:rsidRPr="003A7531" w14:paraId="042816C5" w14:textId="77777777" w:rsidTr="0072623E">
        <w:tc>
          <w:tcPr>
            <w:tcW w:w="4516" w:type="dxa"/>
          </w:tcPr>
          <w:p w14:paraId="711960DF" w14:textId="31B1AC25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Nem értékelhető</w:t>
            </w:r>
          </w:p>
        </w:tc>
        <w:tc>
          <w:tcPr>
            <w:tcW w:w="4516" w:type="dxa"/>
          </w:tcPr>
          <w:p w14:paraId="75A6340F" w14:textId="2E4538F2" w:rsidR="0072623E" w:rsidRPr="003A7531" w:rsidRDefault="00A333C3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5 (3,4)</w:t>
            </w:r>
          </w:p>
        </w:tc>
      </w:tr>
      <w:tr w:rsidR="0072623E" w:rsidRPr="003A7531" w14:paraId="6EFD4EF0" w14:textId="77777777" w:rsidTr="0072623E">
        <w:tc>
          <w:tcPr>
            <w:tcW w:w="4516" w:type="dxa"/>
          </w:tcPr>
          <w:p w14:paraId="636595EF" w14:textId="1F9F4778" w:rsidR="0072623E" w:rsidRPr="003A7531" w:rsidRDefault="0072623E" w:rsidP="00E07786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 w:rsidRPr="003A7531">
              <w:rPr>
                <w:rFonts w:ascii="Times New Roman" w:eastAsia="Times New Roman" w:hAnsi="Times New Roman"/>
                <w:sz w:val="22"/>
              </w:rPr>
              <w:t>Nem ismert</w:t>
            </w:r>
          </w:p>
        </w:tc>
        <w:tc>
          <w:tcPr>
            <w:tcW w:w="4516" w:type="dxa"/>
          </w:tcPr>
          <w:p w14:paraId="4B35EE21" w14:textId="38B903FA" w:rsidR="0072623E" w:rsidRPr="003A7531" w:rsidRDefault="00A333C3" w:rsidP="00AD72F7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2 (1,4)</w:t>
            </w:r>
          </w:p>
        </w:tc>
      </w:tr>
    </w:tbl>
    <w:p w14:paraId="6875D90B" w14:textId="77777777" w:rsidR="0072623E" w:rsidRDefault="0072623E" w:rsidP="00A333C3">
      <w:pPr>
        <w:tabs>
          <w:tab w:val="left" w:pos="1140"/>
        </w:tabs>
        <w:spacing w:line="0" w:lineRule="atLeast"/>
        <w:rPr>
          <w:rFonts w:ascii="Times New Roman" w:eastAsia="Times New Roman" w:hAnsi="Times New Roman"/>
          <w:b/>
          <w:sz w:val="21"/>
        </w:rPr>
      </w:pPr>
    </w:p>
    <w:p w14:paraId="6CEAA08B" w14:textId="595FA3F8" w:rsidR="00E07786" w:rsidRDefault="00E07786" w:rsidP="00A333C3">
      <w:pPr>
        <w:spacing w:line="245" w:lineRule="auto"/>
        <w:ind w:right="2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 két dozírozású csoport között a terápiásválasz</w:t>
      </w:r>
      <w:r w:rsidR="00A16A73">
        <w:rPr>
          <w:rFonts w:ascii="Times New Roman" w:eastAsia="Times New Roman" w:hAnsi="Times New Roman"/>
          <w:sz w:val="22"/>
        </w:rPr>
        <w:t>-arány</w:t>
      </w:r>
      <w:r>
        <w:rPr>
          <w:rFonts w:ascii="Times New Roman" w:eastAsia="Times New Roman" w:hAnsi="Times New Roman"/>
          <w:sz w:val="22"/>
        </w:rPr>
        <w:t xml:space="preserve"> vonatkozásában nem volt különbség. Az interim analízis idején stabil állapotban levő betegek szignifikáns része részleges választ ért el a hosszabb kezelés során (a medián követési idő 31 hónap). A válasz megjelenéséig eltelt idő mediánértéke 13 hét volt (95%-os CI: 12–23). A kezelésre reagálók között a kezelés elégtelenné válásáig eltelt idő mediánértéke 122 hét volt (95%-os CI: 106–147), míg a teljes vizsgálati </w:t>
      </w:r>
      <w:r w:rsidR="00A16A73">
        <w:rPr>
          <w:rFonts w:ascii="Times New Roman" w:eastAsia="Times New Roman" w:hAnsi="Times New Roman"/>
          <w:sz w:val="22"/>
        </w:rPr>
        <w:t>populációban</w:t>
      </w:r>
      <w:r>
        <w:rPr>
          <w:rFonts w:ascii="Times New Roman" w:eastAsia="Times New Roman" w:hAnsi="Times New Roman"/>
          <w:sz w:val="22"/>
        </w:rPr>
        <w:t xml:space="preserve"> ez az érték 84 hét volt (95%-os CI: 71–109). A</w:t>
      </w:r>
      <w:r w:rsidR="00893A53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medián</w:t>
      </w:r>
      <w:r w:rsidR="00893A53">
        <w:rPr>
          <w:rFonts w:ascii="Times New Roman" w:eastAsia="Times New Roman" w:hAnsi="Times New Roman"/>
          <w:sz w:val="22"/>
        </w:rPr>
        <w:t xml:space="preserve"> teljes túlélést</w:t>
      </w:r>
      <w:r>
        <w:rPr>
          <w:rFonts w:ascii="Times New Roman" w:eastAsia="Times New Roman" w:hAnsi="Times New Roman"/>
          <w:sz w:val="22"/>
        </w:rPr>
        <w:t xml:space="preserve"> nem érték</w:t>
      </w:r>
      <w:r w:rsidR="00CA312A">
        <w:rPr>
          <w:rFonts w:ascii="Times New Roman" w:eastAsia="Times New Roman" w:hAnsi="Times New Roman"/>
          <w:sz w:val="22"/>
        </w:rPr>
        <w:t xml:space="preserve"> el</w:t>
      </w:r>
      <w:r>
        <w:rPr>
          <w:rFonts w:ascii="Times New Roman" w:eastAsia="Times New Roman" w:hAnsi="Times New Roman"/>
          <w:sz w:val="22"/>
        </w:rPr>
        <w:t>. A Kaplan–Meier-becslés szerint a 36 hónapos nyomon</w:t>
      </w:r>
      <w:r w:rsidR="00CA312A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követés utáni túlélés 68% volt.</w:t>
      </w:r>
    </w:p>
    <w:p w14:paraId="001DE74A" w14:textId="77777777" w:rsidR="00E07786" w:rsidRDefault="00E07786" w:rsidP="00E07786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163EBFDA" w14:textId="53234A27" w:rsidR="00E07786" w:rsidRDefault="00E07786" w:rsidP="00E07786">
      <w:pPr>
        <w:spacing w:line="246" w:lineRule="auto"/>
        <w:ind w:left="20" w:righ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Két klinikai vizsgálatban (B2222</w:t>
      </w:r>
      <w:r w:rsidR="00DF0286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vizsgálat és az S0033</w:t>
      </w:r>
      <w:r w:rsidR="00626A4B">
        <w:rPr>
          <w:rFonts w:ascii="Times New Roman" w:eastAsia="Times New Roman" w:hAnsi="Times New Roman"/>
          <w:sz w:val="22"/>
        </w:rPr>
        <w:t>-as</w:t>
      </w:r>
      <w:r>
        <w:rPr>
          <w:rFonts w:ascii="Times New Roman" w:eastAsia="Times New Roman" w:hAnsi="Times New Roman"/>
          <w:sz w:val="22"/>
        </w:rPr>
        <w:t xml:space="preserve"> </w:t>
      </w:r>
      <w:r w:rsidRPr="00626A4B">
        <w:rPr>
          <w:rFonts w:ascii="Times New Roman" w:eastAsia="Times New Roman" w:hAnsi="Times New Roman"/>
          <w:i/>
          <w:iCs/>
          <w:sz w:val="22"/>
        </w:rPr>
        <w:t>intergroup</w:t>
      </w:r>
      <w:r>
        <w:rPr>
          <w:rFonts w:ascii="Times New Roman" w:eastAsia="Times New Roman" w:hAnsi="Times New Roman"/>
          <w:sz w:val="22"/>
        </w:rPr>
        <w:t xml:space="preserve"> vizsgálat) az imatinib napi </w:t>
      </w:r>
      <w:r w:rsidR="005F4F77">
        <w:rPr>
          <w:rFonts w:ascii="Times New Roman" w:eastAsia="Times New Roman" w:hAnsi="Times New Roman"/>
          <w:sz w:val="22"/>
        </w:rPr>
        <w:t>dózis</w:t>
      </w:r>
      <w:r>
        <w:rPr>
          <w:rFonts w:ascii="Times New Roman" w:eastAsia="Times New Roman" w:hAnsi="Times New Roman"/>
          <w:sz w:val="22"/>
        </w:rPr>
        <w:t xml:space="preserve">át 800 mg-ig emelték azon </w:t>
      </w:r>
      <w:r w:rsidR="00444AFF">
        <w:rPr>
          <w:rFonts w:ascii="Times New Roman" w:eastAsia="Times New Roman" w:hAnsi="Times New Roman"/>
          <w:sz w:val="22"/>
        </w:rPr>
        <w:t>betegeknél</w:t>
      </w:r>
      <w:r>
        <w:rPr>
          <w:rFonts w:ascii="Times New Roman" w:eastAsia="Times New Roman" w:hAnsi="Times New Roman"/>
          <w:sz w:val="22"/>
        </w:rPr>
        <w:t xml:space="preserve">, akiknek a betegsége </w:t>
      </w:r>
      <w:r w:rsidR="00626A4B">
        <w:rPr>
          <w:rFonts w:ascii="Times New Roman" w:eastAsia="Times New Roman" w:hAnsi="Times New Roman"/>
          <w:sz w:val="22"/>
        </w:rPr>
        <w:t>kisebb</w:t>
      </w:r>
      <w:r>
        <w:rPr>
          <w:rFonts w:ascii="Times New Roman" w:eastAsia="Times New Roman" w:hAnsi="Times New Roman"/>
          <w:sz w:val="22"/>
        </w:rPr>
        <w:t>, napi 400 mg</w:t>
      </w:r>
      <w:r w:rsidR="005F4F77">
        <w:rPr>
          <w:rFonts w:ascii="Times New Roman" w:eastAsia="Times New Roman" w:hAnsi="Times New Roman"/>
          <w:sz w:val="22"/>
        </w:rPr>
        <w:t>-os</w:t>
      </w:r>
      <w:r>
        <w:rPr>
          <w:rFonts w:ascii="Times New Roman" w:eastAsia="Times New Roman" w:hAnsi="Times New Roman"/>
          <w:sz w:val="22"/>
        </w:rPr>
        <w:t xml:space="preserve"> vagy 600 mg</w:t>
      </w:r>
      <w:r w:rsidR="005F4F77">
        <w:rPr>
          <w:rFonts w:ascii="Times New Roman" w:eastAsia="Times New Roman" w:hAnsi="Times New Roman"/>
          <w:sz w:val="22"/>
        </w:rPr>
        <w:t>-os</w:t>
      </w:r>
      <w:r>
        <w:rPr>
          <w:rFonts w:ascii="Times New Roman" w:eastAsia="Times New Roman" w:hAnsi="Times New Roman"/>
          <w:sz w:val="22"/>
        </w:rPr>
        <w:t xml:space="preserve"> </w:t>
      </w:r>
      <w:r w:rsidR="005F4F77">
        <w:rPr>
          <w:rFonts w:ascii="Times New Roman" w:eastAsia="Times New Roman" w:hAnsi="Times New Roman"/>
          <w:sz w:val="22"/>
        </w:rPr>
        <w:t>dózis</w:t>
      </w:r>
      <w:r>
        <w:rPr>
          <w:rFonts w:ascii="Times New Roman" w:eastAsia="Times New Roman" w:hAnsi="Times New Roman"/>
          <w:sz w:val="22"/>
        </w:rPr>
        <w:t xml:space="preserve"> mellett progressziót mutatott. A napi </w:t>
      </w:r>
      <w:r w:rsidR="005F4F77">
        <w:rPr>
          <w:rFonts w:ascii="Times New Roman" w:eastAsia="Times New Roman" w:hAnsi="Times New Roman"/>
          <w:sz w:val="22"/>
        </w:rPr>
        <w:t>dózis</w:t>
      </w:r>
      <w:r>
        <w:rPr>
          <w:rFonts w:ascii="Times New Roman" w:eastAsia="Times New Roman" w:hAnsi="Times New Roman"/>
          <w:sz w:val="22"/>
        </w:rPr>
        <w:t>t összesen 103 </w:t>
      </w:r>
      <w:r w:rsidR="009652D1">
        <w:rPr>
          <w:rFonts w:ascii="Times New Roman" w:eastAsia="Times New Roman" w:hAnsi="Times New Roman"/>
          <w:sz w:val="22"/>
        </w:rPr>
        <w:t xml:space="preserve">betegnél </w:t>
      </w:r>
      <w:r>
        <w:rPr>
          <w:rFonts w:ascii="Times New Roman" w:eastAsia="Times New Roman" w:hAnsi="Times New Roman"/>
          <w:sz w:val="22"/>
        </w:rPr>
        <w:t xml:space="preserve">emelték 800 mg-ra; 6 beteg ért el részleges választ, és 21 beteg állapota stabilizálódott az adag emelését követően, ami 26%-os </w:t>
      </w:r>
      <w:r w:rsidR="00746F3B">
        <w:rPr>
          <w:rFonts w:ascii="Times New Roman" w:eastAsia="Times New Roman" w:hAnsi="Times New Roman"/>
          <w:sz w:val="22"/>
        </w:rPr>
        <w:t xml:space="preserve">teljes </w:t>
      </w:r>
      <w:r>
        <w:rPr>
          <w:rFonts w:ascii="Times New Roman" w:eastAsia="Times New Roman" w:hAnsi="Times New Roman"/>
          <w:sz w:val="22"/>
        </w:rPr>
        <w:t xml:space="preserve">klinikai előnynek felel meg. A rendelkezésre álló biztonsági adatok arra utalnak, hogy a napi 400 mg vagy 600 mg </w:t>
      </w:r>
      <w:r w:rsidR="005F4F77">
        <w:rPr>
          <w:rFonts w:ascii="Times New Roman" w:eastAsia="Times New Roman" w:hAnsi="Times New Roman"/>
          <w:sz w:val="22"/>
        </w:rPr>
        <w:t>dózis</w:t>
      </w:r>
      <w:r>
        <w:rPr>
          <w:rFonts w:ascii="Times New Roman" w:eastAsia="Times New Roman" w:hAnsi="Times New Roman"/>
          <w:sz w:val="22"/>
        </w:rPr>
        <w:t xml:space="preserve"> mellett progressziót mutató </w:t>
      </w:r>
      <w:r w:rsidR="009652D1">
        <w:rPr>
          <w:rFonts w:ascii="Times New Roman" w:eastAsia="Times New Roman" w:hAnsi="Times New Roman"/>
          <w:sz w:val="22"/>
        </w:rPr>
        <w:t xml:space="preserve">betegeknél </w:t>
      </w:r>
      <w:r>
        <w:rPr>
          <w:rFonts w:ascii="Times New Roman" w:eastAsia="Times New Roman" w:hAnsi="Times New Roman"/>
          <w:sz w:val="22"/>
        </w:rPr>
        <w:t xml:space="preserve">az imatinib napi </w:t>
      </w:r>
      <w:r w:rsidR="005F4F77">
        <w:rPr>
          <w:rFonts w:ascii="Times New Roman" w:eastAsia="Times New Roman" w:hAnsi="Times New Roman"/>
          <w:sz w:val="22"/>
        </w:rPr>
        <w:t>dózis</w:t>
      </w:r>
      <w:r>
        <w:rPr>
          <w:rFonts w:ascii="Times New Roman" w:eastAsia="Times New Roman" w:hAnsi="Times New Roman"/>
          <w:sz w:val="22"/>
        </w:rPr>
        <w:t>ának 800 mg-ra való emelése nem befolyásolja a készítmény biztonságossági profilját.</w:t>
      </w:r>
    </w:p>
    <w:p w14:paraId="0052C9FE" w14:textId="77777777" w:rsidR="0090561A" w:rsidRDefault="0090561A">
      <w:pPr>
        <w:spacing w:line="220" w:lineRule="auto"/>
        <w:ind w:right="300"/>
        <w:rPr>
          <w:rFonts w:ascii="Times New Roman" w:eastAsia="Times New Roman" w:hAnsi="Times New Roman"/>
          <w:sz w:val="22"/>
          <w:szCs w:val="22"/>
        </w:rPr>
      </w:pPr>
    </w:p>
    <w:p w14:paraId="031BD52C" w14:textId="77777777" w:rsidR="00E07786" w:rsidRDefault="00E07786" w:rsidP="00E07786">
      <w:pPr>
        <w:spacing w:line="0" w:lineRule="atLeast"/>
        <w:ind w:left="20"/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eastAsia="Times New Roman" w:hAnsi="Times New Roman"/>
          <w:sz w:val="22"/>
          <w:u w:val="single"/>
        </w:rPr>
        <w:t>A GIST adjuváns kezelése során folytatott klinikai vizsgálatok</w:t>
      </w:r>
    </w:p>
    <w:p w14:paraId="5DCDB1FC" w14:textId="77777777" w:rsidR="00E07786" w:rsidRDefault="00E07786" w:rsidP="00E07786">
      <w:pPr>
        <w:spacing w:line="7" w:lineRule="exact"/>
        <w:rPr>
          <w:rFonts w:ascii="Times New Roman" w:eastAsia="Times New Roman" w:hAnsi="Times New Roman"/>
        </w:rPr>
      </w:pPr>
    </w:p>
    <w:p w14:paraId="37320960" w14:textId="2851368A" w:rsidR="00E07786" w:rsidRDefault="00E07786" w:rsidP="00E07786">
      <w:pPr>
        <w:spacing w:line="239" w:lineRule="auto"/>
        <w:ind w:left="20" w:right="3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Adjuvánsként az imatinibet egy multicentrikus, kettős vak, hosszú távú, placebokontrollos, III.</w:t>
      </w:r>
      <w:r w:rsidR="00800EB7">
        <w:rPr>
          <w:rFonts w:ascii="Times New Roman" w:eastAsia="Times New Roman" w:hAnsi="Times New Roman"/>
          <w:sz w:val="22"/>
        </w:rPr>
        <w:t> </w:t>
      </w:r>
      <w:r>
        <w:rPr>
          <w:rFonts w:ascii="Times New Roman" w:eastAsia="Times New Roman" w:hAnsi="Times New Roman"/>
          <w:sz w:val="22"/>
        </w:rPr>
        <w:t>fázisú vizsgálatban (Z9001) értékelték, amelybe 773 beteget vontak be. Ezeknek a betegeknek az életkora 18 és 91 év között volt. Olyan betegeket vontak be, akiknek a</w:t>
      </w:r>
      <w:r w:rsidR="00D970C8">
        <w:rPr>
          <w:rFonts w:ascii="Times New Roman" w:eastAsia="Times New Roman" w:hAnsi="Times New Roman"/>
          <w:sz w:val="22"/>
        </w:rPr>
        <w:t>z előzetes</w:t>
      </w:r>
      <w:r>
        <w:rPr>
          <w:rFonts w:ascii="Times New Roman" w:eastAsia="Times New Roman" w:hAnsi="Times New Roman"/>
          <w:sz w:val="22"/>
        </w:rPr>
        <w:t xml:space="preserve"> szövettani diagnózisa immunhisztokémiai vizsgálattal igazolt, Kit</w:t>
      </w:r>
      <w:r w:rsidR="00D970C8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protein</w:t>
      </w:r>
      <w:r w:rsidR="00D970C8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expresszáló primer GIST volt, és a tumor legnagyobb átmérője ≥ 3 cm volt, </w:t>
      </w:r>
      <w:r w:rsidR="00353372">
        <w:rPr>
          <w:rFonts w:ascii="Times New Roman" w:eastAsia="Times New Roman" w:hAnsi="Times New Roman"/>
          <w:sz w:val="22"/>
        </w:rPr>
        <w:t>valamint</w:t>
      </w:r>
      <w:r>
        <w:rPr>
          <w:rFonts w:ascii="Times New Roman" w:eastAsia="Times New Roman" w:hAnsi="Times New Roman"/>
          <w:sz w:val="22"/>
        </w:rPr>
        <w:t xml:space="preserve"> a GIST teljes, makroszkópos reszekciója a nyilvántartásba vétel előtt 14–70 nappal történt. A primer GIST reszekcióját követően a betegeket a két kar egyikébe randomizálták: napi 400 mg imatinib</w:t>
      </w:r>
      <w:r w:rsidR="00D970C8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 vagy ennek megfelelő placebo</w:t>
      </w:r>
      <w:r w:rsidR="00AA20E4">
        <w:rPr>
          <w:rFonts w:ascii="Times New Roman" w:eastAsia="Times New Roman" w:hAnsi="Times New Roman"/>
          <w:sz w:val="22"/>
        </w:rPr>
        <w:t>kezelésre</w:t>
      </w:r>
      <w:r>
        <w:rPr>
          <w:rFonts w:ascii="Times New Roman" w:eastAsia="Times New Roman" w:hAnsi="Times New Roman"/>
          <w:sz w:val="22"/>
        </w:rPr>
        <w:t>, egy éven át.</w:t>
      </w:r>
    </w:p>
    <w:p w14:paraId="159E8923" w14:textId="77777777" w:rsidR="00E07786" w:rsidRDefault="00E07786" w:rsidP="00E07786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7DFFAE58" w14:textId="4EA609A6" w:rsidR="00E07786" w:rsidRDefault="00E07786" w:rsidP="00E07786">
      <w:pPr>
        <w:spacing w:line="237" w:lineRule="auto"/>
        <w:ind w:left="20" w:right="8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 vizsgálat elsődleges végpontja a kiújulásmentes túlélés (</w:t>
      </w:r>
      <w:r w:rsidRPr="00647049">
        <w:rPr>
          <w:rFonts w:ascii="Times New Roman" w:eastAsia="Times New Roman" w:hAnsi="Times New Roman"/>
          <w:i/>
          <w:iCs/>
          <w:sz w:val="22"/>
        </w:rPr>
        <w:t>recurrence-free survival</w:t>
      </w:r>
      <w:r w:rsidR="00AA20E4">
        <w:rPr>
          <w:rFonts w:ascii="Times New Roman" w:eastAsia="Times New Roman" w:hAnsi="Times New Roman"/>
          <w:sz w:val="22"/>
        </w:rPr>
        <w:t xml:space="preserve">, </w:t>
      </w:r>
      <w:r>
        <w:rPr>
          <w:rFonts w:ascii="Times New Roman" w:eastAsia="Times New Roman" w:hAnsi="Times New Roman"/>
          <w:sz w:val="22"/>
        </w:rPr>
        <w:t>RFS) volt, amelynek definíciója a randomizációtól a kiújulásig vagy a bármely okból bekövetkező halál időpontjáig eltelt idő.</w:t>
      </w:r>
    </w:p>
    <w:p w14:paraId="54D073BB" w14:textId="77777777" w:rsidR="00E07786" w:rsidRDefault="00E07786">
      <w:pPr>
        <w:spacing w:line="220" w:lineRule="auto"/>
        <w:ind w:right="300"/>
        <w:rPr>
          <w:rFonts w:ascii="Times New Roman" w:eastAsia="Times New Roman" w:hAnsi="Times New Roman"/>
          <w:sz w:val="22"/>
          <w:szCs w:val="22"/>
        </w:rPr>
      </w:pPr>
    </w:p>
    <w:p w14:paraId="5BF4C03F" w14:textId="46A314D1" w:rsidR="00E07786" w:rsidRDefault="00E07786" w:rsidP="00E07786">
      <w:pPr>
        <w:spacing w:line="235" w:lineRule="auto"/>
        <w:ind w:left="20" w:righ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Az imatinib szignifikánsan meghosszabbította a kiújulásmentes túlélést, az imatinib-csoportban a betegek 75%-a kiújulásmentes volt a 38. hónapban, a placebocsoportban észlelt 20 hónappal szemben (95%-os CI sorrendben: [30 </w:t>
      </w:r>
      <w:r>
        <w:rPr>
          <w:rFonts w:ascii="Times New Roman" w:eastAsia="Times New Roman" w:hAnsi="Times New Roman" w:cs="Times New Roman"/>
          <w:sz w:val="22"/>
        </w:rPr>
        <w:t>−</w:t>
      </w:r>
      <w:r>
        <w:rPr>
          <w:rFonts w:ascii="Times New Roman" w:eastAsia="Times New Roman" w:hAnsi="Times New Roman"/>
          <w:sz w:val="22"/>
        </w:rPr>
        <w:t xml:space="preserve"> nem megbecsülhető]; [14 </w:t>
      </w:r>
      <w:r>
        <w:rPr>
          <w:rFonts w:ascii="Times New Roman" w:eastAsia="Times New Roman" w:hAnsi="Times New Roman" w:cs="Times New Roman"/>
          <w:sz w:val="22"/>
        </w:rPr>
        <w:t>−</w:t>
      </w:r>
      <w:r>
        <w:rPr>
          <w:rFonts w:ascii="Times New Roman" w:eastAsia="Times New Roman" w:hAnsi="Times New Roman"/>
          <w:sz w:val="22"/>
        </w:rPr>
        <w:t xml:space="preserve"> nem megbecsülhető); (relatív hazárd = 0,398 [0,259</w:t>
      </w:r>
      <w:r w:rsidR="003924B7">
        <w:rPr>
          <w:rFonts w:ascii="Times New Roman" w:eastAsia="Times New Roman" w:hAnsi="Times New Roman" w:cs="Times New Roman"/>
          <w:sz w:val="22"/>
        </w:rPr>
        <w:t xml:space="preserve">; </w:t>
      </w:r>
      <w:r>
        <w:rPr>
          <w:rFonts w:ascii="Times New Roman" w:eastAsia="Times New Roman" w:hAnsi="Times New Roman"/>
          <w:sz w:val="22"/>
        </w:rPr>
        <w:t>0,610], p &lt; 0,0001). Egy év után a teljes kiújulásmentes túlélés szignifikánsan jobb volt az imatinib (97,7%), mint a placebo esetén (82,3%), (p &lt; 0,0001). A kiújulás kockázata a placebóhoz képest így mintegy 89%-kal csökkent (relatív hazárd = 0,113 [0,049</w:t>
      </w:r>
      <w:r w:rsidR="003924B7">
        <w:rPr>
          <w:rFonts w:ascii="Times New Roman" w:eastAsia="Times New Roman" w:hAnsi="Times New Roman"/>
          <w:sz w:val="22"/>
        </w:rPr>
        <w:t xml:space="preserve">; </w:t>
      </w:r>
      <w:r>
        <w:rPr>
          <w:rFonts w:ascii="Times New Roman" w:eastAsia="Times New Roman" w:hAnsi="Times New Roman"/>
          <w:sz w:val="22"/>
        </w:rPr>
        <w:t>0,264]).</w:t>
      </w:r>
    </w:p>
    <w:p w14:paraId="57801FA1" w14:textId="77777777" w:rsidR="00E07786" w:rsidRDefault="00E07786">
      <w:pPr>
        <w:spacing w:line="220" w:lineRule="auto"/>
        <w:ind w:right="300"/>
        <w:rPr>
          <w:rFonts w:ascii="Times New Roman" w:eastAsia="Times New Roman" w:hAnsi="Times New Roman"/>
          <w:sz w:val="22"/>
          <w:szCs w:val="22"/>
        </w:rPr>
      </w:pPr>
    </w:p>
    <w:p w14:paraId="2CB7B420" w14:textId="7DDACCA4" w:rsidR="009A7EEC" w:rsidRDefault="00E07786" w:rsidP="00DF0286">
      <w:pPr>
        <w:spacing w:line="238" w:lineRule="auto"/>
        <w:ind w:left="20" w:right="260"/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eastAsia="Times New Roman" w:hAnsi="Times New Roman"/>
          <w:sz w:val="22"/>
        </w:rPr>
        <w:t>A primer GIST operációján átesett betegeknél a kiújulás kockázatát az alábbi prognosztikai faktorok alapján retrospektív módon értékelték: a daganat mérete, a mitotikus</w:t>
      </w:r>
      <w:r w:rsidR="000134ED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index, a daganat lokalizációja. A 713 fős bevál</w:t>
      </w:r>
      <w:r w:rsidR="003924B7">
        <w:rPr>
          <w:rFonts w:ascii="Times New Roman" w:eastAsia="Times New Roman" w:hAnsi="Times New Roman"/>
          <w:sz w:val="22"/>
        </w:rPr>
        <w:t>asztás</w:t>
      </w:r>
      <w:r>
        <w:rPr>
          <w:rFonts w:ascii="Times New Roman" w:eastAsia="Times New Roman" w:hAnsi="Times New Roman"/>
          <w:sz w:val="22"/>
        </w:rPr>
        <w:t xml:space="preserve"> szerinti (</w:t>
      </w:r>
      <w:r w:rsidRPr="00647049">
        <w:rPr>
          <w:rFonts w:ascii="Times New Roman" w:eastAsia="Times New Roman" w:hAnsi="Times New Roman"/>
          <w:i/>
          <w:iCs/>
          <w:sz w:val="22"/>
        </w:rPr>
        <w:t>intention-to-treat</w:t>
      </w:r>
      <w:r w:rsidR="000134ED">
        <w:rPr>
          <w:rFonts w:ascii="Times New Roman" w:eastAsia="Times New Roman" w:hAnsi="Times New Roman"/>
          <w:sz w:val="22"/>
        </w:rPr>
        <w:t xml:space="preserve">, </w:t>
      </w:r>
      <w:r>
        <w:rPr>
          <w:rFonts w:ascii="Times New Roman" w:eastAsia="Times New Roman" w:hAnsi="Times New Roman"/>
          <w:sz w:val="22"/>
        </w:rPr>
        <w:t xml:space="preserve">ITT) </w:t>
      </w:r>
      <w:r w:rsidR="00DF0286" w:rsidRPr="00DF0286">
        <w:rPr>
          <w:rFonts w:ascii="Times New Roman" w:eastAsia="Times New Roman" w:hAnsi="Times New Roman"/>
          <w:sz w:val="22"/>
        </w:rPr>
        <w:t xml:space="preserve">populációból </w:t>
      </w:r>
      <w:r>
        <w:rPr>
          <w:rFonts w:ascii="Times New Roman" w:eastAsia="Times New Roman" w:hAnsi="Times New Roman"/>
          <w:sz w:val="22"/>
        </w:rPr>
        <w:t>a mitotikus</w:t>
      </w:r>
      <w:r w:rsidR="000134ED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 xml:space="preserve">indexre vonatkozó adatok 556 beteg esetén álltak rendelkezésre. A </w:t>
      </w:r>
      <w:r w:rsidRPr="00647049">
        <w:rPr>
          <w:rFonts w:ascii="Times New Roman" w:eastAsia="Times New Roman" w:hAnsi="Times New Roman"/>
          <w:i/>
          <w:iCs/>
          <w:sz w:val="22"/>
        </w:rPr>
        <w:t>United States National Institutes of Health</w:t>
      </w:r>
      <w:r>
        <w:rPr>
          <w:rFonts w:ascii="Times New Roman" w:eastAsia="Times New Roman" w:hAnsi="Times New Roman"/>
          <w:sz w:val="22"/>
        </w:rPr>
        <w:t xml:space="preserve"> (NIH) és az </w:t>
      </w:r>
      <w:r w:rsidRPr="00647049">
        <w:rPr>
          <w:rFonts w:ascii="Times New Roman" w:eastAsia="Times New Roman" w:hAnsi="Times New Roman"/>
          <w:i/>
          <w:iCs/>
          <w:sz w:val="22"/>
        </w:rPr>
        <w:t>Armed Forces Institute of Pathology</w:t>
      </w:r>
      <w:r>
        <w:rPr>
          <w:rFonts w:ascii="Times New Roman" w:eastAsia="Times New Roman" w:hAnsi="Times New Roman"/>
          <w:sz w:val="22"/>
        </w:rPr>
        <w:t xml:space="preserve"> (AFIP) kockázatbesorolása szerint végzett alcsoport-analízis eredményeit a 7.</w:t>
      </w:r>
      <w:r w:rsidR="0061442C">
        <w:rPr>
          <w:rFonts w:ascii="Times New Roman" w:eastAsia="Times New Roman" w:hAnsi="Times New Roman"/>
          <w:sz w:val="22"/>
          <w:szCs w:val="22"/>
        </w:rPr>
        <w:t> </w:t>
      </w:r>
      <w:r>
        <w:rPr>
          <w:rFonts w:ascii="Times New Roman" w:eastAsia="Times New Roman" w:hAnsi="Times New Roman"/>
          <w:sz w:val="22"/>
        </w:rPr>
        <w:t>táblázat mutatja. Nem észleltek előnyt az alacsony és a nagyon alacsony kockázatú csoportokban. Nem észleltek teljes túlélési előnyt.</w:t>
      </w:r>
    </w:p>
    <w:p w14:paraId="3EC3D320" w14:textId="77777777" w:rsidR="009A7EEC" w:rsidRDefault="009A7EEC" w:rsidP="00E07786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3B8829CE" w14:textId="18150879" w:rsidR="00E07786" w:rsidRDefault="00E07786" w:rsidP="00E07786">
      <w:pPr>
        <w:keepNext/>
        <w:tabs>
          <w:tab w:val="left" w:pos="9498"/>
        </w:tabs>
        <w:rPr>
          <w:rFonts w:ascii="Times New Roman" w:eastAsia="Times New Roman" w:hAnsi="Times New Roman"/>
          <w:b/>
          <w:sz w:val="22"/>
        </w:rPr>
      </w:pPr>
      <w:r w:rsidRPr="00B03CFF">
        <w:rPr>
          <w:rFonts w:ascii="Times New Roman" w:eastAsia="Times New Roman" w:hAnsi="Times New Roman"/>
          <w:b/>
          <w:bCs/>
          <w:sz w:val="22"/>
          <w:u w:val="single"/>
        </w:rPr>
        <w:t>7. táblázat:</w:t>
      </w:r>
      <w:r>
        <w:rPr>
          <w:rFonts w:ascii="Times New Roman" w:eastAsia="Times New Roman" w:hAnsi="Times New Roman"/>
          <w:sz w:val="22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2"/>
        </w:rPr>
        <w:t xml:space="preserve">A Z9001-vizsgálat NIH és AFIP kockázatbesorolása szerinti </w:t>
      </w:r>
      <w:r w:rsidRPr="00FD6F1E">
        <w:rPr>
          <w:rFonts w:ascii="Times New Roman" w:eastAsia="Times New Roman" w:hAnsi="Times New Roman"/>
          <w:b/>
          <w:sz w:val="22"/>
        </w:rPr>
        <w:t>kiújulásment</w:t>
      </w:r>
      <w:r>
        <w:rPr>
          <w:rFonts w:ascii="Times New Roman" w:eastAsia="Times New Roman" w:hAnsi="Times New Roman"/>
          <w:b/>
          <w:sz w:val="22"/>
        </w:rPr>
        <w:t>es túlélés (RFS) analízis összefoglalása</w:t>
      </w:r>
    </w:p>
    <w:p w14:paraId="71B89E7F" w14:textId="77777777" w:rsidR="00E07786" w:rsidRDefault="00E07786">
      <w:pPr>
        <w:spacing w:line="220" w:lineRule="auto"/>
        <w:ind w:right="300"/>
        <w:rPr>
          <w:rFonts w:ascii="Times New Roman" w:eastAsia="Times New Roman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02"/>
        <w:gridCol w:w="1162"/>
        <w:gridCol w:w="856"/>
        <w:gridCol w:w="1347"/>
        <w:gridCol w:w="1952"/>
        <w:gridCol w:w="1215"/>
        <w:gridCol w:w="1218"/>
      </w:tblGrid>
      <w:tr w:rsidR="00E07786" w:rsidRPr="001347EF" w14:paraId="53041E36" w14:textId="77777777" w:rsidTr="00647049">
        <w:trPr>
          <w:trHeight w:val="1030"/>
        </w:trPr>
        <w:tc>
          <w:tcPr>
            <w:tcW w:w="719" w:type="pct"/>
            <w:vMerge w:val="restart"/>
          </w:tcPr>
          <w:p w14:paraId="2E4A9F94" w14:textId="73201D0D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Kockázat</w:t>
            </w:r>
            <w:r w:rsidR="00DF0286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-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besorolás</w:t>
            </w:r>
          </w:p>
        </w:tc>
        <w:tc>
          <w:tcPr>
            <w:tcW w:w="642" w:type="pct"/>
            <w:vMerge w:val="restart"/>
          </w:tcPr>
          <w:p w14:paraId="7FD8CA1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Kockázati szint</w:t>
            </w:r>
          </w:p>
        </w:tc>
        <w:tc>
          <w:tcPr>
            <w:tcW w:w="473" w:type="pct"/>
            <w:vMerge w:val="restart"/>
          </w:tcPr>
          <w:p w14:paraId="3ACD4EE3" w14:textId="32076719" w:rsidR="00E07786" w:rsidRDefault="009A7EEC" w:rsidP="009A7EEC">
            <w:pPr>
              <w:pStyle w:val="Default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B</w:t>
            </w:r>
            <w:r w:rsidR="00E07786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etegek </w:t>
            </w:r>
          </w:p>
          <w:p w14:paraId="71582A69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%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-a</w:t>
            </w:r>
          </w:p>
        </w:tc>
        <w:tc>
          <w:tcPr>
            <w:tcW w:w="744" w:type="pct"/>
          </w:tcPr>
          <w:p w14:paraId="22969AB3" w14:textId="7A91B538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Események száma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/ </w:t>
            </w:r>
            <w:r w:rsidR="0019521A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B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etegek száma</w:t>
            </w:r>
          </w:p>
        </w:tc>
        <w:tc>
          <w:tcPr>
            <w:tcW w:w="1078" w:type="pct"/>
            <w:vMerge w:val="restart"/>
          </w:tcPr>
          <w:p w14:paraId="06B9961B" w14:textId="780F45E1" w:rsidR="00E07786" w:rsidRPr="00AA1A2E" w:rsidRDefault="0019521A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>Teljes</w:t>
            </w:r>
            <w:r w:rsidR="00E07786"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 xml:space="preserve"> relatív haz</w:t>
            </w:r>
            <w:r w:rsidR="00DF0286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>á</w:t>
            </w:r>
            <w:r w:rsidR="00E07786"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>rd (95%</w:t>
            </w:r>
            <w:r w:rsidR="00F71E24"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>-os</w:t>
            </w:r>
            <w:r w:rsidR="0061442C"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 xml:space="preserve"> </w:t>
            </w:r>
            <w:r w:rsidR="00E07786" w:rsidRPr="00AA1A2E">
              <w:rPr>
                <w:rFonts w:ascii="Times New Roman" w:hAnsi="Times New Roman"/>
                <w:b/>
                <w:bCs/>
                <w:sz w:val="22"/>
                <w:szCs w:val="22"/>
                <w:lang w:val="pt-BR"/>
              </w:rPr>
              <w:t>CI)*</w:t>
            </w:r>
          </w:p>
        </w:tc>
        <w:tc>
          <w:tcPr>
            <w:tcW w:w="1344" w:type="pct"/>
            <w:gridSpan w:val="2"/>
          </w:tcPr>
          <w:p w14:paraId="18C02B7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RFS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arányok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  <w:p w14:paraId="1F4FC9F9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E07786" w:rsidRPr="001347EF" w14:paraId="1E43F952" w14:textId="77777777" w:rsidTr="00647049">
        <w:tc>
          <w:tcPr>
            <w:tcW w:w="719" w:type="pct"/>
            <w:vMerge/>
          </w:tcPr>
          <w:p w14:paraId="6007E5C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  <w:vMerge/>
          </w:tcPr>
          <w:p w14:paraId="2A067C7A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473" w:type="pct"/>
            <w:vMerge/>
          </w:tcPr>
          <w:p w14:paraId="55E219DA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44" w:type="pct"/>
            <w:vMerge w:val="restart"/>
          </w:tcPr>
          <w:p w14:paraId="5E06AF9D" w14:textId="6A53F220" w:rsidR="00E07786" w:rsidRPr="001347EF" w:rsidRDefault="00E07786" w:rsidP="00380094">
            <w:pPr>
              <w:pStyle w:val="Default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color w:val="000000"/>
                <w:sz w:val="22"/>
                <w:szCs w:val="22"/>
                <w:lang w:val="en-GB" w:eastAsia="pl-PL"/>
              </w:rPr>
              <w:t>Imatinib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vs</w:t>
            </w:r>
            <w:r w:rsidR="00243F2D"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.</w:t>
            </w:r>
            <w:r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placebo</w:t>
            </w:r>
          </w:p>
        </w:tc>
        <w:tc>
          <w:tcPr>
            <w:tcW w:w="1078" w:type="pct"/>
            <w:vMerge/>
          </w:tcPr>
          <w:p w14:paraId="418BF7B2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71" w:type="pct"/>
          </w:tcPr>
          <w:p w14:paraId="31AA437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12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 hónap</w:t>
            </w:r>
          </w:p>
        </w:tc>
        <w:tc>
          <w:tcPr>
            <w:tcW w:w="673" w:type="pct"/>
          </w:tcPr>
          <w:p w14:paraId="6BEA802C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24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 hónap</w:t>
            </w:r>
          </w:p>
        </w:tc>
      </w:tr>
      <w:tr w:rsidR="00E07786" w:rsidRPr="001347EF" w14:paraId="398452E8" w14:textId="77777777" w:rsidTr="00647049">
        <w:tc>
          <w:tcPr>
            <w:tcW w:w="719" w:type="pct"/>
            <w:vMerge/>
          </w:tcPr>
          <w:p w14:paraId="30C07078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  <w:vMerge/>
            <w:tcBorders>
              <w:bottom w:val="single" w:sz="4" w:space="0" w:color="auto"/>
            </w:tcBorders>
          </w:tcPr>
          <w:p w14:paraId="61A76F7A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473" w:type="pct"/>
            <w:vMerge/>
          </w:tcPr>
          <w:p w14:paraId="6F6C8AE3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44" w:type="pct"/>
            <w:vMerge/>
          </w:tcPr>
          <w:p w14:paraId="32191210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1078" w:type="pct"/>
            <w:vMerge/>
          </w:tcPr>
          <w:p w14:paraId="06D6C35D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71" w:type="pct"/>
          </w:tcPr>
          <w:p w14:paraId="78116833" w14:textId="36097542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color w:val="000000"/>
                <w:sz w:val="22"/>
                <w:szCs w:val="22"/>
                <w:lang w:val="en-GB" w:eastAsia="pl-PL"/>
              </w:rPr>
              <w:t>Imatinib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vs</w:t>
            </w:r>
            <w:r w:rsidR="00DF0286"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.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placebo</w:t>
            </w:r>
          </w:p>
        </w:tc>
        <w:tc>
          <w:tcPr>
            <w:tcW w:w="673" w:type="pct"/>
          </w:tcPr>
          <w:p w14:paraId="4ED76D2E" w14:textId="6B624BF5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b/>
                <w:color w:val="000000"/>
                <w:sz w:val="22"/>
                <w:szCs w:val="22"/>
                <w:lang w:val="en-GB" w:eastAsia="pl-PL"/>
              </w:rPr>
              <w:t>Imatinib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vs</w:t>
            </w:r>
            <w:r w:rsidR="00DF0286" w:rsidRPr="00647049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en-GB"/>
              </w:rPr>
              <w:t>.</w:t>
            </w:r>
            <w:r w:rsidRPr="001347EF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 xml:space="preserve"> placebo</w:t>
            </w:r>
          </w:p>
        </w:tc>
      </w:tr>
      <w:tr w:rsidR="00E07786" w:rsidRPr="001347EF" w14:paraId="7A4C470B" w14:textId="77777777" w:rsidTr="00647049">
        <w:tc>
          <w:tcPr>
            <w:tcW w:w="719" w:type="pct"/>
            <w:vMerge w:val="restart"/>
            <w:vAlign w:val="center"/>
          </w:tcPr>
          <w:p w14:paraId="246D55EA" w14:textId="77777777" w:rsidR="00E07786" w:rsidRPr="001347EF" w:rsidRDefault="00E07786" w:rsidP="00380094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NIH</w:t>
            </w:r>
          </w:p>
          <w:p w14:paraId="1185BE5D" w14:textId="77777777" w:rsidR="00E07786" w:rsidRPr="001347EF" w:rsidRDefault="00E07786" w:rsidP="00380094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</w:tcPr>
          <w:p w14:paraId="52E4ACC8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Alacsony</w:t>
            </w:r>
          </w:p>
        </w:tc>
        <w:tc>
          <w:tcPr>
            <w:tcW w:w="473" w:type="pct"/>
          </w:tcPr>
          <w:p w14:paraId="29C55AEF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29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44" w:type="pct"/>
          </w:tcPr>
          <w:p w14:paraId="133E5A58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0/86 vs. 2/90</w:t>
            </w:r>
          </w:p>
        </w:tc>
        <w:tc>
          <w:tcPr>
            <w:tcW w:w="1078" w:type="pct"/>
          </w:tcPr>
          <w:p w14:paraId="5A1C9B70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N.</w:t>
            </w:r>
            <w:r w:rsidR="0018182D">
              <w:rPr>
                <w:rFonts w:ascii="Times New Roman" w:hAnsi="Times New Roman"/>
                <w:sz w:val="22"/>
                <w:szCs w:val="22"/>
                <w:lang w:val="en-GB"/>
              </w:rPr>
              <w:t>m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. </w:t>
            </w:r>
          </w:p>
        </w:tc>
        <w:tc>
          <w:tcPr>
            <w:tcW w:w="671" w:type="pct"/>
          </w:tcPr>
          <w:p w14:paraId="1683FDBE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98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673" w:type="pct"/>
          </w:tcPr>
          <w:p w14:paraId="60AA24A2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95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5</w:t>
            </w:r>
          </w:p>
        </w:tc>
      </w:tr>
      <w:tr w:rsidR="00E07786" w:rsidRPr="001347EF" w14:paraId="1AC16EE3" w14:textId="77777777" w:rsidTr="00647049">
        <w:tc>
          <w:tcPr>
            <w:tcW w:w="719" w:type="pct"/>
            <w:vMerge/>
          </w:tcPr>
          <w:p w14:paraId="5B4E7C49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</w:tcPr>
          <w:p w14:paraId="6D02F022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Közepes</w:t>
            </w:r>
          </w:p>
        </w:tc>
        <w:tc>
          <w:tcPr>
            <w:tcW w:w="473" w:type="pct"/>
          </w:tcPr>
          <w:p w14:paraId="24C32C9C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25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44" w:type="pct"/>
          </w:tcPr>
          <w:p w14:paraId="6E9311A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4/75 vs. 6/78</w:t>
            </w:r>
          </w:p>
        </w:tc>
        <w:tc>
          <w:tcPr>
            <w:tcW w:w="1078" w:type="pct"/>
          </w:tcPr>
          <w:p w14:paraId="1B18D0E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59 (0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17; 2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10)</w:t>
            </w:r>
          </w:p>
        </w:tc>
        <w:tc>
          <w:tcPr>
            <w:tcW w:w="671" w:type="pct"/>
          </w:tcPr>
          <w:p w14:paraId="22128EAD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94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673" w:type="pct"/>
          </w:tcPr>
          <w:p w14:paraId="3CF8402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97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 vs. 89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5</w:t>
            </w:r>
          </w:p>
        </w:tc>
      </w:tr>
      <w:tr w:rsidR="00E07786" w:rsidRPr="001347EF" w14:paraId="3BDCC57C" w14:textId="77777777" w:rsidTr="00647049">
        <w:tc>
          <w:tcPr>
            <w:tcW w:w="719" w:type="pct"/>
            <w:vMerge/>
          </w:tcPr>
          <w:p w14:paraId="09C7AAB9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  <w:tcBorders>
              <w:bottom w:val="single" w:sz="4" w:space="0" w:color="auto"/>
            </w:tcBorders>
          </w:tcPr>
          <w:p w14:paraId="4BED2DC9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Magas</w:t>
            </w:r>
          </w:p>
        </w:tc>
        <w:tc>
          <w:tcPr>
            <w:tcW w:w="473" w:type="pct"/>
          </w:tcPr>
          <w:p w14:paraId="650242CC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44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744" w:type="pct"/>
          </w:tcPr>
          <w:p w14:paraId="22C97097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21/140 vs. 51/127</w:t>
            </w:r>
          </w:p>
        </w:tc>
        <w:tc>
          <w:tcPr>
            <w:tcW w:w="1078" w:type="pct"/>
          </w:tcPr>
          <w:p w14:paraId="24F11A96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29 (0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18; 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49)</w:t>
            </w:r>
          </w:p>
        </w:tc>
        <w:tc>
          <w:tcPr>
            <w:tcW w:w="671" w:type="pct"/>
          </w:tcPr>
          <w:p w14:paraId="5095BC2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94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 vs. 64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673" w:type="pct"/>
          </w:tcPr>
          <w:p w14:paraId="1B5F8E24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 vs. 46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6</w:t>
            </w:r>
          </w:p>
        </w:tc>
      </w:tr>
      <w:tr w:rsidR="00E07786" w:rsidRPr="001347EF" w14:paraId="55D8497D" w14:textId="77777777" w:rsidTr="00647049">
        <w:tc>
          <w:tcPr>
            <w:tcW w:w="719" w:type="pct"/>
            <w:vMerge w:val="restart"/>
            <w:vAlign w:val="center"/>
          </w:tcPr>
          <w:p w14:paraId="1F90E7B0" w14:textId="77777777" w:rsidR="00E07786" w:rsidRPr="001347EF" w:rsidRDefault="00E07786" w:rsidP="00380094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AFIP</w:t>
            </w:r>
          </w:p>
          <w:p w14:paraId="151502E9" w14:textId="77777777" w:rsidR="00E07786" w:rsidRPr="001347EF" w:rsidRDefault="00E07786" w:rsidP="00380094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  <w:tcBorders>
              <w:top w:val="single" w:sz="4" w:space="0" w:color="auto"/>
            </w:tcBorders>
          </w:tcPr>
          <w:p w14:paraId="621D726B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Nagyon alacsony</w:t>
            </w:r>
          </w:p>
        </w:tc>
        <w:tc>
          <w:tcPr>
            <w:tcW w:w="473" w:type="pct"/>
          </w:tcPr>
          <w:p w14:paraId="1EBB618B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44" w:type="pct"/>
          </w:tcPr>
          <w:p w14:paraId="1599CFD7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0/52 vs. 2/63</w:t>
            </w:r>
          </w:p>
        </w:tc>
        <w:tc>
          <w:tcPr>
            <w:tcW w:w="1078" w:type="pct"/>
          </w:tcPr>
          <w:p w14:paraId="48C72360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N.</w:t>
            </w:r>
            <w:r w:rsidR="0018182D">
              <w:rPr>
                <w:rFonts w:ascii="Times New Roman" w:hAnsi="Times New Roman"/>
                <w:sz w:val="22"/>
                <w:szCs w:val="22"/>
                <w:lang w:val="en-GB"/>
              </w:rPr>
              <w:t>m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.</w:t>
            </w:r>
          </w:p>
        </w:tc>
        <w:tc>
          <w:tcPr>
            <w:tcW w:w="671" w:type="pct"/>
          </w:tcPr>
          <w:p w14:paraId="1AA50387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98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673" w:type="pct"/>
          </w:tcPr>
          <w:p w14:paraId="478509DD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93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</w:p>
        </w:tc>
      </w:tr>
      <w:tr w:rsidR="00E07786" w:rsidRPr="001347EF" w14:paraId="32A211EF" w14:textId="77777777" w:rsidTr="00647049">
        <w:tc>
          <w:tcPr>
            <w:tcW w:w="719" w:type="pct"/>
            <w:vMerge/>
          </w:tcPr>
          <w:p w14:paraId="658810F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</w:tcPr>
          <w:p w14:paraId="2FFF6AF6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Alacsony</w:t>
            </w:r>
          </w:p>
        </w:tc>
        <w:tc>
          <w:tcPr>
            <w:tcW w:w="473" w:type="pct"/>
          </w:tcPr>
          <w:p w14:paraId="74B71EAE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25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44" w:type="pct"/>
          </w:tcPr>
          <w:p w14:paraId="3020E5B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2/70 vs. 0/69</w:t>
            </w:r>
          </w:p>
        </w:tc>
        <w:tc>
          <w:tcPr>
            <w:tcW w:w="1078" w:type="pct"/>
          </w:tcPr>
          <w:p w14:paraId="79192B30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N.</w:t>
            </w:r>
            <w:r w:rsidR="0018182D">
              <w:rPr>
                <w:rFonts w:ascii="Times New Roman" w:hAnsi="Times New Roman"/>
                <w:sz w:val="22"/>
                <w:szCs w:val="22"/>
                <w:lang w:val="en-GB"/>
              </w:rPr>
              <w:t>m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.</w:t>
            </w:r>
          </w:p>
        </w:tc>
        <w:tc>
          <w:tcPr>
            <w:tcW w:w="671" w:type="pct"/>
          </w:tcPr>
          <w:p w14:paraId="559AD9DB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100 vs. 100</w:t>
            </w:r>
          </w:p>
        </w:tc>
        <w:tc>
          <w:tcPr>
            <w:tcW w:w="673" w:type="pct"/>
          </w:tcPr>
          <w:p w14:paraId="30A4857E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97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8 vs. 100</w:t>
            </w:r>
          </w:p>
        </w:tc>
      </w:tr>
      <w:tr w:rsidR="00E07786" w:rsidRPr="001347EF" w14:paraId="27F1E6CF" w14:textId="77777777" w:rsidTr="00647049">
        <w:tc>
          <w:tcPr>
            <w:tcW w:w="719" w:type="pct"/>
            <w:vMerge/>
          </w:tcPr>
          <w:p w14:paraId="0E96CB87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</w:tcPr>
          <w:p w14:paraId="4A0ABB61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Közepes</w:t>
            </w:r>
          </w:p>
        </w:tc>
        <w:tc>
          <w:tcPr>
            <w:tcW w:w="473" w:type="pct"/>
          </w:tcPr>
          <w:p w14:paraId="18C36111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24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744" w:type="pct"/>
          </w:tcPr>
          <w:p w14:paraId="1A6F8113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2/70 vs. 11/67</w:t>
            </w:r>
          </w:p>
        </w:tc>
        <w:tc>
          <w:tcPr>
            <w:tcW w:w="1078" w:type="pct"/>
          </w:tcPr>
          <w:p w14:paraId="42B77CB6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16 (0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03; 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70)</w:t>
            </w:r>
          </w:p>
        </w:tc>
        <w:tc>
          <w:tcPr>
            <w:tcW w:w="671" w:type="pct"/>
          </w:tcPr>
          <w:p w14:paraId="14381E8C" w14:textId="77777777" w:rsidR="00E07786" w:rsidRPr="001347EF" w:rsidRDefault="00E07786" w:rsidP="00115568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97</w:t>
            </w:r>
            <w:r w:rsidR="00115568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 vs. 90.8</w:t>
            </w:r>
          </w:p>
        </w:tc>
        <w:tc>
          <w:tcPr>
            <w:tcW w:w="673" w:type="pct"/>
          </w:tcPr>
          <w:p w14:paraId="47F89ED3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97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 vs. 73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3</w:t>
            </w:r>
          </w:p>
        </w:tc>
      </w:tr>
      <w:tr w:rsidR="00E07786" w:rsidRPr="001347EF" w14:paraId="4CF7A54D" w14:textId="77777777" w:rsidTr="00647049">
        <w:tc>
          <w:tcPr>
            <w:tcW w:w="719" w:type="pct"/>
            <w:vMerge/>
          </w:tcPr>
          <w:p w14:paraId="06306B18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642" w:type="pct"/>
          </w:tcPr>
          <w:p w14:paraId="0A892DAC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Magas</w:t>
            </w:r>
          </w:p>
        </w:tc>
        <w:tc>
          <w:tcPr>
            <w:tcW w:w="473" w:type="pct"/>
          </w:tcPr>
          <w:p w14:paraId="4BA9CA91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29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44" w:type="pct"/>
          </w:tcPr>
          <w:p w14:paraId="4BCD0786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16/84 vs. 39/81</w:t>
            </w:r>
          </w:p>
        </w:tc>
        <w:tc>
          <w:tcPr>
            <w:tcW w:w="1078" w:type="pct"/>
          </w:tcPr>
          <w:p w14:paraId="13A67A4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27 (0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15; 0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48)</w:t>
            </w:r>
          </w:p>
        </w:tc>
        <w:tc>
          <w:tcPr>
            <w:tcW w:w="671" w:type="pct"/>
          </w:tcPr>
          <w:p w14:paraId="74AD73B1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98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 vs. 56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673" w:type="pct"/>
          </w:tcPr>
          <w:p w14:paraId="3D3C4A35" w14:textId="77777777" w:rsidR="00E07786" w:rsidRPr="001347EF" w:rsidRDefault="00E07786" w:rsidP="00380094">
            <w:pPr>
              <w:pStyle w:val="Default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79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9 vs. 41</w:t>
            </w:r>
            <w:r w:rsidR="00745147">
              <w:rPr>
                <w:rFonts w:ascii="Times New Roman" w:hAnsi="Times New Roman"/>
                <w:sz w:val="22"/>
                <w:szCs w:val="22"/>
                <w:lang w:val="en-GB"/>
              </w:rPr>
              <w:t>,</w:t>
            </w:r>
            <w:r w:rsidRPr="001347EF">
              <w:rPr>
                <w:rFonts w:ascii="Times New Roman" w:hAnsi="Times New Roman"/>
                <w:sz w:val="22"/>
                <w:szCs w:val="22"/>
                <w:lang w:val="en-GB"/>
              </w:rPr>
              <w:t>5</w:t>
            </w:r>
          </w:p>
        </w:tc>
      </w:tr>
      <w:tr w:rsidR="00794BEF" w:rsidRPr="001347EF" w14:paraId="5C39BED0" w14:textId="77777777" w:rsidTr="00647049">
        <w:tc>
          <w:tcPr>
            <w:tcW w:w="5000" w:type="pct"/>
            <w:gridSpan w:val="7"/>
          </w:tcPr>
          <w:p w14:paraId="07AEE953" w14:textId="17BE65CE" w:rsidR="00794BEF" w:rsidRPr="00794BEF" w:rsidRDefault="00794BEF" w:rsidP="00794BEF">
            <w:pPr>
              <w:tabs>
                <w:tab w:val="left" w:pos="161"/>
              </w:tabs>
              <w:spacing w:line="236" w:lineRule="auto"/>
              <w:ind w:left="161"/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*</w:t>
            </w:r>
            <w:r>
              <w:rPr>
                <w:rFonts w:ascii="Times New Roman" w:eastAsia="Times New Roman" w:hAnsi="Times New Roman"/>
                <w:sz w:val="22"/>
              </w:rPr>
              <w:t>Teljes követési időszak; N.m. = Nem megbecsülhető</w:t>
            </w:r>
          </w:p>
        </w:tc>
      </w:tr>
    </w:tbl>
    <w:p w14:paraId="6F632816" w14:textId="77777777" w:rsidR="00E07786" w:rsidRPr="00F567BF" w:rsidRDefault="00E07786">
      <w:pPr>
        <w:spacing w:line="220" w:lineRule="auto"/>
        <w:ind w:right="300"/>
        <w:rPr>
          <w:rFonts w:ascii="Times New Roman" w:eastAsia="Times New Roman" w:hAnsi="Times New Roman"/>
          <w:sz w:val="22"/>
          <w:szCs w:val="22"/>
        </w:rPr>
      </w:pPr>
    </w:p>
    <w:p w14:paraId="4A05C7FB" w14:textId="6F83B465" w:rsidR="0018182D" w:rsidRDefault="0018182D" w:rsidP="0018182D">
      <w:pPr>
        <w:spacing w:line="244" w:lineRule="auto"/>
        <w:ind w:left="1"/>
        <w:rPr>
          <w:rFonts w:ascii="Times New Roman" w:eastAsia="Times New Roman" w:hAnsi="Times New Roman"/>
          <w:sz w:val="22"/>
        </w:rPr>
      </w:pPr>
      <w:bookmarkStart w:id="19" w:name="page61"/>
      <w:bookmarkStart w:id="20" w:name="page62"/>
      <w:bookmarkStart w:id="21" w:name="page63"/>
      <w:bookmarkStart w:id="22" w:name="page64"/>
      <w:bookmarkEnd w:id="19"/>
      <w:bookmarkEnd w:id="20"/>
      <w:bookmarkEnd w:id="21"/>
      <w:bookmarkEnd w:id="22"/>
      <w:r>
        <w:rPr>
          <w:rFonts w:ascii="Times New Roman" w:eastAsia="Times New Roman" w:hAnsi="Times New Roman"/>
          <w:sz w:val="22"/>
        </w:rPr>
        <w:t>Egy második multicentrikus, nyílt</w:t>
      </w:r>
      <w:r w:rsidR="00C17C49">
        <w:rPr>
          <w:rFonts w:ascii="Times New Roman" w:eastAsia="Times New Roman" w:hAnsi="Times New Roman"/>
          <w:sz w:val="22"/>
        </w:rPr>
        <w:t xml:space="preserve"> elrendezésű</w:t>
      </w:r>
      <w:r>
        <w:rPr>
          <w:rFonts w:ascii="Times New Roman" w:eastAsia="Times New Roman" w:hAnsi="Times New Roman"/>
          <w:sz w:val="22"/>
        </w:rPr>
        <w:t xml:space="preserve">, III. fázisú vizsgálat (SSG XVIII/AIO) a 12 hónapig tartó, napi 400 mg imatinib-kezelést hasonlította össze a 36 hónapos kezeléssel olyan betegeknél, akiknél megtörtént a GIST műtéti reszekciója, és teljesült a következők egyike: a tumor átmérője &gt; 5 cm és a mitózisszám nagy nagyítású látóterenként &gt; 5/50, vagy a tumor átmérője &gt; 10 cm </w:t>
      </w:r>
      <w:r>
        <w:rPr>
          <w:rFonts w:ascii="Times New Roman" w:eastAsia="Times New Roman" w:hAnsi="Times New Roman"/>
          <w:sz w:val="22"/>
        </w:rPr>
        <w:lastRenderedPageBreak/>
        <w:t>bármilyen mitózisszám mellett, vagy bármilyen tumorméret mellett a mitózisszám nagy nagyítású látóterenként &gt; 10/50, vagy a tumor rupturált a peritone</w:t>
      </w:r>
      <w:r w:rsidR="00C17C49">
        <w:rPr>
          <w:rFonts w:ascii="Times New Roman" w:eastAsia="Times New Roman" w:hAnsi="Times New Roman"/>
          <w:sz w:val="22"/>
        </w:rPr>
        <w:t>a</w:t>
      </w:r>
      <w:r>
        <w:rPr>
          <w:rFonts w:ascii="Times New Roman" w:eastAsia="Times New Roman" w:hAnsi="Times New Roman"/>
          <w:sz w:val="22"/>
        </w:rPr>
        <w:t>lis űrbe. Összesen 397 beteg egyezett bele a részvételbe, és került randomizálásra a vizsgálatba (199 beteg a 12 hónapos karra és 198 beteg a 36 hónapos karra), akiknek a medián életkora 61 év volt (szélsőértékek 22 és 84 év). A követés medián időtartama 54 hónap volt (a randomizáció napjától az adatok lezárásáig), és az első beteg randomizálásától az adatok lezárásáig eltelt idő összesen 83 hónap volt.</w:t>
      </w:r>
    </w:p>
    <w:p w14:paraId="5AD5C8EA" w14:textId="77777777" w:rsidR="0018182D" w:rsidRPr="00D55DE4" w:rsidRDefault="0018182D" w:rsidP="0018182D">
      <w:pPr>
        <w:spacing w:line="274" w:lineRule="exact"/>
        <w:rPr>
          <w:rFonts w:ascii="Times New Roman" w:eastAsia="Times New Roman" w:hAnsi="Times New Roman"/>
          <w:sz w:val="22"/>
          <w:szCs w:val="22"/>
        </w:rPr>
      </w:pPr>
    </w:p>
    <w:p w14:paraId="5689A5F4" w14:textId="77777777" w:rsidR="0018182D" w:rsidRPr="00FD6F1E" w:rsidRDefault="0018182D" w:rsidP="0018182D">
      <w:pPr>
        <w:spacing w:line="239" w:lineRule="auto"/>
        <w:ind w:left="1"/>
        <w:rPr>
          <w:rFonts w:ascii="Times New Roman" w:eastAsia="Times New Roman" w:hAnsi="Times New Roman"/>
          <w:sz w:val="22"/>
        </w:rPr>
      </w:pPr>
      <w:r w:rsidRPr="00FD6F1E">
        <w:rPr>
          <w:rFonts w:ascii="Times New Roman" w:eastAsia="Times New Roman" w:hAnsi="Times New Roman"/>
          <w:sz w:val="22"/>
        </w:rPr>
        <w:t>A vizsgálat elsődleges végpontja a kiújulásmentes túlélés (RFS) volt, amit a randomizációtól a recidíváig vagy a bármilyen okból bekövetkező elhalálozásig eltelt idővel definiáltak.</w:t>
      </w:r>
    </w:p>
    <w:p w14:paraId="79B05F86" w14:textId="77777777" w:rsidR="0018182D" w:rsidRPr="00FD6F1E" w:rsidRDefault="0018182D" w:rsidP="0018182D">
      <w:pPr>
        <w:spacing w:line="274" w:lineRule="exact"/>
        <w:rPr>
          <w:rFonts w:ascii="Times New Roman" w:eastAsia="Times New Roman" w:hAnsi="Times New Roman"/>
          <w:sz w:val="22"/>
          <w:szCs w:val="22"/>
        </w:rPr>
      </w:pPr>
    </w:p>
    <w:p w14:paraId="7E4D885E" w14:textId="77777777" w:rsidR="0018182D" w:rsidRPr="00FD6F1E" w:rsidRDefault="0018182D" w:rsidP="0018182D">
      <w:pPr>
        <w:spacing w:line="245" w:lineRule="auto"/>
        <w:ind w:left="1"/>
        <w:rPr>
          <w:rFonts w:ascii="Times New Roman" w:eastAsia="Times New Roman" w:hAnsi="Times New Roman"/>
          <w:sz w:val="22"/>
        </w:rPr>
      </w:pPr>
      <w:r w:rsidRPr="00FD6F1E">
        <w:rPr>
          <w:rFonts w:ascii="Times New Roman" w:eastAsia="Times New Roman" w:hAnsi="Times New Roman"/>
          <w:sz w:val="22"/>
        </w:rPr>
        <w:t>A 36 hónapos imatinib-kezelés a 12 hónapos imatinib-kezeléshez képest szignifikánsan meghosszabbította a kiújulásmentes túlélést (a teljes relatív hazárd [HR] = 0,46 [0,32 – 0,65], p &lt; 0,0001) (8. táblázat, 1. ábra).</w:t>
      </w:r>
    </w:p>
    <w:p w14:paraId="7F75858A" w14:textId="77777777" w:rsidR="0018182D" w:rsidRPr="00FD6F1E" w:rsidRDefault="0018182D" w:rsidP="0097242A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5A910807" w14:textId="77777777" w:rsidR="0018182D" w:rsidRPr="00FD6F1E" w:rsidRDefault="0018182D" w:rsidP="0018182D">
      <w:pPr>
        <w:spacing w:line="239" w:lineRule="auto"/>
        <w:ind w:left="1"/>
        <w:rPr>
          <w:rFonts w:ascii="Times New Roman" w:eastAsia="Times New Roman" w:hAnsi="Times New Roman"/>
          <w:sz w:val="22"/>
        </w:rPr>
      </w:pPr>
      <w:r w:rsidRPr="00FD6F1E">
        <w:rPr>
          <w:rFonts w:ascii="Times New Roman" w:eastAsia="Times New Roman" w:hAnsi="Times New Roman"/>
          <w:sz w:val="22"/>
        </w:rPr>
        <w:t>Emellett a 36 hónapos imatinib-kezelés a 12 hónapos imatinib-kezeléshez képest szignifikánsan meghosszabbította a teljes túlélést (OS) (HR = 0,45 [0,22 – 0,89], p = 0,0187) (8. táblázat, 2. ábra).</w:t>
      </w:r>
    </w:p>
    <w:p w14:paraId="08EDC8FE" w14:textId="77777777" w:rsidR="0018182D" w:rsidRPr="00FD6F1E" w:rsidRDefault="0018182D" w:rsidP="0018182D">
      <w:pPr>
        <w:spacing w:line="274" w:lineRule="exact"/>
        <w:rPr>
          <w:rFonts w:ascii="Times New Roman" w:eastAsia="Times New Roman" w:hAnsi="Times New Roman"/>
        </w:rPr>
      </w:pPr>
    </w:p>
    <w:p w14:paraId="25446096" w14:textId="2AAC8266" w:rsidR="0018182D" w:rsidRPr="00FD6F1E" w:rsidRDefault="0018182D" w:rsidP="0018182D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FD6F1E">
        <w:rPr>
          <w:rFonts w:ascii="Times New Roman" w:eastAsia="Times New Roman" w:hAnsi="Times New Roman"/>
          <w:sz w:val="22"/>
          <w:szCs w:val="22"/>
        </w:rPr>
        <w:t>Hosszabb kezelési időtartam (&gt; 36 hónap) késleltetheti a további kiújulást, bár ennek a teljes túlélésre kifejtett hatása nem ismert.</w:t>
      </w:r>
    </w:p>
    <w:p w14:paraId="4B3A29B1" w14:textId="77777777" w:rsidR="0018182D" w:rsidRPr="00FD6F1E" w:rsidRDefault="0018182D" w:rsidP="0018182D">
      <w:pPr>
        <w:spacing w:line="282" w:lineRule="exact"/>
        <w:rPr>
          <w:rFonts w:ascii="Times New Roman" w:eastAsia="Times New Roman" w:hAnsi="Times New Roman"/>
          <w:sz w:val="22"/>
          <w:szCs w:val="22"/>
        </w:rPr>
      </w:pPr>
    </w:p>
    <w:p w14:paraId="115E44EB" w14:textId="77777777" w:rsidR="0018182D" w:rsidRPr="00FD6F1E" w:rsidRDefault="0018182D" w:rsidP="0018182D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FD6F1E">
        <w:rPr>
          <w:rFonts w:ascii="Times New Roman" w:eastAsia="Times New Roman" w:hAnsi="Times New Roman"/>
          <w:sz w:val="22"/>
          <w:szCs w:val="22"/>
        </w:rPr>
        <w:t>Az összes halálesetek száma 25 volt a 12 hónapos terápiás karon és 12 volt a 36 hónapos terápiás karon.</w:t>
      </w:r>
    </w:p>
    <w:p w14:paraId="6886A823" w14:textId="77777777" w:rsidR="0018182D" w:rsidRPr="00FD6F1E" w:rsidRDefault="0018182D" w:rsidP="0018182D">
      <w:pPr>
        <w:spacing w:line="274" w:lineRule="exact"/>
        <w:rPr>
          <w:rFonts w:ascii="Times New Roman" w:eastAsia="Times New Roman" w:hAnsi="Times New Roman"/>
          <w:sz w:val="22"/>
          <w:szCs w:val="22"/>
        </w:rPr>
      </w:pPr>
    </w:p>
    <w:p w14:paraId="10ED2C78" w14:textId="081163CD" w:rsidR="0018182D" w:rsidRPr="00D55DE4" w:rsidRDefault="0018182D" w:rsidP="0018182D">
      <w:pPr>
        <w:spacing w:line="257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FD6F1E">
        <w:rPr>
          <w:rFonts w:ascii="Times New Roman" w:eastAsia="Times New Roman" w:hAnsi="Times New Roman"/>
          <w:sz w:val="22"/>
          <w:szCs w:val="22"/>
        </w:rPr>
        <w:t xml:space="preserve">A 36 hónapos imatinib-kezelés </w:t>
      </w:r>
      <w:r w:rsidR="008A06EF">
        <w:rPr>
          <w:rFonts w:ascii="Times New Roman" w:eastAsia="Times New Roman" w:hAnsi="Times New Roman"/>
          <w:sz w:val="22"/>
          <w:szCs w:val="22"/>
        </w:rPr>
        <w:t>szuperior</w:t>
      </w:r>
      <w:r w:rsidRPr="00FD6F1E">
        <w:rPr>
          <w:rFonts w:ascii="Times New Roman" w:eastAsia="Times New Roman" w:hAnsi="Times New Roman"/>
          <w:sz w:val="22"/>
          <w:szCs w:val="22"/>
        </w:rPr>
        <w:t xml:space="preserve"> volt a 12 hónapos</w:t>
      </w:r>
      <w:r w:rsidR="00091558">
        <w:rPr>
          <w:rFonts w:ascii="Times New Roman" w:eastAsia="Times New Roman" w:hAnsi="Times New Roman"/>
          <w:sz w:val="22"/>
          <w:szCs w:val="22"/>
        </w:rPr>
        <w:t xml:space="preserve"> kezeléssel szemben</w:t>
      </w:r>
      <w:r w:rsidRPr="00FD6F1E">
        <w:rPr>
          <w:rFonts w:ascii="Times New Roman" w:eastAsia="Times New Roman" w:hAnsi="Times New Roman"/>
          <w:sz w:val="22"/>
          <w:szCs w:val="22"/>
        </w:rPr>
        <w:t xml:space="preserve"> az ITT analízisben, azaz a teljes vizsgálati populációt tekintve. Egy tervezett mutáció-típus szerinti alcsoport-analízisben az olyan betegek 36 hónapos kezelésre vonatkozó kiújulásmentes túlélés relatív hazárdja, akiknél a 11-es exon mutálódott, 0,35 volt [95%-os CI: 0,22 </w:t>
      </w:r>
      <w:r w:rsidRPr="00FD6F1E">
        <w:rPr>
          <w:rFonts w:ascii="Times New Roman" w:eastAsia="Times New Roman" w:hAnsi="Times New Roman" w:cs="Times New Roman"/>
          <w:sz w:val="22"/>
          <w:szCs w:val="22"/>
        </w:rPr>
        <w:t>−</w:t>
      </w:r>
      <w:r w:rsidRPr="00FD6F1E">
        <w:rPr>
          <w:rFonts w:ascii="Times New Roman" w:eastAsia="Times New Roman" w:hAnsi="Times New Roman"/>
          <w:sz w:val="22"/>
          <w:szCs w:val="22"/>
        </w:rPr>
        <w:t> 0,56</w:t>
      </w:r>
      <w:r w:rsidRPr="00D55DE4">
        <w:rPr>
          <w:rFonts w:ascii="Times New Roman" w:eastAsia="Times New Roman" w:hAnsi="Times New Roman"/>
          <w:sz w:val="22"/>
          <w:szCs w:val="22"/>
        </w:rPr>
        <w:t>]. Az alacsony észlelt esetszám miatt más, kevésbé általános mutáció</w:t>
      </w:r>
      <w:r w:rsidR="007A360A">
        <w:rPr>
          <w:rFonts w:ascii="Times New Roman" w:eastAsia="Times New Roman" w:hAnsi="Times New Roman"/>
          <w:sz w:val="22"/>
          <w:szCs w:val="22"/>
        </w:rPr>
        <w:t>-</w:t>
      </w:r>
      <w:r w:rsidRPr="00D55DE4">
        <w:rPr>
          <w:rFonts w:ascii="Times New Roman" w:eastAsia="Times New Roman" w:hAnsi="Times New Roman"/>
          <w:sz w:val="22"/>
          <w:szCs w:val="22"/>
        </w:rPr>
        <w:t>alcsoportokra nem lehet következtetéseket levonni.</w:t>
      </w:r>
    </w:p>
    <w:p w14:paraId="75CFC4B1" w14:textId="77777777" w:rsidR="0018182D" w:rsidRDefault="0018182D" w:rsidP="0097242A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3EB9B6FB" w14:textId="1E2E68CC" w:rsidR="0018182D" w:rsidRPr="00EE6085" w:rsidRDefault="0018182D" w:rsidP="00FD6F1E">
      <w:pPr>
        <w:keepNext/>
        <w:tabs>
          <w:tab w:val="left" w:pos="1360"/>
        </w:tabs>
        <w:spacing w:line="0" w:lineRule="atLeast"/>
        <w:ind w:left="240"/>
        <w:rPr>
          <w:rFonts w:ascii="Times New Roman" w:eastAsia="Times New Roman" w:hAnsi="Times New Roman"/>
          <w:b/>
          <w:sz w:val="22"/>
          <w:szCs w:val="22"/>
        </w:rPr>
      </w:pPr>
      <w:r w:rsidRPr="00EE6085">
        <w:rPr>
          <w:rFonts w:ascii="Times New Roman" w:eastAsia="Times New Roman" w:hAnsi="Times New Roman"/>
          <w:b/>
          <w:sz w:val="22"/>
          <w:szCs w:val="22"/>
        </w:rPr>
        <w:t>8. táblázat</w:t>
      </w:r>
      <w:r>
        <w:rPr>
          <w:rFonts w:ascii="Times New Roman" w:eastAsia="Times New Roman" w:hAnsi="Times New Roman"/>
          <w:sz w:val="22"/>
          <w:szCs w:val="22"/>
        </w:rPr>
        <w:t xml:space="preserve">: </w:t>
      </w:r>
      <w:r w:rsidRPr="00EE6085">
        <w:rPr>
          <w:rFonts w:ascii="Times New Roman" w:eastAsia="Times New Roman" w:hAnsi="Times New Roman"/>
          <w:b/>
          <w:sz w:val="22"/>
          <w:szCs w:val="22"/>
        </w:rPr>
        <w:t>12 hónapos és 36 hónapos imatinib-kezelés (SSGXVIII/AIO</w:t>
      </w:r>
      <w:r w:rsidR="00440D94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EE6085">
        <w:rPr>
          <w:rFonts w:ascii="Times New Roman" w:eastAsia="Times New Roman" w:hAnsi="Times New Roman"/>
          <w:b/>
          <w:sz w:val="22"/>
          <w:szCs w:val="22"/>
        </w:rPr>
        <w:t>vizsgálat)</w:t>
      </w:r>
    </w:p>
    <w:p w14:paraId="75AD9E9C" w14:textId="77777777" w:rsidR="0018182D" w:rsidRDefault="0018182D" w:rsidP="00FD6F1E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tbl>
      <w:tblPr>
        <w:tblW w:w="8821" w:type="dxa"/>
        <w:tblInd w:w="2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5"/>
        <w:gridCol w:w="3213"/>
        <w:gridCol w:w="3413"/>
      </w:tblGrid>
      <w:tr w:rsidR="0018182D" w14:paraId="6AB8E59B" w14:textId="77777777" w:rsidTr="00380094">
        <w:trPr>
          <w:trHeight w:val="265"/>
        </w:trPr>
        <w:tc>
          <w:tcPr>
            <w:tcW w:w="2195" w:type="dxa"/>
            <w:vMerge w:val="restart"/>
            <w:vAlign w:val="bottom"/>
          </w:tcPr>
          <w:p w14:paraId="20AAC84D" w14:textId="77777777" w:rsidR="0018182D" w:rsidRDefault="0018182D" w:rsidP="00FD6F1E">
            <w:pPr>
              <w:keepNext/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RFS</w:t>
            </w:r>
          </w:p>
        </w:tc>
        <w:tc>
          <w:tcPr>
            <w:tcW w:w="3213" w:type="dxa"/>
            <w:vAlign w:val="bottom"/>
          </w:tcPr>
          <w:p w14:paraId="52D2EEBD" w14:textId="77777777" w:rsidR="0018182D" w:rsidRDefault="0018182D" w:rsidP="00FD6F1E">
            <w:pPr>
              <w:keepNext/>
              <w:spacing w:line="0" w:lineRule="atLeast"/>
              <w:ind w:left="54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12 hónapos terápiás kar</w:t>
            </w:r>
          </w:p>
        </w:tc>
        <w:tc>
          <w:tcPr>
            <w:tcW w:w="3413" w:type="dxa"/>
            <w:vAlign w:val="bottom"/>
          </w:tcPr>
          <w:p w14:paraId="011DAE6B" w14:textId="77777777" w:rsidR="0018182D" w:rsidRDefault="0018182D" w:rsidP="00FD6F1E">
            <w:pPr>
              <w:keepNext/>
              <w:spacing w:line="0" w:lineRule="atLeast"/>
              <w:ind w:left="44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36 hónapos terápiás kar</w:t>
            </w:r>
          </w:p>
        </w:tc>
      </w:tr>
      <w:tr w:rsidR="0018182D" w14:paraId="7BBA3CF9" w14:textId="77777777" w:rsidTr="00380094">
        <w:trPr>
          <w:trHeight w:val="259"/>
        </w:trPr>
        <w:tc>
          <w:tcPr>
            <w:tcW w:w="2195" w:type="dxa"/>
            <w:vMerge/>
            <w:vAlign w:val="bottom"/>
          </w:tcPr>
          <w:p w14:paraId="524D67FD" w14:textId="77777777" w:rsidR="0018182D" w:rsidRDefault="0018182D" w:rsidP="00FD6F1E">
            <w:pPr>
              <w:keepNext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213" w:type="dxa"/>
            <w:vAlign w:val="bottom"/>
          </w:tcPr>
          <w:p w14:paraId="7E9B43CD" w14:textId="77777777" w:rsidR="0018182D" w:rsidRDefault="0018182D" w:rsidP="00FD6F1E">
            <w:pPr>
              <w:keepNext/>
              <w:spacing w:line="0" w:lineRule="atLeast"/>
              <w:ind w:left="54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% (CI)</w:t>
            </w:r>
          </w:p>
        </w:tc>
        <w:tc>
          <w:tcPr>
            <w:tcW w:w="3413" w:type="dxa"/>
            <w:vAlign w:val="bottom"/>
          </w:tcPr>
          <w:p w14:paraId="25850915" w14:textId="77777777" w:rsidR="0018182D" w:rsidRDefault="0018182D" w:rsidP="00FD6F1E">
            <w:pPr>
              <w:keepNext/>
              <w:spacing w:line="0" w:lineRule="atLeast"/>
              <w:ind w:left="44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% (CI)</w:t>
            </w:r>
          </w:p>
        </w:tc>
      </w:tr>
      <w:tr w:rsidR="0018182D" w14:paraId="65AB2F8C" w14:textId="77777777" w:rsidTr="00380094">
        <w:trPr>
          <w:trHeight w:val="259"/>
        </w:trPr>
        <w:tc>
          <w:tcPr>
            <w:tcW w:w="2195" w:type="dxa"/>
            <w:vAlign w:val="bottom"/>
          </w:tcPr>
          <w:p w14:paraId="32C20E33" w14:textId="77777777" w:rsidR="0018182D" w:rsidRDefault="0018182D" w:rsidP="00FD6F1E">
            <w:pPr>
              <w:keepNext/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12 hónap</w:t>
            </w:r>
          </w:p>
        </w:tc>
        <w:tc>
          <w:tcPr>
            <w:tcW w:w="3213" w:type="dxa"/>
            <w:vAlign w:val="bottom"/>
          </w:tcPr>
          <w:p w14:paraId="59A78A2D" w14:textId="1DEC723D" w:rsidR="0018182D" w:rsidRDefault="0018182D" w:rsidP="00FD6F1E">
            <w:pPr>
              <w:keepNext/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93,7 (89,2</w:t>
            </w:r>
            <w:r w:rsidR="0052568A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96,4)</w:t>
            </w:r>
          </w:p>
        </w:tc>
        <w:tc>
          <w:tcPr>
            <w:tcW w:w="3413" w:type="dxa"/>
            <w:vAlign w:val="bottom"/>
          </w:tcPr>
          <w:p w14:paraId="0B6CBD6A" w14:textId="4CE4681E" w:rsidR="0018182D" w:rsidRDefault="0018182D" w:rsidP="00FD6F1E">
            <w:pPr>
              <w:keepNext/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95,9 (91,9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97,9)</w:t>
            </w:r>
          </w:p>
        </w:tc>
      </w:tr>
      <w:tr w:rsidR="0018182D" w14:paraId="2F8FB04B" w14:textId="77777777" w:rsidTr="00380094">
        <w:trPr>
          <w:trHeight w:val="259"/>
        </w:trPr>
        <w:tc>
          <w:tcPr>
            <w:tcW w:w="2195" w:type="dxa"/>
            <w:vAlign w:val="bottom"/>
          </w:tcPr>
          <w:p w14:paraId="734BF5DB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24 hónap</w:t>
            </w:r>
          </w:p>
        </w:tc>
        <w:tc>
          <w:tcPr>
            <w:tcW w:w="3213" w:type="dxa"/>
            <w:vAlign w:val="bottom"/>
          </w:tcPr>
          <w:p w14:paraId="4423D742" w14:textId="37A93D8C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75,4 (68,6</w:t>
            </w:r>
            <w:r w:rsidR="0052568A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81,0)</w:t>
            </w:r>
          </w:p>
        </w:tc>
        <w:tc>
          <w:tcPr>
            <w:tcW w:w="3413" w:type="dxa"/>
            <w:vAlign w:val="bottom"/>
          </w:tcPr>
          <w:p w14:paraId="2E05CCD4" w14:textId="7CC18048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90,7 (85,6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94,0)</w:t>
            </w:r>
          </w:p>
        </w:tc>
      </w:tr>
      <w:tr w:rsidR="0018182D" w14:paraId="73235976" w14:textId="77777777" w:rsidTr="00380094">
        <w:trPr>
          <w:trHeight w:val="267"/>
        </w:trPr>
        <w:tc>
          <w:tcPr>
            <w:tcW w:w="2195" w:type="dxa"/>
            <w:vAlign w:val="bottom"/>
          </w:tcPr>
          <w:p w14:paraId="366AE777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36 hónap</w:t>
            </w:r>
          </w:p>
        </w:tc>
        <w:tc>
          <w:tcPr>
            <w:tcW w:w="3213" w:type="dxa"/>
            <w:vAlign w:val="bottom"/>
          </w:tcPr>
          <w:p w14:paraId="3E3E9F3D" w14:textId="673203DE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60,1 (52,5</w:t>
            </w:r>
            <w:r w:rsidR="0052568A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66,9)</w:t>
            </w:r>
          </w:p>
        </w:tc>
        <w:tc>
          <w:tcPr>
            <w:tcW w:w="3413" w:type="dxa"/>
            <w:vAlign w:val="bottom"/>
          </w:tcPr>
          <w:p w14:paraId="036FCD4B" w14:textId="0A7E13D0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86,6 (80,8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90,8)</w:t>
            </w:r>
          </w:p>
        </w:tc>
      </w:tr>
      <w:tr w:rsidR="0018182D" w14:paraId="1B56E88E" w14:textId="77777777" w:rsidTr="00380094">
        <w:trPr>
          <w:trHeight w:val="259"/>
        </w:trPr>
        <w:tc>
          <w:tcPr>
            <w:tcW w:w="2195" w:type="dxa"/>
            <w:vAlign w:val="bottom"/>
          </w:tcPr>
          <w:p w14:paraId="2E2BEBF2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48 hónap</w:t>
            </w:r>
          </w:p>
        </w:tc>
        <w:tc>
          <w:tcPr>
            <w:tcW w:w="3213" w:type="dxa"/>
            <w:vAlign w:val="bottom"/>
          </w:tcPr>
          <w:p w14:paraId="660761ED" w14:textId="7E38F993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52,3 (44,0</w:t>
            </w:r>
            <w:r w:rsidR="0052568A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59,8)</w:t>
            </w:r>
          </w:p>
        </w:tc>
        <w:tc>
          <w:tcPr>
            <w:tcW w:w="3413" w:type="dxa"/>
            <w:vAlign w:val="bottom"/>
          </w:tcPr>
          <w:p w14:paraId="4444B815" w14:textId="18D6E4C4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78,3 (70,8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84,1)</w:t>
            </w:r>
          </w:p>
        </w:tc>
      </w:tr>
      <w:tr w:rsidR="0018182D" w14:paraId="352E2FAB" w14:textId="77777777" w:rsidTr="00380094">
        <w:trPr>
          <w:trHeight w:val="259"/>
        </w:trPr>
        <w:tc>
          <w:tcPr>
            <w:tcW w:w="2195" w:type="dxa"/>
            <w:tcBorders>
              <w:bottom w:val="single" w:sz="8" w:space="0" w:color="auto"/>
            </w:tcBorders>
            <w:vAlign w:val="bottom"/>
          </w:tcPr>
          <w:p w14:paraId="70244AC7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60 hónap</w:t>
            </w:r>
          </w:p>
        </w:tc>
        <w:tc>
          <w:tcPr>
            <w:tcW w:w="3213" w:type="dxa"/>
            <w:tcBorders>
              <w:bottom w:val="single" w:sz="8" w:space="0" w:color="auto"/>
            </w:tcBorders>
            <w:vAlign w:val="bottom"/>
          </w:tcPr>
          <w:p w14:paraId="3B55A12A" w14:textId="7B394C89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47,9 (39,0</w:t>
            </w:r>
            <w:r w:rsidR="0052568A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56,3)</w:t>
            </w:r>
          </w:p>
        </w:tc>
        <w:tc>
          <w:tcPr>
            <w:tcW w:w="3413" w:type="dxa"/>
            <w:tcBorders>
              <w:bottom w:val="single" w:sz="8" w:space="0" w:color="auto"/>
            </w:tcBorders>
            <w:vAlign w:val="bottom"/>
          </w:tcPr>
          <w:p w14:paraId="5F149F3F" w14:textId="66533A6F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65,6 (56,1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73,4)</w:t>
            </w:r>
          </w:p>
        </w:tc>
      </w:tr>
      <w:tr w:rsidR="0018182D" w14:paraId="515073B4" w14:textId="77777777" w:rsidTr="00380094">
        <w:trPr>
          <w:trHeight w:val="259"/>
        </w:trPr>
        <w:tc>
          <w:tcPr>
            <w:tcW w:w="2195" w:type="dxa"/>
            <w:tcBorders>
              <w:right w:val="nil"/>
            </w:tcBorders>
            <w:vAlign w:val="bottom"/>
          </w:tcPr>
          <w:p w14:paraId="47E78FA8" w14:textId="77777777" w:rsidR="0018182D" w:rsidRDefault="0018182D" w:rsidP="00380094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Túlélés</w:t>
            </w:r>
          </w:p>
        </w:tc>
        <w:tc>
          <w:tcPr>
            <w:tcW w:w="3213" w:type="dxa"/>
            <w:tcBorders>
              <w:left w:val="nil"/>
              <w:right w:val="nil"/>
            </w:tcBorders>
            <w:vAlign w:val="bottom"/>
          </w:tcPr>
          <w:p w14:paraId="197F0663" w14:textId="77777777" w:rsidR="0018182D" w:rsidRDefault="0018182D" w:rsidP="00380094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13" w:type="dxa"/>
            <w:tcBorders>
              <w:left w:val="nil"/>
            </w:tcBorders>
            <w:vAlign w:val="bottom"/>
          </w:tcPr>
          <w:p w14:paraId="3924BC16" w14:textId="77777777" w:rsidR="0018182D" w:rsidRDefault="0018182D" w:rsidP="00380094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18182D" w14:paraId="23A2F8E5" w14:textId="77777777" w:rsidTr="00380094">
        <w:trPr>
          <w:trHeight w:val="260"/>
        </w:trPr>
        <w:tc>
          <w:tcPr>
            <w:tcW w:w="2195" w:type="dxa"/>
            <w:vAlign w:val="bottom"/>
          </w:tcPr>
          <w:p w14:paraId="1673A6D2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36 hónap</w:t>
            </w:r>
          </w:p>
        </w:tc>
        <w:tc>
          <w:tcPr>
            <w:tcW w:w="3213" w:type="dxa"/>
            <w:vAlign w:val="bottom"/>
          </w:tcPr>
          <w:p w14:paraId="6DD38560" w14:textId="307BBBC4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94,0 (89,5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96,7)</w:t>
            </w:r>
          </w:p>
        </w:tc>
        <w:tc>
          <w:tcPr>
            <w:tcW w:w="3413" w:type="dxa"/>
            <w:vAlign w:val="bottom"/>
          </w:tcPr>
          <w:p w14:paraId="66B0B1D4" w14:textId="0D5434FE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96,3 (92,4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98,2)</w:t>
            </w:r>
          </w:p>
        </w:tc>
      </w:tr>
      <w:tr w:rsidR="0018182D" w14:paraId="376E5BB2" w14:textId="77777777" w:rsidTr="00380094">
        <w:trPr>
          <w:trHeight w:val="259"/>
        </w:trPr>
        <w:tc>
          <w:tcPr>
            <w:tcW w:w="2195" w:type="dxa"/>
            <w:vAlign w:val="bottom"/>
          </w:tcPr>
          <w:p w14:paraId="3E332BBA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48 hónap</w:t>
            </w:r>
          </w:p>
        </w:tc>
        <w:tc>
          <w:tcPr>
            <w:tcW w:w="3213" w:type="dxa"/>
            <w:vAlign w:val="bottom"/>
          </w:tcPr>
          <w:p w14:paraId="4C2163CC" w14:textId="3553F027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87,9 (81,1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92,3)</w:t>
            </w:r>
          </w:p>
        </w:tc>
        <w:tc>
          <w:tcPr>
            <w:tcW w:w="3413" w:type="dxa"/>
            <w:vAlign w:val="bottom"/>
          </w:tcPr>
          <w:p w14:paraId="37FE7229" w14:textId="198A91F5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95,6 (91,2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97,8)</w:t>
            </w:r>
          </w:p>
        </w:tc>
      </w:tr>
      <w:tr w:rsidR="0018182D" w14:paraId="61C911FA" w14:textId="77777777" w:rsidTr="00380094">
        <w:trPr>
          <w:trHeight w:val="264"/>
        </w:trPr>
        <w:tc>
          <w:tcPr>
            <w:tcW w:w="2195" w:type="dxa"/>
            <w:vAlign w:val="bottom"/>
          </w:tcPr>
          <w:p w14:paraId="1FC09C79" w14:textId="77777777" w:rsidR="0018182D" w:rsidRDefault="0018182D" w:rsidP="00380094">
            <w:pPr>
              <w:spacing w:line="0" w:lineRule="atLeast"/>
              <w:ind w:left="3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60 hónap</w:t>
            </w:r>
          </w:p>
        </w:tc>
        <w:tc>
          <w:tcPr>
            <w:tcW w:w="3213" w:type="dxa"/>
            <w:vAlign w:val="bottom"/>
          </w:tcPr>
          <w:p w14:paraId="3B3F9B82" w14:textId="76BD3304" w:rsidR="0018182D" w:rsidRDefault="0018182D" w:rsidP="00380094">
            <w:pPr>
              <w:spacing w:line="0" w:lineRule="atLeast"/>
              <w:ind w:left="5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81,7 (73,0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87,8)</w:t>
            </w:r>
          </w:p>
        </w:tc>
        <w:tc>
          <w:tcPr>
            <w:tcW w:w="3413" w:type="dxa"/>
            <w:vAlign w:val="bottom"/>
          </w:tcPr>
          <w:p w14:paraId="123DA3FE" w14:textId="42FF40FA" w:rsidR="0018182D" w:rsidRDefault="0018182D" w:rsidP="00380094">
            <w:pPr>
              <w:spacing w:line="0" w:lineRule="atLeast"/>
              <w:ind w:left="4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92,0 (85,3</w:t>
            </w:r>
            <w:r w:rsidR="007F2351">
              <w:rPr>
                <w:rFonts w:ascii="Times New Roman" w:eastAsia="Times New Roman" w:hAnsi="Times New Roman"/>
                <w:sz w:val="22"/>
              </w:rPr>
              <w:t xml:space="preserve">; </w:t>
            </w:r>
            <w:r>
              <w:rPr>
                <w:rFonts w:ascii="Times New Roman" w:eastAsia="Times New Roman" w:hAnsi="Times New Roman"/>
                <w:sz w:val="22"/>
              </w:rPr>
              <w:t>95,7)</w:t>
            </w:r>
          </w:p>
        </w:tc>
      </w:tr>
    </w:tbl>
    <w:p w14:paraId="79C38154" w14:textId="77777777" w:rsidR="0018182D" w:rsidRDefault="0018182D" w:rsidP="00FD6F1E">
      <w:pPr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5C4567BA" w14:textId="77777777" w:rsidR="0018182D" w:rsidRDefault="0018182D" w:rsidP="00647049">
      <w:pPr>
        <w:keepNext/>
        <w:tabs>
          <w:tab w:val="left" w:pos="1360"/>
        </w:tabs>
        <w:spacing w:line="0" w:lineRule="atLeast"/>
        <w:ind w:left="240"/>
        <w:rPr>
          <w:rFonts w:ascii="Times New Roman" w:eastAsia="Times New Roman" w:hAnsi="Times New Roman"/>
          <w:b/>
          <w:sz w:val="21"/>
        </w:rPr>
      </w:pPr>
      <w:r w:rsidRPr="00FD6F1E">
        <w:rPr>
          <w:rFonts w:ascii="Times New Roman" w:eastAsia="Times New Roman" w:hAnsi="Times New Roman"/>
          <w:b/>
          <w:sz w:val="22"/>
        </w:rPr>
        <w:lastRenderedPageBreak/>
        <w:t xml:space="preserve">1. ábra: </w:t>
      </w:r>
      <w:r w:rsidRPr="00FD6F1E">
        <w:rPr>
          <w:rFonts w:ascii="Times New Roman" w:eastAsia="Times New Roman" w:hAnsi="Times New Roman"/>
          <w:b/>
          <w:sz w:val="21"/>
        </w:rPr>
        <w:t xml:space="preserve">A </w:t>
      </w:r>
      <w:r w:rsidRPr="00FD6F1E">
        <w:rPr>
          <w:rFonts w:ascii="Times New Roman" w:eastAsia="Times New Roman" w:hAnsi="Times New Roman"/>
          <w:b/>
          <w:sz w:val="22"/>
        </w:rPr>
        <w:t>primer kiújulásmentes</w:t>
      </w:r>
      <w:r>
        <w:rPr>
          <w:rFonts w:ascii="Times New Roman" w:eastAsia="Times New Roman" w:hAnsi="Times New Roman"/>
          <w:b/>
          <w:sz w:val="22"/>
        </w:rPr>
        <w:t xml:space="preserve"> túlélés végpont</w:t>
      </w:r>
      <w:r>
        <w:rPr>
          <w:rFonts w:ascii="Times New Roman" w:eastAsia="Times New Roman" w:hAnsi="Times New Roman"/>
          <w:b/>
          <w:sz w:val="21"/>
        </w:rPr>
        <w:t xml:space="preserve"> Kaplan</w:t>
      </w:r>
      <w:r>
        <w:rPr>
          <w:rFonts w:ascii="Times New Roman" w:eastAsia="Times New Roman" w:hAnsi="Times New Roman" w:cs="Times New Roman"/>
          <w:b/>
          <w:sz w:val="21"/>
        </w:rPr>
        <w:t>−</w:t>
      </w:r>
      <w:r>
        <w:rPr>
          <w:rFonts w:ascii="Times New Roman" w:eastAsia="Times New Roman" w:hAnsi="Times New Roman"/>
          <w:b/>
          <w:sz w:val="21"/>
        </w:rPr>
        <w:t>Meier-féle becslése (ITT populáció)</w:t>
      </w:r>
    </w:p>
    <w:p w14:paraId="6DA94048" w14:textId="77777777" w:rsidR="0018182D" w:rsidRDefault="0018182D" w:rsidP="00647049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1113F1B6" w14:textId="532C7EB6" w:rsidR="0018182D" w:rsidRDefault="00063F23" w:rsidP="00647049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0E22A4CC" wp14:editId="7D26C3A5">
            <wp:extent cx="5793740" cy="312547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40" cy="312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C87CB" w14:textId="77777777" w:rsidR="0018182D" w:rsidRDefault="0018182D" w:rsidP="00FD6F1E">
      <w:pPr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586244D2" w14:textId="77777777" w:rsidR="0018182D" w:rsidRDefault="0018182D" w:rsidP="00FD6F1E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  <w:r w:rsidRPr="00C05A7C">
        <w:rPr>
          <w:rFonts w:ascii="Times New Roman" w:eastAsia="Times New Roman" w:hAnsi="Times New Roman" w:cs="Times New Roman"/>
          <w:b/>
          <w:sz w:val="22"/>
          <w:szCs w:val="22"/>
        </w:rPr>
        <w:t>2. ábra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: </w:t>
      </w:r>
      <w:r w:rsidRPr="00C05A7C">
        <w:rPr>
          <w:rFonts w:ascii="Times New Roman" w:eastAsia="Times New Roman" w:hAnsi="Times New Roman" w:cs="Times New Roman"/>
          <w:b/>
          <w:sz w:val="22"/>
          <w:szCs w:val="22"/>
        </w:rPr>
        <w:t>A teljes túlélés Kaplan−Meier-féle becslése (ITT populáció)</w:t>
      </w:r>
    </w:p>
    <w:p w14:paraId="4CF71078" w14:textId="77777777" w:rsidR="0018182D" w:rsidRDefault="0018182D" w:rsidP="00FD6F1E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3D3F9FD0" w14:textId="3A1FD2E0" w:rsidR="0018182D" w:rsidRDefault="00063F23" w:rsidP="00FD6F1E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6218EB7E" wp14:editId="5BC5461E">
            <wp:extent cx="5793740" cy="320040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4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2CEB2" w14:textId="77777777" w:rsidR="0018182D" w:rsidRDefault="0018182D" w:rsidP="00FD6F1E">
      <w:pPr>
        <w:keepNext/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34205E3A" w14:textId="38CEDACB" w:rsidR="0018182D" w:rsidRDefault="0018182D" w:rsidP="00FD6F1E">
      <w:pPr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 c-Kit</w:t>
      </w:r>
      <w:r w:rsidR="00C20982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pozitív GIST-ben szenvedő gyermek</w:t>
      </w:r>
      <w:r w:rsidR="00C20982">
        <w:rPr>
          <w:rFonts w:ascii="Times New Roman" w:eastAsia="Times New Roman" w:hAnsi="Times New Roman"/>
          <w:sz w:val="22"/>
        </w:rPr>
        <w:t>,</w:t>
      </w:r>
      <w:r>
        <w:rPr>
          <w:rFonts w:ascii="Times New Roman" w:eastAsia="Times New Roman" w:hAnsi="Times New Roman"/>
          <w:sz w:val="22"/>
        </w:rPr>
        <w:t xml:space="preserve"> </w:t>
      </w:r>
      <w:r w:rsidR="00C20982">
        <w:rPr>
          <w:rFonts w:ascii="Times New Roman" w:eastAsia="Times New Roman" w:hAnsi="Times New Roman"/>
          <w:sz w:val="22"/>
        </w:rPr>
        <w:t>illetve</w:t>
      </w:r>
      <w:r>
        <w:rPr>
          <w:rFonts w:ascii="Times New Roman" w:eastAsia="Times New Roman" w:hAnsi="Times New Roman"/>
          <w:sz w:val="22"/>
        </w:rPr>
        <w:t xml:space="preserve"> serdülő betegekkel nincsenek kontrollos vizsgálatok. Hét publikációban tizenhét, GIST-ben (Kit</w:t>
      </w:r>
      <w:r w:rsidR="00834FE3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 és PDGFR</w:t>
      </w:r>
      <w:r w:rsidR="00834FE3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mutáció</w:t>
      </w:r>
      <w:r w:rsidR="00834FE3">
        <w:rPr>
          <w:rFonts w:ascii="Times New Roman" w:eastAsia="Times New Roman" w:hAnsi="Times New Roman"/>
          <w:sz w:val="22"/>
        </w:rPr>
        <w:t>v</w:t>
      </w:r>
      <w:r>
        <w:rPr>
          <w:rFonts w:ascii="Times New Roman" w:eastAsia="Times New Roman" w:hAnsi="Times New Roman"/>
          <w:sz w:val="22"/>
        </w:rPr>
        <w:t>al vagy anélkül) szenvedő betegről számoltak be. Ezen betegek életkora 8 és 18 év közé esett, és az imatinibet mind adjuváns kezelésként, mind metasztatizáló betegség esetén napi 300</w:t>
      </w:r>
      <w:r w:rsidRPr="00D55DE4">
        <w:rPr>
          <w:rFonts w:ascii="Times New Roman" w:eastAsia="Times New Roman" w:hAnsi="Times New Roman" w:cs="Times New Roman"/>
          <w:sz w:val="22"/>
          <w:szCs w:val="22"/>
        </w:rPr>
        <w:t>−</w:t>
      </w:r>
      <w:r>
        <w:rPr>
          <w:rFonts w:ascii="Times New Roman" w:eastAsia="Times New Roman" w:hAnsi="Times New Roman"/>
          <w:sz w:val="22"/>
        </w:rPr>
        <w:t>800 mg dózisban kapták. A GIST miatt kezelt gyermek</w:t>
      </w:r>
      <w:r w:rsidR="00834FE3">
        <w:rPr>
          <w:rFonts w:ascii="Times New Roman" w:eastAsia="Times New Roman" w:hAnsi="Times New Roman"/>
          <w:sz w:val="22"/>
        </w:rPr>
        <w:t>, illetve</w:t>
      </w:r>
      <w:r w:rsidRPr="00D55DE4">
        <w:rPr>
          <w:rFonts w:ascii="Times New Roman" w:eastAsia="Times New Roman" w:hAnsi="Times New Roman"/>
          <w:sz w:val="22"/>
        </w:rPr>
        <w:t xml:space="preserve"> serdülő</w:t>
      </w:r>
      <w:r>
        <w:rPr>
          <w:rFonts w:ascii="Times New Roman" w:eastAsia="Times New Roman" w:hAnsi="Times New Roman"/>
          <w:sz w:val="22"/>
        </w:rPr>
        <w:t xml:space="preserve"> betegek többségénél nem voltak a c-</w:t>
      </w:r>
      <w:r w:rsidR="00D22E29">
        <w:rPr>
          <w:rFonts w:ascii="Times New Roman" w:eastAsia="Times New Roman" w:hAnsi="Times New Roman"/>
          <w:sz w:val="22"/>
        </w:rPr>
        <w:t>K</w:t>
      </w:r>
      <w:r>
        <w:rPr>
          <w:rFonts w:ascii="Times New Roman" w:eastAsia="Times New Roman" w:hAnsi="Times New Roman"/>
          <w:sz w:val="22"/>
        </w:rPr>
        <w:t>it</w:t>
      </w:r>
      <w:r w:rsidR="00D22E29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 xml:space="preserve"> vagy PDGFR</w:t>
      </w:r>
      <w:r w:rsidR="00D22E29">
        <w:rPr>
          <w:rFonts w:ascii="Times New Roman" w:eastAsia="Times New Roman" w:hAnsi="Times New Roman"/>
          <w:sz w:val="22"/>
        </w:rPr>
        <w:t>-</w:t>
      </w:r>
      <w:r>
        <w:rPr>
          <w:rFonts w:ascii="Times New Roman" w:eastAsia="Times New Roman" w:hAnsi="Times New Roman"/>
          <w:sz w:val="22"/>
        </w:rPr>
        <w:t>mutációt megerősítő adatok, ami kevert klinikai kimenetelhez vezethetett.</w:t>
      </w:r>
    </w:p>
    <w:p w14:paraId="58CBAF8F" w14:textId="77777777" w:rsidR="0018182D" w:rsidRDefault="0018182D" w:rsidP="00FD6F1E">
      <w:pPr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</w:p>
    <w:p w14:paraId="191AEEA6" w14:textId="77777777" w:rsidR="002A793D" w:rsidRPr="00F567BF" w:rsidRDefault="002A793D" w:rsidP="00FD6F1E">
      <w:pPr>
        <w:tabs>
          <w:tab w:val="left" w:pos="9498"/>
        </w:tabs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Klinikai vizsgálatok DFSP-ben</w:t>
      </w:r>
    </w:p>
    <w:p w14:paraId="6D23F995" w14:textId="77777777" w:rsidR="00652029" w:rsidRDefault="00652029" w:rsidP="00FD6F1E">
      <w:pPr>
        <w:tabs>
          <w:tab w:val="left" w:pos="9498"/>
        </w:tabs>
        <w:spacing w:line="230" w:lineRule="auto"/>
        <w:ind w:right="-2"/>
        <w:rPr>
          <w:rFonts w:ascii="Times New Roman" w:eastAsia="Times New Roman" w:hAnsi="Times New Roman"/>
          <w:sz w:val="22"/>
        </w:rPr>
      </w:pPr>
    </w:p>
    <w:p w14:paraId="394206C9" w14:textId="57555BED" w:rsidR="002A793D" w:rsidRPr="00F567BF" w:rsidRDefault="002A793D" w:rsidP="00FD6F1E">
      <w:pPr>
        <w:tabs>
          <w:tab w:val="left" w:pos="9498"/>
        </w:tabs>
        <w:spacing w:line="230" w:lineRule="auto"/>
        <w:ind w:right="-2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Egy nyílt</w:t>
      </w:r>
      <w:r w:rsidR="00CB620C">
        <w:rPr>
          <w:rFonts w:ascii="Times New Roman" w:eastAsia="Times New Roman" w:hAnsi="Times New Roman"/>
          <w:sz w:val="22"/>
        </w:rPr>
        <w:t xml:space="preserve"> elrendezésű</w:t>
      </w:r>
      <w:r w:rsidR="00C70ED9">
        <w:rPr>
          <w:rFonts w:ascii="Times New Roman" w:eastAsia="Times New Roman" w:hAnsi="Times New Roman"/>
          <w:sz w:val="22"/>
        </w:rPr>
        <w:t>,</w:t>
      </w:r>
      <w:r w:rsidRPr="00F567BF">
        <w:rPr>
          <w:rFonts w:ascii="Times New Roman" w:eastAsia="Times New Roman" w:hAnsi="Times New Roman"/>
          <w:sz w:val="22"/>
        </w:rPr>
        <w:t xml:space="preserve"> </w:t>
      </w:r>
      <w:r w:rsidR="00312570">
        <w:rPr>
          <w:rFonts w:ascii="Times New Roman" w:eastAsia="Times New Roman" w:hAnsi="Times New Roman"/>
          <w:sz w:val="22"/>
        </w:rPr>
        <w:t xml:space="preserve">II. </w:t>
      </w:r>
      <w:r w:rsidRPr="00F567BF">
        <w:rPr>
          <w:rFonts w:ascii="Times New Roman" w:eastAsia="Times New Roman" w:hAnsi="Times New Roman"/>
          <w:sz w:val="22"/>
        </w:rPr>
        <w:t>fázis</w:t>
      </w:r>
      <w:r w:rsidR="00312570">
        <w:rPr>
          <w:rFonts w:ascii="Times New Roman" w:eastAsia="Times New Roman" w:hAnsi="Times New Roman"/>
          <w:sz w:val="22"/>
        </w:rPr>
        <w:t>ú</w:t>
      </w:r>
      <w:r w:rsidRPr="00F567BF">
        <w:rPr>
          <w:rFonts w:ascii="Times New Roman" w:eastAsia="Times New Roman" w:hAnsi="Times New Roman"/>
          <w:sz w:val="22"/>
        </w:rPr>
        <w:t xml:space="preserve"> multicentrikus klinikai vizsgálatban (B2225</w:t>
      </w:r>
      <w:r w:rsidR="00243F2D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vizsgálat) többek között 12</w:t>
      </w:r>
      <w:r w:rsidR="00C70ED9">
        <w:rPr>
          <w:rFonts w:ascii="Times New Roman" w:eastAsia="Times New Roman" w:hAnsi="Times New Roman"/>
          <w:sz w:val="22"/>
        </w:rPr>
        <w:t>,</w:t>
      </w:r>
      <w:r w:rsidRPr="00F567BF">
        <w:rPr>
          <w:rFonts w:ascii="Times New Roman" w:eastAsia="Times New Roman" w:hAnsi="Times New Roman"/>
          <w:sz w:val="22"/>
        </w:rPr>
        <w:t xml:space="preserve"> DFSP-ben szenvedő beteget kezeltek napi 800</w:t>
      </w:r>
      <w:r w:rsidR="00A402C8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 </w:t>
      </w:r>
      <w:r w:rsidR="00A402C8" w:rsidRPr="00F567BF">
        <w:rPr>
          <w:rFonts w:ascii="Times New Roman" w:eastAsia="Times New Roman" w:hAnsi="Times New Roman"/>
          <w:sz w:val="22"/>
        </w:rPr>
        <w:t>imatinibbel</w:t>
      </w:r>
      <w:r w:rsidRPr="00F567BF">
        <w:rPr>
          <w:rFonts w:ascii="Times New Roman" w:eastAsia="Times New Roman" w:hAnsi="Times New Roman"/>
          <w:sz w:val="22"/>
        </w:rPr>
        <w:t>. A DFSP-s betegek életkora 23 és 75</w:t>
      </w:r>
      <w:r w:rsidR="00E908C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év között volt; a DFSP metasztatikus, a</w:t>
      </w:r>
      <w:r w:rsidR="003628A0">
        <w:rPr>
          <w:rFonts w:ascii="Times New Roman" w:eastAsia="Times New Roman" w:hAnsi="Times New Roman"/>
          <w:sz w:val="22"/>
        </w:rPr>
        <w:t xml:space="preserve"> kezdeti</w:t>
      </w:r>
      <w:r w:rsidRPr="00F567BF">
        <w:rPr>
          <w:rFonts w:ascii="Times New Roman" w:eastAsia="Times New Roman" w:hAnsi="Times New Roman"/>
          <w:sz w:val="22"/>
        </w:rPr>
        <w:t xml:space="preserve"> re</w:t>
      </w:r>
      <w:r w:rsidR="004824AB">
        <w:rPr>
          <w:rFonts w:ascii="Times New Roman" w:eastAsia="Times New Roman" w:hAnsi="Times New Roman"/>
          <w:sz w:val="22"/>
        </w:rPr>
        <w:t>s</w:t>
      </w:r>
      <w:r w:rsidRPr="00F567BF">
        <w:rPr>
          <w:rFonts w:ascii="Times New Roman" w:eastAsia="Times New Roman" w:hAnsi="Times New Roman"/>
          <w:sz w:val="22"/>
        </w:rPr>
        <w:t xml:space="preserve">zekciós műtétet követően lokálisan </w:t>
      </w:r>
      <w:r w:rsidR="002C4206">
        <w:rPr>
          <w:rFonts w:ascii="Times New Roman" w:eastAsia="Times New Roman" w:hAnsi="Times New Roman"/>
          <w:sz w:val="22"/>
        </w:rPr>
        <w:t>relabáló</w:t>
      </w:r>
      <w:r w:rsidR="002C4206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volt, </w:t>
      </w:r>
      <w:r w:rsidRPr="00F567BF">
        <w:rPr>
          <w:rFonts w:ascii="Times New Roman" w:eastAsia="Times New Roman" w:hAnsi="Times New Roman"/>
          <w:sz w:val="22"/>
        </w:rPr>
        <w:lastRenderedPageBreak/>
        <w:t>és a vizsgálatba történő bevonáskor további re</w:t>
      </w:r>
      <w:r w:rsidR="004824AB">
        <w:rPr>
          <w:rFonts w:ascii="Times New Roman" w:eastAsia="Times New Roman" w:hAnsi="Times New Roman"/>
          <w:sz w:val="22"/>
        </w:rPr>
        <w:t>s</w:t>
      </w:r>
      <w:r w:rsidRPr="00F567BF">
        <w:rPr>
          <w:rFonts w:ascii="Times New Roman" w:eastAsia="Times New Roman" w:hAnsi="Times New Roman"/>
          <w:sz w:val="22"/>
        </w:rPr>
        <w:t xml:space="preserve">zekciós műtétre nem </w:t>
      </w:r>
      <w:r w:rsidR="00A402C8" w:rsidRPr="00F567BF">
        <w:rPr>
          <w:rFonts w:ascii="Times New Roman" w:eastAsia="Times New Roman" w:hAnsi="Times New Roman"/>
          <w:sz w:val="22"/>
        </w:rPr>
        <w:t xml:space="preserve">tekintették őket alkalmasnak. </w:t>
      </w:r>
      <w:r w:rsidR="00992022" w:rsidRPr="00F567BF">
        <w:rPr>
          <w:rFonts w:ascii="Times New Roman" w:eastAsia="Times New Roman" w:hAnsi="Times New Roman"/>
          <w:sz w:val="22"/>
        </w:rPr>
        <w:t>Az objektív terápiásválasz</w:t>
      </w:r>
      <w:r w:rsidR="00B64A2F">
        <w:rPr>
          <w:rFonts w:ascii="Times New Roman" w:eastAsia="Times New Roman" w:hAnsi="Times New Roman"/>
          <w:sz w:val="22"/>
        </w:rPr>
        <w:t>-arány</w:t>
      </w:r>
      <w:r w:rsidR="00992022" w:rsidRPr="00F567BF">
        <w:rPr>
          <w:rFonts w:ascii="Times New Roman" w:eastAsia="Times New Roman" w:hAnsi="Times New Roman"/>
          <w:sz w:val="22"/>
        </w:rPr>
        <w:t xml:space="preserve"> volt a hat</w:t>
      </w:r>
      <w:r w:rsidR="00565208">
        <w:rPr>
          <w:rFonts w:ascii="Times New Roman" w:eastAsia="Times New Roman" w:hAnsi="Times New Roman"/>
          <w:sz w:val="22"/>
        </w:rPr>
        <w:t>ásos</w:t>
      </w:r>
      <w:r w:rsidR="00992022" w:rsidRPr="00F567BF">
        <w:rPr>
          <w:rFonts w:ascii="Times New Roman" w:eastAsia="Times New Roman" w:hAnsi="Times New Roman"/>
          <w:sz w:val="22"/>
        </w:rPr>
        <w:t xml:space="preserve">ság elsődleges bizonyítéka. </w:t>
      </w:r>
      <w:r w:rsidR="00A402C8" w:rsidRPr="00F567BF">
        <w:rPr>
          <w:rFonts w:ascii="Times New Roman" w:eastAsia="Times New Roman" w:hAnsi="Times New Roman"/>
          <w:sz w:val="22"/>
        </w:rPr>
        <w:t xml:space="preserve">A </w:t>
      </w:r>
      <w:r w:rsidRPr="00F567BF">
        <w:rPr>
          <w:rFonts w:ascii="Times New Roman" w:eastAsia="Times New Roman" w:hAnsi="Times New Roman"/>
          <w:sz w:val="22"/>
        </w:rPr>
        <w:t>12 bevont betegből 9</w:t>
      </w:r>
      <w:r w:rsidR="0030636B">
        <w:rPr>
          <w:rFonts w:ascii="Times New Roman" w:eastAsia="Times New Roman" w:hAnsi="Times New Roman"/>
          <w:sz w:val="22"/>
        </w:rPr>
        <w:t>-nél volt tapasztalható terápiás válasz, közülük</w:t>
      </w:r>
      <w:r w:rsidRPr="00F567BF">
        <w:rPr>
          <w:rFonts w:ascii="Times New Roman" w:eastAsia="Times New Roman" w:hAnsi="Times New Roman"/>
          <w:sz w:val="22"/>
        </w:rPr>
        <w:t xml:space="preserve"> 1</w:t>
      </w:r>
      <w:r w:rsidR="001C589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beteg</w:t>
      </w:r>
      <w:r w:rsidR="009E26F4">
        <w:rPr>
          <w:rFonts w:ascii="Times New Roman" w:eastAsia="Times New Roman" w:hAnsi="Times New Roman"/>
          <w:sz w:val="22"/>
        </w:rPr>
        <w:t xml:space="preserve"> </w:t>
      </w:r>
      <w:r w:rsidR="005D70C0">
        <w:rPr>
          <w:rFonts w:ascii="Times New Roman" w:eastAsia="Times New Roman" w:hAnsi="Times New Roman"/>
          <w:sz w:val="22"/>
        </w:rPr>
        <w:t>teljes</w:t>
      </w:r>
      <w:r w:rsidRPr="00F567BF">
        <w:rPr>
          <w:rFonts w:ascii="Times New Roman" w:eastAsia="Times New Roman" w:hAnsi="Times New Roman"/>
          <w:sz w:val="22"/>
        </w:rPr>
        <w:t xml:space="preserve"> válasz</w:t>
      </w:r>
      <w:r w:rsidR="00CB77AF">
        <w:rPr>
          <w:rFonts w:ascii="Times New Roman" w:eastAsia="Times New Roman" w:hAnsi="Times New Roman"/>
          <w:sz w:val="22"/>
        </w:rPr>
        <w:t>t</w:t>
      </w:r>
      <w:r w:rsidRPr="00F567BF">
        <w:rPr>
          <w:rFonts w:ascii="Times New Roman" w:eastAsia="Times New Roman" w:hAnsi="Times New Roman"/>
          <w:sz w:val="22"/>
        </w:rPr>
        <w:t>, 8</w:t>
      </w:r>
      <w:r w:rsidR="001C589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beteg részleges válasz</w:t>
      </w:r>
      <w:r w:rsidR="00FD59A1">
        <w:rPr>
          <w:rFonts w:ascii="Times New Roman" w:eastAsia="Times New Roman" w:hAnsi="Times New Roman"/>
          <w:sz w:val="22"/>
        </w:rPr>
        <w:t>t mutatott.</w:t>
      </w:r>
      <w:r w:rsidRPr="00F567BF">
        <w:rPr>
          <w:rFonts w:ascii="Times New Roman" w:eastAsia="Times New Roman" w:hAnsi="Times New Roman"/>
          <w:sz w:val="22"/>
        </w:rPr>
        <w:t xml:space="preserve"> A részleges választ </w:t>
      </w:r>
      <w:r w:rsidR="00FD59A1">
        <w:rPr>
          <w:rFonts w:ascii="Times New Roman" w:eastAsia="Times New Roman" w:hAnsi="Times New Roman"/>
          <w:sz w:val="22"/>
        </w:rPr>
        <w:t>mutatók</w:t>
      </w:r>
      <w:r w:rsidRPr="00F567BF">
        <w:rPr>
          <w:rFonts w:ascii="Times New Roman" w:eastAsia="Times New Roman" w:hAnsi="Times New Roman"/>
          <w:sz w:val="22"/>
        </w:rPr>
        <w:t xml:space="preserve"> közül 3</w:t>
      </w:r>
      <w:r w:rsidR="001C5896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beteg a későbbiekben műtéti beavatkozást kö</w:t>
      </w:r>
      <w:r w:rsidR="00A402C8" w:rsidRPr="00F567BF">
        <w:rPr>
          <w:rFonts w:ascii="Times New Roman" w:eastAsia="Times New Roman" w:hAnsi="Times New Roman"/>
          <w:sz w:val="22"/>
        </w:rPr>
        <w:t xml:space="preserve">vetően vált betegségmentessé. A </w:t>
      </w:r>
      <w:r w:rsidRPr="00F567BF">
        <w:rPr>
          <w:rFonts w:ascii="Times New Roman" w:eastAsia="Times New Roman" w:hAnsi="Times New Roman"/>
          <w:sz w:val="22"/>
        </w:rPr>
        <w:t>B2225</w:t>
      </w:r>
      <w:r w:rsidR="00243F2D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vizsgálatban a kezelés medián</w:t>
      </w:r>
      <w:r w:rsidR="00D16324" w:rsidRPr="00D16324">
        <w:rPr>
          <w:rFonts w:ascii="Times New Roman" w:eastAsia="Times New Roman" w:hAnsi="Times New Roman"/>
          <w:sz w:val="22"/>
        </w:rPr>
        <w:t xml:space="preserve"> időtartam</w:t>
      </w:r>
      <w:r w:rsidR="00D16324">
        <w:rPr>
          <w:rFonts w:ascii="Times New Roman" w:eastAsia="Times New Roman" w:hAnsi="Times New Roman"/>
          <w:sz w:val="22"/>
        </w:rPr>
        <w:t>a</w:t>
      </w:r>
      <w:r w:rsidRPr="00F567BF">
        <w:rPr>
          <w:rFonts w:ascii="Times New Roman" w:eastAsia="Times New Roman" w:hAnsi="Times New Roman"/>
          <w:sz w:val="22"/>
        </w:rPr>
        <w:t xml:space="preserve"> 6,2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hónap volt (a maxim</w:t>
      </w:r>
      <w:r w:rsidR="00243F2D">
        <w:rPr>
          <w:rFonts w:ascii="Times New Roman" w:eastAsia="Times New Roman" w:hAnsi="Times New Roman"/>
          <w:sz w:val="22"/>
        </w:rPr>
        <w:t>ális</w:t>
      </w:r>
      <w:r w:rsidRPr="00F567BF">
        <w:rPr>
          <w:rFonts w:ascii="Times New Roman" w:eastAsia="Times New Roman" w:hAnsi="Times New Roman"/>
          <w:sz w:val="22"/>
        </w:rPr>
        <w:t xml:space="preserve"> i</w:t>
      </w:r>
      <w:r w:rsidR="00A402C8" w:rsidRPr="00F567BF">
        <w:rPr>
          <w:rFonts w:ascii="Times New Roman" w:eastAsia="Times New Roman" w:hAnsi="Times New Roman"/>
          <w:sz w:val="22"/>
        </w:rPr>
        <w:t xml:space="preserve">dőtartam </w:t>
      </w:r>
      <w:r w:rsidRPr="00F567BF">
        <w:rPr>
          <w:rFonts w:ascii="Times New Roman" w:eastAsia="Times New Roman" w:hAnsi="Times New Roman"/>
          <w:sz w:val="22"/>
        </w:rPr>
        <w:t>24,3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hónap). </w:t>
      </w:r>
      <w:r w:rsidR="00183A40">
        <w:rPr>
          <w:rFonts w:ascii="Times New Roman" w:eastAsia="Times New Roman" w:hAnsi="Times New Roman"/>
          <w:sz w:val="22"/>
        </w:rPr>
        <w:t xml:space="preserve">Öt </w:t>
      </w:r>
      <w:r w:rsidR="00183A40" w:rsidRPr="00183A40">
        <w:rPr>
          <w:rFonts w:ascii="Times New Roman" w:eastAsia="Times New Roman" w:hAnsi="Times New Roman"/>
          <w:sz w:val="22"/>
        </w:rPr>
        <w:t xml:space="preserve">publikált esettanulmányban </w:t>
      </w:r>
      <w:r w:rsidR="00183A40">
        <w:rPr>
          <w:rFonts w:ascii="Times New Roman" w:eastAsia="Times New Roman" w:hAnsi="Times New Roman"/>
          <w:sz w:val="22"/>
        </w:rPr>
        <w:t>t</w:t>
      </w:r>
      <w:r w:rsidRPr="00F567BF">
        <w:rPr>
          <w:rFonts w:ascii="Times New Roman" w:eastAsia="Times New Roman" w:hAnsi="Times New Roman"/>
          <w:sz w:val="22"/>
        </w:rPr>
        <w:t xml:space="preserve">ovábbi 6, </w:t>
      </w:r>
      <w:r w:rsidR="00A402C8" w:rsidRPr="00F567BF">
        <w:rPr>
          <w:rFonts w:ascii="Times New Roman" w:eastAsia="Times New Roman" w:hAnsi="Times New Roman"/>
          <w:sz w:val="22"/>
        </w:rPr>
        <w:t>imatinibbel</w:t>
      </w:r>
      <w:r w:rsidRPr="00F567BF">
        <w:rPr>
          <w:rFonts w:ascii="Times New Roman" w:eastAsia="Times New Roman" w:hAnsi="Times New Roman"/>
          <w:sz w:val="22"/>
        </w:rPr>
        <w:t xml:space="preserve"> kezelt DFSP-s betegről (életkor: 18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hónap</w:t>
      </w:r>
      <w:r w:rsidR="00243F2D">
        <w:rPr>
          <w:rFonts w:ascii="Times New Roman" w:eastAsia="Times New Roman" w:hAnsi="Times New Roman"/>
          <w:sz w:val="22"/>
        </w:rPr>
        <w:t> </w:t>
      </w:r>
      <w:r w:rsidR="00EC3F17" w:rsidRPr="00F567BF">
        <w:rPr>
          <w:rFonts w:ascii="Times New Roman" w:eastAsia="Times New Roman" w:hAnsi="Times New Roman"/>
          <w:sz w:val="22"/>
        </w:rPr>
        <w:t>–</w:t>
      </w:r>
      <w:r w:rsidR="00243F2D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49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év) számoltak be. A szakirodalomban szereplő fel</w:t>
      </w:r>
      <w:r w:rsidR="00A402C8" w:rsidRPr="00F567BF">
        <w:rPr>
          <w:rFonts w:ascii="Times New Roman" w:eastAsia="Times New Roman" w:hAnsi="Times New Roman"/>
          <w:sz w:val="22"/>
        </w:rPr>
        <w:t>nőtt betegek</w:t>
      </w:r>
      <w:r w:rsidR="0097276A">
        <w:rPr>
          <w:rFonts w:ascii="Times New Roman" w:eastAsia="Times New Roman" w:hAnsi="Times New Roman"/>
          <w:sz w:val="22"/>
        </w:rPr>
        <w:t>et</w:t>
      </w:r>
      <w:r w:rsidR="00A402C8" w:rsidRPr="00F567BF">
        <w:rPr>
          <w:rFonts w:ascii="Times New Roman" w:eastAsia="Times New Roman" w:hAnsi="Times New Roman"/>
          <w:sz w:val="22"/>
        </w:rPr>
        <w:t xml:space="preserve"> napi </w:t>
      </w:r>
      <w:r w:rsidRPr="00F567BF">
        <w:rPr>
          <w:rFonts w:ascii="Times New Roman" w:eastAsia="Times New Roman" w:hAnsi="Times New Roman"/>
          <w:sz w:val="22"/>
        </w:rPr>
        <w:t>400</w:t>
      </w:r>
      <w:r w:rsidR="00A402C8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mg (4 eset) vagy 800</w:t>
      </w:r>
      <w:r w:rsidR="00A402C8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mg (1 eset) </w:t>
      </w:r>
      <w:r w:rsidR="00375D49">
        <w:rPr>
          <w:rFonts w:ascii="Times New Roman" w:eastAsia="Times New Roman" w:hAnsi="Times New Roman"/>
          <w:sz w:val="22"/>
        </w:rPr>
        <w:t>imatinibbel kezelték</w:t>
      </w:r>
      <w:r w:rsidRPr="00F567BF">
        <w:rPr>
          <w:rFonts w:ascii="Times New Roman" w:eastAsia="Times New Roman" w:hAnsi="Times New Roman"/>
          <w:sz w:val="22"/>
        </w:rPr>
        <w:t xml:space="preserve">. Az 5 reagáló betegből 3 </w:t>
      </w:r>
      <w:r w:rsidR="00C362B9">
        <w:rPr>
          <w:rFonts w:ascii="Times New Roman" w:eastAsia="Times New Roman" w:hAnsi="Times New Roman"/>
          <w:sz w:val="22"/>
        </w:rPr>
        <w:t>teljes</w:t>
      </w:r>
      <w:r w:rsidR="00375D49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választ, 2 részleges választ </w:t>
      </w:r>
      <w:r w:rsidR="00C362B9">
        <w:rPr>
          <w:rFonts w:ascii="Times New Roman" w:eastAsia="Times New Roman" w:hAnsi="Times New Roman"/>
          <w:sz w:val="22"/>
        </w:rPr>
        <w:t>mutatott</w:t>
      </w:r>
      <w:r w:rsidRPr="00F567BF">
        <w:rPr>
          <w:rFonts w:ascii="Times New Roman" w:eastAsia="Times New Roman" w:hAnsi="Times New Roman"/>
          <w:sz w:val="22"/>
        </w:rPr>
        <w:t>. A szakirodalomban közölt esetekben a kezelés medián</w:t>
      </w:r>
      <w:r w:rsidR="00565208">
        <w:rPr>
          <w:rFonts w:ascii="Times New Roman" w:eastAsia="Times New Roman" w:hAnsi="Times New Roman"/>
          <w:sz w:val="22"/>
        </w:rPr>
        <w:t xml:space="preserve"> </w:t>
      </w:r>
      <w:r w:rsidR="00297DFD">
        <w:rPr>
          <w:rFonts w:ascii="Times New Roman" w:eastAsia="Times New Roman" w:hAnsi="Times New Roman"/>
          <w:sz w:val="22"/>
        </w:rPr>
        <w:t>időtartama</w:t>
      </w:r>
      <w:r w:rsidR="00297DFD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4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hét és több mint 20</w:t>
      </w:r>
      <w:r w:rsidR="0056520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hónap között volt. A t(17:22)[(q22:q13)] transzlokáció vagy ennek génproduktuma kimutatható volt </w:t>
      </w:r>
      <w:r w:rsidR="00A402C8" w:rsidRPr="00F567BF">
        <w:rPr>
          <w:rFonts w:ascii="Times New Roman" w:eastAsia="Times New Roman" w:hAnsi="Times New Roman"/>
          <w:sz w:val="22"/>
        </w:rPr>
        <w:t>az imatinib</w:t>
      </w:r>
      <w:r w:rsidRPr="00F567BF">
        <w:rPr>
          <w:rFonts w:ascii="Times New Roman" w:eastAsia="Times New Roman" w:hAnsi="Times New Roman"/>
          <w:sz w:val="22"/>
        </w:rPr>
        <w:t>-kezelésre reagáló összes beteg</w:t>
      </w:r>
      <w:r w:rsidR="009E26F4">
        <w:rPr>
          <w:rFonts w:ascii="Times New Roman" w:eastAsia="Times New Roman" w:hAnsi="Times New Roman"/>
          <w:sz w:val="22"/>
        </w:rPr>
        <w:t>nél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350B1481" w14:textId="77777777" w:rsidR="002A793D" w:rsidRPr="00F567BF" w:rsidRDefault="002A793D" w:rsidP="0062474C">
      <w:pPr>
        <w:tabs>
          <w:tab w:val="left" w:pos="9498"/>
        </w:tabs>
        <w:spacing w:line="247" w:lineRule="exact"/>
        <w:rPr>
          <w:rFonts w:ascii="Times New Roman" w:eastAsia="Times New Roman" w:hAnsi="Times New Roman"/>
        </w:rPr>
      </w:pPr>
    </w:p>
    <w:p w14:paraId="051E5748" w14:textId="1A77A263" w:rsidR="00A402C8" w:rsidRPr="00F567BF" w:rsidRDefault="002A793D" w:rsidP="00565B15">
      <w:pPr>
        <w:tabs>
          <w:tab w:val="left" w:pos="9498"/>
        </w:tabs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DFSP-ben szenvedő </w:t>
      </w:r>
      <w:r w:rsidR="009E26F4">
        <w:rPr>
          <w:rFonts w:ascii="Times New Roman" w:eastAsia="Times New Roman" w:hAnsi="Times New Roman"/>
          <w:sz w:val="22"/>
          <w:szCs w:val="22"/>
        </w:rPr>
        <w:t>gyermek</w:t>
      </w:r>
      <w:r w:rsidR="00C43992">
        <w:rPr>
          <w:rFonts w:ascii="Times New Roman" w:eastAsia="Times New Roman" w:hAnsi="Times New Roman"/>
          <w:sz w:val="22"/>
          <w:szCs w:val="22"/>
        </w:rPr>
        <w:t>,</w:t>
      </w:r>
      <w:r w:rsidR="009E26F4">
        <w:rPr>
          <w:rFonts w:ascii="Times New Roman" w:eastAsia="Times New Roman" w:hAnsi="Times New Roman"/>
          <w:sz w:val="22"/>
          <w:szCs w:val="22"/>
        </w:rPr>
        <w:t xml:space="preserve"> </w:t>
      </w:r>
      <w:r w:rsidR="00C43992">
        <w:rPr>
          <w:rFonts w:ascii="Times New Roman" w:eastAsia="Times New Roman" w:hAnsi="Times New Roman"/>
          <w:sz w:val="22"/>
          <w:szCs w:val="22"/>
        </w:rPr>
        <w:t>illetve</w:t>
      </w:r>
      <w:r w:rsidR="009E26F4">
        <w:rPr>
          <w:rFonts w:ascii="Times New Roman" w:eastAsia="Times New Roman" w:hAnsi="Times New Roman"/>
          <w:sz w:val="22"/>
          <w:szCs w:val="22"/>
        </w:rPr>
        <w:t xml:space="preserve"> serdülő</w:t>
      </w:r>
      <w:r w:rsidR="00C43992">
        <w:rPr>
          <w:rFonts w:ascii="Times New Roman" w:eastAsia="Times New Roman" w:hAnsi="Times New Roman"/>
          <w:sz w:val="22"/>
          <w:szCs w:val="22"/>
        </w:rPr>
        <w:t xml:space="preserve"> betegekkel</w:t>
      </w:r>
      <w:r w:rsidR="009E26F4">
        <w:rPr>
          <w:rFonts w:ascii="Times New Roman" w:eastAsia="Times New Roman" w:hAnsi="Times New Roman"/>
          <w:sz w:val="22"/>
          <w:szCs w:val="22"/>
        </w:rPr>
        <w:t xml:space="preserve"> nem végeztek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kontroll</w:t>
      </w:r>
      <w:r w:rsidR="00565208">
        <w:rPr>
          <w:rFonts w:ascii="Times New Roman" w:eastAsia="Times New Roman" w:hAnsi="Times New Roman"/>
          <w:sz w:val="22"/>
          <w:szCs w:val="22"/>
        </w:rPr>
        <w:t>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vizsgálato</w:t>
      </w:r>
      <w:r w:rsidR="009E26F4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Három publikációban 5, </w:t>
      </w:r>
      <w:r w:rsidR="00565B15" w:rsidRPr="00565B15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PDGFR</w:t>
      </w:r>
      <w:r w:rsidR="00DB7BFC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-</w:t>
      </w:r>
      <w:r w:rsidR="00565B15" w:rsidRPr="00565B15">
        <w:rPr>
          <w:rFonts w:ascii="Times New Roman" w:eastAsia="Courier New" w:hAnsi="Times New Roman" w:cs="Courier New"/>
          <w:color w:val="000000"/>
          <w:sz w:val="22"/>
          <w:szCs w:val="22"/>
          <w:lang w:bidi="hu-HU"/>
        </w:rPr>
        <w:t>génátrendeződéssel járó DFSP-ben szenvedő betegről</w:t>
      </w:r>
      <w:r w:rsidR="00565B15" w:rsidRPr="00C24311">
        <w:rPr>
          <w:rFonts w:ascii="Times New Roman" w:eastAsia="Courier New" w:hAnsi="Times New Roman" w:cs="Courier New"/>
          <w:color w:val="000000"/>
          <w:lang w:bidi="hu-HU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számoltak be.</w:t>
      </w:r>
      <w:r w:rsidR="00180FC6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Ezen betegek életkora újszülöttkor és 14</w:t>
      </w:r>
      <w:r w:rsidR="00565208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 közé esett, és az imatinibet napi 50</w:t>
      </w:r>
      <w:r w:rsidR="00A402C8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mg-os dózisban vagy napi 400-520</w:t>
      </w:r>
      <w:r w:rsidR="00A402C8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dózisban kapták. Minden betegek </w:t>
      </w:r>
      <w:r w:rsidR="00DF470D">
        <w:rPr>
          <w:rFonts w:ascii="Times New Roman" w:eastAsia="Times New Roman" w:hAnsi="Times New Roman"/>
          <w:sz w:val="22"/>
          <w:szCs w:val="22"/>
        </w:rPr>
        <w:t>részleges</w:t>
      </w:r>
      <w:r w:rsidR="00DF470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és/vagy </w:t>
      </w:r>
      <w:r w:rsidR="00DF470D">
        <w:rPr>
          <w:rFonts w:ascii="Times New Roman" w:eastAsia="Times New Roman" w:hAnsi="Times New Roman"/>
          <w:sz w:val="22"/>
          <w:szCs w:val="22"/>
        </w:rPr>
        <w:t>teljes</w:t>
      </w:r>
      <w:r w:rsidR="00DF470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remissziót ért el.</w:t>
      </w:r>
    </w:p>
    <w:p w14:paraId="78072465" w14:textId="77777777" w:rsidR="00A402C8" w:rsidRPr="00F567BF" w:rsidRDefault="00A402C8" w:rsidP="00A402C8">
      <w:pPr>
        <w:spacing w:line="214" w:lineRule="auto"/>
        <w:ind w:right="1100"/>
        <w:jc w:val="both"/>
        <w:rPr>
          <w:rFonts w:ascii="Times New Roman" w:eastAsia="Times New Roman" w:hAnsi="Times New Roman"/>
          <w:sz w:val="22"/>
        </w:rPr>
      </w:pPr>
    </w:p>
    <w:p w14:paraId="450C1C38" w14:textId="77777777" w:rsidR="00FE083B" w:rsidRPr="00F567BF" w:rsidRDefault="00FE083B" w:rsidP="0062474C">
      <w:pPr>
        <w:tabs>
          <w:tab w:val="left" w:pos="567"/>
        </w:tabs>
        <w:outlineLvl w:val="0"/>
        <w:rPr>
          <w:rFonts w:ascii="Times New Roman" w:eastAsia="SimSun" w:hAnsi="Times New Roman" w:cs="Times New Roman"/>
          <w:b/>
          <w:snapToGrid w:val="0"/>
          <w:sz w:val="22"/>
          <w:lang w:eastAsia="zh-CN"/>
        </w:rPr>
      </w:pPr>
      <w:bookmarkStart w:id="23" w:name="page65"/>
      <w:bookmarkEnd w:id="23"/>
      <w:r w:rsidRPr="00F567BF">
        <w:rPr>
          <w:rFonts w:ascii="Times New Roman" w:eastAsia="SimSun" w:hAnsi="Times New Roman" w:cs="Times New Roman"/>
          <w:b/>
          <w:snapToGrid w:val="0"/>
          <w:sz w:val="22"/>
          <w:lang w:eastAsia="zh-CN"/>
        </w:rPr>
        <w:t>5.2</w:t>
      </w:r>
      <w:r w:rsidRPr="00F567BF">
        <w:rPr>
          <w:rFonts w:ascii="Times New Roman" w:eastAsia="SimSun" w:hAnsi="Times New Roman" w:cs="Times New Roman"/>
          <w:b/>
          <w:snapToGrid w:val="0"/>
          <w:sz w:val="22"/>
          <w:lang w:eastAsia="zh-CN"/>
        </w:rPr>
        <w:tab/>
        <w:t>Farmakokinetikai tulajdonságok</w:t>
      </w:r>
    </w:p>
    <w:p w14:paraId="7CA36EFA" w14:textId="77777777" w:rsidR="002A793D" w:rsidRPr="00F567BF" w:rsidRDefault="002A793D">
      <w:pPr>
        <w:spacing w:line="232" w:lineRule="exact"/>
        <w:rPr>
          <w:rFonts w:ascii="Times New Roman" w:eastAsia="Times New Roman" w:hAnsi="Times New Roman"/>
        </w:rPr>
      </w:pPr>
    </w:p>
    <w:p w14:paraId="24E55679" w14:textId="77777777" w:rsidR="002A793D" w:rsidRPr="00F567BF" w:rsidRDefault="0062474C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Az imatinib</w:t>
      </w:r>
      <w:r w:rsidR="002A793D" w:rsidRPr="00F567BF">
        <w:rPr>
          <w:rFonts w:ascii="Times New Roman" w:eastAsia="Times New Roman" w:hAnsi="Times New Roman"/>
          <w:sz w:val="22"/>
          <w:u w:val="single"/>
        </w:rPr>
        <w:t xml:space="preserve"> farmakokinetikai tulajdonságai</w:t>
      </w:r>
    </w:p>
    <w:p w14:paraId="0D3317EF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</w:rPr>
      </w:pPr>
    </w:p>
    <w:p w14:paraId="7C29D33C" w14:textId="0BDF154A" w:rsidR="002A793D" w:rsidRPr="008B630E" w:rsidRDefault="0062474C">
      <w:pPr>
        <w:spacing w:line="230" w:lineRule="auto"/>
        <w:ind w:left="1"/>
        <w:rPr>
          <w:rFonts w:ascii="Times New Roman" w:eastAsia="Times New Roman" w:hAnsi="Times New Roman"/>
          <w:i/>
          <w:sz w:val="22"/>
        </w:rPr>
      </w:pPr>
      <w:r w:rsidRPr="00F567BF">
        <w:rPr>
          <w:rFonts w:ascii="Times New Roman" w:eastAsia="Times New Roman" w:hAnsi="Times New Roman"/>
          <w:sz w:val="22"/>
        </w:rPr>
        <w:t>Az imatinib</w:t>
      </w:r>
      <w:r w:rsidR="002A793D" w:rsidRPr="00F567BF">
        <w:rPr>
          <w:rFonts w:ascii="Times New Roman" w:eastAsia="Times New Roman" w:hAnsi="Times New Roman"/>
          <w:sz w:val="22"/>
        </w:rPr>
        <w:t xml:space="preserve"> farmakokinetikáját 25</w:t>
      </w:r>
      <w:r w:rsidRPr="00F567BF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mg</w:t>
      </w:r>
      <w:r w:rsidR="00243F2D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–</w:t>
      </w:r>
      <w:r w:rsidR="00243F2D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1000</w:t>
      </w:r>
      <w:r w:rsidRPr="00F567BF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mg dózistartományban vizsgálták. A plazma farmakokinetikai profilját az 1.</w:t>
      </w:r>
      <w:r w:rsidR="00243F2D">
        <w:rPr>
          <w:rFonts w:ascii="Times New Roman" w:eastAsia="Times New Roman" w:hAnsi="Times New Roman"/>
          <w:sz w:val="22"/>
        </w:rPr>
        <w:t>, majd vagy</w:t>
      </w:r>
      <w:r w:rsidR="002A793D" w:rsidRPr="00F567BF">
        <w:rPr>
          <w:rFonts w:ascii="Times New Roman" w:eastAsia="Times New Roman" w:hAnsi="Times New Roman"/>
          <w:sz w:val="22"/>
        </w:rPr>
        <w:t xml:space="preserve"> a 7.</w:t>
      </w:r>
      <w:r w:rsidR="00243F2D">
        <w:rPr>
          <w:rFonts w:ascii="Times New Roman" w:eastAsia="Times New Roman" w:hAnsi="Times New Roman"/>
          <w:sz w:val="22"/>
        </w:rPr>
        <w:t>,</w:t>
      </w:r>
      <w:r w:rsidR="002A793D" w:rsidRPr="00F567BF">
        <w:rPr>
          <w:rFonts w:ascii="Times New Roman" w:eastAsia="Times New Roman" w:hAnsi="Times New Roman"/>
          <w:sz w:val="22"/>
        </w:rPr>
        <w:t xml:space="preserve"> vagy </w:t>
      </w:r>
      <w:r w:rsidR="00243F2D">
        <w:rPr>
          <w:rFonts w:ascii="Times New Roman" w:eastAsia="Times New Roman" w:hAnsi="Times New Roman"/>
          <w:sz w:val="22"/>
        </w:rPr>
        <w:t xml:space="preserve">a </w:t>
      </w:r>
      <w:r w:rsidR="002A793D" w:rsidRPr="00F567BF">
        <w:rPr>
          <w:rFonts w:ascii="Times New Roman" w:eastAsia="Times New Roman" w:hAnsi="Times New Roman"/>
          <w:sz w:val="22"/>
        </w:rPr>
        <w:t>28.</w:t>
      </w:r>
      <w:r w:rsidR="005F4F1E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 xml:space="preserve">napon vizsgálták, </w:t>
      </w:r>
      <w:r w:rsidR="00640B06">
        <w:rPr>
          <w:rFonts w:ascii="Times New Roman" w:eastAsia="Times New Roman" w:hAnsi="Times New Roman"/>
          <w:sz w:val="22"/>
        </w:rPr>
        <w:t>a</w:t>
      </w:r>
      <w:r w:rsidR="00243F2D">
        <w:rPr>
          <w:rFonts w:ascii="Times New Roman" w:eastAsia="Times New Roman" w:hAnsi="Times New Roman"/>
          <w:sz w:val="22"/>
        </w:rPr>
        <w:t>mikorra a plazmakoncentráció elérte a</w:t>
      </w:r>
      <w:r w:rsidR="00640B06">
        <w:rPr>
          <w:rFonts w:ascii="Times New Roman" w:eastAsia="Times New Roman" w:hAnsi="Times New Roman"/>
          <w:sz w:val="22"/>
        </w:rPr>
        <w:t xml:space="preserve"> dinamikus egyensúlyi</w:t>
      </w:r>
      <w:r w:rsidR="002A793D" w:rsidRPr="00F567BF">
        <w:rPr>
          <w:rFonts w:ascii="Times New Roman" w:eastAsia="Times New Roman" w:hAnsi="Times New Roman"/>
          <w:sz w:val="22"/>
        </w:rPr>
        <w:t xml:space="preserve"> </w:t>
      </w:r>
      <w:r w:rsidR="00243F2D">
        <w:rPr>
          <w:rFonts w:ascii="Times New Roman" w:eastAsia="Times New Roman" w:hAnsi="Times New Roman"/>
          <w:sz w:val="22"/>
        </w:rPr>
        <w:t>állapotot</w:t>
      </w:r>
      <w:r w:rsidR="002A793D" w:rsidRPr="003E45A6">
        <w:rPr>
          <w:rFonts w:ascii="Times New Roman" w:eastAsia="Times New Roman" w:hAnsi="Times New Roman"/>
          <w:sz w:val="22"/>
        </w:rPr>
        <w:t>.</w:t>
      </w:r>
    </w:p>
    <w:p w14:paraId="6B999377" w14:textId="77777777" w:rsidR="002A793D" w:rsidRPr="008B630E" w:rsidRDefault="002A793D">
      <w:pPr>
        <w:spacing w:line="236" w:lineRule="exact"/>
        <w:rPr>
          <w:rFonts w:ascii="Times New Roman" w:eastAsia="Times New Roman" w:hAnsi="Times New Roman"/>
          <w:i/>
        </w:rPr>
      </w:pPr>
    </w:p>
    <w:p w14:paraId="7DBB2101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Felszívódás</w:t>
      </w:r>
    </w:p>
    <w:p w14:paraId="0EEE2F68" w14:textId="3B4FE40B" w:rsidR="002A793D" w:rsidRPr="00F567BF" w:rsidRDefault="00AC53BE" w:rsidP="0062474C">
      <w:pPr>
        <w:spacing w:line="229" w:lineRule="auto"/>
        <w:ind w:right="40"/>
        <w:rPr>
          <w:rFonts w:ascii="Times New Roman" w:eastAsia="Times New Roman" w:hAnsi="Times New Roman"/>
          <w:sz w:val="22"/>
        </w:rPr>
      </w:pPr>
      <w:r w:rsidRPr="00AC53BE">
        <w:rPr>
          <w:rFonts w:ascii="Times New Roman" w:eastAsia="Times New Roman" w:hAnsi="Times New Roman"/>
          <w:sz w:val="22"/>
        </w:rPr>
        <w:t xml:space="preserve">A kapszula gyógyszerformából </w:t>
      </w:r>
      <w:r>
        <w:rPr>
          <w:rFonts w:ascii="Times New Roman" w:eastAsia="Times New Roman" w:hAnsi="Times New Roman"/>
          <w:sz w:val="22"/>
        </w:rPr>
        <w:t>a</w:t>
      </w:r>
      <w:r w:rsidR="00F1484E" w:rsidRPr="00F567BF">
        <w:rPr>
          <w:rFonts w:ascii="Times New Roman" w:eastAsia="Times New Roman" w:hAnsi="Times New Roman"/>
          <w:sz w:val="22"/>
        </w:rPr>
        <w:t>z imatinib</w:t>
      </w:r>
      <w:r w:rsidR="002A793D" w:rsidRPr="00F567BF">
        <w:rPr>
          <w:rFonts w:ascii="Times New Roman" w:eastAsia="Times New Roman" w:hAnsi="Times New Roman"/>
          <w:sz w:val="22"/>
        </w:rPr>
        <w:t xml:space="preserve"> átlagos abszolút biohasznosulása 98%. </w:t>
      </w:r>
      <w:r w:rsidR="002518FB" w:rsidRPr="002518FB">
        <w:rPr>
          <w:rFonts w:ascii="Times New Roman" w:eastAsia="Times New Roman" w:hAnsi="Times New Roman"/>
          <w:iCs/>
          <w:sz w:val="22"/>
        </w:rPr>
        <w:t>Orális</w:t>
      </w:r>
      <w:r w:rsidR="00B83451" w:rsidRPr="00F567BF">
        <w:rPr>
          <w:rFonts w:ascii="Times New Roman" w:eastAsia="Times New Roman" w:hAnsi="Times New Roman"/>
          <w:sz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</w:rPr>
        <w:t xml:space="preserve">dózis alkalmazása után </w:t>
      </w:r>
      <w:r w:rsidR="00B11E40">
        <w:rPr>
          <w:rFonts w:ascii="Times New Roman" w:eastAsia="Times New Roman" w:hAnsi="Times New Roman"/>
          <w:sz w:val="22"/>
        </w:rPr>
        <w:t xml:space="preserve">az </w:t>
      </w:r>
      <w:r w:rsidR="002A793D" w:rsidRPr="00F567BF">
        <w:rPr>
          <w:rFonts w:ascii="Times New Roman" w:eastAsia="Times New Roman" w:hAnsi="Times New Roman"/>
          <w:sz w:val="22"/>
        </w:rPr>
        <w:t xml:space="preserve">imatinib </w:t>
      </w:r>
      <w:r w:rsidR="00B11E40">
        <w:rPr>
          <w:rFonts w:ascii="Times New Roman" w:eastAsia="Times New Roman" w:hAnsi="Times New Roman"/>
          <w:sz w:val="22"/>
        </w:rPr>
        <w:t>plazma</w:t>
      </w:r>
      <w:r w:rsidR="00F10DF7">
        <w:rPr>
          <w:rFonts w:ascii="Times New Roman" w:eastAsia="Times New Roman" w:hAnsi="Times New Roman"/>
          <w:sz w:val="22"/>
        </w:rPr>
        <w:t>-</w:t>
      </w:r>
      <w:r w:rsidR="002A793D" w:rsidRPr="00F567BF">
        <w:rPr>
          <w:rFonts w:ascii="Times New Roman" w:eastAsia="Times New Roman" w:hAnsi="Times New Roman"/>
          <w:sz w:val="22"/>
        </w:rPr>
        <w:t>AUC</w:t>
      </w:r>
      <w:r w:rsidR="00B11E40">
        <w:rPr>
          <w:rFonts w:ascii="Times New Roman" w:eastAsia="Times New Roman" w:hAnsi="Times New Roman"/>
          <w:sz w:val="22"/>
        </w:rPr>
        <w:t>-értéke</w:t>
      </w:r>
      <w:r w:rsidR="002A793D" w:rsidRPr="00F567BF">
        <w:rPr>
          <w:rFonts w:ascii="Times New Roman" w:eastAsia="Times New Roman" w:hAnsi="Times New Roman"/>
          <w:sz w:val="22"/>
        </w:rPr>
        <w:t xml:space="preserve"> nagy egyéni variab</w:t>
      </w:r>
      <w:r w:rsidR="0062474C" w:rsidRPr="00F567BF">
        <w:rPr>
          <w:rFonts w:ascii="Times New Roman" w:eastAsia="Times New Roman" w:hAnsi="Times New Roman"/>
          <w:sz w:val="22"/>
        </w:rPr>
        <w:t xml:space="preserve">ilitást mutatott. </w:t>
      </w:r>
      <w:r w:rsidR="00B83451">
        <w:rPr>
          <w:rFonts w:ascii="Times New Roman" w:eastAsia="Times New Roman" w:hAnsi="Times New Roman"/>
          <w:sz w:val="22"/>
        </w:rPr>
        <w:t>Nagy zsírtartalmú</w:t>
      </w:r>
      <w:r w:rsidR="0062474C" w:rsidRPr="00F567BF">
        <w:rPr>
          <w:rFonts w:ascii="Times New Roman" w:eastAsia="Times New Roman" w:hAnsi="Times New Roman"/>
          <w:sz w:val="22"/>
        </w:rPr>
        <w:t xml:space="preserve"> </w:t>
      </w:r>
      <w:r w:rsidR="00B11E40">
        <w:rPr>
          <w:rFonts w:ascii="Times New Roman" w:eastAsia="Times New Roman" w:hAnsi="Times New Roman"/>
          <w:sz w:val="22"/>
        </w:rPr>
        <w:t>étel fogyasztása közben</w:t>
      </w:r>
      <w:r w:rsidR="002A793D" w:rsidRPr="00F567BF">
        <w:rPr>
          <w:rFonts w:ascii="Times New Roman" w:eastAsia="Times New Roman" w:hAnsi="Times New Roman"/>
          <w:sz w:val="22"/>
        </w:rPr>
        <w:t xml:space="preserve"> </w:t>
      </w:r>
      <w:r w:rsidR="00F10DF7">
        <w:rPr>
          <w:rFonts w:ascii="Times New Roman" w:eastAsia="Times New Roman" w:hAnsi="Times New Roman"/>
          <w:sz w:val="22"/>
        </w:rPr>
        <w:t xml:space="preserve">bevéve </w:t>
      </w:r>
      <w:r w:rsidR="002A793D" w:rsidRPr="00F567BF">
        <w:rPr>
          <w:rFonts w:ascii="Times New Roman" w:eastAsia="Times New Roman" w:hAnsi="Times New Roman"/>
          <w:sz w:val="22"/>
        </w:rPr>
        <w:t>az imatinib felszívódása minimális</w:t>
      </w:r>
      <w:r w:rsidR="00373B51">
        <w:rPr>
          <w:rFonts w:ascii="Times New Roman" w:eastAsia="Times New Roman" w:hAnsi="Times New Roman"/>
          <w:sz w:val="22"/>
        </w:rPr>
        <w:t xml:space="preserve"> mértékben</w:t>
      </w:r>
      <w:r w:rsidR="002A793D" w:rsidRPr="00F567BF">
        <w:rPr>
          <w:rFonts w:ascii="Times New Roman" w:eastAsia="Times New Roman" w:hAnsi="Times New Roman"/>
          <w:sz w:val="22"/>
        </w:rPr>
        <w:t xml:space="preserve"> csökkent (a </w:t>
      </w:r>
      <w:r w:rsidR="00373B51">
        <w:rPr>
          <w:rFonts w:ascii="Times New Roman" w:eastAsia="Times New Roman" w:hAnsi="Times New Roman"/>
          <w:sz w:val="22"/>
        </w:rPr>
        <w:t>C</w:t>
      </w:r>
      <w:r w:rsidR="002A793D" w:rsidRPr="00862C54">
        <w:rPr>
          <w:rFonts w:ascii="Times New Roman" w:eastAsia="Times New Roman" w:hAnsi="Times New Roman"/>
          <w:sz w:val="22"/>
          <w:szCs w:val="22"/>
          <w:vertAlign w:val="subscript"/>
        </w:rPr>
        <w:t>max</w:t>
      </w:r>
      <w:r w:rsidR="002A793D" w:rsidRPr="00F567BF">
        <w:rPr>
          <w:rFonts w:ascii="Times New Roman" w:eastAsia="Times New Roman" w:hAnsi="Times New Roman"/>
          <w:sz w:val="22"/>
        </w:rPr>
        <w:t xml:space="preserve"> 11%-kal csökkent, a t</w:t>
      </w:r>
      <w:r w:rsidR="002A793D" w:rsidRPr="00862C54">
        <w:rPr>
          <w:rFonts w:ascii="Times New Roman" w:eastAsia="Times New Roman" w:hAnsi="Times New Roman"/>
          <w:sz w:val="22"/>
          <w:szCs w:val="22"/>
          <w:vertAlign w:val="subscript"/>
        </w:rPr>
        <w:t>max</w:t>
      </w:r>
      <w:r w:rsidR="002A793D" w:rsidRPr="00F567BF">
        <w:rPr>
          <w:rFonts w:ascii="Times New Roman" w:eastAsia="Times New Roman" w:hAnsi="Times New Roman"/>
          <w:sz w:val="22"/>
        </w:rPr>
        <w:t xml:space="preserve"> 1,5</w:t>
      </w:r>
      <w:r w:rsidR="003E45A6">
        <w:rPr>
          <w:rFonts w:ascii="Times New Roman" w:eastAsia="Times New Roman" w:hAnsi="Times New Roman"/>
          <w:sz w:val="22"/>
        </w:rPr>
        <w:t> </w:t>
      </w:r>
      <w:r w:rsidR="002A793D" w:rsidRPr="00F567BF">
        <w:rPr>
          <w:rFonts w:ascii="Times New Roman" w:eastAsia="Times New Roman" w:hAnsi="Times New Roman"/>
          <w:sz w:val="22"/>
        </w:rPr>
        <w:t>órával nyúlt meg) és az AUC kis</w:t>
      </w:r>
      <w:r w:rsidR="00373B51">
        <w:rPr>
          <w:rFonts w:ascii="Times New Roman" w:eastAsia="Times New Roman" w:hAnsi="Times New Roman"/>
          <w:sz w:val="22"/>
        </w:rPr>
        <w:t>mértékben</w:t>
      </w:r>
      <w:r w:rsidR="002A793D" w:rsidRPr="00F567BF">
        <w:rPr>
          <w:rFonts w:ascii="Times New Roman" w:eastAsia="Times New Roman" w:hAnsi="Times New Roman"/>
          <w:sz w:val="22"/>
        </w:rPr>
        <w:t xml:space="preserve"> csökkent (7,4%) az éhgyomri értékekhez képest. </w:t>
      </w:r>
      <w:r w:rsidR="00B83451">
        <w:rPr>
          <w:rFonts w:ascii="Times New Roman" w:eastAsia="Times New Roman" w:hAnsi="Times New Roman"/>
          <w:sz w:val="22"/>
        </w:rPr>
        <w:t>A korábbi</w:t>
      </w:r>
      <w:r w:rsidR="002A793D" w:rsidRPr="00F567BF">
        <w:rPr>
          <w:rFonts w:ascii="Times New Roman" w:eastAsia="Times New Roman" w:hAnsi="Times New Roman"/>
          <w:sz w:val="22"/>
        </w:rPr>
        <w:t xml:space="preserve"> gastrointestinalis </w:t>
      </w:r>
      <w:r w:rsidR="00373B51">
        <w:rPr>
          <w:rFonts w:ascii="Times New Roman" w:eastAsia="Times New Roman" w:hAnsi="Times New Roman"/>
          <w:sz w:val="22"/>
        </w:rPr>
        <w:t xml:space="preserve">sebészi beavatkozás </w:t>
      </w:r>
      <w:r w:rsidR="002A793D" w:rsidRPr="00F567BF">
        <w:rPr>
          <w:rFonts w:ascii="Times New Roman" w:eastAsia="Times New Roman" w:hAnsi="Times New Roman"/>
          <w:sz w:val="22"/>
        </w:rPr>
        <w:t>hatását a gyógyszer felszívódására nem vizsgálták.</w:t>
      </w:r>
    </w:p>
    <w:p w14:paraId="629D6EFD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</w:rPr>
      </w:pPr>
    </w:p>
    <w:p w14:paraId="4CB7C151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Eloszlás</w:t>
      </w:r>
    </w:p>
    <w:p w14:paraId="40801F5C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</w:rPr>
      </w:pPr>
    </w:p>
    <w:p w14:paraId="0E3FEB96" w14:textId="633CAF4C" w:rsidR="002A793D" w:rsidRPr="00F567BF" w:rsidRDefault="002A793D">
      <w:pPr>
        <w:spacing w:line="230" w:lineRule="auto"/>
        <w:ind w:left="1" w:right="2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i/>
          <w:sz w:val="22"/>
        </w:rPr>
        <w:t xml:space="preserve">In vitro </w:t>
      </w:r>
      <w:r w:rsidRPr="00F567BF">
        <w:rPr>
          <w:rFonts w:ascii="Times New Roman" w:eastAsia="Times New Roman" w:hAnsi="Times New Roman"/>
          <w:sz w:val="22"/>
        </w:rPr>
        <w:t xml:space="preserve">kísérletekre alapozva, </w:t>
      </w:r>
      <w:r w:rsidR="00B83451">
        <w:rPr>
          <w:rFonts w:ascii="Times New Roman" w:eastAsia="Times New Roman" w:hAnsi="Times New Roman"/>
          <w:sz w:val="22"/>
        </w:rPr>
        <w:t>a klinik</w:t>
      </w:r>
      <w:r w:rsidR="00CE6988">
        <w:rPr>
          <w:rFonts w:ascii="Times New Roman" w:eastAsia="Times New Roman" w:hAnsi="Times New Roman"/>
          <w:sz w:val="22"/>
        </w:rPr>
        <w:t>ailag releváns</w:t>
      </w:r>
      <w:r w:rsidRPr="00F567BF">
        <w:rPr>
          <w:rFonts w:ascii="Times New Roman" w:eastAsia="Times New Roman" w:hAnsi="Times New Roman"/>
          <w:sz w:val="22"/>
        </w:rPr>
        <w:t xml:space="preserve"> koncentráció</w:t>
      </w:r>
      <w:r w:rsidR="00CE6988">
        <w:rPr>
          <w:rFonts w:ascii="Times New Roman" w:eastAsia="Times New Roman" w:hAnsi="Times New Roman"/>
          <w:sz w:val="22"/>
        </w:rPr>
        <w:t>k</w:t>
      </w:r>
      <w:r w:rsidRPr="00F567BF">
        <w:rPr>
          <w:rFonts w:ascii="Times New Roman" w:eastAsia="Times New Roman" w:hAnsi="Times New Roman"/>
          <w:sz w:val="22"/>
        </w:rPr>
        <w:t xml:space="preserve">ban </w:t>
      </w:r>
      <w:r w:rsidR="00705AF4">
        <w:rPr>
          <w:rFonts w:ascii="Times New Roman" w:eastAsia="Times New Roman" w:hAnsi="Times New Roman"/>
          <w:sz w:val="22"/>
        </w:rPr>
        <w:t>alkalmazott</w:t>
      </w:r>
      <w:r w:rsidRPr="00F567BF">
        <w:rPr>
          <w:rFonts w:ascii="Times New Roman" w:eastAsia="Times New Roman" w:hAnsi="Times New Roman"/>
          <w:sz w:val="22"/>
        </w:rPr>
        <w:t xml:space="preserve"> imatinib plazmafehérjékhez</w:t>
      </w:r>
      <w:r w:rsidRPr="00F567BF">
        <w:rPr>
          <w:rFonts w:ascii="Times New Roman" w:eastAsia="Times New Roman" w:hAnsi="Times New Roman"/>
          <w:i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kötődése </w:t>
      </w:r>
      <w:r w:rsidR="00454977" w:rsidRPr="00F567BF">
        <w:rPr>
          <w:rFonts w:ascii="Times New Roman" w:eastAsia="Times New Roman" w:hAnsi="Times New Roman"/>
          <w:sz w:val="22"/>
        </w:rPr>
        <w:t>körülbelül</w:t>
      </w:r>
      <w:r w:rsidR="007C7203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95%-os</w:t>
      </w:r>
      <w:r w:rsidR="00705AF4">
        <w:rPr>
          <w:rFonts w:ascii="Times New Roman" w:eastAsia="Times New Roman" w:hAnsi="Times New Roman"/>
          <w:sz w:val="22"/>
        </w:rPr>
        <w:t xml:space="preserve"> volt</w:t>
      </w:r>
      <w:r w:rsidRPr="00F567BF">
        <w:rPr>
          <w:rFonts w:ascii="Times New Roman" w:eastAsia="Times New Roman" w:hAnsi="Times New Roman"/>
          <w:sz w:val="22"/>
        </w:rPr>
        <w:t xml:space="preserve">, elsősorban </w:t>
      </w:r>
      <w:r w:rsidR="00981DA4">
        <w:rPr>
          <w:rFonts w:ascii="Times New Roman" w:eastAsia="Times New Roman" w:hAnsi="Times New Roman"/>
          <w:sz w:val="22"/>
        </w:rPr>
        <w:t xml:space="preserve">az </w:t>
      </w:r>
      <w:r w:rsidRPr="00F567BF">
        <w:rPr>
          <w:rFonts w:ascii="Times New Roman" w:eastAsia="Times New Roman" w:hAnsi="Times New Roman"/>
          <w:sz w:val="22"/>
        </w:rPr>
        <w:t xml:space="preserve">albuminhoz és </w:t>
      </w:r>
      <w:r w:rsidR="00981DA4">
        <w:rPr>
          <w:rFonts w:ascii="Times New Roman" w:eastAsia="Times New Roman" w:hAnsi="Times New Roman"/>
          <w:sz w:val="22"/>
        </w:rPr>
        <w:t xml:space="preserve">az </w:t>
      </w:r>
      <w:r w:rsidRPr="00F567BF">
        <w:rPr>
          <w:rFonts w:ascii="Times New Roman" w:eastAsia="Times New Roman" w:hAnsi="Times New Roman"/>
          <w:sz w:val="22"/>
        </w:rPr>
        <w:t>alfa</w:t>
      </w:r>
      <w:r w:rsidR="00F10DF7">
        <w:rPr>
          <w:rFonts w:ascii="Times New Roman" w:eastAsia="Times New Roman" w:hAnsi="Times New Roman"/>
          <w:sz w:val="22"/>
        </w:rPr>
        <w:t xml:space="preserve"> </w:t>
      </w:r>
      <w:r w:rsidR="00BD0954">
        <w:rPr>
          <w:rFonts w:ascii="Times New Roman" w:eastAsia="Times New Roman" w:hAnsi="Times New Roman"/>
          <w:sz w:val="22"/>
        </w:rPr>
        <w:t xml:space="preserve">savas </w:t>
      </w:r>
      <w:r w:rsidRPr="00F567BF">
        <w:rPr>
          <w:rFonts w:ascii="Times New Roman" w:eastAsia="Times New Roman" w:hAnsi="Times New Roman"/>
          <w:sz w:val="22"/>
        </w:rPr>
        <w:t>glikoproteinh</w:t>
      </w:r>
      <w:r w:rsidR="00BD0954">
        <w:rPr>
          <w:rFonts w:ascii="Times New Roman" w:eastAsia="Times New Roman" w:hAnsi="Times New Roman"/>
          <w:sz w:val="22"/>
        </w:rPr>
        <w:t>e</w:t>
      </w:r>
      <w:r w:rsidRPr="00F567BF">
        <w:rPr>
          <w:rFonts w:ascii="Times New Roman" w:eastAsia="Times New Roman" w:hAnsi="Times New Roman"/>
          <w:sz w:val="22"/>
        </w:rPr>
        <w:t xml:space="preserve">z, </w:t>
      </w:r>
      <w:r w:rsidR="00981DA4">
        <w:rPr>
          <w:rFonts w:ascii="Times New Roman" w:eastAsia="Times New Roman" w:hAnsi="Times New Roman"/>
          <w:sz w:val="22"/>
        </w:rPr>
        <w:t>kisebb mértékben</w:t>
      </w:r>
      <w:r w:rsidR="00981DA4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a lipoproteinhez</w:t>
      </w:r>
      <w:r w:rsidR="00B83451">
        <w:rPr>
          <w:rFonts w:ascii="Times New Roman" w:eastAsia="Times New Roman" w:hAnsi="Times New Roman"/>
          <w:sz w:val="22"/>
        </w:rPr>
        <w:t xml:space="preserve"> kötőd</w:t>
      </w:r>
      <w:r w:rsidR="00BD0954">
        <w:rPr>
          <w:rFonts w:ascii="Times New Roman" w:eastAsia="Times New Roman" w:hAnsi="Times New Roman"/>
          <w:sz w:val="22"/>
        </w:rPr>
        <w:t>ött</w:t>
      </w:r>
      <w:r w:rsidRPr="00F567BF">
        <w:rPr>
          <w:rFonts w:ascii="Times New Roman" w:eastAsia="Times New Roman" w:hAnsi="Times New Roman"/>
          <w:sz w:val="22"/>
        </w:rPr>
        <w:t>.</w:t>
      </w:r>
    </w:p>
    <w:p w14:paraId="453D80D4" w14:textId="77777777" w:rsidR="002A793D" w:rsidRPr="00F567BF" w:rsidRDefault="002A793D">
      <w:pPr>
        <w:spacing w:line="236" w:lineRule="exact"/>
        <w:rPr>
          <w:rFonts w:ascii="Times New Roman" w:eastAsia="Times New Roman" w:hAnsi="Times New Roman"/>
        </w:rPr>
      </w:pPr>
    </w:p>
    <w:p w14:paraId="63842CB7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Biotranszformáció</w:t>
      </w:r>
    </w:p>
    <w:p w14:paraId="60B4514E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</w:rPr>
      </w:pPr>
    </w:p>
    <w:p w14:paraId="009FFB9A" w14:textId="4CCB80A4" w:rsidR="002A793D" w:rsidRPr="00F567BF" w:rsidRDefault="002A793D" w:rsidP="00B83451">
      <w:pPr>
        <w:spacing w:line="230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 fő keringő metabolit ember</w:t>
      </w:r>
      <w:r w:rsidR="009925FD">
        <w:rPr>
          <w:rFonts w:ascii="Times New Roman" w:eastAsia="Times New Roman" w:hAnsi="Times New Roman"/>
          <w:sz w:val="22"/>
        </w:rPr>
        <w:t>nél</w:t>
      </w:r>
      <w:r w:rsidRPr="00F567BF">
        <w:rPr>
          <w:rFonts w:ascii="Times New Roman" w:eastAsia="Times New Roman" w:hAnsi="Times New Roman"/>
          <w:sz w:val="22"/>
        </w:rPr>
        <w:t xml:space="preserve"> az </w:t>
      </w:r>
      <w:r w:rsidRPr="00B83451">
        <w:rPr>
          <w:rFonts w:ascii="Times New Roman" w:eastAsia="Times New Roman" w:hAnsi="Times New Roman"/>
          <w:i/>
          <w:sz w:val="22"/>
        </w:rPr>
        <w:t>N</w:t>
      </w:r>
      <w:r w:rsidRPr="00F567BF">
        <w:rPr>
          <w:rFonts w:ascii="Times New Roman" w:eastAsia="Times New Roman" w:hAnsi="Times New Roman"/>
          <w:sz w:val="22"/>
        </w:rPr>
        <w:t>-demetilált piperazin</w:t>
      </w:r>
      <w:r w:rsidR="00567B3F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>származék, ami</w:t>
      </w:r>
      <w:r w:rsidR="00B83451">
        <w:rPr>
          <w:rFonts w:ascii="Times New Roman" w:eastAsia="Times New Roman" w:hAnsi="Times New Roman"/>
          <w:sz w:val="22"/>
        </w:rPr>
        <w:t>nek a hatás</w:t>
      </w:r>
      <w:r w:rsidR="00567B3F">
        <w:rPr>
          <w:rFonts w:ascii="Times New Roman" w:eastAsia="Times New Roman" w:hAnsi="Times New Roman"/>
          <w:sz w:val="22"/>
        </w:rPr>
        <w:t xml:space="preserve">ossága </w:t>
      </w:r>
      <w:r w:rsidR="00B83451">
        <w:rPr>
          <w:rFonts w:ascii="Times New Roman" w:eastAsia="Times New Roman" w:hAnsi="Times New Roman"/>
          <w:i/>
          <w:sz w:val="22"/>
        </w:rPr>
        <w:t>in vitro</w:t>
      </w:r>
      <w:r w:rsidRPr="00F567BF">
        <w:rPr>
          <w:rFonts w:ascii="Times New Roman" w:eastAsia="Times New Roman" w:hAnsi="Times New Roman"/>
          <w:sz w:val="22"/>
        </w:rPr>
        <w:t xml:space="preserve"> az anyavegyületéhez hasonló. E metabolit plazma AUC-érték</w:t>
      </w:r>
      <w:r w:rsidR="00567B3F">
        <w:rPr>
          <w:rFonts w:ascii="Times New Roman" w:eastAsia="Times New Roman" w:hAnsi="Times New Roman"/>
          <w:sz w:val="22"/>
        </w:rPr>
        <w:t>éről</w:t>
      </w:r>
      <w:r w:rsidR="00DB5BE9">
        <w:rPr>
          <w:rFonts w:ascii="Times New Roman" w:eastAsia="Times New Roman" w:hAnsi="Times New Roman"/>
          <w:sz w:val="22"/>
        </w:rPr>
        <w:t xml:space="preserve"> kimutatták, hogy az</w:t>
      </w:r>
      <w:r w:rsidRPr="00F567BF">
        <w:rPr>
          <w:rFonts w:ascii="Times New Roman" w:eastAsia="Times New Roman" w:hAnsi="Times New Roman"/>
          <w:sz w:val="22"/>
        </w:rPr>
        <w:t xml:space="preserve"> az imatinibénak mindössze 16%-a. Az </w:t>
      </w:r>
      <w:r w:rsidRPr="00B83451">
        <w:rPr>
          <w:rFonts w:ascii="Times New Roman" w:eastAsia="Times New Roman" w:hAnsi="Times New Roman"/>
          <w:i/>
          <w:sz w:val="22"/>
        </w:rPr>
        <w:t>N</w:t>
      </w:r>
      <w:r w:rsidRPr="00F567BF">
        <w:rPr>
          <w:rFonts w:ascii="Times New Roman" w:eastAsia="Times New Roman" w:hAnsi="Times New Roman"/>
          <w:sz w:val="22"/>
        </w:rPr>
        <w:t>-demetilált</w:t>
      </w:r>
      <w:r w:rsidR="00F10DF7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metabolit plazmafehérje</w:t>
      </w:r>
      <w:r w:rsidR="003E45A6">
        <w:rPr>
          <w:rFonts w:ascii="Times New Roman" w:eastAsia="Times New Roman" w:hAnsi="Times New Roman"/>
          <w:sz w:val="22"/>
        </w:rPr>
        <w:noBreakHyphen/>
      </w:r>
      <w:r w:rsidRPr="00F567BF">
        <w:rPr>
          <w:rFonts w:ascii="Times New Roman" w:eastAsia="Times New Roman" w:hAnsi="Times New Roman"/>
          <w:sz w:val="22"/>
        </w:rPr>
        <w:t>kötődése hasonló az anyavegyületéhez.</w:t>
      </w:r>
    </w:p>
    <w:p w14:paraId="1483E364" w14:textId="77777777" w:rsidR="002A793D" w:rsidRPr="00F567BF" w:rsidRDefault="002A793D">
      <w:pPr>
        <w:spacing w:line="177" w:lineRule="exact"/>
        <w:rPr>
          <w:rFonts w:ascii="Times New Roman" w:eastAsia="Times New Roman" w:hAnsi="Times New Roman"/>
        </w:rPr>
      </w:pPr>
    </w:p>
    <w:p w14:paraId="22B73FC2" w14:textId="0F58F17A" w:rsidR="002A793D" w:rsidRPr="009501AC" w:rsidRDefault="002A793D" w:rsidP="00B83451">
      <w:pPr>
        <w:spacing w:line="256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Az imatinib és az </w:t>
      </w:r>
      <w:r w:rsidRPr="00B83451">
        <w:rPr>
          <w:rFonts w:ascii="Times New Roman" w:eastAsia="Times New Roman" w:hAnsi="Times New Roman"/>
          <w:i/>
          <w:sz w:val="22"/>
          <w:szCs w:val="22"/>
        </w:rPr>
        <w:t>N</w:t>
      </w:r>
      <w:r w:rsidRPr="00F567BF">
        <w:rPr>
          <w:rFonts w:ascii="Times New Roman" w:eastAsia="Times New Roman" w:hAnsi="Times New Roman"/>
          <w:sz w:val="22"/>
          <w:szCs w:val="22"/>
        </w:rPr>
        <w:t>-de</w:t>
      </w:r>
      <w:r w:rsidR="00B83451">
        <w:rPr>
          <w:rFonts w:ascii="Times New Roman" w:eastAsia="Times New Roman" w:hAnsi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/>
          <w:sz w:val="22"/>
          <w:szCs w:val="22"/>
        </w:rPr>
        <w:t>metil</w:t>
      </w:r>
      <w:r w:rsidR="00700272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metabolit együttesen képezi a keringő radioaktivitás (AUC</w:t>
      </w:r>
      <w:r w:rsidRPr="009501AC">
        <w:rPr>
          <w:rFonts w:ascii="Times New Roman" w:eastAsia="Times New Roman" w:hAnsi="Times New Roman"/>
          <w:sz w:val="22"/>
          <w:szCs w:val="22"/>
          <w:vertAlign w:val="subscript"/>
        </w:rPr>
        <w:t>0</w:t>
      </w:r>
      <w:r w:rsidR="00F1484E" w:rsidRPr="009501AC">
        <w:rPr>
          <w:rFonts w:ascii="Times New Roman" w:eastAsia="Times New Roman" w:hAnsi="Times New Roman"/>
          <w:sz w:val="22"/>
          <w:szCs w:val="22"/>
          <w:vertAlign w:val="subscript"/>
        </w:rPr>
        <w:noBreakHyphen/>
      </w:r>
      <w:r w:rsidRPr="009501AC">
        <w:rPr>
          <w:rFonts w:ascii="Times New Roman" w:eastAsia="Times New Roman" w:hAnsi="Times New Roman"/>
          <w:sz w:val="22"/>
          <w:szCs w:val="22"/>
          <w:vertAlign w:val="subscript"/>
        </w:rPr>
        <w:t>48h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) körülbelül 65%-át. A </w:t>
      </w:r>
      <w:r w:rsidR="00B83451" w:rsidRPr="009501AC">
        <w:rPr>
          <w:rFonts w:ascii="Times New Roman" w:eastAsia="Times New Roman" w:hAnsi="Times New Roman"/>
          <w:sz w:val="22"/>
          <w:szCs w:val="22"/>
        </w:rPr>
        <w:t>fennmaradó keringő radioak</w:t>
      </w:r>
      <w:r w:rsidR="00621DF1" w:rsidRPr="009501AC">
        <w:rPr>
          <w:rFonts w:ascii="Times New Roman" w:eastAsia="Times New Roman" w:hAnsi="Times New Roman"/>
          <w:sz w:val="22"/>
          <w:szCs w:val="22"/>
        </w:rPr>
        <w:t>t</w:t>
      </w:r>
      <w:r w:rsidR="00B83451" w:rsidRPr="009501AC">
        <w:rPr>
          <w:rFonts w:ascii="Times New Roman" w:eastAsia="Times New Roman" w:hAnsi="Times New Roman"/>
          <w:sz w:val="22"/>
          <w:szCs w:val="22"/>
        </w:rPr>
        <w:t>ivitás számos, kisebb jelentőségű metabolittól származik</w:t>
      </w:r>
      <w:r w:rsidRPr="009501AC">
        <w:rPr>
          <w:rFonts w:ascii="Times New Roman" w:eastAsia="Times New Roman" w:hAnsi="Times New Roman"/>
          <w:sz w:val="22"/>
          <w:szCs w:val="22"/>
        </w:rPr>
        <w:t>.</w:t>
      </w:r>
    </w:p>
    <w:p w14:paraId="6B15BEF1" w14:textId="77777777" w:rsidR="002A793D" w:rsidRPr="009501AC" w:rsidRDefault="002A793D" w:rsidP="00050763">
      <w:pPr>
        <w:rPr>
          <w:rFonts w:ascii="Times New Roman" w:eastAsia="Times New Roman" w:hAnsi="Times New Roman"/>
          <w:sz w:val="22"/>
          <w:szCs w:val="22"/>
        </w:rPr>
      </w:pPr>
    </w:p>
    <w:p w14:paraId="3C4B145B" w14:textId="2A3C7AF4" w:rsidR="002A793D" w:rsidRPr="00F567BF" w:rsidRDefault="002A793D" w:rsidP="00050763">
      <w:pPr>
        <w:ind w:left="1"/>
        <w:rPr>
          <w:rFonts w:ascii="Times New Roman" w:eastAsia="Times New Roman" w:hAnsi="Times New Roman"/>
          <w:sz w:val="22"/>
          <w:szCs w:val="22"/>
        </w:rPr>
      </w:pPr>
      <w:r w:rsidRPr="009501AC">
        <w:rPr>
          <w:rFonts w:ascii="Times New Roman" w:eastAsia="Times New Roman" w:hAnsi="Times New Roman"/>
          <w:i/>
          <w:sz w:val="22"/>
          <w:szCs w:val="22"/>
        </w:rPr>
        <w:t xml:space="preserve">In vitro </w:t>
      </w:r>
      <w:r w:rsidR="00AD15E6">
        <w:rPr>
          <w:rFonts w:ascii="Times New Roman" w:eastAsia="Times New Roman" w:hAnsi="Times New Roman"/>
          <w:sz w:val="22"/>
          <w:szCs w:val="22"/>
        </w:rPr>
        <w:t xml:space="preserve">eredmények </w:t>
      </w:r>
      <w:r w:rsidRPr="009501AC">
        <w:rPr>
          <w:rFonts w:ascii="Times New Roman" w:eastAsia="Times New Roman" w:hAnsi="Times New Roman"/>
          <w:sz w:val="22"/>
          <w:szCs w:val="22"/>
        </w:rPr>
        <w:t>szerint a CYP3A4 volt a legfontosabb humán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P450 enzim, ami az imatinib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biotranszformációját katalizálja. A lehetséges gyógyszer</w:t>
      </w:r>
      <w:r w:rsidR="00D859F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interakciók közül (</w:t>
      </w:r>
      <w:r w:rsidR="00D859F7">
        <w:rPr>
          <w:rFonts w:ascii="Times New Roman" w:eastAsia="Times New Roman" w:hAnsi="Times New Roman"/>
          <w:sz w:val="22"/>
          <w:szCs w:val="22"/>
        </w:rPr>
        <w:t>paracetamol</w:t>
      </w:r>
      <w:r w:rsidRPr="00F567BF">
        <w:rPr>
          <w:rFonts w:ascii="Times New Roman" w:eastAsia="Times New Roman" w:hAnsi="Times New Roman"/>
          <w:sz w:val="22"/>
          <w:szCs w:val="22"/>
        </w:rPr>
        <w:t>, aciklovir, allopurinol, amfotericin, citarabin, eritromicin, flukonazol, hidroxikarbamid, norfloxacin, penicillin V) csak az eritromicin (IC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50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50</w:t>
      </w:r>
      <w:r w:rsidR="00F1484E" w:rsidRPr="00F567BF">
        <w:rPr>
          <w:rFonts w:ascii="Times New Roman" w:eastAsia="Times New Roman" w:hAnsi="Times New Roman"/>
          <w:sz w:val="22"/>
          <w:szCs w:val="22"/>
        </w:rPr>
        <w:t> </w:t>
      </w:r>
      <w:r w:rsidR="003E45A6" w:rsidRPr="003C554E">
        <w:rPr>
          <w:rFonts w:ascii="Times New Roman" w:eastAsia="Times New Roman" w:hAnsi="Times New Roman"/>
          <w:sz w:val="22"/>
          <w:szCs w:val="22"/>
        </w:rPr>
        <w:t>mikromol)</w:t>
      </w:r>
      <w:r w:rsidR="003E45A6" w:rsidRPr="003E45A6" w:rsidDel="003E45A6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és a flukonazol (IC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50</w:t>
      </w:r>
      <w:r w:rsidR="00F1484E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118</w:t>
      </w:r>
      <w:r w:rsidR="00F1484E" w:rsidRPr="00F567BF">
        <w:rPr>
          <w:rFonts w:ascii="Times New Roman" w:eastAsia="Times New Roman" w:hAnsi="Times New Roman"/>
          <w:sz w:val="22"/>
          <w:szCs w:val="22"/>
        </w:rPr>
        <w:t> </w:t>
      </w:r>
      <w:r w:rsidR="003E45A6" w:rsidRPr="003C554E">
        <w:rPr>
          <w:rFonts w:ascii="Times New Roman" w:eastAsia="Times New Roman" w:hAnsi="Times New Roman"/>
          <w:sz w:val="22"/>
          <w:szCs w:val="22"/>
        </w:rPr>
        <w:t>mikromol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) </w:t>
      </w:r>
      <w:r w:rsidR="00EF052F">
        <w:rPr>
          <w:rFonts w:ascii="Times New Roman" w:eastAsia="Times New Roman" w:hAnsi="Times New Roman"/>
          <w:sz w:val="22"/>
          <w:szCs w:val="22"/>
        </w:rPr>
        <w:t xml:space="preserve">gyakorolt olyan </w:t>
      </w:r>
      <w:r w:rsidR="00050763">
        <w:rPr>
          <w:rFonts w:ascii="Times New Roman" w:eastAsia="Times New Roman" w:hAnsi="Times New Roman"/>
          <w:sz w:val="22"/>
          <w:szCs w:val="22"/>
        </w:rPr>
        <w:t>gát</w:t>
      </w:r>
      <w:r w:rsidR="00EF052F">
        <w:rPr>
          <w:rFonts w:ascii="Times New Roman" w:eastAsia="Times New Roman" w:hAnsi="Times New Roman"/>
          <w:sz w:val="22"/>
          <w:szCs w:val="22"/>
        </w:rPr>
        <w:t>ló hatást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imatinib metabolizmus</w:t>
      </w:r>
      <w:r w:rsidR="00050763">
        <w:rPr>
          <w:rFonts w:ascii="Times New Roman" w:eastAsia="Times New Roman" w:hAnsi="Times New Roman"/>
          <w:sz w:val="22"/>
          <w:szCs w:val="22"/>
        </w:rPr>
        <w:t>á</w:t>
      </w:r>
      <w:r w:rsidR="00AD15E6">
        <w:rPr>
          <w:rFonts w:ascii="Times New Roman" w:eastAsia="Times New Roman" w:hAnsi="Times New Roman"/>
          <w:sz w:val="22"/>
          <w:szCs w:val="22"/>
        </w:rPr>
        <w:t>ra</w:t>
      </w:r>
      <w:r w:rsidRPr="00F567BF">
        <w:rPr>
          <w:rFonts w:ascii="Times New Roman" w:eastAsia="Times New Roman" w:hAnsi="Times New Roman"/>
          <w:sz w:val="22"/>
          <w:szCs w:val="22"/>
        </w:rPr>
        <w:t>, ami klinikai jelentőséggel bírhat.</w:t>
      </w:r>
    </w:p>
    <w:p w14:paraId="2758BF67" w14:textId="77777777" w:rsidR="002A793D" w:rsidRPr="00F567BF" w:rsidRDefault="002A793D" w:rsidP="00050763">
      <w:pPr>
        <w:rPr>
          <w:rFonts w:ascii="Times New Roman" w:eastAsia="Times New Roman" w:hAnsi="Times New Roman"/>
        </w:rPr>
      </w:pPr>
    </w:p>
    <w:p w14:paraId="12B38BD1" w14:textId="6980CCF8" w:rsidR="002A793D" w:rsidRPr="00F567BF" w:rsidRDefault="002A793D" w:rsidP="00050763">
      <w:pPr>
        <w:ind w:left="1" w:right="4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In vitro </w:t>
      </w:r>
      <w:r w:rsidRPr="00F567BF">
        <w:rPr>
          <w:rFonts w:ascii="Times New Roman" w:eastAsia="Times New Roman" w:hAnsi="Times New Roman"/>
          <w:sz w:val="22"/>
          <w:szCs w:val="22"/>
        </w:rPr>
        <w:t>az imatinib a CYP2C9, CYP2D6 és CYP3A4/5 marker szubsztrátjainak kompetitív inhibitora.</w:t>
      </w:r>
      <w:r w:rsidRPr="00F567BF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A K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humán májmi</w:t>
      </w:r>
      <w:r w:rsidR="00C15DBC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>ros</w:t>
      </w:r>
      <w:r w:rsidR="00C15DBC">
        <w:rPr>
          <w:rFonts w:ascii="Times New Roman" w:eastAsia="Times New Roman" w:hAnsi="Times New Roman"/>
          <w:sz w:val="22"/>
          <w:szCs w:val="22"/>
        </w:rPr>
        <w:t>zó</w:t>
      </w:r>
      <w:r w:rsidRPr="00F567BF">
        <w:rPr>
          <w:rFonts w:ascii="Times New Roman" w:eastAsia="Times New Roman" w:hAnsi="Times New Roman"/>
          <w:sz w:val="22"/>
          <w:szCs w:val="22"/>
        </w:rPr>
        <w:t>mákban a fenti sorrendben 27, 7,5 és 7,9</w:t>
      </w:r>
      <w:r w:rsidR="0062474C" w:rsidRPr="00F567BF">
        <w:rPr>
          <w:rFonts w:ascii="Times New Roman" w:eastAsia="Times New Roman" w:hAnsi="Times New Roman"/>
          <w:sz w:val="22"/>
          <w:szCs w:val="22"/>
        </w:rPr>
        <w:t> </w:t>
      </w:r>
      <w:r w:rsidR="00C15DBC">
        <w:rPr>
          <w:rFonts w:ascii="Times New Roman" w:eastAsia="Times New Roman" w:hAnsi="Times New Roman"/>
          <w:sz w:val="22"/>
          <w:szCs w:val="22"/>
        </w:rPr>
        <w:t>mikro</w:t>
      </w:r>
      <w:r w:rsidRPr="00F567BF">
        <w:rPr>
          <w:rFonts w:ascii="Times New Roman" w:eastAsia="Times New Roman" w:hAnsi="Times New Roman"/>
          <w:sz w:val="22"/>
          <w:szCs w:val="22"/>
        </w:rPr>
        <w:t>mol/l értéket ért el. Betegek</w:t>
      </w:r>
      <w:r w:rsidR="00050763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imatinib maximális plazmakoncentráció</w:t>
      </w:r>
      <w:r w:rsidR="00050763">
        <w:rPr>
          <w:rFonts w:ascii="Times New Roman" w:eastAsia="Times New Roman" w:hAnsi="Times New Roman"/>
          <w:sz w:val="22"/>
          <w:szCs w:val="22"/>
        </w:rPr>
        <w:t>ja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2–4</w:t>
      </w:r>
      <w:r w:rsidR="0062474C" w:rsidRPr="00F567BF">
        <w:rPr>
          <w:rFonts w:ascii="Times New Roman" w:eastAsia="Times New Roman" w:hAnsi="Times New Roman"/>
          <w:sz w:val="22"/>
          <w:szCs w:val="22"/>
        </w:rPr>
        <w:t> </w:t>
      </w:r>
      <w:r w:rsidR="00C15DBC">
        <w:rPr>
          <w:rFonts w:ascii="Times New Roman" w:eastAsia="Times New Roman" w:hAnsi="Times New Roman"/>
          <w:sz w:val="22"/>
          <w:szCs w:val="22"/>
        </w:rPr>
        <w:t>mikro</w:t>
      </w:r>
      <w:r w:rsidRPr="00F567BF">
        <w:rPr>
          <w:rFonts w:ascii="Times New Roman" w:eastAsia="Times New Roman" w:hAnsi="Times New Roman"/>
          <w:sz w:val="22"/>
          <w:szCs w:val="22"/>
        </w:rPr>
        <w:t>mol/l volt, követ</w:t>
      </w:r>
      <w:r w:rsidR="0062474C" w:rsidRPr="00F567BF">
        <w:rPr>
          <w:rFonts w:ascii="Times New Roman" w:eastAsia="Times New Roman" w:hAnsi="Times New Roman"/>
          <w:sz w:val="22"/>
          <w:szCs w:val="22"/>
        </w:rPr>
        <w:t xml:space="preserve">kezésképp az egyidejűleg adott, </w:t>
      </w:r>
      <w:r w:rsidRPr="00F567BF">
        <w:rPr>
          <w:rFonts w:ascii="Times New Roman" w:eastAsia="Times New Roman" w:hAnsi="Times New Roman"/>
          <w:sz w:val="22"/>
          <w:szCs w:val="22"/>
        </w:rPr>
        <w:t>CYP2D6</w:t>
      </w:r>
      <w:r w:rsidR="00F10DF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és/vagy CYP3A4/5-mediált metabolizmusú gyógyszerek gátlása </w:t>
      </w:r>
      <w:r w:rsidR="00050763">
        <w:rPr>
          <w:rFonts w:ascii="Times New Roman" w:eastAsia="Times New Roman" w:hAnsi="Times New Roman"/>
          <w:sz w:val="22"/>
          <w:szCs w:val="22"/>
        </w:rPr>
        <w:t>lehetséges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. Az imatinib nem </w:t>
      </w:r>
      <w:r w:rsidR="00050763">
        <w:rPr>
          <w:rFonts w:ascii="Times New Roman" w:eastAsia="Times New Roman" w:hAnsi="Times New Roman"/>
          <w:sz w:val="22"/>
          <w:szCs w:val="22"/>
        </w:rPr>
        <w:t>akadályoz</w:t>
      </w:r>
      <w:r w:rsidR="00AA130E">
        <w:rPr>
          <w:rFonts w:ascii="Times New Roman" w:eastAsia="Times New Roman" w:hAnsi="Times New Roman"/>
          <w:sz w:val="22"/>
          <w:szCs w:val="22"/>
        </w:rPr>
        <w:t>t</w:t>
      </w:r>
      <w:r w:rsidR="00050763">
        <w:rPr>
          <w:rFonts w:ascii="Times New Roman" w:eastAsia="Times New Roman" w:hAnsi="Times New Roman"/>
          <w:sz w:val="22"/>
          <w:szCs w:val="22"/>
        </w:rPr>
        <w:t>a</w:t>
      </w:r>
      <w:r w:rsidR="00050763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az 5-fluorouracil biotranszformációjá</w:t>
      </w:r>
      <w:r w:rsidR="00050763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>, de a CYP2C8 (K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i</w:t>
      </w:r>
      <w:r w:rsidRPr="00F567BF">
        <w:rPr>
          <w:rFonts w:ascii="Times New Roman" w:eastAsia="Times New Roman" w:hAnsi="Times New Roman"/>
          <w:sz w:val="22"/>
          <w:szCs w:val="22"/>
        </w:rPr>
        <w:t>=</w:t>
      </w:r>
      <w:r w:rsidR="00EC3F17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34,7</w:t>
      </w:r>
      <w:r w:rsidR="0062474C" w:rsidRPr="00F567BF">
        <w:rPr>
          <w:rFonts w:ascii="Times New Roman" w:eastAsia="Times New Roman" w:hAnsi="Times New Roman"/>
          <w:sz w:val="22"/>
          <w:szCs w:val="22"/>
        </w:rPr>
        <w:t> </w:t>
      </w:r>
      <w:r w:rsidR="00C15DBC">
        <w:rPr>
          <w:rFonts w:ascii="Times New Roman" w:eastAsia="Times New Roman" w:hAnsi="Times New Roman"/>
          <w:sz w:val="22"/>
          <w:szCs w:val="22"/>
        </w:rPr>
        <w:t>mikromol</w:t>
      </w:r>
      <w:r w:rsidRPr="00F567BF">
        <w:rPr>
          <w:rFonts w:ascii="Times New Roman" w:eastAsia="Times New Roman" w:hAnsi="Times New Roman"/>
          <w:sz w:val="22"/>
          <w:szCs w:val="22"/>
        </w:rPr>
        <w:t>) kompetitív gátlásának eredményeképpen gátol</w:t>
      </w:r>
      <w:r w:rsidR="00B73DFF">
        <w:rPr>
          <w:rFonts w:ascii="Times New Roman" w:eastAsia="Times New Roman" w:hAnsi="Times New Roman"/>
          <w:sz w:val="22"/>
          <w:szCs w:val="22"/>
        </w:rPr>
        <w:t>t</w:t>
      </w:r>
      <w:r w:rsidRPr="00F567BF">
        <w:rPr>
          <w:rFonts w:ascii="Times New Roman" w:eastAsia="Times New Roman" w:hAnsi="Times New Roman"/>
          <w:sz w:val="22"/>
          <w:szCs w:val="22"/>
        </w:rPr>
        <w:t>a a pa</w:t>
      </w:r>
      <w:r w:rsidR="00050763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litaxel metabolizmusát. Ez </w:t>
      </w:r>
      <w:r w:rsidRPr="00F567BF">
        <w:rPr>
          <w:rFonts w:ascii="Times New Roman" w:eastAsia="Times New Roman" w:hAnsi="Times New Roman"/>
          <w:sz w:val="22"/>
          <w:szCs w:val="22"/>
        </w:rPr>
        <w:lastRenderedPageBreak/>
        <w:t>a K</w:t>
      </w:r>
      <w:r w:rsidRPr="00F567BF">
        <w:rPr>
          <w:rFonts w:ascii="Times New Roman" w:eastAsia="Times New Roman" w:hAnsi="Times New Roman"/>
          <w:sz w:val="22"/>
          <w:szCs w:val="22"/>
          <w:vertAlign w:val="subscript"/>
        </w:rPr>
        <w:t>i</w:t>
      </w:r>
      <w:r w:rsidR="00C15DB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érték lényegesen magasabb, mint a betegek</w:t>
      </w:r>
      <w:r w:rsidR="00050763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várt imatinib</w:t>
      </w:r>
      <w:r w:rsidR="00B73DFF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plazmaszint, tehát nem várható interakció sem az imatinibbel együtt adott 5-fluorouracillal, sem a pa</w:t>
      </w:r>
      <w:r w:rsidR="00522679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>litaxellel.</w:t>
      </w:r>
    </w:p>
    <w:p w14:paraId="0D0789A6" w14:textId="77777777" w:rsidR="002A793D" w:rsidRPr="00F567BF" w:rsidRDefault="002A793D" w:rsidP="00050763">
      <w:pPr>
        <w:rPr>
          <w:rFonts w:ascii="Times New Roman" w:eastAsia="Times New Roman" w:hAnsi="Times New Roman"/>
          <w:sz w:val="22"/>
          <w:szCs w:val="22"/>
        </w:rPr>
      </w:pPr>
    </w:p>
    <w:p w14:paraId="75386C09" w14:textId="77777777" w:rsidR="002A793D" w:rsidRPr="00F567BF" w:rsidRDefault="002A793D" w:rsidP="0062474C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Elimináció</w:t>
      </w:r>
    </w:p>
    <w:p w14:paraId="10958118" w14:textId="77777777" w:rsidR="002A793D" w:rsidRPr="00F567BF" w:rsidRDefault="002A793D" w:rsidP="0062474C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528637E1" w14:textId="0D4439A3" w:rsidR="002A793D" w:rsidRPr="009501AC" w:rsidRDefault="002A793D" w:rsidP="0062474C">
      <w:pPr>
        <w:spacing w:line="223" w:lineRule="auto"/>
        <w:ind w:left="1" w:right="8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bevitt vegyület 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visszamérésével a </w:t>
      </w:r>
      <w:r w:rsidRPr="009501AC">
        <w:rPr>
          <w:rFonts w:ascii="Times New Roman" w:eastAsia="Times New Roman" w:hAnsi="Times New Roman"/>
          <w:sz w:val="22"/>
          <w:szCs w:val="22"/>
          <w:vertAlign w:val="superscript"/>
        </w:rPr>
        <w:t>14</w:t>
      </w:r>
      <w:r w:rsidRPr="009501AC">
        <w:rPr>
          <w:rFonts w:ascii="Times New Roman" w:eastAsia="Times New Roman" w:hAnsi="Times New Roman"/>
          <w:sz w:val="22"/>
          <w:szCs w:val="22"/>
        </w:rPr>
        <w:t>C-</w:t>
      </w:r>
      <w:r w:rsidR="00F10DF7">
        <w:rPr>
          <w:rFonts w:ascii="Times New Roman" w:eastAsia="Times New Roman" w:hAnsi="Times New Roman"/>
          <w:sz w:val="22"/>
          <w:szCs w:val="22"/>
        </w:rPr>
        <w:t>izotóppal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jelzett imatinib egyszeri </w:t>
      </w:r>
      <w:r w:rsidR="00050763" w:rsidRPr="009501AC">
        <w:rPr>
          <w:rFonts w:ascii="Times New Roman" w:eastAsia="Times New Roman" w:hAnsi="Times New Roman"/>
          <w:sz w:val="22"/>
          <w:szCs w:val="22"/>
        </w:rPr>
        <w:t xml:space="preserve">adagjának 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orális bevételét követően </w:t>
      </w:r>
      <w:r w:rsidR="00050763" w:rsidRPr="009501AC">
        <w:rPr>
          <w:rFonts w:ascii="Times New Roman" w:eastAsia="Times New Roman" w:hAnsi="Times New Roman"/>
          <w:sz w:val="22"/>
          <w:szCs w:val="22"/>
        </w:rPr>
        <w:t>a dózis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hozzávetőleg 81%-a 7</w:t>
      </w:r>
      <w:r w:rsidR="00522679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napon belül a széklettel (az adag 68%-a), ill</w:t>
      </w:r>
      <w:r w:rsidR="00EC3F17" w:rsidRPr="009501AC">
        <w:rPr>
          <w:rFonts w:ascii="Times New Roman" w:eastAsia="Times New Roman" w:hAnsi="Times New Roman"/>
          <w:sz w:val="22"/>
          <w:szCs w:val="22"/>
        </w:rPr>
        <w:t>etve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a vizelettel (az adag 13%-a) távozott. A változatlan imatinib a dózis 25%-át (5%-a a vizeletben, 20%-a a székletben) tette ki</w:t>
      </w:r>
      <w:r w:rsidR="001D073A" w:rsidRPr="009501AC">
        <w:rPr>
          <w:rFonts w:ascii="Times New Roman" w:eastAsia="Times New Roman" w:hAnsi="Times New Roman"/>
          <w:sz w:val="22"/>
          <w:szCs w:val="22"/>
        </w:rPr>
        <w:t>,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a </w:t>
      </w:r>
      <w:r w:rsidR="00050763" w:rsidRPr="009501AC">
        <w:rPr>
          <w:rFonts w:ascii="Times New Roman" w:eastAsia="Times New Roman" w:hAnsi="Times New Roman"/>
          <w:sz w:val="22"/>
          <w:szCs w:val="22"/>
        </w:rPr>
        <w:t>fennmaradó hányad metabolit</w:t>
      </w:r>
      <w:r w:rsidRPr="009501AC">
        <w:rPr>
          <w:rFonts w:ascii="Times New Roman" w:eastAsia="Times New Roman" w:hAnsi="Times New Roman"/>
          <w:sz w:val="22"/>
          <w:szCs w:val="22"/>
        </w:rPr>
        <w:t>ként ürült.</w:t>
      </w:r>
    </w:p>
    <w:p w14:paraId="021A9B7E" w14:textId="77777777" w:rsidR="002A793D" w:rsidRPr="009501AC" w:rsidRDefault="002A793D" w:rsidP="0062474C">
      <w:pPr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p w14:paraId="51CBE1B3" w14:textId="1CDCDEE1" w:rsidR="002A793D" w:rsidRPr="009501AC" w:rsidRDefault="00176F33" w:rsidP="0062474C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>
        <w:rPr>
          <w:rFonts w:ascii="Times New Roman" w:eastAsia="Times New Roman" w:hAnsi="Times New Roman"/>
          <w:sz w:val="22"/>
          <w:szCs w:val="22"/>
          <w:u w:val="single"/>
        </w:rPr>
        <w:t>F</w:t>
      </w:r>
      <w:r w:rsidR="002A793D" w:rsidRPr="009501AC">
        <w:rPr>
          <w:rFonts w:ascii="Times New Roman" w:eastAsia="Times New Roman" w:hAnsi="Times New Roman"/>
          <w:sz w:val="22"/>
          <w:szCs w:val="22"/>
          <w:u w:val="single"/>
        </w:rPr>
        <w:t>armakokinetika</w:t>
      </w:r>
      <w:r>
        <w:rPr>
          <w:rFonts w:ascii="Times New Roman" w:eastAsia="Times New Roman" w:hAnsi="Times New Roman"/>
          <w:sz w:val="22"/>
          <w:szCs w:val="22"/>
          <w:u w:val="single"/>
        </w:rPr>
        <w:t xml:space="preserve"> a plazmában</w:t>
      </w:r>
    </w:p>
    <w:p w14:paraId="159E8153" w14:textId="1CAC1963" w:rsidR="002A793D" w:rsidRPr="00F567BF" w:rsidRDefault="002A793D" w:rsidP="007C7203">
      <w:pPr>
        <w:spacing w:line="221" w:lineRule="auto"/>
        <w:rPr>
          <w:rFonts w:ascii="Times New Roman" w:eastAsia="Times New Roman" w:hAnsi="Times New Roman"/>
          <w:sz w:val="22"/>
          <w:szCs w:val="22"/>
        </w:rPr>
      </w:pPr>
      <w:r w:rsidRPr="009501AC">
        <w:rPr>
          <w:rFonts w:ascii="Times New Roman" w:eastAsia="Times New Roman" w:hAnsi="Times New Roman"/>
          <w:sz w:val="22"/>
          <w:szCs w:val="22"/>
        </w:rPr>
        <w:t>Egészséges önkéntesek orális kezelése során a t</w:t>
      </w:r>
      <w:r w:rsidRPr="009501AC">
        <w:rPr>
          <w:rFonts w:ascii="Times New Roman" w:eastAsia="Times New Roman" w:hAnsi="Times New Roman"/>
          <w:sz w:val="22"/>
          <w:szCs w:val="22"/>
          <w:vertAlign w:val="subscript"/>
        </w:rPr>
        <w:t>1/2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körülbelül 18</w:t>
      </w:r>
      <w:r w:rsidR="0080643A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óra volt, ami a napi egyszeri adagolás</w:t>
      </w:r>
      <w:r w:rsidR="00A503CC">
        <w:rPr>
          <w:rFonts w:ascii="Times New Roman" w:eastAsia="Times New Roman" w:hAnsi="Times New Roman"/>
          <w:sz w:val="22"/>
          <w:szCs w:val="22"/>
        </w:rPr>
        <w:t xml:space="preserve"> megfelelő voltát</w:t>
      </w:r>
      <w:r w:rsidRPr="009501AC">
        <w:rPr>
          <w:rFonts w:ascii="Times New Roman" w:eastAsia="Times New Roman" w:hAnsi="Times New Roman"/>
          <w:sz w:val="22"/>
          <w:szCs w:val="22"/>
        </w:rPr>
        <w:t xml:space="preserve"> támasztja alá. 25</w:t>
      </w:r>
      <w:r w:rsidR="007C7203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mg</w:t>
      </w:r>
      <w:r w:rsidR="005C4C12">
        <w:rPr>
          <w:rFonts w:ascii="Times New Roman" w:eastAsia="Times New Roman" w:hAnsi="Times New Roman"/>
          <w:sz w:val="22"/>
          <w:szCs w:val="22"/>
        </w:rPr>
        <w:t xml:space="preserve"> és </w:t>
      </w:r>
      <w:r w:rsidRPr="009501AC">
        <w:rPr>
          <w:rFonts w:ascii="Times New Roman" w:eastAsia="Times New Roman" w:hAnsi="Times New Roman"/>
          <w:sz w:val="22"/>
          <w:szCs w:val="22"/>
        </w:rPr>
        <w:t>1000</w:t>
      </w:r>
      <w:r w:rsidR="0062474C" w:rsidRPr="009501AC">
        <w:rPr>
          <w:rFonts w:ascii="Times New Roman" w:eastAsia="Times New Roman" w:hAnsi="Times New Roman"/>
          <w:sz w:val="22"/>
          <w:szCs w:val="22"/>
        </w:rPr>
        <w:t> </w:t>
      </w:r>
      <w:r w:rsidRPr="009501AC">
        <w:rPr>
          <w:rFonts w:ascii="Times New Roman" w:eastAsia="Times New Roman" w:hAnsi="Times New Roman"/>
          <w:sz w:val="22"/>
          <w:szCs w:val="22"/>
        </w:rPr>
        <w:t>mg közötti imatinib</w:t>
      </w:r>
      <w:r w:rsidR="00F10DF7">
        <w:rPr>
          <w:rFonts w:ascii="Times New Roman" w:eastAsia="Times New Roman" w:hAnsi="Times New Roman"/>
          <w:sz w:val="22"/>
          <w:szCs w:val="22"/>
        </w:rPr>
        <w:t>-</w:t>
      </w:r>
      <w:r w:rsidRPr="009501AC">
        <w:rPr>
          <w:rFonts w:ascii="Times New Roman" w:eastAsia="Times New Roman" w:hAnsi="Times New Roman"/>
          <w:sz w:val="22"/>
          <w:szCs w:val="22"/>
        </w:rPr>
        <w:t>adagok orális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adását követően az adag emelésével az AUC is lineárisan, dózisarányosan növekedett. Az ismét</w:t>
      </w:r>
      <w:r w:rsidR="005C4C12">
        <w:rPr>
          <w:rFonts w:ascii="Times New Roman" w:eastAsia="Times New Roman" w:hAnsi="Times New Roman"/>
          <w:sz w:val="22"/>
          <w:szCs w:val="22"/>
        </w:rPr>
        <w:t>lődő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adagolás az imatinib farmakokinetikáját nem változtatta meg, </w:t>
      </w:r>
      <w:r w:rsidR="00847BDF" w:rsidRPr="00847BDF">
        <w:rPr>
          <w:rFonts w:ascii="Times New Roman" w:eastAsia="Times New Roman" w:hAnsi="Times New Roman"/>
          <w:iCs/>
          <w:sz w:val="22"/>
          <w:szCs w:val="22"/>
        </w:rPr>
        <w:t>dinamikus egyensúlyi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állapotban, napi egyszeri adagolás mellett az akkumuláció 1,5</w:t>
      </w:r>
      <w:r w:rsidR="0080643A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2,5</w:t>
      </w:r>
      <w:r w:rsidR="0080643A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>szeres volt.</w:t>
      </w:r>
    </w:p>
    <w:p w14:paraId="7CD409D7" w14:textId="77777777" w:rsidR="00F204C7" w:rsidRPr="00F567BF" w:rsidRDefault="00F204C7" w:rsidP="00F204C7">
      <w:pPr>
        <w:spacing w:line="221" w:lineRule="auto"/>
        <w:rPr>
          <w:rFonts w:ascii="Times New Roman" w:eastAsia="Times New Roman" w:hAnsi="Times New Roman"/>
          <w:sz w:val="22"/>
          <w:szCs w:val="22"/>
        </w:rPr>
      </w:pPr>
    </w:p>
    <w:p w14:paraId="6D8A8240" w14:textId="3DBC1345" w:rsidR="00E44120" w:rsidRDefault="00E44120" w:rsidP="00E44120">
      <w:pPr>
        <w:spacing w:line="0" w:lineRule="atLeast"/>
        <w:rPr>
          <w:rFonts w:ascii="Times New Roman" w:eastAsia="Times New Roman" w:hAnsi="Times New Roman"/>
          <w:sz w:val="22"/>
          <w:u w:val="single"/>
        </w:rPr>
      </w:pPr>
      <w:bookmarkStart w:id="24" w:name="page66"/>
      <w:bookmarkEnd w:id="24"/>
      <w:r>
        <w:rPr>
          <w:rFonts w:ascii="Times New Roman" w:eastAsia="Times New Roman" w:hAnsi="Times New Roman"/>
          <w:sz w:val="22"/>
          <w:u w:val="single"/>
        </w:rPr>
        <w:t>Farmakokinetika GIST</w:t>
      </w:r>
      <w:r w:rsidR="00847BDF">
        <w:rPr>
          <w:rFonts w:ascii="Times New Roman" w:eastAsia="Times New Roman" w:hAnsi="Times New Roman"/>
          <w:sz w:val="22"/>
          <w:u w:val="single"/>
        </w:rPr>
        <w:t>-ben szenvedő</w:t>
      </w:r>
      <w:r>
        <w:rPr>
          <w:rFonts w:ascii="Times New Roman" w:eastAsia="Times New Roman" w:hAnsi="Times New Roman"/>
          <w:sz w:val="22"/>
          <w:u w:val="single"/>
        </w:rPr>
        <w:t xml:space="preserve"> </w:t>
      </w:r>
      <w:r w:rsidR="00847BDF">
        <w:rPr>
          <w:rFonts w:ascii="Times New Roman" w:eastAsia="Times New Roman" w:hAnsi="Times New Roman"/>
          <w:sz w:val="22"/>
          <w:u w:val="single"/>
        </w:rPr>
        <w:t>betegeknél</w:t>
      </w:r>
    </w:p>
    <w:p w14:paraId="75B3C8E8" w14:textId="77777777" w:rsidR="00E44120" w:rsidRDefault="00E44120" w:rsidP="00E44120">
      <w:pPr>
        <w:spacing w:line="14" w:lineRule="exact"/>
        <w:rPr>
          <w:rFonts w:ascii="Times New Roman" w:eastAsia="Times New Roman" w:hAnsi="Times New Roman"/>
        </w:rPr>
      </w:pPr>
    </w:p>
    <w:p w14:paraId="0D2F6FA2" w14:textId="414BB3AE" w:rsidR="00E44120" w:rsidRDefault="00E44120" w:rsidP="00E44120">
      <w:pPr>
        <w:spacing w:line="239" w:lineRule="auto"/>
        <w:ind w:right="22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Ugyanazon napi (400 mg-os) dózis mellett a GIST</w:t>
      </w:r>
      <w:r w:rsidR="00B077DB">
        <w:rPr>
          <w:rFonts w:ascii="Times New Roman" w:eastAsia="Times New Roman" w:hAnsi="Times New Roman"/>
          <w:sz w:val="22"/>
        </w:rPr>
        <w:t>-es</w:t>
      </w:r>
      <w:r>
        <w:rPr>
          <w:rFonts w:ascii="Times New Roman" w:eastAsia="Times New Roman" w:hAnsi="Times New Roman"/>
          <w:sz w:val="22"/>
        </w:rPr>
        <w:t xml:space="preserve"> </w:t>
      </w:r>
      <w:r w:rsidR="002A3B2C">
        <w:rPr>
          <w:rFonts w:ascii="Times New Roman" w:eastAsia="Times New Roman" w:hAnsi="Times New Roman"/>
          <w:sz w:val="22"/>
        </w:rPr>
        <w:t xml:space="preserve">betegeknél </w:t>
      </w:r>
      <w:r>
        <w:rPr>
          <w:rFonts w:ascii="Times New Roman" w:eastAsia="Times New Roman" w:hAnsi="Times New Roman"/>
          <w:sz w:val="22"/>
        </w:rPr>
        <w:t xml:space="preserve">a </w:t>
      </w:r>
      <w:r w:rsidR="00670090" w:rsidRPr="00670090">
        <w:rPr>
          <w:rFonts w:ascii="Times New Roman" w:eastAsia="Times New Roman" w:hAnsi="Times New Roman"/>
          <w:sz w:val="22"/>
        </w:rPr>
        <w:t xml:space="preserve">dinamikus egyensúlyi állapotban mért </w:t>
      </w:r>
      <w:r>
        <w:rPr>
          <w:rFonts w:ascii="Times New Roman" w:eastAsia="Times New Roman" w:hAnsi="Times New Roman"/>
          <w:sz w:val="22"/>
        </w:rPr>
        <w:t>expozíció 1,5-szerese volt a CML-ben megfigyeltnek. Az előzetes populációs farmakokinetikai adatok alapján a GIST</w:t>
      </w:r>
      <w:r w:rsidR="00B077DB">
        <w:rPr>
          <w:rFonts w:ascii="Times New Roman" w:eastAsia="Times New Roman" w:hAnsi="Times New Roman"/>
          <w:sz w:val="22"/>
        </w:rPr>
        <w:t>-es</w:t>
      </w:r>
      <w:r>
        <w:rPr>
          <w:rFonts w:ascii="Times New Roman" w:eastAsia="Times New Roman" w:hAnsi="Times New Roman"/>
          <w:sz w:val="22"/>
        </w:rPr>
        <w:t xml:space="preserve"> betegek</w:t>
      </w:r>
      <w:r w:rsidR="00670090">
        <w:rPr>
          <w:rFonts w:ascii="Times New Roman" w:eastAsia="Times New Roman" w:hAnsi="Times New Roman"/>
          <w:sz w:val="22"/>
        </w:rPr>
        <w:t>nél</w:t>
      </w:r>
      <w:r>
        <w:rPr>
          <w:rFonts w:ascii="Times New Roman" w:eastAsia="Times New Roman" w:hAnsi="Times New Roman"/>
          <w:sz w:val="22"/>
        </w:rPr>
        <w:t xml:space="preserve"> három változót (albumin- és bilirubinszint, fehérvérsejtszám) találtak, amelynek szignifiká</w:t>
      </w:r>
      <w:r w:rsidR="00E43AB4">
        <w:rPr>
          <w:rFonts w:ascii="Times New Roman" w:eastAsia="Times New Roman" w:hAnsi="Times New Roman"/>
          <w:sz w:val="22"/>
        </w:rPr>
        <w:t>n</w:t>
      </w:r>
      <w:r>
        <w:rPr>
          <w:rFonts w:ascii="Times New Roman" w:eastAsia="Times New Roman" w:hAnsi="Times New Roman"/>
          <w:sz w:val="22"/>
        </w:rPr>
        <w:t>s kapcsolata volt az imatinib farmakokinetikájával. Az albuminszint csökkenése a clearance (CL/f) csökkenését vonta maga után; a magasabb fehérvérsejtszám pedig a CL/f csökkenéséhez vezetett. Ezek az összefüggések azonban nem eléggé kifejezettek ahhoz, hogy dózismódosítást tegyenek indokolttá. Ebben a betegcsoportban a májmetasztázis potenciálisan májelégtelenséghez és csökkent metabolizmushoz vezethet.</w:t>
      </w:r>
    </w:p>
    <w:p w14:paraId="6FDA5D5C" w14:textId="77777777" w:rsidR="00E44120" w:rsidRDefault="00E44120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</w:p>
    <w:p w14:paraId="273C8583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Populációs farmakokinetika</w:t>
      </w:r>
    </w:p>
    <w:p w14:paraId="57DACC6E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</w:rPr>
      </w:pPr>
    </w:p>
    <w:p w14:paraId="7FE169A1" w14:textId="77777777" w:rsidR="002A793D" w:rsidRPr="00F567BF" w:rsidRDefault="002A793D" w:rsidP="00782BF0">
      <w:pPr>
        <w:spacing w:line="231" w:lineRule="auto"/>
        <w:ind w:left="1" w:right="-8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 xml:space="preserve">CML-es betegek körében végzett populációs farmakokinetikai vizsgálatok szerint </w:t>
      </w:r>
      <w:r w:rsidR="00782BF0">
        <w:rPr>
          <w:rFonts w:ascii="Times New Roman" w:eastAsia="Times New Roman" w:hAnsi="Times New Roman"/>
          <w:sz w:val="22"/>
        </w:rPr>
        <w:t>az eloszlási térfogatot</w:t>
      </w:r>
      <w:r w:rsidRPr="00F567BF">
        <w:rPr>
          <w:rFonts w:ascii="Times New Roman" w:eastAsia="Times New Roman" w:hAnsi="Times New Roman"/>
          <w:sz w:val="22"/>
        </w:rPr>
        <w:t xml:space="preserve"> az életkor valamelyest befolyásolja (12% növekedés </w:t>
      </w:r>
      <w:r w:rsidR="002F201D">
        <w:rPr>
          <w:rFonts w:ascii="Times New Roman" w:eastAsia="Times New Roman" w:hAnsi="Times New Roman"/>
          <w:sz w:val="22"/>
        </w:rPr>
        <w:t>&gt; </w:t>
      </w:r>
      <w:r w:rsidRPr="00F567BF">
        <w:rPr>
          <w:rFonts w:ascii="Times New Roman" w:eastAsia="Times New Roman" w:hAnsi="Times New Roman"/>
          <w:sz w:val="22"/>
        </w:rPr>
        <w:t>65</w:t>
      </w:r>
      <w:r w:rsidR="00347287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évesek körében). Ezt a különbséget nem tartják klinikailag szignifikánsnak. A testtömeg</w:t>
      </w:r>
      <w:r w:rsidR="00782BF0">
        <w:rPr>
          <w:rFonts w:ascii="Times New Roman" w:eastAsia="Times New Roman" w:hAnsi="Times New Roman"/>
          <w:sz w:val="22"/>
        </w:rPr>
        <w:t xml:space="preserve"> hatással van</w:t>
      </w:r>
      <w:r w:rsidRPr="00F567BF">
        <w:rPr>
          <w:rFonts w:ascii="Times New Roman" w:eastAsia="Times New Roman" w:hAnsi="Times New Roman"/>
          <w:sz w:val="22"/>
        </w:rPr>
        <w:t xml:space="preserve"> az imatinib clearance-ére, p</w:t>
      </w:r>
      <w:r w:rsidR="00EC3F17">
        <w:rPr>
          <w:rFonts w:ascii="Times New Roman" w:eastAsia="Times New Roman" w:hAnsi="Times New Roman"/>
          <w:sz w:val="22"/>
        </w:rPr>
        <w:t>éldáu</w:t>
      </w:r>
      <w:r w:rsidRPr="00F567BF">
        <w:rPr>
          <w:rFonts w:ascii="Times New Roman" w:eastAsia="Times New Roman" w:hAnsi="Times New Roman"/>
          <w:sz w:val="22"/>
        </w:rPr>
        <w:t>l egy 50</w:t>
      </w:r>
      <w:r w:rsidR="00F204C7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kg-os </w:t>
      </w:r>
      <w:r w:rsidR="00782BF0">
        <w:rPr>
          <w:rFonts w:ascii="Times New Roman" w:eastAsia="Times New Roman" w:hAnsi="Times New Roman"/>
          <w:sz w:val="22"/>
        </w:rPr>
        <w:t>beteg</w:t>
      </w:r>
      <w:r w:rsidR="00782BF0" w:rsidRPr="00F567BF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eseté</w:t>
      </w:r>
      <w:r w:rsidR="00782BF0">
        <w:rPr>
          <w:rFonts w:ascii="Times New Roman" w:eastAsia="Times New Roman" w:hAnsi="Times New Roman"/>
          <w:sz w:val="22"/>
        </w:rPr>
        <w:t>be</w:t>
      </w:r>
      <w:r w:rsidRPr="00F567BF">
        <w:rPr>
          <w:rFonts w:ascii="Times New Roman" w:eastAsia="Times New Roman" w:hAnsi="Times New Roman"/>
          <w:sz w:val="22"/>
        </w:rPr>
        <w:t>n az átlagos clearance várhatóan 8,5</w:t>
      </w:r>
      <w:r w:rsidR="00F204C7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l/óra, míg egy 100</w:t>
      </w:r>
      <w:r w:rsidR="00F204C7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kg-os </w:t>
      </w:r>
      <w:r w:rsidR="00782BF0">
        <w:rPr>
          <w:rFonts w:ascii="Times New Roman" w:eastAsia="Times New Roman" w:hAnsi="Times New Roman"/>
          <w:sz w:val="22"/>
        </w:rPr>
        <w:t xml:space="preserve">beteg </w:t>
      </w:r>
      <w:r w:rsidRPr="00F567BF">
        <w:rPr>
          <w:rFonts w:ascii="Times New Roman" w:eastAsia="Times New Roman" w:hAnsi="Times New Roman"/>
          <w:sz w:val="22"/>
        </w:rPr>
        <w:t>eseté</w:t>
      </w:r>
      <w:r w:rsidR="00782BF0">
        <w:rPr>
          <w:rFonts w:ascii="Times New Roman" w:eastAsia="Times New Roman" w:hAnsi="Times New Roman"/>
          <w:sz w:val="22"/>
        </w:rPr>
        <w:t>be</w:t>
      </w:r>
      <w:r w:rsidRPr="00F567BF">
        <w:rPr>
          <w:rFonts w:ascii="Times New Roman" w:eastAsia="Times New Roman" w:hAnsi="Times New Roman"/>
          <w:sz w:val="22"/>
        </w:rPr>
        <w:t>n 11,8</w:t>
      </w:r>
      <w:r w:rsidR="00F204C7" w:rsidRPr="00F567BF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 xml:space="preserve">l/óra értékre </w:t>
      </w:r>
      <w:r w:rsidR="00782BF0">
        <w:rPr>
          <w:rFonts w:ascii="Times New Roman" w:eastAsia="Times New Roman" w:hAnsi="Times New Roman"/>
          <w:sz w:val="22"/>
        </w:rPr>
        <w:t>nő</w:t>
      </w:r>
      <w:r w:rsidRPr="00F567BF">
        <w:rPr>
          <w:rFonts w:ascii="Times New Roman" w:eastAsia="Times New Roman" w:hAnsi="Times New Roman"/>
          <w:sz w:val="22"/>
        </w:rPr>
        <w:t>. Ezek a változások azonban nem indokolják, hogy a dózist a testtömeg függvényében módosítani kelljen. A nemnek nincs hatása az imatinib kinetikájára.</w:t>
      </w:r>
    </w:p>
    <w:p w14:paraId="059E453F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p w14:paraId="23D329D3" w14:textId="77777777" w:rsidR="002A793D" w:rsidRPr="00F567BF" w:rsidRDefault="002A793D">
      <w:pPr>
        <w:spacing w:line="0" w:lineRule="atLeast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F567BF">
        <w:rPr>
          <w:rFonts w:ascii="Times New Roman" w:eastAsia="Times New Roman" w:hAnsi="Times New Roman"/>
          <w:sz w:val="22"/>
          <w:szCs w:val="22"/>
          <w:u w:val="single"/>
        </w:rPr>
        <w:t>Farmakokinetika gyermekek</w:t>
      </w:r>
      <w:r w:rsidR="00EC3F17">
        <w:rPr>
          <w:rFonts w:ascii="Times New Roman" w:eastAsia="Times New Roman" w:hAnsi="Times New Roman"/>
          <w:sz w:val="22"/>
          <w:szCs w:val="22"/>
          <w:u w:val="single"/>
        </w:rPr>
        <w:t>nél</w:t>
      </w:r>
      <w:r w:rsidR="00972304">
        <w:rPr>
          <w:rFonts w:ascii="Times New Roman" w:eastAsia="Times New Roman" w:hAnsi="Times New Roman"/>
          <w:sz w:val="22"/>
          <w:szCs w:val="22"/>
          <w:u w:val="single"/>
        </w:rPr>
        <w:t xml:space="preserve"> és serdülőknél</w:t>
      </w:r>
    </w:p>
    <w:p w14:paraId="76F8565F" w14:textId="77777777" w:rsidR="002A793D" w:rsidRPr="00F567BF" w:rsidRDefault="002A793D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301668BC" w14:textId="1156AE2E" w:rsidR="002A793D" w:rsidRPr="00F567BF" w:rsidRDefault="00972304" w:rsidP="00972304">
      <w:pPr>
        <w:spacing w:line="219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Hasonlóan a felnőtteknél tapasztaltakhoz, </w:t>
      </w:r>
      <w:r w:rsidR="00312570">
        <w:rPr>
          <w:rFonts w:ascii="Times New Roman" w:eastAsia="Times New Roman" w:hAnsi="Times New Roman"/>
          <w:sz w:val="22"/>
          <w:szCs w:val="22"/>
        </w:rPr>
        <w:t>I. f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ázis</w:t>
      </w:r>
      <w:r w:rsidR="00094AFC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és </w:t>
      </w:r>
      <w:r w:rsidR="00094AFC">
        <w:rPr>
          <w:rFonts w:ascii="Times New Roman" w:eastAsia="Times New Roman" w:hAnsi="Times New Roman"/>
          <w:sz w:val="22"/>
          <w:szCs w:val="22"/>
        </w:rPr>
        <w:t xml:space="preserve">II.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fázis</w:t>
      </w:r>
      <w:r w:rsidR="00094AFC">
        <w:rPr>
          <w:rFonts w:ascii="Times New Roman" w:eastAsia="Times New Roman" w:hAnsi="Times New Roman"/>
          <w:sz w:val="22"/>
          <w:szCs w:val="22"/>
        </w:rPr>
        <w:t>ú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vizsgálatokban</w:t>
      </w:r>
      <w:r>
        <w:rPr>
          <w:rFonts w:ascii="Times New Roman" w:eastAsia="Times New Roman" w:hAnsi="Times New Roman"/>
          <w:sz w:val="22"/>
          <w:szCs w:val="22"/>
        </w:rPr>
        <w:t xml:space="preserve"> a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gyermekek</w:t>
      </w:r>
      <w:r>
        <w:rPr>
          <w:rFonts w:ascii="Times New Roman" w:eastAsia="Times New Roman" w:hAnsi="Times New Roman"/>
          <w:sz w:val="22"/>
          <w:szCs w:val="22"/>
        </w:rPr>
        <w:t>nél és serdülőknél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i/>
          <w:sz w:val="22"/>
          <w:szCs w:val="22"/>
        </w:rPr>
        <w:t>per</w:t>
      </w:r>
      <w:r w:rsidRPr="00972304">
        <w:rPr>
          <w:rFonts w:ascii="Times New Roman" w:eastAsia="Times New Roman" w:hAnsi="Times New Roman"/>
          <w:i/>
          <w:sz w:val="22"/>
          <w:szCs w:val="22"/>
        </w:rPr>
        <w:t xml:space="preserve"> os</w:t>
      </w:r>
      <w:r>
        <w:rPr>
          <w:rFonts w:ascii="Times New Roman" w:eastAsia="Times New Roman" w:hAnsi="Times New Roman"/>
          <w:sz w:val="22"/>
          <w:szCs w:val="22"/>
        </w:rPr>
        <w:t xml:space="preserve"> alkalmazott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imatinib gyorsan felszívódott. </w:t>
      </w:r>
      <w:r>
        <w:rPr>
          <w:rFonts w:ascii="Times New Roman" w:eastAsia="Times New Roman" w:hAnsi="Times New Roman"/>
          <w:sz w:val="22"/>
          <w:szCs w:val="22"/>
        </w:rPr>
        <w:t>Gyermekeknél és serdülőknél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 260</w:t>
      </w:r>
      <w:r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>/nap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ill</w:t>
      </w:r>
      <w:r w:rsidR="00EC3F17">
        <w:rPr>
          <w:rFonts w:ascii="Times New Roman" w:eastAsia="Times New Roman" w:hAnsi="Times New Roman"/>
          <w:sz w:val="22"/>
          <w:szCs w:val="22"/>
        </w:rPr>
        <w:t>etve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 xml:space="preserve">a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340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 xml:space="preserve">/nap adagolás ugyanazt az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expozíciót </w:t>
      </w:r>
      <w:r>
        <w:rPr>
          <w:rFonts w:ascii="Times New Roman" w:eastAsia="Times New Roman" w:hAnsi="Times New Roman"/>
          <w:sz w:val="22"/>
          <w:szCs w:val="22"/>
        </w:rPr>
        <w:t>érte el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mint a felnőttek 400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mg-os, ill</w:t>
      </w:r>
      <w:r w:rsidR="00EC3F17">
        <w:rPr>
          <w:rFonts w:ascii="Times New Roman" w:eastAsia="Times New Roman" w:hAnsi="Times New Roman"/>
          <w:sz w:val="22"/>
          <w:szCs w:val="22"/>
        </w:rPr>
        <w:t>etve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600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mg-os adagja. Az AUC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bscript"/>
        </w:rPr>
        <w:t>(0-24)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-értékeket az 1. és a 8.</w:t>
      </w:r>
      <w:r w:rsidR="005F4F1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napon összehasonlítva, 340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/nap dózisú ismét</w:t>
      </w:r>
      <w:r w:rsidR="00E5248E">
        <w:rPr>
          <w:rFonts w:ascii="Times New Roman" w:eastAsia="Times New Roman" w:hAnsi="Times New Roman"/>
          <w:sz w:val="22"/>
          <w:szCs w:val="22"/>
        </w:rPr>
        <w:t>lődő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napi egys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zeri adagolás esetén 1,7</w:t>
      </w:r>
      <w:r w:rsidR="00347287">
        <w:rPr>
          <w:rFonts w:ascii="Times New Roman" w:eastAsia="Times New Roman" w:hAnsi="Times New Roman"/>
          <w:sz w:val="22"/>
          <w:szCs w:val="22"/>
        </w:rPr>
        <w:noBreakHyphen/>
      </w:r>
      <w:r w:rsidR="00F204C7" w:rsidRPr="00F567BF">
        <w:rPr>
          <w:rFonts w:ascii="Times New Roman" w:eastAsia="Times New Roman" w:hAnsi="Times New Roman"/>
          <w:sz w:val="22"/>
          <w:szCs w:val="22"/>
        </w:rPr>
        <w:t xml:space="preserve">szeres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akkumulációt találtak.</w:t>
      </w:r>
    </w:p>
    <w:p w14:paraId="66BCAF43" w14:textId="77777777" w:rsidR="002A793D" w:rsidRPr="00F567BF" w:rsidRDefault="002A793D">
      <w:pPr>
        <w:spacing w:line="263" w:lineRule="exact"/>
        <w:rPr>
          <w:rFonts w:ascii="Times New Roman" w:eastAsia="Times New Roman" w:hAnsi="Times New Roman"/>
          <w:sz w:val="22"/>
          <w:szCs w:val="22"/>
        </w:rPr>
      </w:pPr>
    </w:p>
    <w:p w14:paraId="6F9C9BAB" w14:textId="46E23DA3" w:rsidR="002A793D" w:rsidRPr="00F567BF" w:rsidRDefault="002A793D" w:rsidP="00972304">
      <w:pPr>
        <w:spacing w:line="234" w:lineRule="auto"/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 hematol</w:t>
      </w:r>
      <w:r w:rsidR="00347287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>giai betegségben (CML, Ph</w:t>
      </w:r>
      <w:r w:rsidR="00BD35B0">
        <w:rPr>
          <w:rFonts w:ascii="Times New Roman" w:eastAsia="Times New Roman" w:hAnsi="Times New Roman"/>
          <w:sz w:val="22"/>
          <w:szCs w:val="22"/>
        </w:rPr>
        <w:t>+ </w:t>
      </w:r>
      <w:r w:rsidRPr="00F567BF">
        <w:rPr>
          <w:rFonts w:ascii="Times New Roman" w:eastAsia="Times New Roman" w:hAnsi="Times New Roman"/>
          <w:sz w:val="22"/>
          <w:szCs w:val="22"/>
        </w:rPr>
        <w:t>ALL vagy más, imatinibbel kezelt hematol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giai kórképek) szenvedő </w:t>
      </w:r>
      <w:r w:rsidR="00972304">
        <w:rPr>
          <w:rFonts w:ascii="Times New Roman" w:eastAsia="Times New Roman" w:hAnsi="Times New Roman"/>
          <w:sz w:val="22"/>
          <w:szCs w:val="22"/>
        </w:rPr>
        <w:t xml:space="preserve">gyermekek és serdülők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összesített populációs farmakokinetikai analízise alapján az imatinib clearance-e a testfelszínnel együtt nő. A testfelszín hatásának korrekciója után más demográfiai jellemzők, mint például az életkor, a testtömeg és a testtömegindex nem voltak klinikailag jelentős hatással az imatinib expozíciójára. Az analízis megerősítette, hogy </w:t>
      </w:r>
      <w:r w:rsidR="00F10DF7">
        <w:rPr>
          <w:rFonts w:ascii="Times New Roman" w:eastAsia="Times New Roman" w:hAnsi="Times New Roman"/>
          <w:sz w:val="22"/>
          <w:szCs w:val="22"/>
        </w:rPr>
        <w:t xml:space="preserve">gyermekek és serdülők esetén </w:t>
      </w:r>
      <w:r w:rsidRPr="00F567BF">
        <w:rPr>
          <w:rFonts w:ascii="Times New Roman" w:eastAsia="Times New Roman" w:hAnsi="Times New Roman"/>
          <w:sz w:val="22"/>
          <w:szCs w:val="22"/>
        </w:rPr>
        <w:t>a naponta egyszer 260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>-es (a napi egyszeri 400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mg-ot nem meghaladó) vagy a naponta egyszer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340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>-es (a napi egyszeri 600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mg-ot nem meghaladó) imatinib-expozíció azokéhoz a felnőtt betegekéhez volt hasonló, akik naponta egyszer 400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 vagy 600</w:t>
      </w:r>
      <w:r w:rsidR="00F204C7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 imatinibet kaptak.</w:t>
      </w:r>
    </w:p>
    <w:p w14:paraId="660CD266" w14:textId="77777777" w:rsidR="002A793D" w:rsidRPr="00F567BF" w:rsidRDefault="002A793D">
      <w:pPr>
        <w:spacing w:line="235" w:lineRule="exact"/>
        <w:rPr>
          <w:rFonts w:ascii="Times New Roman" w:eastAsia="Times New Roman" w:hAnsi="Times New Roman"/>
        </w:rPr>
      </w:pPr>
    </w:p>
    <w:p w14:paraId="14F086D2" w14:textId="77777777" w:rsidR="002A793D" w:rsidRPr="00F567BF" w:rsidRDefault="00E44120">
      <w:pPr>
        <w:spacing w:line="239" w:lineRule="auto"/>
        <w:ind w:left="1"/>
        <w:rPr>
          <w:rFonts w:ascii="Times New Roman" w:eastAsia="Times New Roman" w:hAnsi="Times New Roman"/>
          <w:sz w:val="22"/>
          <w:u w:val="single"/>
        </w:rPr>
      </w:pPr>
      <w:r>
        <w:rPr>
          <w:rFonts w:ascii="Times New Roman" w:eastAsia="Times New Roman" w:hAnsi="Times New Roman"/>
          <w:sz w:val="22"/>
          <w:u w:val="single"/>
        </w:rPr>
        <w:t>Károsodott</w:t>
      </w:r>
      <w:r w:rsidRPr="00F567BF">
        <w:rPr>
          <w:rFonts w:ascii="Times New Roman" w:eastAsia="Times New Roman" w:hAnsi="Times New Roman"/>
          <w:sz w:val="22"/>
          <w:u w:val="single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u w:val="single"/>
        </w:rPr>
        <w:t>szervműködés</w:t>
      </w:r>
    </w:p>
    <w:p w14:paraId="6A70F21D" w14:textId="77777777" w:rsidR="002A793D" w:rsidRPr="00F567BF" w:rsidRDefault="002A793D">
      <w:pPr>
        <w:spacing w:line="2" w:lineRule="exact"/>
        <w:rPr>
          <w:rFonts w:ascii="Times New Roman" w:eastAsia="Times New Roman" w:hAnsi="Times New Roman"/>
        </w:rPr>
      </w:pPr>
    </w:p>
    <w:p w14:paraId="0A053BD9" w14:textId="53924F6B" w:rsidR="002A793D" w:rsidRPr="00F567BF" w:rsidRDefault="002A793D">
      <w:pPr>
        <w:spacing w:line="230" w:lineRule="auto"/>
        <w:ind w:left="1" w:right="6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Az imatinib és metabolitjai nem ürülnek jelentős mértékben a vesé</w:t>
      </w:r>
      <w:r w:rsidR="00904352">
        <w:rPr>
          <w:rFonts w:ascii="Times New Roman" w:eastAsia="Times New Roman" w:hAnsi="Times New Roman"/>
          <w:sz w:val="22"/>
        </w:rPr>
        <w:t>n keresztül</w:t>
      </w:r>
      <w:r w:rsidRPr="00F567BF">
        <w:rPr>
          <w:rFonts w:ascii="Times New Roman" w:eastAsia="Times New Roman" w:hAnsi="Times New Roman"/>
          <w:sz w:val="22"/>
        </w:rPr>
        <w:t xml:space="preserve">. </w:t>
      </w:r>
      <w:r w:rsidR="00904352">
        <w:rPr>
          <w:rFonts w:ascii="Times New Roman" w:eastAsia="Times New Roman" w:hAnsi="Times New Roman"/>
          <w:sz w:val="22"/>
        </w:rPr>
        <w:t>Enyhe vagy közepesen súlyos vesekárosodásban szenvedő</w:t>
      </w:r>
      <w:r w:rsidRPr="00F567BF">
        <w:rPr>
          <w:rFonts w:ascii="Times New Roman" w:eastAsia="Times New Roman" w:hAnsi="Times New Roman"/>
          <w:sz w:val="22"/>
        </w:rPr>
        <w:t xml:space="preserve"> betegek</w:t>
      </w:r>
      <w:r w:rsidR="00904352">
        <w:rPr>
          <w:rFonts w:ascii="Times New Roman" w:eastAsia="Times New Roman" w:hAnsi="Times New Roman"/>
          <w:sz w:val="22"/>
        </w:rPr>
        <w:t>nél</w:t>
      </w:r>
      <w:r w:rsidRPr="00F567BF">
        <w:rPr>
          <w:rFonts w:ascii="Times New Roman" w:eastAsia="Times New Roman" w:hAnsi="Times New Roman"/>
          <w:sz w:val="22"/>
        </w:rPr>
        <w:t xml:space="preserve"> a plazmaexpozíció mértéke</w:t>
      </w:r>
      <w:r w:rsidR="00904352" w:rsidRPr="00904352">
        <w:rPr>
          <w:rFonts w:ascii="Times New Roman" w:eastAsia="Times New Roman" w:hAnsi="Times New Roman"/>
          <w:sz w:val="22"/>
        </w:rPr>
        <w:t xml:space="preserve"> </w:t>
      </w:r>
      <w:r w:rsidR="00904352" w:rsidRPr="00F567BF">
        <w:rPr>
          <w:rFonts w:ascii="Times New Roman" w:eastAsia="Times New Roman" w:hAnsi="Times New Roman"/>
          <w:sz w:val="22"/>
        </w:rPr>
        <w:t>magasabbnak tűnik</w:t>
      </w:r>
      <w:r w:rsidRPr="00F567BF">
        <w:rPr>
          <w:rFonts w:ascii="Times New Roman" w:eastAsia="Times New Roman" w:hAnsi="Times New Roman"/>
          <w:sz w:val="22"/>
        </w:rPr>
        <w:t>, mint a</w:t>
      </w:r>
      <w:r w:rsidR="006341A7">
        <w:rPr>
          <w:rFonts w:ascii="Times New Roman" w:eastAsia="Times New Roman" w:hAnsi="Times New Roman"/>
          <w:sz w:val="22"/>
        </w:rPr>
        <w:t xml:space="preserve"> normális</w:t>
      </w:r>
      <w:r w:rsidRPr="00F567BF">
        <w:rPr>
          <w:rFonts w:ascii="Times New Roman" w:eastAsia="Times New Roman" w:hAnsi="Times New Roman"/>
          <w:sz w:val="22"/>
        </w:rPr>
        <w:t xml:space="preserve"> vesefunkciójú betegek</w:t>
      </w:r>
      <w:r w:rsidR="006341A7">
        <w:rPr>
          <w:rFonts w:ascii="Times New Roman" w:eastAsia="Times New Roman" w:hAnsi="Times New Roman"/>
          <w:sz w:val="22"/>
        </w:rPr>
        <w:t xml:space="preserve"> esetében</w:t>
      </w:r>
      <w:r w:rsidRPr="00F567BF">
        <w:rPr>
          <w:rFonts w:ascii="Times New Roman" w:eastAsia="Times New Roman" w:hAnsi="Times New Roman"/>
          <w:sz w:val="22"/>
        </w:rPr>
        <w:t>. A növekedés körülbelül 1,5–2-szeres, ami a plazma AGP-szint 1,5-szeres emelkedésének felel meg (az imatinib erősen kötődik az AGP-hez). A</w:t>
      </w:r>
      <w:r w:rsidR="006C041C">
        <w:rPr>
          <w:rFonts w:ascii="Times New Roman" w:eastAsia="Times New Roman" w:hAnsi="Times New Roman"/>
          <w:sz w:val="22"/>
        </w:rPr>
        <w:t xml:space="preserve"> nem kötött</w:t>
      </w:r>
      <w:r w:rsidRPr="00F567BF">
        <w:rPr>
          <w:rFonts w:ascii="Times New Roman" w:eastAsia="Times New Roman" w:hAnsi="Times New Roman"/>
          <w:sz w:val="22"/>
        </w:rPr>
        <w:t xml:space="preserve"> imatinib clearance-e valószínűleg hasonló a </w:t>
      </w:r>
      <w:r w:rsidR="0031192C">
        <w:rPr>
          <w:rFonts w:ascii="Times New Roman" w:eastAsia="Times New Roman" w:hAnsi="Times New Roman"/>
          <w:sz w:val="22"/>
        </w:rPr>
        <w:t>vesekárosodásban szenvedő</w:t>
      </w:r>
      <w:r w:rsidRPr="00F567BF">
        <w:rPr>
          <w:rFonts w:ascii="Times New Roman" w:eastAsia="Times New Roman" w:hAnsi="Times New Roman"/>
          <w:sz w:val="22"/>
        </w:rPr>
        <w:t xml:space="preserve"> és a</w:t>
      </w:r>
      <w:r w:rsidR="00D467A1">
        <w:rPr>
          <w:rFonts w:ascii="Times New Roman" w:eastAsia="Times New Roman" w:hAnsi="Times New Roman"/>
          <w:sz w:val="22"/>
        </w:rPr>
        <w:t xml:space="preserve"> normál</w:t>
      </w:r>
      <w:r w:rsidR="00F10DF7">
        <w:rPr>
          <w:rFonts w:ascii="Times New Roman" w:eastAsia="Times New Roman" w:hAnsi="Times New Roman"/>
          <w:sz w:val="22"/>
        </w:rPr>
        <w:t>is</w:t>
      </w:r>
      <w:r w:rsidRPr="00F567BF">
        <w:rPr>
          <w:rFonts w:ascii="Times New Roman" w:eastAsia="Times New Roman" w:hAnsi="Times New Roman"/>
          <w:sz w:val="22"/>
        </w:rPr>
        <w:t xml:space="preserve"> vesefunkciójú betegek esetében, mivel a renális kiválasztás csak kismértékben játszik szerepet az imatinib eliminációjában (lásd 4.2 és 4.4</w:t>
      </w:r>
      <w:r w:rsidR="001D073A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pont).</w:t>
      </w:r>
    </w:p>
    <w:p w14:paraId="05D5AA3C" w14:textId="77777777" w:rsidR="002A793D" w:rsidRPr="00F567BF" w:rsidRDefault="002A793D">
      <w:pPr>
        <w:spacing w:line="252" w:lineRule="exact"/>
        <w:rPr>
          <w:rFonts w:ascii="Times New Roman" w:eastAsia="Times New Roman" w:hAnsi="Times New Roman"/>
        </w:rPr>
      </w:pPr>
    </w:p>
    <w:p w14:paraId="70F06E53" w14:textId="51065D0E" w:rsidR="002A793D" w:rsidRPr="00F567BF" w:rsidRDefault="002A793D">
      <w:pPr>
        <w:spacing w:line="230" w:lineRule="auto"/>
        <w:ind w:left="1" w:right="500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lastRenderedPageBreak/>
        <w:t>Bár a farmakokinetikai elemzések eredményei azt mutatták, hogy számottevő az egyének közötti vari</w:t>
      </w:r>
      <w:r w:rsidR="00E217D9">
        <w:rPr>
          <w:rFonts w:ascii="Times New Roman" w:eastAsia="Times New Roman" w:hAnsi="Times New Roman"/>
          <w:sz w:val="22"/>
        </w:rPr>
        <w:t>abilitás</w:t>
      </w:r>
      <w:r w:rsidRPr="00F567BF">
        <w:rPr>
          <w:rFonts w:ascii="Times New Roman" w:eastAsia="Times New Roman" w:hAnsi="Times New Roman"/>
          <w:sz w:val="22"/>
        </w:rPr>
        <w:t>, az átlagos imatinib</w:t>
      </w:r>
      <w:r w:rsidR="00094E43">
        <w:rPr>
          <w:rFonts w:ascii="Times New Roman" w:eastAsia="Times New Roman" w:hAnsi="Times New Roman"/>
          <w:sz w:val="22"/>
        </w:rPr>
        <w:t>-</w:t>
      </w:r>
      <w:r w:rsidRPr="00F567BF">
        <w:rPr>
          <w:rFonts w:ascii="Times New Roman" w:eastAsia="Times New Roman" w:hAnsi="Times New Roman"/>
          <w:sz w:val="22"/>
        </w:rPr>
        <w:t xml:space="preserve">expozíció </w:t>
      </w:r>
      <w:r w:rsidR="007E32BC" w:rsidRPr="007E32BC">
        <w:rPr>
          <w:rFonts w:ascii="Times New Roman" w:eastAsia="Times New Roman" w:hAnsi="Times New Roman"/>
          <w:sz w:val="22"/>
        </w:rPr>
        <w:t>–</w:t>
      </w:r>
      <w:r w:rsidR="007E32BC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 xml:space="preserve">a normális májműködésű betegekhez viszonyítva </w:t>
      </w:r>
      <w:r w:rsidR="007E32BC" w:rsidRPr="007E32BC">
        <w:rPr>
          <w:rFonts w:ascii="Times New Roman" w:eastAsia="Times New Roman" w:hAnsi="Times New Roman"/>
          <w:sz w:val="22"/>
        </w:rPr>
        <w:t>–</w:t>
      </w:r>
      <w:r w:rsidR="007E32BC">
        <w:rPr>
          <w:rFonts w:ascii="Times New Roman" w:eastAsia="Times New Roman" w:hAnsi="Times New Roman"/>
          <w:sz w:val="22"/>
        </w:rPr>
        <w:t xml:space="preserve"> </w:t>
      </w:r>
      <w:r w:rsidRPr="00F567BF">
        <w:rPr>
          <w:rFonts w:ascii="Times New Roman" w:eastAsia="Times New Roman" w:hAnsi="Times New Roman"/>
          <w:sz w:val="22"/>
        </w:rPr>
        <w:t>nem fokozódott a különböző mérték</w:t>
      </w:r>
      <w:r w:rsidR="0031192C">
        <w:rPr>
          <w:rFonts w:ascii="Times New Roman" w:eastAsia="Times New Roman" w:hAnsi="Times New Roman"/>
          <w:sz w:val="22"/>
        </w:rPr>
        <w:t>ű májkárosodásban szenvedő</w:t>
      </w:r>
      <w:r w:rsidRPr="00F567BF">
        <w:rPr>
          <w:rFonts w:ascii="Times New Roman" w:eastAsia="Times New Roman" w:hAnsi="Times New Roman"/>
          <w:sz w:val="22"/>
        </w:rPr>
        <w:t xml:space="preserve"> betegek esetében (lásd 4.2, 4.4 és 4.8</w:t>
      </w:r>
      <w:r w:rsidR="001D073A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pont).</w:t>
      </w:r>
    </w:p>
    <w:p w14:paraId="52C55EA3" w14:textId="77777777" w:rsidR="002A793D" w:rsidRPr="00F567BF" w:rsidRDefault="002A793D">
      <w:pPr>
        <w:spacing w:line="243" w:lineRule="exact"/>
        <w:rPr>
          <w:rFonts w:ascii="Times New Roman" w:eastAsia="Times New Roman" w:hAnsi="Times New Roman"/>
        </w:rPr>
      </w:pPr>
    </w:p>
    <w:p w14:paraId="78CC700C" w14:textId="77777777" w:rsidR="00FE083B" w:rsidRPr="00F567BF" w:rsidRDefault="00FE083B" w:rsidP="0097242A">
      <w:pPr>
        <w:keepNext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5.3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preklinikai biztonságossági vizsgálatok eredményei</w:t>
      </w:r>
    </w:p>
    <w:p w14:paraId="55F37E95" w14:textId="77777777" w:rsidR="002A793D" w:rsidRPr="00F567BF" w:rsidRDefault="002A793D" w:rsidP="0097242A">
      <w:pPr>
        <w:keepNext/>
        <w:rPr>
          <w:rFonts w:ascii="Times New Roman" w:eastAsia="Times New Roman" w:hAnsi="Times New Roman"/>
        </w:rPr>
      </w:pPr>
    </w:p>
    <w:p w14:paraId="794C0EA4" w14:textId="3A997675" w:rsidR="002A793D" w:rsidRPr="00F567BF" w:rsidRDefault="002A793D" w:rsidP="00C245EF">
      <w:pPr>
        <w:ind w:left="1" w:right="8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imatinib preklinikai biztonságossági profilját patkányok</w:t>
      </w:r>
      <w:r w:rsidR="00A028B1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>, kutyák</w:t>
      </w:r>
      <w:r w:rsidR="00A028B1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>, majmok</w:t>
      </w:r>
      <w:r w:rsidR="00A028B1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nyulak</w:t>
      </w:r>
      <w:r w:rsidR="00A028B1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vizsgálták.</w:t>
      </w:r>
    </w:p>
    <w:p w14:paraId="75DA94B9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D8873D1" w14:textId="173765C4" w:rsidR="00F204C7" w:rsidRPr="00F567BF" w:rsidRDefault="002A793D" w:rsidP="009720E3">
      <w:pPr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Ismételt </w:t>
      </w:r>
      <w:r w:rsidR="00E373A1">
        <w:rPr>
          <w:rFonts w:ascii="Times New Roman" w:eastAsia="Times New Roman" w:hAnsi="Times New Roman"/>
          <w:sz w:val="22"/>
          <w:szCs w:val="22"/>
        </w:rPr>
        <w:t xml:space="preserve">adagolású </w:t>
      </w:r>
      <w:r w:rsidRPr="00F567BF">
        <w:rPr>
          <w:rFonts w:ascii="Times New Roman" w:eastAsia="Times New Roman" w:hAnsi="Times New Roman"/>
          <w:sz w:val="22"/>
          <w:szCs w:val="22"/>
        </w:rPr>
        <w:t>dózisútoxicitási vizsgálatok enyhe</w:t>
      </w:r>
      <w:r w:rsidR="009720E3">
        <w:rPr>
          <w:rFonts w:ascii="Times New Roman" w:eastAsia="Times New Roman" w:hAnsi="Times New Roman"/>
          <w:sz w:val="22"/>
          <w:szCs w:val="22"/>
        </w:rPr>
        <w:t xml:space="preserve"> </w:t>
      </w:r>
      <w:r w:rsidR="00E373A1">
        <w:rPr>
          <w:rFonts w:ascii="Times New Roman" w:eastAsia="Times New Roman" w:hAnsi="Times New Roman"/>
          <w:sz w:val="22"/>
          <w:szCs w:val="22"/>
        </w:rPr>
        <w:t>vagy</w:t>
      </w:r>
      <w:r w:rsidR="009720E3">
        <w:rPr>
          <w:rFonts w:ascii="Times New Roman" w:eastAsia="Times New Roman" w:hAnsi="Times New Roman"/>
          <w:sz w:val="22"/>
          <w:szCs w:val="22"/>
        </w:rPr>
        <w:t xml:space="preserve"> </w:t>
      </w:r>
      <w:r w:rsidR="00DF5FF6">
        <w:rPr>
          <w:rFonts w:ascii="Times New Roman" w:eastAsia="Times New Roman" w:hAnsi="Times New Roman"/>
          <w:sz w:val="22"/>
          <w:szCs w:val="22"/>
        </w:rPr>
        <w:t>közepesen súlyos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fokú hematológiai elváltozást mutattak patkányok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>, kutyák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majmok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>, amit csontvelőeltérés kísért</w:t>
      </w:r>
      <w:r w:rsidR="00E373A1" w:rsidRPr="00E373A1">
        <w:t xml:space="preserve"> </w:t>
      </w:r>
      <w:r w:rsidR="00E373A1" w:rsidRPr="00E373A1">
        <w:rPr>
          <w:rFonts w:ascii="Times New Roman" w:eastAsia="Times New Roman" w:hAnsi="Times New Roman"/>
          <w:sz w:val="22"/>
          <w:szCs w:val="22"/>
        </w:rPr>
        <w:t>patkányok és kutyák</w:t>
      </w:r>
      <w:r w:rsidR="00A028B1">
        <w:rPr>
          <w:rFonts w:ascii="Times New Roman" w:eastAsia="Times New Roman" w:hAnsi="Times New Roman"/>
          <w:sz w:val="22"/>
          <w:szCs w:val="22"/>
        </w:rPr>
        <w:t xml:space="preserve"> esetében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56D00772" w14:textId="77777777" w:rsidR="00F204C7" w:rsidRPr="00F567BF" w:rsidRDefault="00F204C7" w:rsidP="00C245EF">
      <w:pPr>
        <w:ind w:left="1" w:right="360"/>
        <w:rPr>
          <w:rFonts w:ascii="Times New Roman" w:eastAsia="Times New Roman" w:hAnsi="Times New Roman"/>
          <w:sz w:val="22"/>
          <w:szCs w:val="22"/>
        </w:rPr>
      </w:pPr>
    </w:p>
    <w:p w14:paraId="05BA772F" w14:textId="6CD32561" w:rsidR="002A793D" w:rsidRPr="00F567BF" w:rsidRDefault="002A793D" w:rsidP="009720E3">
      <w:pPr>
        <w:ind w:right="-8"/>
        <w:rPr>
          <w:rFonts w:ascii="Times New Roman" w:eastAsia="Times New Roman" w:hAnsi="Times New Roman"/>
          <w:sz w:val="22"/>
          <w:szCs w:val="22"/>
        </w:rPr>
      </w:pPr>
      <w:bookmarkStart w:id="25" w:name="page67"/>
      <w:bookmarkEnd w:id="25"/>
      <w:r w:rsidRPr="00F567BF">
        <w:rPr>
          <w:rFonts w:ascii="Times New Roman" w:eastAsia="Times New Roman" w:hAnsi="Times New Roman"/>
          <w:sz w:val="22"/>
          <w:szCs w:val="22"/>
        </w:rPr>
        <w:t>Patkányok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kutyák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célszerv a máj volt. Mindkét faj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enyhe</w:t>
      </w:r>
      <w:r w:rsidR="009720E3">
        <w:rPr>
          <w:rFonts w:ascii="Times New Roman" w:eastAsia="Times New Roman" w:hAnsi="Times New Roman"/>
          <w:sz w:val="22"/>
          <w:szCs w:val="22"/>
        </w:rPr>
        <w:t xml:space="preserve"> </w:t>
      </w:r>
      <w:r w:rsidR="001546AB">
        <w:rPr>
          <w:rFonts w:ascii="Times New Roman" w:eastAsia="Times New Roman" w:hAnsi="Times New Roman"/>
          <w:sz w:val="22"/>
          <w:szCs w:val="22"/>
        </w:rPr>
        <w:t>vagy</w:t>
      </w:r>
      <w:r w:rsidR="009720E3">
        <w:rPr>
          <w:rFonts w:ascii="Times New Roman" w:eastAsia="Times New Roman" w:hAnsi="Times New Roman"/>
          <w:sz w:val="22"/>
          <w:szCs w:val="22"/>
        </w:rPr>
        <w:t xml:space="preserve"> </w:t>
      </w:r>
      <w:r w:rsidR="00DF5FF6">
        <w:rPr>
          <w:rFonts w:ascii="Times New Roman" w:eastAsia="Times New Roman" w:hAnsi="Times New Roman"/>
          <w:sz w:val="22"/>
          <w:szCs w:val="22"/>
        </w:rPr>
        <w:t>közepesen súlyos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transzaminázszint-emelkedést és csekély mértékű koleszterin-, triglicerid-, </w:t>
      </w:r>
      <w:r w:rsidR="007B5732">
        <w:rPr>
          <w:rFonts w:ascii="Times New Roman" w:eastAsia="Times New Roman" w:hAnsi="Times New Roman"/>
          <w:sz w:val="22"/>
          <w:szCs w:val="22"/>
        </w:rPr>
        <w:t>össz</w:t>
      </w:r>
      <w:r w:rsidRPr="00F567BF">
        <w:rPr>
          <w:rFonts w:ascii="Times New Roman" w:eastAsia="Times New Roman" w:hAnsi="Times New Roman"/>
          <w:sz w:val="22"/>
          <w:szCs w:val="22"/>
        </w:rPr>
        <w:t>fehérje- és albuminszint-csökkenést figyeltek meg. Patkányok májában hisztopatológiai eltérést nem észleltek. Két hétig kezelt kutyák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súlyos májtoxicitást észleltek, emelkedett májenzimszint</w:t>
      </w:r>
      <w:r w:rsidR="00BA5CA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értékekkel, hepatocellularis necrosissal, epeútne</w:t>
      </w:r>
      <w:r w:rsidR="001546AB">
        <w:rPr>
          <w:rFonts w:ascii="Times New Roman" w:eastAsia="Times New Roman" w:hAnsi="Times New Roman"/>
          <w:sz w:val="22"/>
          <w:szCs w:val="22"/>
        </w:rPr>
        <w:t>kró</w:t>
      </w:r>
      <w:r w:rsidR="00BA5CA7">
        <w:rPr>
          <w:rFonts w:ascii="Times New Roman" w:eastAsia="Times New Roman" w:hAnsi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/>
          <w:sz w:val="22"/>
          <w:szCs w:val="22"/>
        </w:rPr>
        <w:t>issal és epeút</w:t>
      </w:r>
      <w:r w:rsidR="00BA5CA7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hyperplasiával.</w:t>
      </w:r>
    </w:p>
    <w:p w14:paraId="5D7B0696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3B89164" w14:textId="13299E2E" w:rsidR="002A793D" w:rsidRPr="00F567BF" w:rsidRDefault="002A793D" w:rsidP="009720E3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Két hétig kezelt majmok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vesetoxicitást észleltek, a vesetubulusok focalis mineralisatiójával és dilatatiójával, valamint tubularis nephrosissal. Ezek közül több majom</w:t>
      </w:r>
      <w:r w:rsidR="009720E3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9720E3">
        <w:rPr>
          <w:rFonts w:ascii="Times New Roman" w:eastAsia="Times New Roman" w:hAnsi="Times New Roman"/>
          <w:sz w:val="22"/>
          <w:szCs w:val="22"/>
        </w:rPr>
        <w:t>emelkedett</w:t>
      </w:r>
      <w:r w:rsidR="009720E3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karbamid-nitrogén (BUN) és kreatininszint volt észlelhető</w:t>
      </w:r>
      <w:r w:rsidR="00807990">
        <w:rPr>
          <w:rFonts w:ascii="Times New Roman" w:eastAsia="Times New Roman" w:hAnsi="Times New Roman"/>
          <w:sz w:val="22"/>
          <w:szCs w:val="22"/>
        </w:rPr>
        <w:t xml:space="preserve"> a vérben</w:t>
      </w:r>
      <w:r w:rsidRPr="00F567BF">
        <w:rPr>
          <w:rFonts w:ascii="Times New Roman" w:eastAsia="Times New Roman" w:hAnsi="Times New Roman"/>
          <w:sz w:val="22"/>
          <w:szCs w:val="22"/>
        </w:rPr>
        <w:t>. Patká</w:t>
      </w:r>
      <w:r w:rsidR="00392B9A" w:rsidRPr="00F567BF">
        <w:rPr>
          <w:rFonts w:ascii="Times New Roman" w:eastAsia="Times New Roman" w:hAnsi="Times New Roman"/>
          <w:sz w:val="22"/>
          <w:szCs w:val="22"/>
        </w:rPr>
        <w:t>nyok</w:t>
      </w:r>
      <w:r w:rsidR="00807990">
        <w:rPr>
          <w:rFonts w:ascii="Times New Roman" w:eastAsia="Times New Roman" w:hAnsi="Times New Roman"/>
          <w:sz w:val="22"/>
          <w:szCs w:val="22"/>
        </w:rPr>
        <w:t xml:space="preserve"> esetében</w:t>
      </w:r>
      <w:r w:rsidR="00392B9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9720E3">
        <w:rPr>
          <w:rFonts w:ascii="Times New Roman" w:eastAsia="Times New Roman" w:hAnsi="Times New Roman"/>
          <w:sz w:val="22"/>
          <w:szCs w:val="22"/>
        </w:rPr>
        <w:t xml:space="preserve">a </w:t>
      </w:r>
      <w:r w:rsidR="00392B9A" w:rsidRPr="00F567BF">
        <w:rPr>
          <w:rFonts w:ascii="Times New Roman" w:eastAsia="Times New Roman" w:hAnsi="Times New Roman"/>
          <w:sz w:val="22"/>
          <w:szCs w:val="22"/>
        </w:rPr>
        <w:t>13</w:t>
      </w:r>
      <w:r w:rsidR="00EC3F17">
        <w:rPr>
          <w:rFonts w:ascii="Times New Roman" w:eastAsia="Times New Roman" w:hAnsi="Times New Roman"/>
          <w:sz w:val="22"/>
          <w:szCs w:val="22"/>
        </w:rPr>
        <w:t> </w:t>
      </w:r>
      <w:r w:rsidR="00392B9A" w:rsidRPr="00F567BF">
        <w:rPr>
          <w:rFonts w:ascii="Times New Roman" w:eastAsia="Times New Roman" w:hAnsi="Times New Roman"/>
          <w:sz w:val="22"/>
          <w:szCs w:val="22"/>
        </w:rPr>
        <w:t>hetes vizsgálat</w:t>
      </w:r>
      <w:r w:rsidR="00807990">
        <w:rPr>
          <w:rFonts w:ascii="Times New Roman" w:eastAsia="Times New Roman" w:hAnsi="Times New Roman"/>
          <w:sz w:val="22"/>
          <w:szCs w:val="22"/>
        </w:rPr>
        <w:t>ban</w:t>
      </w:r>
      <w:r w:rsidR="00392B9A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Symbol" w:eastAsia="Symbol" w:hAnsi="Symbol"/>
          <w:sz w:val="22"/>
          <w:szCs w:val="22"/>
        </w:rPr>
        <w:t></w:t>
      </w:r>
      <w:r w:rsidR="00BA5CA7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6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mg/ttkg dózisok alkalmazása mellett a vesepapilla és a húgyhólyag transitionalis epitheliumának hyperplasiáját észlelték</w:t>
      </w:r>
      <w:r w:rsidR="00F262A8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szérum-, ill</w:t>
      </w:r>
      <w:r w:rsidR="00EC3F17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vizeleteltérés nélkül. Krónikus imatinib</w:t>
      </w:r>
      <w:r w:rsidR="002E203D">
        <w:rPr>
          <w:rFonts w:ascii="Times New Roman" w:eastAsia="Times New Roman" w:hAnsi="Times New Roman"/>
          <w:sz w:val="22"/>
          <w:szCs w:val="22"/>
        </w:rPr>
        <w:noBreakHyphen/>
      </w:r>
      <w:r w:rsidRPr="00F567BF">
        <w:rPr>
          <w:rFonts w:ascii="Times New Roman" w:eastAsia="Times New Roman" w:hAnsi="Times New Roman"/>
          <w:sz w:val="22"/>
          <w:szCs w:val="22"/>
        </w:rPr>
        <w:t xml:space="preserve">kezeléskor az opportunista fertőzések gyakoribb előfordulását </w:t>
      </w:r>
      <w:r w:rsidR="00B20286">
        <w:rPr>
          <w:rFonts w:ascii="Times New Roman" w:eastAsia="Times New Roman" w:hAnsi="Times New Roman"/>
          <w:sz w:val="22"/>
          <w:szCs w:val="22"/>
        </w:rPr>
        <w:t>figyelték meg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6AAE8E8E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459FC6A3" w14:textId="537312D2" w:rsidR="002A793D" w:rsidRPr="00F567BF" w:rsidRDefault="002A793D" w:rsidP="00B12A97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Egy 39</w:t>
      </w:r>
      <w:r w:rsidR="002E203D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hetes, majmok</w:t>
      </w:r>
      <w:r w:rsidR="000F7397">
        <w:rPr>
          <w:rFonts w:ascii="Times New Roman" w:eastAsia="Times New Roman" w:hAnsi="Times New Roman"/>
          <w:sz w:val="22"/>
          <w:szCs w:val="22"/>
        </w:rPr>
        <w:t>kal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végzett vizsgálatban a legalacsonyabb</w:t>
      </w:r>
      <w:r w:rsidR="000F7397">
        <w:rPr>
          <w:rFonts w:ascii="Times New Roman" w:eastAsia="Times New Roman" w:hAnsi="Times New Roman"/>
          <w:sz w:val="22"/>
          <w:szCs w:val="22"/>
        </w:rPr>
        <w:t>,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15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mg/ttkg dózis – körülbelül egyharmada a test</w:t>
      </w:r>
      <w:r w:rsidR="000F7397">
        <w:rPr>
          <w:rFonts w:ascii="Times New Roman" w:eastAsia="Times New Roman" w:hAnsi="Times New Roman"/>
          <w:sz w:val="22"/>
          <w:szCs w:val="22"/>
        </w:rPr>
        <w:t>felszínre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számított maximális, 800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mg-os humán dózisnak – alkalmazása mellett nem állapították meg a </w:t>
      </w:r>
      <w:r w:rsidR="00A751B0">
        <w:rPr>
          <w:rFonts w:ascii="Times New Roman" w:eastAsia="Times New Roman" w:hAnsi="Times New Roman"/>
          <w:sz w:val="22"/>
          <w:szCs w:val="22"/>
        </w:rPr>
        <w:t>mellékhatásmentes dózist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</w:t>
      </w:r>
      <w:r w:rsidR="00B12A97" w:rsidRPr="00B12A97">
        <w:rPr>
          <w:rFonts w:ascii="Times New Roman" w:eastAsia="Times New Roman" w:hAnsi="Times New Roman"/>
          <w:i/>
          <w:sz w:val="22"/>
          <w:szCs w:val="22"/>
        </w:rPr>
        <w:t>no observed adverse effect level</w:t>
      </w:r>
      <w:r w:rsidR="00B12A97">
        <w:rPr>
          <w:rFonts w:ascii="Times New Roman" w:eastAsia="Times New Roman" w:hAnsi="Times New Roman"/>
          <w:sz w:val="22"/>
          <w:szCs w:val="22"/>
        </w:rPr>
        <w:t>,</w:t>
      </w:r>
      <w:r w:rsidR="00B12A97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NOAEL). Ezek</w:t>
      </w:r>
      <w:r w:rsidR="00B12A97">
        <w:rPr>
          <w:rFonts w:ascii="Times New Roman" w:eastAsia="Times New Roman" w:hAnsi="Times New Roman"/>
          <w:sz w:val="22"/>
          <w:szCs w:val="22"/>
        </w:rPr>
        <w:t>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állatok</w:t>
      </w:r>
      <w:r w:rsidR="00B12A97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kezelés a normális</w:t>
      </w:r>
      <w:r w:rsidR="00B12A97">
        <w:rPr>
          <w:rFonts w:ascii="Times New Roman" w:eastAsia="Times New Roman" w:hAnsi="Times New Roman"/>
          <w:sz w:val="22"/>
          <w:szCs w:val="22"/>
        </w:rPr>
        <w:t xml:space="preserve"> esetben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szuppr</w:t>
      </w:r>
      <w:r w:rsidR="00B20286">
        <w:rPr>
          <w:rFonts w:ascii="Times New Roman" w:eastAsia="Times New Roman" w:hAnsi="Times New Roman"/>
          <w:sz w:val="22"/>
          <w:szCs w:val="22"/>
        </w:rPr>
        <w:t>imált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mal</w:t>
      </w:r>
      <w:r w:rsidR="002E203D">
        <w:rPr>
          <w:rFonts w:ascii="Times New Roman" w:eastAsia="Times New Roman" w:hAnsi="Times New Roman"/>
          <w:sz w:val="22"/>
          <w:szCs w:val="22"/>
        </w:rPr>
        <w:t>á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riás </w:t>
      </w:r>
      <w:r w:rsidR="00B20286">
        <w:rPr>
          <w:rFonts w:ascii="Times New Roman" w:eastAsia="Times New Roman" w:hAnsi="Times New Roman"/>
          <w:sz w:val="22"/>
          <w:szCs w:val="22"/>
        </w:rPr>
        <w:t>infectio</w:t>
      </w:r>
      <w:r w:rsidR="00B12A97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rosszabbodását eredményezte.</w:t>
      </w:r>
    </w:p>
    <w:p w14:paraId="1D942805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7D00242" w14:textId="4AA7FCC8" w:rsidR="002A793D" w:rsidRPr="00F567BF" w:rsidRDefault="002A793D" w:rsidP="00C245EF">
      <w:pPr>
        <w:ind w:right="2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Az imatinib nem bizonyult genotoxikusnak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vitro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baktériumsejt</w:t>
      </w:r>
      <w:r w:rsidR="000B1C3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assayben (Ames</w:t>
      </w:r>
      <w:r w:rsidR="000B1C32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teszt),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vitro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emlőssejttesztben (egér lymphoma) és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vivo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patkány micronucleus</w:t>
      </w:r>
      <w:r w:rsidR="00FF6EC9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tesztben. Pozitív genotoxikus hatást figyeltek meg egy </w:t>
      </w:r>
      <w:r w:rsidRPr="00F567BF">
        <w:rPr>
          <w:rFonts w:ascii="Times New Roman" w:eastAsia="Times New Roman" w:hAnsi="Times New Roman"/>
          <w:i/>
          <w:sz w:val="22"/>
          <w:szCs w:val="22"/>
        </w:rPr>
        <w:t>in vitro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emlőssejt</w:t>
      </w:r>
      <w:r w:rsidR="00673DEC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assayben (kínai hörcsög ovarium) </w:t>
      </w:r>
      <w:r w:rsidR="00D4252A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>las</w:t>
      </w:r>
      <w:r w:rsidR="00D4252A">
        <w:rPr>
          <w:rFonts w:ascii="Times New Roman" w:eastAsia="Times New Roman" w:hAnsi="Times New Roman"/>
          <w:sz w:val="22"/>
          <w:szCs w:val="22"/>
        </w:rPr>
        <w:t>z</w:t>
      </w:r>
      <w:r w:rsidRPr="00F567BF">
        <w:rPr>
          <w:rFonts w:ascii="Times New Roman" w:eastAsia="Times New Roman" w:hAnsi="Times New Roman"/>
          <w:sz w:val="22"/>
          <w:szCs w:val="22"/>
        </w:rPr>
        <w:t>togenicitást tekintve (</w:t>
      </w:r>
      <w:r w:rsidR="00D4252A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>romos</w:t>
      </w:r>
      <w:r w:rsidR="00D4252A">
        <w:rPr>
          <w:rFonts w:ascii="Times New Roman" w:eastAsia="Times New Roman" w:hAnsi="Times New Roman"/>
          <w:sz w:val="22"/>
          <w:szCs w:val="22"/>
        </w:rPr>
        <w:t>zó</w:t>
      </w:r>
      <w:r w:rsidRPr="00F567BF">
        <w:rPr>
          <w:rFonts w:ascii="Times New Roman" w:eastAsia="Times New Roman" w:hAnsi="Times New Roman"/>
          <w:sz w:val="22"/>
          <w:szCs w:val="22"/>
        </w:rPr>
        <w:t>ma</w:t>
      </w:r>
      <w:r w:rsidR="00D4252A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aberr</w:t>
      </w:r>
      <w:r w:rsidR="00D4252A">
        <w:rPr>
          <w:rFonts w:ascii="Times New Roman" w:eastAsia="Times New Roman" w:hAnsi="Times New Roman"/>
          <w:sz w:val="22"/>
          <w:szCs w:val="22"/>
        </w:rPr>
        <w:t>ác</w:t>
      </w:r>
      <w:r w:rsidRPr="00F567BF">
        <w:rPr>
          <w:rFonts w:ascii="Times New Roman" w:eastAsia="Times New Roman" w:hAnsi="Times New Roman"/>
          <w:sz w:val="22"/>
          <w:szCs w:val="22"/>
        </w:rPr>
        <w:t>i</w:t>
      </w:r>
      <w:r w:rsidR="00D4252A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) metabolikus aktiváció fennállásakor. </w:t>
      </w:r>
      <w:r w:rsidR="00B12A97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gyártási folyamat két közbenső vegyülete </w:t>
      </w:r>
      <w:r w:rsidR="00EC3F17" w:rsidRPr="00F567BF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ami a végtermékben is jelen van </w:t>
      </w:r>
      <w:r w:rsidR="00EC3F17" w:rsidRPr="00F567BF">
        <w:rPr>
          <w:rFonts w:ascii="Times New Roman" w:eastAsia="Times New Roman" w:hAnsi="Times New Roman"/>
          <w:sz w:val="22"/>
          <w:szCs w:val="22"/>
        </w:rPr>
        <w:t>–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B12A97">
        <w:rPr>
          <w:rFonts w:ascii="Times New Roman" w:eastAsia="Times New Roman" w:hAnsi="Times New Roman"/>
          <w:sz w:val="22"/>
          <w:szCs w:val="22"/>
        </w:rPr>
        <w:t>az Ames</w:t>
      </w:r>
      <w:r w:rsidR="0090158D">
        <w:rPr>
          <w:rFonts w:ascii="Times New Roman" w:eastAsia="Times New Roman" w:hAnsi="Times New Roman"/>
          <w:sz w:val="22"/>
          <w:szCs w:val="22"/>
        </w:rPr>
        <w:t>-féle</w:t>
      </w:r>
      <w:r w:rsidR="00B12A97">
        <w:rPr>
          <w:rFonts w:ascii="Times New Roman" w:eastAsia="Times New Roman" w:hAnsi="Times New Roman"/>
          <w:sz w:val="22"/>
          <w:szCs w:val="22"/>
        </w:rPr>
        <w:t xml:space="preserve"> mutagenitási tesztben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pozitív </w:t>
      </w:r>
      <w:r w:rsidR="00B12A97">
        <w:rPr>
          <w:rFonts w:ascii="Times New Roman" w:eastAsia="Times New Roman" w:hAnsi="Times New Roman"/>
          <w:sz w:val="22"/>
          <w:szCs w:val="22"/>
        </w:rPr>
        <w:t>eredményt adott</w:t>
      </w:r>
      <w:r w:rsidRPr="00F567BF">
        <w:rPr>
          <w:rFonts w:ascii="Times New Roman" w:eastAsia="Times New Roman" w:hAnsi="Times New Roman"/>
          <w:sz w:val="22"/>
          <w:szCs w:val="22"/>
        </w:rPr>
        <w:t>. A közbenső vegyületek egyike egér lymphoma</w:t>
      </w:r>
      <w:r w:rsidR="0090158D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tesztben is pozitív </w:t>
      </w:r>
      <w:r w:rsidR="00B12A97">
        <w:rPr>
          <w:rFonts w:ascii="Times New Roman" w:eastAsia="Times New Roman" w:hAnsi="Times New Roman"/>
          <w:sz w:val="22"/>
          <w:szCs w:val="22"/>
        </w:rPr>
        <w:t>eredményt adott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61F391E4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830B197" w14:textId="6B10D631" w:rsidR="002A793D" w:rsidRPr="00F567BF" w:rsidRDefault="00293DD8" w:rsidP="00C245EF">
      <w:pPr>
        <w:ind w:right="20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Egy f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ertilitási vizsgálatban</w:t>
      </w:r>
      <w:r w:rsidR="00D6186E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hím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patkányok</w:t>
      </w:r>
      <w:r>
        <w:rPr>
          <w:rFonts w:ascii="Times New Roman" w:eastAsia="Times New Roman" w:hAnsi="Times New Roman"/>
          <w:sz w:val="22"/>
          <w:szCs w:val="22"/>
        </w:rPr>
        <w:t>nál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a párosodást megelőző 70</w:t>
      </w:r>
      <w:r w:rsidR="00D4252A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napban alkalmazott 60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mg/ttkg dózis alkalmazásakor, ami körülbelül megfelel a test</w:t>
      </w:r>
      <w:r>
        <w:rPr>
          <w:rFonts w:ascii="Times New Roman" w:eastAsia="Times New Roman" w:hAnsi="Times New Roman"/>
          <w:sz w:val="22"/>
          <w:szCs w:val="22"/>
        </w:rPr>
        <w:t>felszínre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számított 800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mg/nap maximális klinikai dózisnak, a </w:t>
      </w:r>
      <w:r>
        <w:rPr>
          <w:rFonts w:ascii="Times New Roman" w:eastAsia="Times New Roman" w:hAnsi="Times New Roman"/>
          <w:sz w:val="22"/>
          <w:szCs w:val="22"/>
        </w:rPr>
        <w:t>testicularis és epididymalis tömeg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, valamint a mozgó s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 xml:space="preserve">permiumok arányának csökkenését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észlelték. Mindez ≤</w:t>
      </w:r>
      <w:r w:rsidR="00D4252A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20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mg/ttkg alkalmazott dózisban nem volt megfigy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elhető. Kutyák</w:t>
      </w:r>
      <w:r>
        <w:rPr>
          <w:rFonts w:ascii="Times New Roman" w:eastAsia="Times New Roman" w:hAnsi="Times New Roman"/>
          <w:sz w:val="22"/>
          <w:szCs w:val="22"/>
        </w:rPr>
        <w:t>nál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 xml:space="preserve">, ha az orális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dózis </w:t>
      </w:r>
      <w:r w:rsidR="002A793D" w:rsidRPr="00F567BF">
        <w:rPr>
          <w:rFonts w:ascii="Symbol" w:eastAsia="Symbol" w:hAnsi="Symbol"/>
          <w:sz w:val="22"/>
          <w:szCs w:val="22"/>
        </w:rPr>
        <w:t></w:t>
      </w:r>
      <w:r w:rsidR="00D4252A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30</w:t>
      </w:r>
      <w:r w:rsidR="007F10C5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mg/ttkg, a spermatogenesis </w:t>
      </w:r>
      <w:r>
        <w:rPr>
          <w:rFonts w:ascii="Times New Roman" w:eastAsia="Times New Roman" w:hAnsi="Times New Roman"/>
          <w:sz w:val="22"/>
          <w:szCs w:val="22"/>
        </w:rPr>
        <w:t xml:space="preserve">enyhe </w:t>
      </w:r>
      <w:r w:rsidR="003754FE">
        <w:rPr>
          <w:rFonts w:ascii="Times New Roman" w:eastAsia="Times New Roman" w:hAnsi="Times New Roman"/>
          <w:sz w:val="22"/>
          <w:szCs w:val="22"/>
        </w:rPr>
        <w:t xml:space="preserve">vagy </w:t>
      </w:r>
      <w:r>
        <w:rPr>
          <w:rFonts w:ascii="Times New Roman" w:eastAsia="Times New Roman" w:hAnsi="Times New Roman"/>
          <w:sz w:val="22"/>
          <w:szCs w:val="22"/>
        </w:rPr>
        <w:t xml:space="preserve">közepes </w:t>
      </w:r>
      <w:r w:rsidR="00FC7D10">
        <w:rPr>
          <w:rFonts w:ascii="Times New Roman" w:eastAsia="Times New Roman" w:hAnsi="Times New Roman"/>
          <w:sz w:val="22"/>
          <w:szCs w:val="22"/>
        </w:rPr>
        <w:t>fokú</w:t>
      </w:r>
      <w:r w:rsidR="00FC7D10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csökkenését figyelték meg. Amikor nőstény patkányokat kezeltek a párosodást megelőző 14</w:t>
      </w:r>
      <w:r w:rsidR="00D1143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napban és a 6.</w:t>
      </w:r>
      <w:r w:rsidR="00D1143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gestati</w:t>
      </w:r>
      <w:r w:rsidR="00C245EF" w:rsidRPr="00F567BF">
        <w:rPr>
          <w:rFonts w:ascii="Times New Roman" w:eastAsia="Times New Roman" w:hAnsi="Times New Roman"/>
          <w:sz w:val="22"/>
          <w:szCs w:val="22"/>
        </w:rPr>
        <w:t>ó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s napig, az adott kezelés nem volt hatással</w:t>
      </w:r>
      <w:r w:rsidR="001546AB">
        <w:rPr>
          <w:rFonts w:ascii="Times New Roman" w:eastAsia="Times New Roman" w:hAnsi="Times New Roman"/>
          <w:sz w:val="22"/>
          <w:szCs w:val="22"/>
        </w:rPr>
        <w:t xml:space="preserve"> sem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a párosodásra, </w:t>
      </w:r>
      <w:r w:rsidR="001546AB">
        <w:rPr>
          <w:rFonts w:ascii="Times New Roman" w:eastAsia="Times New Roman" w:hAnsi="Times New Roman"/>
          <w:sz w:val="22"/>
          <w:szCs w:val="22"/>
        </w:rPr>
        <w:t>sem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a vemhessé vált patkányok számára. Nőstény patkányok</w:t>
      </w:r>
      <w:r>
        <w:rPr>
          <w:rFonts w:ascii="Times New Roman" w:eastAsia="Times New Roman" w:hAnsi="Times New Roman"/>
          <w:sz w:val="22"/>
          <w:szCs w:val="22"/>
        </w:rPr>
        <w:t>nál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60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mg/ttkg dózis szignifikáns mértékben fokozta a postimplantatiós spontán </w:t>
      </w:r>
      <w:r w:rsidR="00FC7D10">
        <w:rPr>
          <w:rFonts w:ascii="Times New Roman" w:eastAsia="Times New Roman" w:hAnsi="Times New Roman"/>
          <w:sz w:val="22"/>
          <w:szCs w:val="22"/>
        </w:rPr>
        <w:t>vetélés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előfordulását, és csökkentette az élő foetusok számát, </w:t>
      </w:r>
      <w:r>
        <w:rPr>
          <w:rFonts w:ascii="Times New Roman" w:eastAsia="Times New Roman" w:hAnsi="Times New Roman"/>
          <w:sz w:val="22"/>
          <w:szCs w:val="22"/>
        </w:rPr>
        <w:t>ami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≤</w:t>
      </w:r>
      <w:r w:rsidR="00D1143C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20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mg/ttkg esetén nem </w:t>
      </w:r>
      <w:r w:rsidR="00261475">
        <w:rPr>
          <w:rFonts w:ascii="Times New Roman" w:eastAsia="Times New Roman" w:hAnsi="Times New Roman"/>
          <w:sz w:val="22"/>
          <w:szCs w:val="22"/>
        </w:rPr>
        <w:t>tapasztaltak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5F19DEEC" w14:textId="77777777" w:rsidR="002A793D" w:rsidRPr="00F567BF" w:rsidRDefault="002A793D">
      <w:pPr>
        <w:spacing w:line="249" w:lineRule="exact"/>
        <w:rPr>
          <w:rFonts w:ascii="Times New Roman" w:eastAsia="Times New Roman" w:hAnsi="Times New Roman"/>
          <w:sz w:val="22"/>
          <w:szCs w:val="22"/>
        </w:rPr>
      </w:pPr>
    </w:p>
    <w:p w14:paraId="7E89E13E" w14:textId="1AE881E1" w:rsidR="002A793D" w:rsidRPr="00F567BF" w:rsidRDefault="002A793D" w:rsidP="00293DD8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Egy</w:t>
      </w:r>
      <w:r w:rsidR="00293DD8">
        <w:rPr>
          <w:rFonts w:ascii="Times New Roman" w:eastAsia="Times New Roman" w:hAnsi="Times New Roman"/>
          <w:sz w:val="22"/>
          <w:szCs w:val="22"/>
        </w:rPr>
        <w:t xml:space="preserve"> patkányokkal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végzett orális pre-, ill</w:t>
      </w:r>
      <w:r w:rsidR="00EC3F17">
        <w:rPr>
          <w:rFonts w:ascii="Times New Roman" w:eastAsia="Times New Roman" w:hAnsi="Times New Roman"/>
          <w:sz w:val="22"/>
          <w:szCs w:val="22"/>
        </w:rPr>
        <w:t>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postnatalis fejlődési vizsgálatban vörös hüvelyi folyás mutatkozott a 14.</w:t>
      </w:r>
      <w:r w:rsidR="00293DD8">
        <w:rPr>
          <w:rFonts w:ascii="Times New Roman" w:eastAsia="Times New Roman" w:hAnsi="Times New Roman"/>
          <w:sz w:val="22"/>
          <w:szCs w:val="22"/>
        </w:rPr>
        <w:t>, illetve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15. gestatiós napon a 45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mg/ttkg/nap adagot kapó csoportban. Ugyanezen </w:t>
      </w:r>
      <w:r w:rsidR="00293DD8">
        <w:rPr>
          <w:rFonts w:ascii="Times New Roman" w:eastAsia="Times New Roman" w:hAnsi="Times New Roman"/>
          <w:sz w:val="22"/>
          <w:szCs w:val="22"/>
        </w:rPr>
        <w:t>dózis mellett</w:t>
      </w:r>
      <w:r w:rsidR="00293DD8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a halvaszületési arány és az </w:t>
      </w:r>
      <w:r w:rsidR="00293DD8">
        <w:rPr>
          <w:rFonts w:ascii="Times New Roman" w:eastAsia="Times New Roman" w:hAnsi="Times New Roman"/>
          <w:sz w:val="22"/>
          <w:szCs w:val="22"/>
        </w:rPr>
        <w:t xml:space="preserve">ellést követő </w:t>
      </w:r>
      <w:r w:rsidRPr="00F567BF">
        <w:rPr>
          <w:rFonts w:ascii="Times New Roman" w:eastAsia="Times New Roman" w:hAnsi="Times New Roman"/>
          <w:sz w:val="22"/>
          <w:szCs w:val="22"/>
        </w:rPr>
        <w:t>első négy napban bekövetkező halálozási arány megnövekedett. Az F</w:t>
      </w:r>
      <w:r w:rsidRPr="001C5896">
        <w:rPr>
          <w:rFonts w:ascii="Times New Roman" w:eastAsia="Times New Roman" w:hAnsi="Times New Roman"/>
          <w:sz w:val="22"/>
          <w:szCs w:val="22"/>
        </w:rPr>
        <w:t>1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utódok esetében – ugyanezen </w:t>
      </w:r>
      <w:r w:rsidR="005F4F1E">
        <w:rPr>
          <w:rFonts w:ascii="Times New Roman" w:eastAsia="Times New Roman" w:hAnsi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mellett – kisebb volt az átlagos testtömeg a születéstől elhullásukig, és a praeputialis elkülönítést szükségessé </w:t>
      </w:r>
      <w:r w:rsidR="00C245EF" w:rsidRPr="00F567BF">
        <w:rPr>
          <w:rFonts w:ascii="Times New Roman" w:eastAsia="Times New Roman" w:hAnsi="Times New Roman"/>
          <w:sz w:val="22"/>
          <w:szCs w:val="22"/>
        </w:rPr>
        <w:t xml:space="preserve">tevő alomszám némileg csökkent. </w:t>
      </w:r>
      <w:r w:rsidRPr="001C5896">
        <w:rPr>
          <w:rFonts w:ascii="Times New Roman" w:eastAsia="Times New Roman" w:hAnsi="Times New Roman"/>
          <w:sz w:val="22"/>
          <w:szCs w:val="22"/>
        </w:rPr>
        <w:t>Bár az F1 utódok fertilitása nem csökkent, a 45</w:t>
      </w:r>
      <w:r w:rsidR="00F45DB4" w:rsidRPr="001C5896">
        <w:rPr>
          <w:rFonts w:ascii="Times New Roman" w:eastAsia="Times New Roman" w:hAnsi="Times New Roman"/>
          <w:sz w:val="22"/>
          <w:szCs w:val="22"/>
        </w:rPr>
        <w:t> </w:t>
      </w:r>
      <w:r w:rsidRPr="001C5896">
        <w:rPr>
          <w:rFonts w:ascii="Times New Roman" w:eastAsia="Times New Roman" w:hAnsi="Times New Roman"/>
          <w:sz w:val="22"/>
          <w:szCs w:val="22"/>
        </w:rPr>
        <w:t>mg/</w:t>
      </w:r>
      <w:r w:rsidR="00C245EF" w:rsidRPr="001C5896">
        <w:rPr>
          <w:rFonts w:ascii="Times New Roman" w:eastAsia="Times New Roman" w:hAnsi="Times New Roman"/>
          <w:sz w:val="22"/>
          <w:szCs w:val="22"/>
        </w:rPr>
        <w:t>tt</w:t>
      </w:r>
      <w:r w:rsidRPr="001C5896">
        <w:rPr>
          <w:rFonts w:ascii="Times New Roman" w:eastAsia="Times New Roman" w:hAnsi="Times New Roman"/>
          <w:sz w:val="22"/>
          <w:szCs w:val="22"/>
        </w:rPr>
        <w:t xml:space="preserve">kg nap </w:t>
      </w:r>
      <w:r w:rsidR="005F4F1E">
        <w:rPr>
          <w:rFonts w:ascii="Times New Roman" w:eastAsia="Times New Roman" w:hAnsi="Times New Roman"/>
          <w:sz w:val="22"/>
          <w:szCs w:val="22"/>
        </w:rPr>
        <w:t>dózis</w:t>
      </w:r>
      <w:r w:rsidRPr="001C5896">
        <w:rPr>
          <w:rFonts w:ascii="Times New Roman" w:eastAsia="Times New Roman" w:hAnsi="Times New Roman"/>
          <w:sz w:val="22"/>
          <w:szCs w:val="22"/>
        </w:rPr>
        <w:t xml:space="preserve"> mellett nagyobb számú volt az intrauterin felszívódás, és kisebb számú az életképes foetusok száma. Az anyaállatra és az F1 </w:t>
      </w:r>
      <w:r w:rsidRPr="001C5896">
        <w:rPr>
          <w:rFonts w:ascii="Times New Roman" w:eastAsia="Times New Roman" w:hAnsi="Times New Roman"/>
          <w:sz w:val="22"/>
          <w:szCs w:val="22"/>
        </w:rPr>
        <w:lastRenderedPageBreak/>
        <w:t>generációra a hatás</w:t>
      </w:r>
      <w:r w:rsidR="009E413B">
        <w:rPr>
          <w:rFonts w:ascii="Times New Roman" w:eastAsia="Times New Roman" w:hAnsi="Times New Roman"/>
          <w:sz w:val="22"/>
          <w:szCs w:val="22"/>
        </w:rPr>
        <w:t>mentes dózis</w:t>
      </w:r>
      <w:r w:rsidRPr="001C5896">
        <w:rPr>
          <w:rFonts w:ascii="Times New Roman" w:eastAsia="Times New Roman" w:hAnsi="Times New Roman"/>
          <w:sz w:val="22"/>
          <w:szCs w:val="22"/>
        </w:rPr>
        <w:t xml:space="preserve"> (</w:t>
      </w:r>
      <w:r w:rsidR="00293DD8" w:rsidRPr="00293DD8">
        <w:rPr>
          <w:rFonts w:ascii="Times New Roman" w:eastAsia="Times New Roman" w:hAnsi="Times New Roman"/>
          <w:i/>
          <w:sz w:val="22"/>
          <w:szCs w:val="22"/>
        </w:rPr>
        <w:t>no observed effect level</w:t>
      </w:r>
      <w:r w:rsidR="00293DD8">
        <w:rPr>
          <w:rFonts w:ascii="Times New Roman" w:eastAsia="Times New Roman" w:hAnsi="Times New Roman"/>
          <w:sz w:val="22"/>
          <w:szCs w:val="22"/>
        </w:rPr>
        <w:t>,</w:t>
      </w:r>
      <w:r w:rsidR="00293DD8" w:rsidRPr="001C5896">
        <w:rPr>
          <w:rFonts w:ascii="Times New Roman" w:eastAsia="Times New Roman" w:hAnsi="Times New Roman"/>
          <w:sz w:val="22"/>
          <w:szCs w:val="22"/>
        </w:rPr>
        <w:t xml:space="preserve"> </w:t>
      </w:r>
      <w:r w:rsidRPr="001C5896">
        <w:rPr>
          <w:rFonts w:ascii="Times New Roman" w:eastAsia="Times New Roman" w:hAnsi="Times New Roman"/>
          <w:sz w:val="22"/>
          <w:szCs w:val="22"/>
        </w:rPr>
        <w:t>NOEL</w:t>
      </w:r>
      <w:r w:rsidR="00F45DB4" w:rsidRPr="001C5896">
        <w:rPr>
          <w:rFonts w:ascii="Times New Roman" w:eastAsia="Times New Roman" w:hAnsi="Times New Roman"/>
          <w:sz w:val="22"/>
          <w:szCs w:val="22"/>
        </w:rPr>
        <w:t>) értéke 1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5 </w:t>
      </w:r>
      <w:r w:rsidRPr="00F567BF">
        <w:rPr>
          <w:rFonts w:ascii="Times New Roman" w:eastAsia="Times New Roman" w:hAnsi="Times New Roman"/>
          <w:sz w:val="22"/>
          <w:szCs w:val="22"/>
        </w:rPr>
        <w:t>mg/ttkg/nap volt, ami a 800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 maximális humán adag negyedének felel meg.</w:t>
      </w:r>
    </w:p>
    <w:p w14:paraId="0A92FBBE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43D05102" w14:textId="64CB57CC" w:rsidR="002A793D" w:rsidRPr="00F567BF" w:rsidRDefault="002A793D" w:rsidP="00293DD8">
      <w:pPr>
        <w:ind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Patkányok</w:t>
      </w:r>
      <w:r w:rsidR="00293DD8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az organogenezis ideje alatt alkalmazott </w:t>
      </w:r>
      <w:r w:rsidR="001C5896">
        <w:rPr>
          <w:rFonts w:ascii="Times New Roman" w:eastAsia="Symbol" w:hAnsi="Times New Roman" w:cs="Times New Roman"/>
          <w:sz w:val="22"/>
          <w:szCs w:val="22"/>
        </w:rPr>
        <w:t>≥</w:t>
      </w:r>
      <w:r w:rsidR="00D1143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100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mg/ttkg (ami körülbelül megfelel a test</w:t>
      </w:r>
      <w:r w:rsidR="00293DD8">
        <w:rPr>
          <w:rFonts w:ascii="Times New Roman" w:eastAsia="Times New Roman" w:hAnsi="Times New Roman"/>
          <w:sz w:val="22"/>
          <w:szCs w:val="22"/>
        </w:rPr>
        <w:t>felszínre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számított 800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mg/nap maximális humán klinikai dózisnak) imatinib adag teratogénnek bizonyult. A teratogén hatások közé tartozott az exencephalia vagy encephalocele, a frontalis csontok hiánya/hiányos kifejlődése és a partietalis csontok hiánya. Ezek a</w:t>
      </w:r>
      <w:r w:rsidR="00C245EF" w:rsidRPr="00F567BF">
        <w:rPr>
          <w:rFonts w:ascii="Times New Roman" w:eastAsia="Times New Roman" w:hAnsi="Times New Roman"/>
          <w:sz w:val="22"/>
          <w:szCs w:val="22"/>
        </w:rPr>
        <w:t xml:space="preserve"> hatások nem voltak észlelhetők </w:t>
      </w:r>
      <w:r w:rsidRPr="00F567BF">
        <w:rPr>
          <w:rFonts w:ascii="Times New Roman" w:eastAsia="Times New Roman" w:hAnsi="Times New Roman"/>
          <w:sz w:val="22"/>
          <w:szCs w:val="22"/>
        </w:rPr>
        <w:t>≤</w:t>
      </w:r>
      <w:r w:rsidR="00D1143C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30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mg/ttkg adagok</w:t>
      </w:r>
      <w:r w:rsidR="006F4E59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29C0A147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DF7FBAE" w14:textId="65E6C6D9" w:rsidR="002A793D" w:rsidRPr="00F567BF" w:rsidRDefault="00293DD8" w:rsidP="00C245EF">
      <w:pPr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A f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iatal patkányok</w:t>
      </w:r>
      <w:r w:rsidR="00847534">
        <w:rPr>
          <w:rFonts w:ascii="Times New Roman" w:eastAsia="Times New Roman" w:hAnsi="Times New Roman"/>
          <w:sz w:val="22"/>
          <w:szCs w:val="22"/>
        </w:rPr>
        <w:t>kal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végzett fejlődés</w:t>
      </w:r>
      <w:r w:rsidR="000C02C7">
        <w:rPr>
          <w:rFonts w:ascii="Times New Roman" w:eastAsia="Times New Roman" w:hAnsi="Times New Roman"/>
          <w:sz w:val="22"/>
          <w:szCs w:val="22"/>
        </w:rPr>
        <w:t xml:space="preserve">i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toxikológiai vizsgálatban (az ellés utáni 10. és 70.</w:t>
      </w:r>
      <w:r w:rsidR="0067322E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napon) a felnőtt patkányok</w:t>
      </w:r>
      <w:r w:rsidR="006D4503">
        <w:rPr>
          <w:rFonts w:ascii="Times New Roman" w:eastAsia="Times New Roman" w:hAnsi="Times New Roman"/>
          <w:sz w:val="22"/>
          <w:szCs w:val="22"/>
        </w:rPr>
        <w:t>nál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 már ismert célszervekhez képest nem azonosítottak új célszerveket. A juvenilis toxikológiai vizsgálatban a legnagyobb ajánlott 340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-es dózis mellett, amely az átlagos gyermekgyógyászati expozíció 0,3</w:t>
      </w:r>
      <w:r w:rsidR="006D4503">
        <w:rPr>
          <w:rFonts w:ascii="Times New Roman" w:eastAsia="Times New Roman" w:hAnsi="Times New Roman"/>
          <w:sz w:val="22"/>
          <w:szCs w:val="22"/>
        </w:rPr>
        <w:t>–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2-szerese, a növekedésre gyakorolt hatásokat, a vagina késői megnyílását és a fityma késői elválását észlelték. Ezen kívűl fiatal állatoknál a</w:t>
      </w:r>
      <w:r w:rsidR="001546AB">
        <w:rPr>
          <w:rFonts w:ascii="Times New Roman" w:eastAsia="Times New Roman" w:hAnsi="Times New Roman"/>
          <w:sz w:val="22"/>
          <w:szCs w:val="22"/>
        </w:rPr>
        <w:t>z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 xml:space="preserve"> ajánlott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340</w:t>
      </w:r>
      <w:r w:rsidR="00F45DB4" w:rsidRPr="00F567BF">
        <w:rPr>
          <w:rFonts w:ascii="Times New Roman" w:eastAsia="Times New Roman" w:hAnsi="Times New Roman"/>
          <w:sz w:val="22"/>
          <w:szCs w:val="22"/>
        </w:rPr>
        <w:t> 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mg/m</w:t>
      </w:r>
      <w:r w:rsidR="002A793D"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 xml:space="preserve">-es </w:t>
      </w:r>
      <w:r w:rsidR="001546AB">
        <w:rPr>
          <w:rFonts w:ascii="Times New Roman" w:eastAsia="Times New Roman" w:hAnsi="Times New Roman"/>
          <w:sz w:val="22"/>
          <w:szCs w:val="22"/>
        </w:rPr>
        <w:t xml:space="preserve">legnagyobb </w:t>
      </w:r>
      <w:r w:rsidR="002A793D" w:rsidRPr="00F567BF">
        <w:rPr>
          <w:rFonts w:ascii="Times New Roman" w:eastAsia="Times New Roman" w:hAnsi="Times New Roman"/>
          <w:sz w:val="22"/>
          <w:szCs w:val="22"/>
        </w:rPr>
        <w:t>dózis mellett, amely az átlagos gyermekgyógyászati expozíció 2-szerese, mortalitást is megfigyeltek (az elválasztás ideje körül).</w:t>
      </w:r>
    </w:p>
    <w:p w14:paraId="0D7F28B7" w14:textId="77777777" w:rsidR="00F45DB4" w:rsidRPr="00F567BF" w:rsidRDefault="00F45DB4" w:rsidP="00F45DB4">
      <w:pPr>
        <w:spacing w:line="216" w:lineRule="auto"/>
        <w:rPr>
          <w:rFonts w:ascii="Times New Roman" w:eastAsia="Times New Roman" w:hAnsi="Times New Roman"/>
          <w:sz w:val="22"/>
          <w:szCs w:val="22"/>
        </w:rPr>
      </w:pPr>
    </w:p>
    <w:p w14:paraId="6249BA89" w14:textId="61676159" w:rsidR="002A793D" w:rsidRPr="00F567BF" w:rsidRDefault="002A793D" w:rsidP="006D4503">
      <w:pPr>
        <w:ind w:right="-8"/>
        <w:rPr>
          <w:rFonts w:ascii="Times New Roman" w:eastAsia="Times New Roman" w:hAnsi="Times New Roman"/>
          <w:sz w:val="22"/>
          <w:szCs w:val="22"/>
        </w:rPr>
      </w:pPr>
      <w:bookmarkStart w:id="26" w:name="page68"/>
      <w:bookmarkEnd w:id="26"/>
      <w:r w:rsidRPr="00F567BF">
        <w:rPr>
          <w:rFonts w:ascii="Times New Roman" w:eastAsia="Times New Roman" w:hAnsi="Times New Roman"/>
          <w:sz w:val="22"/>
          <w:szCs w:val="22"/>
        </w:rPr>
        <w:t>A patkányok</w:t>
      </w:r>
      <w:r w:rsidR="00C7140F">
        <w:rPr>
          <w:rFonts w:ascii="Times New Roman" w:eastAsia="Times New Roman" w:hAnsi="Times New Roman"/>
          <w:sz w:val="22"/>
          <w:szCs w:val="22"/>
        </w:rPr>
        <w:t>kal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végzett 2</w:t>
      </w:r>
      <w:r w:rsidR="001C5896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éves karcinogenitási vizsgálatban 15, 30 és 60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kg/nap imatinib adása az élettartam statisztikailag szignifikáns csökkenését 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eredményezte: hímek esetében 60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kg/nap, nőstények esetében </w:t>
      </w:r>
      <w:r w:rsidRPr="00F567BF">
        <w:rPr>
          <w:rFonts w:ascii="Symbol" w:eastAsia="Symbol" w:hAnsi="Symbol"/>
          <w:sz w:val="22"/>
          <w:szCs w:val="22"/>
        </w:rPr>
        <w:t></w:t>
      </w:r>
      <w:r w:rsidR="005D6E91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30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kg/nap </w:t>
      </w:r>
      <w:r w:rsidR="005F4F1E">
        <w:rPr>
          <w:rFonts w:ascii="Times New Roman" w:eastAsia="Times New Roman" w:hAnsi="Times New Roman"/>
          <w:sz w:val="22"/>
          <w:szCs w:val="22"/>
        </w:rPr>
        <w:t>dózis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mellett. Az elpusztult egyedek hisztopatológiai vizsgálata során kimutatták, hogy a</w:t>
      </w:r>
      <w:r w:rsidR="006D4503">
        <w:rPr>
          <w:rFonts w:ascii="Times New Roman" w:eastAsia="Times New Roman" w:hAnsi="Times New Roman"/>
          <w:sz w:val="22"/>
          <w:szCs w:val="22"/>
        </w:rPr>
        <w:t>z elhullás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és az el nem pusztult egyedek feláldozásának oka elsősorban cardiomyopathia (mindkét nem esetében), krónikus progresszív ne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 xml:space="preserve">phropathia (nőstények esetében) </w:t>
      </w:r>
      <w:r w:rsidRPr="00F567BF">
        <w:rPr>
          <w:rFonts w:ascii="Times New Roman" w:eastAsia="Times New Roman" w:hAnsi="Times New Roman"/>
          <w:sz w:val="22"/>
          <w:szCs w:val="22"/>
        </w:rPr>
        <w:t>és praeputium-mirigy papilloma volt. A daganatos elváltozások a vesét, a húgyhólyagot, a húgycsövet, a praeputium- és clitoris-mirigyeket, a vékonybelet, a mellékpajzsmirigyet, a mellékvesét és a nem</w:t>
      </w:r>
      <w:r w:rsidR="009E1DAB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mirigyes gyomrot érintették.</w:t>
      </w:r>
    </w:p>
    <w:p w14:paraId="4186139A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4FAAE21F" w14:textId="647F09B7" w:rsidR="002A793D" w:rsidRPr="00F567BF" w:rsidRDefault="002A793D" w:rsidP="006D4503">
      <w:pPr>
        <w:ind w:left="1" w:right="-8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Praeputium- és clitorismirigy</w:t>
      </w:r>
      <w:r w:rsidR="001546AB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papillomák/carcinomák kialakulását 30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>kg/nap dózistól kezdődően észlelték, amely megfelel a 400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mg/nap humán expozíció (AUC-n alapuló) körülbelül 0,5-</w:t>
      </w:r>
      <w:r w:rsidR="006D4503">
        <w:rPr>
          <w:rFonts w:ascii="Times New Roman" w:eastAsia="Times New Roman" w:hAnsi="Times New Roman"/>
          <w:sz w:val="22"/>
          <w:szCs w:val="22"/>
        </w:rPr>
        <w:t>szeresének</w:t>
      </w:r>
      <w:r w:rsidRPr="00F567BF">
        <w:rPr>
          <w:rFonts w:ascii="Times New Roman" w:eastAsia="Times New Roman" w:hAnsi="Times New Roman"/>
          <w:sz w:val="22"/>
          <w:szCs w:val="22"/>
        </w:rPr>
        <w:t>, vagy a 800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mg/nap humán expozíció (AUC-n alapuló) körülbelül 0,3-</w:t>
      </w:r>
      <w:r w:rsidR="006D4503">
        <w:rPr>
          <w:rFonts w:ascii="Times New Roman" w:eastAsia="Times New Roman" w:hAnsi="Times New Roman"/>
          <w:sz w:val="22"/>
          <w:szCs w:val="22"/>
        </w:rPr>
        <w:t>szeresének</w:t>
      </w:r>
      <w:r w:rsidRPr="00F567BF">
        <w:rPr>
          <w:rFonts w:ascii="Times New Roman" w:eastAsia="Times New Roman" w:hAnsi="Times New Roman"/>
          <w:sz w:val="22"/>
          <w:szCs w:val="22"/>
        </w:rPr>
        <w:t>, illetve gyermekek</w:t>
      </w:r>
      <w:r w:rsidR="006D4503">
        <w:rPr>
          <w:rFonts w:ascii="Times New Roman" w:eastAsia="Times New Roman" w:hAnsi="Times New Roman"/>
          <w:sz w:val="22"/>
          <w:szCs w:val="22"/>
        </w:rPr>
        <w:t>nél és serdülőknél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340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>/nap expozíció (AUC-n alapuló) 0,4</w:t>
      </w:r>
      <w:r w:rsidR="0067322E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szeresének. A hatás</w:t>
      </w:r>
      <w:r w:rsidR="00660D8A">
        <w:rPr>
          <w:rFonts w:ascii="Times New Roman" w:eastAsia="Times New Roman" w:hAnsi="Times New Roman"/>
          <w:sz w:val="22"/>
          <w:szCs w:val="22"/>
        </w:rPr>
        <w:t>mentes dózis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(NOEL) 15</w:t>
      </w:r>
      <w:r w:rsidR="00B8257E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>kg/nap volt. Veseaden</w:t>
      </w:r>
      <w:r w:rsidR="001546AB">
        <w:rPr>
          <w:rFonts w:ascii="Times New Roman" w:eastAsia="Times New Roman" w:hAnsi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/>
          <w:sz w:val="22"/>
          <w:szCs w:val="22"/>
        </w:rPr>
        <w:t>mát/</w:t>
      </w:r>
      <w:r w:rsidR="005D6E91">
        <w:rPr>
          <w:rFonts w:ascii="Times New Roman" w:eastAsia="Times New Roman" w:hAnsi="Times New Roman"/>
          <w:sz w:val="22"/>
          <w:szCs w:val="22"/>
        </w:rPr>
        <w:t>-k</w:t>
      </w:r>
      <w:r w:rsidRPr="00F567BF">
        <w:rPr>
          <w:rFonts w:ascii="Times New Roman" w:eastAsia="Times New Roman" w:hAnsi="Times New Roman"/>
          <w:sz w:val="22"/>
          <w:szCs w:val="22"/>
        </w:rPr>
        <w:t>arcin</w:t>
      </w:r>
      <w:r w:rsidR="005D6E91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>mát, húgyhólyag- és húgycsőpapill</w:t>
      </w:r>
      <w:r w:rsidR="001546AB">
        <w:rPr>
          <w:rFonts w:ascii="Times New Roman" w:eastAsia="Times New Roman" w:hAnsi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/>
          <w:sz w:val="22"/>
          <w:szCs w:val="22"/>
        </w:rPr>
        <w:t>mát, vékonybél</w:t>
      </w:r>
      <w:r w:rsidR="005D6E91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adeno</w:t>
      </w:r>
      <w:r w:rsidR="005D6E91">
        <w:rPr>
          <w:rFonts w:ascii="Times New Roman" w:eastAsia="Times New Roman" w:hAnsi="Times New Roman"/>
          <w:sz w:val="22"/>
          <w:szCs w:val="22"/>
        </w:rPr>
        <w:t>k</w:t>
      </w:r>
      <w:r w:rsidRPr="00F567BF">
        <w:rPr>
          <w:rFonts w:ascii="Times New Roman" w:eastAsia="Times New Roman" w:hAnsi="Times New Roman"/>
          <w:sz w:val="22"/>
          <w:szCs w:val="22"/>
        </w:rPr>
        <w:t>arcin</w:t>
      </w:r>
      <w:r w:rsidR="005D6E91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>mát, mellékpajzsmirigy</w:t>
      </w:r>
      <w:r w:rsidR="005D6E91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aden</w:t>
      </w:r>
      <w:r w:rsidR="001546AB">
        <w:rPr>
          <w:rFonts w:ascii="Times New Roman" w:eastAsia="Times New Roman" w:hAnsi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/>
          <w:sz w:val="22"/>
          <w:szCs w:val="22"/>
        </w:rPr>
        <w:t>mát, jó- és rosszindulatú medull</w:t>
      </w:r>
      <w:r w:rsidR="001546AB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>ris mellékvese</w:t>
      </w:r>
      <w:r w:rsidR="005D6E91">
        <w:rPr>
          <w:rFonts w:ascii="Times New Roman" w:eastAsia="Times New Roman" w:hAnsi="Times New Roman"/>
          <w:sz w:val="22"/>
          <w:szCs w:val="22"/>
        </w:rPr>
        <w:t>-</w:t>
      </w:r>
      <w:r w:rsidRPr="00F567BF">
        <w:rPr>
          <w:rFonts w:ascii="Times New Roman" w:eastAsia="Times New Roman" w:hAnsi="Times New Roman"/>
          <w:sz w:val="22"/>
          <w:szCs w:val="22"/>
        </w:rPr>
        <w:t>aden</w:t>
      </w:r>
      <w:r w:rsidR="001546AB">
        <w:rPr>
          <w:rFonts w:ascii="Times New Roman" w:eastAsia="Times New Roman" w:hAnsi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/>
          <w:sz w:val="22"/>
          <w:szCs w:val="22"/>
        </w:rPr>
        <w:t>mát, valamint nem</w:t>
      </w:r>
      <w:r w:rsidR="009E1DAB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mirigyes gyomorpapill</w:t>
      </w:r>
      <w:r w:rsidR="001546AB">
        <w:rPr>
          <w:rFonts w:ascii="Times New Roman" w:eastAsia="Times New Roman" w:hAnsi="Times New Roman"/>
          <w:sz w:val="22"/>
          <w:szCs w:val="22"/>
        </w:rPr>
        <w:t>o</w:t>
      </w:r>
      <w:r w:rsidRPr="00F567BF">
        <w:rPr>
          <w:rFonts w:ascii="Times New Roman" w:eastAsia="Times New Roman" w:hAnsi="Times New Roman"/>
          <w:sz w:val="22"/>
          <w:szCs w:val="22"/>
        </w:rPr>
        <w:t>mát/</w:t>
      </w:r>
      <w:r w:rsidR="005D6E91">
        <w:rPr>
          <w:rFonts w:ascii="Times New Roman" w:eastAsia="Times New Roman" w:hAnsi="Times New Roman"/>
          <w:sz w:val="22"/>
          <w:szCs w:val="22"/>
        </w:rPr>
        <w:t>-k</w:t>
      </w:r>
      <w:r w:rsidRPr="00F567BF">
        <w:rPr>
          <w:rFonts w:ascii="Times New Roman" w:eastAsia="Times New Roman" w:hAnsi="Times New Roman"/>
          <w:sz w:val="22"/>
          <w:szCs w:val="22"/>
        </w:rPr>
        <w:t>arcin</w:t>
      </w:r>
      <w:r w:rsidR="005D6E91">
        <w:rPr>
          <w:rFonts w:ascii="Times New Roman" w:eastAsia="Times New Roman" w:hAnsi="Times New Roman"/>
          <w:sz w:val="22"/>
          <w:szCs w:val="22"/>
        </w:rPr>
        <w:t>ó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mát </w:t>
      </w:r>
      <w:r w:rsidR="006D4503" w:rsidRPr="00F567BF">
        <w:rPr>
          <w:rFonts w:ascii="Times New Roman" w:eastAsia="Times New Roman" w:hAnsi="Times New Roman"/>
          <w:sz w:val="22"/>
          <w:szCs w:val="22"/>
        </w:rPr>
        <w:t xml:space="preserve">figyeltek meg </w:t>
      </w:r>
      <w:r w:rsidRPr="00F567BF">
        <w:rPr>
          <w:rFonts w:ascii="Times New Roman" w:eastAsia="Times New Roman" w:hAnsi="Times New Roman"/>
          <w:sz w:val="22"/>
          <w:szCs w:val="22"/>
        </w:rPr>
        <w:t>60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>kg/nap dózisnál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, amely megfelel a 400 vagy 800 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mg/nap humán expozíció (AUC-n alapuló) körülbelül 1,7- vagy 1-szeresének, illetve </w:t>
      </w:r>
      <w:r w:rsidR="006D4503">
        <w:rPr>
          <w:rFonts w:ascii="Times New Roman" w:eastAsia="Times New Roman" w:hAnsi="Times New Roman"/>
          <w:sz w:val="22"/>
          <w:szCs w:val="22"/>
        </w:rPr>
        <w:t>gyermekeknél és serdülőknél</w:t>
      </w:r>
      <w:r w:rsidR="006D4503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>a 340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 </w:t>
      </w:r>
      <w:r w:rsidRPr="00F567BF">
        <w:rPr>
          <w:rFonts w:ascii="Times New Roman" w:eastAsia="Times New Roman" w:hAnsi="Times New Roman"/>
          <w:sz w:val="22"/>
          <w:szCs w:val="22"/>
        </w:rPr>
        <w:t>mg/m</w:t>
      </w:r>
      <w:r w:rsidRPr="00F567BF">
        <w:rPr>
          <w:rFonts w:ascii="Times New Roman" w:eastAsia="Times New Roman" w:hAnsi="Times New Roman"/>
          <w:sz w:val="22"/>
          <w:szCs w:val="22"/>
          <w:vertAlign w:val="superscript"/>
        </w:rPr>
        <w:t>2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/nap expozíció (AUC-n alapuló) 1,2-szeresének. A 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>hatás</w:t>
      </w:r>
      <w:r w:rsidR="00FD5FCC">
        <w:rPr>
          <w:rFonts w:ascii="Times New Roman" w:eastAsia="Times New Roman" w:hAnsi="Times New Roman"/>
          <w:sz w:val="22"/>
          <w:szCs w:val="22"/>
        </w:rPr>
        <w:t>mentes dózis</w:t>
      </w:r>
      <w:r w:rsidR="00172801" w:rsidRPr="00F567BF">
        <w:rPr>
          <w:rFonts w:ascii="Times New Roman" w:eastAsia="Times New Roman" w:hAnsi="Times New Roman"/>
          <w:sz w:val="22"/>
          <w:szCs w:val="22"/>
        </w:rPr>
        <w:t xml:space="preserve"> (NOEL) 30 </w:t>
      </w:r>
      <w:r w:rsidRPr="00F567BF">
        <w:rPr>
          <w:rFonts w:ascii="Times New Roman" w:eastAsia="Times New Roman" w:hAnsi="Times New Roman"/>
          <w:sz w:val="22"/>
          <w:szCs w:val="22"/>
        </w:rPr>
        <w:t>mg/</w:t>
      </w:r>
      <w:r w:rsidR="006D4503">
        <w:rPr>
          <w:rFonts w:ascii="Times New Roman" w:eastAsia="Times New Roman" w:hAnsi="Times New Roman"/>
          <w:sz w:val="22"/>
          <w:szCs w:val="22"/>
        </w:rPr>
        <w:t>tt</w:t>
      </w:r>
      <w:r w:rsidRPr="00F567BF">
        <w:rPr>
          <w:rFonts w:ascii="Times New Roman" w:eastAsia="Times New Roman" w:hAnsi="Times New Roman"/>
          <w:sz w:val="22"/>
          <w:szCs w:val="22"/>
        </w:rPr>
        <w:t>kg/nap volt.</w:t>
      </w:r>
    </w:p>
    <w:p w14:paraId="69B19DAB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DFAA43A" w14:textId="77777777" w:rsidR="002A793D" w:rsidRPr="00F567BF" w:rsidRDefault="002A793D" w:rsidP="00C245EF">
      <w:pPr>
        <w:ind w:left="1" w:right="320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Még nem tisztázott, hogy a patkány karcinogenitási vizsgálat megállapításainak jelentősége, illetve ezek mechanizmusa vonatkoztatható-e emberre.</w:t>
      </w:r>
    </w:p>
    <w:p w14:paraId="737B2F9E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57DEA57A" w14:textId="77777777" w:rsidR="002A793D" w:rsidRPr="00F567BF" w:rsidRDefault="002A793D" w:rsidP="00C245EF">
      <w:pPr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nem daganatos </w:t>
      </w:r>
      <w:r w:rsidR="002D7236">
        <w:rPr>
          <w:rFonts w:ascii="Times New Roman" w:eastAsia="Times New Roman" w:hAnsi="Times New Roman"/>
          <w:sz w:val="22"/>
          <w:szCs w:val="22"/>
        </w:rPr>
        <w:t>elváltozások</w:t>
      </w:r>
      <w:r w:rsidR="002D7236" w:rsidRPr="00F567BF">
        <w:rPr>
          <w:rFonts w:ascii="Times New Roman" w:eastAsia="Times New Roman" w:hAnsi="Times New Roman"/>
          <w:sz w:val="22"/>
          <w:szCs w:val="22"/>
        </w:rPr>
        <w:t xml:space="preserve"> 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– </w:t>
      </w:r>
      <w:r w:rsidR="002D7236">
        <w:rPr>
          <w:rFonts w:ascii="Times New Roman" w:eastAsia="Times New Roman" w:hAnsi="Times New Roman"/>
          <w:sz w:val="22"/>
          <w:szCs w:val="22"/>
        </w:rPr>
        <w:t>a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melyeket a korábbi preklinikai vizsgálatok során nem </w:t>
      </w:r>
      <w:r w:rsidR="002D7236">
        <w:rPr>
          <w:rFonts w:ascii="Times New Roman" w:eastAsia="Times New Roman" w:hAnsi="Times New Roman"/>
          <w:sz w:val="22"/>
          <w:szCs w:val="22"/>
        </w:rPr>
        <w:t>azonosítottak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– a cardiovascularis rendszert, a hasnyálmirigyet, az endokrin szerveket és a fogakat érintették. A legfontosabb elváltozások között volt a cardialis hypertrophia és dilatatio, melyek néhány állat</w:t>
      </w:r>
      <w:r w:rsidR="002D7236">
        <w:rPr>
          <w:rFonts w:ascii="Times New Roman" w:eastAsia="Times New Roman" w:hAnsi="Times New Roman"/>
          <w:sz w:val="22"/>
          <w:szCs w:val="22"/>
        </w:rPr>
        <w:t>nál</w:t>
      </w:r>
      <w:r w:rsidRPr="00F567BF">
        <w:rPr>
          <w:rFonts w:ascii="Times New Roman" w:eastAsia="Times New Roman" w:hAnsi="Times New Roman"/>
          <w:sz w:val="22"/>
          <w:szCs w:val="22"/>
        </w:rPr>
        <w:t xml:space="preserve"> a szívelégtelenség jeleinek kialakulásához vezettek.</w:t>
      </w:r>
    </w:p>
    <w:p w14:paraId="137F1483" w14:textId="77777777" w:rsidR="002A793D" w:rsidRPr="00F567BF" w:rsidRDefault="002A793D" w:rsidP="00C245EF">
      <w:pPr>
        <w:rPr>
          <w:rFonts w:ascii="Times New Roman" w:eastAsia="Times New Roman" w:hAnsi="Times New Roman"/>
          <w:sz w:val="22"/>
          <w:szCs w:val="22"/>
        </w:rPr>
      </w:pPr>
    </w:p>
    <w:p w14:paraId="0D429B3E" w14:textId="78A4920F" w:rsidR="002A793D" w:rsidRPr="00F567BF" w:rsidRDefault="002A793D" w:rsidP="00C245EF">
      <w:pPr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Az imatinib hatóanyag környezeti kockázatot jelent az üledék</w:t>
      </w:r>
      <w:r w:rsidR="004220B0">
        <w:rPr>
          <w:rFonts w:ascii="Times New Roman" w:eastAsia="Times New Roman" w:hAnsi="Times New Roman"/>
          <w:sz w:val="22"/>
          <w:szCs w:val="22"/>
        </w:rPr>
        <w:t>lakó organizmusokra</w:t>
      </w:r>
      <w:r w:rsidRPr="00F567BF">
        <w:rPr>
          <w:rFonts w:ascii="Times New Roman" w:eastAsia="Times New Roman" w:hAnsi="Times New Roman"/>
          <w:sz w:val="22"/>
          <w:szCs w:val="22"/>
        </w:rPr>
        <w:t>.</w:t>
      </w:r>
    </w:p>
    <w:p w14:paraId="4F4A4F19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70C9470C" w14:textId="77777777" w:rsidR="00FE083B" w:rsidRPr="009E1DAB" w:rsidRDefault="00FE083B" w:rsidP="00B8257E">
      <w:pPr>
        <w:rPr>
          <w:rFonts w:ascii="Times New Roman" w:eastAsia="Times New Roman" w:hAnsi="Times New Roman"/>
          <w:sz w:val="22"/>
          <w:szCs w:val="22"/>
        </w:rPr>
      </w:pPr>
    </w:p>
    <w:p w14:paraId="74B796CF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GYÓGYSZERÉSZETI JELLEMZŐK</w:t>
      </w:r>
    </w:p>
    <w:p w14:paraId="4221825A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1A9299FA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6.1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Segédanyagok felsorolása</w:t>
      </w:r>
    </w:p>
    <w:p w14:paraId="0529D926" w14:textId="77777777" w:rsidR="00FE083B" w:rsidRPr="00F567BF" w:rsidRDefault="00FE083B" w:rsidP="00B8257E">
      <w:pPr>
        <w:tabs>
          <w:tab w:val="left" w:pos="567"/>
        </w:tabs>
        <w:rPr>
          <w:rFonts w:ascii="Times New Roman" w:eastAsia="Times New Roman" w:hAnsi="Times New Roman" w:cs="Times New Roman"/>
          <w:noProof/>
          <w:sz w:val="22"/>
          <w:szCs w:val="22"/>
          <w:lang w:eastAsia="en-US"/>
        </w:rPr>
      </w:pPr>
    </w:p>
    <w:p w14:paraId="317C4BAA" w14:textId="77777777" w:rsidR="006265C9" w:rsidRPr="00F567BF" w:rsidRDefault="002A793D" w:rsidP="006265C9">
      <w:pPr>
        <w:ind w:right="4860"/>
        <w:rPr>
          <w:rFonts w:ascii="Times New Roman" w:eastAsia="Times New Roman" w:hAnsi="Times New Roman"/>
          <w:sz w:val="22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t>Kapszula</w:t>
      </w:r>
      <w:r w:rsidR="00AF7A19">
        <w:rPr>
          <w:rFonts w:ascii="Times New Roman" w:eastAsia="Times New Roman" w:hAnsi="Times New Roman"/>
          <w:sz w:val="22"/>
          <w:u w:val="single"/>
        </w:rPr>
        <w:t>töltet</w:t>
      </w:r>
    </w:p>
    <w:p w14:paraId="086F8FD4" w14:textId="5C844ED2" w:rsidR="006265C9" w:rsidRPr="00F567BF" w:rsidRDefault="001546AB" w:rsidP="006265C9">
      <w:pPr>
        <w:ind w:right="48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</w:t>
      </w:r>
      <w:r w:rsidR="002A793D" w:rsidRPr="00F567BF">
        <w:rPr>
          <w:rFonts w:ascii="Times New Roman" w:eastAsia="Times New Roman" w:hAnsi="Times New Roman"/>
          <w:sz w:val="22"/>
        </w:rPr>
        <w:t>roszpovidon</w:t>
      </w:r>
      <w:r w:rsidR="006265C9" w:rsidRPr="00F567BF">
        <w:rPr>
          <w:rFonts w:ascii="Times New Roman" w:eastAsia="Times New Roman" w:hAnsi="Times New Roman"/>
          <w:sz w:val="22"/>
        </w:rPr>
        <w:t xml:space="preserve"> (A)</w:t>
      </w:r>
    </w:p>
    <w:p w14:paraId="3AED6E0A" w14:textId="5AD0B46A" w:rsidR="006265C9" w:rsidRPr="00F567BF" w:rsidRDefault="001546AB" w:rsidP="006265C9">
      <w:pPr>
        <w:ind w:right="48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l</w:t>
      </w:r>
      <w:r w:rsidR="006265C9" w:rsidRPr="00F567BF">
        <w:rPr>
          <w:rFonts w:ascii="Times New Roman" w:eastAsia="Times New Roman" w:hAnsi="Times New Roman"/>
          <w:sz w:val="22"/>
        </w:rPr>
        <w:t>aktóz-monohidrát</w:t>
      </w:r>
    </w:p>
    <w:p w14:paraId="41A34E0C" w14:textId="13A63674" w:rsidR="002A793D" w:rsidRPr="00F567BF" w:rsidRDefault="001546AB" w:rsidP="006265C9">
      <w:pPr>
        <w:ind w:right="48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m</w:t>
      </w:r>
      <w:r w:rsidR="006265C9" w:rsidRPr="00F567BF">
        <w:rPr>
          <w:rFonts w:ascii="Times New Roman" w:eastAsia="Times New Roman" w:hAnsi="Times New Roman"/>
          <w:sz w:val="22"/>
        </w:rPr>
        <w:t>agnézium-sztearát</w:t>
      </w:r>
    </w:p>
    <w:p w14:paraId="30F60916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69C76BF4" w14:textId="77777777" w:rsidR="006265C9" w:rsidRPr="00F567BF" w:rsidRDefault="002A793D" w:rsidP="00B8257E">
      <w:pPr>
        <w:tabs>
          <w:tab w:val="left" w:pos="1961"/>
        </w:tabs>
        <w:ind w:left="1"/>
        <w:rPr>
          <w:rFonts w:ascii="Times New Roman" w:eastAsia="Times New Roman" w:hAnsi="Times New Roman"/>
          <w:u w:val="single"/>
        </w:rPr>
      </w:pPr>
      <w:r w:rsidRPr="00F567BF">
        <w:rPr>
          <w:rFonts w:ascii="Times New Roman" w:eastAsia="Times New Roman" w:hAnsi="Times New Roman"/>
          <w:sz w:val="22"/>
          <w:u w:val="single"/>
        </w:rPr>
        <w:lastRenderedPageBreak/>
        <w:t>Kapszula</w:t>
      </w:r>
      <w:r w:rsidR="00AF7A19">
        <w:rPr>
          <w:rFonts w:ascii="Times New Roman" w:eastAsia="Times New Roman" w:hAnsi="Times New Roman"/>
          <w:sz w:val="22"/>
          <w:u w:val="single"/>
        </w:rPr>
        <w:t>héj</w:t>
      </w:r>
    </w:p>
    <w:p w14:paraId="22855D1D" w14:textId="6A83C1DA" w:rsidR="002A793D" w:rsidRPr="00F567BF" w:rsidRDefault="001546AB" w:rsidP="00B8257E">
      <w:pPr>
        <w:tabs>
          <w:tab w:val="left" w:pos="1961"/>
        </w:tabs>
        <w:ind w:left="1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z</w:t>
      </w:r>
      <w:r w:rsidR="006265C9" w:rsidRPr="00F567BF">
        <w:rPr>
          <w:rFonts w:ascii="Times New Roman" w:eastAsia="Times New Roman" w:hAnsi="Times New Roman"/>
          <w:sz w:val="22"/>
          <w:szCs w:val="22"/>
        </w:rPr>
        <w:t>selatin</w:t>
      </w:r>
    </w:p>
    <w:p w14:paraId="7151E378" w14:textId="5BB0AD7F" w:rsidR="006265C9" w:rsidRPr="00F567BF" w:rsidRDefault="001546AB" w:rsidP="006265C9">
      <w:pPr>
        <w:ind w:right="504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s</w:t>
      </w:r>
      <w:r w:rsidR="006265C9" w:rsidRPr="00F567BF">
        <w:rPr>
          <w:rFonts w:ascii="Times New Roman" w:eastAsia="Times New Roman" w:hAnsi="Times New Roman"/>
          <w:sz w:val="22"/>
          <w:szCs w:val="22"/>
        </w:rPr>
        <w:t>árga vas-oxid (E172)</w:t>
      </w:r>
    </w:p>
    <w:p w14:paraId="6D906CCD" w14:textId="23FCD128" w:rsidR="002A793D" w:rsidRPr="00F567BF" w:rsidRDefault="001546AB" w:rsidP="006265C9">
      <w:pPr>
        <w:ind w:right="504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t</w:t>
      </w:r>
      <w:r w:rsidR="006265C9" w:rsidRPr="00F567BF">
        <w:rPr>
          <w:rFonts w:ascii="Times New Roman" w:eastAsia="Times New Roman" w:hAnsi="Times New Roman"/>
          <w:sz w:val="22"/>
          <w:szCs w:val="22"/>
        </w:rPr>
        <w:t>itán-dioxid (E171)</w:t>
      </w:r>
    </w:p>
    <w:p w14:paraId="58AAD833" w14:textId="34F0B436" w:rsidR="006265C9" w:rsidRPr="00F567BF" w:rsidRDefault="001546AB" w:rsidP="006265C9">
      <w:pPr>
        <w:ind w:right="504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v</w:t>
      </w:r>
      <w:r w:rsidR="006265C9" w:rsidRPr="00F567BF">
        <w:rPr>
          <w:rFonts w:ascii="Times New Roman" w:eastAsia="Times New Roman" w:hAnsi="Times New Roman"/>
          <w:sz w:val="22"/>
          <w:szCs w:val="22"/>
        </w:rPr>
        <w:t>örös vas-oxid (E172)</w:t>
      </w:r>
    </w:p>
    <w:p w14:paraId="2D3513BD" w14:textId="113E5CCD" w:rsidR="006265C9" w:rsidRPr="0026475D" w:rsidRDefault="001546AB" w:rsidP="006265C9">
      <w:pPr>
        <w:ind w:right="-111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(a </w:t>
      </w:r>
      <w:r w:rsidR="007D13D5" w:rsidRPr="0026475D">
        <w:rPr>
          <w:rFonts w:ascii="Times New Roman" w:eastAsia="Times New Roman" w:hAnsi="Times New Roman"/>
          <w:sz w:val="22"/>
          <w:szCs w:val="22"/>
        </w:rPr>
        <w:t>Latib</w:t>
      </w:r>
      <w:r w:rsidR="006265C9" w:rsidRPr="0026475D">
        <w:rPr>
          <w:rFonts w:ascii="Times New Roman" w:eastAsia="Times New Roman" w:hAnsi="Times New Roman"/>
          <w:sz w:val="22"/>
          <w:szCs w:val="22"/>
        </w:rPr>
        <w:t xml:space="preserve"> 400 mg kemény kapszula</w:t>
      </w:r>
      <w:r>
        <w:rPr>
          <w:rFonts w:ascii="Times New Roman" w:eastAsia="Times New Roman" w:hAnsi="Times New Roman"/>
          <w:sz w:val="22"/>
          <w:szCs w:val="22"/>
        </w:rPr>
        <w:t xml:space="preserve"> esetén</w:t>
      </w:r>
      <w:r w:rsidR="006265C9" w:rsidRPr="0026475D">
        <w:rPr>
          <w:rFonts w:ascii="Times New Roman" w:eastAsia="Times New Roman" w:hAnsi="Times New Roman"/>
          <w:sz w:val="22"/>
          <w:szCs w:val="22"/>
        </w:rPr>
        <w:t>:</w:t>
      </w:r>
      <w:r>
        <w:rPr>
          <w:rFonts w:ascii="Times New Roman" w:eastAsia="Times New Roman" w:hAnsi="Times New Roman"/>
          <w:sz w:val="22"/>
          <w:szCs w:val="22"/>
        </w:rPr>
        <w:t>)</w:t>
      </w:r>
      <w:r w:rsidR="006265C9" w:rsidRPr="0026475D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>f</w:t>
      </w:r>
      <w:r w:rsidR="006265C9" w:rsidRPr="0026475D">
        <w:rPr>
          <w:rFonts w:ascii="Times New Roman" w:eastAsia="Times New Roman" w:hAnsi="Times New Roman"/>
          <w:sz w:val="22"/>
          <w:szCs w:val="22"/>
        </w:rPr>
        <w:t>ekete vas-oxid (E172)</w:t>
      </w:r>
    </w:p>
    <w:p w14:paraId="6843131F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704187D1" w14:textId="77777777" w:rsidR="00FE083B" w:rsidRPr="00F567BF" w:rsidRDefault="00FE083B" w:rsidP="002D7236">
      <w:pPr>
        <w:keepNext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6.2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Inkompatibilitások</w:t>
      </w:r>
    </w:p>
    <w:p w14:paraId="1D044AEC" w14:textId="77777777" w:rsidR="002A793D" w:rsidRPr="009E1DAB" w:rsidRDefault="002A793D" w:rsidP="002D7236">
      <w:pPr>
        <w:keepNext/>
        <w:rPr>
          <w:rFonts w:ascii="Times New Roman" w:eastAsia="Times New Roman" w:hAnsi="Times New Roman"/>
          <w:sz w:val="22"/>
          <w:szCs w:val="22"/>
        </w:rPr>
      </w:pPr>
    </w:p>
    <w:p w14:paraId="48BB0C16" w14:textId="77777777" w:rsidR="002A793D" w:rsidRPr="00F567BF" w:rsidRDefault="002A793D" w:rsidP="002D7236">
      <w:pPr>
        <w:keepNext/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Nem értelmezhető.</w:t>
      </w:r>
    </w:p>
    <w:p w14:paraId="4ACB855A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7CC7B3F8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6.3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Felhasználhatósági időtartam</w:t>
      </w:r>
    </w:p>
    <w:p w14:paraId="14502EFA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6326E64A" w14:textId="77777777" w:rsidR="002A793D" w:rsidRPr="00F567BF" w:rsidRDefault="002D5A81" w:rsidP="00B8257E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30</w:t>
      </w:r>
      <w:r w:rsidR="001C3778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Times New Roman" w:eastAsia="Times New Roman" w:hAnsi="Times New Roman"/>
          <w:sz w:val="22"/>
        </w:rPr>
        <w:t>hónap</w:t>
      </w:r>
      <w:r w:rsidR="001B1F88">
        <w:rPr>
          <w:rFonts w:ascii="Times New Roman" w:eastAsia="Times New Roman" w:hAnsi="Times New Roman"/>
          <w:sz w:val="22"/>
        </w:rPr>
        <w:t>.</w:t>
      </w:r>
    </w:p>
    <w:p w14:paraId="665D8AEF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2DA7DBCD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bookmarkStart w:id="27" w:name="page69"/>
      <w:bookmarkEnd w:id="27"/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6.4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Különleges tárolási előírások</w:t>
      </w:r>
    </w:p>
    <w:p w14:paraId="1BA80D4F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19134E44" w14:textId="77777777" w:rsidR="002A793D" w:rsidRPr="00F567BF" w:rsidRDefault="002A793D" w:rsidP="00B8257E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Legfeljebb 30</w:t>
      </w:r>
      <w:r w:rsidR="009E1DAB">
        <w:rPr>
          <w:rFonts w:ascii="Times New Roman" w:eastAsia="Times New Roman" w:hAnsi="Times New Roman"/>
          <w:sz w:val="22"/>
        </w:rPr>
        <w:t> </w:t>
      </w:r>
      <w:r w:rsidRPr="00F567BF">
        <w:rPr>
          <w:rFonts w:ascii="Symbol" w:eastAsia="Symbol" w:hAnsi="Symbol"/>
          <w:sz w:val="22"/>
        </w:rPr>
        <w:t></w:t>
      </w:r>
      <w:r w:rsidRPr="00F567BF">
        <w:rPr>
          <w:rFonts w:ascii="Times New Roman" w:eastAsia="Times New Roman" w:hAnsi="Times New Roman"/>
          <w:sz w:val="22"/>
        </w:rPr>
        <w:t>C-on tárolandó.</w:t>
      </w:r>
    </w:p>
    <w:p w14:paraId="14AE53E2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7ED4BC05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6.5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 xml:space="preserve">Csomagolás típusa és kiszerelése </w:t>
      </w:r>
    </w:p>
    <w:p w14:paraId="423E117D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6231C40C" w14:textId="77777777" w:rsidR="002A793D" w:rsidRPr="00F567BF" w:rsidRDefault="002D5A81" w:rsidP="00B8257E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PA-Alumínium/PVC//Alumínium</w:t>
      </w:r>
      <w:r w:rsidR="002A793D" w:rsidRPr="00F567BF">
        <w:rPr>
          <w:rFonts w:ascii="Times New Roman" w:eastAsia="Times New Roman" w:hAnsi="Times New Roman"/>
          <w:sz w:val="22"/>
        </w:rPr>
        <w:t xml:space="preserve"> buborékcsomagolás.</w:t>
      </w:r>
    </w:p>
    <w:p w14:paraId="2A3ADFD2" w14:textId="77777777" w:rsidR="002A793D" w:rsidRPr="009E1DAB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2FA93E80" w14:textId="77777777" w:rsidR="002A793D" w:rsidRPr="00F567BF" w:rsidRDefault="007D13D5" w:rsidP="00B8257E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Latib</w:t>
      </w:r>
      <w:r w:rsidR="002D5A81" w:rsidRPr="00F567BF">
        <w:rPr>
          <w:rFonts w:ascii="Times New Roman" w:eastAsia="Times New Roman" w:hAnsi="Times New Roman"/>
          <w:sz w:val="22"/>
        </w:rPr>
        <w:t xml:space="preserve"> 100 mg kemény kapszula: 30, 60, 100, 120 vagy 180</w:t>
      </w:r>
      <w:r w:rsidR="0093010F">
        <w:rPr>
          <w:rFonts w:ascii="Times New Roman" w:eastAsia="Times New Roman" w:hAnsi="Times New Roman"/>
          <w:sz w:val="22"/>
        </w:rPr>
        <w:t> </w:t>
      </w:r>
      <w:r w:rsidR="002D5A81" w:rsidRPr="00F567BF">
        <w:rPr>
          <w:rFonts w:ascii="Times New Roman" w:eastAsia="Times New Roman" w:hAnsi="Times New Roman"/>
          <w:sz w:val="22"/>
        </w:rPr>
        <w:t>d</w:t>
      </w:r>
      <w:r w:rsidR="001C3778">
        <w:rPr>
          <w:rFonts w:ascii="Times New Roman" w:eastAsia="Times New Roman" w:hAnsi="Times New Roman"/>
          <w:sz w:val="22"/>
        </w:rPr>
        <w:t>ara</w:t>
      </w:r>
      <w:r w:rsidR="002D5A81" w:rsidRPr="00F567BF">
        <w:rPr>
          <w:rFonts w:ascii="Times New Roman" w:eastAsia="Times New Roman" w:hAnsi="Times New Roman"/>
          <w:sz w:val="22"/>
        </w:rPr>
        <w:t>b kemény kapszula</w:t>
      </w:r>
      <w:r w:rsidR="002A793D" w:rsidRPr="00F567BF">
        <w:rPr>
          <w:rFonts w:ascii="Times New Roman" w:eastAsia="Times New Roman" w:hAnsi="Times New Roman"/>
          <w:sz w:val="22"/>
        </w:rPr>
        <w:t>.</w:t>
      </w:r>
    </w:p>
    <w:p w14:paraId="0ACF8BB8" w14:textId="77777777" w:rsidR="002A793D" w:rsidRPr="0026475D" w:rsidRDefault="007D13D5" w:rsidP="00B8257E">
      <w:pPr>
        <w:rPr>
          <w:rFonts w:ascii="Times New Roman" w:eastAsia="Times New Roman" w:hAnsi="Times New Roman"/>
          <w:sz w:val="22"/>
        </w:rPr>
      </w:pPr>
      <w:r w:rsidRPr="0026475D">
        <w:rPr>
          <w:rFonts w:ascii="Times New Roman" w:eastAsia="Times New Roman" w:hAnsi="Times New Roman"/>
          <w:sz w:val="22"/>
        </w:rPr>
        <w:t>Latib</w:t>
      </w:r>
      <w:r w:rsidR="002D5A81" w:rsidRPr="0026475D">
        <w:rPr>
          <w:rFonts w:ascii="Times New Roman" w:eastAsia="Times New Roman" w:hAnsi="Times New Roman"/>
          <w:sz w:val="22"/>
        </w:rPr>
        <w:t xml:space="preserve"> 400 mg kemény kapszula: 10, 30, 90 vagy 100</w:t>
      </w:r>
      <w:r w:rsidR="0093010F" w:rsidRPr="0026475D">
        <w:rPr>
          <w:rFonts w:ascii="Times New Roman" w:eastAsia="Times New Roman" w:hAnsi="Times New Roman"/>
          <w:sz w:val="22"/>
        </w:rPr>
        <w:t> </w:t>
      </w:r>
      <w:r w:rsidR="002D5A81" w:rsidRPr="0026475D">
        <w:rPr>
          <w:rFonts w:ascii="Times New Roman" w:eastAsia="Times New Roman" w:hAnsi="Times New Roman"/>
          <w:sz w:val="22"/>
        </w:rPr>
        <w:t>d</w:t>
      </w:r>
      <w:r w:rsidR="001C3778" w:rsidRPr="0026475D">
        <w:rPr>
          <w:rFonts w:ascii="Times New Roman" w:eastAsia="Times New Roman" w:hAnsi="Times New Roman"/>
          <w:sz w:val="22"/>
        </w:rPr>
        <w:t>ara</w:t>
      </w:r>
      <w:r w:rsidR="002D5A81" w:rsidRPr="0026475D">
        <w:rPr>
          <w:rFonts w:ascii="Times New Roman" w:eastAsia="Times New Roman" w:hAnsi="Times New Roman"/>
          <w:sz w:val="22"/>
        </w:rPr>
        <w:t>b kemény kapszula.</w:t>
      </w:r>
    </w:p>
    <w:p w14:paraId="572FD5CD" w14:textId="77777777" w:rsidR="002D5A81" w:rsidRPr="00F567BF" w:rsidRDefault="002D5A81" w:rsidP="00B8257E">
      <w:pPr>
        <w:ind w:left="1"/>
        <w:rPr>
          <w:rFonts w:ascii="Times New Roman" w:eastAsia="Times New Roman" w:hAnsi="Times New Roman"/>
          <w:sz w:val="22"/>
        </w:rPr>
      </w:pPr>
    </w:p>
    <w:p w14:paraId="612A1002" w14:textId="77777777" w:rsidR="002A793D" w:rsidRPr="00F567BF" w:rsidRDefault="002A793D" w:rsidP="00B8257E">
      <w:pPr>
        <w:ind w:left="1"/>
        <w:rPr>
          <w:rFonts w:ascii="Times New Roman" w:eastAsia="Times New Roman" w:hAnsi="Times New Roman"/>
          <w:sz w:val="22"/>
        </w:rPr>
      </w:pPr>
      <w:r w:rsidRPr="00F567BF">
        <w:rPr>
          <w:rFonts w:ascii="Times New Roman" w:eastAsia="Times New Roman" w:hAnsi="Times New Roman"/>
          <w:sz w:val="22"/>
        </w:rPr>
        <w:t>Nem feltétlenül mindegyik kiszerelés kerül kereskedelmi forgalomba.</w:t>
      </w:r>
    </w:p>
    <w:p w14:paraId="25B50434" w14:textId="77777777" w:rsidR="002A793D" w:rsidRPr="00862C54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2C6F12D0" w14:textId="77777777" w:rsidR="002A793D" w:rsidRPr="00F567BF" w:rsidRDefault="00FE083B" w:rsidP="00B8257E">
      <w:pPr>
        <w:rPr>
          <w:rFonts w:ascii="Times New Roman" w:eastAsia="Times New Roman" w:hAnsi="Times New Roman"/>
          <w:b/>
          <w:sz w:val="22"/>
        </w:rPr>
      </w:pPr>
      <w:r w:rsidRPr="00F567BF">
        <w:rPr>
          <w:rFonts w:ascii="Times New Roman" w:eastAsia="Times New Roman" w:hAnsi="Times New Roman"/>
          <w:b/>
          <w:sz w:val="22"/>
        </w:rPr>
        <w:t>6.6</w:t>
      </w:r>
      <w:r w:rsidRPr="00F567BF">
        <w:rPr>
          <w:rFonts w:ascii="Times New Roman" w:eastAsia="Times New Roman" w:hAnsi="Times New Roman"/>
          <w:b/>
          <w:sz w:val="22"/>
        </w:rPr>
        <w:tab/>
        <w:t xml:space="preserve">A megsemmisítésre vonatkozó különleges óvintézkedések </w:t>
      </w:r>
    </w:p>
    <w:p w14:paraId="3C3179D3" w14:textId="77777777" w:rsidR="00FE083B" w:rsidRPr="00F567BF" w:rsidRDefault="00FE083B" w:rsidP="00B8257E">
      <w:pPr>
        <w:rPr>
          <w:rFonts w:ascii="Times New Roman" w:eastAsia="Times New Roman" w:hAnsi="Times New Roman"/>
          <w:sz w:val="22"/>
          <w:szCs w:val="22"/>
        </w:rPr>
      </w:pPr>
    </w:p>
    <w:p w14:paraId="511B5956" w14:textId="77777777" w:rsidR="002A793D" w:rsidRPr="00F567BF" w:rsidRDefault="002A793D" w:rsidP="00B8257E">
      <w:pPr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13F0F3C" w14:textId="77777777" w:rsidR="002A793D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0B384638" w14:textId="77777777" w:rsidR="00EC7530" w:rsidRPr="003C554E" w:rsidRDefault="00EC7530" w:rsidP="00EC7530">
      <w:pPr>
        <w:rPr>
          <w:rFonts w:ascii="Times New Roman" w:eastAsia="Times New Roman" w:hAnsi="Times New Roman"/>
          <w:sz w:val="22"/>
          <w:szCs w:val="22"/>
        </w:rPr>
      </w:pPr>
      <w:r w:rsidRPr="003C554E">
        <w:rPr>
          <w:rFonts w:ascii="Times New Roman" w:eastAsia="Times New Roman" w:hAnsi="Times New Roman"/>
          <w:b/>
          <w:sz w:val="22"/>
          <w:szCs w:val="22"/>
        </w:rPr>
        <w:t>Megjegyzés:</w:t>
      </w:r>
      <w:r w:rsidRPr="003C554E">
        <w:rPr>
          <w:rFonts w:ascii="Times New Roman" w:eastAsia="Times New Roman" w:hAnsi="Times New Roman"/>
          <w:sz w:val="22"/>
          <w:szCs w:val="22"/>
        </w:rPr>
        <w:t xml:space="preserve"> </w:t>
      </w:r>
      <w:r w:rsidRPr="00EC7530">
        <w:rPr>
          <w:rFonts w:ascii="Times New Roman" w:eastAsia="Times New Roman" w:hAnsi="Times New Roman"/>
          <w:sz w:val="22"/>
          <w:szCs w:val="22"/>
          <w:lang w:val="en-GB"/>
        </w:rPr>
        <w:sym w:font="Wingdings" w:char="F058"/>
      </w:r>
      <w:r w:rsidRPr="00EC7530">
        <w:rPr>
          <w:rFonts w:ascii="Times New Roman" w:eastAsia="Times New Roman" w:hAnsi="Times New Roman"/>
          <w:sz w:val="22"/>
          <w:szCs w:val="22"/>
          <w:lang w:val="en-GB"/>
        </w:rPr>
        <w:sym w:font="Wingdings" w:char="F058"/>
      </w:r>
      <w:r w:rsidRPr="003C554E">
        <w:rPr>
          <w:rFonts w:ascii="Times New Roman" w:eastAsia="Times New Roman" w:hAnsi="Times New Roman"/>
          <w:sz w:val="22"/>
          <w:szCs w:val="22"/>
        </w:rPr>
        <w:t xml:space="preserve"> (két keresztes)</w:t>
      </w:r>
    </w:p>
    <w:p w14:paraId="08EA8885" w14:textId="77777777" w:rsidR="00EC7530" w:rsidRPr="003C554E" w:rsidRDefault="00EC7530" w:rsidP="00EC7530">
      <w:pPr>
        <w:rPr>
          <w:rFonts w:ascii="Times New Roman" w:eastAsia="Times New Roman" w:hAnsi="Times New Roman"/>
          <w:b/>
          <w:sz w:val="22"/>
          <w:szCs w:val="22"/>
        </w:rPr>
      </w:pPr>
      <w:r w:rsidRPr="003C554E">
        <w:rPr>
          <w:rFonts w:ascii="Times New Roman" w:eastAsia="Times New Roman" w:hAnsi="Times New Roman"/>
          <w:b/>
          <w:sz w:val="22"/>
          <w:szCs w:val="22"/>
        </w:rPr>
        <w:t>Osztályozás: II./2 csoport</w:t>
      </w:r>
    </w:p>
    <w:p w14:paraId="2884164F" w14:textId="77777777" w:rsidR="00EC7530" w:rsidRPr="003C554E" w:rsidRDefault="00EC7530" w:rsidP="00EC7530">
      <w:pPr>
        <w:rPr>
          <w:rFonts w:ascii="Times New Roman" w:eastAsia="Times New Roman" w:hAnsi="Times New Roman"/>
          <w:sz w:val="22"/>
          <w:szCs w:val="22"/>
        </w:rPr>
      </w:pPr>
      <w:r w:rsidRPr="003C554E">
        <w:rPr>
          <w:rFonts w:ascii="Times New Roman" w:eastAsia="Times New Roman" w:hAnsi="Times New Roman"/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6E588CD1" w14:textId="77777777" w:rsidR="00EC7530" w:rsidRPr="00F567BF" w:rsidRDefault="00EC7530" w:rsidP="00B8257E">
      <w:pPr>
        <w:rPr>
          <w:rFonts w:ascii="Times New Roman" w:eastAsia="Times New Roman" w:hAnsi="Times New Roman"/>
          <w:sz w:val="22"/>
          <w:szCs w:val="22"/>
        </w:rPr>
      </w:pPr>
    </w:p>
    <w:p w14:paraId="561F3000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0581566E" w14:textId="77777777" w:rsidR="00FE083B" w:rsidRPr="00F567BF" w:rsidRDefault="00FE083B" w:rsidP="00B8257E">
      <w:p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7.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FORGALOMBA HOZATALI ENGEDÉLY JOGOSULTJA</w:t>
      </w:r>
    </w:p>
    <w:p w14:paraId="4DDD790D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4479BF50" w14:textId="77777777" w:rsidR="00CA65E0" w:rsidRPr="00F567BF" w:rsidRDefault="00CA65E0" w:rsidP="00CA65E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F567BF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Egis Gyógyszergyár Zrt</w:t>
      </w:r>
      <w:r w:rsidR="008312DF" w:rsidRPr="00F567BF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0DAD46DE" w14:textId="77777777" w:rsidR="00CA65E0" w:rsidRPr="00F567BF" w:rsidRDefault="00CA65E0" w:rsidP="00CA65E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F567BF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1106 Budapest, Keresztúri út 30-38</w:t>
      </w:r>
      <w:r w:rsidR="001C3778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4B846E37" w14:textId="77777777" w:rsidR="002A793D" w:rsidRPr="00F567BF" w:rsidRDefault="00CA65E0" w:rsidP="00CA65E0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F567BF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Magyarország</w:t>
      </w:r>
    </w:p>
    <w:p w14:paraId="32851D55" w14:textId="77777777" w:rsidR="00CA65E0" w:rsidRPr="00F567BF" w:rsidRDefault="00CA65E0" w:rsidP="00CA65E0">
      <w:pPr>
        <w:rPr>
          <w:rFonts w:ascii="Times New Roman" w:eastAsia="Times New Roman" w:hAnsi="Times New Roman"/>
          <w:sz w:val="22"/>
          <w:szCs w:val="22"/>
        </w:rPr>
      </w:pPr>
    </w:p>
    <w:p w14:paraId="37C30831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501E1020" w14:textId="77777777" w:rsidR="00FE083B" w:rsidRPr="00F567BF" w:rsidRDefault="00FE083B" w:rsidP="007123E9">
      <w:pPr>
        <w:keepNext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8.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FORGALOMBA HOZATALI ENGEDÉLY SZÁMA(I)</w:t>
      </w:r>
    </w:p>
    <w:p w14:paraId="2C5D6AAD" w14:textId="77777777" w:rsidR="002A793D" w:rsidRPr="00F567BF" w:rsidRDefault="002A793D" w:rsidP="007123E9">
      <w:pPr>
        <w:keepNext/>
        <w:rPr>
          <w:rFonts w:ascii="Times New Roman" w:eastAsia="Times New Roman" w:hAnsi="Times New Roman"/>
          <w:sz w:val="22"/>
          <w:szCs w:val="22"/>
        </w:rPr>
      </w:pPr>
    </w:p>
    <w:p w14:paraId="16D23A87" w14:textId="77777777" w:rsidR="007504AB" w:rsidRPr="007504AB" w:rsidRDefault="007504AB" w:rsidP="007123E9">
      <w:pPr>
        <w:keepNext/>
        <w:rPr>
          <w:rFonts w:ascii="Times New Roman" w:eastAsia="Times New Roman" w:hAnsi="Times New Roman"/>
          <w:sz w:val="22"/>
          <w:szCs w:val="22"/>
          <w:u w:val="single"/>
        </w:rPr>
      </w:pPr>
      <w:r w:rsidRPr="007504AB">
        <w:rPr>
          <w:rFonts w:ascii="Times New Roman" w:eastAsia="Times New Roman" w:hAnsi="Times New Roman"/>
          <w:sz w:val="22"/>
          <w:szCs w:val="22"/>
          <w:u w:val="single"/>
        </w:rPr>
        <w:t>Latib 100 mg kemény kapszula</w:t>
      </w:r>
    </w:p>
    <w:p w14:paraId="1A1C120E" w14:textId="77777777" w:rsidR="007504AB" w:rsidRPr="007504AB" w:rsidRDefault="007504AB" w:rsidP="007123E9">
      <w:pPr>
        <w:keepNext/>
        <w:tabs>
          <w:tab w:val="left" w:pos="2835"/>
          <w:tab w:val="left" w:pos="3969"/>
        </w:tabs>
        <w:rPr>
          <w:rFonts w:ascii="Times New Roman" w:eastAsia="Times New Roman" w:hAnsi="Times New Roman"/>
          <w:bCs/>
          <w:sz w:val="22"/>
          <w:szCs w:val="22"/>
        </w:rPr>
      </w:pPr>
      <w:r w:rsidRPr="007504AB">
        <w:rPr>
          <w:rFonts w:ascii="Times New Roman" w:eastAsia="Times New Roman" w:hAnsi="Times New Roman"/>
          <w:sz w:val="22"/>
          <w:szCs w:val="22"/>
        </w:rPr>
        <w:t>OGYI-T-</w:t>
      </w:r>
      <w:r w:rsidRPr="007504AB">
        <w:rPr>
          <w:rFonts w:ascii="Times New Roman" w:eastAsia="Times New Roman" w:hAnsi="Times New Roman"/>
          <w:bCs/>
          <w:sz w:val="22"/>
          <w:szCs w:val="22"/>
        </w:rPr>
        <w:t>23048/01</w:t>
      </w:r>
      <w:r w:rsidR="00984F2D">
        <w:rPr>
          <w:rFonts w:ascii="Times New Roman" w:eastAsia="Times New Roman" w:hAnsi="Times New Roman"/>
          <w:bCs/>
          <w:sz w:val="22"/>
          <w:szCs w:val="22"/>
        </w:rPr>
        <w:tab/>
        <w:t>120×</w:t>
      </w:r>
      <w:r w:rsidR="00984F2D">
        <w:rPr>
          <w:rFonts w:ascii="Times New Roman" w:eastAsia="Times New Roman" w:hAnsi="Times New Roman"/>
          <w:bCs/>
          <w:sz w:val="22"/>
          <w:szCs w:val="22"/>
        </w:rPr>
        <w:tab/>
      </w:r>
      <w:r w:rsidR="00984F2D" w:rsidRPr="00F567BF">
        <w:rPr>
          <w:rFonts w:ascii="Times New Roman" w:eastAsia="Times New Roman" w:hAnsi="Times New Roman"/>
          <w:sz w:val="22"/>
        </w:rPr>
        <w:t>PA-Alumínium/PVC//Alumínium buborékcsomagolás</w:t>
      </w:r>
    </w:p>
    <w:p w14:paraId="41ED61BA" w14:textId="77777777" w:rsidR="007504AB" w:rsidRPr="007504AB" w:rsidRDefault="007504AB" w:rsidP="007504AB">
      <w:pPr>
        <w:rPr>
          <w:rFonts w:ascii="Times New Roman" w:eastAsia="Times New Roman" w:hAnsi="Times New Roman"/>
          <w:sz w:val="22"/>
          <w:szCs w:val="22"/>
        </w:rPr>
      </w:pPr>
    </w:p>
    <w:p w14:paraId="4ACAF0B7" w14:textId="77777777" w:rsidR="007504AB" w:rsidRPr="007504AB" w:rsidRDefault="007504AB" w:rsidP="007504AB">
      <w:pPr>
        <w:rPr>
          <w:rFonts w:ascii="Times New Roman" w:eastAsia="Times New Roman" w:hAnsi="Times New Roman"/>
          <w:sz w:val="22"/>
          <w:szCs w:val="22"/>
          <w:u w:val="single"/>
        </w:rPr>
      </w:pPr>
      <w:r w:rsidRPr="007504AB">
        <w:rPr>
          <w:rFonts w:ascii="Times New Roman" w:eastAsia="Times New Roman" w:hAnsi="Times New Roman"/>
          <w:sz w:val="22"/>
          <w:szCs w:val="22"/>
          <w:u w:val="single"/>
        </w:rPr>
        <w:t>Latib 400 mg kemény kapszula</w:t>
      </w:r>
    </w:p>
    <w:p w14:paraId="668175A5" w14:textId="77777777" w:rsidR="007504AB" w:rsidRPr="007504AB" w:rsidRDefault="007504AB" w:rsidP="00D10D99">
      <w:pPr>
        <w:tabs>
          <w:tab w:val="left" w:pos="2835"/>
          <w:tab w:val="left" w:pos="3969"/>
        </w:tabs>
        <w:rPr>
          <w:rFonts w:ascii="Times New Roman" w:eastAsia="Times New Roman" w:hAnsi="Times New Roman"/>
          <w:bCs/>
          <w:sz w:val="22"/>
          <w:szCs w:val="22"/>
        </w:rPr>
      </w:pPr>
      <w:r w:rsidRPr="007504AB">
        <w:rPr>
          <w:rFonts w:ascii="Times New Roman" w:eastAsia="Times New Roman" w:hAnsi="Times New Roman"/>
          <w:sz w:val="22"/>
          <w:szCs w:val="22"/>
        </w:rPr>
        <w:t>OGYI-T-</w:t>
      </w:r>
      <w:r w:rsidRPr="007504AB">
        <w:rPr>
          <w:rFonts w:ascii="Times New Roman" w:eastAsia="Times New Roman" w:hAnsi="Times New Roman"/>
          <w:bCs/>
          <w:sz w:val="22"/>
          <w:szCs w:val="22"/>
        </w:rPr>
        <w:t>23048/02</w:t>
      </w:r>
      <w:r w:rsidR="00D10D99">
        <w:rPr>
          <w:rFonts w:ascii="Times New Roman" w:eastAsia="Times New Roman" w:hAnsi="Times New Roman"/>
          <w:bCs/>
          <w:sz w:val="22"/>
          <w:szCs w:val="22"/>
        </w:rPr>
        <w:tab/>
        <w:t>30×</w:t>
      </w:r>
      <w:r w:rsidR="00D10D99">
        <w:rPr>
          <w:rFonts w:ascii="Times New Roman" w:eastAsia="Times New Roman" w:hAnsi="Times New Roman"/>
          <w:bCs/>
          <w:sz w:val="22"/>
          <w:szCs w:val="22"/>
        </w:rPr>
        <w:tab/>
      </w:r>
      <w:r w:rsidR="00D10D99" w:rsidRPr="00F567BF">
        <w:rPr>
          <w:rFonts w:ascii="Times New Roman" w:eastAsia="Times New Roman" w:hAnsi="Times New Roman"/>
          <w:sz w:val="22"/>
        </w:rPr>
        <w:t>PA-Alumínium/PVC//Alumínium buborékcsomagolás</w:t>
      </w:r>
    </w:p>
    <w:p w14:paraId="0F8B1AA1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6689443D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3B0BC961" w14:textId="77777777" w:rsidR="00FE083B" w:rsidRPr="00F567BF" w:rsidRDefault="00FE083B" w:rsidP="00647049">
      <w:pPr>
        <w:keepNext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 w:val="22"/>
          <w:szCs w:val="22"/>
          <w:lang w:eastAsia="zh-CN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lastRenderedPageBreak/>
        <w:t>9.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FORGALOMBA HOZATALI ENGEDÉLY ELSŐ KIADÁSÁNAK</w:t>
      </w:r>
      <w:r w:rsidR="007504AB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 xml:space="preserve"> 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/ MEGÚJÍTÁSÁNAK</w:t>
      </w:r>
      <w:r w:rsidRPr="00F567BF">
        <w:rPr>
          <w:rFonts w:ascii="Times New Roman" w:eastAsia="SimSun" w:hAnsi="Times New Roman" w:cs="Times New Roman"/>
          <w:b/>
          <w:snapToGrid w:val="0"/>
          <w:sz w:val="22"/>
          <w:szCs w:val="22"/>
          <w:lang w:eastAsia="zh-CN"/>
        </w:rPr>
        <w:t xml:space="preserve"> DÁTUMA</w:t>
      </w:r>
    </w:p>
    <w:p w14:paraId="4E395352" w14:textId="77777777" w:rsidR="002A793D" w:rsidRPr="00F567BF" w:rsidRDefault="002A793D" w:rsidP="00647049">
      <w:pPr>
        <w:keepNext/>
        <w:rPr>
          <w:rFonts w:ascii="Times New Roman" w:eastAsia="Times New Roman" w:hAnsi="Times New Roman"/>
          <w:sz w:val="22"/>
          <w:szCs w:val="22"/>
        </w:rPr>
      </w:pPr>
    </w:p>
    <w:p w14:paraId="083E5CC4" w14:textId="77777777" w:rsidR="002A793D" w:rsidRDefault="002A793D" w:rsidP="00647049">
      <w:pPr>
        <w:keepNext/>
        <w:ind w:left="1"/>
        <w:rPr>
          <w:rFonts w:ascii="Times New Roman" w:eastAsia="Times New Roman" w:hAnsi="Times New Roman"/>
          <w:sz w:val="22"/>
          <w:szCs w:val="22"/>
        </w:rPr>
      </w:pPr>
      <w:r w:rsidRPr="00F567BF">
        <w:rPr>
          <w:rFonts w:ascii="Times New Roman" w:eastAsia="Times New Roman" w:hAnsi="Times New Roman"/>
          <w:sz w:val="22"/>
          <w:szCs w:val="22"/>
        </w:rPr>
        <w:t xml:space="preserve">A forgalomba hozatali engedély első kiadásának dátuma: </w:t>
      </w:r>
      <w:r w:rsidR="007504AB" w:rsidRPr="007504AB">
        <w:rPr>
          <w:rFonts w:ascii="Times New Roman" w:eastAsia="Times New Roman" w:hAnsi="Times New Roman"/>
          <w:sz w:val="22"/>
          <w:szCs w:val="22"/>
        </w:rPr>
        <w:t>2016. június 16.</w:t>
      </w:r>
    </w:p>
    <w:p w14:paraId="5B7974DD" w14:textId="77777777" w:rsidR="001C5896" w:rsidRPr="00F567BF" w:rsidRDefault="001C5896" w:rsidP="00647049">
      <w:pPr>
        <w:keepNext/>
        <w:ind w:left="1"/>
        <w:rPr>
          <w:rFonts w:ascii="Times New Roman" w:eastAsia="Times New Roman" w:hAnsi="Times New Roman"/>
          <w:sz w:val="22"/>
          <w:szCs w:val="22"/>
        </w:rPr>
      </w:pPr>
      <w:r w:rsidRPr="003D2F4D">
        <w:rPr>
          <w:rFonts w:ascii="Times New Roman" w:eastAsia="Times New Roman" w:hAnsi="Times New Roman"/>
          <w:sz w:val="22"/>
          <w:szCs w:val="22"/>
        </w:rPr>
        <w:t>A forgalomba hozatali engedély legutóbbi megújításának dátuma</w:t>
      </w:r>
      <w:r w:rsidRPr="00754311">
        <w:rPr>
          <w:rFonts w:ascii="Times New Roman" w:eastAsia="Times New Roman" w:hAnsi="Times New Roman"/>
          <w:sz w:val="22"/>
          <w:szCs w:val="22"/>
        </w:rPr>
        <w:t>:</w:t>
      </w:r>
      <w:r w:rsidR="00754311" w:rsidRPr="00754311">
        <w:rPr>
          <w:rFonts w:ascii="Times New Roman" w:eastAsia="Times New Roman" w:hAnsi="Times New Roman"/>
          <w:sz w:val="22"/>
          <w:szCs w:val="22"/>
        </w:rPr>
        <w:t xml:space="preserve"> 2021. június 18.</w:t>
      </w:r>
    </w:p>
    <w:p w14:paraId="5D851BD3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568949D0" w14:textId="77777777" w:rsidR="002A793D" w:rsidRPr="00F567BF" w:rsidRDefault="002A793D" w:rsidP="00B8257E">
      <w:pPr>
        <w:rPr>
          <w:rFonts w:ascii="Times New Roman" w:eastAsia="Times New Roman" w:hAnsi="Times New Roman"/>
          <w:sz w:val="22"/>
          <w:szCs w:val="22"/>
        </w:rPr>
      </w:pPr>
    </w:p>
    <w:p w14:paraId="6BE19A6F" w14:textId="77777777" w:rsidR="00FE083B" w:rsidRPr="00F567BF" w:rsidRDefault="00FE083B" w:rsidP="002D7236">
      <w:pPr>
        <w:keepNext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 w:val="22"/>
          <w:szCs w:val="22"/>
          <w:lang w:eastAsia="zh-CN"/>
        </w:rPr>
      </w:pP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>10.</w:t>
      </w:r>
      <w:r w:rsidRPr="00F567BF">
        <w:rPr>
          <w:rFonts w:ascii="Times New Roman" w:eastAsia="Times New Roman" w:hAnsi="Times New Roman" w:cs="Times New Roman"/>
          <w:b/>
          <w:noProof/>
          <w:sz w:val="22"/>
          <w:szCs w:val="22"/>
          <w:lang w:eastAsia="en-US"/>
        </w:rPr>
        <w:tab/>
        <w:t>A SZÖVEG ELLENŐRZÉSÉNEK DÁTUMA</w:t>
      </w:r>
    </w:p>
    <w:p w14:paraId="48EE876A" w14:textId="77777777" w:rsidR="002A793D" w:rsidRPr="00F567BF" w:rsidRDefault="002A793D" w:rsidP="002D7236">
      <w:pPr>
        <w:keepNext/>
        <w:rPr>
          <w:rFonts w:ascii="Times New Roman" w:eastAsia="Times New Roman" w:hAnsi="Times New Roman"/>
          <w:sz w:val="22"/>
          <w:szCs w:val="22"/>
        </w:rPr>
      </w:pPr>
    </w:p>
    <w:p w14:paraId="01CDC75A" w14:textId="207AEE81" w:rsidR="002A793D" w:rsidRPr="00F567BF" w:rsidRDefault="00F63BC1" w:rsidP="002D7236">
      <w:pPr>
        <w:keepNext/>
        <w:spacing w:line="0" w:lineRule="atLeast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2026. június 4.</w:t>
      </w:r>
      <w:bookmarkStart w:id="28" w:name="page70"/>
      <w:bookmarkStart w:id="29" w:name="page181"/>
      <w:bookmarkEnd w:id="28"/>
      <w:bookmarkEnd w:id="29"/>
    </w:p>
    <w:sectPr w:rsidR="002A793D" w:rsidRPr="00F567BF" w:rsidSect="008B630E">
      <w:headerReference w:type="default" r:id="rId11"/>
      <w:footerReference w:type="first" r:id="rId12"/>
      <w:pgSz w:w="11900" w:h="16836" w:code="9"/>
      <w:pgMar w:top="1134" w:right="1418" w:bottom="1134" w:left="1418" w:header="737" w:footer="737" w:gutter="0"/>
      <w:cols w:space="0" w:equalWidth="0">
        <w:col w:w="9062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5EADA" w14:textId="77777777" w:rsidR="00A54058" w:rsidRDefault="00A54058" w:rsidP="002C6901">
      <w:r>
        <w:separator/>
      </w:r>
    </w:p>
  </w:endnote>
  <w:endnote w:type="continuationSeparator" w:id="0">
    <w:p w14:paraId="7D5E7412" w14:textId="77777777" w:rsidR="00A54058" w:rsidRDefault="00A54058" w:rsidP="002C6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-Condensed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050A7" w14:textId="0DCE02C3" w:rsidR="003D1208" w:rsidRDefault="003D1208" w:rsidP="006B28A4">
    <w:pPr>
      <w:pStyle w:val="llb"/>
      <w:rPr>
        <w:rFonts w:ascii="Times New Roman" w:hAnsi="Times New Roman" w:cs="Times New Roman"/>
        <w:sz w:val="18"/>
        <w:szCs w:val="18"/>
      </w:rPr>
    </w:pPr>
    <w:r w:rsidRPr="003D1208">
      <w:rPr>
        <w:rFonts w:ascii="Times New Roman" w:hAnsi="Times New Roman" w:cs="Times New Roman"/>
        <w:sz w:val="18"/>
        <w:szCs w:val="18"/>
      </w:rPr>
      <w:t>NNGYK/ETGY/9136/2026</w:t>
    </w:r>
  </w:p>
  <w:p w14:paraId="6C2784FE" w14:textId="12963332" w:rsidR="00FB27B2" w:rsidRDefault="003D1208">
    <w:pPr>
      <w:pStyle w:val="llb"/>
    </w:pPr>
    <w:r w:rsidRPr="003D1208">
      <w:rPr>
        <w:rFonts w:ascii="Times New Roman" w:hAnsi="Times New Roman" w:cs="Times New Roman"/>
        <w:sz w:val="18"/>
        <w:szCs w:val="18"/>
      </w:rPr>
      <w:t>NNGYK/ETGY/9137/2026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5C9F8" w14:textId="77777777" w:rsidR="00A54058" w:rsidRDefault="00A54058" w:rsidP="002C6901">
      <w:r>
        <w:separator/>
      </w:r>
    </w:p>
  </w:footnote>
  <w:footnote w:type="continuationSeparator" w:id="0">
    <w:p w14:paraId="6B1CD834" w14:textId="77777777" w:rsidR="00A54058" w:rsidRDefault="00A54058" w:rsidP="002C6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D26C" w14:textId="150872AD" w:rsidR="007C6727" w:rsidRPr="008B630E" w:rsidRDefault="007C6727" w:rsidP="008B630E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8B630E">
      <w:rPr>
        <w:rFonts w:ascii="Times New Roman" w:hAnsi="Times New Roman" w:cs="Times New Roman"/>
        <w:sz w:val="18"/>
        <w:szCs w:val="18"/>
      </w:rPr>
      <w:fldChar w:fldCharType="begin"/>
    </w:r>
    <w:r w:rsidRPr="008B630E">
      <w:rPr>
        <w:rFonts w:ascii="Times New Roman" w:hAnsi="Times New Roman" w:cs="Times New Roman"/>
        <w:sz w:val="18"/>
        <w:szCs w:val="18"/>
      </w:rPr>
      <w:instrText>PAGE   \* MERGEFORMAT</w:instrText>
    </w:r>
    <w:r w:rsidRPr="008B630E">
      <w:rPr>
        <w:rFonts w:ascii="Times New Roman" w:hAnsi="Times New Roman" w:cs="Times New Roman"/>
        <w:sz w:val="18"/>
        <w:szCs w:val="18"/>
      </w:rPr>
      <w:fldChar w:fldCharType="separate"/>
    </w:r>
    <w:r w:rsidR="006F48A2">
      <w:rPr>
        <w:rFonts w:ascii="Times New Roman" w:hAnsi="Times New Roman" w:cs="Times New Roman"/>
        <w:noProof/>
        <w:sz w:val="18"/>
        <w:szCs w:val="18"/>
      </w:rPr>
      <w:t>33</w:t>
    </w:r>
    <w:r w:rsidRPr="008B630E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DAD6BD44"/>
    <w:lvl w:ilvl="0" w:tplc="089A8006">
      <w:numFmt w:val="none"/>
      <w:lvlText w:val=""/>
      <w:lvlJc w:val="left"/>
      <w:pPr>
        <w:tabs>
          <w:tab w:val="num" w:pos="360"/>
        </w:tabs>
      </w:pPr>
    </w:lvl>
    <w:lvl w:ilvl="1" w:tplc="E264DC60">
      <w:numFmt w:val="decimal"/>
      <w:lvlText w:val=""/>
      <w:lvlJc w:val="left"/>
    </w:lvl>
    <w:lvl w:ilvl="2" w:tplc="CB60BCE8">
      <w:start w:val="5888"/>
      <w:numFmt w:val="decimal"/>
      <w:lvlText w:val=""/>
      <w:lvlJc w:val="left"/>
    </w:lvl>
    <w:lvl w:ilvl="3" w:tplc="C4DE18EC">
      <w:start w:val="23"/>
      <w:numFmt w:val="decimal"/>
      <w:lvlText w:val=""/>
      <w:lvlJc w:val="left"/>
    </w:lvl>
    <w:lvl w:ilvl="4" w:tplc="843EA02A">
      <w:start w:val="23"/>
      <w:numFmt w:val="decimal"/>
      <w:lvlText w:val=""/>
      <w:lvlJc w:val="left"/>
    </w:lvl>
    <w:lvl w:ilvl="5" w:tplc="F39C2D9C">
      <w:start w:val="23"/>
      <w:numFmt w:val="decimal"/>
      <w:lvlText w:val=""/>
      <w:lvlJc w:val="left"/>
    </w:lvl>
    <w:lvl w:ilvl="6" w:tplc="0F78EDE0">
      <w:start w:val="23"/>
      <w:numFmt w:val="decimal"/>
      <w:lvlText w:val=""/>
      <w:lvlJc w:val="left"/>
    </w:lvl>
    <w:lvl w:ilvl="7" w:tplc="3524FD8E">
      <w:start w:val="23"/>
      <w:numFmt w:val="decimal"/>
      <w:lvlText w:val=""/>
      <w:lvlJc w:val="left"/>
    </w:lvl>
    <w:lvl w:ilvl="8" w:tplc="D9D68224">
      <w:start w:val="23"/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54689FE4"/>
    <w:lvl w:ilvl="0" w:tplc="5F220B4A">
      <w:start w:val="23"/>
      <w:numFmt w:val="decimal"/>
      <w:lvlText w:val=""/>
      <w:lvlJc w:val="left"/>
    </w:lvl>
    <w:lvl w:ilvl="1" w:tplc="72AEE63C">
      <w:start w:val="23"/>
      <w:numFmt w:val="decimal"/>
      <w:lvlText w:val=""/>
      <w:lvlJc w:val="left"/>
    </w:lvl>
    <w:lvl w:ilvl="2" w:tplc="473071FA">
      <w:numFmt w:val="none"/>
      <w:lvlText w:val=""/>
      <w:lvlJc w:val="left"/>
      <w:pPr>
        <w:tabs>
          <w:tab w:val="num" w:pos="360"/>
        </w:tabs>
      </w:pPr>
    </w:lvl>
    <w:lvl w:ilvl="3" w:tplc="FB7C4B28">
      <w:start w:val="5888"/>
      <w:numFmt w:val="decimal"/>
      <w:lvlText w:val=""/>
      <w:lvlJc w:val="left"/>
    </w:lvl>
    <w:lvl w:ilvl="4" w:tplc="B5D2BE4E">
      <w:start w:val="5888"/>
      <w:numFmt w:val="decimal"/>
      <w:lvlText w:val=""/>
      <w:lvlJc w:val="left"/>
    </w:lvl>
    <w:lvl w:ilvl="5" w:tplc="5C14D6E4">
      <w:start w:val="5888"/>
      <w:numFmt w:val="decimal"/>
      <w:lvlText w:val=""/>
      <w:lvlJc w:val="left"/>
    </w:lvl>
    <w:lvl w:ilvl="6" w:tplc="66B6C9D2">
      <w:start w:val="5888"/>
      <w:numFmt w:val="decimal"/>
      <w:lvlText w:val=""/>
      <w:lvlJc w:val="left"/>
    </w:lvl>
    <w:lvl w:ilvl="7" w:tplc="257ED324">
      <w:start w:val="5888"/>
      <w:numFmt w:val="decimal"/>
      <w:lvlText w:val=""/>
      <w:lvlJc w:val="left"/>
    </w:lvl>
    <w:lvl w:ilvl="8" w:tplc="C12EA69E">
      <w:start w:val="5888"/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327B517E"/>
    <w:lvl w:ilvl="0" w:tplc="3C18D696">
      <w:start w:val="5888"/>
      <w:numFmt w:val="decimal"/>
      <w:lvlText w:val=""/>
      <w:lvlJc w:val="left"/>
    </w:lvl>
    <w:lvl w:ilvl="1" w:tplc="D7DCC61C">
      <w:start w:val="5888"/>
      <w:numFmt w:val="decimal"/>
      <w:lvlText w:val=""/>
      <w:lvlJc w:val="left"/>
    </w:lvl>
    <w:lvl w:ilvl="2" w:tplc="D2046004">
      <w:start w:val="50331648"/>
      <w:numFmt w:val="decimal"/>
      <w:lvlText w:val=""/>
      <w:lvlJc w:val="left"/>
    </w:lvl>
    <w:lvl w:ilvl="3" w:tplc="D4FC556A">
      <w:start w:val="1"/>
      <w:numFmt w:val="bullet"/>
      <w:lvlText w:val=""/>
      <w:lvlJc w:val="left"/>
    </w:lvl>
    <w:lvl w:ilvl="4" w:tplc="2B164AC8">
      <w:start w:val="1"/>
      <w:numFmt w:val="bullet"/>
      <w:lvlText w:val=""/>
      <w:lvlJc w:val="left"/>
    </w:lvl>
    <w:lvl w:ilvl="5" w:tplc="59626FDE">
      <w:start w:val="1"/>
      <w:numFmt w:val="bullet"/>
      <w:lvlText w:val=""/>
      <w:lvlJc w:val="left"/>
    </w:lvl>
    <w:lvl w:ilvl="6" w:tplc="3296F33E">
      <w:start w:val="1"/>
      <w:numFmt w:val="bullet"/>
      <w:lvlText w:val=""/>
      <w:lvlJc w:val="left"/>
    </w:lvl>
    <w:lvl w:ilvl="7" w:tplc="1ED641D8">
      <w:start w:val="1"/>
      <w:numFmt w:val="bullet"/>
      <w:lvlText w:val=""/>
      <w:lvlJc w:val="left"/>
    </w:lvl>
    <w:lvl w:ilvl="8" w:tplc="88104696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multilevel"/>
    <w:tmpl w:val="64FEDC0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multilevel"/>
    <w:tmpl w:val="7846A55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multilevel"/>
    <w:tmpl w:val="6648324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multilevel"/>
    <w:tmpl w:val="9D54326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multilevel"/>
    <w:tmpl w:val="12E8D54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multilevel"/>
    <w:tmpl w:val="1BBC7D1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multilevel"/>
    <w:tmpl w:val="9E9C411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multilevel"/>
    <w:tmpl w:val="1436CAE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706C44B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7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multilevel"/>
    <w:tmpl w:val="365480D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64429598"/>
    <w:lvl w:ilvl="0" w:tplc="E4066AC4">
      <w:start w:val="1"/>
      <w:numFmt w:val="bullet"/>
      <w:lvlText w:val=""/>
      <w:lvlJc w:val="left"/>
    </w:lvl>
    <w:lvl w:ilvl="1" w:tplc="7172C646">
      <w:start w:val="1"/>
      <w:numFmt w:val="bullet"/>
      <w:lvlText w:val=""/>
      <w:lvlJc w:val="left"/>
    </w:lvl>
    <w:lvl w:ilvl="2" w:tplc="F6AA72B2">
      <w:start w:val="1"/>
      <w:numFmt w:val="bullet"/>
      <w:lvlText w:val="*"/>
      <w:lvlJc w:val="left"/>
    </w:lvl>
    <w:lvl w:ilvl="3" w:tplc="B9F6C3F6">
      <w:start w:val="1"/>
      <w:numFmt w:val="bullet"/>
      <w:lvlText w:val=""/>
      <w:lvlJc w:val="left"/>
    </w:lvl>
    <w:lvl w:ilvl="4" w:tplc="651419E6">
      <w:start w:val="1"/>
      <w:numFmt w:val="bullet"/>
      <w:lvlText w:val=""/>
      <w:lvlJc w:val="left"/>
    </w:lvl>
    <w:lvl w:ilvl="5" w:tplc="E3E0B754">
      <w:start w:val="1"/>
      <w:numFmt w:val="bullet"/>
      <w:lvlText w:val=""/>
      <w:lvlJc w:val="left"/>
    </w:lvl>
    <w:lvl w:ilvl="6" w:tplc="B7C8E6A4">
      <w:start w:val="1"/>
      <w:numFmt w:val="bullet"/>
      <w:lvlText w:val=""/>
      <w:lvlJc w:val="left"/>
    </w:lvl>
    <w:lvl w:ilvl="7" w:tplc="AE3E3210">
      <w:start w:val="1"/>
      <w:numFmt w:val="bullet"/>
      <w:lvlText w:val=""/>
      <w:lvlJc w:val="left"/>
    </w:lvl>
    <w:lvl w:ilvl="8" w:tplc="F0BCEC6C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multilevel"/>
    <w:tmpl w:val="753033E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multilevel"/>
    <w:tmpl w:val="73AAD5A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multilevel"/>
    <w:tmpl w:val="26FCFA6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9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multilevel"/>
    <w:tmpl w:val="B058D46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multilevel"/>
    <w:tmpl w:val="D8EC5EB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064AF49A"/>
    <w:lvl w:ilvl="0" w:tplc="CF1E394E">
      <w:start w:val="1"/>
      <w:numFmt w:val="bullet"/>
      <w:lvlText w:val=""/>
      <w:lvlJc w:val="left"/>
    </w:lvl>
    <w:lvl w:ilvl="1" w:tplc="EA401E7E">
      <w:start w:val="1"/>
      <w:numFmt w:val="bullet"/>
      <w:lvlText w:val=""/>
      <w:lvlJc w:val="left"/>
    </w:lvl>
    <w:lvl w:ilvl="2" w:tplc="36C8E988">
      <w:start w:val="1"/>
      <w:numFmt w:val="bullet"/>
      <w:lvlText w:val="│││"/>
      <w:lvlJc w:val="left"/>
    </w:lvl>
    <w:lvl w:ilvl="3" w:tplc="A16EABDA">
      <w:start w:val="1"/>
      <w:numFmt w:val="bullet"/>
      <w:lvlText w:val=""/>
      <w:lvlJc w:val="left"/>
    </w:lvl>
    <w:lvl w:ilvl="4" w:tplc="7EC01D86">
      <w:start w:val="1"/>
      <w:numFmt w:val="bullet"/>
      <w:lvlText w:val=""/>
      <w:lvlJc w:val="left"/>
    </w:lvl>
    <w:lvl w:ilvl="5" w:tplc="1DD84CF4">
      <w:start w:val="1"/>
      <w:numFmt w:val="bullet"/>
      <w:lvlText w:val=""/>
      <w:lvlJc w:val="left"/>
    </w:lvl>
    <w:lvl w:ilvl="6" w:tplc="C194F922">
      <w:start w:val="1"/>
      <w:numFmt w:val="bullet"/>
      <w:lvlText w:val=""/>
      <w:lvlJc w:val="left"/>
    </w:lvl>
    <w:lvl w:ilvl="7" w:tplc="57249B56">
      <w:start w:val="1"/>
      <w:numFmt w:val="bullet"/>
      <w:lvlText w:val=""/>
      <w:lvlJc w:val="left"/>
    </w:lvl>
    <w:lvl w:ilvl="8" w:tplc="A1AEF712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multilevel"/>
    <w:tmpl w:val="13F05CE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7E448DE8"/>
    <w:lvl w:ilvl="0" w:tplc="6E981740">
      <w:start w:val="1"/>
      <w:numFmt w:val="bullet"/>
      <w:lvlText w:val=""/>
      <w:lvlJc w:val="left"/>
    </w:lvl>
    <w:lvl w:ilvl="1" w:tplc="387681DA">
      <w:start w:val="1"/>
      <w:numFmt w:val="bullet"/>
      <w:lvlText w:val=""/>
      <w:lvlJc w:val="left"/>
    </w:lvl>
    <w:lvl w:ilvl="2" w:tplc="1946FF6C">
      <w:start w:val="1"/>
      <w:numFmt w:val="bullet"/>
      <w:lvlText w:val="│││"/>
      <w:lvlJc w:val="left"/>
    </w:lvl>
    <w:lvl w:ilvl="3" w:tplc="57EEC6AE">
      <w:start w:val="1"/>
      <w:numFmt w:val="bullet"/>
      <w:lvlText w:val=""/>
      <w:lvlJc w:val="left"/>
    </w:lvl>
    <w:lvl w:ilvl="4" w:tplc="8C562F48">
      <w:start w:val="1"/>
      <w:numFmt w:val="bullet"/>
      <w:lvlText w:val=""/>
      <w:lvlJc w:val="left"/>
    </w:lvl>
    <w:lvl w:ilvl="5" w:tplc="340C3E38">
      <w:start w:val="1"/>
      <w:numFmt w:val="bullet"/>
      <w:lvlText w:val=""/>
      <w:lvlJc w:val="left"/>
    </w:lvl>
    <w:lvl w:ilvl="6" w:tplc="47ACF786">
      <w:start w:val="1"/>
      <w:numFmt w:val="bullet"/>
      <w:lvlText w:val=""/>
      <w:lvlJc w:val="left"/>
    </w:lvl>
    <w:lvl w:ilvl="7" w:tplc="9A5EA2FA">
      <w:start w:val="1"/>
      <w:numFmt w:val="bullet"/>
      <w:lvlText w:val=""/>
      <w:lvlJc w:val="left"/>
    </w:lvl>
    <w:lvl w:ilvl="8" w:tplc="D4F085B0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multilevel"/>
    <w:tmpl w:val="BDF2676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multilevel"/>
    <w:tmpl w:val="B3101C3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4" w15:restartNumberingAfterBreak="0">
    <w:nsid w:val="00000019"/>
    <w:multiLevelType w:val="multilevel"/>
    <w:tmpl w:val="34CCD0B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5" w15:restartNumberingAfterBreak="0">
    <w:nsid w:val="0000001A"/>
    <w:multiLevelType w:val="multilevel"/>
    <w:tmpl w:val="475A94B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6" w15:restartNumberingAfterBreak="0">
    <w:nsid w:val="0000001B"/>
    <w:multiLevelType w:val="multilevel"/>
    <w:tmpl w:val="5CEE991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7" w15:restartNumberingAfterBreak="0">
    <w:nsid w:val="0000001C"/>
    <w:multiLevelType w:val="multilevel"/>
    <w:tmpl w:val="CC06AEB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8" w15:restartNumberingAfterBreak="0">
    <w:nsid w:val="0000001D"/>
    <w:multiLevelType w:val="multilevel"/>
    <w:tmpl w:val="5BC6431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9" w15:restartNumberingAfterBreak="0">
    <w:nsid w:val="0000001E"/>
    <w:multiLevelType w:val="multilevel"/>
    <w:tmpl w:val="851AB92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0" w15:restartNumberingAfterBreak="0">
    <w:nsid w:val="0000001F"/>
    <w:multiLevelType w:val="multilevel"/>
    <w:tmpl w:val="0EBCBF2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1" w15:restartNumberingAfterBreak="0">
    <w:nsid w:val="00000020"/>
    <w:multiLevelType w:val="multilevel"/>
    <w:tmpl w:val="559E1AC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2" w15:restartNumberingAfterBreak="0">
    <w:nsid w:val="00000021"/>
    <w:multiLevelType w:val="multilevel"/>
    <w:tmpl w:val="14347F1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7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3" w15:restartNumberingAfterBreak="0">
    <w:nsid w:val="00000022"/>
    <w:multiLevelType w:val="multilevel"/>
    <w:tmpl w:val="2690D7A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4" w15:restartNumberingAfterBreak="0">
    <w:nsid w:val="00000023"/>
    <w:multiLevelType w:val="multilevel"/>
    <w:tmpl w:val="1DEC2DB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9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5" w15:restartNumberingAfterBreak="0">
    <w:nsid w:val="00000024"/>
    <w:multiLevelType w:val="multilevel"/>
    <w:tmpl w:val="3DFEC43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0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6" w15:restartNumberingAfterBreak="0">
    <w:nsid w:val="00000025"/>
    <w:multiLevelType w:val="multilevel"/>
    <w:tmpl w:val="1BA0179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7" w15:restartNumberingAfterBreak="0">
    <w:nsid w:val="00000026"/>
    <w:multiLevelType w:val="multilevel"/>
    <w:tmpl w:val="25129DA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8" w15:restartNumberingAfterBreak="0">
    <w:nsid w:val="00000027"/>
    <w:multiLevelType w:val="multilevel"/>
    <w:tmpl w:val="BE88FD9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9" w15:restartNumberingAfterBreak="0">
    <w:nsid w:val="00000028"/>
    <w:multiLevelType w:val="multilevel"/>
    <w:tmpl w:val="FFB8CD1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0" w15:restartNumberingAfterBreak="0">
    <w:nsid w:val="00000029"/>
    <w:multiLevelType w:val="multilevel"/>
    <w:tmpl w:val="1BEC7D9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1" w15:restartNumberingAfterBreak="0">
    <w:nsid w:val="0000002A"/>
    <w:multiLevelType w:val="hybridMultilevel"/>
    <w:tmpl w:val="4A10B4E8"/>
    <w:lvl w:ilvl="0" w:tplc="8642FE2C">
      <w:start w:val="1"/>
      <w:numFmt w:val="bullet"/>
      <w:lvlText w:val=""/>
      <w:lvlJc w:val="left"/>
    </w:lvl>
    <w:lvl w:ilvl="1" w:tplc="A26ED852">
      <w:start w:val="1"/>
      <w:numFmt w:val="bullet"/>
      <w:lvlText w:val=""/>
      <w:lvlJc w:val="left"/>
    </w:lvl>
    <w:lvl w:ilvl="2" w:tplc="7F22C826">
      <w:start w:val="1"/>
      <w:numFmt w:val="bullet"/>
      <w:lvlText w:val=""/>
      <w:lvlJc w:val="left"/>
    </w:lvl>
    <w:lvl w:ilvl="3" w:tplc="095C920E">
      <w:start w:val="1"/>
      <w:numFmt w:val="bullet"/>
      <w:lvlText w:val=""/>
      <w:lvlJc w:val="left"/>
    </w:lvl>
    <w:lvl w:ilvl="4" w:tplc="8CA0536E">
      <w:start w:val="1"/>
      <w:numFmt w:val="bullet"/>
      <w:lvlText w:val=""/>
      <w:lvlJc w:val="left"/>
    </w:lvl>
    <w:lvl w:ilvl="5" w:tplc="20A2328C">
      <w:start w:val="1"/>
      <w:numFmt w:val="bullet"/>
      <w:lvlText w:val=""/>
      <w:lvlJc w:val="left"/>
    </w:lvl>
    <w:lvl w:ilvl="6" w:tplc="A0B00DBE">
      <w:start w:val="1"/>
      <w:numFmt w:val="bullet"/>
      <w:lvlText w:val=""/>
      <w:lvlJc w:val="left"/>
    </w:lvl>
    <w:lvl w:ilvl="7" w:tplc="8EFE3996">
      <w:start w:val="1"/>
      <w:numFmt w:val="bullet"/>
      <w:lvlText w:val=""/>
      <w:lvlJc w:val="left"/>
    </w:lvl>
    <w:lvl w:ilvl="8" w:tplc="A40E5E84">
      <w:start w:val="1"/>
      <w:numFmt w:val="bullet"/>
      <w:lvlText w:val=""/>
      <w:lvlJc w:val="left"/>
    </w:lvl>
  </w:abstractNum>
  <w:abstractNum w:abstractNumId="42" w15:restartNumberingAfterBreak="0">
    <w:nsid w:val="0000002B"/>
    <w:multiLevelType w:val="hybridMultilevel"/>
    <w:tmpl w:val="43D3BCD4"/>
    <w:lvl w:ilvl="0" w:tplc="CFE654E6">
      <w:start w:val="1"/>
      <w:numFmt w:val="bullet"/>
      <w:lvlText w:val=""/>
      <w:lvlJc w:val="left"/>
    </w:lvl>
    <w:lvl w:ilvl="1" w:tplc="80BE8EF8">
      <w:start w:val="1"/>
      <w:numFmt w:val="bullet"/>
      <w:lvlText w:val=""/>
      <w:lvlJc w:val="left"/>
    </w:lvl>
    <w:lvl w:ilvl="2" w:tplc="5C50F01A">
      <w:start w:val="1"/>
      <w:numFmt w:val="bullet"/>
      <w:lvlText w:val=""/>
      <w:lvlJc w:val="left"/>
    </w:lvl>
    <w:lvl w:ilvl="3" w:tplc="A63E2F5E">
      <w:start w:val="1"/>
      <w:numFmt w:val="bullet"/>
      <w:lvlText w:val=""/>
      <w:lvlJc w:val="left"/>
    </w:lvl>
    <w:lvl w:ilvl="4" w:tplc="AA9E123C">
      <w:start w:val="1"/>
      <w:numFmt w:val="bullet"/>
      <w:lvlText w:val=""/>
      <w:lvlJc w:val="left"/>
    </w:lvl>
    <w:lvl w:ilvl="5" w:tplc="ED126CF4">
      <w:start w:val="1"/>
      <w:numFmt w:val="bullet"/>
      <w:lvlText w:val=""/>
      <w:lvlJc w:val="left"/>
    </w:lvl>
    <w:lvl w:ilvl="6" w:tplc="2A2E7FAA">
      <w:start w:val="1"/>
      <w:numFmt w:val="bullet"/>
      <w:lvlText w:val=""/>
      <w:lvlJc w:val="left"/>
    </w:lvl>
    <w:lvl w:ilvl="7" w:tplc="F98E4EEA">
      <w:start w:val="1"/>
      <w:numFmt w:val="bullet"/>
      <w:lvlText w:val=""/>
      <w:lvlJc w:val="left"/>
    </w:lvl>
    <w:lvl w:ilvl="8" w:tplc="E4B476C2">
      <w:start w:val="1"/>
      <w:numFmt w:val="bullet"/>
      <w:lvlText w:val=""/>
      <w:lvlJc w:val="left"/>
    </w:lvl>
  </w:abstractNum>
  <w:abstractNum w:abstractNumId="43" w15:restartNumberingAfterBreak="0">
    <w:nsid w:val="0000002C"/>
    <w:multiLevelType w:val="multilevel"/>
    <w:tmpl w:val="D012DE4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4" w15:restartNumberingAfterBreak="0">
    <w:nsid w:val="0000002D"/>
    <w:multiLevelType w:val="multilevel"/>
    <w:tmpl w:val="F342B22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5" w15:restartNumberingAfterBreak="0">
    <w:nsid w:val="0000002E"/>
    <w:multiLevelType w:val="multilevel"/>
    <w:tmpl w:val="3BF47A4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6" w15:restartNumberingAfterBreak="0">
    <w:nsid w:val="0000002F"/>
    <w:multiLevelType w:val="multilevel"/>
    <w:tmpl w:val="035C31D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7" w15:restartNumberingAfterBreak="0">
    <w:nsid w:val="00000030"/>
    <w:multiLevelType w:val="multilevel"/>
    <w:tmpl w:val="812E2FD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8" w15:restartNumberingAfterBreak="0">
    <w:nsid w:val="00000031"/>
    <w:multiLevelType w:val="multilevel"/>
    <w:tmpl w:val="9984E76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9" w15:restartNumberingAfterBreak="0">
    <w:nsid w:val="00000032"/>
    <w:multiLevelType w:val="multilevel"/>
    <w:tmpl w:val="6F929BA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0" w15:restartNumberingAfterBreak="0">
    <w:nsid w:val="00000033"/>
    <w:multiLevelType w:val="multilevel"/>
    <w:tmpl w:val="4C4EE51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1" w15:restartNumberingAfterBreak="0">
    <w:nsid w:val="00000034"/>
    <w:multiLevelType w:val="multilevel"/>
    <w:tmpl w:val="1DBAC9D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2" w15:restartNumberingAfterBreak="0">
    <w:nsid w:val="00000035"/>
    <w:multiLevelType w:val="multilevel"/>
    <w:tmpl w:val="B2D2A18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7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3" w15:restartNumberingAfterBreak="0">
    <w:nsid w:val="00000036"/>
    <w:multiLevelType w:val="multilevel"/>
    <w:tmpl w:val="8E7EEF1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4" w15:restartNumberingAfterBreak="0">
    <w:nsid w:val="00000037"/>
    <w:multiLevelType w:val="hybridMultilevel"/>
    <w:tmpl w:val="6A37288A"/>
    <w:lvl w:ilvl="0" w:tplc="F4306B2C">
      <w:start w:val="1"/>
      <w:numFmt w:val="bullet"/>
      <w:lvlText w:val=""/>
      <w:lvlJc w:val="left"/>
    </w:lvl>
    <w:lvl w:ilvl="1" w:tplc="D4428D32">
      <w:start w:val="1"/>
      <w:numFmt w:val="bullet"/>
      <w:lvlText w:val=""/>
      <w:lvlJc w:val="left"/>
    </w:lvl>
    <w:lvl w:ilvl="2" w:tplc="5E3CC29E">
      <w:start w:val="1"/>
      <w:numFmt w:val="bullet"/>
      <w:lvlText w:val="*"/>
      <w:lvlJc w:val="left"/>
    </w:lvl>
    <w:lvl w:ilvl="3" w:tplc="D960DDF8">
      <w:start w:val="1"/>
      <w:numFmt w:val="bullet"/>
      <w:lvlText w:val=""/>
      <w:lvlJc w:val="left"/>
    </w:lvl>
    <w:lvl w:ilvl="4" w:tplc="2C8204E8">
      <w:start w:val="1"/>
      <w:numFmt w:val="bullet"/>
      <w:lvlText w:val=""/>
      <w:lvlJc w:val="left"/>
    </w:lvl>
    <w:lvl w:ilvl="5" w:tplc="9D7645E8">
      <w:start w:val="1"/>
      <w:numFmt w:val="bullet"/>
      <w:lvlText w:val=""/>
      <w:lvlJc w:val="left"/>
    </w:lvl>
    <w:lvl w:ilvl="6" w:tplc="2AFA36EE">
      <w:start w:val="1"/>
      <w:numFmt w:val="bullet"/>
      <w:lvlText w:val=""/>
      <w:lvlJc w:val="left"/>
    </w:lvl>
    <w:lvl w:ilvl="7" w:tplc="D07C9FE4">
      <w:start w:val="1"/>
      <w:numFmt w:val="bullet"/>
      <w:lvlText w:val=""/>
      <w:lvlJc w:val="left"/>
    </w:lvl>
    <w:lvl w:ilvl="8" w:tplc="72E8BEC8">
      <w:start w:val="1"/>
      <w:numFmt w:val="bullet"/>
      <w:lvlText w:val=""/>
      <w:lvlJc w:val="left"/>
    </w:lvl>
  </w:abstractNum>
  <w:abstractNum w:abstractNumId="55" w15:restartNumberingAfterBreak="0">
    <w:nsid w:val="00000038"/>
    <w:multiLevelType w:val="multilevel"/>
    <w:tmpl w:val="14566A4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6" w15:restartNumberingAfterBreak="0">
    <w:nsid w:val="00000039"/>
    <w:multiLevelType w:val="multilevel"/>
    <w:tmpl w:val="D34A7CC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7" w15:restartNumberingAfterBreak="0">
    <w:nsid w:val="0000003A"/>
    <w:multiLevelType w:val="multilevel"/>
    <w:tmpl w:val="8C0C340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9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8" w15:restartNumberingAfterBreak="0">
    <w:nsid w:val="0000003B"/>
    <w:multiLevelType w:val="multilevel"/>
    <w:tmpl w:val="4038F3F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9" w15:restartNumberingAfterBreak="0">
    <w:nsid w:val="0000003C"/>
    <w:multiLevelType w:val="multilevel"/>
    <w:tmpl w:val="A9B0463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0" w15:restartNumberingAfterBreak="0">
    <w:nsid w:val="0000003D"/>
    <w:multiLevelType w:val="hybridMultilevel"/>
    <w:tmpl w:val="1CDCE2DE"/>
    <w:lvl w:ilvl="0" w:tplc="AB428CBC">
      <w:start w:val="1"/>
      <w:numFmt w:val="bullet"/>
      <w:lvlText w:val=""/>
      <w:lvlJc w:val="left"/>
    </w:lvl>
    <w:lvl w:ilvl="1" w:tplc="6BB0D5C8">
      <w:start w:val="1"/>
      <w:numFmt w:val="bullet"/>
      <w:lvlText w:val=""/>
      <w:lvlJc w:val="left"/>
    </w:lvl>
    <w:lvl w:ilvl="2" w:tplc="09DED23A">
      <w:start w:val="1"/>
      <w:numFmt w:val="bullet"/>
      <w:lvlText w:val="│││"/>
      <w:lvlJc w:val="left"/>
    </w:lvl>
    <w:lvl w:ilvl="3" w:tplc="9BDA8EF8">
      <w:start w:val="1"/>
      <w:numFmt w:val="bullet"/>
      <w:lvlText w:val=""/>
      <w:lvlJc w:val="left"/>
    </w:lvl>
    <w:lvl w:ilvl="4" w:tplc="2774F49A">
      <w:start w:val="1"/>
      <w:numFmt w:val="bullet"/>
      <w:lvlText w:val=""/>
      <w:lvlJc w:val="left"/>
    </w:lvl>
    <w:lvl w:ilvl="5" w:tplc="5F5A6D74">
      <w:start w:val="1"/>
      <w:numFmt w:val="bullet"/>
      <w:lvlText w:val=""/>
      <w:lvlJc w:val="left"/>
    </w:lvl>
    <w:lvl w:ilvl="6" w:tplc="9AD20010">
      <w:start w:val="1"/>
      <w:numFmt w:val="bullet"/>
      <w:lvlText w:val=""/>
      <w:lvlJc w:val="left"/>
    </w:lvl>
    <w:lvl w:ilvl="7" w:tplc="E77872F6">
      <w:start w:val="1"/>
      <w:numFmt w:val="bullet"/>
      <w:lvlText w:val=""/>
      <w:lvlJc w:val="left"/>
    </w:lvl>
    <w:lvl w:ilvl="8" w:tplc="C6147732">
      <w:start w:val="1"/>
      <w:numFmt w:val="bullet"/>
      <w:lvlText w:val=""/>
      <w:lvlJc w:val="left"/>
    </w:lvl>
  </w:abstractNum>
  <w:abstractNum w:abstractNumId="61" w15:restartNumberingAfterBreak="0">
    <w:nsid w:val="0000003E"/>
    <w:multiLevelType w:val="multilevel"/>
    <w:tmpl w:val="64D0180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2" w15:restartNumberingAfterBreak="0">
    <w:nsid w:val="0000003F"/>
    <w:multiLevelType w:val="hybridMultilevel"/>
    <w:tmpl w:val="2539DFA4"/>
    <w:lvl w:ilvl="0" w:tplc="2760F954">
      <w:start w:val="1"/>
      <w:numFmt w:val="bullet"/>
      <w:lvlText w:val=""/>
      <w:lvlJc w:val="left"/>
    </w:lvl>
    <w:lvl w:ilvl="1" w:tplc="923A45BE">
      <w:start w:val="1"/>
      <w:numFmt w:val="bullet"/>
      <w:lvlText w:val=""/>
      <w:lvlJc w:val="left"/>
    </w:lvl>
    <w:lvl w:ilvl="2" w:tplc="17A8E410">
      <w:start w:val="1"/>
      <w:numFmt w:val="bullet"/>
      <w:lvlText w:val="│││"/>
      <w:lvlJc w:val="left"/>
    </w:lvl>
    <w:lvl w:ilvl="3" w:tplc="C2FE3642">
      <w:start w:val="1"/>
      <w:numFmt w:val="bullet"/>
      <w:lvlText w:val=""/>
      <w:lvlJc w:val="left"/>
    </w:lvl>
    <w:lvl w:ilvl="4" w:tplc="F976D49A">
      <w:start w:val="1"/>
      <w:numFmt w:val="bullet"/>
      <w:lvlText w:val=""/>
      <w:lvlJc w:val="left"/>
    </w:lvl>
    <w:lvl w:ilvl="5" w:tplc="CAA6F40A">
      <w:start w:val="1"/>
      <w:numFmt w:val="bullet"/>
      <w:lvlText w:val=""/>
      <w:lvlJc w:val="left"/>
    </w:lvl>
    <w:lvl w:ilvl="6" w:tplc="B46E8EA2">
      <w:start w:val="1"/>
      <w:numFmt w:val="bullet"/>
      <w:lvlText w:val=""/>
      <w:lvlJc w:val="left"/>
    </w:lvl>
    <w:lvl w:ilvl="7" w:tplc="51F45330">
      <w:start w:val="1"/>
      <w:numFmt w:val="bullet"/>
      <w:lvlText w:val=""/>
      <w:lvlJc w:val="left"/>
    </w:lvl>
    <w:lvl w:ilvl="8" w:tplc="BCE2E1C8">
      <w:start w:val="1"/>
      <w:numFmt w:val="bullet"/>
      <w:lvlText w:val=""/>
      <w:lvlJc w:val="left"/>
    </w:lvl>
  </w:abstractNum>
  <w:abstractNum w:abstractNumId="63" w15:restartNumberingAfterBreak="0">
    <w:nsid w:val="00000040"/>
    <w:multiLevelType w:val="multilevel"/>
    <w:tmpl w:val="B442BB9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4" w15:restartNumberingAfterBreak="0">
    <w:nsid w:val="00000041"/>
    <w:multiLevelType w:val="multilevel"/>
    <w:tmpl w:val="F5A6968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5" w15:restartNumberingAfterBreak="0">
    <w:nsid w:val="00000042"/>
    <w:multiLevelType w:val="multilevel"/>
    <w:tmpl w:val="F8C0695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6" w15:restartNumberingAfterBreak="0">
    <w:nsid w:val="00000043"/>
    <w:multiLevelType w:val="multilevel"/>
    <w:tmpl w:val="3132A33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7" w15:restartNumberingAfterBreak="0">
    <w:nsid w:val="00000044"/>
    <w:multiLevelType w:val="multilevel"/>
    <w:tmpl w:val="C6DC6BE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8" w15:restartNumberingAfterBreak="0">
    <w:nsid w:val="00000045"/>
    <w:multiLevelType w:val="multilevel"/>
    <w:tmpl w:val="8F925D8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9" w15:restartNumberingAfterBreak="0">
    <w:nsid w:val="00000046"/>
    <w:multiLevelType w:val="multilevel"/>
    <w:tmpl w:val="6F02193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0" w15:restartNumberingAfterBreak="0">
    <w:nsid w:val="00000047"/>
    <w:multiLevelType w:val="multilevel"/>
    <w:tmpl w:val="E124D8B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1" w15:restartNumberingAfterBreak="0">
    <w:nsid w:val="00000048"/>
    <w:multiLevelType w:val="multilevel"/>
    <w:tmpl w:val="2DD0D6E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2" w15:restartNumberingAfterBreak="0">
    <w:nsid w:val="00000049"/>
    <w:multiLevelType w:val="multilevel"/>
    <w:tmpl w:val="1A62669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6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3" w15:restartNumberingAfterBreak="0">
    <w:nsid w:val="0000004A"/>
    <w:multiLevelType w:val="multilevel"/>
    <w:tmpl w:val="0628ADF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7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4" w15:restartNumberingAfterBreak="0">
    <w:nsid w:val="0000004B"/>
    <w:multiLevelType w:val="multilevel"/>
    <w:tmpl w:val="0D2A66E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5" w15:restartNumberingAfterBreak="0">
    <w:nsid w:val="0000004C"/>
    <w:multiLevelType w:val="multilevel"/>
    <w:tmpl w:val="AB30E34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9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6" w15:restartNumberingAfterBreak="0">
    <w:nsid w:val="0000004D"/>
    <w:multiLevelType w:val="multilevel"/>
    <w:tmpl w:val="D15E9308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0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7" w15:restartNumberingAfterBreak="0">
    <w:nsid w:val="0000004E"/>
    <w:multiLevelType w:val="multilevel"/>
    <w:tmpl w:val="19ECC0C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8" w15:restartNumberingAfterBreak="0">
    <w:nsid w:val="0000004F"/>
    <w:multiLevelType w:val="multilevel"/>
    <w:tmpl w:val="8018A91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9" w15:restartNumberingAfterBreak="0">
    <w:nsid w:val="00000050"/>
    <w:multiLevelType w:val="multilevel"/>
    <w:tmpl w:val="F4F85C7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0" w15:restartNumberingAfterBreak="0">
    <w:nsid w:val="00000051"/>
    <w:multiLevelType w:val="multilevel"/>
    <w:tmpl w:val="2E40D6F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1" w15:restartNumberingAfterBreak="0">
    <w:nsid w:val="00000052"/>
    <w:multiLevelType w:val="multilevel"/>
    <w:tmpl w:val="FBEE697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2" w15:restartNumberingAfterBreak="0">
    <w:nsid w:val="00000053"/>
    <w:multiLevelType w:val="hybridMultilevel"/>
    <w:tmpl w:val="335A1DF0"/>
    <w:lvl w:ilvl="0" w:tplc="8454311E">
      <w:start w:val="1"/>
      <w:numFmt w:val="bullet"/>
      <w:lvlText w:val=""/>
      <w:lvlJc w:val="left"/>
    </w:lvl>
    <w:lvl w:ilvl="1" w:tplc="BC8823D6">
      <w:start w:val="1"/>
      <w:numFmt w:val="bullet"/>
      <w:lvlText w:val=""/>
      <w:lvlJc w:val="left"/>
    </w:lvl>
    <w:lvl w:ilvl="2" w:tplc="4C3C01E0">
      <w:start w:val="1"/>
      <w:numFmt w:val="bullet"/>
      <w:lvlText w:val=""/>
      <w:lvlJc w:val="left"/>
    </w:lvl>
    <w:lvl w:ilvl="3" w:tplc="4D0E8BEC">
      <w:start w:val="1"/>
      <w:numFmt w:val="bullet"/>
      <w:lvlText w:val=""/>
      <w:lvlJc w:val="left"/>
    </w:lvl>
    <w:lvl w:ilvl="4" w:tplc="4DDC7988">
      <w:start w:val="1"/>
      <w:numFmt w:val="bullet"/>
      <w:lvlText w:val=""/>
      <w:lvlJc w:val="left"/>
    </w:lvl>
    <w:lvl w:ilvl="5" w:tplc="F9CEED18">
      <w:start w:val="1"/>
      <w:numFmt w:val="bullet"/>
      <w:lvlText w:val=""/>
      <w:lvlJc w:val="left"/>
    </w:lvl>
    <w:lvl w:ilvl="6" w:tplc="447A4B16">
      <w:start w:val="1"/>
      <w:numFmt w:val="bullet"/>
      <w:lvlText w:val=""/>
      <w:lvlJc w:val="left"/>
    </w:lvl>
    <w:lvl w:ilvl="7" w:tplc="FAEAA6A2">
      <w:start w:val="1"/>
      <w:numFmt w:val="bullet"/>
      <w:lvlText w:val=""/>
      <w:lvlJc w:val="left"/>
    </w:lvl>
    <w:lvl w:ilvl="8" w:tplc="3B2C84B4">
      <w:start w:val="1"/>
      <w:numFmt w:val="bullet"/>
      <w:lvlText w:val=""/>
      <w:lvlJc w:val="left"/>
    </w:lvl>
  </w:abstractNum>
  <w:abstractNum w:abstractNumId="83" w15:restartNumberingAfterBreak="0">
    <w:nsid w:val="00000054"/>
    <w:multiLevelType w:val="hybridMultilevel"/>
    <w:tmpl w:val="28677B7C"/>
    <w:lvl w:ilvl="0" w:tplc="F8C08F44">
      <w:start w:val="1"/>
      <w:numFmt w:val="bullet"/>
      <w:lvlText w:val=""/>
      <w:lvlJc w:val="left"/>
    </w:lvl>
    <w:lvl w:ilvl="1" w:tplc="BF1E9766">
      <w:start w:val="1"/>
      <w:numFmt w:val="bullet"/>
      <w:lvlText w:val=""/>
      <w:lvlJc w:val="left"/>
    </w:lvl>
    <w:lvl w:ilvl="2" w:tplc="A9E8DD0C">
      <w:start w:val="1"/>
      <w:numFmt w:val="bullet"/>
      <w:lvlText w:val=""/>
      <w:lvlJc w:val="left"/>
    </w:lvl>
    <w:lvl w:ilvl="3" w:tplc="C456CAB0">
      <w:start w:val="1"/>
      <w:numFmt w:val="bullet"/>
      <w:lvlText w:val=""/>
      <w:lvlJc w:val="left"/>
    </w:lvl>
    <w:lvl w:ilvl="4" w:tplc="79FC2D9E">
      <w:start w:val="1"/>
      <w:numFmt w:val="bullet"/>
      <w:lvlText w:val=""/>
      <w:lvlJc w:val="left"/>
    </w:lvl>
    <w:lvl w:ilvl="5" w:tplc="56AC9A9E">
      <w:start w:val="1"/>
      <w:numFmt w:val="bullet"/>
      <w:lvlText w:val=""/>
      <w:lvlJc w:val="left"/>
    </w:lvl>
    <w:lvl w:ilvl="6" w:tplc="0E8458C6">
      <w:start w:val="1"/>
      <w:numFmt w:val="bullet"/>
      <w:lvlText w:val=""/>
      <w:lvlJc w:val="left"/>
    </w:lvl>
    <w:lvl w:ilvl="7" w:tplc="1D662DF2">
      <w:start w:val="1"/>
      <w:numFmt w:val="bullet"/>
      <w:lvlText w:val=""/>
      <w:lvlJc w:val="left"/>
    </w:lvl>
    <w:lvl w:ilvl="8" w:tplc="F02C632A">
      <w:start w:val="1"/>
      <w:numFmt w:val="bullet"/>
      <w:lvlText w:val=""/>
      <w:lvlJc w:val="left"/>
    </w:lvl>
  </w:abstractNum>
  <w:abstractNum w:abstractNumId="84" w15:restartNumberingAfterBreak="0">
    <w:nsid w:val="00000055"/>
    <w:multiLevelType w:val="multilevel"/>
    <w:tmpl w:val="74BCBAD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2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5" w15:restartNumberingAfterBreak="0">
    <w:nsid w:val="00000056"/>
    <w:multiLevelType w:val="multilevel"/>
    <w:tmpl w:val="3EFA737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6" w15:restartNumberingAfterBreak="0">
    <w:nsid w:val="00000057"/>
    <w:multiLevelType w:val="multilevel"/>
    <w:tmpl w:val="2ACC2C7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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7" w15:restartNumberingAfterBreak="0">
    <w:nsid w:val="00000058"/>
    <w:multiLevelType w:val="multilevel"/>
    <w:tmpl w:val="9056A5CE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8" w15:restartNumberingAfterBreak="0">
    <w:nsid w:val="00000059"/>
    <w:multiLevelType w:val="multilevel"/>
    <w:tmpl w:val="7908CB0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9" w15:restartNumberingAfterBreak="0">
    <w:nsid w:val="0000005A"/>
    <w:multiLevelType w:val="multilevel"/>
    <w:tmpl w:val="CBBEBE9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3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0" w15:restartNumberingAfterBreak="0">
    <w:nsid w:val="0000005B"/>
    <w:multiLevelType w:val="multilevel"/>
    <w:tmpl w:val="94A61214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4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1" w15:restartNumberingAfterBreak="0">
    <w:nsid w:val="0000005C"/>
    <w:multiLevelType w:val="multilevel"/>
    <w:tmpl w:val="D72689F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2" w15:restartNumberingAfterBreak="0">
    <w:nsid w:val="0000005D"/>
    <w:multiLevelType w:val="multilevel"/>
    <w:tmpl w:val="36FCD80A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6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3" w15:restartNumberingAfterBreak="0">
    <w:nsid w:val="0000005E"/>
    <w:multiLevelType w:val="multilevel"/>
    <w:tmpl w:val="9FD8A5A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7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4" w15:restartNumberingAfterBreak="0">
    <w:nsid w:val="0000005F"/>
    <w:multiLevelType w:val="multilevel"/>
    <w:tmpl w:val="586E064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5" w15:restartNumberingAfterBreak="0">
    <w:nsid w:val="00000060"/>
    <w:multiLevelType w:val="hybridMultilevel"/>
    <w:tmpl w:val="215641AE"/>
    <w:lvl w:ilvl="0" w:tplc="D7F6B666">
      <w:start w:val="1"/>
      <w:numFmt w:val="bullet"/>
      <w:lvlText w:val=""/>
      <w:lvlJc w:val="left"/>
    </w:lvl>
    <w:lvl w:ilvl="1" w:tplc="08365184">
      <w:start w:val="1"/>
      <w:numFmt w:val="bullet"/>
      <w:lvlText w:val=""/>
      <w:lvlJc w:val="left"/>
    </w:lvl>
    <w:lvl w:ilvl="2" w:tplc="B1EAD1AA">
      <w:start w:val="1"/>
      <w:numFmt w:val="bullet"/>
      <w:lvlText w:val="*"/>
      <w:lvlJc w:val="left"/>
    </w:lvl>
    <w:lvl w:ilvl="3" w:tplc="0C24268C">
      <w:start w:val="1"/>
      <w:numFmt w:val="bullet"/>
      <w:lvlText w:val=""/>
      <w:lvlJc w:val="left"/>
    </w:lvl>
    <w:lvl w:ilvl="4" w:tplc="0FD6FFC6">
      <w:start w:val="1"/>
      <w:numFmt w:val="bullet"/>
      <w:lvlText w:val=""/>
      <w:lvlJc w:val="left"/>
    </w:lvl>
    <w:lvl w:ilvl="5" w:tplc="F15E66B6">
      <w:start w:val="1"/>
      <w:numFmt w:val="bullet"/>
      <w:lvlText w:val=""/>
      <w:lvlJc w:val="left"/>
    </w:lvl>
    <w:lvl w:ilvl="6" w:tplc="EE3C1E32">
      <w:start w:val="1"/>
      <w:numFmt w:val="bullet"/>
      <w:lvlText w:val=""/>
      <w:lvlJc w:val="left"/>
    </w:lvl>
    <w:lvl w:ilvl="7" w:tplc="EB2A5390">
      <w:start w:val="1"/>
      <w:numFmt w:val="bullet"/>
      <w:lvlText w:val=""/>
      <w:lvlJc w:val="left"/>
    </w:lvl>
    <w:lvl w:ilvl="8" w:tplc="0B7CD3BC">
      <w:start w:val="1"/>
      <w:numFmt w:val="bullet"/>
      <w:lvlText w:val=""/>
      <w:lvlJc w:val="left"/>
    </w:lvl>
  </w:abstractNum>
  <w:abstractNum w:abstractNumId="96" w15:restartNumberingAfterBreak="0">
    <w:nsid w:val="00000061"/>
    <w:multiLevelType w:val="multilevel"/>
    <w:tmpl w:val="70CE22F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7" w15:restartNumberingAfterBreak="0">
    <w:nsid w:val="00000062"/>
    <w:multiLevelType w:val="multilevel"/>
    <w:tmpl w:val="7AAA51E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8"/>
      <w:numFmt w:val="decimal"/>
      <w:lvlText w:val="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8" w15:restartNumberingAfterBreak="0">
    <w:nsid w:val="00000063"/>
    <w:multiLevelType w:val="multilevel"/>
    <w:tmpl w:val="76122EE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9"/>
      <w:numFmt w:val="decimal"/>
      <w:lvlText w:val="4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9" w15:restartNumberingAfterBreak="0">
    <w:nsid w:val="00000064"/>
    <w:multiLevelType w:val="multilevel"/>
    <w:tmpl w:val="A1BA0002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5"/>
      <w:numFmt w:val="decimal"/>
      <w:lvlText w:val="%1.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0" w15:restartNumberingAfterBreak="0">
    <w:nsid w:val="00000065"/>
    <w:multiLevelType w:val="multilevel"/>
    <w:tmpl w:val="92A08CEC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5.%1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1" w15:restartNumberingAfterBreak="0">
    <w:nsid w:val="00000066"/>
    <w:multiLevelType w:val="hybridMultilevel"/>
    <w:tmpl w:val="5953172E"/>
    <w:lvl w:ilvl="0" w:tplc="C5EA186A">
      <w:start w:val="1"/>
      <w:numFmt w:val="bullet"/>
      <w:lvlText w:val=""/>
      <w:lvlJc w:val="left"/>
    </w:lvl>
    <w:lvl w:ilvl="1" w:tplc="F13064BC">
      <w:start w:val="1"/>
      <w:numFmt w:val="bullet"/>
      <w:lvlText w:val=""/>
      <w:lvlJc w:val="left"/>
    </w:lvl>
    <w:lvl w:ilvl="2" w:tplc="E19E1CF0">
      <w:start w:val="1"/>
      <w:numFmt w:val="bullet"/>
      <w:lvlText w:val="│││"/>
      <w:lvlJc w:val="left"/>
    </w:lvl>
    <w:lvl w:ilvl="3" w:tplc="AE3E10B0">
      <w:start w:val="1"/>
      <w:numFmt w:val="bullet"/>
      <w:lvlText w:val=""/>
      <w:lvlJc w:val="left"/>
    </w:lvl>
    <w:lvl w:ilvl="4" w:tplc="6EC4C62E">
      <w:start w:val="1"/>
      <w:numFmt w:val="bullet"/>
      <w:lvlText w:val=""/>
      <w:lvlJc w:val="left"/>
    </w:lvl>
    <w:lvl w:ilvl="5" w:tplc="5D529488">
      <w:start w:val="1"/>
      <w:numFmt w:val="bullet"/>
      <w:lvlText w:val=""/>
      <w:lvlJc w:val="left"/>
    </w:lvl>
    <w:lvl w:ilvl="6" w:tplc="C0C271F2">
      <w:start w:val="1"/>
      <w:numFmt w:val="bullet"/>
      <w:lvlText w:val=""/>
      <w:lvlJc w:val="left"/>
    </w:lvl>
    <w:lvl w:ilvl="7" w:tplc="B486F8D4">
      <w:start w:val="1"/>
      <w:numFmt w:val="bullet"/>
      <w:lvlText w:val=""/>
      <w:lvlJc w:val="left"/>
    </w:lvl>
    <w:lvl w:ilvl="8" w:tplc="61B491CE">
      <w:start w:val="1"/>
      <w:numFmt w:val="bullet"/>
      <w:lvlText w:val=""/>
      <w:lvlJc w:val="left"/>
    </w:lvl>
  </w:abstractNum>
  <w:abstractNum w:abstractNumId="102" w15:restartNumberingAfterBreak="0">
    <w:nsid w:val="00000067"/>
    <w:multiLevelType w:val="multilevel"/>
    <w:tmpl w:val="BF9E99E0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3" w15:restartNumberingAfterBreak="0">
    <w:nsid w:val="00000068"/>
    <w:multiLevelType w:val="hybridMultilevel"/>
    <w:tmpl w:val="52AC7DFE"/>
    <w:lvl w:ilvl="0" w:tplc="2FA096EE">
      <w:start w:val="1"/>
      <w:numFmt w:val="bullet"/>
      <w:lvlText w:val=""/>
      <w:lvlJc w:val="left"/>
    </w:lvl>
    <w:lvl w:ilvl="1" w:tplc="A1A6C668">
      <w:start w:val="1"/>
      <w:numFmt w:val="bullet"/>
      <w:lvlText w:val=""/>
      <w:lvlJc w:val="left"/>
    </w:lvl>
    <w:lvl w:ilvl="2" w:tplc="20F82FDE">
      <w:start w:val="1"/>
      <w:numFmt w:val="bullet"/>
      <w:lvlText w:val="│││"/>
      <w:lvlJc w:val="left"/>
    </w:lvl>
    <w:lvl w:ilvl="3" w:tplc="C9C07CB8">
      <w:start w:val="1"/>
      <w:numFmt w:val="bullet"/>
      <w:lvlText w:val=""/>
      <w:lvlJc w:val="left"/>
    </w:lvl>
    <w:lvl w:ilvl="4" w:tplc="094AD760">
      <w:start w:val="1"/>
      <w:numFmt w:val="bullet"/>
      <w:lvlText w:val=""/>
      <w:lvlJc w:val="left"/>
    </w:lvl>
    <w:lvl w:ilvl="5" w:tplc="0AEAFBA6">
      <w:start w:val="1"/>
      <w:numFmt w:val="bullet"/>
      <w:lvlText w:val=""/>
      <w:lvlJc w:val="left"/>
    </w:lvl>
    <w:lvl w:ilvl="6" w:tplc="AAAE5BB0">
      <w:start w:val="1"/>
      <w:numFmt w:val="bullet"/>
      <w:lvlText w:val=""/>
      <w:lvlJc w:val="left"/>
    </w:lvl>
    <w:lvl w:ilvl="7" w:tplc="E67A60E2">
      <w:start w:val="1"/>
      <w:numFmt w:val="bullet"/>
      <w:lvlText w:val=""/>
      <w:lvlJc w:val="left"/>
    </w:lvl>
    <w:lvl w:ilvl="8" w:tplc="12F831FA">
      <w:start w:val="1"/>
      <w:numFmt w:val="bullet"/>
      <w:lvlText w:val=""/>
      <w:lvlJc w:val="left"/>
    </w:lvl>
  </w:abstractNum>
  <w:abstractNum w:abstractNumId="104" w15:restartNumberingAfterBreak="0">
    <w:nsid w:val="00000069"/>
    <w:multiLevelType w:val="multilevel"/>
    <w:tmpl w:val="95DCC216"/>
    <w:lvl w:ilvl="0">
      <w:start w:val="1"/>
      <w:numFmt w:val="bullet"/>
      <w:lvlText w:val=""/>
      <w:lvlJc w:val="left"/>
    </w:lvl>
    <w:lvl w:ilvl="1">
      <w:start w:val="1"/>
      <w:numFmt w:val="bullet"/>
      <w:lvlText w:val=""/>
      <w:lvlJc w:val="left"/>
    </w:lvl>
    <w:lvl w:ilvl="2">
      <w:start w:val="1"/>
      <w:numFmt w:val="decimal"/>
      <w:lvlText w:val="(%1)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5" w15:restartNumberingAfterBreak="0">
    <w:nsid w:val="00987860"/>
    <w:multiLevelType w:val="hybridMultilevel"/>
    <w:tmpl w:val="7908CEB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09C61379"/>
    <w:multiLevelType w:val="hybridMultilevel"/>
    <w:tmpl w:val="303AAE0C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0DE71955"/>
    <w:multiLevelType w:val="hybridMultilevel"/>
    <w:tmpl w:val="09B0EA3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21E32F3D"/>
    <w:multiLevelType w:val="hybridMultilevel"/>
    <w:tmpl w:val="7772DDBC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34345B6"/>
    <w:multiLevelType w:val="hybridMultilevel"/>
    <w:tmpl w:val="2EC80DEA"/>
    <w:lvl w:ilvl="0" w:tplc="040E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10" w15:restartNumberingAfterBreak="0">
    <w:nsid w:val="79A17045"/>
    <w:multiLevelType w:val="hybridMultilevel"/>
    <w:tmpl w:val="88E6721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B025F0D"/>
    <w:multiLevelType w:val="hybridMultilevel"/>
    <w:tmpl w:val="E68E5C8E"/>
    <w:lvl w:ilvl="0" w:tplc="9AB6B8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E8101F4"/>
    <w:multiLevelType w:val="hybridMultilevel"/>
    <w:tmpl w:val="36BE9E2A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463656">
    <w:abstractNumId w:val="0"/>
  </w:num>
  <w:num w:numId="2" w16cid:durableId="1752265839">
    <w:abstractNumId w:val="1"/>
  </w:num>
  <w:num w:numId="3" w16cid:durableId="1719625314">
    <w:abstractNumId w:val="2"/>
  </w:num>
  <w:num w:numId="4" w16cid:durableId="304049194">
    <w:abstractNumId w:val="3"/>
  </w:num>
  <w:num w:numId="5" w16cid:durableId="934941805">
    <w:abstractNumId w:val="4"/>
  </w:num>
  <w:num w:numId="6" w16cid:durableId="577524910">
    <w:abstractNumId w:val="5"/>
  </w:num>
  <w:num w:numId="7" w16cid:durableId="702174410">
    <w:abstractNumId w:val="6"/>
  </w:num>
  <w:num w:numId="8" w16cid:durableId="156850625">
    <w:abstractNumId w:val="7"/>
  </w:num>
  <w:num w:numId="9" w16cid:durableId="415056314">
    <w:abstractNumId w:val="8"/>
  </w:num>
  <w:num w:numId="10" w16cid:durableId="381754045">
    <w:abstractNumId w:val="9"/>
  </w:num>
  <w:num w:numId="11" w16cid:durableId="1419015358">
    <w:abstractNumId w:val="10"/>
  </w:num>
  <w:num w:numId="12" w16cid:durableId="550919027">
    <w:abstractNumId w:val="11"/>
  </w:num>
  <w:num w:numId="13" w16cid:durableId="557088239">
    <w:abstractNumId w:val="12"/>
  </w:num>
  <w:num w:numId="14" w16cid:durableId="1015495672">
    <w:abstractNumId w:val="13"/>
  </w:num>
  <w:num w:numId="15" w16cid:durableId="125124898">
    <w:abstractNumId w:val="14"/>
  </w:num>
  <w:num w:numId="16" w16cid:durableId="755786578">
    <w:abstractNumId w:val="15"/>
  </w:num>
  <w:num w:numId="17" w16cid:durableId="407271698">
    <w:abstractNumId w:val="16"/>
  </w:num>
  <w:num w:numId="18" w16cid:durableId="1569654687">
    <w:abstractNumId w:val="17"/>
  </w:num>
  <w:num w:numId="19" w16cid:durableId="1918632519">
    <w:abstractNumId w:val="18"/>
  </w:num>
  <w:num w:numId="20" w16cid:durableId="1721396764">
    <w:abstractNumId w:val="19"/>
  </w:num>
  <w:num w:numId="21" w16cid:durableId="100731927">
    <w:abstractNumId w:val="20"/>
  </w:num>
  <w:num w:numId="22" w16cid:durableId="1701202859">
    <w:abstractNumId w:val="21"/>
  </w:num>
  <w:num w:numId="23" w16cid:durableId="1224951964">
    <w:abstractNumId w:val="22"/>
  </w:num>
  <w:num w:numId="24" w16cid:durableId="1872106028">
    <w:abstractNumId w:val="23"/>
  </w:num>
  <w:num w:numId="25" w16cid:durableId="1395279352">
    <w:abstractNumId w:val="24"/>
  </w:num>
  <w:num w:numId="26" w16cid:durableId="270668855">
    <w:abstractNumId w:val="25"/>
  </w:num>
  <w:num w:numId="27" w16cid:durableId="484708389">
    <w:abstractNumId w:val="26"/>
  </w:num>
  <w:num w:numId="28" w16cid:durableId="660891940">
    <w:abstractNumId w:val="27"/>
  </w:num>
  <w:num w:numId="29" w16cid:durableId="913127067">
    <w:abstractNumId w:val="28"/>
  </w:num>
  <w:num w:numId="30" w16cid:durableId="614597146">
    <w:abstractNumId w:val="29"/>
  </w:num>
  <w:num w:numId="31" w16cid:durableId="1740128315">
    <w:abstractNumId w:val="30"/>
  </w:num>
  <w:num w:numId="32" w16cid:durableId="137723018">
    <w:abstractNumId w:val="31"/>
  </w:num>
  <w:num w:numId="33" w16cid:durableId="491725756">
    <w:abstractNumId w:val="32"/>
  </w:num>
  <w:num w:numId="34" w16cid:durableId="1930190687">
    <w:abstractNumId w:val="33"/>
  </w:num>
  <w:num w:numId="35" w16cid:durableId="287469180">
    <w:abstractNumId w:val="34"/>
  </w:num>
  <w:num w:numId="36" w16cid:durableId="1933540419">
    <w:abstractNumId w:val="35"/>
  </w:num>
  <w:num w:numId="37" w16cid:durableId="30309047">
    <w:abstractNumId w:val="36"/>
  </w:num>
  <w:num w:numId="38" w16cid:durableId="145316380">
    <w:abstractNumId w:val="37"/>
  </w:num>
  <w:num w:numId="39" w16cid:durableId="1878808328">
    <w:abstractNumId w:val="38"/>
  </w:num>
  <w:num w:numId="40" w16cid:durableId="233247814">
    <w:abstractNumId w:val="39"/>
  </w:num>
  <w:num w:numId="41" w16cid:durableId="514002423">
    <w:abstractNumId w:val="40"/>
  </w:num>
  <w:num w:numId="42" w16cid:durableId="437069605">
    <w:abstractNumId w:val="41"/>
  </w:num>
  <w:num w:numId="43" w16cid:durableId="1443569469">
    <w:abstractNumId w:val="42"/>
  </w:num>
  <w:num w:numId="44" w16cid:durableId="1525365588">
    <w:abstractNumId w:val="43"/>
  </w:num>
  <w:num w:numId="45" w16cid:durableId="424614396">
    <w:abstractNumId w:val="44"/>
  </w:num>
  <w:num w:numId="46" w16cid:durableId="1790318129">
    <w:abstractNumId w:val="45"/>
  </w:num>
  <w:num w:numId="47" w16cid:durableId="1621449993">
    <w:abstractNumId w:val="46"/>
  </w:num>
  <w:num w:numId="48" w16cid:durableId="413479761">
    <w:abstractNumId w:val="47"/>
  </w:num>
  <w:num w:numId="49" w16cid:durableId="2100252062">
    <w:abstractNumId w:val="48"/>
  </w:num>
  <w:num w:numId="50" w16cid:durableId="615143907">
    <w:abstractNumId w:val="49"/>
  </w:num>
  <w:num w:numId="51" w16cid:durableId="1242446784">
    <w:abstractNumId w:val="50"/>
  </w:num>
  <w:num w:numId="52" w16cid:durableId="841629639">
    <w:abstractNumId w:val="51"/>
  </w:num>
  <w:num w:numId="53" w16cid:durableId="131942794">
    <w:abstractNumId w:val="52"/>
  </w:num>
  <w:num w:numId="54" w16cid:durableId="1223103177">
    <w:abstractNumId w:val="53"/>
  </w:num>
  <w:num w:numId="55" w16cid:durableId="860780254">
    <w:abstractNumId w:val="54"/>
  </w:num>
  <w:num w:numId="56" w16cid:durableId="1911647907">
    <w:abstractNumId w:val="55"/>
  </w:num>
  <w:num w:numId="57" w16cid:durableId="751781019">
    <w:abstractNumId w:val="56"/>
  </w:num>
  <w:num w:numId="58" w16cid:durableId="1604261265">
    <w:abstractNumId w:val="57"/>
  </w:num>
  <w:num w:numId="59" w16cid:durableId="721945914">
    <w:abstractNumId w:val="58"/>
  </w:num>
  <w:num w:numId="60" w16cid:durableId="658198400">
    <w:abstractNumId w:val="59"/>
  </w:num>
  <w:num w:numId="61" w16cid:durableId="2044936844">
    <w:abstractNumId w:val="60"/>
  </w:num>
  <w:num w:numId="62" w16cid:durableId="1155684191">
    <w:abstractNumId w:val="61"/>
  </w:num>
  <w:num w:numId="63" w16cid:durableId="68504754">
    <w:abstractNumId w:val="62"/>
  </w:num>
  <w:num w:numId="64" w16cid:durableId="1032462649">
    <w:abstractNumId w:val="63"/>
  </w:num>
  <w:num w:numId="65" w16cid:durableId="1514613885">
    <w:abstractNumId w:val="64"/>
  </w:num>
  <w:num w:numId="66" w16cid:durableId="2125343710">
    <w:abstractNumId w:val="65"/>
  </w:num>
  <w:num w:numId="67" w16cid:durableId="700281418">
    <w:abstractNumId w:val="66"/>
  </w:num>
  <w:num w:numId="68" w16cid:durableId="298535819">
    <w:abstractNumId w:val="67"/>
  </w:num>
  <w:num w:numId="69" w16cid:durableId="414061321">
    <w:abstractNumId w:val="68"/>
  </w:num>
  <w:num w:numId="70" w16cid:durableId="1828856308">
    <w:abstractNumId w:val="69"/>
  </w:num>
  <w:num w:numId="71" w16cid:durableId="337390840">
    <w:abstractNumId w:val="70"/>
  </w:num>
  <w:num w:numId="72" w16cid:durableId="532883845">
    <w:abstractNumId w:val="71"/>
  </w:num>
  <w:num w:numId="73" w16cid:durableId="1107189052">
    <w:abstractNumId w:val="72"/>
  </w:num>
  <w:num w:numId="74" w16cid:durableId="1609464137">
    <w:abstractNumId w:val="73"/>
  </w:num>
  <w:num w:numId="75" w16cid:durableId="1870414306">
    <w:abstractNumId w:val="74"/>
  </w:num>
  <w:num w:numId="76" w16cid:durableId="1082142336">
    <w:abstractNumId w:val="75"/>
  </w:num>
  <w:num w:numId="77" w16cid:durableId="108819686">
    <w:abstractNumId w:val="76"/>
  </w:num>
  <w:num w:numId="78" w16cid:durableId="1040662733">
    <w:abstractNumId w:val="77"/>
  </w:num>
  <w:num w:numId="79" w16cid:durableId="2004310082">
    <w:abstractNumId w:val="78"/>
  </w:num>
  <w:num w:numId="80" w16cid:durableId="1885098524">
    <w:abstractNumId w:val="79"/>
  </w:num>
  <w:num w:numId="81" w16cid:durableId="1219973496">
    <w:abstractNumId w:val="80"/>
  </w:num>
  <w:num w:numId="82" w16cid:durableId="2048330698">
    <w:abstractNumId w:val="81"/>
  </w:num>
  <w:num w:numId="83" w16cid:durableId="215748775">
    <w:abstractNumId w:val="82"/>
  </w:num>
  <w:num w:numId="84" w16cid:durableId="2141922899">
    <w:abstractNumId w:val="83"/>
  </w:num>
  <w:num w:numId="85" w16cid:durableId="456263376">
    <w:abstractNumId w:val="84"/>
  </w:num>
  <w:num w:numId="86" w16cid:durableId="712122665">
    <w:abstractNumId w:val="85"/>
  </w:num>
  <w:num w:numId="87" w16cid:durableId="1736124248">
    <w:abstractNumId w:val="86"/>
  </w:num>
  <w:num w:numId="88" w16cid:durableId="1525246547">
    <w:abstractNumId w:val="87"/>
  </w:num>
  <w:num w:numId="89" w16cid:durableId="700974871">
    <w:abstractNumId w:val="88"/>
  </w:num>
  <w:num w:numId="90" w16cid:durableId="914625224">
    <w:abstractNumId w:val="89"/>
  </w:num>
  <w:num w:numId="91" w16cid:durableId="1744327286">
    <w:abstractNumId w:val="90"/>
  </w:num>
  <w:num w:numId="92" w16cid:durableId="596791038">
    <w:abstractNumId w:val="91"/>
  </w:num>
  <w:num w:numId="93" w16cid:durableId="955793711">
    <w:abstractNumId w:val="92"/>
  </w:num>
  <w:num w:numId="94" w16cid:durableId="923102979">
    <w:abstractNumId w:val="93"/>
  </w:num>
  <w:num w:numId="95" w16cid:durableId="2021658865">
    <w:abstractNumId w:val="94"/>
  </w:num>
  <w:num w:numId="96" w16cid:durableId="1595744576">
    <w:abstractNumId w:val="95"/>
  </w:num>
  <w:num w:numId="97" w16cid:durableId="1431464712">
    <w:abstractNumId w:val="96"/>
  </w:num>
  <w:num w:numId="98" w16cid:durableId="1008599703">
    <w:abstractNumId w:val="97"/>
  </w:num>
  <w:num w:numId="99" w16cid:durableId="258030342">
    <w:abstractNumId w:val="98"/>
  </w:num>
  <w:num w:numId="100" w16cid:durableId="1527326949">
    <w:abstractNumId w:val="99"/>
  </w:num>
  <w:num w:numId="101" w16cid:durableId="1570386753">
    <w:abstractNumId w:val="100"/>
  </w:num>
  <w:num w:numId="102" w16cid:durableId="778838861">
    <w:abstractNumId w:val="101"/>
  </w:num>
  <w:num w:numId="103" w16cid:durableId="848837444">
    <w:abstractNumId w:val="102"/>
  </w:num>
  <w:num w:numId="104" w16cid:durableId="1964727630">
    <w:abstractNumId w:val="103"/>
  </w:num>
  <w:num w:numId="105" w16cid:durableId="39138075">
    <w:abstractNumId w:val="104"/>
  </w:num>
  <w:num w:numId="106" w16cid:durableId="1309363019">
    <w:abstractNumId w:val="0"/>
  </w:num>
  <w:num w:numId="107" w16cid:durableId="1781339704">
    <w:abstractNumId w:val="0"/>
  </w:num>
  <w:num w:numId="108" w16cid:durableId="47534378">
    <w:abstractNumId w:val="0"/>
  </w:num>
  <w:num w:numId="109" w16cid:durableId="1529756885">
    <w:abstractNumId w:val="0"/>
  </w:num>
  <w:num w:numId="110" w16cid:durableId="1248150423">
    <w:abstractNumId w:val="0"/>
  </w:num>
  <w:num w:numId="111" w16cid:durableId="1046685990">
    <w:abstractNumId w:val="0"/>
  </w:num>
  <w:num w:numId="112" w16cid:durableId="683437958">
    <w:abstractNumId w:val="0"/>
  </w:num>
  <w:num w:numId="113" w16cid:durableId="1398473866">
    <w:abstractNumId w:val="0"/>
  </w:num>
  <w:num w:numId="114" w16cid:durableId="2115439668">
    <w:abstractNumId w:val="0"/>
  </w:num>
  <w:num w:numId="115" w16cid:durableId="1655179382">
    <w:abstractNumId w:val="0"/>
  </w:num>
  <w:num w:numId="116" w16cid:durableId="1520436017">
    <w:abstractNumId w:val="0"/>
  </w:num>
  <w:num w:numId="117" w16cid:durableId="2086100978">
    <w:abstractNumId w:val="0"/>
  </w:num>
  <w:num w:numId="118" w16cid:durableId="1351103265">
    <w:abstractNumId w:val="0"/>
  </w:num>
  <w:num w:numId="119" w16cid:durableId="1008558066">
    <w:abstractNumId w:val="0"/>
  </w:num>
  <w:num w:numId="120" w16cid:durableId="713313706">
    <w:abstractNumId w:val="0"/>
  </w:num>
  <w:num w:numId="121" w16cid:durableId="498811288">
    <w:abstractNumId w:val="0"/>
  </w:num>
  <w:num w:numId="122" w16cid:durableId="1144812614">
    <w:abstractNumId w:val="0"/>
  </w:num>
  <w:num w:numId="123" w16cid:durableId="2137986701">
    <w:abstractNumId w:val="0"/>
  </w:num>
  <w:num w:numId="124" w16cid:durableId="1472555694">
    <w:abstractNumId w:val="0"/>
  </w:num>
  <w:num w:numId="125" w16cid:durableId="1974484493">
    <w:abstractNumId w:val="0"/>
  </w:num>
  <w:num w:numId="126" w16cid:durableId="1708145">
    <w:abstractNumId w:val="0"/>
  </w:num>
  <w:num w:numId="127" w16cid:durableId="161513307">
    <w:abstractNumId w:val="0"/>
  </w:num>
  <w:num w:numId="128" w16cid:durableId="1460608501">
    <w:abstractNumId w:val="0"/>
  </w:num>
  <w:num w:numId="129" w16cid:durableId="1886483122">
    <w:abstractNumId w:val="0"/>
  </w:num>
  <w:num w:numId="130" w16cid:durableId="1982036918">
    <w:abstractNumId w:val="0"/>
  </w:num>
  <w:num w:numId="131" w16cid:durableId="163977339">
    <w:abstractNumId w:val="0"/>
  </w:num>
  <w:num w:numId="132" w16cid:durableId="1336541808">
    <w:abstractNumId w:val="0"/>
  </w:num>
  <w:num w:numId="133" w16cid:durableId="2030524996">
    <w:abstractNumId w:val="0"/>
  </w:num>
  <w:num w:numId="134" w16cid:durableId="2098942897">
    <w:abstractNumId w:val="0"/>
  </w:num>
  <w:num w:numId="135" w16cid:durableId="685208359">
    <w:abstractNumId w:val="0"/>
  </w:num>
  <w:num w:numId="136" w16cid:durableId="849175439">
    <w:abstractNumId w:val="0"/>
  </w:num>
  <w:num w:numId="137" w16cid:durableId="2105147934">
    <w:abstractNumId w:val="0"/>
  </w:num>
  <w:num w:numId="138" w16cid:durableId="195898839">
    <w:abstractNumId w:val="0"/>
  </w:num>
  <w:num w:numId="139" w16cid:durableId="706176631">
    <w:abstractNumId w:val="0"/>
  </w:num>
  <w:num w:numId="140" w16cid:durableId="2082869203">
    <w:abstractNumId w:val="0"/>
  </w:num>
  <w:num w:numId="141" w16cid:durableId="77989246">
    <w:abstractNumId w:val="0"/>
  </w:num>
  <w:num w:numId="142" w16cid:durableId="2097899849">
    <w:abstractNumId w:val="0"/>
  </w:num>
  <w:num w:numId="143" w16cid:durableId="166408665">
    <w:abstractNumId w:val="0"/>
  </w:num>
  <w:num w:numId="144" w16cid:durableId="2002735561">
    <w:abstractNumId w:val="0"/>
  </w:num>
  <w:num w:numId="145" w16cid:durableId="377516523">
    <w:abstractNumId w:val="0"/>
  </w:num>
  <w:num w:numId="146" w16cid:durableId="568736328">
    <w:abstractNumId w:val="0"/>
  </w:num>
  <w:num w:numId="147" w16cid:durableId="201986338">
    <w:abstractNumId w:val="0"/>
  </w:num>
  <w:num w:numId="148" w16cid:durableId="299463631">
    <w:abstractNumId w:val="0"/>
  </w:num>
  <w:num w:numId="149" w16cid:durableId="989675604">
    <w:abstractNumId w:val="0"/>
  </w:num>
  <w:num w:numId="150" w16cid:durableId="664355807">
    <w:abstractNumId w:val="0"/>
  </w:num>
  <w:num w:numId="151" w16cid:durableId="1178274274">
    <w:abstractNumId w:val="0"/>
  </w:num>
  <w:num w:numId="152" w16cid:durableId="1792017026">
    <w:abstractNumId w:val="0"/>
  </w:num>
  <w:num w:numId="153" w16cid:durableId="1452280651">
    <w:abstractNumId w:val="0"/>
  </w:num>
  <w:num w:numId="154" w16cid:durableId="1853494763">
    <w:abstractNumId w:val="0"/>
  </w:num>
  <w:num w:numId="155" w16cid:durableId="1390182207">
    <w:abstractNumId w:val="0"/>
  </w:num>
  <w:num w:numId="156" w16cid:durableId="1572613904">
    <w:abstractNumId w:val="0"/>
  </w:num>
  <w:num w:numId="157" w16cid:durableId="1392266871">
    <w:abstractNumId w:val="0"/>
  </w:num>
  <w:num w:numId="158" w16cid:durableId="350493313">
    <w:abstractNumId w:val="0"/>
  </w:num>
  <w:num w:numId="159" w16cid:durableId="852381469">
    <w:abstractNumId w:val="0"/>
  </w:num>
  <w:num w:numId="160" w16cid:durableId="474955849">
    <w:abstractNumId w:val="0"/>
  </w:num>
  <w:num w:numId="161" w16cid:durableId="480077365">
    <w:abstractNumId w:val="0"/>
  </w:num>
  <w:num w:numId="162" w16cid:durableId="72363547">
    <w:abstractNumId w:val="0"/>
  </w:num>
  <w:num w:numId="163" w16cid:durableId="1209798174">
    <w:abstractNumId w:val="0"/>
  </w:num>
  <w:num w:numId="164" w16cid:durableId="849105456">
    <w:abstractNumId w:val="0"/>
  </w:num>
  <w:num w:numId="165" w16cid:durableId="1310479143">
    <w:abstractNumId w:val="0"/>
  </w:num>
  <w:num w:numId="166" w16cid:durableId="656148085">
    <w:abstractNumId w:val="0"/>
  </w:num>
  <w:num w:numId="167" w16cid:durableId="1432161744">
    <w:abstractNumId w:val="0"/>
  </w:num>
  <w:num w:numId="168" w16cid:durableId="702704578">
    <w:abstractNumId w:val="0"/>
  </w:num>
  <w:num w:numId="169" w16cid:durableId="1144348688">
    <w:abstractNumId w:val="0"/>
  </w:num>
  <w:num w:numId="170" w16cid:durableId="1425956887">
    <w:abstractNumId w:val="0"/>
  </w:num>
  <w:num w:numId="171" w16cid:durableId="936861719">
    <w:abstractNumId w:val="0"/>
  </w:num>
  <w:num w:numId="172" w16cid:durableId="1194347787">
    <w:abstractNumId w:val="0"/>
  </w:num>
  <w:num w:numId="173" w16cid:durableId="1929465744">
    <w:abstractNumId w:val="0"/>
  </w:num>
  <w:num w:numId="174" w16cid:durableId="1336617564">
    <w:abstractNumId w:val="0"/>
  </w:num>
  <w:num w:numId="175" w16cid:durableId="1548641595">
    <w:abstractNumId w:val="0"/>
  </w:num>
  <w:num w:numId="176" w16cid:durableId="1731684928">
    <w:abstractNumId w:val="0"/>
  </w:num>
  <w:num w:numId="177" w16cid:durableId="1352992687">
    <w:abstractNumId w:val="0"/>
  </w:num>
  <w:num w:numId="178" w16cid:durableId="70466243">
    <w:abstractNumId w:val="0"/>
  </w:num>
  <w:num w:numId="179" w16cid:durableId="1186021704">
    <w:abstractNumId w:val="0"/>
  </w:num>
  <w:num w:numId="180" w16cid:durableId="1664158501">
    <w:abstractNumId w:val="0"/>
  </w:num>
  <w:num w:numId="181" w16cid:durableId="1154563744">
    <w:abstractNumId w:val="0"/>
  </w:num>
  <w:num w:numId="182" w16cid:durableId="187911624">
    <w:abstractNumId w:val="0"/>
  </w:num>
  <w:num w:numId="183" w16cid:durableId="560871659">
    <w:abstractNumId w:val="0"/>
  </w:num>
  <w:num w:numId="184" w16cid:durableId="1939286483">
    <w:abstractNumId w:val="0"/>
  </w:num>
  <w:num w:numId="185" w16cid:durableId="159857567">
    <w:abstractNumId w:val="0"/>
  </w:num>
  <w:num w:numId="186" w16cid:durableId="181632680">
    <w:abstractNumId w:val="0"/>
  </w:num>
  <w:num w:numId="187" w16cid:durableId="1226259930">
    <w:abstractNumId w:val="0"/>
  </w:num>
  <w:num w:numId="188" w16cid:durableId="992175823">
    <w:abstractNumId w:val="0"/>
  </w:num>
  <w:num w:numId="189" w16cid:durableId="1404990648">
    <w:abstractNumId w:val="0"/>
  </w:num>
  <w:num w:numId="190" w16cid:durableId="1030838604">
    <w:abstractNumId w:val="0"/>
  </w:num>
  <w:num w:numId="191" w16cid:durableId="1453860020">
    <w:abstractNumId w:val="0"/>
  </w:num>
  <w:num w:numId="192" w16cid:durableId="517618741">
    <w:abstractNumId w:val="0"/>
  </w:num>
  <w:num w:numId="193" w16cid:durableId="260181916">
    <w:abstractNumId w:val="0"/>
  </w:num>
  <w:num w:numId="194" w16cid:durableId="1700355922">
    <w:abstractNumId w:val="0"/>
  </w:num>
  <w:num w:numId="195" w16cid:durableId="1618953007">
    <w:abstractNumId w:val="0"/>
  </w:num>
  <w:num w:numId="196" w16cid:durableId="2011788649">
    <w:abstractNumId w:val="0"/>
  </w:num>
  <w:num w:numId="197" w16cid:durableId="316228964">
    <w:abstractNumId w:val="0"/>
  </w:num>
  <w:num w:numId="198" w16cid:durableId="1295941213">
    <w:abstractNumId w:val="0"/>
  </w:num>
  <w:num w:numId="199" w16cid:durableId="2139641178">
    <w:abstractNumId w:val="0"/>
  </w:num>
  <w:num w:numId="200" w16cid:durableId="2021159441">
    <w:abstractNumId w:val="0"/>
  </w:num>
  <w:num w:numId="201" w16cid:durableId="1782413393">
    <w:abstractNumId w:val="0"/>
  </w:num>
  <w:num w:numId="202" w16cid:durableId="678511386">
    <w:abstractNumId w:val="0"/>
  </w:num>
  <w:num w:numId="203" w16cid:durableId="247542013">
    <w:abstractNumId w:val="0"/>
  </w:num>
  <w:num w:numId="204" w16cid:durableId="528303251">
    <w:abstractNumId w:val="0"/>
  </w:num>
  <w:num w:numId="205" w16cid:durableId="1602494957">
    <w:abstractNumId w:val="0"/>
  </w:num>
  <w:num w:numId="206" w16cid:durableId="93598029">
    <w:abstractNumId w:val="0"/>
  </w:num>
  <w:num w:numId="207" w16cid:durableId="275451362">
    <w:abstractNumId w:val="0"/>
  </w:num>
  <w:num w:numId="208" w16cid:durableId="1808352735">
    <w:abstractNumId w:val="0"/>
  </w:num>
  <w:num w:numId="209" w16cid:durableId="737477003">
    <w:abstractNumId w:val="0"/>
  </w:num>
  <w:num w:numId="210" w16cid:durableId="660963248">
    <w:abstractNumId w:val="0"/>
  </w:num>
  <w:num w:numId="211" w16cid:durableId="817067114">
    <w:abstractNumId w:val="0"/>
  </w:num>
  <w:num w:numId="212" w16cid:durableId="1811510880">
    <w:abstractNumId w:val="0"/>
  </w:num>
  <w:num w:numId="213" w16cid:durableId="722414523">
    <w:abstractNumId w:val="0"/>
  </w:num>
  <w:num w:numId="214" w16cid:durableId="766585846">
    <w:abstractNumId w:val="0"/>
  </w:num>
  <w:num w:numId="215" w16cid:durableId="1025443673">
    <w:abstractNumId w:val="0"/>
  </w:num>
  <w:num w:numId="216" w16cid:durableId="2031173973">
    <w:abstractNumId w:val="0"/>
  </w:num>
  <w:num w:numId="217" w16cid:durableId="1913348299">
    <w:abstractNumId w:val="0"/>
  </w:num>
  <w:num w:numId="218" w16cid:durableId="721708630">
    <w:abstractNumId w:val="0"/>
  </w:num>
  <w:num w:numId="219" w16cid:durableId="2147356321">
    <w:abstractNumId w:val="0"/>
  </w:num>
  <w:num w:numId="220" w16cid:durableId="482553443">
    <w:abstractNumId w:val="0"/>
  </w:num>
  <w:num w:numId="221" w16cid:durableId="1952124299">
    <w:abstractNumId w:val="0"/>
  </w:num>
  <w:num w:numId="222" w16cid:durableId="2019849517">
    <w:abstractNumId w:val="0"/>
  </w:num>
  <w:num w:numId="223" w16cid:durableId="735082524">
    <w:abstractNumId w:val="0"/>
  </w:num>
  <w:num w:numId="224" w16cid:durableId="190074056">
    <w:abstractNumId w:val="0"/>
  </w:num>
  <w:num w:numId="225" w16cid:durableId="1336031046">
    <w:abstractNumId w:val="0"/>
  </w:num>
  <w:num w:numId="226" w16cid:durableId="794564719">
    <w:abstractNumId w:val="0"/>
  </w:num>
  <w:num w:numId="227" w16cid:durableId="1740901022">
    <w:abstractNumId w:val="0"/>
  </w:num>
  <w:num w:numId="228" w16cid:durableId="576938313">
    <w:abstractNumId w:val="0"/>
  </w:num>
  <w:num w:numId="229" w16cid:durableId="405883111">
    <w:abstractNumId w:val="0"/>
  </w:num>
  <w:num w:numId="230" w16cid:durableId="1430586775">
    <w:abstractNumId w:val="0"/>
  </w:num>
  <w:num w:numId="231" w16cid:durableId="1076393642">
    <w:abstractNumId w:val="0"/>
  </w:num>
  <w:num w:numId="232" w16cid:durableId="1956330661">
    <w:abstractNumId w:val="0"/>
  </w:num>
  <w:num w:numId="233" w16cid:durableId="1326667868">
    <w:abstractNumId w:val="0"/>
  </w:num>
  <w:num w:numId="234" w16cid:durableId="1213078153">
    <w:abstractNumId w:val="0"/>
  </w:num>
  <w:num w:numId="235" w16cid:durableId="2101414978">
    <w:abstractNumId w:val="0"/>
  </w:num>
  <w:num w:numId="236" w16cid:durableId="2101563024">
    <w:abstractNumId w:val="0"/>
  </w:num>
  <w:num w:numId="237" w16cid:durableId="1116870493">
    <w:abstractNumId w:val="0"/>
  </w:num>
  <w:num w:numId="238" w16cid:durableId="1766220320">
    <w:abstractNumId w:val="0"/>
  </w:num>
  <w:num w:numId="239" w16cid:durableId="1695498345">
    <w:abstractNumId w:val="0"/>
  </w:num>
  <w:num w:numId="240" w16cid:durableId="2140998307">
    <w:abstractNumId w:val="0"/>
  </w:num>
  <w:num w:numId="241" w16cid:durableId="1240870676">
    <w:abstractNumId w:val="0"/>
  </w:num>
  <w:num w:numId="242" w16cid:durableId="841162210">
    <w:abstractNumId w:val="0"/>
  </w:num>
  <w:num w:numId="243" w16cid:durableId="265428363">
    <w:abstractNumId w:val="0"/>
  </w:num>
  <w:num w:numId="244" w16cid:durableId="17196615">
    <w:abstractNumId w:val="0"/>
  </w:num>
  <w:num w:numId="245" w16cid:durableId="659893477">
    <w:abstractNumId w:val="0"/>
  </w:num>
  <w:num w:numId="246" w16cid:durableId="1827935247">
    <w:abstractNumId w:val="0"/>
  </w:num>
  <w:num w:numId="247" w16cid:durableId="898783400">
    <w:abstractNumId w:val="0"/>
  </w:num>
  <w:num w:numId="248" w16cid:durableId="488055251">
    <w:abstractNumId w:val="0"/>
  </w:num>
  <w:num w:numId="249" w16cid:durableId="1289774964">
    <w:abstractNumId w:val="0"/>
  </w:num>
  <w:num w:numId="250" w16cid:durableId="1149903684">
    <w:abstractNumId w:val="0"/>
  </w:num>
  <w:num w:numId="251" w16cid:durableId="967783930">
    <w:abstractNumId w:val="0"/>
  </w:num>
  <w:num w:numId="252" w16cid:durableId="1344670309">
    <w:abstractNumId w:val="0"/>
  </w:num>
  <w:num w:numId="253" w16cid:durableId="1973945254">
    <w:abstractNumId w:val="0"/>
  </w:num>
  <w:num w:numId="254" w16cid:durableId="75323348">
    <w:abstractNumId w:val="0"/>
  </w:num>
  <w:num w:numId="255" w16cid:durableId="1551527589">
    <w:abstractNumId w:val="0"/>
  </w:num>
  <w:num w:numId="256" w16cid:durableId="24062472">
    <w:abstractNumId w:val="0"/>
  </w:num>
  <w:num w:numId="257" w16cid:durableId="1407460201">
    <w:abstractNumId w:val="0"/>
  </w:num>
  <w:num w:numId="258" w16cid:durableId="1231816752">
    <w:abstractNumId w:val="0"/>
  </w:num>
  <w:num w:numId="259" w16cid:durableId="281574643">
    <w:abstractNumId w:val="0"/>
  </w:num>
  <w:num w:numId="260" w16cid:durableId="1460956980">
    <w:abstractNumId w:val="0"/>
  </w:num>
  <w:num w:numId="261" w16cid:durableId="1128204370">
    <w:abstractNumId w:val="0"/>
  </w:num>
  <w:num w:numId="262" w16cid:durableId="1542134405">
    <w:abstractNumId w:val="0"/>
  </w:num>
  <w:num w:numId="263" w16cid:durableId="327027676">
    <w:abstractNumId w:val="0"/>
  </w:num>
  <w:num w:numId="264" w16cid:durableId="156042567">
    <w:abstractNumId w:val="0"/>
  </w:num>
  <w:num w:numId="265" w16cid:durableId="1089620299">
    <w:abstractNumId w:val="0"/>
  </w:num>
  <w:num w:numId="266" w16cid:durableId="1681160531">
    <w:abstractNumId w:val="0"/>
  </w:num>
  <w:num w:numId="267" w16cid:durableId="1379163634">
    <w:abstractNumId w:val="0"/>
  </w:num>
  <w:num w:numId="268" w16cid:durableId="293222956">
    <w:abstractNumId w:val="0"/>
  </w:num>
  <w:num w:numId="269" w16cid:durableId="971061776">
    <w:abstractNumId w:val="0"/>
  </w:num>
  <w:num w:numId="270" w16cid:durableId="586118595">
    <w:abstractNumId w:val="0"/>
  </w:num>
  <w:num w:numId="271" w16cid:durableId="130904418">
    <w:abstractNumId w:val="0"/>
  </w:num>
  <w:num w:numId="272" w16cid:durableId="1467431137">
    <w:abstractNumId w:val="0"/>
  </w:num>
  <w:num w:numId="273" w16cid:durableId="2125924400">
    <w:abstractNumId w:val="0"/>
  </w:num>
  <w:num w:numId="274" w16cid:durableId="1969509882">
    <w:abstractNumId w:val="0"/>
  </w:num>
  <w:num w:numId="275" w16cid:durableId="1652053871">
    <w:abstractNumId w:val="0"/>
  </w:num>
  <w:num w:numId="276" w16cid:durableId="1291548414">
    <w:abstractNumId w:val="0"/>
  </w:num>
  <w:num w:numId="277" w16cid:durableId="1864318128">
    <w:abstractNumId w:val="0"/>
  </w:num>
  <w:num w:numId="278" w16cid:durableId="689835695">
    <w:abstractNumId w:val="0"/>
  </w:num>
  <w:num w:numId="279" w16cid:durableId="512956111">
    <w:abstractNumId w:val="0"/>
  </w:num>
  <w:num w:numId="280" w16cid:durableId="833106628">
    <w:abstractNumId w:val="0"/>
  </w:num>
  <w:num w:numId="281" w16cid:durableId="491340039">
    <w:abstractNumId w:val="0"/>
  </w:num>
  <w:num w:numId="282" w16cid:durableId="799687770">
    <w:abstractNumId w:val="0"/>
  </w:num>
  <w:num w:numId="283" w16cid:durableId="502430597">
    <w:abstractNumId w:val="0"/>
  </w:num>
  <w:num w:numId="284" w16cid:durableId="973607421">
    <w:abstractNumId w:val="0"/>
  </w:num>
  <w:num w:numId="285" w16cid:durableId="1787506179">
    <w:abstractNumId w:val="0"/>
  </w:num>
  <w:num w:numId="286" w16cid:durableId="1248727723">
    <w:abstractNumId w:val="0"/>
  </w:num>
  <w:num w:numId="287" w16cid:durableId="1308709532">
    <w:abstractNumId w:val="0"/>
  </w:num>
  <w:num w:numId="288" w16cid:durableId="1229151642">
    <w:abstractNumId w:val="0"/>
  </w:num>
  <w:num w:numId="289" w16cid:durableId="618802407">
    <w:abstractNumId w:val="0"/>
  </w:num>
  <w:num w:numId="290" w16cid:durableId="303195917">
    <w:abstractNumId w:val="0"/>
  </w:num>
  <w:num w:numId="291" w16cid:durableId="1032994749">
    <w:abstractNumId w:val="0"/>
  </w:num>
  <w:num w:numId="292" w16cid:durableId="172959511">
    <w:abstractNumId w:val="0"/>
  </w:num>
  <w:num w:numId="293" w16cid:durableId="1318917001">
    <w:abstractNumId w:val="0"/>
  </w:num>
  <w:num w:numId="294" w16cid:durableId="354188047">
    <w:abstractNumId w:val="0"/>
  </w:num>
  <w:num w:numId="295" w16cid:durableId="1601528103">
    <w:abstractNumId w:val="0"/>
  </w:num>
  <w:num w:numId="296" w16cid:durableId="380789843">
    <w:abstractNumId w:val="0"/>
  </w:num>
  <w:num w:numId="297" w16cid:durableId="617951986">
    <w:abstractNumId w:val="0"/>
  </w:num>
  <w:num w:numId="298" w16cid:durableId="409040300">
    <w:abstractNumId w:val="0"/>
  </w:num>
  <w:num w:numId="299" w16cid:durableId="1143157474">
    <w:abstractNumId w:val="0"/>
  </w:num>
  <w:num w:numId="300" w16cid:durableId="944070889">
    <w:abstractNumId w:val="0"/>
  </w:num>
  <w:num w:numId="301" w16cid:durableId="1694454832">
    <w:abstractNumId w:val="0"/>
  </w:num>
  <w:num w:numId="302" w16cid:durableId="233442532">
    <w:abstractNumId w:val="0"/>
  </w:num>
  <w:num w:numId="303" w16cid:durableId="1977954915">
    <w:abstractNumId w:val="0"/>
  </w:num>
  <w:num w:numId="304" w16cid:durableId="52168694">
    <w:abstractNumId w:val="0"/>
  </w:num>
  <w:num w:numId="305" w16cid:durableId="2000190620">
    <w:abstractNumId w:val="0"/>
  </w:num>
  <w:num w:numId="306" w16cid:durableId="1654481143">
    <w:abstractNumId w:val="0"/>
  </w:num>
  <w:num w:numId="307" w16cid:durableId="764810331">
    <w:abstractNumId w:val="0"/>
  </w:num>
  <w:num w:numId="308" w16cid:durableId="742026844">
    <w:abstractNumId w:val="0"/>
  </w:num>
  <w:num w:numId="309" w16cid:durableId="516120016">
    <w:abstractNumId w:val="0"/>
  </w:num>
  <w:num w:numId="310" w16cid:durableId="364328628">
    <w:abstractNumId w:val="0"/>
  </w:num>
  <w:num w:numId="311" w16cid:durableId="1730762818">
    <w:abstractNumId w:val="0"/>
  </w:num>
  <w:num w:numId="312" w16cid:durableId="298609918">
    <w:abstractNumId w:val="0"/>
  </w:num>
  <w:num w:numId="313" w16cid:durableId="2093578886">
    <w:abstractNumId w:val="0"/>
  </w:num>
  <w:num w:numId="314" w16cid:durableId="463234107">
    <w:abstractNumId w:val="0"/>
  </w:num>
  <w:num w:numId="315" w16cid:durableId="275406573">
    <w:abstractNumId w:val="0"/>
  </w:num>
  <w:num w:numId="316" w16cid:durableId="335771871">
    <w:abstractNumId w:val="0"/>
  </w:num>
  <w:num w:numId="317" w16cid:durableId="2044474925">
    <w:abstractNumId w:val="0"/>
  </w:num>
  <w:num w:numId="318" w16cid:durableId="1091775506">
    <w:abstractNumId w:val="0"/>
  </w:num>
  <w:num w:numId="319" w16cid:durableId="126749168">
    <w:abstractNumId w:val="0"/>
  </w:num>
  <w:num w:numId="320" w16cid:durableId="313294503">
    <w:abstractNumId w:val="0"/>
  </w:num>
  <w:num w:numId="321" w16cid:durableId="1599749467">
    <w:abstractNumId w:val="0"/>
  </w:num>
  <w:num w:numId="322" w16cid:durableId="1011492713">
    <w:abstractNumId w:val="0"/>
  </w:num>
  <w:num w:numId="323" w16cid:durableId="1731926509">
    <w:abstractNumId w:val="0"/>
  </w:num>
  <w:num w:numId="324" w16cid:durableId="373383542">
    <w:abstractNumId w:val="0"/>
  </w:num>
  <w:num w:numId="325" w16cid:durableId="948246163">
    <w:abstractNumId w:val="0"/>
  </w:num>
  <w:num w:numId="326" w16cid:durableId="2072384418">
    <w:abstractNumId w:val="0"/>
  </w:num>
  <w:num w:numId="327" w16cid:durableId="1036392911">
    <w:abstractNumId w:val="0"/>
  </w:num>
  <w:num w:numId="328" w16cid:durableId="1665627329">
    <w:abstractNumId w:val="0"/>
  </w:num>
  <w:num w:numId="329" w16cid:durableId="988094867">
    <w:abstractNumId w:val="0"/>
  </w:num>
  <w:num w:numId="330" w16cid:durableId="814101119">
    <w:abstractNumId w:val="0"/>
  </w:num>
  <w:num w:numId="331" w16cid:durableId="1547569021">
    <w:abstractNumId w:val="0"/>
  </w:num>
  <w:num w:numId="332" w16cid:durableId="1685479862">
    <w:abstractNumId w:val="0"/>
  </w:num>
  <w:num w:numId="333" w16cid:durableId="444277035">
    <w:abstractNumId w:val="0"/>
  </w:num>
  <w:num w:numId="334" w16cid:durableId="1650748432">
    <w:abstractNumId w:val="0"/>
  </w:num>
  <w:num w:numId="335" w16cid:durableId="77210825">
    <w:abstractNumId w:val="0"/>
  </w:num>
  <w:num w:numId="336" w16cid:durableId="584076257">
    <w:abstractNumId w:val="0"/>
  </w:num>
  <w:num w:numId="337" w16cid:durableId="338042059">
    <w:abstractNumId w:val="0"/>
  </w:num>
  <w:num w:numId="338" w16cid:durableId="1068770097">
    <w:abstractNumId w:val="0"/>
  </w:num>
  <w:num w:numId="339" w16cid:durableId="557938356">
    <w:abstractNumId w:val="0"/>
  </w:num>
  <w:num w:numId="340" w16cid:durableId="915433934">
    <w:abstractNumId w:val="0"/>
  </w:num>
  <w:num w:numId="341" w16cid:durableId="632102878">
    <w:abstractNumId w:val="0"/>
  </w:num>
  <w:num w:numId="342" w16cid:durableId="805851002">
    <w:abstractNumId w:val="0"/>
  </w:num>
  <w:num w:numId="343" w16cid:durableId="467669320">
    <w:abstractNumId w:val="0"/>
  </w:num>
  <w:num w:numId="344" w16cid:durableId="1160585374">
    <w:abstractNumId w:val="0"/>
  </w:num>
  <w:num w:numId="345" w16cid:durableId="549388933">
    <w:abstractNumId w:val="0"/>
  </w:num>
  <w:num w:numId="346" w16cid:durableId="1207059468">
    <w:abstractNumId w:val="0"/>
  </w:num>
  <w:num w:numId="347" w16cid:durableId="870923075">
    <w:abstractNumId w:val="0"/>
  </w:num>
  <w:num w:numId="348" w16cid:durableId="2132897574">
    <w:abstractNumId w:val="0"/>
  </w:num>
  <w:num w:numId="349" w16cid:durableId="1609199504">
    <w:abstractNumId w:val="0"/>
  </w:num>
  <w:num w:numId="350" w16cid:durableId="20518569">
    <w:abstractNumId w:val="0"/>
  </w:num>
  <w:num w:numId="351" w16cid:durableId="62678380">
    <w:abstractNumId w:val="0"/>
  </w:num>
  <w:num w:numId="352" w16cid:durableId="950285229">
    <w:abstractNumId w:val="0"/>
  </w:num>
  <w:num w:numId="353" w16cid:durableId="739403294">
    <w:abstractNumId w:val="0"/>
  </w:num>
  <w:num w:numId="354" w16cid:durableId="1823694244">
    <w:abstractNumId w:val="0"/>
  </w:num>
  <w:num w:numId="355" w16cid:durableId="2068339163">
    <w:abstractNumId w:val="0"/>
  </w:num>
  <w:num w:numId="356" w16cid:durableId="1734691980">
    <w:abstractNumId w:val="0"/>
  </w:num>
  <w:num w:numId="357" w16cid:durableId="1441997515">
    <w:abstractNumId w:val="0"/>
  </w:num>
  <w:num w:numId="358" w16cid:durableId="189883240">
    <w:abstractNumId w:val="0"/>
  </w:num>
  <w:num w:numId="359" w16cid:durableId="956136361">
    <w:abstractNumId w:val="0"/>
  </w:num>
  <w:num w:numId="360" w16cid:durableId="943154700">
    <w:abstractNumId w:val="0"/>
  </w:num>
  <w:num w:numId="361" w16cid:durableId="1425879728">
    <w:abstractNumId w:val="0"/>
  </w:num>
  <w:num w:numId="362" w16cid:durableId="680667442">
    <w:abstractNumId w:val="111"/>
  </w:num>
  <w:num w:numId="363" w16cid:durableId="12079782">
    <w:abstractNumId w:val="112"/>
  </w:num>
  <w:num w:numId="364" w16cid:durableId="155650141">
    <w:abstractNumId w:val="106"/>
  </w:num>
  <w:num w:numId="365" w16cid:durableId="1153525389">
    <w:abstractNumId w:val="108"/>
  </w:num>
  <w:num w:numId="366" w16cid:durableId="188110887">
    <w:abstractNumId w:val="107"/>
  </w:num>
  <w:num w:numId="367" w16cid:durableId="2096389573">
    <w:abstractNumId w:val="110"/>
  </w:num>
  <w:num w:numId="368" w16cid:durableId="1335304281">
    <w:abstractNumId w:val="109"/>
  </w:num>
  <w:num w:numId="369" w16cid:durableId="186649353">
    <w:abstractNumId w:val="105"/>
  </w:num>
  <w:numIdMacAtCleanup w:val="3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064"/>
    <w:rsid w:val="00002496"/>
    <w:rsid w:val="00002D8F"/>
    <w:rsid w:val="00002FFE"/>
    <w:rsid w:val="00003E16"/>
    <w:rsid w:val="0000438E"/>
    <w:rsid w:val="00006A6B"/>
    <w:rsid w:val="0000730A"/>
    <w:rsid w:val="00007E2F"/>
    <w:rsid w:val="00010CF4"/>
    <w:rsid w:val="00011823"/>
    <w:rsid w:val="00012DD9"/>
    <w:rsid w:val="00013192"/>
    <w:rsid w:val="000134ED"/>
    <w:rsid w:val="000262A9"/>
    <w:rsid w:val="000359ED"/>
    <w:rsid w:val="00035A95"/>
    <w:rsid w:val="00036A61"/>
    <w:rsid w:val="00036CFE"/>
    <w:rsid w:val="00037CF7"/>
    <w:rsid w:val="00037F83"/>
    <w:rsid w:val="000437DF"/>
    <w:rsid w:val="00044145"/>
    <w:rsid w:val="000450D8"/>
    <w:rsid w:val="000457D7"/>
    <w:rsid w:val="00047D08"/>
    <w:rsid w:val="00050763"/>
    <w:rsid w:val="00053414"/>
    <w:rsid w:val="00054ADD"/>
    <w:rsid w:val="00054C1F"/>
    <w:rsid w:val="000554CF"/>
    <w:rsid w:val="00055591"/>
    <w:rsid w:val="000571B5"/>
    <w:rsid w:val="00057C66"/>
    <w:rsid w:val="00063F23"/>
    <w:rsid w:val="00065742"/>
    <w:rsid w:val="000671E4"/>
    <w:rsid w:val="00070700"/>
    <w:rsid w:val="00072661"/>
    <w:rsid w:val="00073B4F"/>
    <w:rsid w:val="00074424"/>
    <w:rsid w:val="00075D50"/>
    <w:rsid w:val="00076204"/>
    <w:rsid w:val="00076896"/>
    <w:rsid w:val="00077B72"/>
    <w:rsid w:val="00080D26"/>
    <w:rsid w:val="00080FB1"/>
    <w:rsid w:val="000817D6"/>
    <w:rsid w:val="00084FB8"/>
    <w:rsid w:val="000912A0"/>
    <w:rsid w:val="00091558"/>
    <w:rsid w:val="00091BDD"/>
    <w:rsid w:val="00093175"/>
    <w:rsid w:val="00094536"/>
    <w:rsid w:val="00094AFC"/>
    <w:rsid w:val="00094E43"/>
    <w:rsid w:val="000955C8"/>
    <w:rsid w:val="000973EF"/>
    <w:rsid w:val="000A1589"/>
    <w:rsid w:val="000A15AD"/>
    <w:rsid w:val="000A26A1"/>
    <w:rsid w:val="000B0068"/>
    <w:rsid w:val="000B0D25"/>
    <w:rsid w:val="000B1686"/>
    <w:rsid w:val="000B1C32"/>
    <w:rsid w:val="000B2882"/>
    <w:rsid w:val="000B3047"/>
    <w:rsid w:val="000B4FD4"/>
    <w:rsid w:val="000C02C7"/>
    <w:rsid w:val="000C2861"/>
    <w:rsid w:val="000C291E"/>
    <w:rsid w:val="000C7F58"/>
    <w:rsid w:val="000D04C6"/>
    <w:rsid w:val="000D082B"/>
    <w:rsid w:val="000D38D0"/>
    <w:rsid w:val="000D4651"/>
    <w:rsid w:val="000D5A44"/>
    <w:rsid w:val="000D7014"/>
    <w:rsid w:val="000D71F5"/>
    <w:rsid w:val="000D7D95"/>
    <w:rsid w:val="000E1567"/>
    <w:rsid w:val="000E1841"/>
    <w:rsid w:val="000E2824"/>
    <w:rsid w:val="000E75C7"/>
    <w:rsid w:val="000F1821"/>
    <w:rsid w:val="000F3BFF"/>
    <w:rsid w:val="000F64CD"/>
    <w:rsid w:val="000F69D3"/>
    <w:rsid w:val="000F7397"/>
    <w:rsid w:val="000F7B46"/>
    <w:rsid w:val="001004CF"/>
    <w:rsid w:val="001011AF"/>
    <w:rsid w:val="00101A5E"/>
    <w:rsid w:val="00101EFA"/>
    <w:rsid w:val="001047B0"/>
    <w:rsid w:val="0010521D"/>
    <w:rsid w:val="00107A06"/>
    <w:rsid w:val="00107AD5"/>
    <w:rsid w:val="00110B92"/>
    <w:rsid w:val="001142D0"/>
    <w:rsid w:val="001144E7"/>
    <w:rsid w:val="001147F9"/>
    <w:rsid w:val="0011501D"/>
    <w:rsid w:val="00115568"/>
    <w:rsid w:val="0011567C"/>
    <w:rsid w:val="00116126"/>
    <w:rsid w:val="00116CF2"/>
    <w:rsid w:val="00117B85"/>
    <w:rsid w:val="0012003D"/>
    <w:rsid w:val="0012179F"/>
    <w:rsid w:val="001235E9"/>
    <w:rsid w:val="00123D48"/>
    <w:rsid w:val="00124346"/>
    <w:rsid w:val="001247A9"/>
    <w:rsid w:val="00124B29"/>
    <w:rsid w:val="00126546"/>
    <w:rsid w:val="00127895"/>
    <w:rsid w:val="00131C1A"/>
    <w:rsid w:val="0013212E"/>
    <w:rsid w:val="00132132"/>
    <w:rsid w:val="00132405"/>
    <w:rsid w:val="00132D91"/>
    <w:rsid w:val="00133D1A"/>
    <w:rsid w:val="00135D96"/>
    <w:rsid w:val="0013618A"/>
    <w:rsid w:val="001366C7"/>
    <w:rsid w:val="001546AB"/>
    <w:rsid w:val="001556E6"/>
    <w:rsid w:val="00157AEB"/>
    <w:rsid w:val="001606AF"/>
    <w:rsid w:val="00161907"/>
    <w:rsid w:val="00164239"/>
    <w:rsid w:val="00165A23"/>
    <w:rsid w:val="0017125F"/>
    <w:rsid w:val="00172801"/>
    <w:rsid w:val="0017687F"/>
    <w:rsid w:val="00176F33"/>
    <w:rsid w:val="0018021C"/>
    <w:rsid w:val="00180FC6"/>
    <w:rsid w:val="0018182D"/>
    <w:rsid w:val="00183A40"/>
    <w:rsid w:val="00184B99"/>
    <w:rsid w:val="00185FD2"/>
    <w:rsid w:val="0019177F"/>
    <w:rsid w:val="00194B65"/>
    <w:rsid w:val="0019521A"/>
    <w:rsid w:val="00195F16"/>
    <w:rsid w:val="0019671E"/>
    <w:rsid w:val="001A1282"/>
    <w:rsid w:val="001A1738"/>
    <w:rsid w:val="001A4B86"/>
    <w:rsid w:val="001B1F88"/>
    <w:rsid w:val="001B2B07"/>
    <w:rsid w:val="001B407E"/>
    <w:rsid w:val="001B5763"/>
    <w:rsid w:val="001B5E13"/>
    <w:rsid w:val="001B6B68"/>
    <w:rsid w:val="001C1A04"/>
    <w:rsid w:val="001C2BD9"/>
    <w:rsid w:val="001C3778"/>
    <w:rsid w:val="001C5896"/>
    <w:rsid w:val="001C66CE"/>
    <w:rsid w:val="001C7784"/>
    <w:rsid w:val="001D073A"/>
    <w:rsid w:val="001D13F6"/>
    <w:rsid w:val="001D3763"/>
    <w:rsid w:val="001D4209"/>
    <w:rsid w:val="001D4763"/>
    <w:rsid w:val="001D4931"/>
    <w:rsid w:val="001D4CE3"/>
    <w:rsid w:val="001D66A0"/>
    <w:rsid w:val="001D66D1"/>
    <w:rsid w:val="001D6F9C"/>
    <w:rsid w:val="001D7777"/>
    <w:rsid w:val="001E21A7"/>
    <w:rsid w:val="001E2A39"/>
    <w:rsid w:val="001F66B4"/>
    <w:rsid w:val="001F7240"/>
    <w:rsid w:val="001F7FA5"/>
    <w:rsid w:val="00201FAE"/>
    <w:rsid w:val="002031A0"/>
    <w:rsid w:val="00213948"/>
    <w:rsid w:val="00214E1B"/>
    <w:rsid w:val="0021544B"/>
    <w:rsid w:val="00217DEF"/>
    <w:rsid w:val="002213CA"/>
    <w:rsid w:val="00221DEC"/>
    <w:rsid w:val="00224126"/>
    <w:rsid w:val="00224DE2"/>
    <w:rsid w:val="00226847"/>
    <w:rsid w:val="00226D24"/>
    <w:rsid w:val="0022752B"/>
    <w:rsid w:val="00236873"/>
    <w:rsid w:val="00241CDF"/>
    <w:rsid w:val="00242D95"/>
    <w:rsid w:val="00243F2D"/>
    <w:rsid w:val="00245FA0"/>
    <w:rsid w:val="00247A41"/>
    <w:rsid w:val="002507B3"/>
    <w:rsid w:val="002518FB"/>
    <w:rsid w:val="00251F43"/>
    <w:rsid w:val="002549F6"/>
    <w:rsid w:val="00256072"/>
    <w:rsid w:val="00261475"/>
    <w:rsid w:val="00261D44"/>
    <w:rsid w:val="0026475D"/>
    <w:rsid w:val="00265E38"/>
    <w:rsid w:val="00266918"/>
    <w:rsid w:val="0026693A"/>
    <w:rsid w:val="00272681"/>
    <w:rsid w:val="00272D86"/>
    <w:rsid w:val="00273092"/>
    <w:rsid w:val="00276AD5"/>
    <w:rsid w:val="002772C7"/>
    <w:rsid w:val="00281638"/>
    <w:rsid w:val="002831EF"/>
    <w:rsid w:val="002867DB"/>
    <w:rsid w:val="00287186"/>
    <w:rsid w:val="002937A2"/>
    <w:rsid w:val="002939B1"/>
    <w:rsid w:val="00293DD8"/>
    <w:rsid w:val="00294213"/>
    <w:rsid w:val="00297DFD"/>
    <w:rsid w:val="002A014E"/>
    <w:rsid w:val="002A34FE"/>
    <w:rsid w:val="002A3B2C"/>
    <w:rsid w:val="002A3FCF"/>
    <w:rsid w:val="002A5193"/>
    <w:rsid w:val="002A55FB"/>
    <w:rsid w:val="002A5892"/>
    <w:rsid w:val="002A793D"/>
    <w:rsid w:val="002A79A9"/>
    <w:rsid w:val="002A7ABB"/>
    <w:rsid w:val="002A7C91"/>
    <w:rsid w:val="002B080D"/>
    <w:rsid w:val="002B0B64"/>
    <w:rsid w:val="002B1466"/>
    <w:rsid w:val="002B26D6"/>
    <w:rsid w:val="002B503B"/>
    <w:rsid w:val="002C1FE7"/>
    <w:rsid w:val="002C2D24"/>
    <w:rsid w:val="002C4206"/>
    <w:rsid w:val="002C660E"/>
    <w:rsid w:val="002C6901"/>
    <w:rsid w:val="002D2411"/>
    <w:rsid w:val="002D31A9"/>
    <w:rsid w:val="002D5A81"/>
    <w:rsid w:val="002D5F01"/>
    <w:rsid w:val="002D7236"/>
    <w:rsid w:val="002E203D"/>
    <w:rsid w:val="002E2040"/>
    <w:rsid w:val="002E77EE"/>
    <w:rsid w:val="002F012B"/>
    <w:rsid w:val="002F0505"/>
    <w:rsid w:val="002F201D"/>
    <w:rsid w:val="002F33CB"/>
    <w:rsid w:val="002F6958"/>
    <w:rsid w:val="00302509"/>
    <w:rsid w:val="003025F2"/>
    <w:rsid w:val="003028D2"/>
    <w:rsid w:val="0030350D"/>
    <w:rsid w:val="003050CA"/>
    <w:rsid w:val="0030636B"/>
    <w:rsid w:val="003065C5"/>
    <w:rsid w:val="0031074A"/>
    <w:rsid w:val="0031192C"/>
    <w:rsid w:val="00311FED"/>
    <w:rsid w:val="00312570"/>
    <w:rsid w:val="003134EC"/>
    <w:rsid w:val="00316942"/>
    <w:rsid w:val="00317C7F"/>
    <w:rsid w:val="00317E2E"/>
    <w:rsid w:val="00317FC1"/>
    <w:rsid w:val="00320FD2"/>
    <w:rsid w:val="00321083"/>
    <w:rsid w:val="0032198F"/>
    <w:rsid w:val="00322170"/>
    <w:rsid w:val="003255CB"/>
    <w:rsid w:val="00326870"/>
    <w:rsid w:val="0033092C"/>
    <w:rsid w:val="003309DC"/>
    <w:rsid w:val="003327D0"/>
    <w:rsid w:val="00332941"/>
    <w:rsid w:val="00335D94"/>
    <w:rsid w:val="00336482"/>
    <w:rsid w:val="00343655"/>
    <w:rsid w:val="0034546E"/>
    <w:rsid w:val="003463C3"/>
    <w:rsid w:val="00346EE8"/>
    <w:rsid w:val="00347287"/>
    <w:rsid w:val="003476FE"/>
    <w:rsid w:val="00350D65"/>
    <w:rsid w:val="00353372"/>
    <w:rsid w:val="00356A9F"/>
    <w:rsid w:val="00356B0D"/>
    <w:rsid w:val="003628A0"/>
    <w:rsid w:val="00362BF1"/>
    <w:rsid w:val="00367A8E"/>
    <w:rsid w:val="0037049C"/>
    <w:rsid w:val="00371521"/>
    <w:rsid w:val="003723BB"/>
    <w:rsid w:val="00373B51"/>
    <w:rsid w:val="003741D8"/>
    <w:rsid w:val="00374DE0"/>
    <w:rsid w:val="003754FE"/>
    <w:rsid w:val="00375D49"/>
    <w:rsid w:val="00380094"/>
    <w:rsid w:val="003812DB"/>
    <w:rsid w:val="0038206E"/>
    <w:rsid w:val="003821D7"/>
    <w:rsid w:val="0038543C"/>
    <w:rsid w:val="003856A9"/>
    <w:rsid w:val="003868B1"/>
    <w:rsid w:val="0039147C"/>
    <w:rsid w:val="003924B7"/>
    <w:rsid w:val="00392B9A"/>
    <w:rsid w:val="00394615"/>
    <w:rsid w:val="0039497E"/>
    <w:rsid w:val="003954CA"/>
    <w:rsid w:val="00395BAD"/>
    <w:rsid w:val="003A06E3"/>
    <w:rsid w:val="003A4044"/>
    <w:rsid w:val="003A68F1"/>
    <w:rsid w:val="003A7531"/>
    <w:rsid w:val="003A7DB3"/>
    <w:rsid w:val="003B0766"/>
    <w:rsid w:val="003B136A"/>
    <w:rsid w:val="003B2BCF"/>
    <w:rsid w:val="003B42C5"/>
    <w:rsid w:val="003B457A"/>
    <w:rsid w:val="003B4903"/>
    <w:rsid w:val="003B6821"/>
    <w:rsid w:val="003C482B"/>
    <w:rsid w:val="003C554E"/>
    <w:rsid w:val="003D06F0"/>
    <w:rsid w:val="003D0CEF"/>
    <w:rsid w:val="003D1208"/>
    <w:rsid w:val="003D15A9"/>
    <w:rsid w:val="003D19F1"/>
    <w:rsid w:val="003D27CF"/>
    <w:rsid w:val="003D2F4D"/>
    <w:rsid w:val="003D3906"/>
    <w:rsid w:val="003D3E34"/>
    <w:rsid w:val="003D43C7"/>
    <w:rsid w:val="003D63E9"/>
    <w:rsid w:val="003E45A6"/>
    <w:rsid w:val="003E722B"/>
    <w:rsid w:val="003E7442"/>
    <w:rsid w:val="003F0F09"/>
    <w:rsid w:val="003F23B1"/>
    <w:rsid w:val="003F4071"/>
    <w:rsid w:val="003F5F59"/>
    <w:rsid w:val="00403C7A"/>
    <w:rsid w:val="00406680"/>
    <w:rsid w:val="004076B6"/>
    <w:rsid w:val="00410C47"/>
    <w:rsid w:val="004111CE"/>
    <w:rsid w:val="00411FED"/>
    <w:rsid w:val="004153CC"/>
    <w:rsid w:val="004178C3"/>
    <w:rsid w:val="004203B9"/>
    <w:rsid w:val="004217F6"/>
    <w:rsid w:val="004220B0"/>
    <w:rsid w:val="0042349D"/>
    <w:rsid w:val="00425BD9"/>
    <w:rsid w:val="00430F54"/>
    <w:rsid w:val="0043130B"/>
    <w:rsid w:val="00436ED7"/>
    <w:rsid w:val="00440D94"/>
    <w:rsid w:val="00443A59"/>
    <w:rsid w:val="00444AFF"/>
    <w:rsid w:val="00445750"/>
    <w:rsid w:val="0044785E"/>
    <w:rsid w:val="0045039F"/>
    <w:rsid w:val="00454734"/>
    <w:rsid w:val="00454977"/>
    <w:rsid w:val="004551B9"/>
    <w:rsid w:val="00456E05"/>
    <w:rsid w:val="00456FFF"/>
    <w:rsid w:val="0046061F"/>
    <w:rsid w:val="00460ACF"/>
    <w:rsid w:val="00462093"/>
    <w:rsid w:val="0046530D"/>
    <w:rsid w:val="0047424A"/>
    <w:rsid w:val="00474C14"/>
    <w:rsid w:val="004750FE"/>
    <w:rsid w:val="00475277"/>
    <w:rsid w:val="004756DE"/>
    <w:rsid w:val="00475B5E"/>
    <w:rsid w:val="00476100"/>
    <w:rsid w:val="00480F03"/>
    <w:rsid w:val="004824AB"/>
    <w:rsid w:val="00484E18"/>
    <w:rsid w:val="00485663"/>
    <w:rsid w:val="00487298"/>
    <w:rsid w:val="00490425"/>
    <w:rsid w:val="00491EBC"/>
    <w:rsid w:val="0049351D"/>
    <w:rsid w:val="00493EA4"/>
    <w:rsid w:val="0049677A"/>
    <w:rsid w:val="004A1DE7"/>
    <w:rsid w:val="004A4039"/>
    <w:rsid w:val="004A5A67"/>
    <w:rsid w:val="004A7F6C"/>
    <w:rsid w:val="004B4E63"/>
    <w:rsid w:val="004B742B"/>
    <w:rsid w:val="004C066A"/>
    <w:rsid w:val="004C15D4"/>
    <w:rsid w:val="004C2DBB"/>
    <w:rsid w:val="004C3C11"/>
    <w:rsid w:val="004D0137"/>
    <w:rsid w:val="004D1B4E"/>
    <w:rsid w:val="004D22C2"/>
    <w:rsid w:val="004D3767"/>
    <w:rsid w:val="004D47B6"/>
    <w:rsid w:val="004D6E91"/>
    <w:rsid w:val="004E2BA3"/>
    <w:rsid w:val="004E448F"/>
    <w:rsid w:val="004F1CFF"/>
    <w:rsid w:val="004F1DA6"/>
    <w:rsid w:val="004F1DCC"/>
    <w:rsid w:val="004F2410"/>
    <w:rsid w:val="004F2564"/>
    <w:rsid w:val="004F4113"/>
    <w:rsid w:val="004F433F"/>
    <w:rsid w:val="004F6600"/>
    <w:rsid w:val="004F68D3"/>
    <w:rsid w:val="004F7815"/>
    <w:rsid w:val="00500255"/>
    <w:rsid w:val="00501541"/>
    <w:rsid w:val="00501A34"/>
    <w:rsid w:val="00502881"/>
    <w:rsid w:val="00502AF7"/>
    <w:rsid w:val="00504142"/>
    <w:rsid w:val="00506DFB"/>
    <w:rsid w:val="00511838"/>
    <w:rsid w:val="00511B16"/>
    <w:rsid w:val="00515C3F"/>
    <w:rsid w:val="00522679"/>
    <w:rsid w:val="00522929"/>
    <w:rsid w:val="00523419"/>
    <w:rsid w:val="0052568A"/>
    <w:rsid w:val="00525BD7"/>
    <w:rsid w:val="00527014"/>
    <w:rsid w:val="0053023F"/>
    <w:rsid w:val="00534FD3"/>
    <w:rsid w:val="005356AA"/>
    <w:rsid w:val="00535FBD"/>
    <w:rsid w:val="0053678F"/>
    <w:rsid w:val="00543290"/>
    <w:rsid w:val="005461B1"/>
    <w:rsid w:val="0055257A"/>
    <w:rsid w:val="005557FE"/>
    <w:rsid w:val="00565208"/>
    <w:rsid w:val="00565B15"/>
    <w:rsid w:val="00565B58"/>
    <w:rsid w:val="00567B3F"/>
    <w:rsid w:val="00570D14"/>
    <w:rsid w:val="005736CE"/>
    <w:rsid w:val="005768A5"/>
    <w:rsid w:val="00577D6A"/>
    <w:rsid w:val="00582579"/>
    <w:rsid w:val="00582C99"/>
    <w:rsid w:val="00583C1C"/>
    <w:rsid w:val="00583DCA"/>
    <w:rsid w:val="0058545E"/>
    <w:rsid w:val="0058652E"/>
    <w:rsid w:val="0058662A"/>
    <w:rsid w:val="00586CA8"/>
    <w:rsid w:val="00591070"/>
    <w:rsid w:val="005965E0"/>
    <w:rsid w:val="00597457"/>
    <w:rsid w:val="00597FD7"/>
    <w:rsid w:val="005A00C8"/>
    <w:rsid w:val="005A1067"/>
    <w:rsid w:val="005A1F6B"/>
    <w:rsid w:val="005A3005"/>
    <w:rsid w:val="005A3067"/>
    <w:rsid w:val="005A3517"/>
    <w:rsid w:val="005A415A"/>
    <w:rsid w:val="005A755E"/>
    <w:rsid w:val="005A79DB"/>
    <w:rsid w:val="005B36A2"/>
    <w:rsid w:val="005B3F39"/>
    <w:rsid w:val="005B475B"/>
    <w:rsid w:val="005C07F3"/>
    <w:rsid w:val="005C3EB4"/>
    <w:rsid w:val="005C43B6"/>
    <w:rsid w:val="005C4C12"/>
    <w:rsid w:val="005C767B"/>
    <w:rsid w:val="005D6DA7"/>
    <w:rsid w:val="005D6E91"/>
    <w:rsid w:val="005D70C0"/>
    <w:rsid w:val="005E26D4"/>
    <w:rsid w:val="005E45E0"/>
    <w:rsid w:val="005E48E0"/>
    <w:rsid w:val="005E5864"/>
    <w:rsid w:val="005F284D"/>
    <w:rsid w:val="005F43C0"/>
    <w:rsid w:val="005F4F1E"/>
    <w:rsid w:val="005F4F77"/>
    <w:rsid w:val="00602140"/>
    <w:rsid w:val="00602389"/>
    <w:rsid w:val="0060251E"/>
    <w:rsid w:val="00604671"/>
    <w:rsid w:val="0060488A"/>
    <w:rsid w:val="00604D19"/>
    <w:rsid w:val="006050E1"/>
    <w:rsid w:val="00611C97"/>
    <w:rsid w:val="00612427"/>
    <w:rsid w:val="00612C22"/>
    <w:rsid w:val="00612E4C"/>
    <w:rsid w:val="0061442C"/>
    <w:rsid w:val="00614B89"/>
    <w:rsid w:val="00615953"/>
    <w:rsid w:val="00621DF1"/>
    <w:rsid w:val="0062474C"/>
    <w:rsid w:val="006265C9"/>
    <w:rsid w:val="00626A4B"/>
    <w:rsid w:val="006270DC"/>
    <w:rsid w:val="006338FC"/>
    <w:rsid w:val="006341A7"/>
    <w:rsid w:val="0063489B"/>
    <w:rsid w:val="00637643"/>
    <w:rsid w:val="00640B06"/>
    <w:rsid w:val="006440FF"/>
    <w:rsid w:val="00646797"/>
    <w:rsid w:val="00647049"/>
    <w:rsid w:val="006502AA"/>
    <w:rsid w:val="00650FEF"/>
    <w:rsid w:val="00652029"/>
    <w:rsid w:val="00653922"/>
    <w:rsid w:val="00653D35"/>
    <w:rsid w:val="00655AB0"/>
    <w:rsid w:val="00656AC1"/>
    <w:rsid w:val="00660D8A"/>
    <w:rsid w:val="00662379"/>
    <w:rsid w:val="0066245C"/>
    <w:rsid w:val="006637B6"/>
    <w:rsid w:val="00670090"/>
    <w:rsid w:val="006708DD"/>
    <w:rsid w:val="0067322E"/>
    <w:rsid w:val="00673DEC"/>
    <w:rsid w:val="00681913"/>
    <w:rsid w:val="006848BF"/>
    <w:rsid w:val="00686785"/>
    <w:rsid w:val="006868FD"/>
    <w:rsid w:val="00692651"/>
    <w:rsid w:val="00695398"/>
    <w:rsid w:val="00695EB1"/>
    <w:rsid w:val="006973F5"/>
    <w:rsid w:val="006A75D4"/>
    <w:rsid w:val="006B1239"/>
    <w:rsid w:val="006B25F9"/>
    <w:rsid w:val="006B28A4"/>
    <w:rsid w:val="006B2C57"/>
    <w:rsid w:val="006B63D8"/>
    <w:rsid w:val="006C041C"/>
    <w:rsid w:val="006C167D"/>
    <w:rsid w:val="006C2009"/>
    <w:rsid w:val="006C3DBD"/>
    <w:rsid w:val="006C4731"/>
    <w:rsid w:val="006C6C68"/>
    <w:rsid w:val="006D4503"/>
    <w:rsid w:val="006E2FD1"/>
    <w:rsid w:val="006E4099"/>
    <w:rsid w:val="006E526A"/>
    <w:rsid w:val="006F1B2B"/>
    <w:rsid w:val="006F2299"/>
    <w:rsid w:val="006F48A2"/>
    <w:rsid w:val="006F48DC"/>
    <w:rsid w:val="006F4E59"/>
    <w:rsid w:val="006F527E"/>
    <w:rsid w:val="00700272"/>
    <w:rsid w:val="00701137"/>
    <w:rsid w:val="00701375"/>
    <w:rsid w:val="00703FFA"/>
    <w:rsid w:val="00705AF4"/>
    <w:rsid w:val="0070727F"/>
    <w:rsid w:val="00707A8A"/>
    <w:rsid w:val="007101BC"/>
    <w:rsid w:val="007107EE"/>
    <w:rsid w:val="007123E9"/>
    <w:rsid w:val="00712AE4"/>
    <w:rsid w:val="00715F7A"/>
    <w:rsid w:val="00722430"/>
    <w:rsid w:val="0072359A"/>
    <w:rsid w:val="0072623E"/>
    <w:rsid w:val="00726429"/>
    <w:rsid w:val="00726443"/>
    <w:rsid w:val="00726B49"/>
    <w:rsid w:val="00727935"/>
    <w:rsid w:val="007303AA"/>
    <w:rsid w:val="00730FD6"/>
    <w:rsid w:val="0073545D"/>
    <w:rsid w:val="007360F5"/>
    <w:rsid w:val="0073619F"/>
    <w:rsid w:val="00736DD6"/>
    <w:rsid w:val="007377E5"/>
    <w:rsid w:val="007379D0"/>
    <w:rsid w:val="00743042"/>
    <w:rsid w:val="007430BE"/>
    <w:rsid w:val="00745147"/>
    <w:rsid w:val="00746F3B"/>
    <w:rsid w:val="007475E5"/>
    <w:rsid w:val="007504AB"/>
    <w:rsid w:val="00751909"/>
    <w:rsid w:val="00752145"/>
    <w:rsid w:val="00752D52"/>
    <w:rsid w:val="00754141"/>
    <w:rsid w:val="00754311"/>
    <w:rsid w:val="00754FBA"/>
    <w:rsid w:val="00755DB6"/>
    <w:rsid w:val="00756271"/>
    <w:rsid w:val="0075671E"/>
    <w:rsid w:val="007572A5"/>
    <w:rsid w:val="007576BF"/>
    <w:rsid w:val="00762327"/>
    <w:rsid w:val="00762B96"/>
    <w:rsid w:val="00763524"/>
    <w:rsid w:val="007650C2"/>
    <w:rsid w:val="00765197"/>
    <w:rsid w:val="00770F7C"/>
    <w:rsid w:val="00771301"/>
    <w:rsid w:val="007722E7"/>
    <w:rsid w:val="00774A9B"/>
    <w:rsid w:val="00775744"/>
    <w:rsid w:val="00775F9C"/>
    <w:rsid w:val="007800E6"/>
    <w:rsid w:val="00780AFB"/>
    <w:rsid w:val="00780FE5"/>
    <w:rsid w:val="007813C7"/>
    <w:rsid w:val="00781868"/>
    <w:rsid w:val="00782BF0"/>
    <w:rsid w:val="00787273"/>
    <w:rsid w:val="00790E6A"/>
    <w:rsid w:val="00790F87"/>
    <w:rsid w:val="0079488C"/>
    <w:rsid w:val="00794BEF"/>
    <w:rsid w:val="007A2EB8"/>
    <w:rsid w:val="007A360A"/>
    <w:rsid w:val="007A3E98"/>
    <w:rsid w:val="007A4F0A"/>
    <w:rsid w:val="007A547E"/>
    <w:rsid w:val="007B22D8"/>
    <w:rsid w:val="007B503F"/>
    <w:rsid w:val="007B5732"/>
    <w:rsid w:val="007B5F67"/>
    <w:rsid w:val="007C1EB8"/>
    <w:rsid w:val="007C2665"/>
    <w:rsid w:val="007C6727"/>
    <w:rsid w:val="007C7203"/>
    <w:rsid w:val="007C7A44"/>
    <w:rsid w:val="007D13D5"/>
    <w:rsid w:val="007D5924"/>
    <w:rsid w:val="007D5C2F"/>
    <w:rsid w:val="007D753C"/>
    <w:rsid w:val="007D7B3B"/>
    <w:rsid w:val="007D7F7E"/>
    <w:rsid w:val="007E0765"/>
    <w:rsid w:val="007E0FDF"/>
    <w:rsid w:val="007E1692"/>
    <w:rsid w:val="007E2B11"/>
    <w:rsid w:val="007E2C10"/>
    <w:rsid w:val="007E32BC"/>
    <w:rsid w:val="007E56BA"/>
    <w:rsid w:val="007E5721"/>
    <w:rsid w:val="007E6A66"/>
    <w:rsid w:val="007E7226"/>
    <w:rsid w:val="007F0D7B"/>
    <w:rsid w:val="007F10C5"/>
    <w:rsid w:val="007F2351"/>
    <w:rsid w:val="007F3175"/>
    <w:rsid w:val="007F53E7"/>
    <w:rsid w:val="007F580E"/>
    <w:rsid w:val="007F68BB"/>
    <w:rsid w:val="00800482"/>
    <w:rsid w:val="00800EB7"/>
    <w:rsid w:val="008046C5"/>
    <w:rsid w:val="0080643A"/>
    <w:rsid w:val="00806703"/>
    <w:rsid w:val="00807990"/>
    <w:rsid w:val="008112BC"/>
    <w:rsid w:val="00811E0C"/>
    <w:rsid w:val="008124CC"/>
    <w:rsid w:val="00813D09"/>
    <w:rsid w:val="00814744"/>
    <w:rsid w:val="008147F5"/>
    <w:rsid w:val="00814C84"/>
    <w:rsid w:val="0081688E"/>
    <w:rsid w:val="0082140C"/>
    <w:rsid w:val="008218AF"/>
    <w:rsid w:val="0082341B"/>
    <w:rsid w:val="00825543"/>
    <w:rsid w:val="008312DF"/>
    <w:rsid w:val="00834FE3"/>
    <w:rsid w:val="008369D5"/>
    <w:rsid w:val="0083771B"/>
    <w:rsid w:val="008410D7"/>
    <w:rsid w:val="00842521"/>
    <w:rsid w:val="00844A3A"/>
    <w:rsid w:val="00845218"/>
    <w:rsid w:val="0084575E"/>
    <w:rsid w:val="00847534"/>
    <w:rsid w:val="00847BDF"/>
    <w:rsid w:val="00850244"/>
    <w:rsid w:val="0085747A"/>
    <w:rsid w:val="00860D68"/>
    <w:rsid w:val="00861C5A"/>
    <w:rsid w:val="00862687"/>
    <w:rsid w:val="00862C54"/>
    <w:rsid w:val="00863D59"/>
    <w:rsid w:val="008731E2"/>
    <w:rsid w:val="00875E62"/>
    <w:rsid w:val="00880B03"/>
    <w:rsid w:val="008823DC"/>
    <w:rsid w:val="00882642"/>
    <w:rsid w:val="00893055"/>
    <w:rsid w:val="00893A53"/>
    <w:rsid w:val="00893FB7"/>
    <w:rsid w:val="008A06EF"/>
    <w:rsid w:val="008A227B"/>
    <w:rsid w:val="008A3D7D"/>
    <w:rsid w:val="008A721D"/>
    <w:rsid w:val="008A7911"/>
    <w:rsid w:val="008B0A8F"/>
    <w:rsid w:val="008B19FE"/>
    <w:rsid w:val="008B5896"/>
    <w:rsid w:val="008B630E"/>
    <w:rsid w:val="008C5AB2"/>
    <w:rsid w:val="008C6E19"/>
    <w:rsid w:val="008D0ABD"/>
    <w:rsid w:val="008D107C"/>
    <w:rsid w:val="008D18C7"/>
    <w:rsid w:val="008D3348"/>
    <w:rsid w:val="008E37EC"/>
    <w:rsid w:val="008E752B"/>
    <w:rsid w:val="008F3FF1"/>
    <w:rsid w:val="008F5293"/>
    <w:rsid w:val="008F601C"/>
    <w:rsid w:val="008F78AA"/>
    <w:rsid w:val="008F7B2B"/>
    <w:rsid w:val="00900AA0"/>
    <w:rsid w:val="0090158D"/>
    <w:rsid w:val="00902AC7"/>
    <w:rsid w:val="00904352"/>
    <w:rsid w:val="00904A31"/>
    <w:rsid w:val="0090561A"/>
    <w:rsid w:val="00906539"/>
    <w:rsid w:val="00906D4A"/>
    <w:rsid w:val="00907292"/>
    <w:rsid w:val="009159D8"/>
    <w:rsid w:val="00921385"/>
    <w:rsid w:val="00921D72"/>
    <w:rsid w:val="00924F3D"/>
    <w:rsid w:val="0092667F"/>
    <w:rsid w:val="00927B87"/>
    <w:rsid w:val="0093010F"/>
    <w:rsid w:val="0093320B"/>
    <w:rsid w:val="00934BE7"/>
    <w:rsid w:val="009375D9"/>
    <w:rsid w:val="00943436"/>
    <w:rsid w:val="009501AC"/>
    <w:rsid w:val="00952F07"/>
    <w:rsid w:val="00952F3C"/>
    <w:rsid w:val="0095428F"/>
    <w:rsid w:val="00955568"/>
    <w:rsid w:val="0096269B"/>
    <w:rsid w:val="009627F2"/>
    <w:rsid w:val="00963963"/>
    <w:rsid w:val="00963B9A"/>
    <w:rsid w:val="00964E7D"/>
    <w:rsid w:val="009652D1"/>
    <w:rsid w:val="00965BBB"/>
    <w:rsid w:val="009720E3"/>
    <w:rsid w:val="00972304"/>
    <w:rsid w:val="0097242A"/>
    <w:rsid w:val="0097276A"/>
    <w:rsid w:val="00973F5F"/>
    <w:rsid w:val="00981DA4"/>
    <w:rsid w:val="00982A39"/>
    <w:rsid w:val="00982F0F"/>
    <w:rsid w:val="009833AB"/>
    <w:rsid w:val="00984F2D"/>
    <w:rsid w:val="00985035"/>
    <w:rsid w:val="0098592F"/>
    <w:rsid w:val="00985F89"/>
    <w:rsid w:val="00986577"/>
    <w:rsid w:val="00990452"/>
    <w:rsid w:val="00991E1D"/>
    <w:rsid w:val="00992022"/>
    <w:rsid w:val="009925FD"/>
    <w:rsid w:val="00993FA2"/>
    <w:rsid w:val="009949BE"/>
    <w:rsid w:val="00996A70"/>
    <w:rsid w:val="009A02A1"/>
    <w:rsid w:val="009A0729"/>
    <w:rsid w:val="009A0EDC"/>
    <w:rsid w:val="009A10B1"/>
    <w:rsid w:val="009A1F49"/>
    <w:rsid w:val="009A5D98"/>
    <w:rsid w:val="009A7EEC"/>
    <w:rsid w:val="009B0C34"/>
    <w:rsid w:val="009B2A0B"/>
    <w:rsid w:val="009B2DA1"/>
    <w:rsid w:val="009B7064"/>
    <w:rsid w:val="009C12A4"/>
    <w:rsid w:val="009C39BC"/>
    <w:rsid w:val="009C3C00"/>
    <w:rsid w:val="009C5D5F"/>
    <w:rsid w:val="009C69CA"/>
    <w:rsid w:val="009D0E2B"/>
    <w:rsid w:val="009D0E36"/>
    <w:rsid w:val="009D5230"/>
    <w:rsid w:val="009D66CB"/>
    <w:rsid w:val="009E1DAB"/>
    <w:rsid w:val="009E26F4"/>
    <w:rsid w:val="009E413B"/>
    <w:rsid w:val="009E44D9"/>
    <w:rsid w:val="009E4DAF"/>
    <w:rsid w:val="009E4EEA"/>
    <w:rsid w:val="009F0746"/>
    <w:rsid w:val="009F460B"/>
    <w:rsid w:val="009F5439"/>
    <w:rsid w:val="009F5BC2"/>
    <w:rsid w:val="00A00A4F"/>
    <w:rsid w:val="00A00D18"/>
    <w:rsid w:val="00A028B1"/>
    <w:rsid w:val="00A047CE"/>
    <w:rsid w:val="00A04858"/>
    <w:rsid w:val="00A05972"/>
    <w:rsid w:val="00A12008"/>
    <w:rsid w:val="00A12130"/>
    <w:rsid w:val="00A123EC"/>
    <w:rsid w:val="00A16632"/>
    <w:rsid w:val="00A16852"/>
    <w:rsid w:val="00A16A73"/>
    <w:rsid w:val="00A20C8E"/>
    <w:rsid w:val="00A224F7"/>
    <w:rsid w:val="00A22D48"/>
    <w:rsid w:val="00A25EBC"/>
    <w:rsid w:val="00A26F77"/>
    <w:rsid w:val="00A308D0"/>
    <w:rsid w:val="00A312CC"/>
    <w:rsid w:val="00A3302F"/>
    <w:rsid w:val="00A333C3"/>
    <w:rsid w:val="00A35989"/>
    <w:rsid w:val="00A35992"/>
    <w:rsid w:val="00A402C8"/>
    <w:rsid w:val="00A41A08"/>
    <w:rsid w:val="00A41ABB"/>
    <w:rsid w:val="00A43B7E"/>
    <w:rsid w:val="00A4521D"/>
    <w:rsid w:val="00A479A6"/>
    <w:rsid w:val="00A503CC"/>
    <w:rsid w:val="00A50AFE"/>
    <w:rsid w:val="00A5280F"/>
    <w:rsid w:val="00A52CD7"/>
    <w:rsid w:val="00A52EC8"/>
    <w:rsid w:val="00A531ED"/>
    <w:rsid w:val="00A53955"/>
    <w:rsid w:val="00A53DE7"/>
    <w:rsid w:val="00A54058"/>
    <w:rsid w:val="00A559D7"/>
    <w:rsid w:val="00A55F9B"/>
    <w:rsid w:val="00A56A71"/>
    <w:rsid w:val="00A57BA5"/>
    <w:rsid w:val="00A60C0F"/>
    <w:rsid w:val="00A627C7"/>
    <w:rsid w:val="00A62A3B"/>
    <w:rsid w:val="00A751B0"/>
    <w:rsid w:val="00A76C12"/>
    <w:rsid w:val="00A77E11"/>
    <w:rsid w:val="00A817F0"/>
    <w:rsid w:val="00A87D18"/>
    <w:rsid w:val="00A91379"/>
    <w:rsid w:val="00A94ED1"/>
    <w:rsid w:val="00A96A55"/>
    <w:rsid w:val="00AA0C7E"/>
    <w:rsid w:val="00AA130E"/>
    <w:rsid w:val="00AA1A2E"/>
    <w:rsid w:val="00AA20E4"/>
    <w:rsid w:val="00AA3604"/>
    <w:rsid w:val="00AA48E3"/>
    <w:rsid w:val="00AA74FF"/>
    <w:rsid w:val="00AB3AFE"/>
    <w:rsid w:val="00AB5724"/>
    <w:rsid w:val="00AB6E22"/>
    <w:rsid w:val="00AB7A1D"/>
    <w:rsid w:val="00AC1DD8"/>
    <w:rsid w:val="00AC53BE"/>
    <w:rsid w:val="00AD15E6"/>
    <w:rsid w:val="00AD4C28"/>
    <w:rsid w:val="00AD5074"/>
    <w:rsid w:val="00AD6988"/>
    <w:rsid w:val="00AD72F7"/>
    <w:rsid w:val="00AD7934"/>
    <w:rsid w:val="00AE0231"/>
    <w:rsid w:val="00AE665B"/>
    <w:rsid w:val="00AF04D1"/>
    <w:rsid w:val="00AF15F5"/>
    <w:rsid w:val="00AF4608"/>
    <w:rsid w:val="00AF76A9"/>
    <w:rsid w:val="00AF7979"/>
    <w:rsid w:val="00AF7A19"/>
    <w:rsid w:val="00B01D87"/>
    <w:rsid w:val="00B02C2F"/>
    <w:rsid w:val="00B0469B"/>
    <w:rsid w:val="00B057E6"/>
    <w:rsid w:val="00B07194"/>
    <w:rsid w:val="00B077DB"/>
    <w:rsid w:val="00B07DE9"/>
    <w:rsid w:val="00B111CA"/>
    <w:rsid w:val="00B11849"/>
    <w:rsid w:val="00B11E40"/>
    <w:rsid w:val="00B12444"/>
    <w:rsid w:val="00B12A97"/>
    <w:rsid w:val="00B1793F"/>
    <w:rsid w:val="00B20059"/>
    <w:rsid w:val="00B20286"/>
    <w:rsid w:val="00B207FD"/>
    <w:rsid w:val="00B22D0E"/>
    <w:rsid w:val="00B24E5F"/>
    <w:rsid w:val="00B26B8B"/>
    <w:rsid w:val="00B304EB"/>
    <w:rsid w:val="00B310C2"/>
    <w:rsid w:val="00B33539"/>
    <w:rsid w:val="00B33C35"/>
    <w:rsid w:val="00B344FD"/>
    <w:rsid w:val="00B36BF2"/>
    <w:rsid w:val="00B46E74"/>
    <w:rsid w:val="00B5148A"/>
    <w:rsid w:val="00B51692"/>
    <w:rsid w:val="00B53EAE"/>
    <w:rsid w:val="00B56D2E"/>
    <w:rsid w:val="00B60CFD"/>
    <w:rsid w:val="00B61102"/>
    <w:rsid w:val="00B6114C"/>
    <w:rsid w:val="00B61DA1"/>
    <w:rsid w:val="00B63D5F"/>
    <w:rsid w:val="00B64A2F"/>
    <w:rsid w:val="00B6506C"/>
    <w:rsid w:val="00B70028"/>
    <w:rsid w:val="00B71C9C"/>
    <w:rsid w:val="00B7246C"/>
    <w:rsid w:val="00B73DFF"/>
    <w:rsid w:val="00B74865"/>
    <w:rsid w:val="00B74D11"/>
    <w:rsid w:val="00B77C66"/>
    <w:rsid w:val="00B8257E"/>
    <w:rsid w:val="00B82DB6"/>
    <w:rsid w:val="00B83451"/>
    <w:rsid w:val="00B858EF"/>
    <w:rsid w:val="00B85CCE"/>
    <w:rsid w:val="00B90E06"/>
    <w:rsid w:val="00B943B0"/>
    <w:rsid w:val="00B955B0"/>
    <w:rsid w:val="00BA0E56"/>
    <w:rsid w:val="00BA1DA6"/>
    <w:rsid w:val="00BA2D2E"/>
    <w:rsid w:val="00BA3963"/>
    <w:rsid w:val="00BA3B92"/>
    <w:rsid w:val="00BA4E71"/>
    <w:rsid w:val="00BA5CA7"/>
    <w:rsid w:val="00BA6945"/>
    <w:rsid w:val="00BA7AFF"/>
    <w:rsid w:val="00BA7EBD"/>
    <w:rsid w:val="00BB18BE"/>
    <w:rsid w:val="00BB2624"/>
    <w:rsid w:val="00BB4478"/>
    <w:rsid w:val="00BB58E6"/>
    <w:rsid w:val="00BB6BA6"/>
    <w:rsid w:val="00BB797C"/>
    <w:rsid w:val="00BB7AD8"/>
    <w:rsid w:val="00BC1F49"/>
    <w:rsid w:val="00BC2D1E"/>
    <w:rsid w:val="00BC3E46"/>
    <w:rsid w:val="00BC46B2"/>
    <w:rsid w:val="00BC4B49"/>
    <w:rsid w:val="00BC6C17"/>
    <w:rsid w:val="00BC7CE2"/>
    <w:rsid w:val="00BD0682"/>
    <w:rsid w:val="00BD094C"/>
    <w:rsid w:val="00BD0954"/>
    <w:rsid w:val="00BD1BCD"/>
    <w:rsid w:val="00BD35B0"/>
    <w:rsid w:val="00BD74E4"/>
    <w:rsid w:val="00BD7A6F"/>
    <w:rsid w:val="00BE0D1A"/>
    <w:rsid w:val="00BE419E"/>
    <w:rsid w:val="00BE5DF8"/>
    <w:rsid w:val="00BF1712"/>
    <w:rsid w:val="00BF1BF7"/>
    <w:rsid w:val="00BF3621"/>
    <w:rsid w:val="00C01671"/>
    <w:rsid w:val="00C02160"/>
    <w:rsid w:val="00C02C06"/>
    <w:rsid w:val="00C03BE4"/>
    <w:rsid w:val="00C0491B"/>
    <w:rsid w:val="00C061A4"/>
    <w:rsid w:val="00C06522"/>
    <w:rsid w:val="00C1209B"/>
    <w:rsid w:val="00C13A2E"/>
    <w:rsid w:val="00C14FC9"/>
    <w:rsid w:val="00C15DBC"/>
    <w:rsid w:val="00C17C49"/>
    <w:rsid w:val="00C205A6"/>
    <w:rsid w:val="00C20982"/>
    <w:rsid w:val="00C20E9F"/>
    <w:rsid w:val="00C22C27"/>
    <w:rsid w:val="00C230B5"/>
    <w:rsid w:val="00C239B8"/>
    <w:rsid w:val="00C245EF"/>
    <w:rsid w:val="00C31003"/>
    <w:rsid w:val="00C31603"/>
    <w:rsid w:val="00C321B7"/>
    <w:rsid w:val="00C33962"/>
    <w:rsid w:val="00C362B9"/>
    <w:rsid w:val="00C36CF9"/>
    <w:rsid w:val="00C42D8F"/>
    <w:rsid w:val="00C43849"/>
    <w:rsid w:val="00C43992"/>
    <w:rsid w:val="00C45239"/>
    <w:rsid w:val="00C4686E"/>
    <w:rsid w:val="00C50AA6"/>
    <w:rsid w:val="00C51C42"/>
    <w:rsid w:val="00C51FD2"/>
    <w:rsid w:val="00C528A0"/>
    <w:rsid w:val="00C55B71"/>
    <w:rsid w:val="00C56038"/>
    <w:rsid w:val="00C576D4"/>
    <w:rsid w:val="00C60AFA"/>
    <w:rsid w:val="00C64DF8"/>
    <w:rsid w:val="00C66377"/>
    <w:rsid w:val="00C6645D"/>
    <w:rsid w:val="00C66E06"/>
    <w:rsid w:val="00C70ED9"/>
    <w:rsid w:val="00C7140F"/>
    <w:rsid w:val="00C743CA"/>
    <w:rsid w:val="00C807DE"/>
    <w:rsid w:val="00C811A5"/>
    <w:rsid w:val="00C816D5"/>
    <w:rsid w:val="00C828F2"/>
    <w:rsid w:val="00C8437B"/>
    <w:rsid w:val="00C8669C"/>
    <w:rsid w:val="00C87919"/>
    <w:rsid w:val="00C902D3"/>
    <w:rsid w:val="00C91F84"/>
    <w:rsid w:val="00C920A1"/>
    <w:rsid w:val="00C925FC"/>
    <w:rsid w:val="00C93ACD"/>
    <w:rsid w:val="00C94207"/>
    <w:rsid w:val="00C9462D"/>
    <w:rsid w:val="00CA2339"/>
    <w:rsid w:val="00CA312A"/>
    <w:rsid w:val="00CA3F1D"/>
    <w:rsid w:val="00CA5488"/>
    <w:rsid w:val="00CA57F1"/>
    <w:rsid w:val="00CA65A6"/>
    <w:rsid w:val="00CA65E0"/>
    <w:rsid w:val="00CB0A37"/>
    <w:rsid w:val="00CB1F98"/>
    <w:rsid w:val="00CB43BC"/>
    <w:rsid w:val="00CB620C"/>
    <w:rsid w:val="00CB77AF"/>
    <w:rsid w:val="00CC62F5"/>
    <w:rsid w:val="00CC6528"/>
    <w:rsid w:val="00CD19DB"/>
    <w:rsid w:val="00CD227B"/>
    <w:rsid w:val="00CD452C"/>
    <w:rsid w:val="00CD5916"/>
    <w:rsid w:val="00CD74EB"/>
    <w:rsid w:val="00CE03F0"/>
    <w:rsid w:val="00CE1303"/>
    <w:rsid w:val="00CE2CBF"/>
    <w:rsid w:val="00CE57E9"/>
    <w:rsid w:val="00CE586A"/>
    <w:rsid w:val="00CE6988"/>
    <w:rsid w:val="00CF01E7"/>
    <w:rsid w:val="00CF2824"/>
    <w:rsid w:val="00CF3918"/>
    <w:rsid w:val="00CF3EF0"/>
    <w:rsid w:val="00CF77CF"/>
    <w:rsid w:val="00D01DCE"/>
    <w:rsid w:val="00D02484"/>
    <w:rsid w:val="00D02E23"/>
    <w:rsid w:val="00D05725"/>
    <w:rsid w:val="00D07753"/>
    <w:rsid w:val="00D07F7D"/>
    <w:rsid w:val="00D10AE9"/>
    <w:rsid w:val="00D10D99"/>
    <w:rsid w:val="00D10E0C"/>
    <w:rsid w:val="00D1143C"/>
    <w:rsid w:val="00D1398D"/>
    <w:rsid w:val="00D16324"/>
    <w:rsid w:val="00D1701F"/>
    <w:rsid w:val="00D20337"/>
    <w:rsid w:val="00D20ADB"/>
    <w:rsid w:val="00D20C36"/>
    <w:rsid w:val="00D22E29"/>
    <w:rsid w:val="00D23FAA"/>
    <w:rsid w:val="00D27544"/>
    <w:rsid w:val="00D27B8C"/>
    <w:rsid w:val="00D30E83"/>
    <w:rsid w:val="00D40037"/>
    <w:rsid w:val="00D421B9"/>
    <w:rsid w:val="00D4252A"/>
    <w:rsid w:val="00D42B2E"/>
    <w:rsid w:val="00D42E2C"/>
    <w:rsid w:val="00D4348D"/>
    <w:rsid w:val="00D436C8"/>
    <w:rsid w:val="00D44BC1"/>
    <w:rsid w:val="00D453A2"/>
    <w:rsid w:val="00D45631"/>
    <w:rsid w:val="00D467A1"/>
    <w:rsid w:val="00D4683D"/>
    <w:rsid w:val="00D472F5"/>
    <w:rsid w:val="00D50E96"/>
    <w:rsid w:val="00D52234"/>
    <w:rsid w:val="00D52357"/>
    <w:rsid w:val="00D52B7C"/>
    <w:rsid w:val="00D5329C"/>
    <w:rsid w:val="00D55ADB"/>
    <w:rsid w:val="00D60AFC"/>
    <w:rsid w:val="00D6186E"/>
    <w:rsid w:val="00D6238B"/>
    <w:rsid w:val="00D63A34"/>
    <w:rsid w:val="00D74B5A"/>
    <w:rsid w:val="00D75692"/>
    <w:rsid w:val="00D774E0"/>
    <w:rsid w:val="00D8065F"/>
    <w:rsid w:val="00D80AFA"/>
    <w:rsid w:val="00D81F8F"/>
    <w:rsid w:val="00D81F97"/>
    <w:rsid w:val="00D83CE4"/>
    <w:rsid w:val="00D859F7"/>
    <w:rsid w:val="00D85A59"/>
    <w:rsid w:val="00D86A90"/>
    <w:rsid w:val="00D86B3D"/>
    <w:rsid w:val="00D87B36"/>
    <w:rsid w:val="00D9081A"/>
    <w:rsid w:val="00D90D7F"/>
    <w:rsid w:val="00D92803"/>
    <w:rsid w:val="00D9638D"/>
    <w:rsid w:val="00D970C8"/>
    <w:rsid w:val="00DA0102"/>
    <w:rsid w:val="00DA58E7"/>
    <w:rsid w:val="00DA5D55"/>
    <w:rsid w:val="00DA7D98"/>
    <w:rsid w:val="00DB2B8B"/>
    <w:rsid w:val="00DB5BE9"/>
    <w:rsid w:val="00DB5D3A"/>
    <w:rsid w:val="00DB5ECE"/>
    <w:rsid w:val="00DB7BFC"/>
    <w:rsid w:val="00DC04F4"/>
    <w:rsid w:val="00DC05C4"/>
    <w:rsid w:val="00DC2D02"/>
    <w:rsid w:val="00DC3E6B"/>
    <w:rsid w:val="00DC4CF3"/>
    <w:rsid w:val="00DC6315"/>
    <w:rsid w:val="00DD003A"/>
    <w:rsid w:val="00DD1698"/>
    <w:rsid w:val="00DD271F"/>
    <w:rsid w:val="00DD370D"/>
    <w:rsid w:val="00DD4BD8"/>
    <w:rsid w:val="00DD57E3"/>
    <w:rsid w:val="00DD714A"/>
    <w:rsid w:val="00DE25FE"/>
    <w:rsid w:val="00DE6D7B"/>
    <w:rsid w:val="00DF0286"/>
    <w:rsid w:val="00DF2EDF"/>
    <w:rsid w:val="00DF3879"/>
    <w:rsid w:val="00DF3A4D"/>
    <w:rsid w:val="00DF470D"/>
    <w:rsid w:val="00DF5FF6"/>
    <w:rsid w:val="00DF6054"/>
    <w:rsid w:val="00DF73A6"/>
    <w:rsid w:val="00E001F2"/>
    <w:rsid w:val="00E00B69"/>
    <w:rsid w:val="00E033BF"/>
    <w:rsid w:val="00E03984"/>
    <w:rsid w:val="00E07786"/>
    <w:rsid w:val="00E10481"/>
    <w:rsid w:val="00E12616"/>
    <w:rsid w:val="00E1344C"/>
    <w:rsid w:val="00E13498"/>
    <w:rsid w:val="00E13C63"/>
    <w:rsid w:val="00E14354"/>
    <w:rsid w:val="00E1527A"/>
    <w:rsid w:val="00E16542"/>
    <w:rsid w:val="00E16AC4"/>
    <w:rsid w:val="00E17B94"/>
    <w:rsid w:val="00E217D9"/>
    <w:rsid w:val="00E2397C"/>
    <w:rsid w:val="00E2410B"/>
    <w:rsid w:val="00E30E12"/>
    <w:rsid w:val="00E31DE5"/>
    <w:rsid w:val="00E373A1"/>
    <w:rsid w:val="00E42B47"/>
    <w:rsid w:val="00E434AC"/>
    <w:rsid w:val="00E43AB4"/>
    <w:rsid w:val="00E44083"/>
    <w:rsid w:val="00E44120"/>
    <w:rsid w:val="00E44392"/>
    <w:rsid w:val="00E447BF"/>
    <w:rsid w:val="00E45187"/>
    <w:rsid w:val="00E5248E"/>
    <w:rsid w:val="00E53ADA"/>
    <w:rsid w:val="00E5733D"/>
    <w:rsid w:val="00E601DD"/>
    <w:rsid w:val="00E6053C"/>
    <w:rsid w:val="00E61AEF"/>
    <w:rsid w:val="00E63CE7"/>
    <w:rsid w:val="00E66220"/>
    <w:rsid w:val="00E71C7D"/>
    <w:rsid w:val="00E72723"/>
    <w:rsid w:val="00E72F31"/>
    <w:rsid w:val="00E770AD"/>
    <w:rsid w:val="00E80003"/>
    <w:rsid w:val="00E84296"/>
    <w:rsid w:val="00E84E63"/>
    <w:rsid w:val="00E85228"/>
    <w:rsid w:val="00E86F9D"/>
    <w:rsid w:val="00E908C6"/>
    <w:rsid w:val="00E90910"/>
    <w:rsid w:val="00E90EF4"/>
    <w:rsid w:val="00E91EF5"/>
    <w:rsid w:val="00E930FA"/>
    <w:rsid w:val="00E93954"/>
    <w:rsid w:val="00E97132"/>
    <w:rsid w:val="00EA1EC5"/>
    <w:rsid w:val="00EA2A6D"/>
    <w:rsid w:val="00EA2E94"/>
    <w:rsid w:val="00EA32F5"/>
    <w:rsid w:val="00EA3ED1"/>
    <w:rsid w:val="00EA47B5"/>
    <w:rsid w:val="00EA73C4"/>
    <w:rsid w:val="00EA7449"/>
    <w:rsid w:val="00EB0A86"/>
    <w:rsid w:val="00EB0DA2"/>
    <w:rsid w:val="00EB57D8"/>
    <w:rsid w:val="00EC16DF"/>
    <w:rsid w:val="00EC1880"/>
    <w:rsid w:val="00EC1C5C"/>
    <w:rsid w:val="00EC3F17"/>
    <w:rsid w:val="00EC58F0"/>
    <w:rsid w:val="00EC7116"/>
    <w:rsid w:val="00EC7530"/>
    <w:rsid w:val="00ED016F"/>
    <w:rsid w:val="00ED2E0B"/>
    <w:rsid w:val="00ED36CA"/>
    <w:rsid w:val="00ED3C12"/>
    <w:rsid w:val="00ED428E"/>
    <w:rsid w:val="00ED4499"/>
    <w:rsid w:val="00ED68FE"/>
    <w:rsid w:val="00ED6CD2"/>
    <w:rsid w:val="00ED7AD0"/>
    <w:rsid w:val="00ED7B95"/>
    <w:rsid w:val="00EE039B"/>
    <w:rsid w:val="00EE1FF0"/>
    <w:rsid w:val="00EE3C32"/>
    <w:rsid w:val="00EE68AB"/>
    <w:rsid w:val="00EF005C"/>
    <w:rsid w:val="00EF052F"/>
    <w:rsid w:val="00EF14E0"/>
    <w:rsid w:val="00EF2937"/>
    <w:rsid w:val="00EF5470"/>
    <w:rsid w:val="00EF72D5"/>
    <w:rsid w:val="00EF7505"/>
    <w:rsid w:val="00F0092D"/>
    <w:rsid w:val="00F00B61"/>
    <w:rsid w:val="00F01614"/>
    <w:rsid w:val="00F0317D"/>
    <w:rsid w:val="00F053F4"/>
    <w:rsid w:val="00F10DF7"/>
    <w:rsid w:val="00F114FC"/>
    <w:rsid w:val="00F1484E"/>
    <w:rsid w:val="00F14EBA"/>
    <w:rsid w:val="00F15270"/>
    <w:rsid w:val="00F177B4"/>
    <w:rsid w:val="00F204C7"/>
    <w:rsid w:val="00F222FD"/>
    <w:rsid w:val="00F2323E"/>
    <w:rsid w:val="00F249D1"/>
    <w:rsid w:val="00F257A9"/>
    <w:rsid w:val="00F262A8"/>
    <w:rsid w:val="00F2782F"/>
    <w:rsid w:val="00F27D0C"/>
    <w:rsid w:val="00F31466"/>
    <w:rsid w:val="00F31983"/>
    <w:rsid w:val="00F3250C"/>
    <w:rsid w:val="00F32F0D"/>
    <w:rsid w:val="00F34376"/>
    <w:rsid w:val="00F352E3"/>
    <w:rsid w:val="00F37B98"/>
    <w:rsid w:val="00F41009"/>
    <w:rsid w:val="00F41670"/>
    <w:rsid w:val="00F4263B"/>
    <w:rsid w:val="00F4314F"/>
    <w:rsid w:val="00F4382A"/>
    <w:rsid w:val="00F45913"/>
    <w:rsid w:val="00F45C9E"/>
    <w:rsid w:val="00F45D7C"/>
    <w:rsid w:val="00F45DB4"/>
    <w:rsid w:val="00F50C1D"/>
    <w:rsid w:val="00F529F2"/>
    <w:rsid w:val="00F53B47"/>
    <w:rsid w:val="00F54136"/>
    <w:rsid w:val="00F547FB"/>
    <w:rsid w:val="00F5565B"/>
    <w:rsid w:val="00F567BF"/>
    <w:rsid w:val="00F56E02"/>
    <w:rsid w:val="00F6012B"/>
    <w:rsid w:val="00F60B5B"/>
    <w:rsid w:val="00F63BC1"/>
    <w:rsid w:val="00F64213"/>
    <w:rsid w:val="00F71E24"/>
    <w:rsid w:val="00F76824"/>
    <w:rsid w:val="00F770F5"/>
    <w:rsid w:val="00F8474E"/>
    <w:rsid w:val="00F85F42"/>
    <w:rsid w:val="00F879FC"/>
    <w:rsid w:val="00F94377"/>
    <w:rsid w:val="00F9570C"/>
    <w:rsid w:val="00F9751E"/>
    <w:rsid w:val="00FA2338"/>
    <w:rsid w:val="00FA3083"/>
    <w:rsid w:val="00FA39A5"/>
    <w:rsid w:val="00FA6862"/>
    <w:rsid w:val="00FB27B2"/>
    <w:rsid w:val="00FC6BE9"/>
    <w:rsid w:val="00FC6F7A"/>
    <w:rsid w:val="00FC76D9"/>
    <w:rsid w:val="00FC7D10"/>
    <w:rsid w:val="00FD3440"/>
    <w:rsid w:val="00FD3E76"/>
    <w:rsid w:val="00FD59A1"/>
    <w:rsid w:val="00FD5FCC"/>
    <w:rsid w:val="00FD61D6"/>
    <w:rsid w:val="00FD6F1E"/>
    <w:rsid w:val="00FE083B"/>
    <w:rsid w:val="00FE0FD6"/>
    <w:rsid w:val="00FE4B5C"/>
    <w:rsid w:val="00FE67A2"/>
    <w:rsid w:val="00FE701B"/>
    <w:rsid w:val="00FF19B4"/>
    <w:rsid w:val="00FF1A69"/>
    <w:rsid w:val="00FF1AAC"/>
    <w:rsid w:val="00FF3446"/>
    <w:rsid w:val="00FF6EC9"/>
    <w:rsid w:val="00FF72D1"/>
    <w:rsid w:val="00FF799E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76461"/>
  <w15:chartTrackingRefBased/>
  <w15:docId w15:val="{6D799F72-CA13-402E-B3D5-424D0132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C6C17"/>
    <w:pPr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36482"/>
    <w:pPr>
      <w:ind w:left="708"/>
    </w:pPr>
  </w:style>
  <w:style w:type="paragraph" w:styleId="NormlWeb">
    <w:name w:val="Normal (Web)"/>
    <w:basedOn w:val="Norml"/>
    <w:uiPriority w:val="99"/>
    <w:rsid w:val="00E90EF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2C690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C6901"/>
  </w:style>
  <w:style w:type="paragraph" w:styleId="llb">
    <w:name w:val="footer"/>
    <w:basedOn w:val="Norml"/>
    <w:link w:val="llbChar"/>
    <w:uiPriority w:val="99"/>
    <w:unhideWhenUsed/>
    <w:rsid w:val="002C690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C6901"/>
  </w:style>
  <w:style w:type="paragraph" w:customStyle="1" w:styleId="Default">
    <w:name w:val="Default"/>
    <w:rsid w:val="00DC04F4"/>
    <w:pPr>
      <w:autoSpaceDE w:val="0"/>
      <w:autoSpaceDN w:val="0"/>
      <w:adjustRightInd w:val="0"/>
    </w:pPr>
    <w:rPr>
      <w:rFonts w:ascii="Helvetica-Condensed-Bold" w:eastAsia="Times New Roman" w:hAnsi="Helvetica-Condensed-Bold" w:cs="Times New Roman"/>
      <w:lang w:val="en-US" w:eastAsia="en-US"/>
    </w:rPr>
  </w:style>
  <w:style w:type="character" w:styleId="Jegyzethivatkozs">
    <w:name w:val="annotation reference"/>
    <w:semiHidden/>
    <w:unhideWhenUsed/>
    <w:rsid w:val="003A4044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nhideWhenUsed/>
    <w:rsid w:val="003A4044"/>
  </w:style>
  <w:style w:type="character" w:customStyle="1" w:styleId="JegyzetszvegChar">
    <w:name w:val="Jegyzetszöveg Char"/>
    <w:aliases w:val="Comment Text Char1 Char Char,Comment Text Char Char Char Char,Comment Text Char1 Char1"/>
    <w:basedOn w:val="Bekezdsalapbettpusa"/>
    <w:link w:val="Jegyzetszveg"/>
    <w:rsid w:val="003A4044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A4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A4044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A4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A4044"/>
    <w:rPr>
      <w:rFonts w:ascii="Tahoma" w:hAnsi="Tahoma" w:cs="Tahoma"/>
      <w:sz w:val="16"/>
      <w:szCs w:val="16"/>
    </w:rPr>
  </w:style>
  <w:style w:type="character" w:customStyle="1" w:styleId="Cmsor9Char">
    <w:name w:val="Címsor 9 Char"/>
    <w:link w:val="Cmsor9"/>
    <w:uiPriority w:val="99"/>
    <w:rsid w:val="00BC6C17"/>
    <w:rPr>
      <w:rFonts w:ascii="Cambria" w:eastAsia="Times New Roman" w:hAnsi="Cambria" w:cs="Times New Roman"/>
      <w:sz w:val="22"/>
      <w:szCs w:val="22"/>
    </w:rPr>
  </w:style>
  <w:style w:type="paragraph" w:styleId="Vltozat">
    <w:name w:val="Revision"/>
    <w:hidden/>
    <w:uiPriority w:val="99"/>
    <w:semiHidden/>
    <w:rsid w:val="00053414"/>
  </w:style>
  <w:style w:type="character" w:styleId="Hiperhivatkozs">
    <w:name w:val="Hyperlink"/>
    <w:uiPriority w:val="99"/>
    <w:unhideWhenUsed/>
    <w:rsid w:val="00C87919"/>
    <w:rPr>
      <w:color w:val="0563C1"/>
      <w:u w:val="single"/>
    </w:rPr>
  </w:style>
  <w:style w:type="paragraph" w:styleId="Szvegtrzs">
    <w:name w:val="Body Text"/>
    <w:basedOn w:val="Norml"/>
    <w:link w:val="SzvegtrzsChar"/>
    <w:uiPriority w:val="1"/>
    <w:qFormat/>
    <w:rsid w:val="005F4F7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customStyle="1" w:styleId="SzvegtrzsChar">
    <w:name w:val="Szövegtörzs Char"/>
    <w:link w:val="Szvegtrzs"/>
    <w:uiPriority w:val="1"/>
    <w:rsid w:val="005F4F77"/>
    <w:rPr>
      <w:rFonts w:ascii="Times New Roman" w:eastAsia="Times New Roman" w:hAnsi="Times New Roman" w:cs="Times New Roman"/>
      <w:sz w:val="22"/>
      <w:szCs w:val="22"/>
      <w:lang w:eastAsia="en-US"/>
    </w:rPr>
  </w:style>
  <w:style w:type="table" w:styleId="Rcsostblzat">
    <w:name w:val="Table Grid"/>
    <w:basedOn w:val="Normltblzat"/>
    <w:uiPriority w:val="59"/>
    <w:rsid w:val="00726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310E-FFF5-4B97-ACAF-5AB3A73F4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35</Pages>
  <Words>14666</Words>
  <Characters>101200</Characters>
  <Application>Microsoft Office Word</Application>
  <DocSecurity>0</DocSecurity>
  <Lines>843</Lines>
  <Paragraphs>231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EGIS Gyógyszergyár NyRt.</Company>
  <LinksUpToDate>false</LinksUpToDate>
  <CharactersWithSpaces>115635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Banyai, Eszter HU</dc:creator>
  <cp:keywords/>
  <dc:description/>
  <cp:lastModifiedBy>HU_OGYI_64.1</cp:lastModifiedBy>
  <cp:revision>6</cp:revision>
  <cp:lastPrinted>2019-05-28T08:10:00Z</cp:lastPrinted>
  <dcterms:created xsi:type="dcterms:W3CDTF">2026-05-20T14:27:00Z</dcterms:created>
  <dcterms:modified xsi:type="dcterms:W3CDTF">2026-06-03T19:53:00Z</dcterms:modified>
</cp:coreProperties>
</file>