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DD6F96" w14:textId="77777777" w:rsidR="007963F8" w:rsidRDefault="008714EA">
      <w:pPr>
        <w:tabs>
          <w:tab w:val="left" w:pos="567"/>
        </w:tabs>
        <w:rPr>
          <w:b/>
          <w:szCs w:val="22"/>
          <w:lang w:val="hu-HU"/>
        </w:rPr>
      </w:pPr>
      <w:r>
        <w:rPr>
          <w:b/>
          <w:szCs w:val="22"/>
          <w:lang w:val="hu-HU"/>
        </w:rPr>
        <w:t>1.</w:t>
      </w:r>
      <w:r>
        <w:rPr>
          <w:b/>
          <w:szCs w:val="22"/>
          <w:lang w:val="hu-HU"/>
        </w:rPr>
        <w:tab/>
        <w:t>A GYÓGYSZER NEVE</w:t>
      </w:r>
    </w:p>
    <w:p w14:paraId="7E0E9EDC" w14:textId="77777777" w:rsidR="007963F8" w:rsidRDefault="007963F8">
      <w:pPr>
        <w:widowControl w:val="0"/>
        <w:ind w:left="567" w:hanging="567"/>
        <w:rPr>
          <w:iCs/>
          <w:szCs w:val="22"/>
          <w:lang w:val="hu-HU" w:eastAsia="en-US"/>
        </w:rPr>
      </w:pPr>
    </w:p>
    <w:p w14:paraId="11F1682B"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10 mg/80 mg filmtabletta</w:t>
      </w:r>
    </w:p>
    <w:p w14:paraId="7535F20A"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20 mg/80 mg filmtabletta</w:t>
      </w:r>
    </w:p>
    <w:p w14:paraId="31936138"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10 mg/160 mg filmtabletta</w:t>
      </w:r>
    </w:p>
    <w:p w14:paraId="7E057748"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20 mg/160 mg filmtabletta</w:t>
      </w:r>
    </w:p>
    <w:p w14:paraId="32BE1279" w14:textId="77777777" w:rsidR="007963F8" w:rsidRDefault="007963F8">
      <w:pPr>
        <w:widowControl w:val="0"/>
        <w:tabs>
          <w:tab w:val="left" w:pos="567"/>
        </w:tabs>
        <w:rPr>
          <w:b/>
          <w:szCs w:val="22"/>
          <w:lang w:val="hu-HU" w:eastAsia="en-US"/>
        </w:rPr>
      </w:pPr>
    </w:p>
    <w:p w14:paraId="40D7759D" w14:textId="77777777" w:rsidR="007963F8" w:rsidRDefault="007963F8">
      <w:pPr>
        <w:widowControl w:val="0"/>
        <w:tabs>
          <w:tab w:val="left" w:pos="567"/>
        </w:tabs>
        <w:rPr>
          <w:b/>
          <w:szCs w:val="22"/>
          <w:lang w:val="hu-HU" w:eastAsia="en-US"/>
        </w:rPr>
      </w:pPr>
    </w:p>
    <w:p w14:paraId="24C7D0B8" w14:textId="77777777" w:rsidR="007963F8" w:rsidRDefault="008714EA">
      <w:pPr>
        <w:tabs>
          <w:tab w:val="left" w:pos="567"/>
        </w:tabs>
        <w:ind w:left="567" w:hanging="567"/>
        <w:rPr>
          <w:b/>
          <w:szCs w:val="22"/>
          <w:lang w:val="hu-HU"/>
        </w:rPr>
      </w:pPr>
      <w:r>
        <w:rPr>
          <w:b/>
          <w:szCs w:val="22"/>
          <w:lang w:val="hu-HU"/>
        </w:rPr>
        <w:t>2.</w:t>
      </w:r>
      <w:r>
        <w:rPr>
          <w:b/>
          <w:szCs w:val="22"/>
          <w:lang w:val="hu-HU"/>
        </w:rPr>
        <w:tab/>
        <w:t>MINŐSÉGI ÉS MENNYISÉGI ÖSSZETÉTEL</w:t>
      </w:r>
    </w:p>
    <w:p w14:paraId="209EDDAA" w14:textId="77777777" w:rsidR="007963F8" w:rsidRDefault="007963F8">
      <w:pPr>
        <w:widowControl w:val="0"/>
        <w:tabs>
          <w:tab w:val="left" w:pos="567"/>
        </w:tabs>
        <w:rPr>
          <w:szCs w:val="22"/>
          <w:lang w:val="hu-HU" w:eastAsia="en-US"/>
        </w:rPr>
      </w:pPr>
    </w:p>
    <w:p w14:paraId="09AA8CCA" w14:textId="77777777" w:rsidR="007963F8" w:rsidRDefault="008714EA">
      <w:pPr>
        <w:widowControl w:val="0"/>
        <w:tabs>
          <w:tab w:val="left" w:pos="567"/>
        </w:tabs>
        <w:rPr>
          <w:i/>
          <w:szCs w:val="22"/>
          <w:lang w:val="hu-HU" w:eastAsia="en-US"/>
        </w:rPr>
      </w:pPr>
      <w:proofErr w:type="spellStart"/>
      <w:r>
        <w:rPr>
          <w:i/>
          <w:szCs w:val="22"/>
          <w:lang w:val="hu-HU" w:eastAsia="en-US"/>
        </w:rPr>
        <w:t>Ravalsyo</w:t>
      </w:r>
      <w:proofErr w:type="spellEnd"/>
      <w:r>
        <w:rPr>
          <w:i/>
          <w:szCs w:val="22"/>
          <w:lang w:val="hu-HU" w:eastAsia="en-US"/>
        </w:rPr>
        <w:t xml:space="preserve"> 10 mg/80 mg filmtabletta</w:t>
      </w:r>
    </w:p>
    <w:p w14:paraId="6EE7E68A" w14:textId="77777777" w:rsidR="007963F8" w:rsidRDefault="008714EA">
      <w:pPr>
        <w:widowControl w:val="0"/>
        <w:tabs>
          <w:tab w:val="left" w:pos="567"/>
        </w:tabs>
        <w:rPr>
          <w:szCs w:val="22"/>
          <w:lang w:val="hu-HU" w:eastAsia="en-US"/>
        </w:rPr>
      </w:pPr>
      <w:r>
        <w:rPr>
          <w:szCs w:val="22"/>
          <w:lang w:val="hu-HU" w:eastAsia="en-US"/>
        </w:rPr>
        <w:t xml:space="preserve">10 mg </w:t>
      </w:r>
      <w:proofErr w:type="spellStart"/>
      <w:r>
        <w:rPr>
          <w:szCs w:val="22"/>
          <w:lang w:val="hu-HU" w:eastAsia="en-US"/>
        </w:rPr>
        <w:t>rozuvasztatint</w:t>
      </w:r>
      <w:proofErr w:type="spellEnd"/>
      <w:r>
        <w:rPr>
          <w:szCs w:val="22"/>
          <w:lang w:val="hu-HU" w:eastAsia="en-US"/>
        </w:rPr>
        <w:t xml:space="preserve"> (</w:t>
      </w:r>
      <w:proofErr w:type="spellStart"/>
      <w:r>
        <w:rPr>
          <w:szCs w:val="22"/>
          <w:lang w:val="hu-HU" w:eastAsia="en-US"/>
        </w:rPr>
        <w:t>rozuvasztatin</w:t>
      </w:r>
      <w:proofErr w:type="spellEnd"/>
      <w:r>
        <w:rPr>
          <w:szCs w:val="22"/>
          <w:lang w:val="hu-HU" w:eastAsia="en-US"/>
        </w:rPr>
        <w:t xml:space="preserve">-kalcium formájában) és 80 mg </w:t>
      </w:r>
      <w:proofErr w:type="spellStart"/>
      <w:r>
        <w:rPr>
          <w:szCs w:val="22"/>
          <w:lang w:val="hu-HU" w:eastAsia="en-US"/>
        </w:rPr>
        <w:t>valzartánt</w:t>
      </w:r>
      <w:proofErr w:type="spellEnd"/>
      <w:r>
        <w:rPr>
          <w:szCs w:val="22"/>
          <w:lang w:val="hu-HU" w:eastAsia="en-US"/>
        </w:rPr>
        <w:t xml:space="preserve"> tartalmaz filmtablettánként.</w:t>
      </w:r>
    </w:p>
    <w:p w14:paraId="51842F12" w14:textId="77777777" w:rsidR="007963F8" w:rsidRDefault="007963F8">
      <w:pPr>
        <w:widowControl w:val="0"/>
        <w:tabs>
          <w:tab w:val="left" w:pos="567"/>
        </w:tabs>
        <w:rPr>
          <w:szCs w:val="22"/>
          <w:lang w:val="hu-HU" w:eastAsia="en-US"/>
        </w:rPr>
      </w:pPr>
    </w:p>
    <w:p w14:paraId="570EB7F4" w14:textId="77777777" w:rsidR="007963F8" w:rsidRDefault="008714EA">
      <w:pPr>
        <w:widowControl w:val="0"/>
        <w:tabs>
          <w:tab w:val="left" w:pos="567"/>
        </w:tabs>
        <w:rPr>
          <w:i/>
          <w:szCs w:val="22"/>
          <w:lang w:val="hu-HU" w:eastAsia="en-US"/>
        </w:rPr>
      </w:pPr>
      <w:proofErr w:type="spellStart"/>
      <w:r>
        <w:rPr>
          <w:i/>
          <w:szCs w:val="22"/>
          <w:lang w:val="hu-HU" w:eastAsia="en-US"/>
        </w:rPr>
        <w:t>Ravalsyo</w:t>
      </w:r>
      <w:proofErr w:type="spellEnd"/>
      <w:r>
        <w:rPr>
          <w:i/>
          <w:szCs w:val="22"/>
          <w:lang w:val="hu-HU" w:eastAsia="en-US"/>
        </w:rPr>
        <w:t xml:space="preserve"> 20 mg/80 mg filmtabletta</w:t>
      </w:r>
    </w:p>
    <w:p w14:paraId="6AB3F37D" w14:textId="77777777" w:rsidR="007963F8" w:rsidRDefault="008714EA">
      <w:pPr>
        <w:widowControl w:val="0"/>
        <w:autoSpaceDE w:val="0"/>
        <w:autoSpaceDN w:val="0"/>
        <w:adjustRightInd w:val="0"/>
        <w:rPr>
          <w:szCs w:val="22"/>
          <w:lang w:val="hu-HU" w:eastAsia="en-US"/>
        </w:rPr>
      </w:pPr>
      <w:r>
        <w:rPr>
          <w:szCs w:val="22"/>
          <w:lang w:val="hu-HU" w:eastAsia="en-US"/>
        </w:rPr>
        <w:t xml:space="preserve">20 mg </w:t>
      </w:r>
      <w:proofErr w:type="spellStart"/>
      <w:r>
        <w:rPr>
          <w:szCs w:val="22"/>
          <w:lang w:val="hu-HU" w:eastAsia="en-US"/>
        </w:rPr>
        <w:t>rozuvasztatint</w:t>
      </w:r>
      <w:proofErr w:type="spellEnd"/>
      <w:r>
        <w:rPr>
          <w:szCs w:val="22"/>
          <w:lang w:val="hu-HU" w:eastAsia="en-US"/>
        </w:rPr>
        <w:t xml:space="preserve"> (</w:t>
      </w:r>
      <w:proofErr w:type="spellStart"/>
      <w:r>
        <w:rPr>
          <w:szCs w:val="22"/>
          <w:lang w:val="hu-HU" w:eastAsia="en-US"/>
        </w:rPr>
        <w:t>rozuvasztatin</w:t>
      </w:r>
      <w:proofErr w:type="spellEnd"/>
      <w:r>
        <w:rPr>
          <w:szCs w:val="22"/>
          <w:lang w:val="hu-HU" w:eastAsia="en-US"/>
        </w:rPr>
        <w:t xml:space="preserve">-kalcium formájában) és 80 mg </w:t>
      </w:r>
      <w:proofErr w:type="spellStart"/>
      <w:r>
        <w:rPr>
          <w:szCs w:val="22"/>
          <w:lang w:val="hu-HU" w:eastAsia="en-US"/>
        </w:rPr>
        <w:t>valzartánt</w:t>
      </w:r>
      <w:proofErr w:type="spellEnd"/>
      <w:r>
        <w:rPr>
          <w:szCs w:val="22"/>
          <w:lang w:val="hu-HU" w:eastAsia="en-US"/>
        </w:rPr>
        <w:t xml:space="preserve"> tartalmaz filmtablettánként.</w:t>
      </w:r>
    </w:p>
    <w:p w14:paraId="1490F92D" w14:textId="77777777" w:rsidR="007963F8" w:rsidRDefault="007963F8">
      <w:pPr>
        <w:widowControl w:val="0"/>
        <w:autoSpaceDE w:val="0"/>
        <w:autoSpaceDN w:val="0"/>
        <w:adjustRightInd w:val="0"/>
        <w:rPr>
          <w:bCs/>
          <w:szCs w:val="22"/>
          <w:lang w:val="hu-HU" w:eastAsia="en-US"/>
        </w:rPr>
      </w:pPr>
    </w:p>
    <w:p w14:paraId="18B3E301" w14:textId="77777777" w:rsidR="007963F8" w:rsidRDefault="008714EA">
      <w:pPr>
        <w:widowControl w:val="0"/>
        <w:tabs>
          <w:tab w:val="left" w:pos="567"/>
        </w:tabs>
        <w:rPr>
          <w:i/>
          <w:szCs w:val="22"/>
          <w:lang w:val="hu-HU" w:eastAsia="en-US"/>
        </w:rPr>
      </w:pPr>
      <w:proofErr w:type="spellStart"/>
      <w:r>
        <w:rPr>
          <w:i/>
          <w:szCs w:val="22"/>
          <w:lang w:val="hu-HU" w:eastAsia="en-US"/>
        </w:rPr>
        <w:t>Ravalsyo</w:t>
      </w:r>
      <w:proofErr w:type="spellEnd"/>
      <w:r>
        <w:rPr>
          <w:i/>
          <w:szCs w:val="22"/>
          <w:lang w:val="hu-HU" w:eastAsia="en-US"/>
        </w:rPr>
        <w:t xml:space="preserve"> 10 mg/160 mg filmtabletta</w:t>
      </w:r>
    </w:p>
    <w:p w14:paraId="481864EB" w14:textId="77777777" w:rsidR="007963F8" w:rsidRDefault="008714EA">
      <w:pPr>
        <w:widowControl w:val="0"/>
        <w:tabs>
          <w:tab w:val="left" w:pos="567"/>
        </w:tabs>
        <w:rPr>
          <w:szCs w:val="22"/>
          <w:lang w:val="hu-HU" w:eastAsia="en-US"/>
        </w:rPr>
      </w:pPr>
      <w:r>
        <w:rPr>
          <w:szCs w:val="22"/>
          <w:lang w:val="hu-HU" w:eastAsia="en-US"/>
        </w:rPr>
        <w:t xml:space="preserve">10 mg </w:t>
      </w:r>
      <w:proofErr w:type="spellStart"/>
      <w:r>
        <w:rPr>
          <w:szCs w:val="22"/>
          <w:lang w:val="hu-HU" w:eastAsia="en-US"/>
        </w:rPr>
        <w:t>rozuvasztatint</w:t>
      </w:r>
      <w:proofErr w:type="spellEnd"/>
      <w:r>
        <w:rPr>
          <w:szCs w:val="22"/>
          <w:lang w:val="hu-HU" w:eastAsia="en-US"/>
        </w:rPr>
        <w:t xml:space="preserve"> (</w:t>
      </w:r>
      <w:proofErr w:type="spellStart"/>
      <w:r>
        <w:rPr>
          <w:szCs w:val="22"/>
          <w:lang w:val="hu-HU" w:eastAsia="en-US"/>
        </w:rPr>
        <w:t>rozuvasztatin</w:t>
      </w:r>
      <w:proofErr w:type="spellEnd"/>
      <w:r>
        <w:rPr>
          <w:szCs w:val="22"/>
          <w:lang w:val="hu-HU" w:eastAsia="en-US"/>
        </w:rPr>
        <w:t xml:space="preserve">-kalcium formájában) és 160 mg </w:t>
      </w:r>
      <w:proofErr w:type="spellStart"/>
      <w:r>
        <w:rPr>
          <w:szCs w:val="22"/>
          <w:lang w:val="hu-HU" w:eastAsia="en-US"/>
        </w:rPr>
        <w:t>valzartánt</w:t>
      </w:r>
      <w:proofErr w:type="spellEnd"/>
      <w:r>
        <w:rPr>
          <w:szCs w:val="22"/>
          <w:lang w:val="hu-HU" w:eastAsia="en-US"/>
        </w:rPr>
        <w:t xml:space="preserve"> tartalmaz filmtablettánként.</w:t>
      </w:r>
    </w:p>
    <w:p w14:paraId="6AE4771E" w14:textId="77777777" w:rsidR="007963F8" w:rsidRDefault="007963F8">
      <w:pPr>
        <w:widowControl w:val="0"/>
        <w:tabs>
          <w:tab w:val="left" w:pos="567"/>
        </w:tabs>
        <w:rPr>
          <w:szCs w:val="22"/>
          <w:lang w:val="hu-HU" w:eastAsia="en-US"/>
        </w:rPr>
      </w:pPr>
    </w:p>
    <w:p w14:paraId="59BA9B61" w14:textId="77777777" w:rsidR="007963F8" w:rsidRDefault="008714EA">
      <w:pPr>
        <w:widowControl w:val="0"/>
        <w:tabs>
          <w:tab w:val="left" w:pos="567"/>
        </w:tabs>
        <w:rPr>
          <w:i/>
          <w:szCs w:val="22"/>
          <w:lang w:val="hu-HU" w:eastAsia="en-US"/>
        </w:rPr>
      </w:pPr>
      <w:proofErr w:type="spellStart"/>
      <w:r>
        <w:rPr>
          <w:i/>
          <w:szCs w:val="22"/>
          <w:lang w:val="hu-HU" w:eastAsia="en-US"/>
        </w:rPr>
        <w:t>Ravalsyo</w:t>
      </w:r>
      <w:proofErr w:type="spellEnd"/>
      <w:r>
        <w:rPr>
          <w:i/>
          <w:szCs w:val="22"/>
          <w:lang w:val="hu-HU" w:eastAsia="en-US"/>
        </w:rPr>
        <w:t xml:space="preserve"> 20 mg/160 mg filmtabletta</w:t>
      </w:r>
    </w:p>
    <w:p w14:paraId="66E7BE37" w14:textId="77777777" w:rsidR="007963F8" w:rsidRDefault="008714EA">
      <w:pPr>
        <w:widowControl w:val="0"/>
        <w:autoSpaceDE w:val="0"/>
        <w:autoSpaceDN w:val="0"/>
        <w:adjustRightInd w:val="0"/>
        <w:rPr>
          <w:bCs/>
          <w:szCs w:val="22"/>
          <w:lang w:val="hu-HU" w:eastAsia="en-US"/>
        </w:rPr>
      </w:pPr>
      <w:r>
        <w:rPr>
          <w:szCs w:val="22"/>
          <w:lang w:val="hu-HU" w:eastAsia="en-US"/>
        </w:rPr>
        <w:t xml:space="preserve">20 mg </w:t>
      </w:r>
      <w:proofErr w:type="spellStart"/>
      <w:r>
        <w:rPr>
          <w:szCs w:val="22"/>
          <w:lang w:val="hu-HU" w:eastAsia="en-US"/>
        </w:rPr>
        <w:t>rozuvasztatint</w:t>
      </w:r>
      <w:proofErr w:type="spellEnd"/>
      <w:r>
        <w:rPr>
          <w:szCs w:val="22"/>
          <w:lang w:val="hu-HU" w:eastAsia="en-US"/>
        </w:rPr>
        <w:t xml:space="preserve"> (</w:t>
      </w:r>
      <w:proofErr w:type="spellStart"/>
      <w:r>
        <w:rPr>
          <w:szCs w:val="22"/>
          <w:lang w:val="hu-HU" w:eastAsia="en-US"/>
        </w:rPr>
        <w:t>rozuvasztatin</w:t>
      </w:r>
      <w:proofErr w:type="spellEnd"/>
      <w:r>
        <w:rPr>
          <w:szCs w:val="22"/>
          <w:lang w:val="hu-HU" w:eastAsia="en-US"/>
        </w:rPr>
        <w:t xml:space="preserve">-kalcium formájában) és 160 mg </w:t>
      </w:r>
      <w:proofErr w:type="spellStart"/>
      <w:r>
        <w:rPr>
          <w:szCs w:val="22"/>
          <w:lang w:val="hu-HU" w:eastAsia="en-US"/>
        </w:rPr>
        <w:t>valzartánt</w:t>
      </w:r>
      <w:proofErr w:type="spellEnd"/>
      <w:r>
        <w:rPr>
          <w:szCs w:val="22"/>
          <w:lang w:val="hu-HU" w:eastAsia="en-US"/>
        </w:rPr>
        <w:t xml:space="preserve"> tartalmaz filmtablettánként.</w:t>
      </w:r>
    </w:p>
    <w:p w14:paraId="637925FC" w14:textId="77777777" w:rsidR="007963F8" w:rsidRDefault="007963F8">
      <w:pPr>
        <w:widowControl w:val="0"/>
        <w:autoSpaceDE w:val="0"/>
        <w:autoSpaceDN w:val="0"/>
        <w:adjustRightInd w:val="0"/>
        <w:jc w:val="both"/>
        <w:rPr>
          <w:bCs/>
          <w:szCs w:val="22"/>
          <w:lang w:val="hu-HU" w:eastAsia="en-US"/>
        </w:rPr>
      </w:pPr>
    </w:p>
    <w:p w14:paraId="39B324DD" w14:textId="77777777" w:rsidR="007963F8" w:rsidRDefault="008714EA">
      <w:pPr>
        <w:widowControl w:val="0"/>
        <w:autoSpaceDE w:val="0"/>
        <w:autoSpaceDN w:val="0"/>
        <w:adjustRightInd w:val="0"/>
        <w:jc w:val="both"/>
        <w:rPr>
          <w:bCs/>
          <w:szCs w:val="22"/>
          <w:u w:val="single"/>
          <w:lang w:val="hu-HU" w:eastAsia="en-US"/>
        </w:rPr>
      </w:pPr>
      <w:r>
        <w:rPr>
          <w:bCs/>
          <w:szCs w:val="22"/>
          <w:u w:val="single"/>
          <w:lang w:val="hu-HU" w:eastAsia="en-US"/>
        </w:rPr>
        <w:t>Ismert hatású segédanyag:</w:t>
      </w:r>
    </w:p>
    <w:p w14:paraId="289A16D7" w14:textId="77777777" w:rsidR="007963F8" w:rsidRDefault="007963F8">
      <w:pPr>
        <w:widowControl w:val="0"/>
        <w:autoSpaceDE w:val="0"/>
        <w:autoSpaceDN w:val="0"/>
        <w:adjustRightInd w:val="0"/>
        <w:jc w:val="both"/>
        <w:rPr>
          <w:bCs/>
          <w:szCs w:val="22"/>
          <w:lang w:val="hu-HU"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34"/>
        <w:gridCol w:w="1842"/>
        <w:gridCol w:w="1842"/>
        <w:gridCol w:w="1842"/>
        <w:gridCol w:w="1843"/>
      </w:tblGrid>
      <w:tr w:rsidR="007963F8" w14:paraId="59EF8D75" w14:textId="77777777">
        <w:tc>
          <w:tcPr>
            <w:tcW w:w="1734" w:type="dxa"/>
            <w:shd w:val="clear" w:color="auto" w:fill="auto"/>
          </w:tcPr>
          <w:p w14:paraId="3A6B06CE" w14:textId="77777777" w:rsidR="007963F8" w:rsidRDefault="007963F8">
            <w:pPr>
              <w:widowControl w:val="0"/>
              <w:autoSpaceDE w:val="0"/>
              <w:autoSpaceDN w:val="0"/>
              <w:adjustRightInd w:val="0"/>
              <w:jc w:val="both"/>
              <w:rPr>
                <w:bCs/>
                <w:szCs w:val="22"/>
                <w:lang w:val="hu-HU" w:eastAsia="en-US"/>
              </w:rPr>
            </w:pPr>
          </w:p>
        </w:tc>
        <w:tc>
          <w:tcPr>
            <w:tcW w:w="1842" w:type="dxa"/>
            <w:shd w:val="clear" w:color="auto" w:fill="auto"/>
          </w:tcPr>
          <w:p w14:paraId="36F0D85D" w14:textId="77777777" w:rsidR="007963F8" w:rsidRDefault="008714EA">
            <w:pPr>
              <w:widowControl w:val="0"/>
              <w:autoSpaceDE w:val="0"/>
              <w:autoSpaceDN w:val="0"/>
              <w:adjustRightInd w:val="0"/>
              <w:jc w:val="center"/>
              <w:rPr>
                <w:bCs/>
                <w:i/>
                <w:szCs w:val="22"/>
                <w:lang w:val="hu-HU" w:eastAsia="en-US"/>
              </w:rPr>
            </w:pPr>
            <w:r>
              <w:rPr>
                <w:i/>
                <w:szCs w:val="22"/>
                <w:lang w:val="hu-HU" w:eastAsia="en-US"/>
              </w:rPr>
              <w:t>10 mg/80 mg filmtabletta</w:t>
            </w:r>
          </w:p>
        </w:tc>
        <w:tc>
          <w:tcPr>
            <w:tcW w:w="1842" w:type="dxa"/>
            <w:shd w:val="clear" w:color="auto" w:fill="auto"/>
          </w:tcPr>
          <w:p w14:paraId="50A94538" w14:textId="77777777" w:rsidR="007963F8" w:rsidRDefault="008714EA">
            <w:pPr>
              <w:widowControl w:val="0"/>
              <w:autoSpaceDE w:val="0"/>
              <w:autoSpaceDN w:val="0"/>
              <w:adjustRightInd w:val="0"/>
              <w:jc w:val="center"/>
              <w:rPr>
                <w:bCs/>
                <w:i/>
                <w:szCs w:val="22"/>
                <w:lang w:val="hu-HU" w:eastAsia="en-US"/>
              </w:rPr>
            </w:pPr>
            <w:r>
              <w:rPr>
                <w:i/>
                <w:szCs w:val="22"/>
                <w:lang w:val="hu-HU" w:eastAsia="en-US"/>
              </w:rPr>
              <w:t>20 mg/80 mg filmtabletta</w:t>
            </w:r>
          </w:p>
        </w:tc>
        <w:tc>
          <w:tcPr>
            <w:tcW w:w="1842" w:type="dxa"/>
            <w:shd w:val="clear" w:color="auto" w:fill="auto"/>
          </w:tcPr>
          <w:p w14:paraId="08D16298" w14:textId="77777777" w:rsidR="007963F8" w:rsidRDefault="008714EA">
            <w:pPr>
              <w:widowControl w:val="0"/>
              <w:autoSpaceDE w:val="0"/>
              <w:autoSpaceDN w:val="0"/>
              <w:adjustRightInd w:val="0"/>
              <w:jc w:val="center"/>
              <w:rPr>
                <w:bCs/>
                <w:i/>
                <w:szCs w:val="22"/>
                <w:lang w:val="hu-HU" w:eastAsia="en-US"/>
              </w:rPr>
            </w:pPr>
            <w:r>
              <w:rPr>
                <w:i/>
                <w:szCs w:val="22"/>
                <w:lang w:val="hu-HU" w:eastAsia="en-US"/>
              </w:rPr>
              <w:t>10 mg/160 mg filmtabletta</w:t>
            </w:r>
          </w:p>
        </w:tc>
        <w:tc>
          <w:tcPr>
            <w:tcW w:w="1843" w:type="dxa"/>
            <w:shd w:val="clear" w:color="auto" w:fill="auto"/>
          </w:tcPr>
          <w:p w14:paraId="63C00E40" w14:textId="77777777" w:rsidR="007963F8" w:rsidRDefault="008714EA">
            <w:pPr>
              <w:widowControl w:val="0"/>
              <w:autoSpaceDE w:val="0"/>
              <w:autoSpaceDN w:val="0"/>
              <w:adjustRightInd w:val="0"/>
              <w:jc w:val="center"/>
              <w:rPr>
                <w:bCs/>
                <w:i/>
                <w:szCs w:val="22"/>
                <w:lang w:val="hu-HU" w:eastAsia="en-US"/>
              </w:rPr>
            </w:pPr>
            <w:r>
              <w:rPr>
                <w:i/>
                <w:szCs w:val="22"/>
                <w:lang w:val="hu-HU" w:eastAsia="en-US"/>
              </w:rPr>
              <w:t>20 mg160 mg filmtabletta</w:t>
            </w:r>
          </w:p>
        </w:tc>
      </w:tr>
      <w:tr w:rsidR="007963F8" w14:paraId="72D0B69E" w14:textId="77777777">
        <w:tc>
          <w:tcPr>
            <w:tcW w:w="1734" w:type="dxa"/>
            <w:shd w:val="clear" w:color="auto" w:fill="auto"/>
          </w:tcPr>
          <w:p w14:paraId="5612A409" w14:textId="77777777" w:rsidR="007963F8" w:rsidRDefault="008714EA">
            <w:pPr>
              <w:widowControl w:val="0"/>
              <w:autoSpaceDE w:val="0"/>
              <w:autoSpaceDN w:val="0"/>
              <w:adjustRightInd w:val="0"/>
              <w:jc w:val="both"/>
              <w:rPr>
                <w:bCs/>
                <w:szCs w:val="22"/>
                <w:lang w:val="hu-HU" w:eastAsia="en-US"/>
              </w:rPr>
            </w:pPr>
            <w:proofErr w:type="spellStart"/>
            <w:r>
              <w:rPr>
                <w:bCs/>
                <w:szCs w:val="22"/>
                <w:lang w:val="hu-HU" w:eastAsia="en-US"/>
              </w:rPr>
              <w:t>Laktóz</w:t>
            </w:r>
            <w:proofErr w:type="spellEnd"/>
          </w:p>
        </w:tc>
        <w:tc>
          <w:tcPr>
            <w:tcW w:w="1842" w:type="dxa"/>
            <w:shd w:val="clear" w:color="auto" w:fill="auto"/>
          </w:tcPr>
          <w:p w14:paraId="242BC1A4" w14:textId="77777777" w:rsidR="007963F8" w:rsidRDefault="008714EA">
            <w:pPr>
              <w:widowControl w:val="0"/>
              <w:autoSpaceDE w:val="0"/>
              <w:autoSpaceDN w:val="0"/>
              <w:adjustRightInd w:val="0"/>
              <w:jc w:val="center"/>
              <w:rPr>
                <w:bCs/>
                <w:szCs w:val="22"/>
                <w:lang w:val="hu-HU" w:eastAsia="en-US"/>
              </w:rPr>
            </w:pPr>
            <w:r>
              <w:rPr>
                <w:bCs/>
                <w:szCs w:val="22"/>
                <w:lang w:val="hu-HU" w:eastAsia="en-US"/>
              </w:rPr>
              <w:t>85,50 mg</w:t>
            </w:r>
          </w:p>
        </w:tc>
        <w:tc>
          <w:tcPr>
            <w:tcW w:w="1842" w:type="dxa"/>
            <w:shd w:val="clear" w:color="auto" w:fill="auto"/>
          </w:tcPr>
          <w:p w14:paraId="3DB07849" w14:textId="77777777" w:rsidR="007963F8" w:rsidRDefault="008714EA">
            <w:pPr>
              <w:widowControl w:val="0"/>
              <w:autoSpaceDE w:val="0"/>
              <w:autoSpaceDN w:val="0"/>
              <w:adjustRightInd w:val="0"/>
              <w:jc w:val="center"/>
              <w:rPr>
                <w:bCs/>
                <w:szCs w:val="22"/>
                <w:lang w:val="hu-HU" w:eastAsia="en-US"/>
              </w:rPr>
            </w:pPr>
            <w:r>
              <w:rPr>
                <w:bCs/>
                <w:szCs w:val="22"/>
                <w:lang w:val="hu-HU" w:eastAsia="en-US"/>
              </w:rPr>
              <w:t>171,00 mg</w:t>
            </w:r>
          </w:p>
        </w:tc>
        <w:tc>
          <w:tcPr>
            <w:tcW w:w="1842" w:type="dxa"/>
            <w:shd w:val="clear" w:color="auto" w:fill="auto"/>
          </w:tcPr>
          <w:p w14:paraId="36035BD7" w14:textId="77777777" w:rsidR="007963F8" w:rsidRDefault="008714EA">
            <w:pPr>
              <w:widowControl w:val="0"/>
              <w:autoSpaceDE w:val="0"/>
              <w:autoSpaceDN w:val="0"/>
              <w:adjustRightInd w:val="0"/>
              <w:jc w:val="center"/>
              <w:rPr>
                <w:bCs/>
                <w:szCs w:val="22"/>
                <w:lang w:val="hu-HU" w:eastAsia="en-US"/>
              </w:rPr>
            </w:pPr>
            <w:r>
              <w:rPr>
                <w:bCs/>
                <w:szCs w:val="22"/>
                <w:lang w:val="hu-HU" w:eastAsia="en-US"/>
              </w:rPr>
              <w:t>180,89 mg</w:t>
            </w:r>
          </w:p>
        </w:tc>
        <w:tc>
          <w:tcPr>
            <w:tcW w:w="1843" w:type="dxa"/>
            <w:shd w:val="clear" w:color="auto" w:fill="auto"/>
          </w:tcPr>
          <w:p w14:paraId="39E72059" w14:textId="77777777" w:rsidR="007963F8" w:rsidRDefault="008714EA">
            <w:pPr>
              <w:widowControl w:val="0"/>
              <w:autoSpaceDE w:val="0"/>
              <w:autoSpaceDN w:val="0"/>
              <w:adjustRightInd w:val="0"/>
              <w:jc w:val="center"/>
              <w:rPr>
                <w:bCs/>
                <w:szCs w:val="22"/>
                <w:lang w:val="hu-HU" w:eastAsia="en-US"/>
              </w:rPr>
            </w:pPr>
            <w:r>
              <w:rPr>
                <w:bCs/>
                <w:szCs w:val="22"/>
                <w:lang w:val="hu-HU" w:eastAsia="en-US"/>
              </w:rPr>
              <w:t>171,00 mg</w:t>
            </w:r>
          </w:p>
        </w:tc>
      </w:tr>
    </w:tbl>
    <w:p w14:paraId="4BFAC5C2" w14:textId="77777777" w:rsidR="007963F8" w:rsidRDefault="007963F8">
      <w:pPr>
        <w:widowControl w:val="0"/>
        <w:autoSpaceDE w:val="0"/>
        <w:autoSpaceDN w:val="0"/>
        <w:adjustRightInd w:val="0"/>
        <w:jc w:val="both"/>
        <w:rPr>
          <w:bCs/>
          <w:szCs w:val="22"/>
          <w:lang w:val="hu-HU" w:eastAsia="en-US"/>
        </w:rPr>
      </w:pPr>
    </w:p>
    <w:p w14:paraId="6E816EC7" w14:textId="77777777" w:rsidR="007963F8" w:rsidRDefault="008714EA">
      <w:pPr>
        <w:rPr>
          <w:szCs w:val="22"/>
          <w:lang w:val="hu-HU"/>
        </w:rPr>
      </w:pPr>
      <w:r>
        <w:rPr>
          <w:szCs w:val="22"/>
          <w:lang w:val="hu-HU"/>
        </w:rPr>
        <w:t>A segédanyagok teljes listáját lásd a 6.1 pontban.</w:t>
      </w:r>
    </w:p>
    <w:p w14:paraId="7683B72F" w14:textId="77777777" w:rsidR="007963F8" w:rsidRDefault="007963F8">
      <w:pPr>
        <w:widowControl w:val="0"/>
        <w:tabs>
          <w:tab w:val="left" w:pos="567"/>
        </w:tabs>
        <w:rPr>
          <w:szCs w:val="22"/>
          <w:lang w:val="hu-HU" w:eastAsia="en-US"/>
        </w:rPr>
      </w:pPr>
    </w:p>
    <w:p w14:paraId="36177FAF" w14:textId="77777777" w:rsidR="007963F8" w:rsidRDefault="007963F8">
      <w:pPr>
        <w:widowControl w:val="0"/>
        <w:tabs>
          <w:tab w:val="left" w:pos="567"/>
        </w:tabs>
        <w:rPr>
          <w:szCs w:val="22"/>
          <w:lang w:val="hu-HU" w:eastAsia="en-US"/>
        </w:rPr>
      </w:pPr>
    </w:p>
    <w:p w14:paraId="3E8A2EEC" w14:textId="77777777" w:rsidR="007963F8" w:rsidRDefault="008714EA">
      <w:pPr>
        <w:ind w:left="567" w:hanging="567"/>
        <w:rPr>
          <w:b/>
          <w:szCs w:val="22"/>
          <w:lang w:val="hu-HU"/>
        </w:rPr>
      </w:pPr>
      <w:r>
        <w:rPr>
          <w:b/>
          <w:szCs w:val="22"/>
          <w:lang w:val="hu-HU"/>
        </w:rPr>
        <w:t>3.</w:t>
      </w:r>
      <w:r>
        <w:rPr>
          <w:b/>
          <w:szCs w:val="22"/>
          <w:lang w:val="hu-HU"/>
        </w:rPr>
        <w:tab/>
        <w:t>GYÓGYSZERFORMA</w:t>
      </w:r>
    </w:p>
    <w:p w14:paraId="5636DF1C" w14:textId="77777777" w:rsidR="007963F8" w:rsidRDefault="007963F8">
      <w:pPr>
        <w:widowControl w:val="0"/>
        <w:tabs>
          <w:tab w:val="left" w:pos="567"/>
        </w:tabs>
        <w:rPr>
          <w:szCs w:val="22"/>
          <w:lang w:val="hu-HU" w:eastAsia="en-US"/>
        </w:rPr>
      </w:pPr>
    </w:p>
    <w:p w14:paraId="121A2B0A" w14:textId="77777777" w:rsidR="007963F8" w:rsidRDefault="008714EA">
      <w:pPr>
        <w:widowControl w:val="0"/>
        <w:tabs>
          <w:tab w:val="left" w:pos="567"/>
        </w:tabs>
        <w:rPr>
          <w:szCs w:val="22"/>
          <w:lang w:val="hu-HU" w:eastAsia="en-US"/>
        </w:rPr>
      </w:pPr>
      <w:r>
        <w:rPr>
          <w:szCs w:val="22"/>
          <w:lang w:val="hu-HU" w:eastAsia="en-US"/>
        </w:rPr>
        <w:t>Filmtabletta (tabletta)</w:t>
      </w:r>
    </w:p>
    <w:p w14:paraId="10F1C766" w14:textId="77777777" w:rsidR="007963F8" w:rsidRDefault="007963F8">
      <w:pPr>
        <w:widowControl w:val="0"/>
        <w:tabs>
          <w:tab w:val="left" w:pos="567"/>
        </w:tabs>
        <w:rPr>
          <w:szCs w:val="22"/>
          <w:lang w:val="hu-HU" w:eastAsia="en-US"/>
        </w:rPr>
      </w:pPr>
    </w:p>
    <w:p w14:paraId="267B4057"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10 mg/80 mg filmtabletta:</w:t>
      </w:r>
      <w:r>
        <w:rPr>
          <w:szCs w:val="22"/>
          <w:lang w:val="hu-HU"/>
        </w:rPr>
        <w:t xml:space="preserve"> sötét rózsaszín, kerek, mindkét oldalán enyhén domború, metszett élű filmtabletta, egyik oldalán mélynyomású „K4” jelöléssel. A tabletta átmérője</w:t>
      </w:r>
      <w:r>
        <w:rPr>
          <w:szCs w:val="22"/>
          <w:lang w:val="hu-HU" w:eastAsia="en-US"/>
        </w:rPr>
        <w:t>: 8,7-9,3 mm.</w:t>
      </w:r>
    </w:p>
    <w:p w14:paraId="61600A7E" w14:textId="77777777" w:rsidR="007963F8" w:rsidRDefault="007963F8">
      <w:pPr>
        <w:widowControl w:val="0"/>
        <w:tabs>
          <w:tab w:val="left" w:pos="567"/>
        </w:tabs>
        <w:rPr>
          <w:szCs w:val="22"/>
          <w:lang w:val="hu-HU" w:eastAsia="en-US"/>
        </w:rPr>
      </w:pPr>
    </w:p>
    <w:p w14:paraId="3C7F6927"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20 mg/80 mg filmtabletta:</w:t>
      </w:r>
      <w:r>
        <w:rPr>
          <w:szCs w:val="22"/>
          <w:lang w:val="hu-HU"/>
        </w:rPr>
        <w:t xml:space="preserve"> sötét rózsaszín, kapszula alakú, mindkét oldalán enyhén domború filmtabletta, egyik oldalán mélynyomású „K3” jelöléssel. A tabletta méretei: </w:t>
      </w:r>
      <w:r>
        <w:rPr>
          <w:szCs w:val="22"/>
          <w:lang w:val="hu-HU" w:eastAsia="en-US"/>
        </w:rPr>
        <w:t>14,7</w:t>
      </w:r>
      <w:r>
        <w:rPr>
          <w:szCs w:val="22"/>
          <w:lang w:val="hu-HU" w:eastAsia="en-US"/>
        </w:rPr>
        <w:noBreakHyphen/>
        <w:t>15,3 mm × 6,7</w:t>
      </w:r>
      <w:r>
        <w:rPr>
          <w:szCs w:val="22"/>
          <w:lang w:val="hu-HU" w:eastAsia="en-US"/>
        </w:rPr>
        <w:noBreakHyphen/>
        <w:t>7,3 mm.</w:t>
      </w:r>
    </w:p>
    <w:p w14:paraId="7EF1CDCA" w14:textId="77777777" w:rsidR="007963F8" w:rsidRDefault="007963F8">
      <w:pPr>
        <w:widowControl w:val="0"/>
        <w:tabs>
          <w:tab w:val="left" w:pos="567"/>
        </w:tabs>
        <w:rPr>
          <w:szCs w:val="22"/>
          <w:lang w:val="hu-HU" w:eastAsia="en-US"/>
        </w:rPr>
      </w:pPr>
    </w:p>
    <w:p w14:paraId="1D70A94F"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10 mg/160 mg filmtabletta: sötét </w:t>
      </w:r>
      <w:r>
        <w:rPr>
          <w:szCs w:val="22"/>
          <w:lang w:val="hu-HU"/>
        </w:rPr>
        <w:t xml:space="preserve">rózsaszín, ovális, mindkét oldalán domború filmtabletta, egyik oldalán mélynyomású „K2” jelöléssel. A tabletta méretei: </w:t>
      </w:r>
      <w:r>
        <w:rPr>
          <w:szCs w:val="22"/>
          <w:lang w:val="hu-HU" w:eastAsia="en-US"/>
        </w:rPr>
        <w:t>16,7-17,3 mm × 7,7-8,3 mm.</w:t>
      </w:r>
    </w:p>
    <w:p w14:paraId="061BF6F9" w14:textId="77777777" w:rsidR="007963F8" w:rsidRDefault="007963F8">
      <w:pPr>
        <w:widowControl w:val="0"/>
        <w:tabs>
          <w:tab w:val="left" w:pos="567"/>
        </w:tabs>
        <w:rPr>
          <w:szCs w:val="22"/>
          <w:lang w:val="hu-HU" w:eastAsia="en-US"/>
        </w:rPr>
      </w:pPr>
    </w:p>
    <w:p w14:paraId="79DE5591" w14:textId="77777777" w:rsidR="007963F8" w:rsidRDefault="008714EA">
      <w:pPr>
        <w:widowControl w:val="0"/>
        <w:tabs>
          <w:tab w:val="left" w:pos="567"/>
        </w:tabs>
        <w:rPr>
          <w:szCs w:val="22"/>
          <w:lang w:val="hu-HU" w:eastAsia="en-US"/>
        </w:rPr>
      </w:pPr>
      <w:proofErr w:type="spellStart"/>
      <w:r>
        <w:rPr>
          <w:szCs w:val="22"/>
          <w:lang w:val="hu-HU" w:eastAsia="en-US"/>
        </w:rPr>
        <w:t>Ravalsyo</w:t>
      </w:r>
      <w:proofErr w:type="spellEnd"/>
      <w:r>
        <w:rPr>
          <w:szCs w:val="22"/>
          <w:lang w:val="hu-HU" w:eastAsia="en-US"/>
        </w:rPr>
        <w:t xml:space="preserve"> 20 mg/160 mg filmtabletta:</w:t>
      </w:r>
      <w:r>
        <w:rPr>
          <w:szCs w:val="22"/>
          <w:lang w:val="hu-HU"/>
        </w:rPr>
        <w:t xml:space="preserve"> halvány barnássárga, ovális, mindkét oldalán domború filmtabletta, egyik oldalán mélynyomású „K1” jelöléssel. A tabletta méretei</w:t>
      </w:r>
      <w:r>
        <w:rPr>
          <w:szCs w:val="22"/>
          <w:lang w:val="hu-HU" w:eastAsia="en-US"/>
        </w:rPr>
        <w:t>: 16,7</w:t>
      </w:r>
      <w:r>
        <w:rPr>
          <w:szCs w:val="22"/>
          <w:lang w:val="hu-HU" w:eastAsia="en-US"/>
        </w:rPr>
        <w:noBreakHyphen/>
        <w:t>17,3 mm × 7,7</w:t>
      </w:r>
      <w:r>
        <w:rPr>
          <w:szCs w:val="22"/>
          <w:lang w:val="hu-HU" w:eastAsia="en-US"/>
        </w:rPr>
        <w:noBreakHyphen/>
        <w:t>8,3 mm.</w:t>
      </w:r>
    </w:p>
    <w:p w14:paraId="618594D5" w14:textId="77777777" w:rsidR="007963F8" w:rsidRDefault="007963F8">
      <w:pPr>
        <w:widowControl w:val="0"/>
        <w:tabs>
          <w:tab w:val="left" w:pos="567"/>
        </w:tabs>
        <w:rPr>
          <w:szCs w:val="22"/>
          <w:lang w:val="hu-HU" w:eastAsia="en-US"/>
        </w:rPr>
      </w:pPr>
    </w:p>
    <w:p w14:paraId="5CABA4A4" w14:textId="77777777" w:rsidR="007963F8" w:rsidRDefault="007963F8">
      <w:pPr>
        <w:widowControl w:val="0"/>
        <w:tabs>
          <w:tab w:val="left" w:pos="567"/>
        </w:tabs>
        <w:rPr>
          <w:szCs w:val="22"/>
          <w:lang w:val="hu-HU" w:eastAsia="en-US"/>
        </w:rPr>
      </w:pPr>
    </w:p>
    <w:p w14:paraId="3FD80BAF" w14:textId="77777777" w:rsidR="007963F8" w:rsidRDefault="008714EA">
      <w:pPr>
        <w:tabs>
          <w:tab w:val="left" w:pos="567"/>
        </w:tabs>
        <w:ind w:left="567" w:hanging="567"/>
        <w:rPr>
          <w:b/>
          <w:caps/>
          <w:szCs w:val="22"/>
          <w:lang w:val="hu-HU"/>
        </w:rPr>
      </w:pPr>
      <w:r>
        <w:rPr>
          <w:b/>
          <w:caps/>
          <w:szCs w:val="22"/>
          <w:lang w:val="hu-HU"/>
        </w:rPr>
        <w:lastRenderedPageBreak/>
        <w:t>4.</w:t>
      </w:r>
      <w:r>
        <w:rPr>
          <w:b/>
          <w:caps/>
          <w:szCs w:val="22"/>
          <w:lang w:val="hu-HU"/>
        </w:rPr>
        <w:tab/>
        <w:t>KLINIKAI JELLEMZŐK</w:t>
      </w:r>
    </w:p>
    <w:p w14:paraId="5E4505D3" w14:textId="77777777" w:rsidR="007963F8" w:rsidRDefault="007963F8">
      <w:pPr>
        <w:widowControl w:val="0"/>
        <w:tabs>
          <w:tab w:val="left" w:pos="567"/>
        </w:tabs>
        <w:rPr>
          <w:szCs w:val="22"/>
          <w:lang w:val="hu-HU" w:eastAsia="en-US"/>
        </w:rPr>
      </w:pPr>
    </w:p>
    <w:p w14:paraId="18FD53E9" w14:textId="77777777" w:rsidR="007963F8" w:rsidRDefault="008714EA">
      <w:pPr>
        <w:tabs>
          <w:tab w:val="left" w:pos="567"/>
        </w:tabs>
        <w:ind w:left="567" w:hanging="567"/>
        <w:rPr>
          <w:b/>
          <w:szCs w:val="22"/>
          <w:lang w:val="hu-HU"/>
        </w:rPr>
      </w:pPr>
      <w:r>
        <w:rPr>
          <w:b/>
          <w:szCs w:val="22"/>
          <w:lang w:val="hu-HU"/>
        </w:rPr>
        <w:t>4.1</w:t>
      </w:r>
      <w:r>
        <w:rPr>
          <w:b/>
          <w:szCs w:val="22"/>
          <w:lang w:val="hu-HU"/>
        </w:rPr>
        <w:tab/>
        <w:t>Terápiás javallatok</w:t>
      </w:r>
    </w:p>
    <w:p w14:paraId="4988C678" w14:textId="77777777" w:rsidR="007963F8" w:rsidRDefault="007963F8">
      <w:pPr>
        <w:widowControl w:val="0"/>
        <w:tabs>
          <w:tab w:val="left" w:pos="567"/>
        </w:tabs>
        <w:rPr>
          <w:szCs w:val="22"/>
          <w:lang w:val="hu-HU" w:eastAsia="en-US"/>
        </w:rPr>
      </w:pPr>
    </w:p>
    <w:p w14:paraId="1F32C59C" w14:textId="77777777" w:rsidR="007963F8" w:rsidRDefault="008714EA">
      <w:pPr>
        <w:widowControl w:val="0"/>
        <w:tabs>
          <w:tab w:val="left" w:pos="567"/>
        </w:tabs>
        <w:rPr>
          <w:spacing w:val="-2"/>
          <w:szCs w:val="22"/>
          <w:lang w:eastAsia="en-US"/>
        </w:rPr>
      </w:pPr>
      <w:r>
        <w:rPr>
          <w:szCs w:val="22"/>
          <w:lang w:val="hu-HU" w:eastAsia="en-US"/>
        </w:rPr>
        <w:t xml:space="preserve">A </w:t>
      </w:r>
      <w:proofErr w:type="spellStart"/>
      <w:r>
        <w:rPr>
          <w:szCs w:val="22"/>
          <w:lang w:val="hu-HU" w:eastAsia="en-US"/>
        </w:rPr>
        <w:t>Ravalsyo</w:t>
      </w:r>
      <w:proofErr w:type="spellEnd"/>
      <w:r>
        <w:rPr>
          <w:szCs w:val="22"/>
          <w:lang w:val="hu-HU" w:eastAsia="en-US"/>
        </w:rPr>
        <w:t xml:space="preserve"> azon felnőtt betegek számára javallott szubsztitúciós kezelésként, akiknek</w:t>
      </w:r>
      <w:r>
        <w:rPr>
          <w:spacing w:val="-2"/>
          <w:szCs w:val="22"/>
          <w:lang w:eastAsia="en-US"/>
        </w:rPr>
        <w:t xml:space="preserve"> egyidejűleg magas vérnyomás kezelésére adott, ugyanolyan dózisú rozuvasztatin és valzartán monokomponensű készítménnyel kontrollálható a betegségük, mint a fix kombináció dózisai, és </w:t>
      </w:r>
      <w:r>
        <w:rPr>
          <w:szCs w:val="22"/>
          <w:lang w:val="hu-HU" w:eastAsia="en-US"/>
        </w:rPr>
        <w:t xml:space="preserve">ha feltételezetten magas az </w:t>
      </w:r>
      <w:r>
        <w:rPr>
          <w:spacing w:val="-2"/>
          <w:szCs w:val="22"/>
          <w:lang w:val="hu-HU" w:eastAsia="en-US"/>
        </w:rPr>
        <w:t>első szív-</w:t>
      </w:r>
      <w:r>
        <w:rPr>
          <w:spacing w:val="-4"/>
          <w:szCs w:val="22"/>
          <w:lang w:val="hu-HU" w:eastAsia="en-US"/>
        </w:rPr>
        <w:t xml:space="preserve">érrendszeri szövődmény bekövetkezésének kockázata (súlyos </w:t>
      </w:r>
      <w:proofErr w:type="spellStart"/>
      <w:r>
        <w:rPr>
          <w:spacing w:val="-4"/>
          <w:szCs w:val="22"/>
          <w:lang w:val="hu-HU" w:eastAsia="en-US"/>
        </w:rPr>
        <w:t>cardiovascularis</w:t>
      </w:r>
      <w:proofErr w:type="spellEnd"/>
      <w:r>
        <w:rPr>
          <w:spacing w:val="-4"/>
          <w:szCs w:val="22"/>
          <w:lang w:val="hu-HU" w:eastAsia="en-US"/>
        </w:rPr>
        <w:t xml:space="preserve"> szövődmények megelőzése</w:t>
      </w:r>
      <w:r>
        <w:rPr>
          <w:szCs w:val="22"/>
          <w:lang w:val="hu-HU" w:eastAsia="en-US"/>
        </w:rPr>
        <w:t xml:space="preserve"> céljából), vagy ha az alábbi kórállapotok valamelyike szintén fennáll:</w:t>
      </w:r>
    </w:p>
    <w:p w14:paraId="79D3A73E" w14:textId="77777777" w:rsidR="007963F8" w:rsidRDefault="008714EA">
      <w:pPr>
        <w:widowControl w:val="0"/>
        <w:tabs>
          <w:tab w:val="left" w:pos="567"/>
        </w:tabs>
        <w:ind w:left="567" w:hanging="567"/>
        <w:rPr>
          <w:szCs w:val="22"/>
          <w:lang w:val="hu-HU"/>
        </w:rPr>
      </w:pPr>
      <w:r>
        <w:rPr>
          <w:szCs w:val="22"/>
          <w:lang w:val="hu-HU" w:eastAsia="en-US"/>
        </w:rPr>
        <w:t>-</w:t>
      </w:r>
      <w:r>
        <w:rPr>
          <w:szCs w:val="22"/>
          <w:lang w:val="hu-HU" w:eastAsia="en-US"/>
        </w:rPr>
        <w:tab/>
      </w:r>
      <w:proofErr w:type="spellStart"/>
      <w:r>
        <w:rPr>
          <w:szCs w:val="22"/>
          <w:lang w:val="hu-HU"/>
        </w:rPr>
        <w:t>primaer</w:t>
      </w:r>
      <w:proofErr w:type="spellEnd"/>
      <w:r>
        <w:rPr>
          <w:szCs w:val="22"/>
          <w:lang w:val="hu-HU"/>
        </w:rPr>
        <w:t xml:space="preserve"> </w:t>
      </w:r>
      <w:proofErr w:type="spellStart"/>
      <w:r>
        <w:rPr>
          <w:szCs w:val="22"/>
          <w:lang w:val="hu-HU"/>
        </w:rPr>
        <w:t>hypercholesterinaemia</w:t>
      </w:r>
      <w:proofErr w:type="spellEnd"/>
      <w:r>
        <w:rPr>
          <w:szCs w:val="22"/>
          <w:lang w:val="hu-HU"/>
        </w:rPr>
        <w:t xml:space="preserve"> (</w:t>
      </w:r>
      <w:proofErr w:type="spellStart"/>
      <w:r>
        <w:rPr>
          <w:szCs w:val="22"/>
          <w:lang w:val="hu-HU"/>
        </w:rPr>
        <w:t>IIa</w:t>
      </w:r>
      <w:proofErr w:type="spellEnd"/>
      <w:r>
        <w:rPr>
          <w:szCs w:val="22"/>
          <w:lang w:val="hu-HU"/>
        </w:rPr>
        <w:t xml:space="preserve">. típus, ideértve a </w:t>
      </w:r>
      <w:proofErr w:type="spellStart"/>
      <w:r>
        <w:rPr>
          <w:szCs w:val="22"/>
          <w:lang w:val="hu-HU"/>
        </w:rPr>
        <w:t>heterozygota</w:t>
      </w:r>
      <w:proofErr w:type="spellEnd"/>
      <w:r>
        <w:rPr>
          <w:szCs w:val="22"/>
          <w:lang w:val="hu-HU"/>
        </w:rPr>
        <w:t xml:space="preserve"> </w:t>
      </w:r>
      <w:proofErr w:type="spellStart"/>
      <w:r>
        <w:rPr>
          <w:szCs w:val="22"/>
          <w:lang w:val="hu-HU"/>
        </w:rPr>
        <w:t>familiaris</w:t>
      </w:r>
      <w:proofErr w:type="spellEnd"/>
      <w:r>
        <w:rPr>
          <w:szCs w:val="22"/>
          <w:lang w:val="hu-HU"/>
        </w:rPr>
        <w:t xml:space="preserve"> </w:t>
      </w:r>
      <w:proofErr w:type="spellStart"/>
      <w:r>
        <w:rPr>
          <w:szCs w:val="22"/>
          <w:lang w:val="hu-HU"/>
        </w:rPr>
        <w:t>hypercholesterinaemiát</w:t>
      </w:r>
      <w:proofErr w:type="spellEnd"/>
      <w:r>
        <w:rPr>
          <w:szCs w:val="22"/>
          <w:lang w:val="hu-HU"/>
        </w:rPr>
        <w:t xml:space="preserve"> is), vagy kevert </w:t>
      </w:r>
      <w:proofErr w:type="spellStart"/>
      <w:r>
        <w:rPr>
          <w:szCs w:val="22"/>
          <w:lang w:val="hu-HU"/>
        </w:rPr>
        <w:t>dyslipidaemia</w:t>
      </w:r>
      <w:proofErr w:type="spellEnd"/>
      <w:r>
        <w:rPr>
          <w:szCs w:val="22"/>
          <w:lang w:val="hu-HU"/>
        </w:rPr>
        <w:t xml:space="preserve"> (</w:t>
      </w:r>
      <w:proofErr w:type="spellStart"/>
      <w:r>
        <w:rPr>
          <w:szCs w:val="22"/>
          <w:lang w:val="hu-HU"/>
        </w:rPr>
        <w:t>IIb</w:t>
      </w:r>
      <w:proofErr w:type="spellEnd"/>
      <w:r>
        <w:rPr>
          <w:szCs w:val="22"/>
          <w:lang w:val="hu-HU"/>
        </w:rPr>
        <w:t xml:space="preserve"> típus),</w:t>
      </w:r>
    </w:p>
    <w:p w14:paraId="47C3F0DB" w14:textId="77777777" w:rsidR="007963F8" w:rsidRDefault="008714EA">
      <w:pPr>
        <w:widowControl w:val="0"/>
        <w:tabs>
          <w:tab w:val="left" w:pos="567"/>
        </w:tabs>
        <w:ind w:left="567" w:hanging="567"/>
        <w:rPr>
          <w:szCs w:val="22"/>
          <w:lang w:val="hu-HU" w:eastAsia="en-US"/>
        </w:rPr>
      </w:pPr>
      <w:r>
        <w:rPr>
          <w:szCs w:val="22"/>
          <w:lang w:val="hu-HU"/>
        </w:rPr>
        <w:t>-</w:t>
      </w:r>
      <w:r>
        <w:rPr>
          <w:szCs w:val="22"/>
          <w:lang w:val="hu-HU"/>
        </w:rPr>
        <w:tab/>
      </w:r>
      <w:proofErr w:type="spellStart"/>
      <w:r>
        <w:rPr>
          <w:szCs w:val="22"/>
          <w:lang w:val="hu-HU"/>
        </w:rPr>
        <w:t>homozygota</w:t>
      </w:r>
      <w:proofErr w:type="spellEnd"/>
      <w:r>
        <w:rPr>
          <w:szCs w:val="22"/>
          <w:lang w:val="hu-HU"/>
        </w:rPr>
        <w:t xml:space="preserve"> </w:t>
      </w:r>
      <w:proofErr w:type="spellStart"/>
      <w:r>
        <w:rPr>
          <w:szCs w:val="22"/>
          <w:lang w:val="hu-HU"/>
        </w:rPr>
        <w:t>familiaris</w:t>
      </w:r>
      <w:proofErr w:type="spellEnd"/>
      <w:r>
        <w:rPr>
          <w:szCs w:val="22"/>
          <w:lang w:val="hu-HU"/>
        </w:rPr>
        <w:t xml:space="preserve"> </w:t>
      </w:r>
      <w:proofErr w:type="spellStart"/>
      <w:r>
        <w:rPr>
          <w:szCs w:val="22"/>
          <w:lang w:val="hu-HU"/>
        </w:rPr>
        <w:t>hypercholesterinaemia</w:t>
      </w:r>
      <w:proofErr w:type="spellEnd"/>
      <w:r>
        <w:rPr>
          <w:szCs w:val="22"/>
          <w:lang w:val="hu-HU"/>
        </w:rPr>
        <w:t>.</w:t>
      </w:r>
    </w:p>
    <w:p w14:paraId="42FBDACC" w14:textId="77777777" w:rsidR="007963F8" w:rsidRDefault="007963F8">
      <w:pPr>
        <w:widowControl w:val="0"/>
        <w:tabs>
          <w:tab w:val="left" w:pos="567"/>
        </w:tabs>
        <w:rPr>
          <w:szCs w:val="22"/>
          <w:lang w:val="hu-HU" w:eastAsia="en-US"/>
        </w:rPr>
      </w:pPr>
    </w:p>
    <w:p w14:paraId="5305AAC3" w14:textId="77777777" w:rsidR="007963F8" w:rsidRDefault="008714EA">
      <w:pPr>
        <w:ind w:left="567" w:hanging="567"/>
        <w:rPr>
          <w:b/>
          <w:szCs w:val="22"/>
          <w:lang w:val="hu-HU"/>
        </w:rPr>
      </w:pPr>
      <w:r>
        <w:rPr>
          <w:b/>
          <w:szCs w:val="22"/>
          <w:lang w:val="hu-HU"/>
        </w:rPr>
        <w:t>4.2</w:t>
      </w:r>
      <w:r>
        <w:rPr>
          <w:b/>
          <w:szCs w:val="22"/>
          <w:lang w:val="hu-HU"/>
        </w:rPr>
        <w:tab/>
        <w:t>Adagolás és alkalmazás</w:t>
      </w:r>
    </w:p>
    <w:p w14:paraId="1B74CED6" w14:textId="77777777" w:rsidR="007963F8" w:rsidRDefault="007963F8">
      <w:pPr>
        <w:rPr>
          <w:szCs w:val="22"/>
          <w:lang w:val="hu-HU"/>
        </w:rPr>
      </w:pPr>
    </w:p>
    <w:p w14:paraId="6B2FB2F8" w14:textId="77777777" w:rsidR="007963F8" w:rsidRDefault="008714EA">
      <w:pPr>
        <w:rPr>
          <w:szCs w:val="22"/>
          <w:u w:val="single"/>
          <w:lang w:val="hu-HU"/>
        </w:rPr>
      </w:pPr>
      <w:r>
        <w:rPr>
          <w:szCs w:val="22"/>
          <w:u w:val="single"/>
          <w:lang w:val="hu-HU"/>
        </w:rPr>
        <w:t>Adagolás</w:t>
      </w:r>
    </w:p>
    <w:p w14:paraId="1FF1BC06" w14:textId="77777777" w:rsidR="007963F8" w:rsidRDefault="007963F8">
      <w:pPr>
        <w:widowControl w:val="0"/>
        <w:tabs>
          <w:tab w:val="left" w:pos="567"/>
        </w:tabs>
        <w:rPr>
          <w:szCs w:val="22"/>
          <w:lang w:val="hu-HU" w:eastAsia="en-US"/>
        </w:rPr>
      </w:pPr>
    </w:p>
    <w:p w14:paraId="17C6E343" w14:textId="77777777" w:rsidR="007963F8" w:rsidRDefault="008714EA">
      <w:pPr>
        <w:widowControl w:val="0"/>
        <w:tabs>
          <w:tab w:val="left" w:pos="567"/>
        </w:tabs>
        <w:rPr>
          <w:szCs w:val="22"/>
          <w:lang w:val="hu-HU"/>
        </w:rPr>
      </w:pPr>
      <w:r>
        <w:rPr>
          <w:szCs w:val="22"/>
          <w:lang w:val="hu-HU"/>
        </w:rPr>
        <w:t>A terápia megkezdése előtt a beteget sztenderd koleszterincsökkentő diétára kell állítani, melyet a gyógyszeres kezelés ideje alatt is folytatni kell.</w:t>
      </w:r>
    </w:p>
    <w:p w14:paraId="440933D7" w14:textId="77777777" w:rsidR="007963F8" w:rsidRDefault="007963F8">
      <w:pPr>
        <w:widowControl w:val="0"/>
        <w:tabs>
          <w:tab w:val="left" w:pos="567"/>
        </w:tabs>
        <w:rPr>
          <w:szCs w:val="22"/>
          <w:lang w:val="hu-HU" w:eastAsia="en-US"/>
        </w:rPr>
      </w:pPr>
    </w:p>
    <w:p w14:paraId="3016A948" w14:textId="77777777" w:rsidR="007963F8" w:rsidRDefault="008714EA">
      <w:pPr>
        <w:widowControl w:val="0"/>
        <w:tabs>
          <w:tab w:val="left" w:pos="567"/>
        </w:tabs>
        <w:rPr>
          <w:szCs w:val="22"/>
          <w:lang w:val="hu-HU" w:eastAsia="en-US"/>
        </w:rPr>
      </w:pPr>
      <w:r>
        <w:rPr>
          <w:szCs w:val="22"/>
          <w:lang w:val="hu-HU" w:eastAsia="en-US"/>
        </w:rPr>
        <w:t xml:space="preserve">A </w:t>
      </w:r>
      <w:proofErr w:type="spellStart"/>
      <w:r>
        <w:rPr>
          <w:szCs w:val="22"/>
          <w:lang w:val="hu-HU" w:eastAsia="en-US"/>
        </w:rPr>
        <w:t>Ravalsyo</w:t>
      </w:r>
      <w:proofErr w:type="spellEnd"/>
      <w:r>
        <w:rPr>
          <w:szCs w:val="22"/>
          <w:lang w:val="hu-HU" w:eastAsia="en-US"/>
        </w:rPr>
        <w:t xml:space="preserve"> ajánlott adagja egy tabletta naponta.</w:t>
      </w:r>
    </w:p>
    <w:p w14:paraId="7068F164" w14:textId="77777777" w:rsidR="007963F8" w:rsidRDefault="007963F8">
      <w:pPr>
        <w:widowControl w:val="0"/>
        <w:tabs>
          <w:tab w:val="left" w:pos="567"/>
        </w:tabs>
        <w:rPr>
          <w:szCs w:val="22"/>
          <w:lang w:val="hu-HU" w:eastAsia="en-US"/>
        </w:rPr>
      </w:pPr>
    </w:p>
    <w:p w14:paraId="0501790D" w14:textId="77777777" w:rsidR="007963F8" w:rsidRDefault="008714EA">
      <w:pPr>
        <w:rPr>
          <w:szCs w:val="22"/>
          <w:lang w:val="hu-HU"/>
        </w:rPr>
      </w:pPr>
      <w:r>
        <w:rPr>
          <w:szCs w:val="22"/>
          <w:lang w:val="hu-HU"/>
        </w:rPr>
        <w:t>A fix dózisú kombináció nem alkalmas kezdeti terápiára.</w:t>
      </w:r>
    </w:p>
    <w:p w14:paraId="248D949B" w14:textId="77777777" w:rsidR="007963F8" w:rsidRDefault="007963F8">
      <w:pPr>
        <w:widowControl w:val="0"/>
        <w:tabs>
          <w:tab w:val="left" w:pos="567"/>
        </w:tabs>
        <w:rPr>
          <w:szCs w:val="22"/>
          <w:lang w:val="hu-HU" w:eastAsia="en-US"/>
        </w:rPr>
      </w:pPr>
    </w:p>
    <w:p w14:paraId="668AD094" w14:textId="77777777" w:rsidR="007963F8" w:rsidRDefault="008714EA">
      <w:pPr>
        <w:widowControl w:val="0"/>
        <w:rPr>
          <w:bCs/>
          <w:noProof/>
          <w:szCs w:val="22"/>
        </w:rPr>
      </w:pPr>
      <w:r>
        <w:rPr>
          <w:bCs/>
          <w:noProof/>
          <w:szCs w:val="22"/>
        </w:rPr>
        <w:t>A Ravalsyo-ra történő áttérés előtt a betegeket az azonos időben bevett egyes összetevők stabil dózisaira kell beállítani. A Ravalsyo dózisát az átállás időpontjában külön-külön szedett egyedi hatóanyagok dózisa alapján kell megállapítani.</w:t>
      </w:r>
    </w:p>
    <w:p w14:paraId="7670A889" w14:textId="77777777" w:rsidR="007963F8" w:rsidRDefault="007963F8">
      <w:pPr>
        <w:rPr>
          <w:iCs/>
          <w:szCs w:val="22"/>
          <w:lang w:val="hu-HU" w:eastAsia="en-US"/>
        </w:rPr>
      </w:pPr>
    </w:p>
    <w:p w14:paraId="5AFE89C0" w14:textId="77777777" w:rsidR="007963F8" w:rsidRDefault="008714EA">
      <w:pPr>
        <w:widowControl w:val="0"/>
        <w:tabs>
          <w:tab w:val="left" w:pos="567"/>
        </w:tabs>
        <w:rPr>
          <w:iCs/>
          <w:szCs w:val="22"/>
          <w:lang w:val="hu-HU" w:eastAsia="en-US"/>
        </w:rPr>
      </w:pPr>
      <w:r>
        <w:rPr>
          <w:iCs/>
          <w:szCs w:val="22"/>
          <w:lang w:val="hu-HU" w:eastAsia="en-US"/>
        </w:rPr>
        <w:t>Amennyiben bármilyen okból (pl. újonnan diagnosztizált társuló betegség, a beteg állapotának megváltozása vagy gyógyszerinterakció stb.) valamelyik hatóanyag adagjának a módosítása indokolttá válik, az adagok ismételt titrálása érdekében a betegeket vissza kell állítani a külön szedett összetevőkre.</w:t>
      </w:r>
    </w:p>
    <w:p w14:paraId="71F77FDC" w14:textId="77777777" w:rsidR="007963F8" w:rsidRDefault="007963F8">
      <w:pPr>
        <w:rPr>
          <w:iCs/>
          <w:szCs w:val="22"/>
          <w:lang w:val="hu-HU" w:eastAsia="en-US"/>
        </w:rPr>
      </w:pPr>
    </w:p>
    <w:p w14:paraId="3EF11774" w14:textId="77777777" w:rsidR="007963F8" w:rsidRDefault="008714EA">
      <w:pPr>
        <w:rPr>
          <w:i/>
          <w:iCs/>
          <w:szCs w:val="22"/>
          <w:u w:val="single"/>
          <w:lang w:val="hu-HU" w:eastAsia="en-US"/>
        </w:rPr>
      </w:pPr>
      <w:r>
        <w:rPr>
          <w:i/>
          <w:iCs/>
          <w:szCs w:val="22"/>
          <w:u w:val="single"/>
          <w:lang w:val="hu-HU" w:eastAsia="en-US"/>
        </w:rPr>
        <w:t>További tájékoztatás különleges betegcsoportokról</w:t>
      </w:r>
    </w:p>
    <w:p w14:paraId="421D92C9" w14:textId="77777777" w:rsidR="007963F8" w:rsidRDefault="007963F8">
      <w:pPr>
        <w:widowControl w:val="0"/>
        <w:rPr>
          <w:szCs w:val="22"/>
          <w:lang w:val="hu-HU" w:eastAsia="en-US"/>
        </w:rPr>
      </w:pPr>
    </w:p>
    <w:p w14:paraId="0394F41A" w14:textId="77777777" w:rsidR="007963F8" w:rsidRDefault="008714EA">
      <w:pPr>
        <w:widowControl w:val="0"/>
        <w:rPr>
          <w:szCs w:val="22"/>
          <w:u w:val="single"/>
          <w:lang w:val="hu-HU" w:eastAsia="en-US"/>
        </w:rPr>
      </w:pPr>
      <w:r>
        <w:rPr>
          <w:szCs w:val="22"/>
          <w:u w:val="single"/>
          <w:lang w:val="hu-HU" w:eastAsia="en-US"/>
        </w:rPr>
        <w:t>Idős betegek</w:t>
      </w:r>
    </w:p>
    <w:p w14:paraId="04653D13" w14:textId="77777777" w:rsidR="007963F8" w:rsidRDefault="008714EA">
      <w:pPr>
        <w:widowControl w:val="0"/>
        <w:rPr>
          <w:szCs w:val="22"/>
          <w:lang w:val="hu-HU" w:eastAsia="en-US"/>
        </w:rPr>
      </w:pPr>
      <w:r>
        <w:rPr>
          <w:szCs w:val="22"/>
          <w:lang w:val="hu-HU" w:eastAsia="en-US"/>
        </w:rPr>
        <w:t>Nincs szükség dózismódosításra.</w:t>
      </w:r>
    </w:p>
    <w:p w14:paraId="3AE4BB26" w14:textId="77777777" w:rsidR="007963F8" w:rsidRDefault="007963F8">
      <w:pPr>
        <w:widowControl w:val="0"/>
        <w:rPr>
          <w:szCs w:val="22"/>
          <w:lang w:val="hu-HU" w:eastAsia="en-US"/>
        </w:rPr>
      </w:pPr>
    </w:p>
    <w:p w14:paraId="73EC71F3" w14:textId="77777777" w:rsidR="007963F8" w:rsidRDefault="008714EA">
      <w:pPr>
        <w:widowControl w:val="0"/>
        <w:rPr>
          <w:szCs w:val="22"/>
          <w:u w:val="single"/>
          <w:lang w:val="hu-HU" w:eastAsia="en-US"/>
        </w:rPr>
      </w:pPr>
      <w:r>
        <w:rPr>
          <w:szCs w:val="22"/>
          <w:u w:val="single"/>
          <w:lang w:val="hu-HU" w:eastAsia="en-US"/>
        </w:rPr>
        <w:t>Vesekárosodásban szenvedő betegek</w:t>
      </w:r>
    </w:p>
    <w:p w14:paraId="50DC6C9D" w14:textId="77777777" w:rsidR="007963F8" w:rsidRDefault="008714EA">
      <w:pPr>
        <w:widowControl w:val="0"/>
        <w:rPr>
          <w:szCs w:val="22"/>
          <w:lang w:val="hu-HU" w:eastAsia="en-US"/>
        </w:rPr>
      </w:pPr>
      <w:r>
        <w:rPr>
          <w:szCs w:val="22"/>
          <w:lang w:val="hu-HU" w:eastAsia="en-US"/>
        </w:rPr>
        <w:t>Enyhe-közepesen súlyos vesekárosodásban szenvedő betegeknél nincs szükség dózismódosításra.</w:t>
      </w:r>
    </w:p>
    <w:p w14:paraId="333FAE42" w14:textId="77777777" w:rsidR="007963F8" w:rsidRDefault="007963F8">
      <w:pPr>
        <w:widowControl w:val="0"/>
        <w:rPr>
          <w:szCs w:val="22"/>
          <w:lang w:val="hu-HU" w:eastAsia="en-US"/>
        </w:rPr>
      </w:pPr>
    </w:p>
    <w:p w14:paraId="2D0CF10B" w14:textId="77777777" w:rsidR="007963F8" w:rsidRDefault="008714EA">
      <w:pPr>
        <w:pStyle w:val="Szvegtrzs"/>
        <w:rPr>
          <w:szCs w:val="22"/>
          <w:lang w:val="hu-HU"/>
        </w:rPr>
      </w:pPr>
      <w:r>
        <w:rPr>
          <w:szCs w:val="22"/>
          <w:lang w:val="hu-HU"/>
        </w:rPr>
        <w:t xml:space="preserve">Súlyos vesekárosodásban a </w:t>
      </w:r>
      <w:proofErr w:type="spellStart"/>
      <w:r>
        <w:rPr>
          <w:szCs w:val="22"/>
          <w:lang w:val="hu-HU"/>
        </w:rPr>
        <w:t>Ravalsyo</w:t>
      </w:r>
      <w:proofErr w:type="spellEnd"/>
      <w:r>
        <w:rPr>
          <w:szCs w:val="22"/>
          <w:lang w:val="hu-HU"/>
        </w:rPr>
        <w:t xml:space="preserve"> alkalmazása minden dózisra vonatkozóan ellenjavallt (lásd 4.3 és 5.2 pont).</w:t>
      </w:r>
    </w:p>
    <w:p w14:paraId="64880F61" w14:textId="77777777" w:rsidR="007963F8" w:rsidRDefault="007963F8">
      <w:pPr>
        <w:pStyle w:val="Szvegtrzs"/>
        <w:rPr>
          <w:szCs w:val="22"/>
          <w:lang w:val="hu-HU"/>
        </w:rPr>
      </w:pPr>
    </w:p>
    <w:p w14:paraId="52C2FB04" w14:textId="77777777" w:rsidR="007963F8" w:rsidRDefault="008714EA">
      <w:pPr>
        <w:tabs>
          <w:tab w:val="left" w:pos="567"/>
        </w:tabs>
        <w:rPr>
          <w:szCs w:val="22"/>
        </w:rPr>
      </w:pPr>
      <w:r>
        <w:rPr>
          <w:bCs/>
          <w:szCs w:val="22"/>
        </w:rPr>
        <w:t xml:space="preserve">Nem szükséges a dózis módosítása azoknál a felnőtt betegeknél, akik kreatinin-clearance-e </w:t>
      </w:r>
      <w:r>
        <w:rPr>
          <w:szCs w:val="22"/>
        </w:rPr>
        <w:t>&gt; 10 ml/perc (lásd 4.4 és 5.2 pont). Vesekárosodás esetén a valzartán és az aliszkirén együttes alkalmazása ellenjavallt (GRF &lt; 60 ml/perc/1,73 m</w:t>
      </w:r>
      <w:r>
        <w:rPr>
          <w:szCs w:val="22"/>
          <w:vertAlign w:val="superscript"/>
        </w:rPr>
        <w:t>2</w:t>
      </w:r>
      <w:r>
        <w:rPr>
          <w:szCs w:val="22"/>
        </w:rPr>
        <w:t>) (lásd 4.3 pont).</w:t>
      </w:r>
    </w:p>
    <w:p w14:paraId="1D24AF2F" w14:textId="77777777" w:rsidR="007963F8" w:rsidRDefault="007963F8">
      <w:pPr>
        <w:widowControl w:val="0"/>
        <w:rPr>
          <w:szCs w:val="22"/>
          <w:lang w:val="hu-HU" w:eastAsia="en-US"/>
        </w:rPr>
      </w:pPr>
    </w:p>
    <w:p w14:paraId="236152AD" w14:textId="77777777" w:rsidR="007963F8" w:rsidRDefault="008714EA">
      <w:pPr>
        <w:widowControl w:val="0"/>
        <w:rPr>
          <w:szCs w:val="22"/>
          <w:u w:val="single"/>
          <w:lang w:val="hu-HU" w:eastAsia="en-US"/>
        </w:rPr>
      </w:pPr>
      <w:r>
        <w:rPr>
          <w:szCs w:val="22"/>
          <w:u w:val="single"/>
          <w:lang w:val="hu-HU" w:eastAsia="en-US"/>
        </w:rPr>
        <w:t>Májkárosodásban szenvedő betegek</w:t>
      </w:r>
    </w:p>
    <w:p w14:paraId="67AD7DF4" w14:textId="77777777" w:rsidR="007963F8" w:rsidRDefault="008714EA">
      <w:pPr>
        <w:rPr>
          <w:szCs w:val="22"/>
        </w:rPr>
      </w:pPr>
      <w:r>
        <w:rPr>
          <w:szCs w:val="22"/>
        </w:rPr>
        <w:t>A rozuvasztatin szisztémás expozíciós szintje 7 és annál kisebb Child-Pugh érték esetén nem növekedett. Azonban a szisztémás expozíció emelkedését figyelték meg 8 és 9 Child-Pugh érték mellett (lásd 5.2 pont). Ezeknél a betegeknél a májfunkció ellenőrzése ajánlott (lásd 4.4 pont).</w:t>
      </w:r>
    </w:p>
    <w:p w14:paraId="05C5E1F2" w14:textId="77777777" w:rsidR="007963F8" w:rsidRDefault="008714EA">
      <w:pPr>
        <w:tabs>
          <w:tab w:val="left" w:pos="567"/>
        </w:tabs>
        <w:rPr>
          <w:bCs/>
          <w:szCs w:val="22"/>
        </w:rPr>
      </w:pPr>
      <w:r>
        <w:rPr>
          <w:szCs w:val="22"/>
        </w:rPr>
        <w:t xml:space="preserve">Nincs tapasztalat 9-nél nagyobb Child-Pugh értékeknél. </w:t>
      </w:r>
      <w:r>
        <w:rPr>
          <w:bCs/>
          <w:szCs w:val="22"/>
        </w:rPr>
        <w:t>Aktív májbetesgég esetén (lásd 4.3 pont), súlyos májkárosodásban, biliaris cirrhosisban, valamint cholestasisban szenvedő betegeknél a Ravalsyo</w:t>
      </w:r>
      <w:r>
        <w:rPr>
          <w:szCs w:val="22"/>
          <w:lang w:val="hu-HU"/>
        </w:rPr>
        <w:t xml:space="preserve"> </w:t>
      </w:r>
      <w:r>
        <w:rPr>
          <w:bCs/>
          <w:szCs w:val="22"/>
        </w:rPr>
        <w:t xml:space="preserve">ellenjavallt (lásd 4.3, 4.4 és 5.2 pont). A </w:t>
      </w:r>
      <w:r>
        <w:rPr>
          <w:szCs w:val="22"/>
        </w:rPr>
        <w:t xml:space="preserve">cholestasissal nem járó </w:t>
      </w:r>
      <w:r>
        <w:rPr>
          <w:bCs/>
          <w:szCs w:val="22"/>
        </w:rPr>
        <w:t>enyhe vagy közepesen súlyos májkárosodásban szenvedő betegeknél a valzartán dózis nem haladhatja meg a 80 mg-ot.</w:t>
      </w:r>
    </w:p>
    <w:p w14:paraId="1379AE66" w14:textId="77777777" w:rsidR="007963F8" w:rsidRDefault="007963F8">
      <w:pPr>
        <w:rPr>
          <w:szCs w:val="22"/>
          <w:lang w:val="hu-HU"/>
        </w:rPr>
      </w:pPr>
    </w:p>
    <w:p w14:paraId="3E243C59" w14:textId="77777777" w:rsidR="007963F8" w:rsidRDefault="008714EA">
      <w:pPr>
        <w:rPr>
          <w:szCs w:val="22"/>
          <w:u w:val="single"/>
          <w:lang w:val="hu-HU"/>
        </w:rPr>
      </w:pPr>
      <w:r>
        <w:rPr>
          <w:szCs w:val="22"/>
          <w:u w:val="single"/>
          <w:lang w:val="hu-HU"/>
        </w:rPr>
        <w:lastRenderedPageBreak/>
        <w:t>Népcsoportok</w:t>
      </w:r>
    </w:p>
    <w:p w14:paraId="0F2BEC24" w14:textId="77777777" w:rsidR="007963F8" w:rsidRDefault="008714EA">
      <w:pPr>
        <w:rPr>
          <w:szCs w:val="22"/>
        </w:rPr>
      </w:pPr>
      <w:r>
        <w:rPr>
          <w:szCs w:val="22"/>
        </w:rPr>
        <w:t>Fokozott szisztémás expozíciót tapasztaltak ázsiai személyeknél (lásd 4.3, 4.4 és 5.2 pont).</w:t>
      </w:r>
    </w:p>
    <w:p w14:paraId="230ED156" w14:textId="77777777" w:rsidR="007963F8" w:rsidRDefault="007963F8">
      <w:pPr>
        <w:rPr>
          <w:szCs w:val="22"/>
          <w:lang w:val="hu-HU"/>
        </w:rPr>
      </w:pPr>
    </w:p>
    <w:p w14:paraId="0A8182D3" w14:textId="77777777" w:rsidR="007963F8" w:rsidRDefault="008714EA">
      <w:pPr>
        <w:rPr>
          <w:szCs w:val="22"/>
          <w:u w:val="single"/>
          <w:lang w:val="hu-HU"/>
        </w:rPr>
      </w:pPr>
      <w:r>
        <w:rPr>
          <w:szCs w:val="22"/>
          <w:u w:val="single"/>
          <w:lang w:val="hu-HU"/>
        </w:rPr>
        <w:t>Genetikai polimorfizmusok</w:t>
      </w:r>
    </w:p>
    <w:p w14:paraId="25847D12" w14:textId="77777777" w:rsidR="007963F8" w:rsidRDefault="008714EA">
      <w:r>
        <w:t>A genetikai polimorfizmus specifikus típusairól ismert, hogy fokozzák a rozuvasztatin-expozícióját (lásd 5.2 pont). Az ismerten ilyen típusú polimorfizmussal rendelkező betegeknél alacsonyabb rozuvasztatin napi adag javasolt.</w:t>
      </w:r>
    </w:p>
    <w:p w14:paraId="66BED9A7" w14:textId="77777777" w:rsidR="007963F8" w:rsidRDefault="007963F8">
      <w:pPr>
        <w:rPr>
          <w:szCs w:val="22"/>
          <w:lang w:val="hu-HU"/>
        </w:rPr>
      </w:pPr>
    </w:p>
    <w:p w14:paraId="42B0CBC3" w14:textId="77777777" w:rsidR="007963F8" w:rsidRDefault="008714EA">
      <w:pPr>
        <w:rPr>
          <w:szCs w:val="22"/>
          <w:u w:val="single"/>
          <w:lang w:val="hu-HU"/>
        </w:rPr>
      </w:pPr>
      <w:r>
        <w:rPr>
          <w:szCs w:val="22"/>
          <w:u w:val="single"/>
          <w:lang w:val="hu-HU"/>
        </w:rPr>
        <w:t>Egyidejű terápia</w:t>
      </w:r>
    </w:p>
    <w:p w14:paraId="1385C77E" w14:textId="77777777" w:rsidR="007963F8" w:rsidRDefault="008714EA">
      <w:pPr>
        <w:rPr>
          <w:spacing w:val="-2"/>
          <w:szCs w:val="22"/>
          <w:lang w:val="hu-HU"/>
        </w:rPr>
      </w:pPr>
      <w:r>
        <w:rPr>
          <w:spacing w:val="-2"/>
          <w:szCs w:val="22"/>
          <w:lang w:val="hu-HU"/>
        </w:rPr>
        <w:t xml:space="preserve">A </w:t>
      </w:r>
      <w:proofErr w:type="spellStart"/>
      <w:r>
        <w:rPr>
          <w:spacing w:val="-2"/>
          <w:szCs w:val="22"/>
          <w:lang w:val="hu-HU"/>
        </w:rPr>
        <w:t>rozuvasztatin</w:t>
      </w:r>
      <w:proofErr w:type="spellEnd"/>
      <w:r>
        <w:rPr>
          <w:spacing w:val="-2"/>
          <w:szCs w:val="22"/>
          <w:lang w:val="hu-HU"/>
        </w:rPr>
        <w:t xml:space="preserve"> különböző transzportfehérjék </w:t>
      </w:r>
      <w:proofErr w:type="spellStart"/>
      <w:r>
        <w:rPr>
          <w:spacing w:val="-2"/>
          <w:szCs w:val="22"/>
          <w:lang w:val="hu-HU"/>
        </w:rPr>
        <w:t>szubsztrátja</w:t>
      </w:r>
      <w:proofErr w:type="spellEnd"/>
      <w:r>
        <w:rPr>
          <w:spacing w:val="-2"/>
          <w:szCs w:val="22"/>
          <w:lang w:val="hu-HU"/>
        </w:rPr>
        <w:t xml:space="preserve"> (például OATP1B1 és BCRP). A </w:t>
      </w:r>
      <w:proofErr w:type="spellStart"/>
      <w:r>
        <w:rPr>
          <w:spacing w:val="-2"/>
          <w:szCs w:val="22"/>
          <w:lang w:val="hu-HU"/>
        </w:rPr>
        <w:t>myopathia</w:t>
      </w:r>
      <w:proofErr w:type="spellEnd"/>
      <w:r>
        <w:rPr>
          <w:spacing w:val="-2"/>
          <w:szCs w:val="22"/>
          <w:lang w:val="hu-HU"/>
        </w:rPr>
        <w:t xml:space="preserve"> (beleértve a </w:t>
      </w:r>
      <w:proofErr w:type="spellStart"/>
      <w:r>
        <w:rPr>
          <w:spacing w:val="-2"/>
          <w:szCs w:val="22"/>
          <w:lang w:val="hu-HU"/>
        </w:rPr>
        <w:t>rhabdomyolysist</w:t>
      </w:r>
      <w:proofErr w:type="spellEnd"/>
      <w:r>
        <w:rPr>
          <w:spacing w:val="-2"/>
          <w:szCs w:val="22"/>
          <w:lang w:val="hu-HU"/>
        </w:rPr>
        <w:t xml:space="preserve"> is) kockázata fokozódik, amikor a </w:t>
      </w:r>
      <w:proofErr w:type="spellStart"/>
      <w:r>
        <w:rPr>
          <w:spacing w:val="-2"/>
          <w:szCs w:val="22"/>
          <w:lang w:val="hu-HU"/>
        </w:rPr>
        <w:t>rozuvasztatint</w:t>
      </w:r>
      <w:proofErr w:type="spellEnd"/>
      <w:r>
        <w:rPr>
          <w:spacing w:val="-2"/>
          <w:szCs w:val="22"/>
          <w:lang w:val="hu-HU"/>
        </w:rPr>
        <w:t xml:space="preserve"> egyidejűleg alkalmazzák bizonyos olyan gyógyszerekkel, amelyek megnövelhetik a </w:t>
      </w:r>
      <w:proofErr w:type="spellStart"/>
      <w:r>
        <w:rPr>
          <w:spacing w:val="-2"/>
          <w:szCs w:val="22"/>
          <w:lang w:val="hu-HU"/>
        </w:rPr>
        <w:t>rozuvasztatin</w:t>
      </w:r>
      <w:proofErr w:type="spellEnd"/>
      <w:r>
        <w:rPr>
          <w:spacing w:val="-2"/>
          <w:szCs w:val="22"/>
          <w:lang w:val="hu-HU"/>
        </w:rPr>
        <w:t xml:space="preserve"> plazmakoncentrációját az ezekkel a transzportfehérjékkel történő interakció következtében (például </w:t>
      </w:r>
      <w:proofErr w:type="spellStart"/>
      <w:r>
        <w:rPr>
          <w:spacing w:val="-2"/>
          <w:szCs w:val="22"/>
          <w:lang w:val="hu-HU"/>
        </w:rPr>
        <w:t>ciklosporin</w:t>
      </w:r>
      <w:proofErr w:type="spellEnd"/>
      <w:r>
        <w:rPr>
          <w:spacing w:val="-2"/>
          <w:szCs w:val="22"/>
          <w:lang w:val="hu-HU"/>
        </w:rPr>
        <w:t xml:space="preserve"> és bizonyos </w:t>
      </w:r>
      <w:proofErr w:type="spellStart"/>
      <w:r>
        <w:rPr>
          <w:spacing w:val="-2"/>
          <w:szCs w:val="22"/>
          <w:lang w:val="hu-HU"/>
        </w:rPr>
        <w:t>proteáz</w:t>
      </w:r>
      <w:proofErr w:type="spellEnd"/>
      <w:r>
        <w:rPr>
          <w:spacing w:val="-2"/>
          <w:szCs w:val="22"/>
          <w:lang w:val="hu-HU"/>
        </w:rPr>
        <w:t xml:space="preserve">-inhibitorok, beleértve a </w:t>
      </w:r>
      <w:proofErr w:type="spellStart"/>
      <w:r>
        <w:rPr>
          <w:spacing w:val="-2"/>
          <w:szCs w:val="22"/>
          <w:lang w:val="hu-HU"/>
        </w:rPr>
        <w:t>ritonavir</w:t>
      </w:r>
      <w:proofErr w:type="spellEnd"/>
      <w:r>
        <w:rPr>
          <w:spacing w:val="-2"/>
          <w:szCs w:val="22"/>
          <w:lang w:val="hu-HU"/>
        </w:rPr>
        <w:t xml:space="preserve"> kombinációját </w:t>
      </w:r>
      <w:proofErr w:type="spellStart"/>
      <w:r>
        <w:rPr>
          <w:spacing w:val="-2"/>
          <w:szCs w:val="22"/>
          <w:lang w:val="hu-HU"/>
        </w:rPr>
        <w:t>atazanavirrel</w:t>
      </w:r>
      <w:proofErr w:type="spellEnd"/>
      <w:r>
        <w:rPr>
          <w:spacing w:val="-2"/>
          <w:szCs w:val="22"/>
          <w:lang w:val="hu-HU"/>
        </w:rPr>
        <w:t xml:space="preserve">, </w:t>
      </w:r>
      <w:proofErr w:type="spellStart"/>
      <w:r>
        <w:rPr>
          <w:spacing w:val="-2"/>
          <w:szCs w:val="22"/>
          <w:lang w:val="hu-HU"/>
        </w:rPr>
        <w:t>lopinavirrel</w:t>
      </w:r>
      <w:proofErr w:type="spellEnd"/>
      <w:r>
        <w:rPr>
          <w:spacing w:val="-2"/>
          <w:szCs w:val="22"/>
          <w:lang w:val="hu-HU"/>
        </w:rPr>
        <w:t xml:space="preserve"> és/vagy </w:t>
      </w:r>
      <w:proofErr w:type="spellStart"/>
      <w:r>
        <w:rPr>
          <w:spacing w:val="-2"/>
          <w:szCs w:val="22"/>
          <w:lang w:val="hu-HU"/>
        </w:rPr>
        <w:t>tipranavirrel</w:t>
      </w:r>
      <w:proofErr w:type="spellEnd"/>
      <w:r>
        <w:rPr>
          <w:spacing w:val="-2"/>
          <w:szCs w:val="22"/>
          <w:lang w:val="hu-HU"/>
        </w:rPr>
        <w:t xml:space="preserve">; lásd 4.4 és 4.5 pont). Amikor lehetséges, alternatív gyógyszeres kezelést kell megfontolni, és ha szükséges, mérlegelni kell a </w:t>
      </w:r>
      <w:proofErr w:type="spellStart"/>
      <w:r>
        <w:rPr>
          <w:spacing w:val="-2"/>
          <w:szCs w:val="22"/>
          <w:lang w:val="hu-HU"/>
        </w:rPr>
        <w:t>rozuvasztatin</w:t>
      </w:r>
      <w:proofErr w:type="spellEnd"/>
      <w:r>
        <w:rPr>
          <w:spacing w:val="-2"/>
          <w:szCs w:val="22"/>
          <w:lang w:val="hu-HU"/>
        </w:rPr>
        <w:t xml:space="preserve">-terápia átmeneti felfüggesztését. Azokban az esetekben, amikor ezeknek a gyógyszereknek az együttes alkalmazása elkerülhetetlen, az egyidejű kezelésnek és a </w:t>
      </w:r>
      <w:proofErr w:type="spellStart"/>
      <w:r>
        <w:rPr>
          <w:spacing w:val="-2"/>
          <w:szCs w:val="22"/>
          <w:lang w:val="hu-HU"/>
        </w:rPr>
        <w:t>rozuvasztatin</w:t>
      </w:r>
      <w:proofErr w:type="spellEnd"/>
      <w:r>
        <w:rPr>
          <w:spacing w:val="-2"/>
          <w:szCs w:val="22"/>
          <w:lang w:val="hu-HU"/>
        </w:rPr>
        <w:t>-adagolás módosításának előnyét és kockázatát kell gondosan mérlegelni (lásd 4.5 pont).</w:t>
      </w:r>
    </w:p>
    <w:p w14:paraId="0E42E379" w14:textId="77777777" w:rsidR="007963F8" w:rsidRDefault="007963F8">
      <w:pPr>
        <w:rPr>
          <w:szCs w:val="22"/>
          <w:lang w:val="hu-HU"/>
        </w:rPr>
      </w:pPr>
    </w:p>
    <w:p w14:paraId="371D635D" w14:textId="77777777" w:rsidR="007963F8" w:rsidRDefault="008714EA">
      <w:pPr>
        <w:rPr>
          <w:szCs w:val="22"/>
          <w:u w:val="single"/>
          <w:lang w:val="hu-HU"/>
        </w:rPr>
      </w:pPr>
      <w:r>
        <w:rPr>
          <w:szCs w:val="22"/>
          <w:u w:val="single"/>
          <w:lang w:val="hu-HU"/>
        </w:rPr>
        <w:t>Gyermekek és serdülők</w:t>
      </w:r>
    </w:p>
    <w:p w14:paraId="7D79A86B" w14:textId="77777777" w:rsidR="007963F8" w:rsidRDefault="008714EA">
      <w:pPr>
        <w:rPr>
          <w:szCs w:val="22"/>
          <w:lang w:val="hu-HU"/>
        </w:rPr>
      </w:pPr>
      <w:r>
        <w:rPr>
          <w:szCs w:val="22"/>
          <w:lang w:val="hu-HU"/>
        </w:rPr>
        <w:t xml:space="preserve">A </w:t>
      </w:r>
      <w:proofErr w:type="spellStart"/>
      <w:r>
        <w:rPr>
          <w:szCs w:val="22"/>
          <w:lang w:val="hu-HU"/>
        </w:rPr>
        <w:t>Ravalsyo</w:t>
      </w:r>
      <w:proofErr w:type="spellEnd"/>
      <w:r>
        <w:rPr>
          <w:szCs w:val="22"/>
          <w:lang w:val="hu-HU"/>
        </w:rPr>
        <w:t xml:space="preserve"> biztonságosságát és hatásosságát 18 évesnél fiatalabb gyermekek és serdülők esetében nem igazolták. A </w:t>
      </w:r>
      <w:proofErr w:type="spellStart"/>
      <w:r>
        <w:rPr>
          <w:szCs w:val="22"/>
          <w:lang w:val="hu-HU"/>
        </w:rPr>
        <w:t>Ravalsyo</w:t>
      </w:r>
      <w:proofErr w:type="spellEnd"/>
      <w:r>
        <w:rPr>
          <w:szCs w:val="22"/>
          <w:lang w:val="hu-HU"/>
        </w:rPr>
        <w:t xml:space="preserve"> alkalmazása nem javasolt 18 évesnél fiatalabb betegeknél.</w:t>
      </w:r>
    </w:p>
    <w:p w14:paraId="3F3F1592" w14:textId="77777777" w:rsidR="007963F8" w:rsidRDefault="007963F8">
      <w:pPr>
        <w:rPr>
          <w:szCs w:val="22"/>
          <w:lang w:val="hu-HU"/>
        </w:rPr>
      </w:pPr>
    </w:p>
    <w:p w14:paraId="722B4FE3" w14:textId="77777777" w:rsidR="007963F8" w:rsidRDefault="008714EA">
      <w:pPr>
        <w:tabs>
          <w:tab w:val="left" w:pos="567"/>
        </w:tabs>
        <w:ind w:left="567" w:hanging="567"/>
        <w:rPr>
          <w:b/>
          <w:szCs w:val="22"/>
          <w:lang w:val="hu-HU"/>
        </w:rPr>
      </w:pPr>
      <w:r>
        <w:rPr>
          <w:b/>
          <w:szCs w:val="22"/>
          <w:lang w:val="hu-HU"/>
        </w:rPr>
        <w:t>4.3</w:t>
      </w:r>
      <w:r>
        <w:rPr>
          <w:b/>
          <w:szCs w:val="22"/>
          <w:lang w:val="hu-HU"/>
        </w:rPr>
        <w:tab/>
        <w:t>Ellenjavallatok</w:t>
      </w:r>
    </w:p>
    <w:p w14:paraId="02A4AD1B" w14:textId="77777777" w:rsidR="007963F8" w:rsidRDefault="007963F8">
      <w:pPr>
        <w:rPr>
          <w:szCs w:val="22"/>
          <w:lang w:val="hu-HU"/>
        </w:rPr>
      </w:pPr>
    </w:p>
    <w:p w14:paraId="02919F2F" w14:textId="77777777" w:rsidR="007963F8" w:rsidRDefault="008714EA">
      <w:pPr>
        <w:widowControl w:val="0"/>
        <w:numPr>
          <w:ilvl w:val="0"/>
          <w:numId w:val="18"/>
        </w:numPr>
        <w:tabs>
          <w:tab w:val="clear" w:pos="283"/>
          <w:tab w:val="num" w:pos="567"/>
          <w:tab w:val="left" w:pos="2122"/>
        </w:tabs>
        <w:suppressAutoHyphens/>
        <w:ind w:left="567" w:hanging="567"/>
        <w:rPr>
          <w:szCs w:val="22"/>
          <w:lang w:val="hu-HU"/>
        </w:rPr>
      </w:pPr>
      <w:r>
        <w:rPr>
          <w:szCs w:val="22"/>
          <w:lang w:val="hu-HU"/>
        </w:rPr>
        <w:t>A készítmény hatóanyagával vagy a 6.1 pontban felsorolt bármely segédanyagával szembeni túlérzékenység.</w:t>
      </w:r>
    </w:p>
    <w:p w14:paraId="27946E4C" w14:textId="77777777" w:rsidR="007963F8" w:rsidRDefault="008714EA">
      <w:pPr>
        <w:widowControl w:val="0"/>
        <w:numPr>
          <w:ilvl w:val="0"/>
          <w:numId w:val="18"/>
        </w:numPr>
        <w:tabs>
          <w:tab w:val="clear" w:pos="283"/>
          <w:tab w:val="num" w:pos="567"/>
        </w:tabs>
        <w:suppressAutoHyphens/>
        <w:ind w:left="567" w:hanging="567"/>
        <w:rPr>
          <w:szCs w:val="22"/>
        </w:rPr>
      </w:pPr>
      <w:r>
        <w:rPr>
          <w:szCs w:val="22"/>
        </w:rPr>
        <w:t>Aktív májbetegségben szenvedő betegeknél, beleértve az ismeretlen eredetű, tartós szérum transzaminázszint-emelkedést, valamint bármilyen szérum transzaminázszint-emelkedést, amennyiben az a normálérték felső határának (ULN, Upper Limit of Normal) háromszorosát meghaladja.</w:t>
      </w:r>
    </w:p>
    <w:p w14:paraId="04582822" w14:textId="77777777" w:rsidR="007963F8" w:rsidRDefault="008714EA">
      <w:pPr>
        <w:widowControl w:val="0"/>
        <w:numPr>
          <w:ilvl w:val="0"/>
          <w:numId w:val="18"/>
        </w:numPr>
        <w:tabs>
          <w:tab w:val="clear" w:pos="283"/>
          <w:tab w:val="num" w:pos="567"/>
          <w:tab w:val="left" w:pos="2122"/>
        </w:tabs>
        <w:suppressAutoHyphens/>
        <w:ind w:left="567" w:hanging="567"/>
        <w:rPr>
          <w:szCs w:val="22"/>
          <w:lang w:val="hu-HU"/>
        </w:rPr>
      </w:pPr>
      <w:r>
        <w:rPr>
          <w:szCs w:val="22"/>
          <w:lang w:val="hu-HU"/>
        </w:rPr>
        <w:t>Súlyos vesekárosodás (kreatinin-</w:t>
      </w:r>
      <w:proofErr w:type="spellStart"/>
      <w:r>
        <w:rPr>
          <w:szCs w:val="22"/>
          <w:lang w:val="hu-HU"/>
        </w:rPr>
        <w:t>clearance</w:t>
      </w:r>
      <w:proofErr w:type="spellEnd"/>
      <w:r>
        <w:rPr>
          <w:szCs w:val="22"/>
          <w:lang w:val="hu-HU"/>
        </w:rPr>
        <w:t xml:space="preserve"> &lt; 30 ml/perc).</w:t>
      </w:r>
    </w:p>
    <w:p w14:paraId="450859F9" w14:textId="77777777" w:rsidR="007963F8" w:rsidRDefault="008714EA">
      <w:pPr>
        <w:widowControl w:val="0"/>
        <w:numPr>
          <w:ilvl w:val="0"/>
          <w:numId w:val="18"/>
        </w:numPr>
        <w:tabs>
          <w:tab w:val="clear" w:pos="283"/>
          <w:tab w:val="num" w:pos="567"/>
          <w:tab w:val="left" w:pos="2122"/>
        </w:tabs>
        <w:suppressAutoHyphens/>
        <w:ind w:left="567" w:hanging="567"/>
        <w:rPr>
          <w:szCs w:val="22"/>
          <w:lang w:val="hu-HU"/>
        </w:rPr>
      </w:pPr>
      <w:proofErr w:type="spellStart"/>
      <w:r>
        <w:rPr>
          <w:szCs w:val="22"/>
          <w:lang w:val="hu-HU"/>
        </w:rPr>
        <w:t>Myopathia</w:t>
      </w:r>
      <w:proofErr w:type="spellEnd"/>
      <w:r>
        <w:rPr>
          <w:szCs w:val="22"/>
          <w:lang w:val="hu-HU"/>
        </w:rPr>
        <w:t>.</w:t>
      </w:r>
    </w:p>
    <w:p w14:paraId="6C707315" w14:textId="77777777" w:rsidR="007963F8" w:rsidRDefault="008714EA">
      <w:pPr>
        <w:widowControl w:val="0"/>
        <w:numPr>
          <w:ilvl w:val="0"/>
          <w:numId w:val="18"/>
        </w:numPr>
        <w:tabs>
          <w:tab w:val="clear" w:pos="283"/>
          <w:tab w:val="num" w:pos="567"/>
          <w:tab w:val="left" w:pos="2122"/>
        </w:tabs>
        <w:suppressAutoHyphens/>
        <w:ind w:left="567" w:hanging="567"/>
        <w:rPr>
          <w:szCs w:val="22"/>
          <w:lang w:val="hu-HU"/>
        </w:rPr>
      </w:pPr>
      <w:r>
        <w:rPr>
          <w:lang w:val="hu-HU"/>
        </w:rPr>
        <w:t xml:space="preserve">Olyan betegeknél, akiket egyidejűleg </w:t>
      </w:r>
      <w:proofErr w:type="spellStart"/>
      <w:r>
        <w:rPr>
          <w:lang w:val="hu-HU"/>
        </w:rPr>
        <w:t>szofoszbuvir</w:t>
      </w:r>
      <w:proofErr w:type="spellEnd"/>
      <w:r>
        <w:rPr>
          <w:lang w:val="hu-HU"/>
        </w:rPr>
        <w:t>/</w:t>
      </w:r>
      <w:proofErr w:type="spellStart"/>
      <w:r>
        <w:rPr>
          <w:lang w:val="hu-HU"/>
        </w:rPr>
        <w:t>velpataszvir</w:t>
      </w:r>
      <w:proofErr w:type="spellEnd"/>
      <w:r>
        <w:rPr>
          <w:lang w:val="hu-HU"/>
        </w:rPr>
        <w:t>/</w:t>
      </w:r>
      <w:proofErr w:type="spellStart"/>
      <w:r>
        <w:rPr>
          <w:lang w:val="hu-HU"/>
        </w:rPr>
        <w:t>voxilaprevir</w:t>
      </w:r>
      <w:proofErr w:type="spellEnd"/>
      <w:r>
        <w:rPr>
          <w:lang w:val="hu-HU"/>
        </w:rPr>
        <w:t xml:space="preserve"> kombinációjával kezelnek (lásd 4.5. pont).</w:t>
      </w:r>
    </w:p>
    <w:p w14:paraId="30FBCD5D" w14:textId="77777777" w:rsidR="007963F8" w:rsidRDefault="008714EA">
      <w:pPr>
        <w:widowControl w:val="0"/>
        <w:numPr>
          <w:ilvl w:val="0"/>
          <w:numId w:val="18"/>
        </w:numPr>
        <w:tabs>
          <w:tab w:val="clear" w:pos="283"/>
          <w:tab w:val="num" w:pos="567"/>
          <w:tab w:val="left" w:pos="2122"/>
        </w:tabs>
        <w:suppressAutoHyphens/>
        <w:ind w:left="567" w:hanging="567"/>
        <w:rPr>
          <w:szCs w:val="22"/>
          <w:lang w:val="hu-HU"/>
        </w:rPr>
      </w:pPr>
      <w:r>
        <w:rPr>
          <w:szCs w:val="22"/>
          <w:lang w:val="hu-HU"/>
        </w:rPr>
        <w:t xml:space="preserve">Egyidejű </w:t>
      </w:r>
      <w:proofErr w:type="spellStart"/>
      <w:r>
        <w:rPr>
          <w:szCs w:val="22"/>
          <w:lang w:val="hu-HU"/>
        </w:rPr>
        <w:t>ciklosporin</w:t>
      </w:r>
      <w:proofErr w:type="spellEnd"/>
      <w:r>
        <w:rPr>
          <w:szCs w:val="22"/>
          <w:lang w:val="hu-HU"/>
        </w:rPr>
        <w:t>-kezelés.</w:t>
      </w:r>
    </w:p>
    <w:p w14:paraId="47022F71" w14:textId="77777777" w:rsidR="007963F8" w:rsidRDefault="008714EA">
      <w:pPr>
        <w:widowControl w:val="0"/>
        <w:numPr>
          <w:ilvl w:val="0"/>
          <w:numId w:val="18"/>
        </w:numPr>
        <w:tabs>
          <w:tab w:val="clear" w:pos="283"/>
          <w:tab w:val="num" w:pos="567"/>
        </w:tabs>
        <w:suppressAutoHyphens/>
        <w:ind w:left="567" w:hanging="567"/>
        <w:rPr>
          <w:szCs w:val="22"/>
        </w:rPr>
      </w:pPr>
      <w:r>
        <w:rPr>
          <w:szCs w:val="22"/>
        </w:rPr>
        <w:t>Terhesség és szoptatás ideje alatt, illetve, ha a fertilis korban lévő nő nem védekezik megfelelő fogamzásgátló módszerrel.</w:t>
      </w:r>
    </w:p>
    <w:p w14:paraId="39E2E6E8" w14:textId="77777777" w:rsidR="007963F8" w:rsidRDefault="008714EA">
      <w:pPr>
        <w:widowControl w:val="0"/>
        <w:numPr>
          <w:ilvl w:val="0"/>
          <w:numId w:val="18"/>
        </w:numPr>
        <w:tabs>
          <w:tab w:val="clear" w:pos="283"/>
          <w:tab w:val="num" w:pos="567"/>
          <w:tab w:val="left" w:pos="2122"/>
        </w:tabs>
        <w:suppressAutoHyphens/>
        <w:ind w:left="567" w:hanging="567"/>
        <w:rPr>
          <w:szCs w:val="22"/>
          <w:lang w:val="hu-HU"/>
        </w:rPr>
      </w:pPr>
      <w:r>
        <w:rPr>
          <w:szCs w:val="22"/>
          <w:lang w:val="hu-HU"/>
        </w:rPr>
        <w:t xml:space="preserve">Súlyos májkárosodás, </w:t>
      </w:r>
      <w:proofErr w:type="spellStart"/>
      <w:r>
        <w:rPr>
          <w:szCs w:val="22"/>
          <w:lang w:val="hu-HU"/>
        </w:rPr>
        <w:t>biliaris</w:t>
      </w:r>
      <w:proofErr w:type="spellEnd"/>
      <w:r>
        <w:rPr>
          <w:szCs w:val="22"/>
          <w:lang w:val="hu-HU"/>
        </w:rPr>
        <w:t xml:space="preserve"> </w:t>
      </w:r>
      <w:proofErr w:type="spellStart"/>
      <w:r>
        <w:rPr>
          <w:szCs w:val="22"/>
          <w:lang w:val="hu-HU"/>
        </w:rPr>
        <w:t>cirrhosis</w:t>
      </w:r>
      <w:proofErr w:type="spellEnd"/>
      <w:r>
        <w:rPr>
          <w:szCs w:val="22"/>
          <w:lang w:val="hu-HU"/>
        </w:rPr>
        <w:t xml:space="preserve"> és </w:t>
      </w:r>
      <w:proofErr w:type="spellStart"/>
      <w:r>
        <w:rPr>
          <w:szCs w:val="22"/>
          <w:lang w:val="hu-HU"/>
        </w:rPr>
        <w:t>cholestasis</w:t>
      </w:r>
      <w:proofErr w:type="spellEnd"/>
      <w:r>
        <w:rPr>
          <w:szCs w:val="22"/>
          <w:lang w:val="hu-HU"/>
        </w:rPr>
        <w:t>.</w:t>
      </w:r>
    </w:p>
    <w:p w14:paraId="50C1187D" w14:textId="77777777" w:rsidR="007963F8" w:rsidRDefault="008714EA">
      <w:pPr>
        <w:pStyle w:val="Szvegtrzs"/>
        <w:numPr>
          <w:ilvl w:val="0"/>
          <w:numId w:val="18"/>
        </w:numPr>
        <w:tabs>
          <w:tab w:val="clear" w:pos="283"/>
          <w:tab w:val="clear" w:pos="8505"/>
          <w:tab w:val="num" w:pos="567"/>
          <w:tab w:val="left" w:pos="2122"/>
        </w:tabs>
        <w:suppressAutoHyphens/>
        <w:ind w:left="567" w:right="0" w:hanging="567"/>
        <w:rPr>
          <w:szCs w:val="22"/>
        </w:rPr>
      </w:pPr>
      <w:r>
        <w:rPr>
          <w:szCs w:val="22"/>
        </w:rPr>
        <w:t>A valzartán egyidejű alkalmazása aliszkiréntartalmú készítményekkel ellenjavallt diabetes mellitusban szenvedő vagy károsodott veseműködésű betegeknél (GFR &lt; 60 ml/perc/1,73 m</w:t>
      </w:r>
      <w:r>
        <w:rPr>
          <w:szCs w:val="22"/>
          <w:vertAlign w:val="superscript"/>
        </w:rPr>
        <w:t>2</w:t>
      </w:r>
      <w:r>
        <w:rPr>
          <w:szCs w:val="22"/>
        </w:rPr>
        <w:t>) (lásd 4.5 és 5.1 pont).</w:t>
      </w:r>
    </w:p>
    <w:p w14:paraId="1AD554D2" w14:textId="77777777" w:rsidR="007963F8" w:rsidRDefault="007963F8">
      <w:pPr>
        <w:rPr>
          <w:b/>
          <w:szCs w:val="22"/>
          <w:lang w:val="hu-HU"/>
        </w:rPr>
      </w:pPr>
    </w:p>
    <w:p w14:paraId="0523B4DD" w14:textId="77777777" w:rsidR="007963F8" w:rsidRDefault="008714EA">
      <w:pPr>
        <w:rPr>
          <w:b/>
          <w:szCs w:val="22"/>
          <w:lang w:val="hu-HU"/>
        </w:rPr>
      </w:pPr>
      <w:r>
        <w:rPr>
          <w:b/>
          <w:szCs w:val="22"/>
          <w:lang w:val="hu-HU"/>
        </w:rPr>
        <w:t>4.4</w:t>
      </w:r>
      <w:r>
        <w:rPr>
          <w:b/>
          <w:szCs w:val="22"/>
          <w:lang w:val="hu-HU"/>
        </w:rPr>
        <w:tab/>
        <w:t>Különleges figyelmeztetések és az alkalmazással kapcsolatos óvintézkedések</w:t>
      </w:r>
    </w:p>
    <w:p w14:paraId="45DE3B15" w14:textId="77777777" w:rsidR="007963F8" w:rsidRDefault="007963F8">
      <w:pPr>
        <w:rPr>
          <w:szCs w:val="22"/>
          <w:lang w:val="hu-HU"/>
        </w:rPr>
      </w:pPr>
    </w:p>
    <w:p w14:paraId="798D6254" w14:textId="77777777" w:rsidR="007963F8" w:rsidRDefault="008714EA">
      <w:pPr>
        <w:numPr>
          <w:ilvl w:val="0"/>
          <w:numId w:val="7"/>
        </w:numPr>
        <w:rPr>
          <w:szCs w:val="22"/>
          <w:u w:val="single"/>
        </w:rPr>
      </w:pPr>
      <w:r>
        <w:rPr>
          <w:szCs w:val="22"/>
          <w:u w:val="single"/>
        </w:rPr>
        <w:t>Vesére gyakorolt hatások</w:t>
      </w:r>
    </w:p>
    <w:p w14:paraId="40021837" w14:textId="77777777" w:rsidR="007963F8" w:rsidRDefault="008714EA">
      <w:pPr>
        <w:numPr>
          <w:ilvl w:val="0"/>
          <w:numId w:val="7"/>
        </w:numPr>
        <w:rPr>
          <w:szCs w:val="22"/>
        </w:rPr>
      </w:pPr>
      <w:r>
        <w:rPr>
          <w:szCs w:val="22"/>
        </w:rPr>
        <w:t>Magasabb rozuvasztatin dózissal, különösen a 40 mg-os adaggal kezelt betegeknél tesztcsík vizsgálattal kimutatott, főleg tubuláris eredetű proteinuriát figyeltek meg, ami a legtöbb esetben átmeneti volt vagy csak időszakosan jelentkezett. A proteinuria nem feltétlenül jelzi akut vagy súlyosbodó vesebetegség kialakulását (lásd 4.8 pont). A posztmarketing alkalmazás során a vesét érintő, súlyos események jelentési gyakorisága magasabb a 40 mg dózis alkalmazása mellett. A 30 mg-os és 40 mg-os dózissal kezelt betegek rutin követése során a vesefunkció ellenőrzése megfontolandó.</w:t>
      </w:r>
    </w:p>
    <w:p w14:paraId="2B67DECF" w14:textId="77777777" w:rsidR="007963F8" w:rsidRDefault="007963F8">
      <w:pPr>
        <w:numPr>
          <w:ilvl w:val="0"/>
          <w:numId w:val="7"/>
        </w:numPr>
        <w:rPr>
          <w:szCs w:val="22"/>
        </w:rPr>
      </w:pPr>
    </w:p>
    <w:p w14:paraId="4ADB6318" w14:textId="77777777" w:rsidR="007963F8" w:rsidRDefault="008714EA">
      <w:pPr>
        <w:numPr>
          <w:ilvl w:val="0"/>
          <w:numId w:val="7"/>
        </w:numPr>
        <w:rPr>
          <w:szCs w:val="22"/>
        </w:rPr>
      </w:pPr>
      <w:r>
        <w:rPr>
          <w:szCs w:val="22"/>
        </w:rPr>
        <w:t xml:space="preserve">Azoknál a </w:t>
      </w:r>
      <w:r>
        <w:rPr>
          <w:szCs w:val="22"/>
          <w:lang w:bidi="th-TH"/>
        </w:rPr>
        <w:t>betegeknél, akiknek a kreatinin</w:t>
      </w:r>
      <w:r>
        <w:rPr>
          <w:szCs w:val="22"/>
          <w:lang w:bidi="th-TH"/>
        </w:rPr>
        <w:noBreakHyphen/>
        <w:t>clearance</w:t>
      </w:r>
      <w:r>
        <w:rPr>
          <w:szCs w:val="22"/>
          <w:lang w:bidi="th-TH"/>
        </w:rPr>
        <w:noBreakHyphen/>
        <w:t xml:space="preserve">e &lt; 10 ml/perc, valamint a dialízis alatt álló betegeknél </w:t>
      </w:r>
      <w:r>
        <w:rPr>
          <w:szCs w:val="22"/>
        </w:rPr>
        <w:t xml:space="preserve">jelenleg nincs a biztonságos alkalmazásra vonatkozó tapasztalat, ezért a valzartánt ezeknél </w:t>
      </w:r>
      <w:r>
        <w:rPr>
          <w:szCs w:val="22"/>
        </w:rPr>
        <w:lastRenderedPageBreak/>
        <w:t>a betegeknél óvatosan kell alkalmazni.</w:t>
      </w:r>
      <w:r>
        <w:rPr>
          <w:bCs/>
          <w:szCs w:val="22"/>
        </w:rPr>
        <w:t xml:space="preserve"> Nem szükséges a dózis módosítása azoknál a felnőtt betegeknél, akik kreatinin</w:t>
      </w:r>
      <w:r>
        <w:rPr>
          <w:bCs/>
          <w:szCs w:val="22"/>
        </w:rPr>
        <w:noBreakHyphen/>
        <w:t>clearance</w:t>
      </w:r>
      <w:r>
        <w:rPr>
          <w:bCs/>
          <w:szCs w:val="22"/>
        </w:rPr>
        <w:noBreakHyphen/>
        <w:t xml:space="preserve">e </w:t>
      </w:r>
      <w:r>
        <w:rPr>
          <w:szCs w:val="22"/>
        </w:rPr>
        <w:t>&gt; 10 ml/perc (lásd 4.2 és 5.2 pont).</w:t>
      </w:r>
    </w:p>
    <w:p w14:paraId="5D757CE3" w14:textId="77777777" w:rsidR="007963F8" w:rsidRDefault="008714EA">
      <w:pPr>
        <w:numPr>
          <w:ilvl w:val="0"/>
          <w:numId w:val="7"/>
        </w:numPr>
        <w:rPr>
          <w:szCs w:val="22"/>
        </w:rPr>
      </w:pPr>
      <w:r>
        <w:rPr>
          <w:szCs w:val="22"/>
        </w:rPr>
        <w:t>Az angiotenzin-receptor-antagonisták – beleértve a valzartánt – vagy ACE-gátlók aliszkirénnel történő egyidejű alkalmazása vesekárosodásban szenvedő betegeknél (GFR &lt; 60 ml/perc/1,73 m</w:t>
      </w:r>
      <w:r>
        <w:rPr>
          <w:szCs w:val="22"/>
          <w:vertAlign w:val="superscript"/>
        </w:rPr>
        <w:t>2</w:t>
      </w:r>
      <w:r>
        <w:rPr>
          <w:szCs w:val="22"/>
        </w:rPr>
        <w:t>) ellenjavallt (lásd 4.3 és 4.5 pont).</w:t>
      </w:r>
    </w:p>
    <w:p w14:paraId="7F450340" w14:textId="77777777" w:rsidR="007963F8" w:rsidRDefault="007963F8">
      <w:pPr>
        <w:widowControl w:val="0"/>
        <w:tabs>
          <w:tab w:val="left" w:pos="567"/>
          <w:tab w:val="left" w:pos="2122"/>
        </w:tabs>
        <w:suppressAutoHyphens/>
        <w:rPr>
          <w:szCs w:val="22"/>
          <w:lang w:val="hu-HU"/>
        </w:rPr>
      </w:pPr>
    </w:p>
    <w:p w14:paraId="159AB8F2" w14:textId="77777777" w:rsidR="007963F8" w:rsidRDefault="008714EA">
      <w:pPr>
        <w:rPr>
          <w:szCs w:val="22"/>
          <w:u w:val="single"/>
          <w:lang w:val="hu-HU"/>
        </w:rPr>
      </w:pPr>
      <w:r>
        <w:rPr>
          <w:szCs w:val="22"/>
          <w:u w:val="single"/>
          <w:lang w:val="hu-HU"/>
        </w:rPr>
        <w:t xml:space="preserve">A </w:t>
      </w:r>
      <w:proofErr w:type="spellStart"/>
      <w:r>
        <w:rPr>
          <w:szCs w:val="22"/>
          <w:u w:val="single"/>
          <w:lang w:val="hu-HU"/>
        </w:rPr>
        <w:t>renin-angiotenzin-aldoszteron</w:t>
      </w:r>
      <w:proofErr w:type="spellEnd"/>
      <w:r>
        <w:rPr>
          <w:szCs w:val="22"/>
          <w:u w:val="single"/>
          <w:lang w:val="hu-HU"/>
        </w:rPr>
        <w:t xml:space="preserve"> rendszer (RAAS) kettős blokádja</w:t>
      </w:r>
    </w:p>
    <w:p w14:paraId="6BB5D7C8" w14:textId="77777777" w:rsidR="007963F8" w:rsidRDefault="008714EA">
      <w:pPr>
        <w:rPr>
          <w:szCs w:val="22"/>
        </w:rPr>
      </w:pPr>
      <w:r>
        <w:rPr>
          <w:szCs w:val="22"/>
        </w:rPr>
        <w:t>Bizonyíték van rá, hogy az ACE-gátlók, angiotenzin II receptor-blokkolók vagy aliszkirén egyidejű alkalmazása fokozza a hypotonia, hyperkalaemia és csökkent veseműködés (beleértve az akut veseelégtelenség) kockázatát. A RAAS ACE-gátlók, angiotenzin II receptor-blokkolók vagy aliszkirén kombinált alkalmazásával történő kettős blokádja ezért nem javasolt (lásd 4.5 és 5.1 pont).</w:t>
      </w:r>
    </w:p>
    <w:p w14:paraId="3A23F284" w14:textId="77777777" w:rsidR="007963F8" w:rsidRDefault="008714EA">
      <w:pPr>
        <w:rPr>
          <w:szCs w:val="22"/>
        </w:rPr>
      </w:pPr>
      <w:r>
        <w:rPr>
          <w:szCs w:val="22"/>
        </w:rPr>
        <w:t>Ha a kettősblokád-kezelést abszolút szükségesnek ítélik, ez csak szakorvos felügyeletével, a vesefunkció, az elektrolitszintek és a vérnyomás gyakori és szoros ellenőrzése mellett történhet.</w:t>
      </w:r>
    </w:p>
    <w:p w14:paraId="101B8A4C" w14:textId="77777777" w:rsidR="007963F8" w:rsidRDefault="008714EA">
      <w:pPr>
        <w:rPr>
          <w:i/>
          <w:iCs/>
          <w:szCs w:val="22"/>
          <w:u w:val="single"/>
        </w:rPr>
      </w:pPr>
      <w:r>
        <w:rPr>
          <w:szCs w:val="22"/>
        </w:rPr>
        <w:t>Az ACE-gátlók és angiotenzin II receptor-blokkolók egyidejű alkalmazása diabeteses nephropathiában szenvedő betegeknél nem javasolt.</w:t>
      </w:r>
    </w:p>
    <w:p w14:paraId="0B953F02" w14:textId="77777777" w:rsidR="007963F8" w:rsidRDefault="007963F8">
      <w:pPr>
        <w:rPr>
          <w:szCs w:val="22"/>
          <w:lang w:val="hu-HU"/>
        </w:rPr>
      </w:pPr>
    </w:p>
    <w:p w14:paraId="779EE872" w14:textId="77777777" w:rsidR="007963F8" w:rsidRDefault="008714EA">
      <w:pPr>
        <w:tabs>
          <w:tab w:val="left" w:pos="567"/>
        </w:tabs>
        <w:rPr>
          <w:iCs/>
          <w:szCs w:val="22"/>
          <w:u w:val="single"/>
        </w:rPr>
      </w:pPr>
      <w:r>
        <w:rPr>
          <w:iCs/>
          <w:szCs w:val="22"/>
          <w:u w:val="single"/>
        </w:rPr>
        <w:t>Arteria renalis stenosis</w:t>
      </w:r>
    </w:p>
    <w:p w14:paraId="26484A83" w14:textId="77777777" w:rsidR="007963F8" w:rsidRDefault="008714EA">
      <w:pPr>
        <w:tabs>
          <w:tab w:val="left" w:pos="567"/>
        </w:tabs>
        <w:rPr>
          <w:szCs w:val="22"/>
        </w:rPr>
      </w:pPr>
      <w:r>
        <w:rPr>
          <w:szCs w:val="22"/>
        </w:rPr>
        <w:t xml:space="preserve">Kétoldali arteria renalis stenosisban vagy egyoldali stenosisban szenvedő betegeknél a valzartán biztonságos alkalmazhatóságát nem igazolták. </w:t>
      </w:r>
    </w:p>
    <w:p w14:paraId="3E5F490C" w14:textId="77777777" w:rsidR="007963F8" w:rsidRDefault="008714EA">
      <w:pPr>
        <w:tabs>
          <w:tab w:val="left" w:pos="567"/>
        </w:tabs>
        <w:rPr>
          <w:szCs w:val="22"/>
        </w:rPr>
      </w:pPr>
      <w:r>
        <w:rPr>
          <w:szCs w:val="22"/>
        </w:rPr>
        <w:t>Egyoldali arteria renalis stenosis következtében kialakult renovascularis hypertoniában szenvedő 12 betegnél a valzartán rövid ideig történő alkalmazása nem idézett elő semmilyen jelentős változást a vese hemodinamikájában, a szérum kreatinin- vagy karbamid-nitrogén-szintben (BUN). Azonban, mivel az egyoldali arteria renalis stenosisban szenvedő betegeknél a renin-angiotenzin-aldoszteron rendszerre ható egyéb gyógyszerek növelhetik a szérum karbamid- és kreatininszintet, a betegek valzartánnal való kezelésekor ajánlott monitorozni a vesefunkció-értékeket.</w:t>
      </w:r>
    </w:p>
    <w:p w14:paraId="688239CF" w14:textId="77777777" w:rsidR="007963F8" w:rsidRDefault="007963F8">
      <w:pPr>
        <w:rPr>
          <w:szCs w:val="22"/>
          <w:lang w:val="hu-HU"/>
        </w:rPr>
      </w:pPr>
    </w:p>
    <w:p w14:paraId="66F09BFB" w14:textId="77777777" w:rsidR="007963F8" w:rsidRDefault="008714EA">
      <w:pPr>
        <w:widowControl w:val="0"/>
        <w:rPr>
          <w:szCs w:val="22"/>
          <w:u w:val="single"/>
          <w:lang w:val="hu-HU" w:eastAsia="en-US"/>
        </w:rPr>
      </w:pPr>
      <w:r>
        <w:rPr>
          <w:szCs w:val="22"/>
          <w:u w:val="single"/>
          <w:lang w:val="hu-HU" w:eastAsia="en-US"/>
        </w:rPr>
        <w:t>Veseátültetés</w:t>
      </w:r>
    </w:p>
    <w:p w14:paraId="379CC799" w14:textId="77777777" w:rsidR="007963F8" w:rsidRDefault="008714EA">
      <w:pPr>
        <w:tabs>
          <w:tab w:val="left" w:pos="567"/>
        </w:tabs>
        <w:rPr>
          <w:szCs w:val="22"/>
        </w:rPr>
      </w:pPr>
      <w:r>
        <w:rPr>
          <w:szCs w:val="22"/>
        </w:rPr>
        <w:t>Jelenleg nincs tapasztalat a valzartán veseátültetésen átesett betegeknél való biztonságos alkalmazására vonatkozóan.</w:t>
      </w:r>
    </w:p>
    <w:p w14:paraId="14A20323" w14:textId="77777777" w:rsidR="007963F8" w:rsidRDefault="007963F8">
      <w:pPr>
        <w:tabs>
          <w:tab w:val="left" w:pos="567"/>
        </w:tabs>
        <w:rPr>
          <w:szCs w:val="22"/>
          <w:lang w:val="hu-HU"/>
        </w:rPr>
      </w:pPr>
    </w:p>
    <w:p w14:paraId="265F254A" w14:textId="77777777" w:rsidR="007963F8" w:rsidRDefault="008714EA">
      <w:pPr>
        <w:pStyle w:val="NoSpacing1"/>
        <w:rPr>
          <w:rFonts w:ascii="Times New Roman" w:hAnsi="Times New Roman"/>
          <w:u w:val="single"/>
          <w:lang w:val="hu-HU"/>
        </w:rPr>
      </w:pPr>
      <w:proofErr w:type="spellStart"/>
      <w:r>
        <w:rPr>
          <w:rFonts w:ascii="Times New Roman" w:hAnsi="Times New Roman"/>
          <w:u w:val="single"/>
          <w:lang w:val="hu-HU"/>
        </w:rPr>
        <w:t>Intestinalis</w:t>
      </w:r>
      <w:proofErr w:type="spellEnd"/>
      <w:r>
        <w:rPr>
          <w:rFonts w:ascii="Times New Roman" w:hAnsi="Times New Roman"/>
          <w:u w:val="single"/>
          <w:lang w:val="hu-HU"/>
        </w:rPr>
        <w:t xml:space="preserve"> </w:t>
      </w:r>
      <w:proofErr w:type="spellStart"/>
      <w:r>
        <w:rPr>
          <w:rFonts w:ascii="Times New Roman" w:hAnsi="Times New Roman"/>
          <w:u w:val="single"/>
          <w:lang w:val="hu-HU"/>
        </w:rPr>
        <w:t>angiooedema</w:t>
      </w:r>
      <w:proofErr w:type="spellEnd"/>
    </w:p>
    <w:p w14:paraId="2B265DFA" w14:textId="77777777" w:rsidR="007963F8" w:rsidRDefault="008714EA">
      <w:pPr>
        <w:tabs>
          <w:tab w:val="left" w:pos="567"/>
        </w:tabs>
        <w:rPr>
          <w:lang w:val="hu-HU"/>
        </w:rPr>
      </w:pPr>
      <w:proofErr w:type="spellStart"/>
      <w:r>
        <w:rPr>
          <w:lang w:val="hu-HU"/>
        </w:rPr>
        <w:t>Intestinalis</w:t>
      </w:r>
      <w:proofErr w:type="spellEnd"/>
      <w:r>
        <w:rPr>
          <w:lang w:val="hu-HU"/>
        </w:rPr>
        <w:t xml:space="preserve"> </w:t>
      </w:r>
      <w:proofErr w:type="spellStart"/>
      <w:r>
        <w:rPr>
          <w:lang w:val="hu-HU"/>
        </w:rPr>
        <w:t>angiooedemáról</w:t>
      </w:r>
      <w:proofErr w:type="spellEnd"/>
      <w:r>
        <w:rPr>
          <w:lang w:val="hu-HU"/>
        </w:rPr>
        <w:t xml:space="preserve"> számoltak be </w:t>
      </w:r>
      <w:proofErr w:type="spellStart"/>
      <w:r>
        <w:rPr>
          <w:lang w:val="hu-HU"/>
        </w:rPr>
        <w:t>angiotenzin</w:t>
      </w:r>
      <w:proofErr w:type="spellEnd"/>
      <w:r>
        <w:rPr>
          <w:lang w:val="hu-HU"/>
        </w:rPr>
        <w:t xml:space="preserve"> II-receptor-blokkolóval (többek között a </w:t>
      </w:r>
      <w:proofErr w:type="spellStart"/>
      <w:r>
        <w:rPr>
          <w:lang w:val="hu-HU"/>
        </w:rPr>
        <w:t>valzartánnal</w:t>
      </w:r>
      <w:proofErr w:type="spellEnd"/>
      <w:r>
        <w:rPr>
          <w:lang w:val="hu-HU"/>
        </w:rPr>
        <w:t xml:space="preserve">) kezelt betegek esetében (lásd 4.8 pont). Ezeknél a betegeknél </w:t>
      </w:r>
      <w:proofErr w:type="spellStart"/>
      <w:r>
        <w:rPr>
          <w:lang w:val="hu-HU"/>
        </w:rPr>
        <w:t>abdominalis</w:t>
      </w:r>
      <w:proofErr w:type="spellEnd"/>
      <w:r>
        <w:rPr>
          <w:lang w:val="hu-HU"/>
        </w:rPr>
        <w:t xml:space="preserve"> fájdalom, hányinger, hányás és hasmenés jelentkezett. A tünetek az </w:t>
      </w:r>
      <w:proofErr w:type="spellStart"/>
      <w:r>
        <w:rPr>
          <w:lang w:val="hu-HU"/>
        </w:rPr>
        <w:t>angiotenzin</w:t>
      </w:r>
      <w:proofErr w:type="spellEnd"/>
      <w:r>
        <w:rPr>
          <w:lang w:val="hu-HU"/>
        </w:rPr>
        <w:t xml:space="preserve"> II-receptor-blokkolóval végzett kezelés leállítása után megszűntek. Amennyiben </w:t>
      </w:r>
      <w:proofErr w:type="spellStart"/>
      <w:r>
        <w:rPr>
          <w:lang w:val="hu-HU"/>
        </w:rPr>
        <w:t>intestinalis</w:t>
      </w:r>
      <w:proofErr w:type="spellEnd"/>
      <w:r>
        <w:rPr>
          <w:lang w:val="hu-HU"/>
        </w:rPr>
        <w:t xml:space="preserve"> </w:t>
      </w:r>
      <w:proofErr w:type="spellStart"/>
      <w:r>
        <w:rPr>
          <w:lang w:val="hu-HU"/>
        </w:rPr>
        <w:t>angiooedemát</w:t>
      </w:r>
      <w:proofErr w:type="spellEnd"/>
      <w:r>
        <w:rPr>
          <w:lang w:val="hu-HU"/>
        </w:rPr>
        <w:t xml:space="preserve"> diagnosztizálnak, a </w:t>
      </w:r>
      <w:proofErr w:type="spellStart"/>
      <w:r>
        <w:rPr>
          <w:lang w:val="hu-HU"/>
        </w:rPr>
        <w:t>valzartán</w:t>
      </w:r>
      <w:proofErr w:type="spellEnd"/>
      <w:r>
        <w:rPr>
          <w:lang w:val="hu-HU"/>
        </w:rPr>
        <w:t xml:space="preserve">-kezelést le kell állítani, és a beteget megfelelően </w:t>
      </w:r>
      <w:proofErr w:type="spellStart"/>
      <w:r>
        <w:rPr>
          <w:lang w:val="hu-HU"/>
        </w:rPr>
        <w:t>monitorozni</w:t>
      </w:r>
      <w:proofErr w:type="spellEnd"/>
      <w:r>
        <w:rPr>
          <w:lang w:val="hu-HU"/>
        </w:rPr>
        <w:t xml:space="preserve"> kell mindaddig, amíg a tünetek teljes mértékben meg nem szűnnek.</w:t>
      </w:r>
    </w:p>
    <w:p w14:paraId="79F00E58" w14:textId="77777777" w:rsidR="007963F8" w:rsidRDefault="007963F8">
      <w:pPr>
        <w:tabs>
          <w:tab w:val="left" w:pos="567"/>
        </w:tabs>
        <w:rPr>
          <w:szCs w:val="22"/>
          <w:lang w:val="hu-HU"/>
        </w:rPr>
      </w:pPr>
    </w:p>
    <w:p w14:paraId="09632D99" w14:textId="77777777" w:rsidR="007963F8" w:rsidRDefault="008714EA">
      <w:pPr>
        <w:tabs>
          <w:tab w:val="left" w:pos="567"/>
        </w:tabs>
        <w:rPr>
          <w:szCs w:val="22"/>
          <w:u w:val="single"/>
          <w:lang w:val="hu-HU"/>
        </w:rPr>
      </w:pPr>
      <w:proofErr w:type="spellStart"/>
      <w:r>
        <w:rPr>
          <w:szCs w:val="22"/>
          <w:u w:val="single"/>
          <w:lang w:val="hu-HU"/>
        </w:rPr>
        <w:t>Hyperkalaemia</w:t>
      </w:r>
      <w:proofErr w:type="spellEnd"/>
    </w:p>
    <w:p w14:paraId="3CD90227" w14:textId="77777777" w:rsidR="007963F8" w:rsidRDefault="008714EA">
      <w:pPr>
        <w:tabs>
          <w:tab w:val="left" w:pos="567"/>
        </w:tabs>
        <w:rPr>
          <w:szCs w:val="22"/>
        </w:rPr>
      </w:pPr>
      <w:r>
        <w:rPr>
          <w:szCs w:val="22"/>
        </w:rPr>
        <w:t>Egyidejű adása káliumpótló készítményekkel, kálium-megtakarító diuretikumokkal, káliumtartalmú sópótlókkal vagy egyéb szerekkel, amelyek növelhetik a káliumszintet (heparin, stb.), nem ajánlott. Az esettől függően a káliumszintet monitorozni kell.</w:t>
      </w:r>
    </w:p>
    <w:p w14:paraId="6C345527" w14:textId="77777777" w:rsidR="007963F8" w:rsidRDefault="007963F8">
      <w:pPr>
        <w:tabs>
          <w:tab w:val="left" w:pos="567"/>
        </w:tabs>
        <w:rPr>
          <w:szCs w:val="22"/>
          <w:lang w:val="hu-HU"/>
        </w:rPr>
      </w:pPr>
    </w:p>
    <w:p w14:paraId="2EB3A1D8" w14:textId="77777777" w:rsidR="007963F8" w:rsidRDefault="008714EA">
      <w:pPr>
        <w:tabs>
          <w:tab w:val="left" w:pos="567"/>
        </w:tabs>
        <w:rPr>
          <w:szCs w:val="22"/>
          <w:u w:val="single"/>
          <w:lang w:val="hu-HU"/>
        </w:rPr>
      </w:pPr>
      <w:r>
        <w:rPr>
          <w:szCs w:val="22"/>
          <w:u w:val="single"/>
          <w:lang w:val="hu-HU"/>
        </w:rPr>
        <w:t>Nátrium- és/vagy volumenhiányos betegek</w:t>
      </w:r>
    </w:p>
    <w:p w14:paraId="3C54ABDE" w14:textId="77777777" w:rsidR="007963F8" w:rsidRDefault="008714EA">
      <w:pPr>
        <w:tabs>
          <w:tab w:val="left" w:pos="567"/>
        </w:tabs>
        <w:rPr>
          <w:szCs w:val="22"/>
          <w:lang w:val="hu-HU"/>
        </w:rPr>
      </w:pPr>
      <w:r>
        <w:rPr>
          <w:spacing w:val="-2"/>
          <w:szCs w:val="22"/>
          <w:lang w:val="hu-HU"/>
        </w:rPr>
        <w:t xml:space="preserve">Súlyos nátrium- és/vagy volumenhiányos (pl. nagy dózisú </w:t>
      </w:r>
      <w:proofErr w:type="spellStart"/>
      <w:r>
        <w:rPr>
          <w:spacing w:val="-2"/>
          <w:szCs w:val="22"/>
          <w:lang w:val="hu-HU"/>
        </w:rPr>
        <w:t>diuretikum</w:t>
      </w:r>
      <w:proofErr w:type="spellEnd"/>
      <w:r>
        <w:rPr>
          <w:spacing w:val="-2"/>
          <w:szCs w:val="22"/>
          <w:lang w:val="hu-HU"/>
        </w:rPr>
        <w:t xml:space="preserve"> kezelésben részesülő) betegeknél</w:t>
      </w:r>
      <w:r>
        <w:rPr>
          <w:szCs w:val="22"/>
          <w:lang w:val="hu-HU"/>
        </w:rPr>
        <w:t xml:space="preserve"> ritkán felléphet tüneteket okozó </w:t>
      </w:r>
      <w:proofErr w:type="spellStart"/>
      <w:r>
        <w:rPr>
          <w:szCs w:val="22"/>
          <w:lang w:val="hu-HU"/>
        </w:rPr>
        <w:t>hypotonia</w:t>
      </w:r>
      <w:proofErr w:type="spellEnd"/>
      <w:r>
        <w:rPr>
          <w:szCs w:val="22"/>
          <w:lang w:val="hu-HU"/>
        </w:rPr>
        <w:t xml:space="preserve"> a </w:t>
      </w:r>
      <w:proofErr w:type="spellStart"/>
      <w:r>
        <w:rPr>
          <w:szCs w:val="22"/>
          <w:lang w:val="hu-HU"/>
        </w:rPr>
        <w:t>valzartán</w:t>
      </w:r>
      <w:proofErr w:type="spellEnd"/>
      <w:r>
        <w:rPr>
          <w:szCs w:val="22"/>
          <w:lang w:val="hu-HU"/>
        </w:rPr>
        <w:noBreakHyphen/>
        <w:t xml:space="preserve">kezelés megkezdésekor. A nátrium- és/vagy volumenhiányt a </w:t>
      </w:r>
      <w:proofErr w:type="spellStart"/>
      <w:r>
        <w:rPr>
          <w:szCs w:val="22"/>
          <w:lang w:val="hu-HU"/>
        </w:rPr>
        <w:t>valzartán</w:t>
      </w:r>
      <w:proofErr w:type="spellEnd"/>
      <w:r>
        <w:rPr>
          <w:szCs w:val="22"/>
          <w:lang w:val="hu-HU"/>
        </w:rPr>
        <w:t xml:space="preserve">-kezelés megkezdése előtt meg kell szüntetni, pl. a </w:t>
      </w:r>
      <w:proofErr w:type="spellStart"/>
      <w:r>
        <w:rPr>
          <w:szCs w:val="22"/>
          <w:lang w:val="hu-HU"/>
        </w:rPr>
        <w:t>diuretikum</w:t>
      </w:r>
      <w:proofErr w:type="spellEnd"/>
      <w:r>
        <w:rPr>
          <w:szCs w:val="22"/>
          <w:lang w:val="hu-HU"/>
        </w:rPr>
        <w:t xml:space="preserve"> dózisának csökkentésével.</w:t>
      </w:r>
    </w:p>
    <w:p w14:paraId="175239AB" w14:textId="77777777" w:rsidR="007963F8" w:rsidRDefault="007963F8">
      <w:pPr>
        <w:tabs>
          <w:tab w:val="left" w:pos="567"/>
        </w:tabs>
        <w:rPr>
          <w:szCs w:val="22"/>
          <w:lang w:val="hu-HU"/>
        </w:rPr>
      </w:pPr>
    </w:p>
    <w:p w14:paraId="487B1CAD" w14:textId="77777777" w:rsidR="007963F8" w:rsidRDefault="008714EA">
      <w:pPr>
        <w:rPr>
          <w:szCs w:val="22"/>
          <w:u w:val="single"/>
          <w:lang w:val="hu-HU"/>
        </w:rPr>
      </w:pPr>
      <w:r>
        <w:rPr>
          <w:szCs w:val="22"/>
          <w:u w:val="single"/>
          <w:lang w:val="hu-HU"/>
        </w:rPr>
        <w:t>A vázizomzatra kifejtett hatások</w:t>
      </w:r>
    </w:p>
    <w:p w14:paraId="36080498" w14:textId="77777777" w:rsidR="007963F8" w:rsidRDefault="008714EA">
      <w:pPr>
        <w:rPr>
          <w:szCs w:val="22"/>
        </w:rPr>
      </w:pPr>
      <w:r>
        <w:rPr>
          <w:szCs w:val="22"/>
        </w:rPr>
        <w:t>A vázizmok érintettségéről, pl. myalgia, myopathia és ritkán rhabdomyolysis, számoltak be a rozuvasztatinnal kezelt betegek esetében, bármely dózis, de különösen 20 mg-nál nagyobb adag alkalmazásakor. Rhabdomyolysis nagyon ritka eseteit jelentették ezetimib és HMG</w:t>
      </w:r>
      <w:r>
        <w:rPr>
          <w:szCs w:val="22"/>
        </w:rPr>
        <w:noBreakHyphen/>
        <w:t>CoA</w:t>
      </w:r>
      <w:r>
        <w:rPr>
          <w:szCs w:val="22"/>
        </w:rPr>
        <w:noBreakHyphen/>
        <w:t>reduktáz</w:t>
      </w:r>
      <w:r>
        <w:rPr>
          <w:szCs w:val="22"/>
        </w:rPr>
        <w:noBreakHyphen/>
        <w:t>inhibitorok kombinációjának alkalmazásakor. Mivel farmakodinámiás interakció lehetősége nem zárható ki (lásd 4.5 pont), ezért ezen szerek kombinációs alkalmazásakor óvatossággal kell eljárni.</w:t>
      </w:r>
    </w:p>
    <w:p w14:paraId="6CA51CB3" w14:textId="77777777" w:rsidR="007963F8" w:rsidRDefault="008714EA">
      <w:pPr>
        <w:rPr>
          <w:szCs w:val="22"/>
        </w:rPr>
      </w:pPr>
      <w:r>
        <w:rPr>
          <w:szCs w:val="22"/>
        </w:rPr>
        <w:lastRenderedPageBreak/>
        <w:t>Csakúgy, mint más HMG-CoA-reduktáz-inhibitor esetében, posztmarketing alkalmazás során, a rozuvasztatin adásával összefüggésbe hozható, jelentett rhabdomyolysis esetek gyakorisága a 40 mg dózis esetében</w:t>
      </w:r>
      <w:r>
        <w:rPr>
          <w:color w:val="FF6600"/>
          <w:szCs w:val="22"/>
        </w:rPr>
        <w:t xml:space="preserve"> </w:t>
      </w:r>
      <w:r>
        <w:rPr>
          <w:szCs w:val="22"/>
        </w:rPr>
        <w:t>magasabb.</w:t>
      </w:r>
    </w:p>
    <w:p w14:paraId="154AE4EF" w14:textId="77777777" w:rsidR="007963F8" w:rsidRDefault="007963F8">
      <w:pPr>
        <w:rPr>
          <w:szCs w:val="22"/>
        </w:rPr>
      </w:pPr>
    </w:p>
    <w:p w14:paraId="753D597F" w14:textId="77777777" w:rsidR="007963F8" w:rsidRDefault="008714EA">
      <w:pPr>
        <w:rPr>
          <w:i/>
          <w:iCs/>
          <w:szCs w:val="22"/>
          <w:lang w:val="hu-HU"/>
        </w:rPr>
      </w:pPr>
      <w:r>
        <w:rPr>
          <w:i/>
          <w:iCs/>
          <w:szCs w:val="22"/>
          <w:lang w:val="hu-HU"/>
        </w:rPr>
        <w:t>Kreatin-</w:t>
      </w:r>
      <w:proofErr w:type="spellStart"/>
      <w:r>
        <w:rPr>
          <w:i/>
          <w:iCs/>
          <w:szCs w:val="22"/>
          <w:lang w:val="hu-HU"/>
        </w:rPr>
        <w:t>kináz</w:t>
      </w:r>
      <w:proofErr w:type="spellEnd"/>
      <w:r>
        <w:rPr>
          <w:i/>
          <w:iCs/>
          <w:szCs w:val="22"/>
          <w:lang w:val="hu-HU"/>
        </w:rPr>
        <w:t xml:space="preserve"> mérése</w:t>
      </w:r>
    </w:p>
    <w:p w14:paraId="4D9F5193" w14:textId="77777777" w:rsidR="007963F8" w:rsidRDefault="008714EA">
      <w:pPr>
        <w:rPr>
          <w:szCs w:val="22"/>
        </w:rPr>
      </w:pPr>
      <w:r>
        <w:rPr>
          <w:szCs w:val="22"/>
        </w:rPr>
        <w:t>A kreatin-kinázt (CK) kimerítő edzést követően vagy a CK növekedésének egyéb kézenfekvő oka esetén nem javasolt mérni, mert a mérési eredmény értékelésében félrevezető lehet. Amennyiben a kiindulási CK-szintek szignifikánsan megemelkedtek (&gt; 5×ULN), 5-7 napon belül kontroll tesztet kell végezni. Ha az ismételt mérés az alap CK &gt; 5×ULN értékét erősíti meg, a kezelést nem szabad elkezdeni.</w:t>
      </w:r>
    </w:p>
    <w:p w14:paraId="740958BA" w14:textId="77777777" w:rsidR="007963F8" w:rsidRDefault="007963F8">
      <w:pPr>
        <w:widowControl w:val="0"/>
        <w:rPr>
          <w:szCs w:val="22"/>
          <w:lang w:val="hu-HU"/>
        </w:rPr>
      </w:pPr>
    </w:p>
    <w:p w14:paraId="259DE017" w14:textId="77777777" w:rsidR="007963F8" w:rsidRDefault="008714EA">
      <w:pPr>
        <w:rPr>
          <w:i/>
          <w:iCs/>
          <w:szCs w:val="22"/>
          <w:lang w:val="hu-HU"/>
        </w:rPr>
      </w:pPr>
      <w:r>
        <w:rPr>
          <w:i/>
          <w:iCs/>
          <w:szCs w:val="22"/>
          <w:lang w:val="hu-HU"/>
        </w:rPr>
        <w:t>A kezelés megkezdése előtt</w:t>
      </w:r>
    </w:p>
    <w:p w14:paraId="34AAAA66" w14:textId="77777777" w:rsidR="007963F8" w:rsidRDefault="008714EA">
      <w:pPr>
        <w:rPr>
          <w:szCs w:val="22"/>
          <w:lang w:val="hu-HU"/>
        </w:rPr>
      </w:pPr>
      <w:r>
        <w:rPr>
          <w:szCs w:val="22"/>
        </w:rPr>
        <w:t xml:space="preserve">A </w:t>
      </w:r>
      <w:proofErr w:type="spellStart"/>
      <w:r>
        <w:rPr>
          <w:szCs w:val="22"/>
          <w:lang w:val="hu-HU"/>
        </w:rPr>
        <w:t>Ravalsyo</w:t>
      </w:r>
      <w:proofErr w:type="spellEnd"/>
      <w:r>
        <w:rPr>
          <w:szCs w:val="22"/>
          <w:lang w:val="hu-HU"/>
        </w:rPr>
        <w:t>-t</w:t>
      </w:r>
      <w:r>
        <w:rPr>
          <w:szCs w:val="22"/>
        </w:rPr>
        <w:t xml:space="preserve"> csakúgy, mint más HMG-CoA-reduktáz-inhibitort csak elővigyázatossággal lehet felírni olyan betegeknek, akiknél myopathia/rhabdomyolysis kialakulására hajlamosító tényezők állnak fenn. Ezek a tényezők:</w:t>
      </w:r>
    </w:p>
    <w:p w14:paraId="1257CEF1" w14:textId="77777777" w:rsidR="007963F8" w:rsidRDefault="008714EA">
      <w:pPr>
        <w:widowControl w:val="0"/>
        <w:numPr>
          <w:ilvl w:val="0"/>
          <w:numId w:val="8"/>
        </w:numPr>
        <w:tabs>
          <w:tab w:val="clear" w:pos="720"/>
        </w:tabs>
        <w:suppressAutoHyphens/>
        <w:ind w:left="567" w:hanging="567"/>
        <w:rPr>
          <w:szCs w:val="22"/>
        </w:rPr>
      </w:pPr>
      <w:r>
        <w:rPr>
          <w:szCs w:val="22"/>
        </w:rPr>
        <w:t>vesekárosodás,</w:t>
      </w:r>
    </w:p>
    <w:p w14:paraId="4DAABCC1" w14:textId="77777777" w:rsidR="007963F8" w:rsidRDefault="008714EA">
      <w:pPr>
        <w:widowControl w:val="0"/>
        <w:numPr>
          <w:ilvl w:val="0"/>
          <w:numId w:val="8"/>
        </w:numPr>
        <w:tabs>
          <w:tab w:val="clear" w:pos="720"/>
        </w:tabs>
        <w:suppressAutoHyphens/>
        <w:ind w:left="567" w:hanging="567"/>
        <w:rPr>
          <w:szCs w:val="22"/>
        </w:rPr>
      </w:pPr>
      <w:r>
        <w:rPr>
          <w:szCs w:val="22"/>
        </w:rPr>
        <w:t>hypothyreosis,</w:t>
      </w:r>
    </w:p>
    <w:p w14:paraId="2A1823B6" w14:textId="77777777" w:rsidR="007963F8" w:rsidRDefault="008714EA">
      <w:pPr>
        <w:widowControl w:val="0"/>
        <w:numPr>
          <w:ilvl w:val="0"/>
          <w:numId w:val="8"/>
        </w:numPr>
        <w:tabs>
          <w:tab w:val="clear" w:pos="720"/>
        </w:tabs>
        <w:suppressAutoHyphens/>
        <w:ind w:left="567" w:hanging="567"/>
        <w:rPr>
          <w:szCs w:val="22"/>
        </w:rPr>
      </w:pPr>
      <w:r>
        <w:rPr>
          <w:szCs w:val="22"/>
        </w:rPr>
        <w:t>örökletes izombetegség egyéni megjelenése vagy családi halmozódása,</w:t>
      </w:r>
    </w:p>
    <w:p w14:paraId="7B1ED0A9" w14:textId="77777777" w:rsidR="007963F8" w:rsidRDefault="008714EA">
      <w:pPr>
        <w:widowControl w:val="0"/>
        <w:numPr>
          <w:ilvl w:val="0"/>
          <w:numId w:val="8"/>
        </w:numPr>
        <w:tabs>
          <w:tab w:val="clear" w:pos="720"/>
        </w:tabs>
        <w:suppressAutoHyphens/>
        <w:ind w:left="567" w:hanging="567"/>
        <w:rPr>
          <w:szCs w:val="22"/>
        </w:rPr>
      </w:pPr>
      <w:r>
        <w:rPr>
          <w:szCs w:val="22"/>
        </w:rPr>
        <w:t>az anamnézisben egyéb HMG-CoA-reduktáz-inhibitor- vagy fibrát-kezelés alkalmazása mellett kialakult izomkárosodás,</w:t>
      </w:r>
    </w:p>
    <w:p w14:paraId="6837D189" w14:textId="77777777" w:rsidR="007963F8" w:rsidRDefault="008714EA">
      <w:pPr>
        <w:widowControl w:val="0"/>
        <w:numPr>
          <w:ilvl w:val="0"/>
          <w:numId w:val="8"/>
        </w:numPr>
        <w:tabs>
          <w:tab w:val="clear" w:pos="720"/>
        </w:tabs>
        <w:suppressAutoHyphens/>
        <w:ind w:left="567" w:hanging="567"/>
        <w:rPr>
          <w:szCs w:val="22"/>
        </w:rPr>
      </w:pPr>
      <w:r>
        <w:rPr>
          <w:szCs w:val="22"/>
        </w:rPr>
        <w:t>alkoholabúzus,</w:t>
      </w:r>
    </w:p>
    <w:p w14:paraId="406E7592" w14:textId="77777777" w:rsidR="007963F8" w:rsidRDefault="008714EA">
      <w:pPr>
        <w:widowControl w:val="0"/>
        <w:numPr>
          <w:ilvl w:val="0"/>
          <w:numId w:val="8"/>
        </w:numPr>
        <w:tabs>
          <w:tab w:val="clear" w:pos="720"/>
        </w:tabs>
        <w:suppressAutoHyphens/>
        <w:ind w:left="567" w:hanging="567"/>
        <w:rPr>
          <w:szCs w:val="22"/>
        </w:rPr>
      </w:pPr>
      <w:r>
        <w:rPr>
          <w:szCs w:val="22"/>
        </w:rPr>
        <w:t>70 év feletti életkor,</w:t>
      </w:r>
    </w:p>
    <w:p w14:paraId="68A14518" w14:textId="77777777" w:rsidR="007963F8" w:rsidRDefault="008714EA">
      <w:pPr>
        <w:widowControl w:val="0"/>
        <w:numPr>
          <w:ilvl w:val="0"/>
          <w:numId w:val="8"/>
        </w:numPr>
        <w:tabs>
          <w:tab w:val="clear" w:pos="720"/>
        </w:tabs>
        <w:suppressAutoHyphens/>
        <w:ind w:left="567" w:hanging="567"/>
        <w:rPr>
          <w:szCs w:val="22"/>
        </w:rPr>
      </w:pPr>
      <w:r>
        <w:rPr>
          <w:szCs w:val="22"/>
        </w:rPr>
        <w:t>olyan esetek, amikor a rozuvasztatin plazmakoncentráció emelkedése fordulhat elő (lásd 4.2, 4.5 és 5.2 pont),</w:t>
      </w:r>
    </w:p>
    <w:p w14:paraId="0DE48882" w14:textId="77777777" w:rsidR="007963F8" w:rsidRDefault="008714EA">
      <w:pPr>
        <w:widowControl w:val="0"/>
        <w:numPr>
          <w:ilvl w:val="0"/>
          <w:numId w:val="8"/>
        </w:numPr>
        <w:tabs>
          <w:tab w:val="clear" w:pos="720"/>
        </w:tabs>
        <w:suppressAutoHyphens/>
        <w:ind w:left="567" w:hanging="567"/>
        <w:rPr>
          <w:szCs w:val="22"/>
        </w:rPr>
      </w:pPr>
      <w:r>
        <w:rPr>
          <w:szCs w:val="22"/>
        </w:rPr>
        <w:t>fibrátok egyidejű alkalmazása.</w:t>
      </w:r>
    </w:p>
    <w:p w14:paraId="13558E17" w14:textId="77777777" w:rsidR="007963F8" w:rsidRDefault="007963F8">
      <w:pPr>
        <w:rPr>
          <w:szCs w:val="22"/>
          <w:lang w:val="hu-HU"/>
        </w:rPr>
      </w:pPr>
    </w:p>
    <w:p w14:paraId="5438B7EF" w14:textId="77777777" w:rsidR="007963F8" w:rsidRDefault="008714EA">
      <w:pPr>
        <w:rPr>
          <w:szCs w:val="22"/>
        </w:rPr>
      </w:pPr>
      <w:r>
        <w:rPr>
          <w:szCs w:val="22"/>
        </w:rPr>
        <w:t xml:space="preserve">Ezeknél a betegeknél a kezeléssel járó kockázatot mérlegelni kell a terápia lehetséges előnyével szemben, továbbá klinikai megfigyelésük ajánlott. </w:t>
      </w:r>
      <w:r>
        <w:t>Amennyiben a kiindulási CK</w:t>
      </w:r>
      <w:r>
        <w:noBreakHyphen/>
        <w:t>szint szignifikánsan magas (&gt; 5×ULN) a kezelést nem szabad elkezdeni.</w:t>
      </w:r>
    </w:p>
    <w:p w14:paraId="1EF532C7" w14:textId="77777777" w:rsidR="007963F8" w:rsidRDefault="007963F8">
      <w:pPr>
        <w:widowControl w:val="0"/>
        <w:rPr>
          <w:szCs w:val="22"/>
          <w:lang w:val="hu-HU"/>
        </w:rPr>
      </w:pPr>
    </w:p>
    <w:p w14:paraId="3FA9C5CC" w14:textId="77777777" w:rsidR="007963F8" w:rsidRDefault="008714EA">
      <w:pPr>
        <w:rPr>
          <w:i/>
          <w:iCs/>
          <w:szCs w:val="22"/>
          <w:lang w:val="hu-HU"/>
        </w:rPr>
      </w:pPr>
      <w:r>
        <w:rPr>
          <w:i/>
          <w:iCs/>
          <w:szCs w:val="22"/>
          <w:lang w:val="hu-HU"/>
        </w:rPr>
        <w:t>A kezelés ideje alatt</w:t>
      </w:r>
    </w:p>
    <w:p w14:paraId="6F160437" w14:textId="77777777" w:rsidR="007963F8" w:rsidRDefault="008714EA">
      <w:pPr>
        <w:rPr>
          <w:szCs w:val="22"/>
        </w:rPr>
      </w:pPr>
      <w:r>
        <w:rPr>
          <w:szCs w:val="22"/>
        </w:rPr>
        <w:t>A beteget meg kell kérni, hogy ismeretlen eredetű izomfájdalom, izomgyengeség vagy izomgörcsök jelentkezéséről haladéktalanul számoljon be, főleg, ha azt rosszullét, láz kíséri. Ezeknél a betegeknél a CK</w:t>
      </w:r>
      <w:r>
        <w:rPr>
          <w:szCs w:val="22"/>
        </w:rPr>
        <w:noBreakHyphen/>
        <w:t xml:space="preserve">szint ellenőrzése szükséges. A terápiát fel kell függeszteni, amennyiben a CK-szint jelentősen megemelkedik (&gt; 5×ULN), vagy az izomtünetek súlyossá válnak és a mindennapi tevékenység során panaszokat okoznak (akkor is, ha a CK-szint csak ≤ 5×ULN). Ha a tünetek megszűnnek, és a CK-szint is normalizálódik, a </w:t>
      </w:r>
      <w:proofErr w:type="spellStart"/>
      <w:r>
        <w:rPr>
          <w:szCs w:val="22"/>
          <w:lang w:val="hu-HU"/>
        </w:rPr>
        <w:t>Ravalsyo</w:t>
      </w:r>
      <w:proofErr w:type="spellEnd"/>
      <w:r>
        <w:rPr>
          <w:szCs w:val="22"/>
          <w:lang w:val="hu-HU"/>
        </w:rPr>
        <w:t xml:space="preserve"> </w:t>
      </w:r>
      <w:r>
        <w:rPr>
          <w:szCs w:val="22"/>
        </w:rPr>
        <w:t>vagy egyéb HMG</w:t>
      </w:r>
      <w:r>
        <w:rPr>
          <w:szCs w:val="22"/>
        </w:rPr>
        <w:noBreakHyphen/>
        <w:t>CoA-reduktáz-inhibitor-kezelés újraindítása megfontolandó, szoros ellenőrzés mellett. Tünetmentes betegeknél a CK-szint ellenőrzése nem indokolt.</w:t>
      </w:r>
      <w:r>
        <w:t xml:space="preserve"> </w:t>
      </w:r>
      <w:r>
        <w:rPr>
          <w:szCs w:val="22"/>
        </w:rPr>
        <w:t>Nagyon ritkán előfordult immunmediált nekrotizáló myopathia (IMNM)</w:t>
      </w:r>
      <w:r>
        <w:t xml:space="preserve"> </w:t>
      </w:r>
      <w:r>
        <w:rPr>
          <w:szCs w:val="22"/>
        </w:rPr>
        <w:t>bizonyos sztatinokkal - beleértve a rozuvasztatint is - történő kezelés alatt vagy után. Az IMNM-t tartós proximális izomgyengeség és emelkedett szérum kreatin-kináz-értékek jellemzik, amelyek a sztatin</w:t>
      </w:r>
      <w:r>
        <w:rPr>
          <w:szCs w:val="22"/>
        </w:rPr>
        <w:noBreakHyphen/>
        <w:t>kezelés megszakítása ellenére fennmaradnak..</w:t>
      </w:r>
    </w:p>
    <w:p w14:paraId="3AAC9B68" w14:textId="77777777" w:rsidR="007963F8" w:rsidRDefault="007963F8">
      <w:pPr>
        <w:rPr>
          <w:szCs w:val="22"/>
        </w:rPr>
      </w:pPr>
    </w:p>
    <w:p w14:paraId="0AD2AE24" w14:textId="77777777" w:rsidR="007963F8" w:rsidRDefault="008714EA">
      <w:pPr>
        <w:rPr>
          <w:szCs w:val="22"/>
        </w:rPr>
      </w:pPr>
      <w:r>
        <w:rPr>
          <w:szCs w:val="22"/>
        </w:rPr>
        <w:t xml:space="preserve">Klinikai vizsgálatokban, </w:t>
      </w:r>
      <w:r>
        <w:t xml:space="preserve">a rozuvasztatin kombinációs terápiával kezelt kis betegcsoportban a vázizmokat érintő mellékhatások növekedése nem volt bizonyított. </w:t>
      </w:r>
      <w:r>
        <w:rPr>
          <w:szCs w:val="22"/>
        </w:rPr>
        <w:t>Ugyanakkor egyéb HMG</w:t>
      </w:r>
      <w:r>
        <w:rPr>
          <w:szCs w:val="22"/>
        </w:rPr>
        <w:noBreakHyphen/>
        <w:t>CoA</w:t>
      </w:r>
      <w:r>
        <w:rPr>
          <w:szCs w:val="22"/>
        </w:rPr>
        <w:noBreakHyphen/>
        <w:t>reduktáz-inhibitor és fibrát-származékok (mint pl. gemfibrozil), ciklosporin, nikotinsav, azol-típusú antimikotikumok, proteáz-inhibitorok és makrolid antibiotikumok együttadásakor a myositis és a myopathia incidenciájának növekedését figyelték meg.</w:t>
      </w:r>
    </w:p>
    <w:p w14:paraId="4F6F47E2" w14:textId="77777777" w:rsidR="007963F8" w:rsidRDefault="008714EA">
      <w:pPr>
        <w:rPr>
          <w:szCs w:val="22"/>
        </w:rPr>
      </w:pPr>
      <w:r>
        <w:rPr>
          <w:szCs w:val="22"/>
        </w:rPr>
        <w:t xml:space="preserve">A gemfibrozil, egyéb HMG-CoA-reduktáz-inhibitorral együttadva növeli a myopathia kockázatát, ezért </w:t>
      </w:r>
      <w:proofErr w:type="spellStart"/>
      <w:r>
        <w:rPr>
          <w:szCs w:val="22"/>
          <w:lang w:val="hu-HU"/>
        </w:rPr>
        <w:t>Ravalsyo</w:t>
      </w:r>
      <w:proofErr w:type="spellEnd"/>
      <w:r>
        <w:rPr>
          <w:szCs w:val="22"/>
          <w:lang w:val="hu-HU"/>
        </w:rPr>
        <w:t xml:space="preserve"> </w:t>
      </w:r>
      <w:r>
        <w:rPr>
          <w:szCs w:val="22"/>
        </w:rPr>
        <w:t xml:space="preserve">és a gemfibrozil kombinációja nem ajánlott. A </w:t>
      </w:r>
      <w:proofErr w:type="spellStart"/>
      <w:r>
        <w:rPr>
          <w:szCs w:val="22"/>
          <w:lang w:val="hu-HU"/>
        </w:rPr>
        <w:t>Ravalsyo</w:t>
      </w:r>
      <w:proofErr w:type="spellEnd"/>
      <w:r>
        <w:rPr>
          <w:szCs w:val="22"/>
        </w:rPr>
        <w:t xml:space="preserve"> fibrátokkal vagy niacinnal kombinált alkalmazásakor gondosan mérlegelni kell a további lipidszintcsökkentés előnyével szemben az ezen kombinációk alkalmazásának kockázatát. A 30 mg-os és 40 mg-os dózis alkalmazása ellenjavallt fibrátok egyidejű alkalmazásakor (lásd 4.5 és 4.8 pont).</w:t>
      </w:r>
    </w:p>
    <w:p w14:paraId="7B259AC4" w14:textId="77777777" w:rsidR="007963F8" w:rsidRDefault="007963F8">
      <w:pPr>
        <w:widowControl w:val="0"/>
        <w:rPr>
          <w:szCs w:val="22"/>
          <w:lang w:val="hu-HU" w:eastAsia="en-US"/>
        </w:rPr>
      </w:pPr>
    </w:p>
    <w:p w14:paraId="6CAF4018" w14:textId="77777777" w:rsidR="007963F8" w:rsidRDefault="008714EA">
      <w:pPr>
        <w:pStyle w:val="Default"/>
        <w:rPr>
          <w:sz w:val="22"/>
          <w:szCs w:val="22"/>
          <w:lang w:val="hu-HU"/>
        </w:rPr>
      </w:pPr>
      <w:r>
        <w:rPr>
          <w:color w:val="auto"/>
          <w:sz w:val="22"/>
          <w:szCs w:val="22"/>
          <w:lang w:val="hu-HU"/>
        </w:rPr>
        <w:t xml:space="preserve">A </w:t>
      </w:r>
      <w:proofErr w:type="spellStart"/>
      <w:r>
        <w:rPr>
          <w:color w:val="auto"/>
          <w:sz w:val="22"/>
          <w:szCs w:val="22"/>
          <w:lang w:val="hu-HU"/>
        </w:rPr>
        <w:t>Ravalsyo</w:t>
      </w:r>
      <w:proofErr w:type="spellEnd"/>
      <w:r>
        <w:rPr>
          <w:color w:val="auto"/>
          <w:sz w:val="22"/>
          <w:szCs w:val="22"/>
          <w:lang w:val="hu-HU"/>
        </w:rPr>
        <w:t>-t</w:t>
      </w:r>
      <w:r>
        <w:rPr>
          <w:sz w:val="22"/>
          <w:szCs w:val="22"/>
          <w:lang w:val="hu-HU"/>
        </w:rPr>
        <w:t xml:space="preserve"> tilos együtt adni a szisztémásan alkalmazott </w:t>
      </w:r>
      <w:proofErr w:type="spellStart"/>
      <w:r>
        <w:rPr>
          <w:sz w:val="22"/>
          <w:szCs w:val="22"/>
          <w:lang w:val="hu-HU"/>
        </w:rPr>
        <w:t>fuzidinsav</w:t>
      </w:r>
      <w:proofErr w:type="spellEnd"/>
      <w:r>
        <w:rPr>
          <w:sz w:val="22"/>
          <w:szCs w:val="22"/>
          <w:lang w:val="hu-HU"/>
        </w:rPr>
        <w:t xml:space="preserve">-készítményekkel vagy a </w:t>
      </w:r>
      <w:proofErr w:type="spellStart"/>
      <w:r>
        <w:rPr>
          <w:sz w:val="22"/>
          <w:szCs w:val="22"/>
          <w:lang w:val="hu-HU"/>
        </w:rPr>
        <w:t>fuzidinsav</w:t>
      </w:r>
      <w:proofErr w:type="spellEnd"/>
      <w:r>
        <w:rPr>
          <w:sz w:val="22"/>
          <w:szCs w:val="22"/>
          <w:lang w:val="hu-HU"/>
        </w:rPr>
        <w:t xml:space="preserve">-kezelés abbahagyását követő 7 napon belül. Azoknál a betegeknél, akiknél a szisztémás </w:t>
      </w:r>
      <w:proofErr w:type="spellStart"/>
      <w:r>
        <w:rPr>
          <w:sz w:val="22"/>
          <w:szCs w:val="22"/>
          <w:lang w:val="hu-HU"/>
        </w:rPr>
        <w:t>fuzidinsav</w:t>
      </w:r>
      <w:proofErr w:type="spellEnd"/>
      <w:r>
        <w:rPr>
          <w:sz w:val="22"/>
          <w:szCs w:val="22"/>
          <w:lang w:val="hu-HU"/>
        </w:rPr>
        <w:t xml:space="preserve"> alkalmazása elengedhetetlen, a </w:t>
      </w:r>
      <w:proofErr w:type="spellStart"/>
      <w:r>
        <w:rPr>
          <w:sz w:val="22"/>
          <w:szCs w:val="22"/>
          <w:lang w:val="hu-HU"/>
        </w:rPr>
        <w:t>fuzidinsav</w:t>
      </w:r>
      <w:proofErr w:type="spellEnd"/>
      <w:r>
        <w:rPr>
          <w:sz w:val="22"/>
          <w:szCs w:val="22"/>
          <w:lang w:val="hu-HU"/>
        </w:rPr>
        <w:t xml:space="preserve">-kezelés teljes időtartamára le kell állítani a </w:t>
      </w:r>
      <w:proofErr w:type="spellStart"/>
      <w:r>
        <w:rPr>
          <w:sz w:val="22"/>
          <w:szCs w:val="22"/>
          <w:lang w:val="hu-HU"/>
        </w:rPr>
        <w:lastRenderedPageBreak/>
        <w:t>sztatin</w:t>
      </w:r>
      <w:proofErr w:type="spellEnd"/>
      <w:r>
        <w:rPr>
          <w:sz w:val="22"/>
          <w:szCs w:val="22"/>
          <w:lang w:val="hu-HU"/>
        </w:rPr>
        <w:t xml:space="preserve">-kezelést. </w:t>
      </w:r>
      <w:proofErr w:type="spellStart"/>
      <w:r>
        <w:rPr>
          <w:sz w:val="22"/>
          <w:szCs w:val="22"/>
          <w:lang w:val="hu-HU"/>
        </w:rPr>
        <w:t>Fuzidinsav</w:t>
      </w:r>
      <w:proofErr w:type="spellEnd"/>
      <w:r>
        <w:rPr>
          <w:sz w:val="22"/>
          <w:szCs w:val="22"/>
          <w:lang w:val="hu-HU"/>
        </w:rPr>
        <w:t xml:space="preserve"> és </w:t>
      </w:r>
      <w:proofErr w:type="spellStart"/>
      <w:r>
        <w:rPr>
          <w:sz w:val="22"/>
          <w:szCs w:val="22"/>
          <w:lang w:val="hu-HU"/>
        </w:rPr>
        <w:t>sztatinok</w:t>
      </w:r>
      <w:proofErr w:type="spellEnd"/>
      <w:r>
        <w:rPr>
          <w:sz w:val="22"/>
          <w:szCs w:val="22"/>
          <w:lang w:val="hu-HU"/>
        </w:rPr>
        <w:t xml:space="preserve"> kombinációjával kezelt betegeknél </w:t>
      </w:r>
      <w:proofErr w:type="spellStart"/>
      <w:r>
        <w:rPr>
          <w:sz w:val="22"/>
          <w:szCs w:val="22"/>
          <w:lang w:val="hu-HU"/>
        </w:rPr>
        <w:t>rhabdomyolysisről</w:t>
      </w:r>
      <w:proofErr w:type="spellEnd"/>
      <w:r>
        <w:rPr>
          <w:sz w:val="22"/>
          <w:szCs w:val="22"/>
          <w:lang w:val="hu-HU"/>
        </w:rPr>
        <w:t xml:space="preserve"> (mely esetenként halálos kimenetelű volt) számoltak be (lásd 4.5 pont). A betegek figyelmét fel kell hívni arra, hogy azonnal forduljanak orvoshoz, ha a következő tünetek bármelyikét tapasztalják (izomgyengeséget, izomfájdalmat vagy nyomásérzékenységet) tapasztal.</w:t>
      </w:r>
    </w:p>
    <w:p w14:paraId="1A3AD254" w14:textId="77777777" w:rsidR="007963F8" w:rsidRDefault="007963F8">
      <w:pPr>
        <w:pStyle w:val="Default"/>
        <w:rPr>
          <w:color w:val="auto"/>
          <w:sz w:val="22"/>
          <w:szCs w:val="22"/>
          <w:lang w:val="hu-HU"/>
        </w:rPr>
      </w:pPr>
    </w:p>
    <w:p w14:paraId="5DA3B2DC" w14:textId="77777777" w:rsidR="007963F8" w:rsidRDefault="008714EA">
      <w:pPr>
        <w:pStyle w:val="Default"/>
        <w:rPr>
          <w:color w:val="auto"/>
          <w:sz w:val="22"/>
          <w:szCs w:val="22"/>
          <w:lang w:val="hu-HU"/>
        </w:rPr>
      </w:pPr>
      <w:r>
        <w:rPr>
          <w:color w:val="auto"/>
          <w:sz w:val="22"/>
          <w:szCs w:val="22"/>
          <w:lang w:val="hu-HU"/>
        </w:rPr>
        <w:t xml:space="preserve">A </w:t>
      </w:r>
      <w:proofErr w:type="spellStart"/>
      <w:r>
        <w:rPr>
          <w:color w:val="auto"/>
          <w:sz w:val="22"/>
          <w:szCs w:val="22"/>
          <w:lang w:val="hu-HU"/>
        </w:rPr>
        <w:t>sztatin</w:t>
      </w:r>
      <w:proofErr w:type="spellEnd"/>
      <w:r>
        <w:rPr>
          <w:color w:val="auto"/>
          <w:sz w:val="22"/>
          <w:szCs w:val="22"/>
          <w:lang w:val="hu-HU"/>
        </w:rPr>
        <w:t xml:space="preserve">-kezelés a </w:t>
      </w:r>
      <w:proofErr w:type="spellStart"/>
      <w:r>
        <w:rPr>
          <w:color w:val="auto"/>
          <w:sz w:val="22"/>
          <w:szCs w:val="22"/>
          <w:lang w:val="hu-HU"/>
        </w:rPr>
        <w:t>fuzidinsav</w:t>
      </w:r>
      <w:proofErr w:type="spellEnd"/>
      <w:r>
        <w:rPr>
          <w:color w:val="auto"/>
          <w:sz w:val="22"/>
          <w:szCs w:val="22"/>
          <w:lang w:val="hu-HU"/>
        </w:rPr>
        <w:t xml:space="preserve"> utolsó dózisa után 7 nappal kezdhető újra.</w:t>
      </w:r>
    </w:p>
    <w:p w14:paraId="6C1193A9" w14:textId="77777777" w:rsidR="007963F8" w:rsidRDefault="007963F8">
      <w:pPr>
        <w:pStyle w:val="Default"/>
        <w:rPr>
          <w:color w:val="auto"/>
          <w:sz w:val="22"/>
          <w:szCs w:val="22"/>
          <w:lang w:val="hu-HU"/>
        </w:rPr>
      </w:pPr>
    </w:p>
    <w:p w14:paraId="795AB041" w14:textId="77777777" w:rsidR="007963F8" w:rsidRDefault="008714EA">
      <w:pPr>
        <w:pStyle w:val="Default"/>
        <w:rPr>
          <w:sz w:val="22"/>
          <w:szCs w:val="22"/>
          <w:lang w:val="hu-HU"/>
        </w:rPr>
      </w:pPr>
      <w:r>
        <w:rPr>
          <w:sz w:val="22"/>
          <w:szCs w:val="22"/>
          <w:lang w:val="hu-HU"/>
        </w:rPr>
        <w:t xml:space="preserve">Kivételes körülmények között, ha a </w:t>
      </w:r>
      <w:proofErr w:type="spellStart"/>
      <w:r>
        <w:rPr>
          <w:sz w:val="22"/>
          <w:szCs w:val="22"/>
          <w:lang w:val="hu-HU"/>
        </w:rPr>
        <w:t>fuzidinsav</w:t>
      </w:r>
      <w:proofErr w:type="spellEnd"/>
      <w:r>
        <w:rPr>
          <w:sz w:val="22"/>
          <w:szCs w:val="22"/>
          <w:lang w:val="hu-HU"/>
        </w:rPr>
        <w:t xml:space="preserve"> hosszan tartó szisztémás alkalmazása szükséges (pl. súlyos fertőzések kezelése céljából), eseti alapon megfontolandó a </w:t>
      </w:r>
      <w:proofErr w:type="spellStart"/>
      <w:r>
        <w:rPr>
          <w:sz w:val="22"/>
          <w:szCs w:val="22"/>
          <w:lang w:val="hu-HU"/>
        </w:rPr>
        <w:t>Ravalsyo</w:t>
      </w:r>
      <w:proofErr w:type="spellEnd"/>
      <w:r>
        <w:rPr>
          <w:color w:val="auto"/>
          <w:sz w:val="22"/>
          <w:szCs w:val="22"/>
          <w:lang w:val="hu-HU"/>
        </w:rPr>
        <w:t xml:space="preserve"> </w:t>
      </w:r>
      <w:r>
        <w:rPr>
          <w:sz w:val="22"/>
          <w:szCs w:val="22"/>
          <w:lang w:val="hu-HU"/>
        </w:rPr>
        <w:t xml:space="preserve">és a </w:t>
      </w:r>
      <w:proofErr w:type="spellStart"/>
      <w:r>
        <w:rPr>
          <w:sz w:val="22"/>
          <w:szCs w:val="22"/>
          <w:lang w:val="hu-HU"/>
        </w:rPr>
        <w:t>fuzidinsav</w:t>
      </w:r>
      <w:proofErr w:type="spellEnd"/>
      <w:r>
        <w:rPr>
          <w:sz w:val="22"/>
          <w:szCs w:val="22"/>
          <w:lang w:val="hu-HU"/>
        </w:rPr>
        <w:t xml:space="preserve"> egyidejű adása, ami azonban szoros orvosi felügyelet igényel.</w:t>
      </w:r>
    </w:p>
    <w:p w14:paraId="2728A32D" w14:textId="77777777" w:rsidR="007963F8" w:rsidRDefault="007963F8">
      <w:pPr>
        <w:widowControl w:val="0"/>
        <w:rPr>
          <w:szCs w:val="22"/>
          <w:lang w:val="hu-HU"/>
        </w:rPr>
      </w:pPr>
    </w:p>
    <w:p w14:paraId="5D08CF09" w14:textId="77777777" w:rsidR="007963F8" w:rsidRDefault="008714EA">
      <w:pPr>
        <w:rPr>
          <w:szCs w:val="22"/>
        </w:rPr>
      </w:pPr>
      <w:r>
        <w:rPr>
          <w:szCs w:val="22"/>
        </w:rPr>
        <w:t xml:space="preserve">A </w:t>
      </w:r>
      <w:proofErr w:type="spellStart"/>
      <w:r>
        <w:rPr>
          <w:szCs w:val="22"/>
          <w:lang w:val="hu-HU"/>
        </w:rPr>
        <w:t>Ravalsyo</w:t>
      </w:r>
      <w:proofErr w:type="spellEnd"/>
      <w:r>
        <w:rPr>
          <w:szCs w:val="22"/>
          <w:lang w:val="hu-HU"/>
        </w:rPr>
        <w:t>-t</w:t>
      </w:r>
      <w:r>
        <w:rPr>
          <w:szCs w:val="22"/>
        </w:rPr>
        <w:t xml:space="preserve"> nem szabad súlyos, akut állapotban alkalmazni, amikor myopathia gyanúja merül fel vagy amikor a rhabdomyolysis miatti szekunder veseelégtelenség kialakulásának veszélye áll fenn (pl. sepsis, hypotensio, nagyobb műtéti beavatkozás, trauma, súlyos metabolikus és endokrin rendellenességek, az elektrolit háztartás zavara, kezeletlen görcsök).</w:t>
      </w:r>
    </w:p>
    <w:p w14:paraId="35FB765E" w14:textId="77777777" w:rsidR="007963F8" w:rsidRDefault="007963F8">
      <w:pPr>
        <w:rPr>
          <w:szCs w:val="22"/>
        </w:rPr>
      </w:pPr>
    </w:p>
    <w:p w14:paraId="0AF8D5C9" w14:textId="77777777" w:rsidR="007963F8" w:rsidRDefault="008714EA">
      <w:pPr>
        <w:rPr>
          <w:szCs w:val="22"/>
          <w:u w:val="single"/>
        </w:rPr>
      </w:pPr>
      <w:r>
        <w:rPr>
          <w:szCs w:val="22"/>
          <w:u w:val="single"/>
        </w:rPr>
        <w:t>Myasthenia gravis vagy ocularis myasthenia</w:t>
      </w:r>
    </w:p>
    <w:p w14:paraId="072E2723" w14:textId="77777777" w:rsidR="007963F8" w:rsidRDefault="008714EA">
      <w:pPr>
        <w:rPr>
          <w:szCs w:val="22"/>
        </w:rPr>
      </w:pPr>
      <w:r>
        <w:rPr>
          <w:szCs w:val="22"/>
        </w:rPr>
        <w:t xml:space="preserve">Néhány esetben beszámoltak arról, hogy a sztatinok </w:t>
      </w:r>
      <w:r>
        <w:rPr>
          <w:i/>
          <w:szCs w:val="22"/>
        </w:rPr>
        <w:t>de novo</w:t>
      </w:r>
      <w:r>
        <w:rPr>
          <w:szCs w:val="22"/>
        </w:rPr>
        <w:t xml:space="preserve"> myasthenia gravist vagy ocularis myastheniát okoztak, illetve súlyosbították ezeket, ha már korábban is fennálltak (lásd 4.8 pont). A Ravalsyo alkalmazását le kell állítani, ha a tünetek súlyosbodnak. Beszámoltak a tünetek kiújulásáról, miután a beteg (ismét) alkalmazni kezdte ugyanazt vagy egy másik sztatint.</w:t>
      </w:r>
    </w:p>
    <w:p w14:paraId="10A01627" w14:textId="77777777" w:rsidR="007963F8" w:rsidRDefault="007963F8">
      <w:pPr>
        <w:rPr>
          <w:szCs w:val="22"/>
          <w:lang w:val="hu-HU"/>
        </w:rPr>
      </w:pPr>
    </w:p>
    <w:p w14:paraId="687E7EA1" w14:textId="77777777" w:rsidR="007963F8" w:rsidRDefault="008714EA">
      <w:pPr>
        <w:rPr>
          <w:szCs w:val="22"/>
          <w:u w:val="single"/>
          <w:lang w:val="hu-HU"/>
        </w:rPr>
      </w:pPr>
      <w:r>
        <w:rPr>
          <w:szCs w:val="22"/>
          <w:u w:val="single"/>
          <w:lang w:val="hu-HU"/>
        </w:rPr>
        <w:t>Súlyos, bőrt érintő mellékhatások</w:t>
      </w:r>
    </w:p>
    <w:p w14:paraId="57CCC39F" w14:textId="77777777" w:rsidR="007963F8" w:rsidRDefault="008714EA">
      <w:pPr>
        <w:rPr>
          <w:szCs w:val="22"/>
          <w:lang w:val="hu-HU"/>
        </w:rPr>
      </w:pPr>
      <w:r>
        <w:rPr>
          <w:szCs w:val="22"/>
          <w:lang w:val="hu-HU"/>
        </w:rPr>
        <w:t xml:space="preserve">A </w:t>
      </w:r>
      <w:proofErr w:type="spellStart"/>
      <w:r>
        <w:rPr>
          <w:szCs w:val="22"/>
          <w:lang w:val="hu-HU"/>
        </w:rPr>
        <w:t>rozuvasztatin</w:t>
      </w:r>
      <w:proofErr w:type="spellEnd"/>
      <w:r>
        <w:rPr>
          <w:szCs w:val="22"/>
          <w:lang w:val="hu-HU"/>
        </w:rPr>
        <w:t xml:space="preserve">-kezeléssel kapcsolatban súlyos, bőrt érintő mellékhatásokat jelentettek, beleértve a </w:t>
      </w:r>
      <w:proofErr w:type="spellStart"/>
      <w:r>
        <w:rPr>
          <w:szCs w:val="22"/>
          <w:lang w:val="hu-HU"/>
        </w:rPr>
        <w:t>Stevens</w:t>
      </w:r>
      <w:proofErr w:type="spellEnd"/>
      <w:r>
        <w:rPr>
          <w:szCs w:val="22"/>
          <w:lang w:val="hu-HU"/>
        </w:rPr>
        <w:t xml:space="preserve">–Johnson-szindrómát (SJS) és az </w:t>
      </w:r>
      <w:proofErr w:type="spellStart"/>
      <w:r>
        <w:rPr>
          <w:szCs w:val="22"/>
          <w:lang w:val="hu-HU"/>
        </w:rPr>
        <w:t>eosinophiliával</w:t>
      </w:r>
      <w:proofErr w:type="spellEnd"/>
      <w:r>
        <w:rPr>
          <w:szCs w:val="22"/>
          <w:lang w:val="hu-HU"/>
        </w:rPr>
        <w:t xml:space="preserve"> és szisztémás tünetekkel járó gyógyszerreakciót (</w:t>
      </w:r>
      <w:proofErr w:type="spellStart"/>
      <w:r>
        <w:rPr>
          <w:szCs w:val="22"/>
          <w:lang w:val="hu-HU"/>
        </w:rPr>
        <w:t>drug</w:t>
      </w:r>
      <w:proofErr w:type="spellEnd"/>
      <w:r>
        <w:rPr>
          <w:szCs w:val="22"/>
          <w:lang w:val="hu-HU"/>
        </w:rPr>
        <w:t xml:space="preserve"> </w:t>
      </w:r>
      <w:proofErr w:type="spellStart"/>
      <w:r>
        <w:rPr>
          <w:szCs w:val="22"/>
          <w:lang w:val="hu-HU"/>
        </w:rPr>
        <w:t>reaction</w:t>
      </w:r>
      <w:proofErr w:type="spellEnd"/>
      <w:r>
        <w:rPr>
          <w:szCs w:val="22"/>
          <w:lang w:val="hu-HU"/>
        </w:rPr>
        <w:t xml:space="preserve"> </w:t>
      </w:r>
      <w:proofErr w:type="spellStart"/>
      <w:r>
        <w:rPr>
          <w:szCs w:val="22"/>
          <w:lang w:val="hu-HU"/>
        </w:rPr>
        <w:t>with</w:t>
      </w:r>
      <w:proofErr w:type="spellEnd"/>
      <w:r>
        <w:rPr>
          <w:szCs w:val="22"/>
          <w:lang w:val="hu-HU"/>
        </w:rPr>
        <w:t xml:space="preserve"> </w:t>
      </w:r>
      <w:proofErr w:type="spellStart"/>
      <w:r>
        <w:rPr>
          <w:szCs w:val="22"/>
          <w:lang w:val="hu-HU"/>
        </w:rPr>
        <w:t>eosinophilia</w:t>
      </w:r>
      <w:proofErr w:type="spellEnd"/>
      <w:r>
        <w:rPr>
          <w:szCs w:val="22"/>
          <w:lang w:val="hu-HU"/>
        </w:rPr>
        <w:t xml:space="preserve"> and </w:t>
      </w:r>
      <w:proofErr w:type="spellStart"/>
      <w:r>
        <w:rPr>
          <w:szCs w:val="22"/>
          <w:lang w:val="hu-HU"/>
        </w:rPr>
        <w:t>systemic</w:t>
      </w:r>
      <w:proofErr w:type="spellEnd"/>
      <w:r>
        <w:rPr>
          <w:szCs w:val="22"/>
          <w:lang w:val="hu-HU"/>
        </w:rPr>
        <w:t xml:space="preserve"> </w:t>
      </w:r>
      <w:proofErr w:type="spellStart"/>
      <w:r>
        <w:rPr>
          <w:szCs w:val="22"/>
          <w:lang w:val="hu-HU"/>
        </w:rPr>
        <w:t>symptoms</w:t>
      </w:r>
      <w:proofErr w:type="spellEnd"/>
      <w:r>
        <w:rPr>
          <w:szCs w:val="22"/>
          <w:lang w:val="hu-HU"/>
        </w:rPr>
        <w:t xml:space="preserve"> DRESS) is, amely életveszélyes vagy halálos kimenetű is lehet. A beteget a gyógyszer rendelésekor tájékoztatni kell a súlyos bőrreakciók jeleiről és tüneteiről, továbbá szoros felügyelet szükséges. Amennyiben ezen reakciókra utaló jelek és tünetek jelentkeznek, a </w:t>
      </w:r>
      <w:proofErr w:type="spellStart"/>
      <w:r>
        <w:rPr>
          <w:szCs w:val="22"/>
          <w:lang w:val="hu-HU"/>
        </w:rPr>
        <w:t>Ravalsyo</w:t>
      </w:r>
      <w:proofErr w:type="spellEnd"/>
      <w:r>
        <w:rPr>
          <w:szCs w:val="22"/>
          <w:lang w:val="hu-HU"/>
        </w:rPr>
        <w:t xml:space="preserve"> alkalmazását azonnal fel kell függeszteni, és más kezelés lehetőségét kell megfontolni.</w:t>
      </w:r>
    </w:p>
    <w:p w14:paraId="6579A27F" w14:textId="77777777" w:rsidR="007963F8" w:rsidRDefault="007963F8">
      <w:pPr>
        <w:rPr>
          <w:szCs w:val="22"/>
          <w:lang w:val="hu-HU"/>
        </w:rPr>
      </w:pPr>
    </w:p>
    <w:p w14:paraId="065BC605" w14:textId="77777777" w:rsidR="007963F8" w:rsidRDefault="008714EA">
      <w:pPr>
        <w:rPr>
          <w:szCs w:val="22"/>
          <w:lang w:val="hu-HU"/>
        </w:rPr>
      </w:pPr>
      <w:r>
        <w:rPr>
          <w:szCs w:val="22"/>
          <w:lang w:val="hu-HU"/>
        </w:rPr>
        <w:t xml:space="preserve">Ha a betegnél súlyos mellékhatás – például SJS vagy DRESS – jelentkezik a </w:t>
      </w:r>
      <w:proofErr w:type="spellStart"/>
      <w:r>
        <w:rPr>
          <w:szCs w:val="22"/>
          <w:lang w:val="hu-HU"/>
        </w:rPr>
        <w:t>Ravalsyo</w:t>
      </w:r>
      <w:proofErr w:type="spellEnd"/>
      <w:r>
        <w:rPr>
          <w:szCs w:val="22"/>
          <w:lang w:val="hu-HU"/>
        </w:rPr>
        <w:t xml:space="preserve"> alkalmazása során, akkor ezeknél a betegnél a </w:t>
      </w:r>
      <w:proofErr w:type="spellStart"/>
      <w:r>
        <w:rPr>
          <w:szCs w:val="22"/>
          <w:lang w:val="hu-HU"/>
        </w:rPr>
        <w:t>Ravalsyo</w:t>
      </w:r>
      <w:proofErr w:type="spellEnd"/>
      <w:r>
        <w:rPr>
          <w:szCs w:val="22"/>
          <w:lang w:val="hu-HU"/>
        </w:rPr>
        <w:t>-kezelés újrakezdése a későbbiekben is tilos.</w:t>
      </w:r>
    </w:p>
    <w:p w14:paraId="09C8662B" w14:textId="77777777" w:rsidR="007963F8" w:rsidRDefault="007963F8">
      <w:pPr>
        <w:rPr>
          <w:szCs w:val="22"/>
          <w:lang w:val="hu-HU"/>
        </w:rPr>
      </w:pPr>
    </w:p>
    <w:p w14:paraId="68042382" w14:textId="77777777" w:rsidR="007963F8" w:rsidRDefault="008714EA">
      <w:pPr>
        <w:rPr>
          <w:szCs w:val="22"/>
          <w:u w:val="single"/>
          <w:lang w:val="hu-HU"/>
        </w:rPr>
      </w:pPr>
      <w:r>
        <w:rPr>
          <w:szCs w:val="22"/>
          <w:u w:val="single"/>
          <w:lang w:val="hu-HU"/>
        </w:rPr>
        <w:t>Májra gyakorolt hatások</w:t>
      </w:r>
    </w:p>
    <w:p w14:paraId="01D332A8" w14:textId="77777777" w:rsidR="007963F8" w:rsidRDefault="008714EA">
      <w:pPr>
        <w:rPr>
          <w:szCs w:val="22"/>
        </w:rPr>
      </w:pPr>
      <w:r>
        <w:rPr>
          <w:szCs w:val="22"/>
        </w:rPr>
        <w:t>Mint egyéb HMG-CoA-reduktáz-gátló esetében is, a Ravalsyo alkalmazása óvatosságot igényel nagymennyiségű alkoholt fogyasztó betegeknél és/vagy amennyiben az anamnézisben valamely májbetegség szerepel.</w:t>
      </w:r>
    </w:p>
    <w:p w14:paraId="1E4B173F" w14:textId="77777777" w:rsidR="007963F8" w:rsidRDefault="007963F8">
      <w:pPr>
        <w:rPr>
          <w:szCs w:val="22"/>
        </w:rPr>
      </w:pPr>
    </w:p>
    <w:p w14:paraId="41C798EA" w14:textId="77777777" w:rsidR="007963F8" w:rsidRDefault="008714EA">
      <w:r>
        <w:rPr>
          <w:szCs w:val="22"/>
        </w:rPr>
        <w:t xml:space="preserve">Májfunkciós vizsgálatok elvégzése javasolt a Ravalsyo alkalmazását megelőzően, illetve a kezelés kezdetétől számított 3 hónap múlva. A rozuvasztatin használatának felfüggesztése vagy az adag csökkentése szükséges, amennyiben a szérum transzaminázszintek a normálérték felső határának háromszorosát meghaladják. </w:t>
      </w:r>
      <w:r>
        <w:t>Posztmarketing alkalmazás során a májat érintő, súlyos (főleg emelkedett transzaminázszintek formájában jelentkező) események gyakorisága a 40 mg</w:t>
      </w:r>
      <w:r>
        <w:noBreakHyphen/>
        <w:t>os dózis alkalmazása mellett magasabb.</w:t>
      </w:r>
    </w:p>
    <w:p w14:paraId="21422F5D" w14:textId="77777777" w:rsidR="007963F8" w:rsidRDefault="007963F8">
      <w:pPr>
        <w:rPr>
          <w:szCs w:val="22"/>
        </w:rPr>
      </w:pPr>
    </w:p>
    <w:p w14:paraId="031FBAE9" w14:textId="77777777" w:rsidR="007963F8" w:rsidRDefault="008714EA">
      <w:pPr>
        <w:rPr>
          <w:szCs w:val="22"/>
        </w:rPr>
      </w:pPr>
      <w:r>
        <w:rPr>
          <w:szCs w:val="22"/>
        </w:rPr>
        <w:t>Azoknál a betegeknél, akiknél hypothyreosis vagy nephrosis szindróma következtében szekunder hypercholesterinaemia alakul ki, a Ravalsyo-terápia megkezdése előtt az alapbetegség kezelése szükséges.</w:t>
      </w:r>
    </w:p>
    <w:p w14:paraId="735231FE" w14:textId="77777777" w:rsidR="007963F8" w:rsidRDefault="007963F8">
      <w:pPr>
        <w:rPr>
          <w:szCs w:val="22"/>
          <w:lang w:val="hu-HU"/>
        </w:rPr>
      </w:pPr>
    </w:p>
    <w:p w14:paraId="3354C3B4" w14:textId="77777777" w:rsidR="007963F8" w:rsidRDefault="008714EA">
      <w:pPr>
        <w:rPr>
          <w:szCs w:val="22"/>
          <w:u w:val="single"/>
        </w:rPr>
      </w:pPr>
      <w:r>
        <w:rPr>
          <w:szCs w:val="22"/>
          <w:u w:val="single"/>
        </w:rPr>
        <w:t>Népcsoportok</w:t>
      </w:r>
    </w:p>
    <w:p w14:paraId="55E4A67B" w14:textId="77777777" w:rsidR="007963F8" w:rsidRDefault="008714EA">
      <w:pPr>
        <w:rPr>
          <w:szCs w:val="22"/>
        </w:rPr>
      </w:pPr>
      <w:r>
        <w:rPr>
          <w:szCs w:val="22"/>
        </w:rPr>
        <w:t>Farmakokinetikai vizsgálatokban, ázsiai betegeknél emelkedett expozíciót tapasztaltak a kaukázusi betegekkel összehasonlítva (lásd 4.2, 4.3 és 5.2 pont).</w:t>
      </w:r>
    </w:p>
    <w:p w14:paraId="3FD3B192" w14:textId="77777777" w:rsidR="007963F8" w:rsidRDefault="007963F8">
      <w:pPr>
        <w:rPr>
          <w:szCs w:val="22"/>
          <w:lang w:val="hu-HU"/>
        </w:rPr>
      </w:pPr>
    </w:p>
    <w:p w14:paraId="375015AA" w14:textId="77777777" w:rsidR="007963F8" w:rsidRDefault="008714EA">
      <w:pPr>
        <w:pStyle w:val="Normal1"/>
        <w:rPr>
          <w:color w:val="auto"/>
          <w:sz w:val="22"/>
          <w:u w:val="single"/>
          <w:lang w:val="hu-HU"/>
        </w:rPr>
      </w:pPr>
      <w:proofErr w:type="spellStart"/>
      <w:r>
        <w:rPr>
          <w:color w:val="auto"/>
          <w:sz w:val="22"/>
          <w:u w:val="single"/>
          <w:lang w:val="hu-HU"/>
        </w:rPr>
        <w:t>Proteáz</w:t>
      </w:r>
      <w:proofErr w:type="spellEnd"/>
      <w:r>
        <w:rPr>
          <w:color w:val="auto"/>
          <w:sz w:val="22"/>
          <w:u w:val="single"/>
          <w:lang w:val="hu-HU"/>
        </w:rPr>
        <w:t>-inhibitorok</w:t>
      </w:r>
    </w:p>
    <w:p w14:paraId="165BFC9E" w14:textId="77777777" w:rsidR="007963F8" w:rsidRDefault="008714EA">
      <w:pPr>
        <w:pStyle w:val="Normal1"/>
        <w:rPr>
          <w:color w:val="auto"/>
          <w:sz w:val="22"/>
          <w:lang w:val="hu-HU"/>
        </w:rPr>
      </w:pPr>
      <w:r>
        <w:rPr>
          <w:color w:val="auto"/>
          <w:sz w:val="22"/>
          <w:lang w:val="hu-HU"/>
        </w:rPr>
        <w:t xml:space="preserve">A </w:t>
      </w:r>
      <w:proofErr w:type="spellStart"/>
      <w:r>
        <w:rPr>
          <w:color w:val="auto"/>
          <w:sz w:val="22"/>
          <w:lang w:val="hu-HU"/>
        </w:rPr>
        <w:t>rozuvasztatin</w:t>
      </w:r>
      <w:proofErr w:type="spellEnd"/>
      <w:r>
        <w:rPr>
          <w:color w:val="auto"/>
          <w:sz w:val="22"/>
          <w:lang w:val="hu-HU"/>
        </w:rPr>
        <w:t xml:space="preserve"> megnövekedett szisztémás expozícióját figyelték meg azoknál az alanyoknál, akik egyidejűleg kapták a </w:t>
      </w:r>
      <w:proofErr w:type="spellStart"/>
      <w:r>
        <w:rPr>
          <w:color w:val="auto"/>
          <w:sz w:val="22"/>
          <w:lang w:val="hu-HU"/>
        </w:rPr>
        <w:t>rozuvasztatint</w:t>
      </w:r>
      <w:proofErr w:type="spellEnd"/>
      <w:r>
        <w:rPr>
          <w:color w:val="auto"/>
          <w:sz w:val="22"/>
          <w:lang w:val="hu-HU"/>
        </w:rPr>
        <w:t xml:space="preserve"> a különböző </w:t>
      </w:r>
      <w:proofErr w:type="spellStart"/>
      <w:r>
        <w:rPr>
          <w:color w:val="auto"/>
          <w:sz w:val="22"/>
          <w:lang w:val="hu-HU"/>
        </w:rPr>
        <w:t>proteáz</w:t>
      </w:r>
      <w:proofErr w:type="spellEnd"/>
      <w:r>
        <w:rPr>
          <w:color w:val="auto"/>
          <w:sz w:val="22"/>
          <w:lang w:val="hu-HU"/>
        </w:rPr>
        <w:t xml:space="preserve">-inhibitorok és </w:t>
      </w:r>
      <w:proofErr w:type="spellStart"/>
      <w:r>
        <w:rPr>
          <w:color w:val="auto"/>
          <w:sz w:val="22"/>
          <w:lang w:val="hu-HU"/>
        </w:rPr>
        <w:t>ritonavir</w:t>
      </w:r>
      <w:proofErr w:type="spellEnd"/>
      <w:r>
        <w:rPr>
          <w:color w:val="auto"/>
          <w:sz w:val="22"/>
          <w:lang w:val="hu-HU"/>
        </w:rPr>
        <w:t xml:space="preserve"> kombinációjával. </w:t>
      </w:r>
      <w:r>
        <w:rPr>
          <w:color w:val="auto"/>
          <w:sz w:val="22"/>
          <w:lang w:val="hu-HU"/>
        </w:rPr>
        <w:lastRenderedPageBreak/>
        <w:t xml:space="preserve">Gondosan mérlegelni kell mind a </w:t>
      </w:r>
      <w:proofErr w:type="spellStart"/>
      <w:r>
        <w:rPr>
          <w:color w:val="auto"/>
          <w:sz w:val="22"/>
          <w:lang w:val="hu-HU"/>
        </w:rPr>
        <w:t>proteáz</w:t>
      </w:r>
      <w:proofErr w:type="spellEnd"/>
      <w:r>
        <w:rPr>
          <w:color w:val="auto"/>
          <w:sz w:val="22"/>
          <w:lang w:val="hu-HU"/>
        </w:rPr>
        <w:t xml:space="preserve">-inhibitorokat kapó HIV-betegek esetében a </w:t>
      </w:r>
      <w:proofErr w:type="spellStart"/>
      <w:r>
        <w:rPr>
          <w:color w:val="auto"/>
          <w:sz w:val="22"/>
          <w:lang w:val="hu-HU"/>
        </w:rPr>
        <w:t>rozuvasztatin</w:t>
      </w:r>
      <w:proofErr w:type="spellEnd"/>
      <w:r>
        <w:rPr>
          <w:color w:val="auto"/>
          <w:sz w:val="22"/>
          <w:szCs w:val="22"/>
          <w:lang w:val="hu-HU"/>
        </w:rPr>
        <w:t xml:space="preserve"> használatával elérhető </w:t>
      </w:r>
      <w:proofErr w:type="spellStart"/>
      <w:r>
        <w:rPr>
          <w:color w:val="auto"/>
          <w:sz w:val="22"/>
          <w:szCs w:val="22"/>
          <w:lang w:val="hu-HU"/>
        </w:rPr>
        <w:t>lipidcsökkentés</w:t>
      </w:r>
      <w:proofErr w:type="spellEnd"/>
      <w:r>
        <w:rPr>
          <w:color w:val="auto"/>
          <w:sz w:val="22"/>
          <w:szCs w:val="22"/>
          <w:lang w:val="hu-HU"/>
        </w:rPr>
        <w:t xml:space="preserve"> előnyét, mind a </w:t>
      </w:r>
      <w:proofErr w:type="spellStart"/>
      <w:r>
        <w:rPr>
          <w:color w:val="auto"/>
          <w:sz w:val="22"/>
          <w:lang w:val="hu-HU"/>
        </w:rPr>
        <w:t>rozuvasztatin</w:t>
      </w:r>
      <w:proofErr w:type="spellEnd"/>
      <w:r>
        <w:rPr>
          <w:color w:val="auto"/>
          <w:sz w:val="22"/>
          <w:lang w:val="hu-HU"/>
        </w:rPr>
        <w:t xml:space="preserve"> plazmakoncentráció lehetséges megemelkedését, amikor a </w:t>
      </w:r>
      <w:proofErr w:type="spellStart"/>
      <w:r>
        <w:rPr>
          <w:color w:val="auto"/>
          <w:sz w:val="22"/>
          <w:lang w:val="hu-HU"/>
        </w:rPr>
        <w:t>proteáz</w:t>
      </w:r>
      <w:proofErr w:type="spellEnd"/>
      <w:r>
        <w:rPr>
          <w:color w:val="auto"/>
          <w:sz w:val="22"/>
          <w:lang w:val="hu-HU"/>
        </w:rPr>
        <w:t xml:space="preserve">-inhibitorokkal kezelt betegeknél bevezetik a </w:t>
      </w:r>
      <w:proofErr w:type="spellStart"/>
      <w:r>
        <w:rPr>
          <w:color w:val="auto"/>
          <w:sz w:val="22"/>
          <w:lang w:val="hu-HU"/>
        </w:rPr>
        <w:t>rozuvasztatin</w:t>
      </w:r>
      <w:proofErr w:type="spellEnd"/>
      <w:r>
        <w:rPr>
          <w:color w:val="auto"/>
          <w:sz w:val="22"/>
          <w:lang w:val="hu-HU"/>
        </w:rPr>
        <w:t xml:space="preserve">-kezelést vagy feltitrálják a </w:t>
      </w:r>
      <w:proofErr w:type="spellStart"/>
      <w:r>
        <w:rPr>
          <w:color w:val="auto"/>
          <w:sz w:val="22"/>
          <w:lang w:val="hu-HU"/>
        </w:rPr>
        <w:t>rozuvasztatin</w:t>
      </w:r>
      <w:proofErr w:type="spellEnd"/>
      <w:r>
        <w:rPr>
          <w:color w:val="auto"/>
          <w:sz w:val="22"/>
          <w:lang w:val="hu-HU"/>
        </w:rPr>
        <w:t xml:space="preserve">-dózist. Bizonyos </w:t>
      </w:r>
      <w:proofErr w:type="spellStart"/>
      <w:r>
        <w:rPr>
          <w:color w:val="auto"/>
          <w:sz w:val="22"/>
          <w:lang w:val="hu-HU"/>
        </w:rPr>
        <w:t>proteáz</w:t>
      </w:r>
      <w:proofErr w:type="spellEnd"/>
      <w:r>
        <w:rPr>
          <w:color w:val="auto"/>
          <w:sz w:val="22"/>
          <w:lang w:val="hu-HU"/>
        </w:rPr>
        <w:t xml:space="preserve">-inhibitorokkal történő egyidejű alkalmazása nem javasolt, kivéve, ha a </w:t>
      </w:r>
      <w:proofErr w:type="spellStart"/>
      <w:r>
        <w:rPr>
          <w:color w:val="auto"/>
          <w:sz w:val="22"/>
          <w:lang w:val="hu-HU"/>
        </w:rPr>
        <w:t>rozuvasztatin</w:t>
      </w:r>
      <w:proofErr w:type="spellEnd"/>
      <w:r>
        <w:rPr>
          <w:color w:val="auto"/>
          <w:sz w:val="22"/>
          <w:lang w:val="hu-HU"/>
        </w:rPr>
        <w:t xml:space="preserve"> adagját módosítják (lásd 4.2 és 4.5 pont).</w:t>
      </w:r>
    </w:p>
    <w:p w14:paraId="61F6F56A" w14:textId="77777777" w:rsidR="007963F8" w:rsidRDefault="007963F8">
      <w:pPr>
        <w:pStyle w:val="Normal1"/>
        <w:rPr>
          <w:color w:val="auto"/>
          <w:sz w:val="22"/>
          <w:szCs w:val="22"/>
          <w:lang w:val="hu-HU"/>
        </w:rPr>
      </w:pPr>
    </w:p>
    <w:p w14:paraId="5A31D04D" w14:textId="77777777" w:rsidR="007963F8" w:rsidRDefault="008714EA">
      <w:pPr>
        <w:keepNext/>
        <w:rPr>
          <w:rFonts w:eastAsia="HG Mincho Light J"/>
          <w:szCs w:val="22"/>
          <w:u w:val="single"/>
          <w:lang w:val="hu-HU"/>
        </w:rPr>
      </w:pPr>
      <w:proofErr w:type="spellStart"/>
      <w:r>
        <w:rPr>
          <w:rFonts w:eastAsia="HG Mincho Light J"/>
          <w:szCs w:val="22"/>
          <w:u w:val="single"/>
          <w:lang w:val="hu-HU"/>
        </w:rPr>
        <w:t>Intersticiális</w:t>
      </w:r>
      <w:proofErr w:type="spellEnd"/>
      <w:r>
        <w:rPr>
          <w:rFonts w:eastAsia="HG Mincho Light J"/>
          <w:szCs w:val="22"/>
          <w:u w:val="single"/>
          <w:lang w:val="hu-HU"/>
        </w:rPr>
        <w:t xml:space="preserve"> tüdőbetegség</w:t>
      </w:r>
    </w:p>
    <w:p w14:paraId="44111049" w14:textId="77777777" w:rsidR="007963F8" w:rsidRDefault="008714EA">
      <w:pPr>
        <w:rPr>
          <w:rFonts w:eastAsia="HG Mincho Light J"/>
          <w:szCs w:val="24"/>
        </w:rPr>
      </w:pPr>
      <w:r>
        <w:rPr>
          <w:rFonts w:eastAsia="HG Mincho Light J"/>
          <w:szCs w:val="24"/>
        </w:rPr>
        <w:t xml:space="preserve">A sztatinok főleg hosszú távon történő alkalmazása mellett kivételes esetekben beszámoltak intersticiális tüdőbetegség kialakulásáról (lásd 4.8 pont). A </w:t>
      </w:r>
      <w:r>
        <w:t>jellemző tünetek közé sorolhatók a</w:t>
      </w:r>
      <w:r>
        <w:rPr>
          <w:rFonts w:eastAsia="HG Mincho Light J"/>
          <w:szCs w:val="24"/>
        </w:rPr>
        <w:t xml:space="preserve"> nehézlégzés, a száraz köhögés, az általános állapot rosszabbodása (fáradtság, súlyvesztés, láz). Amennyiben felmerül a gyanú, hogy a betegnél intersticiális tüdőbetegség fejlődött ki, a sztatin</w:t>
      </w:r>
      <w:r>
        <w:rPr>
          <w:rFonts w:eastAsia="HG Mincho Light J"/>
          <w:szCs w:val="24"/>
        </w:rPr>
        <w:noBreakHyphen/>
        <w:t>terápiát fel kell függeszteni.</w:t>
      </w:r>
    </w:p>
    <w:p w14:paraId="5DAA9317" w14:textId="77777777" w:rsidR="007963F8" w:rsidRDefault="007963F8">
      <w:pPr>
        <w:pStyle w:val="Normal1"/>
        <w:rPr>
          <w:color w:val="auto"/>
          <w:sz w:val="22"/>
          <w:szCs w:val="22"/>
          <w:lang w:val="hu-HU"/>
        </w:rPr>
      </w:pPr>
    </w:p>
    <w:p w14:paraId="73D9B9A3" w14:textId="77777777" w:rsidR="007963F8" w:rsidRDefault="008714EA">
      <w:pPr>
        <w:rPr>
          <w:szCs w:val="22"/>
          <w:u w:val="single"/>
          <w:lang w:val="hu-HU"/>
        </w:rPr>
      </w:pPr>
      <w:r>
        <w:rPr>
          <w:szCs w:val="22"/>
          <w:u w:val="single"/>
          <w:lang w:val="hu-HU"/>
        </w:rPr>
        <w:t>Diabetes mellitus</w:t>
      </w:r>
    </w:p>
    <w:p w14:paraId="02B38BB8" w14:textId="77777777" w:rsidR="007963F8" w:rsidRDefault="008714EA">
      <w:pPr>
        <w:rPr>
          <w:szCs w:val="22"/>
        </w:rPr>
      </w:pPr>
      <w:r>
        <w:rPr>
          <w:szCs w:val="22"/>
        </w:rPr>
        <w:t>A rendelkezésre álló információk alapján a sztatinok megnövelik a vércukorszintet, valamint azoknál a betegeknél, akik a későbbi diabetes kialakulása szempontjából nagy kockázatnak vannak kitéve, hyperglikaemiát okozhatnak, antidiabetikus kezelést téve szükségessé. A sztatinokkal való kezelés leállítása azonban nem indokolt, mivel a sztatinok vaszkuláris betegségek kockázatainak csökkentéséből származó előnye meghaladja a hiperglikémia kialakulásának kockázatát. A kockázatnak kitett beteget (éhomi glükóz 5,6</w:t>
      </w:r>
      <w:r>
        <w:rPr>
          <w:szCs w:val="22"/>
        </w:rPr>
        <w:noBreakHyphen/>
        <w:t>6,9 mmol/l, BMI &gt;  30 kg/m</w:t>
      </w:r>
      <w:r>
        <w:rPr>
          <w:szCs w:val="22"/>
          <w:vertAlign w:val="superscript"/>
        </w:rPr>
        <w:t>2</w:t>
      </w:r>
      <w:r>
        <w:rPr>
          <w:szCs w:val="22"/>
        </w:rPr>
        <w:t>, megnövekedett trigliceridszint, hypertonia) a nemzeti irányelveknek megfelelően klinikai és biokémiai szempontból monitorozni kell.</w:t>
      </w:r>
    </w:p>
    <w:p w14:paraId="3D03BBBB" w14:textId="77777777" w:rsidR="007963F8" w:rsidRDefault="007963F8">
      <w:pPr>
        <w:rPr>
          <w:szCs w:val="22"/>
        </w:rPr>
      </w:pPr>
    </w:p>
    <w:p w14:paraId="5345BD04" w14:textId="77777777" w:rsidR="007963F8" w:rsidRDefault="008714EA">
      <w:pPr>
        <w:rPr>
          <w:szCs w:val="22"/>
        </w:rPr>
      </w:pPr>
      <w:r>
        <w:rPr>
          <w:szCs w:val="22"/>
        </w:rPr>
        <w:t>A JUPITER vizsgálatban a bejelentett diabetes mellitus esetek összgyakorisága 2,8% volt rozuvasztatin és 2,3% placebo esetén, legfőképpen azoknál a betegeknél, akiknek az éhomi glükóz szintje 5,6</w:t>
      </w:r>
      <w:r>
        <w:rPr>
          <w:szCs w:val="22"/>
        </w:rPr>
        <w:noBreakHyphen/>
        <w:t>6,9 mmol/l volt.</w:t>
      </w:r>
    </w:p>
    <w:p w14:paraId="35712941" w14:textId="77777777" w:rsidR="007963F8" w:rsidRDefault="007963F8">
      <w:pPr>
        <w:rPr>
          <w:szCs w:val="22"/>
          <w:lang w:val="hu-HU"/>
        </w:rPr>
      </w:pPr>
    </w:p>
    <w:p w14:paraId="5148848B" w14:textId="77777777" w:rsidR="007963F8" w:rsidRDefault="008714EA">
      <w:pPr>
        <w:keepNext/>
        <w:tabs>
          <w:tab w:val="left" w:pos="567"/>
        </w:tabs>
        <w:rPr>
          <w:szCs w:val="22"/>
          <w:u w:val="single"/>
        </w:rPr>
      </w:pPr>
      <w:r>
        <w:rPr>
          <w:szCs w:val="22"/>
          <w:u w:val="single"/>
        </w:rPr>
        <w:t>Elsődleges hyperaldosteronismus</w:t>
      </w:r>
    </w:p>
    <w:p w14:paraId="6611B1D8" w14:textId="77777777" w:rsidR="007963F8" w:rsidRDefault="008714EA">
      <w:pPr>
        <w:tabs>
          <w:tab w:val="left" w:pos="567"/>
        </w:tabs>
        <w:rPr>
          <w:szCs w:val="22"/>
        </w:rPr>
      </w:pPr>
      <w:r>
        <w:rPr>
          <w:szCs w:val="22"/>
        </w:rPr>
        <w:t>Elsődleges hyperaldosteronismusban szenvedő betegeket nem szabad valzartánnal kezelni, mivel náluk a renin-angiotenzin rendszer nem aktív.</w:t>
      </w:r>
    </w:p>
    <w:p w14:paraId="4FE09425" w14:textId="77777777" w:rsidR="007963F8" w:rsidRDefault="007963F8">
      <w:pPr>
        <w:tabs>
          <w:tab w:val="left" w:pos="567"/>
        </w:tabs>
        <w:rPr>
          <w:szCs w:val="22"/>
          <w:lang w:val="hu-HU"/>
        </w:rPr>
      </w:pPr>
    </w:p>
    <w:p w14:paraId="75A01FC3" w14:textId="77777777" w:rsidR="007963F8" w:rsidRDefault="008714EA">
      <w:pPr>
        <w:tabs>
          <w:tab w:val="left" w:pos="567"/>
        </w:tabs>
        <w:rPr>
          <w:szCs w:val="22"/>
          <w:u w:val="single"/>
        </w:rPr>
      </w:pPr>
      <w:r>
        <w:rPr>
          <w:szCs w:val="22"/>
          <w:u w:val="single"/>
        </w:rPr>
        <w:t>Aorta- vagy mitrális billentyűszűkület, hypertrophiás obstructiv cardiomyopathia</w:t>
      </w:r>
    </w:p>
    <w:p w14:paraId="1AEF7141" w14:textId="77777777" w:rsidR="007963F8" w:rsidRDefault="008714EA">
      <w:pPr>
        <w:tabs>
          <w:tab w:val="left" w:pos="567"/>
        </w:tabs>
        <w:rPr>
          <w:szCs w:val="22"/>
        </w:rPr>
      </w:pPr>
      <w:r>
        <w:rPr>
          <w:szCs w:val="22"/>
        </w:rPr>
        <w:t>Akárcsak minden egyéb értágító készítmény esetében, az aorta- vagy mitrális billentyűszűkületben, illetve hypertrophiás obstructiv cardiomyopathiában (HOCM) szenvedő betegeknél különös óvatosság szükséges.</w:t>
      </w:r>
    </w:p>
    <w:p w14:paraId="6ED8965D" w14:textId="77777777" w:rsidR="007963F8" w:rsidRDefault="007963F8">
      <w:pPr>
        <w:tabs>
          <w:tab w:val="left" w:pos="567"/>
        </w:tabs>
        <w:rPr>
          <w:b/>
          <w:i/>
          <w:szCs w:val="22"/>
          <w:lang w:val="hu-HU"/>
        </w:rPr>
      </w:pPr>
    </w:p>
    <w:p w14:paraId="060D6021" w14:textId="77777777" w:rsidR="007963F8" w:rsidRDefault="008714EA">
      <w:pPr>
        <w:rPr>
          <w:szCs w:val="22"/>
          <w:u w:val="single"/>
          <w:lang w:val="hu-HU"/>
        </w:rPr>
      </w:pPr>
      <w:r>
        <w:rPr>
          <w:szCs w:val="22"/>
          <w:u w:val="single"/>
          <w:lang w:val="hu-HU"/>
        </w:rPr>
        <w:t>Terhesség</w:t>
      </w:r>
    </w:p>
    <w:p w14:paraId="4A2D8CA8" w14:textId="77777777" w:rsidR="007963F8" w:rsidRDefault="008714EA">
      <w:pPr>
        <w:rPr>
          <w:szCs w:val="22"/>
        </w:rPr>
      </w:pPr>
      <w:r>
        <w:rPr>
          <w:szCs w:val="22"/>
        </w:rPr>
        <w:t>Terhesség alatt nem szabad angiotenzin II-receptor-antagonista (AIIRA) kezelést kezdeni. Hacsak az AIIRA-kezelés folytatása nem létfontosságú, azoknál a betegeknél, akik terhességet terveznek, olyan alternatív vérnyomáscsökkentő kezelésre kell átváltani, amely biztonságosan alkalmazható terhesség ideje alatt. Terhesség megállapítása esetén az AIIRA-kezelést azonnal meg kell szakítani és – szükség esetén – alternatív kezelést kell megkezdeni (lásd 4.3 és 4.6 pont).</w:t>
      </w:r>
    </w:p>
    <w:p w14:paraId="5079EB7D" w14:textId="77777777" w:rsidR="007963F8" w:rsidRDefault="007963F8">
      <w:pPr>
        <w:tabs>
          <w:tab w:val="left" w:pos="567"/>
        </w:tabs>
        <w:rPr>
          <w:szCs w:val="22"/>
          <w:lang w:val="hu-HU"/>
        </w:rPr>
      </w:pPr>
    </w:p>
    <w:p w14:paraId="704BE7CF" w14:textId="77777777" w:rsidR="007963F8" w:rsidRDefault="008714EA">
      <w:pPr>
        <w:rPr>
          <w:szCs w:val="22"/>
          <w:u w:val="single"/>
        </w:rPr>
      </w:pPr>
      <w:r>
        <w:rPr>
          <w:szCs w:val="22"/>
          <w:u w:val="single"/>
        </w:rPr>
        <w:t>Angiooedema a kórelőzményben</w:t>
      </w:r>
    </w:p>
    <w:p w14:paraId="2B08E264" w14:textId="77777777" w:rsidR="007963F8" w:rsidRDefault="008714EA">
      <w:pPr>
        <w:rPr>
          <w:szCs w:val="22"/>
        </w:rPr>
      </w:pPr>
      <w:r>
        <w:rPr>
          <w:szCs w:val="22"/>
        </w:rPr>
        <w:t xml:space="preserve">A valzartánt szedő betegeknél angiooedemáról (beleértve a gége és a glottis megduzzadását, amely a légutak elzáródását okozhatja és/vagy az arc, az ajkak, a garat és/vagy a nyelv feldagadását) számoltak be. A betegek egy részénél már előzőleg kialakult angioödéma más gyógyszerek (például ACE-gátlók) szedésekor. A Ravalsyo szedését azonnal abba kell hagyni azoknál a betegeknél, akiknél angiooedema alakul ki, és a </w:t>
      </w:r>
      <w:proofErr w:type="spellStart"/>
      <w:r>
        <w:rPr>
          <w:szCs w:val="22"/>
          <w:lang w:val="hu-HU"/>
        </w:rPr>
        <w:t>Ravalsyo</w:t>
      </w:r>
      <w:proofErr w:type="spellEnd"/>
      <w:r>
        <w:rPr>
          <w:szCs w:val="22"/>
          <w:lang w:val="hu-HU"/>
        </w:rPr>
        <w:t xml:space="preserve">-t </w:t>
      </w:r>
      <w:r>
        <w:rPr>
          <w:szCs w:val="22"/>
        </w:rPr>
        <w:t>nem szabad újra alkalmazni (lásd 4.8 pont).</w:t>
      </w:r>
    </w:p>
    <w:p w14:paraId="0EE1E947" w14:textId="77777777" w:rsidR="007963F8" w:rsidRDefault="007963F8">
      <w:pPr>
        <w:tabs>
          <w:tab w:val="left" w:pos="567"/>
        </w:tabs>
        <w:rPr>
          <w:szCs w:val="22"/>
          <w:lang w:val="hu-HU"/>
        </w:rPr>
      </w:pPr>
    </w:p>
    <w:p w14:paraId="0BBEFF32" w14:textId="77777777" w:rsidR="007963F8" w:rsidRDefault="008714EA">
      <w:pPr>
        <w:tabs>
          <w:tab w:val="left" w:pos="567"/>
        </w:tabs>
        <w:rPr>
          <w:szCs w:val="22"/>
          <w:lang w:val="hu-HU"/>
        </w:rPr>
      </w:pPr>
      <w:r>
        <w:rPr>
          <w:szCs w:val="22"/>
          <w:lang w:val="hu-HU"/>
        </w:rPr>
        <w:t xml:space="preserve">A </w:t>
      </w:r>
      <w:proofErr w:type="spellStart"/>
      <w:r>
        <w:rPr>
          <w:szCs w:val="22"/>
          <w:lang w:val="hu-HU"/>
        </w:rPr>
        <w:t>Ravalsyo</w:t>
      </w:r>
      <w:proofErr w:type="spellEnd"/>
      <w:r>
        <w:rPr>
          <w:szCs w:val="22"/>
          <w:lang w:val="hu-HU"/>
        </w:rPr>
        <w:t xml:space="preserve"> </w:t>
      </w:r>
      <w:proofErr w:type="spellStart"/>
      <w:r>
        <w:rPr>
          <w:szCs w:val="22"/>
          <w:lang w:val="hu-HU"/>
        </w:rPr>
        <w:t>laktózt</w:t>
      </w:r>
      <w:proofErr w:type="spellEnd"/>
      <w:r>
        <w:rPr>
          <w:szCs w:val="22"/>
          <w:lang w:val="hu-HU"/>
        </w:rPr>
        <w:t xml:space="preserve"> tartalmaz. </w:t>
      </w:r>
      <w:r>
        <w:rPr>
          <w:bCs/>
          <w:szCs w:val="22"/>
          <w:lang w:val="hu-HU"/>
        </w:rPr>
        <w:t xml:space="preserve">Ritkán előforduló, </w:t>
      </w:r>
      <w:r>
        <w:rPr>
          <w:szCs w:val="22"/>
          <w:lang w:val="hu-HU"/>
        </w:rPr>
        <w:t xml:space="preserve">örökletes </w:t>
      </w:r>
      <w:proofErr w:type="spellStart"/>
      <w:r>
        <w:rPr>
          <w:szCs w:val="22"/>
          <w:lang w:val="hu-HU"/>
        </w:rPr>
        <w:t>galaktóz</w:t>
      </w:r>
      <w:proofErr w:type="spellEnd"/>
      <w:r>
        <w:rPr>
          <w:szCs w:val="22"/>
          <w:lang w:val="hu-HU"/>
        </w:rPr>
        <w:t xml:space="preserve">-intoleranciában, teljes </w:t>
      </w:r>
      <w:proofErr w:type="spellStart"/>
      <w:r>
        <w:rPr>
          <w:szCs w:val="22"/>
          <w:lang w:val="hu-HU"/>
        </w:rPr>
        <w:t>laktázhiányban</w:t>
      </w:r>
      <w:proofErr w:type="spellEnd"/>
      <w:r>
        <w:rPr>
          <w:szCs w:val="22"/>
          <w:lang w:val="hu-HU"/>
        </w:rPr>
        <w:t xml:space="preserve"> vagy glükóz</w:t>
      </w:r>
      <w:r>
        <w:rPr>
          <w:szCs w:val="22"/>
          <w:lang w:val="hu-HU"/>
        </w:rPr>
        <w:noBreakHyphen/>
      </w:r>
      <w:proofErr w:type="spellStart"/>
      <w:r>
        <w:rPr>
          <w:szCs w:val="22"/>
          <w:lang w:val="hu-HU"/>
        </w:rPr>
        <w:t>galaktóz</w:t>
      </w:r>
      <w:proofErr w:type="spellEnd"/>
      <w:r>
        <w:rPr>
          <w:szCs w:val="22"/>
          <w:lang w:val="hu-HU"/>
        </w:rPr>
        <w:t xml:space="preserve"> </w:t>
      </w:r>
      <w:proofErr w:type="spellStart"/>
      <w:r>
        <w:rPr>
          <w:szCs w:val="22"/>
          <w:lang w:val="hu-HU"/>
        </w:rPr>
        <w:t>malabszorpcióban</w:t>
      </w:r>
      <w:proofErr w:type="spellEnd"/>
      <w:r>
        <w:rPr>
          <w:szCs w:val="22"/>
          <w:lang w:val="hu-HU"/>
        </w:rPr>
        <w:t xml:space="preserve"> a készítmény nem szedhető.</w:t>
      </w:r>
    </w:p>
    <w:p w14:paraId="3950CFB2" w14:textId="77777777" w:rsidR="007963F8" w:rsidRDefault="007963F8">
      <w:pPr>
        <w:tabs>
          <w:tab w:val="left" w:pos="567"/>
        </w:tabs>
        <w:rPr>
          <w:szCs w:val="22"/>
          <w:lang w:val="hu-HU"/>
        </w:rPr>
      </w:pPr>
    </w:p>
    <w:p w14:paraId="6C3CB1C8" w14:textId="77777777" w:rsidR="007963F8" w:rsidRDefault="008714EA">
      <w:pPr>
        <w:tabs>
          <w:tab w:val="left" w:pos="567"/>
        </w:tabs>
        <w:rPr>
          <w:szCs w:val="22"/>
          <w:lang w:val="hu-HU"/>
        </w:rPr>
      </w:pPr>
      <w:r>
        <w:rPr>
          <w:szCs w:val="22"/>
          <w:lang w:val="hu-HU"/>
        </w:rPr>
        <w:t>Ez a gyógyszer kevesebb, mint 1 </w:t>
      </w:r>
      <w:proofErr w:type="spellStart"/>
      <w:r>
        <w:rPr>
          <w:szCs w:val="22"/>
          <w:lang w:val="hu-HU"/>
        </w:rPr>
        <w:t>mmol</w:t>
      </w:r>
      <w:proofErr w:type="spellEnd"/>
      <w:r>
        <w:rPr>
          <w:szCs w:val="22"/>
          <w:lang w:val="hu-HU"/>
        </w:rPr>
        <w:t xml:space="preserve"> (23 mg) nátriumot tartalmaz tablettánként, azaz gyakorlatilag „nátriummentes”.</w:t>
      </w:r>
    </w:p>
    <w:p w14:paraId="6F7D48DA" w14:textId="77777777" w:rsidR="007963F8" w:rsidRDefault="007963F8">
      <w:pPr>
        <w:tabs>
          <w:tab w:val="left" w:pos="567"/>
        </w:tabs>
        <w:rPr>
          <w:szCs w:val="22"/>
          <w:lang w:val="hu-HU"/>
        </w:rPr>
      </w:pPr>
    </w:p>
    <w:p w14:paraId="3460D57F" w14:textId="77777777" w:rsidR="007963F8" w:rsidRDefault="008714EA" w:rsidP="005924D0">
      <w:pPr>
        <w:keepNext/>
        <w:tabs>
          <w:tab w:val="left" w:pos="567"/>
        </w:tabs>
        <w:ind w:left="567" w:hanging="567"/>
        <w:rPr>
          <w:b/>
          <w:szCs w:val="22"/>
          <w:lang w:val="hu-HU"/>
        </w:rPr>
      </w:pPr>
      <w:r>
        <w:rPr>
          <w:b/>
          <w:szCs w:val="22"/>
          <w:lang w:val="hu-HU"/>
        </w:rPr>
        <w:lastRenderedPageBreak/>
        <w:t>4.5</w:t>
      </w:r>
      <w:r>
        <w:rPr>
          <w:b/>
          <w:szCs w:val="22"/>
          <w:lang w:val="hu-HU"/>
        </w:rPr>
        <w:tab/>
        <w:t>Gyógyszerkölcsönhatások és egyéb interakciók</w:t>
      </w:r>
    </w:p>
    <w:p w14:paraId="01EB3E2F" w14:textId="77777777" w:rsidR="007963F8" w:rsidRDefault="007963F8">
      <w:pPr>
        <w:tabs>
          <w:tab w:val="left" w:pos="567"/>
        </w:tabs>
        <w:rPr>
          <w:b/>
          <w:szCs w:val="22"/>
          <w:lang w:val="hu-HU"/>
        </w:rPr>
      </w:pPr>
    </w:p>
    <w:p w14:paraId="38BD4AC5" w14:textId="77777777" w:rsidR="007963F8" w:rsidRDefault="008714EA">
      <w:pPr>
        <w:widowControl w:val="0"/>
        <w:rPr>
          <w:szCs w:val="22"/>
          <w:u w:val="single"/>
          <w:lang w:val="hu-HU"/>
        </w:rPr>
      </w:pPr>
      <w:r>
        <w:rPr>
          <w:szCs w:val="22"/>
          <w:u w:val="single"/>
          <w:lang w:val="hu-HU" w:eastAsia="en-US"/>
        </w:rPr>
        <w:t xml:space="preserve">A </w:t>
      </w:r>
      <w:proofErr w:type="spellStart"/>
      <w:r>
        <w:rPr>
          <w:szCs w:val="22"/>
          <w:u w:val="single"/>
          <w:lang w:val="hu-HU" w:eastAsia="en-US"/>
        </w:rPr>
        <w:t>Ravalsyo</w:t>
      </w:r>
      <w:proofErr w:type="spellEnd"/>
      <w:r>
        <w:rPr>
          <w:szCs w:val="22"/>
          <w:u w:val="single"/>
          <w:lang w:val="hu-HU"/>
        </w:rPr>
        <w:t>-hoz kapcsolódóan</w:t>
      </w:r>
    </w:p>
    <w:p w14:paraId="50EA3C29" w14:textId="77777777" w:rsidR="007963F8" w:rsidRDefault="007963F8">
      <w:pPr>
        <w:widowControl w:val="0"/>
        <w:rPr>
          <w:szCs w:val="22"/>
          <w:lang w:val="hu-HU" w:eastAsia="en-US"/>
        </w:rPr>
      </w:pPr>
    </w:p>
    <w:p w14:paraId="4512E482" w14:textId="77777777" w:rsidR="007963F8" w:rsidRDefault="008714EA">
      <w:pPr>
        <w:widowControl w:val="0"/>
        <w:rPr>
          <w:szCs w:val="22"/>
          <w:lang w:val="hu-HU"/>
        </w:rPr>
      </w:pPr>
      <w:r>
        <w:rPr>
          <w:szCs w:val="22"/>
          <w:lang w:val="hu-HU" w:eastAsia="en-US"/>
        </w:rPr>
        <w:t xml:space="preserve">Nem végeztek interakciós vizsgálatokat a </w:t>
      </w:r>
      <w:proofErr w:type="spellStart"/>
      <w:r>
        <w:rPr>
          <w:szCs w:val="22"/>
          <w:lang w:val="hu-HU" w:eastAsia="en-US"/>
        </w:rPr>
        <w:t>Ravalsyo</w:t>
      </w:r>
      <w:r>
        <w:rPr>
          <w:szCs w:val="22"/>
          <w:lang w:val="hu-HU"/>
        </w:rPr>
        <w:t>-val</w:t>
      </w:r>
      <w:proofErr w:type="spellEnd"/>
      <w:r>
        <w:rPr>
          <w:szCs w:val="22"/>
          <w:lang w:val="hu-HU"/>
        </w:rPr>
        <w:t xml:space="preserve"> és más gyógyszerekkel.</w:t>
      </w:r>
    </w:p>
    <w:p w14:paraId="00D5337C" w14:textId="77777777" w:rsidR="007963F8" w:rsidRDefault="007963F8">
      <w:pPr>
        <w:widowControl w:val="0"/>
        <w:rPr>
          <w:szCs w:val="22"/>
          <w:lang w:val="hu-HU"/>
        </w:rPr>
      </w:pPr>
    </w:p>
    <w:p w14:paraId="0E24D0E0" w14:textId="77777777" w:rsidR="007963F8" w:rsidRDefault="008714EA">
      <w:pPr>
        <w:keepNext/>
        <w:widowControl w:val="0"/>
        <w:rPr>
          <w:szCs w:val="22"/>
          <w:u w:val="single"/>
          <w:lang w:val="hu-HU"/>
        </w:rPr>
      </w:pPr>
      <w:r>
        <w:rPr>
          <w:szCs w:val="22"/>
          <w:u w:val="single"/>
          <w:lang w:val="hu-HU"/>
        </w:rPr>
        <w:t xml:space="preserve">A </w:t>
      </w:r>
      <w:proofErr w:type="spellStart"/>
      <w:r>
        <w:rPr>
          <w:szCs w:val="22"/>
          <w:u w:val="single"/>
          <w:lang w:val="hu-HU"/>
        </w:rPr>
        <w:t>valzartán</w:t>
      </w:r>
      <w:proofErr w:type="spellEnd"/>
      <w:r>
        <w:rPr>
          <w:szCs w:val="22"/>
          <w:u w:val="single"/>
          <w:lang w:val="hu-HU"/>
        </w:rPr>
        <w:t xml:space="preserve"> összetevőhöz kapcsolódóan</w:t>
      </w:r>
    </w:p>
    <w:p w14:paraId="356DD707" w14:textId="77777777" w:rsidR="007963F8" w:rsidRDefault="007963F8">
      <w:pPr>
        <w:widowControl w:val="0"/>
        <w:rPr>
          <w:szCs w:val="22"/>
          <w:lang w:val="hu-HU"/>
        </w:rPr>
      </w:pPr>
    </w:p>
    <w:p w14:paraId="51DEE89E" w14:textId="77777777" w:rsidR="007963F8" w:rsidRDefault="008714EA">
      <w:pPr>
        <w:widowControl w:val="0"/>
        <w:tabs>
          <w:tab w:val="left" w:pos="0"/>
        </w:tabs>
        <w:rPr>
          <w:i/>
          <w:szCs w:val="22"/>
        </w:rPr>
      </w:pPr>
      <w:r>
        <w:rPr>
          <w:i/>
          <w:szCs w:val="22"/>
        </w:rPr>
        <w:t>A renin-angiotenzin-aldoszteron rendszer (RAAS) kettős blokádja ARB-kkel, ACE-gátlókkal vagy aliszkirénnel</w:t>
      </w:r>
    </w:p>
    <w:p w14:paraId="6F8ED90D" w14:textId="77777777" w:rsidR="007963F8" w:rsidRDefault="008714EA">
      <w:pPr>
        <w:pStyle w:val="Nincstrkz"/>
        <w:rPr>
          <w:sz w:val="22"/>
          <w:szCs w:val="22"/>
        </w:rPr>
      </w:pPr>
      <w:r>
        <w:rPr>
          <w:sz w:val="22"/>
          <w:szCs w:val="22"/>
        </w:rPr>
        <w:t xml:space="preserve">A klinikai vizsgálati adatok azt mutatták, hogy a </w:t>
      </w:r>
      <w:proofErr w:type="spellStart"/>
      <w:r>
        <w:rPr>
          <w:sz w:val="22"/>
          <w:szCs w:val="22"/>
        </w:rPr>
        <w:t>renin-angiotenzin-aldoszteron</w:t>
      </w:r>
      <w:proofErr w:type="spellEnd"/>
      <w:r>
        <w:rPr>
          <w:sz w:val="22"/>
          <w:szCs w:val="22"/>
        </w:rPr>
        <w:t xml:space="preserve"> rendszernek (RAAS) ACE-gátlók, </w:t>
      </w:r>
      <w:proofErr w:type="spellStart"/>
      <w:r>
        <w:rPr>
          <w:sz w:val="22"/>
          <w:szCs w:val="22"/>
        </w:rPr>
        <w:t>angiotenzin</w:t>
      </w:r>
      <w:proofErr w:type="spellEnd"/>
      <w:r>
        <w:rPr>
          <w:sz w:val="22"/>
          <w:szCs w:val="22"/>
        </w:rPr>
        <w:t xml:space="preserve"> II receptor-blokkolók vagy </w:t>
      </w:r>
      <w:proofErr w:type="spellStart"/>
      <w:r>
        <w:rPr>
          <w:sz w:val="22"/>
          <w:szCs w:val="22"/>
        </w:rPr>
        <w:t>aliszkirén</w:t>
      </w:r>
      <w:proofErr w:type="spellEnd"/>
      <w:r>
        <w:rPr>
          <w:sz w:val="22"/>
          <w:szCs w:val="22"/>
        </w:rPr>
        <w:t xml:space="preserve"> kombinációjával történő kettős blokádja nagyobb gyakorisággal okoz mellékhatásokat, például </w:t>
      </w:r>
      <w:proofErr w:type="spellStart"/>
      <w:r>
        <w:rPr>
          <w:sz w:val="22"/>
          <w:szCs w:val="22"/>
        </w:rPr>
        <w:t>hypotoniát</w:t>
      </w:r>
      <w:proofErr w:type="spellEnd"/>
      <w:r>
        <w:rPr>
          <w:sz w:val="22"/>
          <w:szCs w:val="22"/>
        </w:rPr>
        <w:t xml:space="preserve">, </w:t>
      </w:r>
      <w:proofErr w:type="spellStart"/>
      <w:r>
        <w:rPr>
          <w:sz w:val="22"/>
          <w:szCs w:val="22"/>
        </w:rPr>
        <w:t>hyperkalaemiát</w:t>
      </w:r>
      <w:proofErr w:type="spellEnd"/>
      <w:r>
        <w:rPr>
          <w:sz w:val="22"/>
          <w:szCs w:val="22"/>
        </w:rPr>
        <w:t xml:space="preserve"> vagy beszűkült veseműködést (többek között akut veseelégtelenséget), mint a csak egyféle RAAS-</w:t>
      </w:r>
      <w:proofErr w:type="spellStart"/>
      <w:r>
        <w:rPr>
          <w:sz w:val="22"/>
          <w:szCs w:val="22"/>
        </w:rPr>
        <w:t>ra</w:t>
      </w:r>
      <w:proofErr w:type="spellEnd"/>
      <w:r>
        <w:rPr>
          <w:sz w:val="22"/>
          <w:szCs w:val="22"/>
        </w:rPr>
        <w:t xml:space="preserve"> ható szer alkalmazása (lásd 4.3, 4.4 és 5.1 pont).</w:t>
      </w:r>
    </w:p>
    <w:p w14:paraId="5629B7E4" w14:textId="77777777" w:rsidR="007963F8" w:rsidRDefault="007963F8">
      <w:pPr>
        <w:widowControl w:val="0"/>
        <w:rPr>
          <w:szCs w:val="22"/>
          <w:lang w:val="hu-HU" w:eastAsia="en-US"/>
        </w:rPr>
      </w:pPr>
    </w:p>
    <w:p w14:paraId="19807C86" w14:textId="77777777" w:rsidR="007963F8" w:rsidRDefault="008714EA">
      <w:pPr>
        <w:keepNext/>
        <w:tabs>
          <w:tab w:val="left" w:pos="567"/>
        </w:tabs>
        <w:rPr>
          <w:bCs/>
          <w:i/>
          <w:iCs/>
          <w:szCs w:val="22"/>
          <w:u w:val="single"/>
          <w:lang w:val="hu-HU"/>
        </w:rPr>
      </w:pPr>
      <w:r>
        <w:rPr>
          <w:bCs/>
          <w:i/>
          <w:iCs/>
          <w:szCs w:val="22"/>
          <w:u w:val="single"/>
          <w:lang w:val="hu-HU"/>
        </w:rPr>
        <w:t>Az egyidejű alkalmazás nem ajánlott</w:t>
      </w:r>
    </w:p>
    <w:p w14:paraId="7135DA39" w14:textId="77777777" w:rsidR="007963F8" w:rsidRDefault="007963F8">
      <w:pPr>
        <w:keepNext/>
        <w:widowControl w:val="0"/>
        <w:rPr>
          <w:szCs w:val="22"/>
          <w:lang w:val="hu-HU" w:eastAsia="en-US"/>
        </w:rPr>
      </w:pPr>
    </w:p>
    <w:p w14:paraId="3A01A9BA" w14:textId="77777777" w:rsidR="007963F8" w:rsidRDefault="008714EA">
      <w:pPr>
        <w:tabs>
          <w:tab w:val="left" w:pos="567"/>
        </w:tabs>
        <w:rPr>
          <w:i/>
          <w:iCs/>
          <w:szCs w:val="22"/>
          <w:lang w:val="hu-HU"/>
        </w:rPr>
      </w:pPr>
      <w:r>
        <w:rPr>
          <w:i/>
          <w:iCs/>
          <w:szCs w:val="22"/>
          <w:lang w:val="hu-HU"/>
        </w:rPr>
        <w:t>Lítium</w:t>
      </w:r>
    </w:p>
    <w:p w14:paraId="6CD9297F" w14:textId="77777777" w:rsidR="007963F8" w:rsidRDefault="008714EA">
      <w:pPr>
        <w:tabs>
          <w:tab w:val="left" w:pos="567"/>
        </w:tabs>
        <w:rPr>
          <w:szCs w:val="22"/>
          <w:lang w:val="hu-HU"/>
        </w:rPr>
      </w:pPr>
      <w:r>
        <w:rPr>
          <w:szCs w:val="22"/>
          <w:lang w:val="hu-HU"/>
        </w:rPr>
        <w:t xml:space="preserve">ACE-gátlókkal való egyidejű alkalmazása során a szérum lítiumkoncentráció és toxicitás reverzibilis növekedéséről számoltak be. Mivel nincs tapasztalat a </w:t>
      </w:r>
      <w:proofErr w:type="spellStart"/>
      <w:r>
        <w:rPr>
          <w:szCs w:val="22"/>
          <w:lang w:val="hu-HU"/>
        </w:rPr>
        <w:t>valzartán</w:t>
      </w:r>
      <w:proofErr w:type="spellEnd"/>
      <w:r>
        <w:rPr>
          <w:szCs w:val="22"/>
          <w:lang w:val="hu-HU"/>
        </w:rPr>
        <w:t xml:space="preserve"> és lítium egyidejű alkalmazásával, ez a kombináció nem ajánlott. Amennyiben </w:t>
      </w:r>
      <w:proofErr w:type="spellStart"/>
      <w:r>
        <w:rPr>
          <w:szCs w:val="22"/>
          <w:lang w:val="hu-HU"/>
        </w:rPr>
        <w:t>együttadásuk</w:t>
      </w:r>
      <w:proofErr w:type="spellEnd"/>
      <w:r>
        <w:rPr>
          <w:szCs w:val="22"/>
          <w:lang w:val="hu-HU"/>
        </w:rPr>
        <w:t xml:space="preserve"> szükségesnek bizonyul, a szérum lítiumszint gondos </w:t>
      </w:r>
      <w:proofErr w:type="spellStart"/>
      <w:r>
        <w:rPr>
          <w:szCs w:val="22"/>
          <w:lang w:val="hu-HU"/>
        </w:rPr>
        <w:t>monitorozása</w:t>
      </w:r>
      <w:proofErr w:type="spellEnd"/>
      <w:r>
        <w:rPr>
          <w:szCs w:val="22"/>
          <w:lang w:val="hu-HU"/>
        </w:rPr>
        <w:t xml:space="preserve"> ajánlott.</w:t>
      </w:r>
    </w:p>
    <w:p w14:paraId="6219E0AD" w14:textId="77777777" w:rsidR="007963F8" w:rsidRDefault="007963F8">
      <w:pPr>
        <w:tabs>
          <w:tab w:val="left" w:pos="567"/>
        </w:tabs>
        <w:rPr>
          <w:szCs w:val="22"/>
          <w:lang w:val="hu-HU"/>
        </w:rPr>
      </w:pPr>
    </w:p>
    <w:p w14:paraId="15CD2A49" w14:textId="77777777" w:rsidR="007963F8" w:rsidRDefault="008714EA">
      <w:pPr>
        <w:tabs>
          <w:tab w:val="left" w:pos="567"/>
        </w:tabs>
        <w:rPr>
          <w:i/>
          <w:iCs/>
          <w:szCs w:val="22"/>
          <w:lang w:val="hu-HU"/>
        </w:rPr>
      </w:pPr>
      <w:r>
        <w:rPr>
          <w:i/>
          <w:iCs/>
          <w:szCs w:val="22"/>
          <w:lang w:val="hu-HU"/>
        </w:rPr>
        <w:t xml:space="preserve">Káliummegtakarító </w:t>
      </w:r>
      <w:proofErr w:type="spellStart"/>
      <w:r>
        <w:rPr>
          <w:i/>
          <w:iCs/>
          <w:szCs w:val="22"/>
          <w:lang w:val="hu-HU"/>
        </w:rPr>
        <w:t>diuretikumok</w:t>
      </w:r>
      <w:proofErr w:type="spellEnd"/>
      <w:r>
        <w:rPr>
          <w:i/>
          <w:iCs/>
          <w:szCs w:val="22"/>
          <w:lang w:val="hu-HU"/>
        </w:rPr>
        <w:t xml:space="preserve">, káliumpótlók, </w:t>
      </w:r>
      <w:proofErr w:type="spellStart"/>
      <w:r>
        <w:rPr>
          <w:i/>
          <w:iCs/>
          <w:szCs w:val="22"/>
          <w:lang w:val="hu-HU"/>
        </w:rPr>
        <w:t>káliumtartalmú</w:t>
      </w:r>
      <w:proofErr w:type="spellEnd"/>
      <w:r>
        <w:rPr>
          <w:i/>
          <w:iCs/>
          <w:szCs w:val="22"/>
          <w:lang w:val="hu-HU"/>
        </w:rPr>
        <w:t xml:space="preserve"> sópótlók és egyéb készítmények, amelyek növelhetik a káliumszintet</w:t>
      </w:r>
    </w:p>
    <w:p w14:paraId="7ADBF966" w14:textId="77777777" w:rsidR="007963F8" w:rsidRDefault="008714EA">
      <w:pPr>
        <w:tabs>
          <w:tab w:val="left" w:pos="567"/>
        </w:tabs>
        <w:rPr>
          <w:szCs w:val="22"/>
          <w:lang w:val="hu-HU"/>
        </w:rPr>
      </w:pPr>
      <w:r>
        <w:rPr>
          <w:szCs w:val="22"/>
          <w:lang w:val="hu-HU"/>
        </w:rPr>
        <w:t xml:space="preserve">Amennyiben szükségesnek tartják egy káliumszintet befolyásoló gyógyszer és a </w:t>
      </w:r>
      <w:proofErr w:type="spellStart"/>
      <w:r>
        <w:rPr>
          <w:szCs w:val="22"/>
          <w:lang w:val="hu-HU"/>
        </w:rPr>
        <w:t>valzartán</w:t>
      </w:r>
      <w:proofErr w:type="spellEnd"/>
      <w:r>
        <w:rPr>
          <w:szCs w:val="22"/>
          <w:lang w:val="hu-HU"/>
        </w:rPr>
        <w:t xml:space="preserve"> egyidejű alkalmazását, tanácsos </w:t>
      </w:r>
      <w:proofErr w:type="spellStart"/>
      <w:r>
        <w:rPr>
          <w:szCs w:val="22"/>
          <w:lang w:val="hu-HU"/>
        </w:rPr>
        <w:t>monitorozni</w:t>
      </w:r>
      <w:proofErr w:type="spellEnd"/>
      <w:r>
        <w:rPr>
          <w:szCs w:val="22"/>
          <w:lang w:val="hu-HU"/>
        </w:rPr>
        <w:t xml:space="preserve"> a plazma káliumszintjét.</w:t>
      </w:r>
    </w:p>
    <w:p w14:paraId="63FBB7D0" w14:textId="77777777" w:rsidR="007963F8" w:rsidRDefault="007963F8">
      <w:pPr>
        <w:tabs>
          <w:tab w:val="left" w:pos="567"/>
        </w:tabs>
        <w:rPr>
          <w:szCs w:val="22"/>
          <w:lang w:val="hu-HU"/>
        </w:rPr>
      </w:pPr>
    </w:p>
    <w:p w14:paraId="4AC786D8" w14:textId="77777777" w:rsidR="007963F8" w:rsidRDefault="008714EA">
      <w:pPr>
        <w:tabs>
          <w:tab w:val="left" w:pos="567"/>
        </w:tabs>
        <w:rPr>
          <w:i/>
          <w:iCs/>
          <w:szCs w:val="22"/>
          <w:u w:val="single"/>
          <w:lang w:val="hu-HU"/>
        </w:rPr>
      </w:pPr>
      <w:r>
        <w:rPr>
          <w:i/>
          <w:iCs/>
          <w:szCs w:val="22"/>
          <w:u w:val="single"/>
          <w:lang w:val="hu-HU"/>
        </w:rPr>
        <w:t>Egyidejű alkalmazás esetén óvatosság szükséges</w:t>
      </w:r>
    </w:p>
    <w:p w14:paraId="638CF5F7" w14:textId="77777777" w:rsidR="007963F8" w:rsidRDefault="007963F8">
      <w:pPr>
        <w:widowControl w:val="0"/>
        <w:rPr>
          <w:szCs w:val="22"/>
          <w:lang w:val="hu-HU" w:eastAsia="en-US"/>
        </w:rPr>
      </w:pPr>
    </w:p>
    <w:p w14:paraId="31C4FB58" w14:textId="77777777" w:rsidR="007963F8" w:rsidRDefault="008714EA">
      <w:pPr>
        <w:tabs>
          <w:tab w:val="left" w:pos="567"/>
        </w:tabs>
        <w:rPr>
          <w:i/>
          <w:iCs/>
          <w:szCs w:val="22"/>
          <w:lang w:val="hu-HU"/>
        </w:rPr>
      </w:pPr>
      <w:r>
        <w:rPr>
          <w:i/>
          <w:iCs/>
          <w:szCs w:val="22"/>
          <w:lang w:val="hu-HU"/>
        </w:rPr>
        <w:t>Nem-szteroid gyulladásgátlók (NSAID</w:t>
      </w:r>
      <w:r>
        <w:rPr>
          <w:i/>
          <w:iCs/>
          <w:szCs w:val="22"/>
          <w:lang w:val="hu-HU"/>
        </w:rPr>
        <w:noBreakHyphen/>
        <w:t xml:space="preserve">ok), pl. szelektív COX-2-gátlók, </w:t>
      </w:r>
      <w:proofErr w:type="spellStart"/>
      <w:r>
        <w:rPr>
          <w:i/>
          <w:iCs/>
          <w:szCs w:val="22"/>
          <w:lang w:val="hu-HU"/>
        </w:rPr>
        <w:t>acetilszalicilsav</w:t>
      </w:r>
      <w:proofErr w:type="spellEnd"/>
      <w:r>
        <w:rPr>
          <w:i/>
          <w:iCs/>
          <w:szCs w:val="22"/>
          <w:lang w:val="hu-HU"/>
        </w:rPr>
        <w:t xml:space="preserve"> (&gt; 3 g/nap) és nem-szelektív NSAID-ok</w:t>
      </w:r>
    </w:p>
    <w:p w14:paraId="6CEB270C" w14:textId="77777777" w:rsidR="007963F8" w:rsidRDefault="008714EA">
      <w:pPr>
        <w:tabs>
          <w:tab w:val="left" w:pos="567"/>
        </w:tabs>
        <w:rPr>
          <w:szCs w:val="22"/>
          <w:lang w:val="hu-HU"/>
        </w:rPr>
      </w:pPr>
      <w:proofErr w:type="spellStart"/>
      <w:r>
        <w:rPr>
          <w:szCs w:val="22"/>
          <w:lang w:val="hu-HU"/>
        </w:rPr>
        <w:t>Angiotenzin</w:t>
      </w:r>
      <w:proofErr w:type="spellEnd"/>
      <w:r>
        <w:rPr>
          <w:szCs w:val="22"/>
          <w:lang w:val="hu-HU"/>
        </w:rPr>
        <w:t> II-</w:t>
      </w:r>
      <w:proofErr w:type="spellStart"/>
      <w:r>
        <w:rPr>
          <w:szCs w:val="22"/>
          <w:lang w:val="hu-HU"/>
        </w:rPr>
        <w:t>antagonisták</w:t>
      </w:r>
      <w:proofErr w:type="spellEnd"/>
      <w:r>
        <w:rPr>
          <w:szCs w:val="22"/>
          <w:lang w:val="hu-HU"/>
        </w:rPr>
        <w:t xml:space="preserve"> és nem-szteroid gyulladásgátlók egyidejű alkalmazásakor csökkenhet az </w:t>
      </w:r>
      <w:proofErr w:type="spellStart"/>
      <w:r>
        <w:rPr>
          <w:szCs w:val="22"/>
          <w:lang w:val="hu-HU"/>
        </w:rPr>
        <w:t>antihipertenzív</w:t>
      </w:r>
      <w:proofErr w:type="spellEnd"/>
      <w:r>
        <w:rPr>
          <w:szCs w:val="22"/>
          <w:lang w:val="hu-HU"/>
        </w:rPr>
        <w:t xml:space="preserve"> hatás. Ezen felül, az </w:t>
      </w:r>
      <w:proofErr w:type="spellStart"/>
      <w:r>
        <w:rPr>
          <w:szCs w:val="22"/>
          <w:lang w:val="hu-HU"/>
        </w:rPr>
        <w:t>angiotenzin</w:t>
      </w:r>
      <w:proofErr w:type="spellEnd"/>
      <w:r>
        <w:rPr>
          <w:szCs w:val="22"/>
          <w:lang w:val="hu-HU"/>
        </w:rPr>
        <w:t> II-</w:t>
      </w:r>
      <w:proofErr w:type="spellStart"/>
      <w:r>
        <w:rPr>
          <w:szCs w:val="22"/>
          <w:lang w:val="hu-HU"/>
        </w:rPr>
        <w:t>antagonisták</w:t>
      </w:r>
      <w:proofErr w:type="spellEnd"/>
      <w:r>
        <w:rPr>
          <w:szCs w:val="22"/>
          <w:lang w:val="hu-HU"/>
        </w:rPr>
        <w:t xml:space="preserve"> és a NSAID-ok egyidejű alkalmazása a veseműködés romlás fokozott kockázatához és a </w:t>
      </w:r>
      <w:r>
        <w:rPr>
          <w:szCs w:val="22"/>
        </w:rPr>
        <w:t>szérum káliumszint</w:t>
      </w:r>
      <w:r>
        <w:rPr>
          <w:szCs w:val="22"/>
          <w:lang w:val="hu-HU"/>
        </w:rPr>
        <w:t xml:space="preserve"> emelkedéséhez vezethet. Ezért a kezelés elején ajánlott </w:t>
      </w:r>
      <w:proofErr w:type="spellStart"/>
      <w:r>
        <w:rPr>
          <w:szCs w:val="22"/>
          <w:lang w:val="hu-HU"/>
        </w:rPr>
        <w:t>monitorozni</w:t>
      </w:r>
      <w:proofErr w:type="spellEnd"/>
      <w:r>
        <w:rPr>
          <w:szCs w:val="22"/>
          <w:lang w:val="hu-HU"/>
        </w:rPr>
        <w:t xml:space="preserve"> a veseműködést, illetve gondoskodni a beteg megfelelő hidrálásáról.</w:t>
      </w:r>
    </w:p>
    <w:p w14:paraId="1445ED86" w14:textId="77777777" w:rsidR="007963F8" w:rsidRDefault="007963F8">
      <w:pPr>
        <w:tabs>
          <w:tab w:val="left" w:pos="567"/>
        </w:tabs>
        <w:rPr>
          <w:szCs w:val="22"/>
          <w:lang w:val="hu-HU"/>
        </w:rPr>
      </w:pPr>
    </w:p>
    <w:p w14:paraId="59B5F263" w14:textId="77777777" w:rsidR="007963F8" w:rsidRDefault="008714EA">
      <w:pPr>
        <w:rPr>
          <w:i/>
          <w:szCs w:val="22"/>
          <w:lang w:val="hu-HU"/>
        </w:rPr>
      </w:pPr>
      <w:r>
        <w:rPr>
          <w:i/>
          <w:szCs w:val="22"/>
          <w:lang w:val="hu-HU" w:eastAsia="hu-HU"/>
        </w:rPr>
        <w:t>Transzporterek</w:t>
      </w:r>
    </w:p>
    <w:p w14:paraId="3420AF76" w14:textId="77777777" w:rsidR="007963F8" w:rsidRDefault="008714EA">
      <w:pPr>
        <w:tabs>
          <w:tab w:val="left" w:pos="567"/>
        </w:tabs>
        <w:rPr>
          <w:szCs w:val="22"/>
        </w:rPr>
      </w:pPr>
      <w:r>
        <w:rPr>
          <w:i/>
          <w:szCs w:val="22"/>
          <w:lang w:eastAsia="hu-HU"/>
        </w:rPr>
        <w:t>In vitro</w:t>
      </w:r>
      <w:r>
        <w:rPr>
          <w:szCs w:val="22"/>
          <w:lang w:eastAsia="hu-HU"/>
        </w:rPr>
        <w:t xml:space="preserve"> vizsgálatok eredményei azt mutatják, hogy a valzartán a hepaticus uptake</w:t>
      </w:r>
      <w:r>
        <w:rPr>
          <w:szCs w:val="22"/>
        </w:rPr>
        <w:noBreakHyphen/>
      </w:r>
      <w:r>
        <w:rPr>
          <w:szCs w:val="22"/>
          <w:lang w:eastAsia="hu-HU"/>
        </w:rPr>
        <w:t>transzporter OATP1B1/OATP1B3 és a hepaticus efflux</w:t>
      </w:r>
      <w:r>
        <w:rPr>
          <w:szCs w:val="22"/>
        </w:rPr>
        <w:noBreakHyphen/>
      </w:r>
      <w:r>
        <w:rPr>
          <w:szCs w:val="22"/>
          <w:lang w:eastAsia="hu-HU"/>
        </w:rPr>
        <w:t>transzporter MRP2 szubsztrátja. A klinikai jelentősége ennek az eredménynek nem ismert. Az uptake</w:t>
      </w:r>
      <w:r>
        <w:rPr>
          <w:szCs w:val="22"/>
        </w:rPr>
        <w:noBreakHyphen/>
      </w:r>
      <w:r>
        <w:rPr>
          <w:szCs w:val="22"/>
          <w:lang w:eastAsia="hu-HU"/>
        </w:rPr>
        <w:t>transzporter-inhibitorok (pl. rifampicin, ciklosporin) vagy az efflux</w:t>
      </w:r>
      <w:r>
        <w:rPr>
          <w:szCs w:val="22"/>
        </w:rPr>
        <w:noBreakHyphen/>
      </w:r>
      <w:r>
        <w:rPr>
          <w:szCs w:val="22"/>
          <w:lang w:eastAsia="hu-HU"/>
        </w:rPr>
        <w:t>transzporter-inhibitorok (pl. ritonavir) egyidejű alkalmazása növelheti a valzartán szisztémás expozícióját. Ezekkel a gyógyszerekkel történő egyidejű kezelés megkezdésekor és befejezésekor megfelelő gondossággal kell eljárni.</w:t>
      </w:r>
    </w:p>
    <w:p w14:paraId="64F80021" w14:textId="77777777" w:rsidR="007963F8" w:rsidRDefault="007963F8">
      <w:pPr>
        <w:widowControl w:val="0"/>
        <w:rPr>
          <w:szCs w:val="22"/>
          <w:lang w:val="hu-HU" w:eastAsia="en-US"/>
        </w:rPr>
      </w:pPr>
    </w:p>
    <w:p w14:paraId="1929F005" w14:textId="77777777" w:rsidR="007963F8" w:rsidRDefault="008714EA">
      <w:pPr>
        <w:tabs>
          <w:tab w:val="left" w:pos="567"/>
        </w:tabs>
        <w:rPr>
          <w:i/>
          <w:iCs/>
          <w:szCs w:val="22"/>
          <w:lang w:val="hu-HU"/>
        </w:rPr>
      </w:pPr>
      <w:r>
        <w:rPr>
          <w:i/>
          <w:iCs/>
          <w:szCs w:val="22"/>
          <w:lang w:val="hu-HU"/>
        </w:rPr>
        <w:t>Egyéb készítmények</w:t>
      </w:r>
    </w:p>
    <w:p w14:paraId="78E9B738" w14:textId="77777777" w:rsidR="007963F8" w:rsidRDefault="008714EA">
      <w:pPr>
        <w:tabs>
          <w:tab w:val="left" w:pos="567"/>
        </w:tabs>
        <w:rPr>
          <w:szCs w:val="22"/>
          <w:lang w:val="hu-HU"/>
        </w:rPr>
      </w:pPr>
      <w:proofErr w:type="spellStart"/>
      <w:r>
        <w:rPr>
          <w:szCs w:val="22"/>
          <w:lang w:val="hu-HU"/>
        </w:rPr>
        <w:t>Valzartánnal</w:t>
      </w:r>
      <w:proofErr w:type="spellEnd"/>
      <w:r>
        <w:rPr>
          <w:szCs w:val="22"/>
          <w:lang w:val="hu-HU"/>
        </w:rPr>
        <w:t xml:space="preserve"> végzett gyógyszer-kölcsönhatási vizsgálatokban nem észleltek </w:t>
      </w:r>
      <w:proofErr w:type="spellStart"/>
      <w:r>
        <w:rPr>
          <w:szCs w:val="22"/>
          <w:lang w:val="hu-HU"/>
        </w:rPr>
        <w:t>klinikailag</w:t>
      </w:r>
      <w:proofErr w:type="spellEnd"/>
      <w:r>
        <w:rPr>
          <w:szCs w:val="22"/>
          <w:lang w:val="hu-HU"/>
        </w:rPr>
        <w:t xml:space="preserve"> jelentős gyógyszerkölcsönhatásokat a következő vegyületek egyikével sem: </w:t>
      </w:r>
      <w:proofErr w:type="spellStart"/>
      <w:r>
        <w:rPr>
          <w:szCs w:val="22"/>
          <w:lang w:val="hu-HU"/>
        </w:rPr>
        <w:t>cimetidin</w:t>
      </w:r>
      <w:proofErr w:type="spellEnd"/>
      <w:r>
        <w:rPr>
          <w:szCs w:val="22"/>
          <w:lang w:val="hu-HU"/>
        </w:rPr>
        <w:t xml:space="preserve">, </w:t>
      </w:r>
      <w:proofErr w:type="spellStart"/>
      <w:r>
        <w:rPr>
          <w:szCs w:val="22"/>
          <w:lang w:val="hu-HU"/>
        </w:rPr>
        <w:t>warfarin</w:t>
      </w:r>
      <w:proofErr w:type="spellEnd"/>
      <w:r>
        <w:rPr>
          <w:szCs w:val="22"/>
          <w:lang w:val="hu-HU"/>
        </w:rPr>
        <w:t xml:space="preserve">, </w:t>
      </w:r>
      <w:proofErr w:type="spellStart"/>
      <w:r>
        <w:rPr>
          <w:szCs w:val="22"/>
          <w:lang w:val="hu-HU"/>
        </w:rPr>
        <w:t>furoszemid</w:t>
      </w:r>
      <w:proofErr w:type="spellEnd"/>
      <w:r>
        <w:rPr>
          <w:szCs w:val="22"/>
          <w:lang w:val="hu-HU"/>
        </w:rPr>
        <w:t xml:space="preserve">, </w:t>
      </w:r>
      <w:proofErr w:type="spellStart"/>
      <w:r>
        <w:rPr>
          <w:szCs w:val="22"/>
          <w:lang w:val="hu-HU"/>
        </w:rPr>
        <w:t>digoxin</w:t>
      </w:r>
      <w:proofErr w:type="spellEnd"/>
      <w:r>
        <w:rPr>
          <w:szCs w:val="22"/>
          <w:lang w:val="hu-HU"/>
        </w:rPr>
        <w:t xml:space="preserve">, </w:t>
      </w:r>
      <w:proofErr w:type="spellStart"/>
      <w:r>
        <w:rPr>
          <w:szCs w:val="22"/>
          <w:lang w:val="hu-HU"/>
        </w:rPr>
        <w:t>atenolol</w:t>
      </w:r>
      <w:proofErr w:type="spellEnd"/>
      <w:r>
        <w:rPr>
          <w:szCs w:val="22"/>
          <w:lang w:val="hu-HU"/>
        </w:rPr>
        <w:t xml:space="preserve">, </w:t>
      </w:r>
      <w:proofErr w:type="spellStart"/>
      <w:r>
        <w:rPr>
          <w:szCs w:val="22"/>
          <w:lang w:val="hu-HU"/>
        </w:rPr>
        <w:t>indometacin</w:t>
      </w:r>
      <w:proofErr w:type="spellEnd"/>
      <w:r>
        <w:rPr>
          <w:szCs w:val="22"/>
          <w:lang w:val="hu-HU"/>
        </w:rPr>
        <w:t xml:space="preserve">, </w:t>
      </w:r>
      <w:proofErr w:type="spellStart"/>
      <w:r>
        <w:rPr>
          <w:szCs w:val="22"/>
          <w:lang w:val="hu-HU"/>
        </w:rPr>
        <w:t>hidroklorotiazid</w:t>
      </w:r>
      <w:proofErr w:type="spellEnd"/>
      <w:r>
        <w:rPr>
          <w:szCs w:val="22"/>
          <w:lang w:val="hu-HU"/>
        </w:rPr>
        <w:t xml:space="preserve">, </w:t>
      </w:r>
      <w:proofErr w:type="spellStart"/>
      <w:r>
        <w:rPr>
          <w:szCs w:val="22"/>
          <w:lang w:val="hu-HU"/>
        </w:rPr>
        <w:t>amlodipin</w:t>
      </w:r>
      <w:proofErr w:type="spellEnd"/>
      <w:r>
        <w:rPr>
          <w:szCs w:val="22"/>
          <w:lang w:val="hu-HU"/>
        </w:rPr>
        <w:t xml:space="preserve">, </w:t>
      </w:r>
      <w:proofErr w:type="spellStart"/>
      <w:r>
        <w:rPr>
          <w:szCs w:val="22"/>
          <w:lang w:val="hu-HU"/>
        </w:rPr>
        <w:t>glibenklamid</w:t>
      </w:r>
      <w:proofErr w:type="spellEnd"/>
      <w:r>
        <w:rPr>
          <w:szCs w:val="22"/>
          <w:lang w:val="hu-HU"/>
        </w:rPr>
        <w:t>.</w:t>
      </w:r>
    </w:p>
    <w:p w14:paraId="3926E385" w14:textId="77777777" w:rsidR="007963F8" w:rsidRDefault="007963F8">
      <w:pPr>
        <w:tabs>
          <w:tab w:val="left" w:pos="567"/>
        </w:tabs>
        <w:rPr>
          <w:szCs w:val="22"/>
          <w:lang w:val="hu-HU"/>
        </w:rPr>
      </w:pPr>
    </w:p>
    <w:p w14:paraId="23F328AE" w14:textId="77777777" w:rsidR="007963F8" w:rsidRDefault="008714EA">
      <w:pPr>
        <w:tabs>
          <w:tab w:val="left" w:pos="567"/>
        </w:tabs>
        <w:rPr>
          <w:szCs w:val="22"/>
          <w:u w:val="single"/>
          <w:lang w:val="hu-HU"/>
        </w:rPr>
      </w:pPr>
      <w:r>
        <w:rPr>
          <w:szCs w:val="22"/>
          <w:u w:val="single"/>
          <w:lang w:val="hu-HU"/>
        </w:rPr>
        <w:t>Gyermekek és serdülők</w:t>
      </w:r>
    </w:p>
    <w:p w14:paraId="426C5A00" w14:textId="77777777" w:rsidR="007963F8" w:rsidRDefault="008714EA">
      <w:pPr>
        <w:rPr>
          <w:szCs w:val="22"/>
          <w:lang w:bidi="th-TH"/>
        </w:rPr>
      </w:pPr>
      <w:r>
        <w:rPr>
          <w:szCs w:val="22"/>
          <w:lang w:bidi="th-TH"/>
        </w:rPr>
        <w:t>Hypertoniás gyermekeknél és serdülőknél, akiknél a vesebetegség gyakori alapbetegség, a valzartán egyéb, olyan hatóanyagokkal való együttes alkalmazásakor, amelyek gátolják a renin</w:t>
      </w:r>
      <w:r>
        <w:rPr>
          <w:szCs w:val="22"/>
          <w:lang w:bidi="th-TH"/>
        </w:rPr>
        <w:noBreakHyphen/>
        <w:t>angiotenzin</w:t>
      </w:r>
      <w:r>
        <w:rPr>
          <w:szCs w:val="22"/>
          <w:lang w:bidi="th-TH"/>
        </w:rPr>
        <w:noBreakHyphen/>
        <w:t xml:space="preserve">aldoszteron rendszert, ami emelheti a szérum káliumszintet, elővigyázatosság javasolt. </w:t>
      </w:r>
      <w:r>
        <w:rPr>
          <w:rFonts w:ascii="TimesNewRomanPSMT" w:hAnsi="TimesNewRomanPSMT" w:cs="TimesNewRomanPSMT"/>
          <w:szCs w:val="22"/>
          <w:lang w:bidi="th-TH"/>
        </w:rPr>
        <w:t>A vesefunkciót és a szérum káliumszintet szorosan ellenőrizni kell.</w:t>
      </w:r>
    </w:p>
    <w:p w14:paraId="51C59415" w14:textId="77777777" w:rsidR="007963F8" w:rsidRDefault="007963F8">
      <w:pPr>
        <w:tabs>
          <w:tab w:val="left" w:pos="567"/>
        </w:tabs>
        <w:rPr>
          <w:szCs w:val="22"/>
          <w:lang w:val="hu-HU"/>
        </w:rPr>
      </w:pPr>
    </w:p>
    <w:p w14:paraId="23CEBA8E" w14:textId="77777777" w:rsidR="007963F8" w:rsidRDefault="008714EA">
      <w:pPr>
        <w:widowControl w:val="0"/>
        <w:rPr>
          <w:szCs w:val="22"/>
          <w:u w:val="single"/>
          <w:lang w:val="hu-HU" w:eastAsia="en-US"/>
        </w:rPr>
      </w:pPr>
      <w:r>
        <w:rPr>
          <w:szCs w:val="22"/>
          <w:u w:val="single"/>
          <w:lang w:val="hu-HU" w:eastAsia="en-US"/>
        </w:rPr>
        <w:t xml:space="preserve">A </w:t>
      </w:r>
      <w:proofErr w:type="spellStart"/>
      <w:r>
        <w:rPr>
          <w:szCs w:val="22"/>
          <w:u w:val="single"/>
          <w:lang w:val="hu-HU" w:eastAsia="en-US"/>
        </w:rPr>
        <w:t>rozuvasztatin</w:t>
      </w:r>
      <w:proofErr w:type="spellEnd"/>
      <w:r>
        <w:rPr>
          <w:szCs w:val="22"/>
          <w:u w:val="single"/>
          <w:lang w:val="hu-HU" w:eastAsia="en-US"/>
        </w:rPr>
        <w:t xml:space="preserve"> összetevőhöz kapcsolódóan</w:t>
      </w:r>
    </w:p>
    <w:p w14:paraId="4CD793A8" w14:textId="77777777" w:rsidR="007963F8" w:rsidRDefault="007963F8">
      <w:pPr>
        <w:keepNext/>
        <w:rPr>
          <w:bCs/>
          <w:iCs/>
          <w:szCs w:val="22"/>
          <w:u w:val="single"/>
        </w:rPr>
      </w:pPr>
    </w:p>
    <w:p w14:paraId="0548651C" w14:textId="77777777" w:rsidR="007963F8" w:rsidRDefault="008714EA">
      <w:pPr>
        <w:keepNext/>
        <w:rPr>
          <w:bCs/>
          <w:i/>
          <w:iCs/>
          <w:szCs w:val="22"/>
          <w:u w:val="single"/>
        </w:rPr>
      </w:pPr>
      <w:r>
        <w:rPr>
          <w:bCs/>
          <w:i/>
          <w:iCs/>
          <w:szCs w:val="22"/>
          <w:u w:val="single"/>
        </w:rPr>
        <w:t>Az egyidejűleg alkalmazott gyógyszerek rozuvasztatinra gyakorolt hatása</w:t>
      </w:r>
    </w:p>
    <w:p w14:paraId="455B84D1" w14:textId="77777777" w:rsidR="007963F8" w:rsidRDefault="007963F8">
      <w:pPr>
        <w:widowControl w:val="0"/>
        <w:rPr>
          <w:szCs w:val="22"/>
          <w:lang w:val="hu-HU" w:eastAsia="en-US"/>
        </w:rPr>
      </w:pPr>
    </w:p>
    <w:p w14:paraId="63030EC1" w14:textId="77777777" w:rsidR="007963F8" w:rsidRDefault="008714EA">
      <w:pPr>
        <w:keepNext/>
        <w:rPr>
          <w:szCs w:val="22"/>
          <w:lang w:val="hu-HU"/>
        </w:rPr>
      </w:pPr>
      <w:r>
        <w:rPr>
          <w:i/>
          <w:szCs w:val="22"/>
          <w:lang w:val="hu-HU"/>
        </w:rPr>
        <w:t>Transzport</w:t>
      </w:r>
      <w:r>
        <w:rPr>
          <w:i/>
          <w:szCs w:val="22"/>
          <w:lang w:val="hu-HU"/>
        </w:rPr>
        <w:noBreakHyphen/>
        <w:t>inhibitorok</w:t>
      </w:r>
    </w:p>
    <w:p w14:paraId="0759F13C" w14:textId="77777777" w:rsidR="007963F8" w:rsidRDefault="008714EA">
      <w:pPr>
        <w:widowControl w:val="0"/>
      </w:pPr>
      <w:r>
        <w:t>A rozuvasztatin bizonyos transzportfehérjék szubsztrátja, beleértve a hepaticus uptake-transzporter OATP1B1</w:t>
      </w:r>
      <w:r>
        <w:noBreakHyphen/>
        <w:t>et és efflux-transzporter BCRP</w:t>
      </w:r>
      <w:r>
        <w:noBreakHyphen/>
        <w:t>t. A rozuvasztatin egyidejű alkalmazása az olyan gyógyszerekkel, amelyek inhibitorai ezeknek a transzportfehérjéknek, a rozuvasztatin fokozott plazmakoncentrációját és a myopathia megnövekedett kockázatát eredményezheti (lásd 1. táblázat, valamint 4.2 és 4.4 pont).</w:t>
      </w:r>
    </w:p>
    <w:p w14:paraId="20884C96" w14:textId="77777777" w:rsidR="007963F8" w:rsidRDefault="007963F8">
      <w:pPr>
        <w:widowControl w:val="0"/>
        <w:rPr>
          <w:szCs w:val="22"/>
          <w:lang w:val="hu-HU" w:eastAsia="en-US"/>
        </w:rPr>
      </w:pPr>
    </w:p>
    <w:p w14:paraId="27EEDC67" w14:textId="77777777" w:rsidR="007963F8" w:rsidRDefault="008714EA">
      <w:pPr>
        <w:keepNext/>
        <w:rPr>
          <w:bCs/>
          <w:i/>
          <w:iCs/>
          <w:szCs w:val="22"/>
          <w:lang w:val="hu-HU"/>
        </w:rPr>
      </w:pPr>
      <w:proofErr w:type="spellStart"/>
      <w:r>
        <w:rPr>
          <w:bCs/>
          <w:i/>
          <w:iCs/>
          <w:szCs w:val="22"/>
          <w:lang w:val="hu-HU"/>
        </w:rPr>
        <w:t>Ciklosporin</w:t>
      </w:r>
      <w:proofErr w:type="spellEnd"/>
    </w:p>
    <w:p w14:paraId="118A20F4" w14:textId="77777777" w:rsidR="007963F8" w:rsidRDefault="008714EA">
      <w:pPr>
        <w:widowControl w:val="0"/>
        <w:rPr>
          <w:szCs w:val="22"/>
        </w:rPr>
      </w:pPr>
      <w:r>
        <w:rPr>
          <w:szCs w:val="22"/>
        </w:rPr>
        <w:t xml:space="preserve">Ciklosporin és rozuvasztatin egyidejű alkalmazásakor a rozuvasztatin AUC-értéke átlagosan hétszer magasabb volt az egészséges önkénteseknél mért értékekhez képest (lásd 1. táblázat). </w:t>
      </w:r>
      <w:r>
        <w:t>A rozuvasztatin ellenjavallt azoknál a betegeknél, akik egyidejűleg ciklosporint kapnak (lásd 4.3 pont).</w:t>
      </w:r>
      <w:r>
        <w:rPr>
          <w:szCs w:val="22"/>
        </w:rPr>
        <w:t xml:space="preserve"> A ciklosporin plazmakoncentrációja rozuvasztatin egyidejű alkalmazása során nem változott.</w:t>
      </w:r>
    </w:p>
    <w:p w14:paraId="7B1EF9B1" w14:textId="77777777" w:rsidR="007963F8" w:rsidRDefault="007963F8">
      <w:pPr>
        <w:widowControl w:val="0"/>
        <w:rPr>
          <w:szCs w:val="22"/>
          <w:lang w:val="hu-HU" w:eastAsia="en-US"/>
        </w:rPr>
      </w:pPr>
    </w:p>
    <w:p w14:paraId="6E5DFF52" w14:textId="77777777" w:rsidR="007963F8" w:rsidRDefault="008714EA">
      <w:pPr>
        <w:rPr>
          <w:i/>
          <w:iCs/>
          <w:szCs w:val="22"/>
          <w:lang w:val="hu-HU"/>
        </w:rPr>
      </w:pPr>
      <w:proofErr w:type="spellStart"/>
      <w:r>
        <w:rPr>
          <w:i/>
          <w:iCs/>
          <w:szCs w:val="22"/>
          <w:lang w:val="hu-HU"/>
        </w:rPr>
        <w:t>Proteáz</w:t>
      </w:r>
      <w:proofErr w:type="spellEnd"/>
      <w:r>
        <w:rPr>
          <w:i/>
          <w:iCs/>
          <w:szCs w:val="22"/>
          <w:lang w:val="hu-HU"/>
        </w:rPr>
        <w:t>-inhibitorok</w:t>
      </w:r>
    </w:p>
    <w:p w14:paraId="2718EF17" w14:textId="77777777" w:rsidR="007963F8" w:rsidRDefault="008714EA">
      <w:pPr>
        <w:rPr>
          <w:szCs w:val="22"/>
        </w:rPr>
      </w:pPr>
      <w:r>
        <w:t xml:space="preserve">Habár az interakció pontos mechanizmusa nem ismert, proteáz-inhibitorok egyidejű alkalmazásakor a rozuvasztatin-expozíció erőteljesen megnövekedhet (lásd 1. táblázat). Például egy egészséges önkénteseken végzett farmakokinetikai vizsgálatban 10 mg rozuvasztatint és két proteáz-inhibitort tartalmazó kombinációs készítmény (300 mg atazanavir/100 mg ritonavir) együttadása a rozuvasztatin </w:t>
      </w:r>
      <w:r>
        <w:rPr>
          <w:i/>
        </w:rPr>
        <w:t>steady</w:t>
      </w:r>
      <w:r>
        <w:rPr>
          <w:i/>
        </w:rPr>
        <w:noBreakHyphen/>
        <w:t>state</w:t>
      </w:r>
      <w:r>
        <w:t xml:space="preserve"> AUC</w:t>
      </w:r>
      <w:r>
        <w:rPr>
          <w:vertAlign w:val="subscript"/>
        </w:rPr>
        <w:t>(0</w:t>
      </w:r>
      <w:r>
        <w:rPr>
          <w:vertAlign w:val="subscript"/>
        </w:rPr>
        <w:noBreakHyphen/>
        <w:t>24)</w:t>
      </w:r>
      <w:r>
        <w:t xml:space="preserve"> értékének kb. 3</w:t>
      </w:r>
      <w:r>
        <w:noBreakHyphen/>
        <w:t>szoros, és C</w:t>
      </w:r>
      <w:r>
        <w:rPr>
          <w:vertAlign w:val="subscript"/>
        </w:rPr>
        <w:t>max</w:t>
      </w:r>
      <w:r>
        <w:t xml:space="preserve"> értékének 7-szeres emelkedését eredményezte. A rozuvasztatin és néhány proteáz-inhibitor kombinációjának egyidejű alkalmazása megfontolható a rozuvasztatin-dózismódosítás, mely a rozuvasztatin-expozíció várható megnövekedésén alapul, gondos mérlegelése után (lásd 1. táblázat, valamint 4.2 és 4.4 pont).</w:t>
      </w:r>
    </w:p>
    <w:p w14:paraId="02991A67" w14:textId="77777777" w:rsidR="007963F8" w:rsidRDefault="007963F8">
      <w:pPr>
        <w:rPr>
          <w:szCs w:val="22"/>
          <w:lang w:val="hu-HU"/>
        </w:rPr>
      </w:pPr>
    </w:p>
    <w:p w14:paraId="46969B1D" w14:textId="77777777" w:rsidR="007963F8" w:rsidRDefault="008714EA">
      <w:pPr>
        <w:pStyle w:val="WW-Szvegtrzs2"/>
        <w:rPr>
          <w:b/>
          <w:bCs/>
          <w:iCs/>
          <w:color w:val="auto"/>
          <w:spacing w:val="-2"/>
          <w:sz w:val="22"/>
          <w:szCs w:val="22"/>
        </w:rPr>
      </w:pPr>
      <w:proofErr w:type="spellStart"/>
      <w:r>
        <w:rPr>
          <w:bCs/>
          <w:i/>
          <w:iCs/>
          <w:color w:val="auto"/>
          <w:spacing w:val="-2"/>
          <w:sz w:val="22"/>
          <w:szCs w:val="22"/>
        </w:rPr>
        <w:t>Gemfibrozil</w:t>
      </w:r>
      <w:proofErr w:type="spellEnd"/>
      <w:r>
        <w:rPr>
          <w:bCs/>
          <w:i/>
          <w:iCs/>
          <w:color w:val="auto"/>
          <w:spacing w:val="-2"/>
          <w:sz w:val="22"/>
          <w:szCs w:val="22"/>
        </w:rPr>
        <w:t xml:space="preserve"> és egyéb </w:t>
      </w:r>
      <w:proofErr w:type="spellStart"/>
      <w:r>
        <w:rPr>
          <w:bCs/>
          <w:i/>
          <w:iCs/>
          <w:color w:val="auto"/>
          <w:spacing w:val="-2"/>
          <w:sz w:val="22"/>
          <w:szCs w:val="22"/>
        </w:rPr>
        <w:t>lipidszintcsökkentő</w:t>
      </w:r>
      <w:proofErr w:type="spellEnd"/>
      <w:r>
        <w:rPr>
          <w:bCs/>
          <w:i/>
          <w:iCs/>
          <w:color w:val="auto"/>
          <w:spacing w:val="-2"/>
          <w:sz w:val="22"/>
          <w:szCs w:val="22"/>
        </w:rPr>
        <w:t xml:space="preserve"> szerek</w:t>
      </w:r>
    </w:p>
    <w:p w14:paraId="1AC97C22" w14:textId="77777777" w:rsidR="007963F8" w:rsidRDefault="008714EA">
      <w:pPr>
        <w:pStyle w:val="WW-Szvegtrzs2"/>
        <w:rPr>
          <w:sz w:val="22"/>
          <w:szCs w:val="22"/>
        </w:rPr>
      </w:pPr>
      <w:r>
        <w:rPr>
          <w:sz w:val="22"/>
          <w:szCs w:val="22"/>
        </w:rPr>
        <w:t xml:space="preserve">A </w:t>
      </w:r>
      <w:proofErr w:type="spellStart"/>
      <w:r>
        <w:rPr>
          <w:sz w:val="22"/>
          <w:szCs w:val="22"/>
        </w:rPr>
        <w:t>rozuvasztatin</w:t>
      </w:r>
      <w:proofErr w:type="spellEnd"/>
      <w:r>
        <w:rPr>
          <w:sz w:val="22"/>
          <w:szCs w:val="22"/>
        </w:rPr>
        <w:t xml:space="preserve"> és </w:t>
      </w:r>
      <w:proofErr w:type="spellStart"/>
      <w:r>
        <w:rPr>
          <w:sz w:val="22"/>
          <w:szCs w:val="22"/>
        </w:rPr>
        <w:t>gemfibrozil</w:t>
      </w:r>
      <w:proofErr w:type="spellEnd"/>
      <w:r>
        <w:rPr>
          <w:sz w:val="22"/>
          <w:szCs w:val="22"/>
        </w:rPr>
        <w:t xml:space="preserve"> egyidejű alkalmazásakor a </w:t>
      </w:r>
      <w:proofErr w:type="spellStart"/>
      <w:r>
        <w:rPr>
          <w:sz w:val="22"/>
          <w:szCs w:val="22"/>
        </w:rPr>
        <w:t>rozuvasztatin</w:t>
      </w:r>
      <w:proofErr w:type="spellEnd"/>
      <w:r>
        <w:rPr>
          <w:sz w:val="22"/>
          <w:szCs w:val="22"/>
        </w:rPr>
        <w:t xml:space="preserve"> </w:t>
      </w:r>
      <w:proofErr w:type="spellStart"/>
      <w:r>
        <w:rPr>
          <w:sz w:val="22"/>
          <w:szCs w:val="22"/>
        </w:rPr>
        <w:t>C</w:t>
      </w:r>
      <w:r>
        <w:rPr>
          <w:sz w:val="22"/>
          <w:szCs w:val="22"/>
          <w:vertAlign w:val="subscript"/>
        </w:rPr>
        <w:t>max</w:t>
      </w:r>
      <w:proofErr w:type="spellEnd"/>
      <w:r>
        <w:rPr>
          <w:sz w:val="22"/>
          <w:szCs w:val="22"/>
        </w:rPr>
        <w:t xml:space="preserve"> és AUC értékei kétszeresére növekedtek (lásd 4.4 pont). Specifikus gyógyszer-interakciós vizsgálatok során nyert adatok alapján </w:t>
      </w:r>
      <w:proofErr w:type="spellStart"/>
      <w:r>
        <w:rPr>
          <w:sz w:val="22"/>
          <w:szCs w:val="22"/>
        </w:rPr>
        <w:t>fenofibráttal</w:t>
      </w:r>
      <w:proofErr w:type="spellEnd"/>
      <w:r>
        <w:rPr>
          <w:sz w:val="22"/>
          <w:szCs w:val="22"/>
        </w:rPr>
        <w:t xml:space="preserve"> releváns </w:t>
      </w:r>
      <w:proofErr w:type="spellStart"/>
      <w:r>
        <w:rPr>
          <w:sz w:val="22"/>
          <w:szCs w:val="22"/>
        </w:rPr>
        <w:t>farmakokinetikai</w:t>
      </w:r>
      <w:proofErr w:type="spellEnd"/>
      <w:r>
        <w:rPr>
          <w:sz w:val="22"/>
          <w:szCs w:val="22"/>
        </w:rPr>
        <w:t xml:space="preserve"> interakció nem várható, bár </w:t>
      </w:r>
      <w:proofErr w:type="spellStart"/>
      <w:r>
        <w:rPr>
          <w:sz w:val="22"/>
          <w:szCs w:val="22"/>
        </w:rPr>
        <w:t>farmakodinamikai</w:t>
      </w:r>
      <w:proofErr w:type="spellEnd"/>
      <w:r>
        <w:rPr>
          <w:sz w:val="22"/>
          <w:szCs w:val="22"/>
        </w:rPr>
        <w:t xml:space="preserve"> interakció kialakulhat. A </w:t>
      </w:r>
      <w:proofErr w:type="spellStart"/>
      <w:r>
        <w:rPr>
          <w:sz w:val="22"/>
          <w:szCs w:val="22"/>
        </w:rPr>
        <w:t>gemfibrozil</w:t>
      </w:r>
      <w:proofErr w:type="spellEnd"/>
      <w:r>
        <w:rPr>
          <w:sz w:val="22"/>
          <w:szCs w:val="22"/>
        </w:rPr>
        <w:t xml:space="preserve">, a </w:t>
      </w:r>
      <w:proofErr w:type="spellStart"/>
      <w:r>
        <w:rPr>
          <w:sz w:val="22"/>
          <w:szCs w:val="22"/>
        </w:rPr>
        <w:t>fenofibrát</w:t>
      </w:r>
      <w:proofErr w:type="spellEnd"/>
      <w:r>
        <w:rPr>
          <w:sz w:val="22"/>
          <w:szCs w:val="22"/>
        </w:rPr>
        <w:t xml:space="preserve">, egyéb </w:t>
      </w:r>
      <w:proofErr w:type="spellStart"/>
      <w:r>
        <w:rPr>
          <w:sz w:val="22"/>
          <w:szCs w:val="22"/>
        </w:rPr>
        <w:t>fibrátok</w:t>
      </w:r>
      <w:proofErr w:type="spellEnd"/>
      <w:r>
        <w:rPr>
          <w:sz w:val="22"/>
          <w:szCs w:val="22"/>
        </w:rPr>
        <w:t xml:space="preserve"> vagy a </w:t>
      </w:r>
      <w:proofErr w:type="spellStart"/>
      <w:r>
        <w:rPr>
          <w:sz w:val="22"/>
          <w:szCs w:val="22"/>
        </w:rPr>
        <w:t>niacin</w:t>
      </w:r>
      <w:proofErr w:type="spellEnd"/>
      <w:r>
        <w:rPr>
          <w:sz w:val="22"/>
          <w:szCs w:val="22"/>
        </w:rPr>
        <w:t xml:space="preserve"> (nikotinsav) </w:t>
      </w:r>
      <w:proofErr w:type="spellStart"/>
      <w:r>
        <w:rPr>
          <w:sz w:val="22"/>
          <w:szCs w:val="22"/>
        </w:rPr>
        <w:t>lipidcsökkentő</w:t>
      </w:r>
      <w:proofErr w:type="spellEnd"/>
      <w:r>
        <w:rPr>
          <w:sz w:val="22"/>
          <w:szCs w:val="22"/>
        </w:rPr>
        <w:t xml:space="preserve"> dózisai (≥ 1 g/nap) HMG-</w:t>
      </w:r>
      <w:proofErr w:type="spellStart"/>
      <w:r>
        <w:rPr>
          <w:sz w:val="22"/>
          <w:szCs w:val="22"/>
        </w:rPr>
        <w:t>CoA</w:t>
      </w:r>
      <w:proofErr w:type="spellEnd"/>
      <w:r>
        <w:rPr>
          <w:sz w:val="22"/>
          <w:szCs w:val="22"/>
        </w:rPr>
        <w:t>-</w:t>
      </w:r>
      <w:proofErr w:type="spellStart"/>
      <w:r>
        <w:rPr>
          <w:sz w:val="22"/>
          <w:szCs w:val="22"/>
        </w:rPr>
        <w:t>reduktáz</w:t>
      </w:r>
      <w:proofErr w:type="spellEnd"/>
      <w:r>
        <w:rPr>
          <w:sz w:val="22"/>
          <w:szCs w:val="22"/>
        </w:rPr>
        <w:t xml:space="preserve">-inhibitorokkal </w:t>
      </w:r>
      <w:proofErr w:type="spellStart"/>
      <w:r>
        <w:rPr>
          <w:sz w:val="22"/>
          <w:szCs w:val="22"/>
        </w:rPr>
        <w:t>együttadva</w:t>
      </w:r>
      <w:proofErr w:type="spellEnd"/>
      <w:r>
        <w:rPr>
          <w:sz w:val="22"/>
          <w:szCs w:val="22"/>
        </w:rPr>
        <w:t xml:space="preserve"> növelik a </w:t>
      </w:r>
      <w:proofErr w:type="spellStart"/>
      <w:r>
        <w:rPr>
          <w:sz w:val="22"/>
          <w:szCs w:val="22"/>
        </w:rPr>
        <w:t>myopathia</w:t>
      </w:r>
      <w:proofErr w:type="spellEnd"/>
      <w:r>
        <w:rPr>
          <w:sz w:val="22"/>
          <w:szCs w:val="22"/>
        </w:rPr>
        <w:t xml:space="preserve"> kockázatát. Ennek valószínű oka az, hogy ezek a készítmények </w:t>
      </w:r>
      <w:proofErr w:type="spellStart"/>
      <w:r>
        <w:rPr>
          <w:sz w:val="22"/>
          <w:szCs w:val="22"/>
        </w:rPr>
        <w:t>monoterápiában</w:t>
      </w:r>
      <w:proofErr w:type="spellEnd"/>
      <w:r>
        <w:rPr>
          <w:sz w:val="22"/>
          <w:szCs w:val="22"/>
        </w:rPr>
        <w:t xml:space="preserve"> alkalmazva is </w:t>
      </w:r>
      <w:proofErr w:type="spellStart"/>
      <w:r>
        <w:rPr>
          <w:sz w:val="22"/>
          <w:szCs w:val="22"/>
        </w:rPr>
        <w:t>myopathiát</w:t>
      </w:r>
      <w:proofErr w:type="spellEnd"/>
      <w:r>
        <w:rPr>
          <w:sz w:val="22"/>
          <w:szCs w:val="22"/>
        </w:rPr>
        <w:t xml:space="preserve"> okozhatnak. A 30 mg-</w:t>
      </w:r>
      <w:proofErr w:type="spellStart"/>
      <w:r>
        <w:rPr>
          <w:sz w:val="22"/>
          <w:szCs w:val="22"/>
        </w:rPr>
        <w:t>os</w:t>
      </w:r>
      <w:proofErr w:type="spellEnd"/>
      <w:r>
        <w:rPr>
          <w:sz w:val="22"/>
          <w:szCs w:val="22"/>
        </w:rPr>
        <w:t xml:space="preserve"> és 40 mg-</w:t>
      </w:r>
      <w:proofErr w:type="spellStart"/>
      <w:r>
        <w:rPr>
          <w:sz w:val="22"/>
          <w:szCs w:val="22"/>
        </w:rPr>
        <w:t>os</w:t>
      </w:r>
      <w:proofErr w:type="spellEnd"/>
      <w:r>
        <w:rPr>
          <w:sz w:val="22"/>
          <w:szCs w:val="22"/>
        </w:rPr>
        <w:t xml:space="preserve"> dózis kontraindikált </w:t>
      </w:r>
      <w:proofErr w:type="spellStart"/>
      <w:r>
        <w:rPr>
          <w:sz w:val="22"/>
          <w:szCs w:val="22"/>
        </w:rPr>
        <w:t>fibrátok</w:t>
      </w:r>
      <w:proofErr w:type="spellEnd"/>
      <w:r>
        <w:rPr>
          <w:sz w:val="22"/>
          <w:szCs w:val="22"/>
        </w:rPr>
        <w:t xml:space="preserve"> egyidejű alkalmazásakor (lásd 4.3 és 4.4 pont). Ezeknél a betegeknél szintén 5 mg legyen a kezdő adag.</w:t>
      </w:r>
    </w:p>
    <w:p w14:paraId="3EABF19A" w14:textId="77777777" w:rsidR="007963F8" w:rsidRDefault="007963F8">
      <w:pPr>
        <w:widowControl w:val="0"/>
        <w:rPr>
          <w:szCs w:val="22"/>
          <w:lang w:val="hu-HU" w:eastAsia="en-US"/>
        </w:rPr>
      </w:pPr>
    </w:p>
    <w:p w14:paraId="65608533" w14:textId="77777777" w:rsidR="007963F8" w:rsidRDefault="008714EA">
      <w:pPr>
        <w:rPr>
          <w:b/>
          <w:bCs/>
          <w:szCs w:val="22"/>
          <w:lang w:val="hu-HU"/>
        </w:rPr>
      </w:pPr>
      <w:proofErr w:type="spellStart"/>
      <w:r>
        <w:rPr>
          <w:bCs/>
          <w:i/>
          <w:szCs w:val="22"/>
          <w:lang w:val="hu-HU"/>
        </w:rPr>
        <w:t>Ezetimib</w:t>
      </w:r>
      <w:proofErr w:type="spellEnd"/>
    </w:p>
    <w:p w14:paraId="42E2D0B7" w14:textId="77777777" w:rsidR="007963F8" w:rsidRDefault="008714EA">
      <w:pPr>
        <w:rPr>
          <w:szCs w:val="22"/>
        </w:rPr>
      </w:pPr>
      <w:r>
        <w:t>A rozuvasztatin AUC-értékében 1,2</w:t>
      </w:r>
      <w:r>
        <w:noBreakHyphen/>
        <w:t>szeres növekedés volt, amikor 10 mg rozuvasztatint és 10 mg ezetimibet alkalmaztak hypercholesterinaemiás alanyoknál (lásd 1. táblázat). A Ravalsyo és az ezetimib között fellépő farmakodinámiás interakció - mellékhatások tekintetében – nem zárható ki (lásd 4.4 pont).</w:t>
      </w:r>
    </w:p>
    <w:p w14:paraId="126DD87F" w14:textId="77777777" w:rsidR="007963F8" w:rsidRDefault="007963F8">
      <w:pPr>
        <w:rPr>
          <w:szCs w:val="22"/>
          <w:lang w:val="hu-HU"/>
        </w:rPr>
      </w:pPr>
    </w:p>
    <w:p w14:paraId="1B1735B7" w14:textId="77777777" w:rsidR="007963F8" w:rsidRDefault="008714EA">
      <w:pPr>
        <w:rPr>
          <w:bCs/>
          <w:i/>
          <w:szCs w:val="22"/>
          <w:lang w:val="hu-HU"/>
        </w:rPr>
      </w:pPr>
      <w:proofErr w:type="spellStart"/>
      <w:r>
        <w:rPr>
          <w:bCs/>
          <w:i/>
          <w:szCs w:val="22"/>
          <w:lang w:val="hu-HU"/>
        </w:rPr>
        <w:t>Antacidok</w:t>
      </w:r>
      <w:proofErr w:type="spellEnd"/>
    </w:p>
    <w:p w14:paraId="64745C15" w14:textId="77777777" w:rsidR="007963F8" w:rsidRDefault="008714EA">
      <w:pPr>
        <w:rPr>
          <w:szCs w:val="22"/>
        </w:rPr>
      </w:pPr>
      <w:r>
        <w:rPr>
          <w:szCs w:val="22"/>
        </w:rPr>
        <w:t>Alumínium és magnézium-hidroxid tartalmú antacid szuszpenzió és rozuvasztatin együttadása a rozuvasztatin plazmakoncentráció megközelítőleg 50%-os csökkenését eredményezte. Ez a hatás mérséklődött, amikor az antacidot a rozuvasztatin bevétele után 2 órával alkalmazták. Ennek az interakciónak a klinikai jelentőségét nem vizsgálták.</w:t>
      </w:r>
    </w:p>
    <w:p w14:paraId="5EFD9115" w14:textId="77777777" w:rsidR="007963F8" w:rsidRDefault="007963F8">
      <w:pPr>
        <w:rPr>
          <w:szCs w:val="22"/>
          <w:lang w:val="hu-HU"/>
        </w:rPr>
      </w:pPr>
    </w:p>
    <w:p w14:paraId="40B3AB58" w14:textId="77777777" w:rsidR="007963F8" w:rsidRDefault="008714EA">
      <w:pPr>
        <w:rPr>
          <w:b/>
          <w:bCs/>
          <w:iCs/>
          <w:szCs w:val="22"/>
          <w:lang w:val="hu-HU"/>
        </w:rPr>
      </w:pPr>
      <w:proofErr w:type="spellStart"/>
      <w:r>
        <w:rPr>
          <w:bCs/>
          <w:i/>
          <w:iCs/>
          <w:szCs w:val="22"/>
          <w:lang w:val="hu-HU"/>
        </w:rPr>
        <w:t>Eritromicin</w:t>
      </w:r>
      <w:proofErr w:type="spellEnd"/>
    </w:p>
    <w:p w14:paraId="47C12B35" w14:textId="77777777" w:rsidR="007963F8" w:rsidRDefault="008714EA">
      <w:pPr>
        <w:rPr>
          <w:szCs w:val="22"/>
          <w:lang w:val="hu-HU"/>
        </w:rPr>
      </w:pPr>
      <w:r>
        <w:rPr>
          <w:szCs w:val="22"/>
          <w:lang w:val="hu-HU"/>
        </w:rPr>
        <w:t xml:space="preserve">A </w:t>
      </w:r>
      <w:proofErr w:type="spellStart"/>
      <w:r>
        <w:rPr>
          <w:szCs w:val="22"/>
          <w:lang w:val="hu-HU"/>
        </w:rPr>
        <w:t>rozuvasztatin</w:t>
      </w:r>
      <w:proofErr w:type="spellEnd"/>
      <w:r>
        <w:rPr>
          <w:szCs w:val="22"/>
          <w:lang w:val="hu-HU"/>
        </w:rPr>
        <w:t xml:space="preserve"> és </w:t>
      </w:r>
      <w:proofErr w:type="spellStart"/>
      <w:r>
        <w:rPr>
          <w:szCs w:val="22"/>
          <w:lang w:val="hu-HU"/>
        </w:rPr>
        <w:t>eritromicin</w:t>
      </w:r>
      <w:proofErr w:type="spellEnd"/>
      <w:r>
        <w:rPr>
          <w:szCs w:val="22"/>
          <w:lang w:val="hu-HU"/>
        </w:rPr>
        <w:t xml:space="preserve"> </w:t>
      </w:r>
      <w:proofErr w:type="spellStart"/>
      <w:r>
        <w:rPr>
          <w:szCs w:val="22"/>
          <w:lang w:val="hu-HU"/>
        </w:rPr>
        <w:t>együttadásakor</w:t>
      </w:r>
      <w:proofErr w:type="spellEnd"/>
      <w:r>
        <w:rPr>
          <w:szCs w:val="22"/>
          <w:lang w:val="hu-HU"/>
        </w:rPr>
        <w:t xml:space="preserve"> a </w:t>
      </w:r>
      <w:proofErr w:type="spellStart"/>
      <w:r>
        <w:rPr>
          <w:szCs w:val="22"/>
          <w:lang w:val="hu-HU"/>
        </w:rPr>
        <w:t>rozuvasztatin</w:t>
      </w:r>
      <w:proofErr w:type="spellEnd"/>
      <w:r>
        <w:rPr>
          <w:szCs w:val="22"/>
          <w:lang w:val="hu-HU"/>
        </w:rPr>
        <w:t xml:space="preserve"> AUC</w:t>
      </w:r>
      <w:r>
        <w:rPr>
          <w:szCs w:val="22"/>
          <w:vertAlign w:val="subscript"/>
          <w:lang w:val="hu-HU"/>
        </w:rPr>
        <w:t>(0-t)</w:t>
      </w:r>
      <w:r>
        <w:rPr>
          <w:szCs w:val="22"/>
          <w:lang w:val="hu-HU"/>
        </w:rPr>
        <w:t xml:space="preserve"> értéke 20%-</w:t>
      </w:r>
      <w:proofErr w:type="spellStart"/>
      <w:r>
        <w:rPr>
          <w:szCs w:val="22"/>
          <w:lang w:val="hu-HU"/>
        </w:rPr>
        <w:t>kal</w:t>
      </w:r>
      <w:proofErr w:type="spellEnd"/>
      <w:r>
        <w:rPr>
          <w:szCs w:val="22"/>
          <w:lang w:val="hu-HU"/>
        </w:rPr>
        <w:t xml:space="preserve">, </w:t>
      </w:r>
      <w:proofErr w:type="spellStart"/>
      <w:r>
        <w:rPr>
          <w:szCs w:val="22"/>
          <w:lang w:val="hu-HU"/>
        </w:rPr>
        <w:t>C</w:t>
      </w:r>
      <w:r>
        <w:rPr>
          <w:szCs w:val="22"/>
          <w:vertAlign w:val="subscript"/>
          <w:lang w:val="hu-HU"/>
        </w:rPr>
        <w:t>max</w:t>
      </w:r>
      <w:proofErr w:type="spellEnd"/>
      <w:r>
        <w:rPr>
          <w:szCs w:val="22"/>
          <w:lang w:val="hu-HU"/>
        </w:rPr>
        <w:t xml:space="preserve"> értéke 30%-</w:t>
      </w:r>
      <w:proofErr w:type="spellStart"/>
      <w:r>
        <w:rPr>
          <w:szCs w:val="22"/>
          <w:lang w:val="hu-HU"/>
        </w:rPr>
        <w:t>kal</w:t>
      </w:r>
      <w:proofErr w:type="spellEnd"/>
      <w:r>
        <w:rPr>
          <w:szCs w:val="22"/>
          <w:lang w:val="hu-HU"/>
        </w:rPr>
        <w:t xml:space="preserve"> csökkent. Ez a kölcsönhatás a tápcsatornai </w:t>
      </w:r>
      <w:proofErr w:type="spellStart"/>
      <w:r>
        <w:rPr>
          <w:szCs w:val="22"/>
          <w:lang w:val="hu-HU"/>
        </w:rPr>
        <w:t>motilitás</w:t>
      </w:r>
      <w:proofErr w:type="spellEnd"/>
      <w:r>
        <w:rPr>
          <w:szCs w:val="22"/>
          <w:lang w:val="hu-HU"/>
        </w:rPr>
        <w:t xml:space="preserve"> </w:t>
      </w:r>
      <w:proofErr w:type="spellStart"/>
      <w:r>
        <w:rPr>
          <w:szCs w:val="22"/>
          <w:lang w:val="hu-HU"/>
        </w:rPr>
        <w:t>eritromicin</w:t>
      </w:r>
      <w:proofErr w:type="spellEnd"/>
      <w:r>
        <w:rPr>
          <w:szCs w:val="22"/>
          <w:lang w:val="hu-HU"/>
        </w:rPr>
        <w:t xml:space="preserve"> által előidézett fokozódásának következménye lehet.</w:t>
      </w:r>
    </w:p>
    <w:p w14:paraId="58A35ABB" w14:textId="77777777" w:rsidR="007963F8" w:rsidRDefault="007963F8">
      <w:pPr>
        <w:widowControl w:val="0"/>
        <w:rPr>
          <w:szCs w:val="22"/>
          <w:lang w:val="hu-HU" w:eastAsia="en-US"/>
        </w:rPr>
      </w:pPr>
    </w:p>
    <w:p w14:paraId="0DDCA6E8" w14:textId="77777777" w:rsidR="007963F8" w:rsidRDefault="008714EA">
      <w:pPr>
        <w:pStyle w:val="WW-Szvegtrzs2"/>
        <w:rPr>
          <w:color w:val="auto"/>
          <w:sz w:val="22"/>
          <w:szCs w:val="22"/>
        </w:rPr>
      </w:pPr>
      <w:proofErr w:type="spellStart"/>
      <w:r>
        <w:rPr>
          <w:bCs/>
          <w:i/>
          <w:iCs/>
          <w:color w:val="auto"/>
          <w:sz w:val="22"/>
          <w:szCs w:val="22"/>
        </w:rPr>
        <w:t>Citokróm</w:t>
      </w:r>
      <w:proofErr w:type="spellEnd"/>
      <w:r>
        <w:rPr>
          <w:bCs/>
          <w:i/>
          <w:iCs/>
          <w:color w:val="auto"/>
          <w:sz w:val="22"/>
          <w:szCs w:val="22"/>
        </w:rPr>
        <w:t> P450 enzimek</w:t>
      </w:r>
    </w:p>
    <w:p w14:paraId="64FBC621" w14:textId="77777777" w:rsidR="007963F8" w:rsidRDefault="008714EA">
      <w:pPr>
        <w:widowControl w:val="0"/>
      </w:pPr>
      <w:r>
        <w:rPr>
          <w:i/>
          <w:iCs/>
        </w:rPr>
        <w:t>In vitro</w:t>
      </w:r>
      <w:r>
        <w:t xml:space="preserve"> és </w:t>
      </w:r>
      <w:r>
        <w:rPr>
          <w:i/>
          <w:iCs/>
        </w:rPr>
        <w:t>in vivo</w:t>
      </w:r>
      <w:r>
        <w:t xml:space="preserve"> vizsgálatokból származó eredmények azt mutatták, hogy a rozuvasztatin a </w:t>
      </w:r>
      <w:r>
        <w:lastRenderedPageBreak/>
        <w:t>citokróm P450 izoenzimrendszernek sem nem inhibitora, sem nem induktora. Továbbá a rozuvasztatin ezeknek az izoenzimeknek gyenge szubsztrátja. Így a citokróm P450 mediált metabolizmus eredményeként gyógyszerinterakció nem várható. Nem figyeltek meg klinikai szempontból jelentős interakciót sem rozuvasztatin és flukonazol (CYP2C9 és CYP3A4 inhibitor), sem rozuvasztatin és ketokonazol (CYP2A6 és CYP3A4 inhibitor) között.</w:t>
      </w:r>
    </w:p>
    <w:p w14:paraId="29ECD481" w14:textId="77777777" w:rsidR="007963F8" w:rsidRDefault="007963F8">
      <w:pPr>
        <w:widowControl w:val="0"/>
        <w:rPr>
          <w:szCs w:val="22"/>
          <w:lang w:val="hu-HU" w:eastAsia="en-US"/>
        </w:rPr>
      </w:pPr>
    </w:p>
    <w:p w14:paraId="7DA11DA5" w14:textId="77777777" w:rsidR="007963F8" w:rsidRDefault="008714EA">
      <w:pPr>
        <w:rPr>
          <w:szCs w:val="22"/>
          <w:lang w:val="hu-HU"/>
        </w:rPr>
      </w:pPr>
      <w:r>
        <w:rPr>
          <w:i/>
          <w:szCs w:val="22"/>
          <w:lang w:val="hu-HU"/>
        </w:rPr>
        <w:t xml:space="preserve">A </w:t>
      </w:r>
      <w:proofErr w:type="spellStart"/>
      <w:r>
        <w:rPr>
          <w:i/>
          <w:szCs w:val="22"/>
          <w:lang w:val="hu-HU"/>
        </w:rPr>
        <w:t>rozuvasztatin</w:t>
      </w:r>
      <w:proofErr w:type="spellEnd"/>
      <w:r>
        <w:rPr>
          <w:i/>
          <w:szCs w:val="22"/>
          <w:lang w:val="hu-HU"/>
        </w:rPr>
        <w:t xml:space="preserve"> dózismódosítását igénylő interakciók (lásd még 1. táblázat)</w:t>
      </w:r>
    </w:p>
    <w:p w14:paraId="28FB3968" w14:textId="77777777" w:rsidR="007963F8" w:rsidRDefault="008714EA">
      <w:r>
        <w:t>Amikor a rozuvasztatin egyidejű alkalmazása szükséges olyan egyéb gyógyszerekkel, amelyek ismerten növelik a rozuvasztatin-expozíciót, a rozuvasztatin dózisait módosítani kell. Javasolt, hogy az orvosok ellenőrizzék az érintett gyógyszerek alkalmazási előírását, amikor fontolóra veszik a rozuvasztatin egyidejű alkalmazását ezekkel a gyógyszerekkel. Napi egyszer 5 mg rozuvasztatin legyen a kezdő adag, ha az expozíció (AUC) várható növekedése kb. 2</w:t>
      </w:r>
      <w:r>
        <w:noBreakHyphen/>
        <w:t>szeres vagy nagyobb. A rozuvasztatin maximális napi adagját úgy kell módosítani, hogy a várható rozuvasztatin-expozíció valószínűleg ne haladja meg azt az értéket, amely a napi 40 mg rozuvasztatin bevételekor alakul ki interakciót kiváltó gyógyszer nélkül, például 20 mg rozuvasztatin dózis gemfibrozillel (1,9</w:t>
      </w:r>
      <w:r>
        <w:noBreakHyphen/>
        <w:t>szeres növekedés) és 10 mg rozuvasztatin dózis ritonavir/atazanavir kombinációjával (3,1</w:t>
      </w:r>
      <w:r>
        <w:noBreakHyphen/>
        <w:t>szeres növekedés).</w:t>
      </w:r>
    </w:p>
    <w:p w14:paraId="48D60500" w14:textId="77777777" w:rsidR="007963F8" w:rsidRDefault="007963F8"/>
    <w:p w14:paraId="558AB002" w14:textId="77777777" w:rsidR="007963F8" w:rsidRDefault="008714EA">
      <w:r>
        <w:rPr>
          <w:i/>
        </w:rPr>
        <w:t>Tikagrelor:</w:t>
      </w:r>
      <w:r>
        <w:t xml:space="preserve"> A tikagrelor befolyásolhatja a rozuvasztatin vesén át történő kiválasztását, ezáltal növelheti a rozuvasztatin akkumulációjának kockázatát. Bár a pontos mechanizmus nem ismert, néhány esetben a tikagrelor és a rozuvasztatin együttes alkalmazása a vesefunkció romlásához, megnövekedett CPK-szinthez, és rhabdomyolysis kialakulásához vezetett.</w:t>
      </w:r>
    </w:p>
    <w:p w14:paraId="448F22DB" w14:textId="77777777" w:rsidR="007963F8" w:rsidRDefault="007963F8"/>
    <w:p w14:paraId="4238F523" w14:textId="77777777" w:rsidR="007963F8" w:rsidRDefault="008714EA">
      <w:r>
        <w:t>Amennyiben a megfigyelés alapján a gyógyszer a rozuvasztatin AUC értékét kevesebb mint kétszeresére növeli, úgy a kezdő adagot nem szükséges csökkenteni, de a rozuvasztatin dózis 20 mg fölé emelése óvatosságot igényel.</w:t>
      </w:r>
    </w:p>
    <w:p w14:paraId="1E2127CB" w14:textId="77777777" w:rsidR="007963F8" w:rsidRDefault="007963F8">
      <w:pPr>
        <w:rPr>
          <w:szCs w:val="22"/>
          <w:lang w:val="hu-HU"/>
        </w:rPr>
      </w:pPr>
    </w:p>
    <w:p w14:paraId="790055AF" w14:textId="77777777" w:rsidR="007963F8" w:rsidRDefault="008714EA">
      <w:pPr>
        <w:tabs>
          <w:tab w:val="left" w:pos="1134"/>
        </w:tabs>
        <w:ind w:left="1134" w:hanging="1134"/>
        <w:rPr>
          <w:b/>
          <w:szCs w:val="22"/>
          <w:lang w:val="hu-HU"/>
        </w:rPr>
      </w:pPr>
      <w:r>
        <w:rPr>
          <w:b/>
          <w:szCs w:val="22"/>
          <w:lang w:val="hu-HU"/>
        </w:rPr>
        <w:t>1. táblázat:</w:t>
      </w:r>
      <w:r>
        <w:rPr>
          <w:b/>
          <w:szCs w:val="22"/>
          <w:lang w:val="hu-HU"/>
        </w:rPr>
        <w:tab/>
        <w:t xml:space="preserve">Az egyidejűleg alkalmazott gyógyszerek </w:t>
      </w:r>
      <w:proofErr w:type="spellStart"/>
      <w:r>
        <w:rPr>
          <w:b/>
          <w:lang w:val="hu-HU"/>
        </w:rPr>
        <w:t>rozuvasztatin</w:t>
      </w:r>
      <w:proofErr w:type="spellEnd"/>
      <w:r>
        <w:rPr>
          <w:b/>
          <w:lang w:val="hu-HU"/>
        </w:rPr>
        <w:t>-expozícióra gyakorolt hatása</w:t>
      </w:r>
      <w:r>
        <w:rPr>
          <w:b/>
          <w:szCs w:val="22"/>
          <w:lang w:val="hu-HU"/>
        </w:rPr>
        <w:t xml:space="preserve"> (AUC; csökkenő nagyságrendben) a közölt klinikai vizsgálatokból</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2693"/>
        <w:gridCol w:w="2268"/>
      </w:tblGrid>
      <w:tr w:rsidR="007963F8" w14:paraId="737731F9" w14:textId="77777777">
        <w:trPr>
          <w:cantSplit/>
        </w:trPr>
        <w:tc>
          <w:tcPr>
            <w:tcW w:w="9322" w:type="dxa"/>
            <w:gridSpan w:val="3"/>
          </w:tcPr>
          <w:p w14:paraId="1CE40A98" w14:textId="77777777" w:rsidR="007963F8" w:rsidRDefault="008714EA">
            <w:pPr>
              <w:keepNext/>
              <w:rPr>
                <w:b/>
                <w:szCs w:val="22"/>
                <w:lang w:val="hu-HU" w:eastAsia="zh-CN"/>
              </w:rPr>
            </w:pPr>
            <w:r>
              <w:rPr>
                <w:b/>
                <w:szCs w:val="22"/>
                <w:lang w:val="hu-HU" w:eastAsia="zh-CN"/>
              </w:rPr>
              <w:t xml:space="preserve">A </w:t>
            </w:r>
            <w:proofErr w:type="spellStart"/>
            <w:r>
              <w:rPr>
                <w:b/>
                <w:szCs w:val="22"/>
                <w:lang w:val="hu-HU" w:eastAsia="zh-CN"/>
              </w:rPr>
              <w:t>rozuvasztatin</w:t>
            </w:r>
            <w:proofErr w:type="spellEnd"/>
            <w:r>
              <w:rPr>
                <w:b/>
                <w:szCs w:val="22"/>
                <w:lang w:val="hu-HU" w:eastAsia="zh-CN"/>
              </w:rPr>
              <w:t xml:space="preserve"> AUC értékének 2-szeres vagy nagyobb mértékű növekedése</w:t>
            </w:r>
          </w:p>
        </w:tc>
      </w:tr>
      <w:tr w:rsidR="007963F8" w14:paraId="275A1A99" w14:textId="77777777">
        <w:trPr>
          <w:cantSplit/>
        </w:trPr>
        <w:tc>
          <w:tcPr>
            <w:tcW w:w="4361" w:type="dxa"/>
          </w:tcPr>
          <w:p w14:paraId="3EC5059C" w14:textId="77777777" w:rsidR="007963F8" w:rsidRDefault="008714EA">
            <w:pPr>
              <w:keepNext/>
              <w:rPr>
                <w:b/>
                <w:szCs w:val="22"/>
                <w:lang w:val="hu-HU" w:eastAsia="zh-CN"/>
              </w:rPr>
            </w:pPr>
            <w:r>
              <w:rPr>
                <w:b/>
                <w:szCs w:val="22"/>
                <w:lang w:val="hu-HU" w:eastAsia="zh-CN"/>
              </w:rPr>
              <w:t>Interakcióba lépő gyógyszer adagolási rendje</w:t>
            </w:r>
          </w:p>
        </w:tc>
        <w:tc>
          <w:tcPr>
            <w:tcW w:w="2693" w:type="dxa"/>
          </w:tcPr>
          <w:p w14:paraId="2774F7BB" w14:textId="77777777" w:rsidR="007963F8" w:rsidRDefault="008714EA">
            <w:pPr>
              <w:keepNext/>
              <w:jc w:val="center"/>
              <w:rPr>
                <w:b/>
                <w:szCs w:val="22"/>
                <w:lang w:val="hu-HU" w:eastAsia="zh-CN"/>
              </w:rPr>
            </w:pPr>
            <w:proofErr w:type="spellStart"/>
            <w:r>
              <w:rPr>
                <w:b/>
                <w:szCs w:val="22"/>
                <w:lang w:val="hu-HU" w:eastAsia="zh-CN"/>
              </w:rPr>
              <w:t>Rozuvasztatin</w:t>
            </w:r>
            <w:proofErr w:type="spellEnd"/>
            <w:r>
              <w:rPr>
                <w:b/>
                <w:szCs w:val="22"/>
                <w:lang w:val="hu-HU" w:eastAsia="zh-CN"/>
              </w:rPr>
              <w:t xml:space="preserve"> adagolási rendje</w:t>
            </w:r>
          </w:p>
        </w:tc>
        <w:tc>
          <w:tcPr>
            <w:tcW w:w="2268" w:type="dxa"/>
          </w:tcPr>
          <w:p w14:paraId="4D509467" w14:textId="77777777" w:rsidR="007963F8" w:rsidRDefault="008714EA">
            <w:pPr>
              <w:keepNext/>
              <w:jc w:val="center"/>
              <w:rPr>
                <w:b/>
                <w:szCs w:val="22"/>
                <w:lang w:val="hu-HU" w:eastAsia="zh-CN"/>
              </w:rPr>
            </w:pPr>
            <w:proofErr w:type="spellStart"/>
            <w:r>
              <w:rPr>
                <w:b/>
                <w:szCs w:val="22"/>
                <w:lang w:val="hu-HU" w:eastAsia="zh-CN"/>
              </w:rPr>
              <w:t>Rozuvasztatin</w:t>
            </w:r>
            <w:proofErr w:type="spellEnd"/>
            <w:r>
              <w:rPr>
                <w:b/>
                <w:szCs w:val="22"/>
                <w:lang w:val="hu-HU" w:eastAsia="zh-CN"/>
              </w:rPr>
              <w:t xml:space="preserve"> AUC</w:t>
            </w:r>
            <w:r>
              <w:rPr>
                <w:b/>
                <w:szCs w:val="22"/>
                <w:vertAlign w:val="superscript"/>
                <w:lang w:val="hu-HU" w:eastAsia="zh-CN"/>
              </w:rPr>
              <w:t xml:space="preserve">* </w:t>
            </w:r>
            <w:r>
              <w:rPr>
                <w:b/>
                <w:szCs w:val="22"/>
                <w:lang w:val="hu-HU" w:eastAsia="zh-CN"/>
              </w:rPr>
              <w:t>változása</w:t>
            </w:r>
          </w:p>
        </w:tc>
      </w:tr>
      <w:tr w:rsidR="007963F8" w14:paraId="11446F44" w14:textId="77777777">
        <w:trPr>
          <w:cantSplit/>
        </w:trPr>
        <w:tc>
          <w:tcPr>
            <w:tcW w:w="4361" w:type="dxa"/>
          </w:tcPr>
          <w:p w14:paraId="46BB17A1" w14:textId="77777777" w:rsidR="007963F8" w:rsidRDefault="008714EA">
            <w:pPr>
              <w:rPr>
                <w:szCs w:val="22"/>
                <w:lang w:val="hu-HU" w:eastAsia="zh-CN"/>
              </w:rPr>
            </w:pPr>
            <w:proofErr w:type="spellStart"/>
            <w:r>
              <w:rPr>
                <w:szCs w:val="22"/>
                <w:lang w:val="hu-HU" w:eastAsia="zh-CN"/>
              </w:rPr>
              <w:t>Szofoszbuvir</w:t>
            </w:r>
            <w:proofErr w:type="spellEnd"/>
            <w:r>
              <w:rPr>
                <w:szCs w:val="22"/>
                <w:lang w:val="hu-HU" w:eastAsia="zh-CN"/>
              </w:rPr>
              <w:t>/</w:t>
            </w:r>
            <w:proofErr w:type="spellStart"/>
            <w:r>
              <w:rPr>
                <w:szCs w:val="22"/>
                <w:lang w:val="hu-HU" w:eastAsia="zh-CN"/>
              </w:rPr>
              <w:t>velpataszvir</w:t>
            </w:r>
            <w:proofErr w:type="spellEnd"/>
            <w:r>
              <w:rPr>
                <w:szCs w:val="22"/>
                <w:lang w:val="hu-HU" w:eastAsia="zh-CN"/>
              </w:rPr>
              <w:t>/</w:t>
            </w:r>
            <w:proofErr w:type="spellStart"/>
            <w:r>
              <w:rPr>
                <w:szCs w:val="22"/>
                <w:lang w:val="hu-HU" w:eastAsia="zh-CN"/>
              </w:rPr>
              <w:t>voxilaprevir</w:t>
            </w:r>
            <w:proofErr w:type="spellEnd"/>
            <w:r>
              <w:rPr>
                <w:szCs w:val="22"/>
                <w:lang w:val="hu-HU" w:eastAsia="zh-CN"/>
              </w:rPr>
              <w:t xml:space="preserve"> (400 mg-100 </w:t>
            </w:r>
            <w:proofErr w:type="spellStart"/>
            <w:r>
              <w:rPr>
                <w:szCs w:val="22"/>
                <w:lang w:val="hu-HU" w:eastAsia="zh-CN"/>
              </w:rPr>
              <w:t>mg-100</w:t>
            </w:r>
            <w:proofErr w:type="spellEnd"/>
            <w:r>
              <w:rPr>
                <w:szCs w:val="22"/>
                <w:lang w:val="hu-HU" w:eastAsia="zh-CN"/>
              </w:rPr>
              <w:t xml:space="preserve"> mg) + </w:t>
            </w:r>
            <w:proofErr w:type="spellStart"/>
            <w:r>
              <w:rPr>
                <w:szCs w:val="22"/>
                <w:lang w:val="hu-HU" w:eastAsia="zh-CN"/>
              </w:rPr>
              <w:t>voxilaprevir</w:t>
            </w:r>
            <w:proofErr w:type="spellEnd"/>
            <w:r>
              <w:rPr>
                <w:szCs w:val="22"/>
                <w:lang w:val="hu-HU" w:eastAsia="zh-CN"/>
              </w:rPr>
              <w:t xml:space="preserve"> (100 mg) napi egyszer, 15 napig</w:t>
            </w:r>
          </w:p>
        </w:tc>
        <w:tc>
          <w:tcPr>
            <w:tcW w:w="2693" w:type="dxa"/>
          </w:tcPr>
          <w:p w14:paraId="1286503C" w14:textId="77777777" w:rsidR="007963F8" w:rsidRDefault="008714EA">
            <w:pPr>
              <w:jc w:val="center"/>
              <w:rPr>
                <w:szCs w:val="22"/>
                <w:lang w:val="hu-HU" w:eastAsia="zh-CN"/>
              </w:rPr>
            </w:pPr>
            <w:r>
              <w:rPr>
                <w:szCs w:val="22"/>
                <w:lang w:val="hu-HU" w:eastAsia="zh-CN"/>
              </w:rPr>
              <w:t>10 mg egyszeri adag</w:t>
            </w:r>
          </w:p>
        </w:tc>
        <w:tc>
          <w:tcPr>
            <w:tcW w:w="2268" w:type="dxa"/>
          </w:tcPr>
          <w:p w14:paraId="45C0D1FB" w14:textId="77777777" w:rsidR="007963F8" w:rsidRDefault="008714EA">
            <w:pPr>
              <w:jc w:val="center"/>
              <w:rPr>
                <w:szCs w:val="22"/>
                <w:lang w:val="hu-HU" w:eastAsia="zh-CN"/>
              </w:rPr>
            </w:pPr>
            <w:r>
              <w:rPr>
                <w:szCs w:val="22"/>
                <w:lang w:val="hu-HU" w:eastAsia="zh-CN"/>
              </w:rPr>
              <w:t>7,4</w:t>
            </w:r>
            <w:r>
              <w:rPr>
                <w:szCs w:val="22"/>
                <w:lang w:val="hu-HU" w:eastAsia="zh-CN"/>
              </w:rPr>
              <w:noBreakHyphen/>
              <w:t xml:space="preserve">szeres </w:t>
            </w:r>
            <w:r>
              <w:rPr>
                <w:szCs w:val="22"/>
                <w:lang w:val="hu-HU" w:eastAsia="zh-CN"/>
              </w:rPr>
              <w:sym w:font="Symbol" w:char="F0AD"/>
            </w:r>
          </w:p>
        </w:tc>
      </w:tr>
      <w:tr w:rsidR="007963F8" w14:paraId="336692F2" w14:textId="77777777">
        <w:trPr>
          <w:cantSplit/>
        </w:trPr>
        <w:tc>
          <w:tcPr>
            <w:tcW w:w="4361" w:type="dxa"/>
          </w:tcPr>
          <w:p w14:paraId="096D3875" w14:textId="77777777" w:rsidR="007963F8" w:rsidRDefault="008714EA">
            <w:pPr>
              <w:rPr>
                <w:szCs w:val="22"/>
                <w:lang w:val="hu-HU" w:eastAsia="zh-CN"/>
              </w:rPr>
            </w:pPr>
            <w:proofErr w:type="spellStart"/>
            <w:r>
              <w:rPr>
                <w:szCs w:val="22"/>
                <w:lang w:val="hu-HU" w:eastAsia="zh-CN"/>
              </w:rPr>
              <w:t>Ciklosporin</w:t>
            </w:r>
            <w:proofErr w:type="spellEnd"/>
            <w:r>
              <w:rPr>
                <w:szCs w:val="22"/>
                <w:lang w:val="hu-HU" w:eastAsia="zh-CN"/>
              </w:rPr>
              <w:t xml:space="preserve"> 75 mg napi kétszer </w:t>
            </w:r>
            <w:r>
              <w:rPr>
                <w:szCs w:val="22"/>
                <w:lang w:val="hu-HU" w:eastAsia="zh-CN"/>
              </w:rPr>
              <w:noBreakHyphen/>
              <w:t xml:space="preserve"> 200 mg napi kétszer, 6 hónap</w:t>
            </w:r>
          </w:p>
        </w:tc>
        <w:tc>
          <w:tcPr>
            <w:tcW w:w="2693" w:type="dxa"/>
          </w:tcPr>
          <w:p w14:paraId="3E1B8F2F" w14:textId="77777777" w:rsidR="007963F8" w:rsidRDefault="008714EA">
            <w:pPr>
              <w:jc w:val="center"/>
              <w:rPr>
                <w:szCs w:val="22"/>
                <w:lang w:val="hu-HU" w:eastAsia="zh-CN"/>
              </w:rPr>
            </w:pPr>
            <w:r>
              <w:rPr>
                <w:szCs w:val="22"/>
                <w:lang w:val="hu-HU" w:eastAsia="zh-CN"/>
              </w:rPr>
              <w:t>10 mg napi egyszer, 10 nap</w:t>
            </w:r>
          </w:p>
        </w:tc>
        <w:tc>
          <w:tcPr>
            <w:tcW w:w="2268" w:type="dxa"/>
          </w:tcPr>
          <w:p w14:paraId="4250DE22" w14:textId="77777777" w:rsidR="007963F8" w:rsidRDefault="008714EA">
            <w:pPr>
              <w:jc w:val="center"/>
              <w:rPr>
                <w:szCs w:val="22"/>
                <w:lang w:val="hu-HU" w:eastAsia="zh-CN"/>
              </w:rPr>
            </w:pPr>
            <w:r>
              <w:rPr>
                <w:szCs w:val="22"/>
                <w:lang w:val="hu-HU" w:eastAsia="zh-CN"/>
              </w:rPr>
              <w:t>7,1</w:t>
            </w:r>
            <w:r>
              <w:rPr>
                <w:szCs w:val="22"/>
                <w:lang w:val="hu-HU" w:eastAsia="zh-CN"/>
              </w:rPr>
              <w:noBreakHyphen/>
              <w:t xml:space="preserve">szeres </w:t>
            </w:r>
            <w:r>
              <w:rPr>
                <w:szCs w:val="22"/>
                <w:lang w:val="hu-HU" w:eastAsia="zh-CN"/>
              </w:rPr>
              <w:sym w:font="Symbol" w:char="F0AD"/>
            </w:r>
          </w:p>
        </w:tc>
      </w:tr>
      <w:tr w:rsidR="007963F8" w14:paraId="44F76D56" w14:textId="77777777">
        <w:trPr>
          <w:cantSplit/>
        </w:trPr>
        <w:tc>
          <w:tcPr>
            <w:tcW w:w="4361" w:type="dxa"/>
          </w:tcPr>
          <w:p w14:paraId="01202A88" w14:textId="77777777" w:rsidR="007963F8" w:rsidRDefault="008714EA">
            <w:pPr>
              <w:rPr>
                <w:szCs w:val="22"/>
                <w:lang w:val="hu-HU" w:eastAsia="zh-CN"/>
              </w:rPr>
            </w:pPr>
            <w:proofErr w:type="spellStart"/>
            <w:r>
              <w:rPr>
                <w:szCs w:val="22"/>
                <w:lang w:val="hu-HU" w:eastAsia="zh-CN"/>
              </w:rPr>
              <w:t>Darolutamid</w:t>
            </w:r>
            <w:proofErr w:type="spellEnd"/>
            <w:r>
              <w:rPr>
                <w:szCs w:val="22"/>
                <w:lang w:val="hu-HU" w:eastAsia="zh-CN"/>
              </w:rPr>
              <w:t xml:space="preserve"> 600 mg napi kétszer, 5 nap</w:t>
            </w:r>
          </w:p>
        </w:tc>
        <w:tc>
          <w:tcPr>
            <w:tcW w:w="2693" w:type="dxa"/>
          </w:tcPr>
          <w:p w14:paraId="4A0C4400" w14:textId="77777777" w:rsidR="007963F8" w:rsidRDefault="008714EA">
            <w:pPr>
              <w:jc w:val="center"/>
              <w:rPr>
                <w:szCs w:val="22"/>
                <w:lang w:val="hu-HU" w:eastAsia="zh-CN"/>
              </w:rPr>
            </w:pPr>
            <w:r>
              <w:rPr>
                <w:szCs w:val="22"/>
                <w:lang w:val="hu-HU" w:eastAsia="zh-CN"/>
              </w:rPr>
              <w:t>5 mg, egyszeri adag</w:t>
            </w:r>
          </w:p>
        </w:tc>
        <w:tc>
          <w:tcPr>
            <w:tcW w:w="2268" w:type="dxa"/>
          </w:tcPr>
          <w:p w14:paraId="53998E5D" w14:textId="77777777" w:rsidR="007963F8" w:rsidRDefault="008714EA">
            <w:pPr>
              <w:jc w:val="center"/>
              <w:rPr>
                <w:szCs w:val="22"/>
                <w:lang w:val="hu-HU" w:eastAsia="zh-CN"/>
              </w:rPr>
            </w:pPr>
            <w:r>
              <w:rPr>
                <w:szCs w:val="22"/>
                <w:lang w:val="hu-HU" w:eastAsia="zh-CN"/>
              </w:rPr>
              <w:t>5,2</w:t>
            </w:r>
            <w:r>
              <w:rPr>
                <w:szCs w:val="22"/>
                <w:lang w:val="hu-HU" w:eastAsia="zh-CN"/>
              </w:rPr>
              <w:noBreakHyphen/>
              <w:t xml:space="preserve">szeres </w:t>
            </w:r>
            <w:r>
              <w:rPr>
                <w:szCs w:val="22"/>
                <w:lang w:val="hu-HU" w:eastAsia="zh-CN"/>
              </w:rPr>
              <w:sym w:font="Symbol" w:char="F0AD"/>
            </w:r>
          </w:p>
        </w:tc>
      </w:tr>
      <w:tr w:rsidR="007963F8" w14:paraId="76BCB4D9" w14:textId="77777777">
        <w:trPr>
          <w:cantSplit/>
        </w:trPr>
        <w:tc>
          <w:tcPr>
            <w:tcW w:w="4361" w:type="dxa"/>
          </w:tcPr>
          <w:p w14:paraId="632A5721" w14:textId="77777777" w:rsidR="007963F8" w:rsidRDefault="008714EA">
            <w:pPr>
              <w:rPr>
                <w:szCs w:val="22"/>
                <w:lang w:val="hu-HU" w:eastAsia="zh-CN"/>
              </w:rPr>
            </w:pPr>
            <w:proofErr w:type="spellStart"/>
            <w:r>
              <w:rPr>
                <w:szCs w:val="22"/>
                <w:lang w:val="hu-HU" w:eastAsia="zh-CN"/>
              </w:rPr>
              <w:t>Regorafenib</w:t>
            </w:r>
            <w:proofErr w:type="spellEnd"/>
            <w:r>
              <w:rPr>
                <w:szCs w:val="22"/>
                <w:lang w:val="hu-HU" w:eastAsia="zh-CN"/>
              </w:rPr>
              <w:t xml:space="preserve"> 160 mg napi egyszer, 14 nap</w:t>
            </w:r>
          </w:p>
        </w:tc>
        <w:tc>
          <w:tcPr>
            <w:tcW w:w="2693" w:type="dxa"/>
          </w:tcPr>
          <w:p w14:paraId="6A5D737D" w14:textId="77777777" w:rsidR="007963F8" w:rsidRDefault="008714EA">
            <w:pPr>
              <w:jc w:val="center"/>
              <w:rPr>
                <w:szCs w:val="22"/>
                <w:lang w:val="hu-HU" w:eastAsia="zh-CN"/>
              </w:rPr>
            </w:pPr>
            <w:r>
              <w:rPr>
                <w:szCs w:val="22"/>
                <w:lang w:val="hu-HU" w:eastAsia="zh-CN"/>
              </w:rPr>
              <w:t>5 mg, egyszeri adag</w:t>
            </w:r>
          </w:p>
        </w:tc>
        <w:tc>
          <w:tcPr>
            <w:tcW w:w="2268" w:type="dxa"/>
          </w:tcPr>
          <w:p w14:paraId="1E246ED5" w14:textId="77777777" w:rsidR="007963F8" w:rsidRDefault="008714EA">
            <w:pPr>
              <w:jc w:val="center"/>
              <w:rPr>
                <w:szCs w:val="22"/>
                <w:lang w:val="hu-HU" w:eastAsia="zh-CN"/>
              </w:rPr>
            </w:pPr>
            <w:r>
              <w:rPr>
                <w:szCs w:val="22"/>
                <w:lang w:val="hu-HU" w:eastAsia="zh-CN"/>
              </w:rPr>
              <w:t>3,8</w:t>
            </w:r>
            <w:r>
              <w:rPr>
                <w:szCs w:val="22"/>
                <w:lang w:val="hu-HU" w:eastAsia="zh-CN"/>
              </w:rPr>
              <w:noBreakHyphen/>
              <w:t xml:space="preserve">szoros </w:t>
            </w:r>
            <w:r>
              <w:rPr>
                <w:szCs w:val="22"/>
                <w:lang w:val="hu-HU" w:eastAsia="zh-CN"/>
              </w:rPr>
              <w:sym w:font="Symbol" w:char="F0AD"/>
            </w:r>
          </w:p>
        </w:tc>
      </w:tr>
      <w:tr w:rsidR="007963F8" w14:paraId="7D9B96F0" w14:textId="77777777">
        <w:trPr>
          <w:cantSplit/>
        </w:trPr>
        <w:tc>
          <w:tcPr>
            <w:tcW w:w="4361" w:type="dxa"/>
          </w:tcPr>
          <w:p w14:paraId="4072D002" w14:textId="77777777" w:rsidR="007963F8" w:rsidRDefault="008714EA">
            <w:pPr>
              <w:rPr>
                <w:szCs w:val="22"/>
                <w:lang w:val="hu-HU" w:eastAsia="zh-CN"/>
              </w:rPr>
            </w:pPr>
            <w:proofErr w:type="spellStart"/>
            <w:r>
              <w:rPr>
                <w:szCs w:val="22"/>
                <w:lang w:val="hu-HU" w:eastAsia="zh-CN"/>
              </w:rPr>
              <w:t>Atazanavir</w:t>
            </w:r>
            <w:proofErr w:type="spellEnd"/>
            <w:r>
              <w:rPr>
                <w:szCs w:val="22"/>
                <w:lang w:val="hu-HU" w:eastAsia="zh-CN"/>
              </w:rPr>
              <w:t xml:space="preserve"> 300 mg/</w:t>
            </w:r>
            <w:proofErr w:type="spellStart"/>
            <w:r>
              <w:rPr>
                <w:szCs w:val="22"/>
                <w:lang w:val="hu-HU" w:eastAsia="zh-CN"/>
              </w:rPr>
              <w:t>ritonavir</w:t>
            </w:r>
            <w:proofErr w:type="spellEnd"/>
            <w:r>
              <w:rPr>
                <w:szCs w:val="22"/>
                <w:lang w:val="hu-HU" w:eastAsia="zh-CN"/>
              </w:rPr>
              <w:t xml:space="preserve"> 100 mg napi egyszer, 8 nap</w:t>
            </w:r>
          </w:p>
        </w:tc>
        <w:tc>
          <w:tcPr>
            <w:tcW w:w="2693" w:type="dxa"/>
          </w:tcPr>
          <w:p w14:paraId="0FA2BB37" w14:textId="77777777" w:rsidR="007963F8" w:rsidRDefault="008714EA">
            <w:pPr>
              <w:jc w:val="center"/>
              <w:rPr>
                <w:szCs w:val="22"/>
                <w:lang w:val="hu-HU" w:eastAsia="zh-CN"/>
              </w:rPr>
            </w:pPr>
            <w:r>
              <w:rPr>
                <w:szCs w:val="22"/>
                <w:lang w:val="hu-HU" w:eastAsia="zh-CN"/>
              </w:rPr>
              <w:t>10 mg, egyszeri adag</w:t>
            </w:r>
          </w:p>
        </w:tc>
        <w:tc>
          <w:tcPr>
            <w:tcW w:w="2268" w:type="dxa"/>
          </w:tcPr>
          <w:p w14:paraId="70F4E254" w14:textId="77777777" w:rsidR="007963F8" w:rsidRDefault="008714EA">
            <w:pPr>
              <w:jc w:val="center"/>
              <w:rPr>
                <w:szCs w:val="22"/>
                <w:lang w:val="hu-HU" w:eastAsia="zh-CN"/>
              </w:rPr>
            </w:pPr>
            <w:r>
              <w:rPr>
                <w:szCs w:val="22"/>
                <w:lang w:val="hu-HU" w:eastAsia="zh-CN"/>
              </w:rPr>
              <w:t>3,1</w:t>
            </w:r>
            <w:r>
              <w:rPr>
                <w:szCs w:val="22"/>
                <w:lang w:val="hu-HU" w:eastAsia="zh-CN"/>
              </w:rPr>
              <w:noBreakHyphen/>
              <w:t xml:space="preserve">szeres </w:t>
            </w:r>
            <w:r>
              <w:rPr>
                <w:szCs w:val="22"/>
                <w:lang w:val="hu-HU" w:eastAsia="zh-CN"/>
              </w:rPr>
              <w:sym w:font="Symbol" w:char="F0AD"/>
            </w:r>
          </w:p>
        </w:tc>
      </w:tr>
      <w:tr w:rsidR="00F9751E" w14:paraId="331BF73B" w14:textId="77777777">
        <w:trPr>
          <w:cantSplit/>
        </w:trPr>
        <w:tc>
          <w:tcPr>
            <w:tcW w:w="4361" w:type="dxa"/>
          </w:tcPr>
          <w:p w14:paraId="5D83BF04" w14:textId="5BDB464B" w:rsidR="00F9751E" w:rsidRDefault="00F9751E">
            <w:pPr>
              <w:rPr>
                <w:szCs w:val="22"/>
                <w:lang w:val="hu-HU" w:eastAsia="zh-CN"/>
              </w:rPr>
            </w:pPr>
            <w:proofErr w:type="spellStart"/>
            <w:r>
              <w:rPr>
                <w:szCs w:val="22"/>
                <w:lang w:val="hu-HU" w:eastAsia="zh-CN"/>
              </w:rPr>
              <w:t>Roxadusztát</w:t>
            </w:r>
            <w:proofErr w:type="spellEnd"/>
            <w:r>
              <w:rPr>
                <w:szCs w:val="22"/>
                <w:lang w:val="hu-HU" w:eastAsia="zh-CN"/>
              </w:rPr>
              <w:t xml:space="preserve"> 200 mg, kétnaponta</w:t>
            </w:r>
          </w:p>
        </w:tc>
        <w:tc>
          <w:tcPr>
            <w:tcW w:w="2693" w:type="dxa"/>
          </w:tcPr>
          <w:p w14:paraId="2243D758" w14:textId="6C1B4F2E" w:rsidR="00F9751E" w:rsidRDefault="00240901">
            <w:pPr>
              <w:jc w:val="center"/>
              <w:rPr>
                <w:szCs w:val="22"/>
                <w:lang w:val="hu-HU" w:eastAsia="zh-CN"/>
              </w:rPr>
            </w:pPr>
            <w:r>
              <w:rPr>
                <w:lang w:val="hu-HU" w:eastAsia="zh-CN"/>
              </w:rPr>
              <w:t>10 mg, egyszeri dózis</w:t>
            </w:r>
          </w:p>
        </w:tc>
        <w:tc>
          <w:tcPr>
            <w:tcW w:w="2268" w:type="dxa"/>
          </w:tcPr>
          <w:p w14:paraId="1FA90B1C" w14:textId="63B29040" w:rsidR="00F9751E" w:rsidRDefault="00240901">
            <w:pPr>
              <w:jc w:val="center"/>
              <w:rPr>
                <w:szCs w:val="22"/>
                <w:lang w:val="hu-HU" w:eastAsia="zh-CN"/>
              </w:rPr>
            </w:pPr>
            <w:r>
              <w:rPr>
                <w:lang w:val="hu-HU" w:eastAsia="zh-CN"/>
              </w:rPr>
              <w:t>2,9</w:t>
            </w:r>
            <w:r>
              <w:rPr>
                <w:lang w:val="hu-HU" w:eastAsia="zh-CN"/>
              </w:rPr>
              <w:noBreakHyphen/>
              <w:t xml:space="preserve">szeres </w:t>
            </w:r>
            <w:r>
              <w:rPr>
                <w:lang w:val="hu-HU" w:eastAsia="zh-CN"/>
              </w:rPr>
              <w:sym w:font="Symbol" w:char="F0AD"/>
            </w:r>
          </w:p>
        </w:tc>
      </w:tr>
      <w:tr w:rsidR="007963F8" w14:paraId="0CFAF014" w14:textId="77777777">
        <w:trPr>
          <w:cantSplit/>
        </w:trPr>
        <w:tc>
          <w:tcPr>
            <w:tcW w:w="4361" w:type="dxa"/>
          </w:tcPr>
          <w:p w14:paraId="54FA8114" w14:textId="77777777" w:rsidR="007963F8" w:rsidRDefault="008714EA">
            <w:pPr>
              <w:rPr>
                <w:szCs w:val="22"/>
                <w:lang w:val="hu-HU" w:eastAsia="zh-CN"/>
              </w:rPr>
            </w:pPr>
            <w:proofErr w:type="spellStart"/>
            <w:r>
              <w:rPr>
                <w:szCs w:val="22"/>
                <w:lang w:val="hu-HU" w:eastAsia="zh-CN"/>
              </w:rPr>
              <w:t>Velpataszvir</w:t>
            </w:r>
            <w:proofErr w:type="spellEnd"/>
            <w:r>
              <w:rPr>
                <w:szCs w:val="22"/>
                <w:lang w:val="hu-HU" w:eastAsia="zh-CN"/>
              </w:rPr>
              <w:t xml:space="preserve"> 100 mg napi egyszer</w:t>
            </w:r>
          </w:p>
        </w:tc>
        <w:tc>
          <w:tcPr>
            <w:tcW w:w="2693" w:type="dxa"/>
          </w:tcPr>
          <w:p w14:paraId="2936BAE7" w14:textId="77777777" w:rsidR="007963F8" w:rsidRDefault="008714EA">
            <w:pPr>
              <w:jc w:val="center"/>
              <w:rPr>
                <w:szCs w:val="22"/>
                <w:lang w:val="hu-HU" w:eastAsia="zh-CN"/>
              </w:rPr>
            </w:pPr>
            <w:r>
              <w:rPr>
                <w:szCs w:val="22"/>
                <w:lang w:val="hu-HU" w:eastAsia="zh-CN"/>
              </w:rPr>
              <w:t>10 mg, egyszeri adag</w:t>
            </w:r>
          </w:p>
        </w:tc>
        <w:tc>
          <w:tcPr>
            <w:tcW w:w="2268" w:type="dxa"/>
          </w:tcPr>
          <w:p w14:paraId="33ACF334" w14:textId="77777777" w:rsidR="007963F8" w:rsidRDefault="008714EA">
            <w:pPr>
              <w:jc w:val="center"/>
              <w:rPr>
                <w:szCs w:val="22"/>
                <w:lang w:val="hu-HU" w:eastAsia="zh-CN"/>
              </w:rPr>
            </w:pPr>
            <w:r>
              <w:rPr>
                <w:szCs w:val="22"/>
                <w:lang w:val="hu-HU" w:eastAsia="zh-CN"/>
              </w:rPr>
              <w:t>2,7</w:t>
            </w:r>
            <w:r>
              <w:rPr>
                <w:szCs w:val="22"/>
                <w:lang w:val="hu-HU" w:eastAsia="zh-CN"/>
              </w:rPr>
              <w:noBreakHyphen/>
              <w:t xml:space="preserve">szeres </w:t>
            </w:r>
            <w:r>
              <w:rPr>
                <w:szCs w:val="22"/>
                <w:lang w:val="hu-HU" w:eastAsia="zh-CN"/>
              </w:rPr>
              <w:sym w:font="Symbol" w:char="F0AD"/>
            </w:r>
          </w:p>
        </w:tc>
      </w:tr>
      <w:tr w:rsidR="007963F8" w14:paraId="0B57CAC5" w14:textId="77777777">
        <w:trPr>
          <w:cantSplit/>
        </w:trPr>
        <w:tc>
          <w:tcPr>
            <w:tcW w:w="4361" w:type="dxa"/>
          </w:tcPr>
          <w:p w14:paraId="11D8EF1C" w14:textId="77777777" w:rsidR="007963F8" w:rsidRDefault="008714EA">
            <w:pPr>
              <w:rPr>
                <w:szCs w:val="22"/>
                <w:lang w:val="hu-HU" w:eastAsia="zh-CN"/>
              </w:rPr>
            </w:pPr>
            <w:proofErr w:type="spellStart"/>
            <w:r>
              <w:rPr>
                <w:szCs w:val="22"/>
                <w:lang w:val="hu-HU" w:eastAsia="zh-CN"/>
              </w:rPr>
              <w:t>Ombitaszvir</w:t>
            </w:r>
            <w:proofErr w:type="spellEnd"/>
            <w:r>
              <w:rPr>
                <w:szCs w:val="22"/>
                <w:lang w:val="hu-HU" w:eastAsia="zh-CN"/>
              </w:rPr>
              <w:t xml:space="preserve"> 25 mg/</w:t>
            </w:r>
            <w:proofErr w:type="spellStart"/>
            <w:r>
              <w:rPr>
                <w:szCs w:val="22"/>
                <w:lang w:val="hu-HU" w:eastAsia="zh-CN"/>
              </w:rPr>
              <w:t>paritaprevir</w:t>
            </w:r>
            <w:proofErr w:type="spellEnd"/>
            <w:r>
              <w:rPr>
                <w:szCs w:val="22"/>
                <w:lang w:val="hu-HU" w:eastAsia="zh-CN"/>
              </w:rPr>
              <w:t xml:space="preserve"> 150 mg/ </w:t>
            </w:r>
            <w:proofErr w:type="spellStart"/>
            <w:r>
              <w:rPr>
                <w:szCs w:val="22"/>
                <w:lang w:val="hu-HU" w:eastAsia="zh-CN"/>
              </w:rPr>
              <w:t>ritonavir</w:t>
            </w:r>
            <w:proofErr w:type="spellEnd"/>
            <w:r>
              <w:rPr>
                <w:szCs w:val="22"/>
                <w:lang w:val="hu-HU" w:eastAsia="zh-CN"/>
              </w:rPr>
              <w:t xml:space="preserve"> 100 mg napi egyszer/ </w:t>
            </w:r>
            <w:proofErr w:type="spellStart"/>
            <w:r>
              <w:rPr>
                <w:szCs w:val="22"/>
                <w:lang w:val="hu-HU" w:eastAsia="zh-CN"/>
              </w:rPr>
              <w:t>dazabuvir</w:t>
            </w:r>
            <w:proofErr w:type="spellEnd"/>
            <w:r>
              <w:rPr>
                <w:szCs w:val="22"/>
                <w:lang w:val="hu-HU" w:eastAsia="zh-CN"/>
              </w:rPr>
              <w:t xml:space="preserve"> 400 mg napi kétszer, 14 nap</w:t>
            </w:r>
          </w:p>
        </w:tc>
        <w:tc>
          <w:tcPr>
            <w:tcW w:w="2693" w:type="dxa"/>
          </w:tcPr>
          <w:p w14:paraId="4A59AF5B" w14:textId="77777777" w:rsidR="007963F8" w:rsidRDefault="008714EA">
            <w:pPr>
              <w:jc w:val="center"/>
              <w:rPr>
                <w:szCs w:val="22"/>
                <w:lang w:val="hu-HU" w:eastAsia="zh-CN"/>
              </w:rPr>
            </w:pPr>
            <w:r>
              <w:rPr>
                <w:szCs w:val="22"/>
                <w:lang w:val="hu-HU" w:eastAsia="zh-CN"/>
              </w:rPr>
              <w:t>5 mg, egyszeri adag</w:t>
            </w:r>
          </w:p>
        </w:tc>
        <w:tc>
          <w:tcPr>
            <w:tcW w:w="2268" w:type="dxa"/>
          </w:tcPr>
          <w:p w14:paraId="6DA91A03" w14:textId="77777777" w:rsidR="007963F8" w:rsidRDefault="008714EA">
            <w:pPr>
              <w:jc w:val="center"/>
              <w:rPr>
                <w:szCs w:val="22"/>
                <w:lang w:val="hu-HU" w:eastAsia="zh-CN"/>
              </w:rPr>
            </w:pPr>
            <w:r>
              <w:rPr>
                <w:szCs w:val="22"/>
                <w:lang w:val="hu-HU" w:eastAsia="zh-CN"/>
              </w:rPr>
              <w:t>2,6</w:t>
            </w:r>
            <w:r>
              <w:rPr>
                <w:szCs w:val="22"/>
                <w:lang w:val="hu-HU" w:eastAsia="zh-CN"/>
              </w:rPr>
              <w:noBreakHyphen/>
              <w:t xml:space="preserve">szoros </w:t>
            </w:r>
            <w:r>
              <w:rPr>
                <w:szCs w:val="22"/>
                <w:lang w:val="hu-HU" w:eastAsia="zh-CN"/>
              </w:rPr>
              <w:sym w:font="Symbol" w:char="F0AD"/>
            </w:r>
          </w:p>
        </w:tc>
      </w:tr>
      <w:tr w:rsidR="00240901" w14:paraId="0BDCDA7A" w14:textId="77777777">
        <w:trPr>
          <w:cantSplit/>
        </w:trPr>
        <w:tc>
          <w:tcPr>
            <w:tcW w:w="4361" w:type="dxa"/>
          </w:tcPr>
          <w:p w14:paraId="0C9BFE24" w14:textId="0B5068E3" w:rsidR="00240901" w:rsidRDefault="00240901">
            <w:pPr>
              <w:rPr>
                <w:szCs w:val="22"/>
                <w:lang w:val="hu-HU" w:eastAsia="zh-CN"/>
              </w:rPr>
            </w:pPr>
            <w:proofErr w:type="spellStart"/>
            <w:r>
              <w:rPr>
                <w:lang w:val="hu-HU" w:eastAsia="zh-CN"/>
              </w:rPr>
              <w:t>Teriflunomid</w:t>
            </w:r>
            <w:proofErr w:type="spellEnd"/>
          </w:p>
        </w:tc>
        <w:tc>
          <w:tcPr>
            <w:tcW w:w="2693" w:type="dxa"/>
          </w:tcPr>
          <w:p w14:paraId="577175C8" w14:textId="52A4B0A7" w:rsidR="00240901" w:rsidRDefault="00240901">
            <w:pPr>
              <w:jc w:val="center"/>
              <w:rPr>
                <w:szCs w:val="22"/>
                <w:lang w:val="hu-HU" w:eastAsia="zh-CN"/>
              </w:rPr>
            </w:pPr>
            <w:r>
              <w:rPr>
                <w:lang w:val="hu-HU" w:eastAsia="zh-CN"/>
              </w:rPr>
              <w:t>Nem elérhető</w:t>
            </w:r>
          </w:p>
        </w:tc>
        <w:tc>
          <w:tcPr>
            <w:tcW w:w="2268" w:type="dxa"/>
          </w:tcPr>
          <w:p w14:paraId="36C0572B" w14:textId="55EFB2A2" w:rsidR="00240901" w:rsidRDefault="00240901">
            <w:pPr>
              <w:jc w:val="center"/>
              <w:rPr>
                <w:szCs w:val="22"/>
                <w:lang w:val="hu-HU" w:eastAsia="zh-CN"/>
              </w:rPr>
            </w:pPr>
            <w:r>
              <w:rPr>
                <w:lang w:val="hu-HU" w:eastAsia="zh-CN"/>
              </w:rPr>
              <w:t>2,5-szeres</w:t>
            </w:r>
            <w:r w:rsidRPr="0094542B">
              <w:rPr>
                <w:lang w:val="hu-HU" w:eastAsia="zh-CN"/>
              </w:rPr>
              <w:t xml:space="preserve"> </w:t>
            </w:r>
            <w:r w:rsidRPr="0094542B">
              <w:rPr>
                <w:lang w:val="hu-HU" w:eastAsia="zh-CN"/>
              </w:rPr>
              <w:sym w:font="Symbol" w:char="F0AD"/>
            </w:r>
          </w:p>
        </w:tc>
      </w:tr>
      <w:tr w:rsidR="007963F8" w14:paraId="701A2D81" w14:textId="77777777">
        <w:trPr>
          <w:cantSplit/>
        </w:trPr>
        <w:tc>
          <w:tcPr>
            <w:tcW w:w="4361" w:type="dxa"/>
          </w:tcPr>
          <w:p w14:paraId="420AADC6" w14:textId="77777777" w:rsidR="007963F8" w:rsidRDefault="008714EA">
            <w:pPr>
              <w:rPr>
                <w:szCs w:val="22"/>
                <w:lang w:val="hu-HU" w:eastAsia="zh-CN"/>
              </w:rPr>
            </w:pPr>
            <w:proofErr w:type="spellStart"/>
            <w:r>
              <w:rPr>
                <w:szCs w:val="22"/>
                <w:lang w:val="hu-HU" w:eastAsia="zh-CN"/>
              </w:rPr>
              <w:t>Grazoprevir</w:t>
            </w:r>
            <w:proofErr w:type="spellEnd"/>
            <w:r>
              <w:rPr>
                <w:szCs w:val="22"/>
                <w:lang w:val="hu-HU" w:eastAsia="zh-CN"/>
              </w:rPr>
              <w:t xml:space="preserve"> 200 mg/</w:t>
            </w:r>
            <w:proofErr w:type="spellStart"/>
            <w:r>
              <w:rPr>
                <w:szCs w:val="22"/>
                <w:lang w:val="hu-HU" w:eastAsia="zh-CN"/>
              </w:rPr>
              <w:t>elbasvir</w:t>
            </w:r>
            <w:proofErr w:type="spellEnd"/>
            <w:r>
              <w:rPr>
                <w:szCs w:val="22"/>
                <w:lang w:val="hu-HU" w:eastAsia="zh-CN"/>
              </w:rPr>
              <w:t xml:space="preserve"> 50 mg napi egyszer, 11 nap</w:t>
            </w:r>
          </w:p>
        </w:tc>
        <w:tc>
          <w:tcPr>
            <w:tcW w:w="2693" w:type="dxa"/>
          </w:tcPr>
          <w:p w14:paraId="2EB96656" w14:textId="77777777" w:rsidR="007963F8" w:rsidRDefault="008714EA">
            <w:pPr>
              <w:jc w:val="center"/>
              <w:rPr>
                <w:szCs w:val="22"/>
                <w:lang w:val="hu-HU" w:eastAsia="zh-CN"/>
              </w:rPr>
            </w:pPr>
            <w:r>
              <w:rPr>
                <w:szCs w:val="22"/>
                <w:lang w:val="hu-HU" w:eastAsia="zh-CN"/>
              </w:rPr>
              <w:t>10 mg, egyszeri adag</w:t>
            </w:r>
          </w:p>
        </w:tc>
        <w:tc>
          <w:tcPr>
            <w:tcW w:w="2268" w:type="dxa"/>
          </w:tcPr>
          <w:p w14:paraId="1997D02E" w14:textId="77777777" w:rsidR="007963F8" w:rsidRDefault="008714EA">
            <w:pPr>
              <w:jc w:val="center"/>
              <w:rPr>
                <w:szCs w:val="22"/>
                <w:lang w:val="hu-HU" w:eastAsia="zh-CN"/>
              </w:rPr>
            </w:pPr>
            <w:r>
              <w:rPr>
                <w:szCs w:val="22"/>
                <w:lang w:val="hu-HU" w:eastAsia="zh-CN"/>
              </w:rPr>
              <w:t>2,3</w:t>
            </w:r>
            <w:r>
              <w:rPr>
                <w:szCs w:val="22"/>
                <w:lang w:val="hu-HU" w:eastAsia="zh-CN"/>
              </w:rPr>
              <w:noBreakHyphen/>
              <w:t xml:space="preserve">szeres </w:t>
            </w:r>
            <w:r>
              <w:rPr>
                <w:szCs w:val="22"/>
                <w:lang w:val="hu-HU" w:eastAsia="zh-CN"/>
              </w:rPr>
              <w:sym w:font="Symbol" w:char="F0AD"/>
            </w:r>
          </w:p>
        </w:tc>
      </w:tr>
      <w:tr w:rsidR="007963F8" w14:paraId="0EBC92FA" w14:textId="77777777">
        <w:trPr>
          <w:cantSplit/>
        </w:trPr>
        <w:tc>
          <w:tcPr>
            <w:tcW w:w="4361" w:type="dxa"/>
          </w:tcPr>
          <w:p w14:paraId="3750A1EE" w14:textId="77777777" w:rsidR="007963F8" w:rsidRDefault="008714EA">
            <w:pPr>
              <w:rPr>
                <w:szCs w:val="22"/>
                <w:lang w:val="hu-HU" w:eastAsia="zh-CN"/>
              </w:rPr>
            </w:pPr>
            <w:proofErr w:type="spellStart"/>
            <w:r>
              <w:rPr>
                <w:szCs w:val="22"/>
                <w:lang w:val="hu-HU" w:eastAsia="zh-CN"/>
              </w:rPr>
              <w:t>Glekaprevir</w:t>
            </w:r>
            <w:proofErr w:type="spellEnd"/>
            <w:r>
              <w:rPr>
                <w:szCs w:val="22"/>
                <w:lang w:val="hu-HU" w:eastAsia="zh-CN"/>
              </w:rPr>
              <w:t xml:space="preserve"> 400 mg/</w:t>
            </w:r>
            <w:proofErr w:type="spellStart"/>
            <w:r>
              <w:rPr>
                <w:szCs w:val="22"/>
                <w:lang w:val="hu-HU" w:eastAsia="zh-CN"/>
              </w:rPr>
              <w:t>pibrentaszvir</w:t>
            </w:r>
            <w:proofErr w:type="spellEnd"/>
            <w:r>
              <w:rPr>
                <w:szCs w:val="22"/>
                <w:lang w:val="hu-HU" w:eastAsia="zh-CN"/>
              </w:rPr>
              <w:t xml:space="preserve"> 120 mg napi egyszer, 7 nap</w:t>
            </w:r>
          </w:p>
        </w:tc>
        <w:tc>
          <w:tcPr>
            <w:tcW w:w="2693" w:type="dxa"/>
          </w:tcPr>
          <w:p w14:paraId="2B60E8E0" w14:textId="77777777" w:rsidR="007963F8" w:rsidRDefault="008714EA">
            <w:pPr>
              <w:jc w:val="center"/>
              <w:rPr>
                <w:szCs w:val="22"/>
                <w:lang w:val="hu-HU" w:eastAsia="zh-CN"/>
              </w:rPr>
            </w:pPr>
            <w:r>
              <w:rPr>
                <w:szCs w:val="22"/>
                <w:lang w:val="hu-HU" w:eastAsia="zh-CN"/>
              </w:rPr>
              <w:t>5 mg napi egyszer, 7 nap</w:t>
            </w:r>
          </w:p>
        </w:tc>
        <w:tc>
          <w:tcPr>
            <w:tcW w:w="2268" w:type="dxa"/>
          </w:tcPr>
          <w:p w14:paraId="3FD2A2CE" w14:textId="77777777" w:rsidR="007963F8" w:rsidRDefault="008714EA">
            <w:pPr>
              <w:jc w:val="center"/>
              <w:rPr>
                <w:szCs w:val="22"/>
                <w:lang w:val="hu-HU" w:eastAsia="zh-CN"/>
              </w:rPr>
            </w:pPr>
            <w:r>
              <w:rPr>
                <w:szCs w:val="22"/>
                <w:lang w:val="hu-HU" w:eastAsia="zh-CN"/>
              </w:rPr>
              <w:t xml:space="preserve">2,2-szeres </w:t>
            </w:r>
            <w:r>
              <w:rPr>
                <w:szCs w:val="22"/>
                <w:lang w:val="hu-HU" w:eastAsia="zh-CN"/>
              </w:rPr>
              <w:sym w:font="Symbol" w:char="F0AD"/>
            </w:r>
          </w:p>
        </w:tc>
      </w:tr>
      <w:tr w:rsidR="007963F8" w14:paraId="05F1E649" w14:textId="77777777">
        <w:trPr>
          <w:cantSplit/>
        </w:trPr>
        <w:tc>
          <w:tcPr>
            <w:tcW w:w="4361" w:type="dxa"/>
          </w:tcPr>
          <w:p w14:paraId="735F4800" w14:textId="77777777" w:rsidR="007963F8" w:rsidRDefault="008714EA">
            <w:pPr>
              <w:rPr>
                <w:szCs w:val="22"/>
                <w:lang w:val="hu-HU" w:eastAsia="zh-CN"/>
              </w:rPr>
            </w:pPr>
            <w:proofErr w:type="spellStart"/>
            <w:r>
              <w:rPr>
                <w:szCs w:val="22"/>
                <w:lang w:val="hu-HU" w:eastAsia="zh-CN"/>
              </w:rPr>
              <w:t>Lopinavir</w:t>
            </w:r>
            <w:proofErr w:type="spellEnd"/>
            <w:r>
              <w:rPr>
                <w:szCs w:val="22"/>
                <w:lang w:val="hu-HU" w:eastAsia="zh-CN"/>
              </w:rPr>
              <w:t xml:space="preserve"> 400 mg/</w:t>
            </w:r>
            <w:proofErr w:type="spellStart"/>
            <w:r>
              <w:rPr>
                <w:szCs w:val="22"/>
                <w:lang w:val="hu-HU" w:eastAsia="zh-CN"/>
              </w:rPr>
              <w:t>ritonavir</w:t>
            </w:r>
            <w:proofErr w:type="spellEnd"/>
            <w:r>
              <w:rPr>
                <w:szCs w:val="22"/>
                <w:lang w:val="hu-HU" w:eastAsia="zh-CN"/>
              </w:rPr>
              <w:t xml:space="preserve"> 100 mg napi kétszer, 17 nap</w:t>
            </w:r>
          </w:p>
        </w:tc>
        <w:tc>
          <w:tcPr>
            <w:tcW w:w="2693" w:type="dxa"/>
          </w:tcPr>
          <w:p w14:paraId="295A1745" w14:textId="77777777" w:rsidR="007963F8" w:rsidRDefault="008714EA">
            <w:pPr>
              <w:jc w:val="center"/>
              <w:rPr>
                <w:szCs w:val="22"/>
                <w:lang w:val="hu-HU" w:eastAsia="zh-CN"/>
              </w:rPr>
            </w:pPr>
            <w:r>
              <w:rPr>
                <w:szCs w:val="22"/>
                <w:lang w:val="hu-HU" w:eastAsia="zh-CN"/>
              </w:rPr>
              <w:t>20 mg napi egyszer, 7 nap</w:t>
            </w:r>
          </w:p>
        </w:tc>
        <w:tc>
          <w:tcPr>
            <w:tcW w:w="2268" w:type="dxa"/>
          </w:tcPr>
          <w:p w14:paraId="003B81DF" w14:textId="77777777" w:rsidR="007963F8" w:rsidRDefault="008714EA">
            <w:pPr>
              <w:jc w:val="center"/>
              <w:rPr>
                <w:szCs w:val="22"/>
                <w:lang w:val="hu-HU" w:eastAsia="zh-CN"/>
              </w:rPr>
            </w:pPr>
            <w:r>
              <w:rPr>
                <w:szCs w:val="22"/>
                <w:lang w:val="hu-HU" w:eastAsia="zh-CN"/>
              </w:rPr>
              <w:t>2,1</w:t>
            </w:r>
            <w:r>
              <w:rPr>
                <w:szCs w:val="22"/>
                <w:lang w:val="hu-HU" w:eastAsia="zh-CN"/>
              </w:rPr>
              <w:noBreakHyphen/>
              <w:t xml:space="preserve">szeres </w:t>
            </w:r>
            <w:r>
              <w:rPr>
                <w:szCs w:val="22"/>
                <w:lang w:val="hu-HU" w:eastAsia="zh-CN"/>
              </w:rPr>
              <w:sym w:font="Symbol" w:char="F0AD"/>
            </w:r>
          </w:p>
        </w:tc>
      </w:tr>
      <w:tr w:rsidR="00764E95" w14:paraId="7E86C88F" w14:textId="77777777">
        <w:trPr>
          <w:cantSplit/>
        </w:trPr>
        <w:tc>
          <w:tcPr>
            <w:tcW w:w="4361" w:type="dxa"/>
          </w:tcPr>
          <w:p w14:paraId="163BF73A" w14:textId="717E9B6F" w:rsidR="00764E95" w:rsidRDefault="00764E95">
            <w:pPr>
              <w:rPr>
                <w:szCs w:val="22"/>
                <w:lang w:val="hu-HU" w:eastAsia="zh-CN"/>
              </w:rPr>
            </w:pPr>
            <w:proofErr w:type="spellStart"/>
            <w:r>
              <w:rPr>
                <w:lang w:val="hu-HU" w:eastAsia="zh-CN"/>
              </w:rPr>
              <w:t>K</w:t>
            </w:r>
            <w:r w:rsidRPr="00336D4F">
              <w:rPr>
                <w:lang w:val="hu-HU" w:eastAsia="zh-CN"/>
              </w:rPr>
              <w:t>apmatinib</w:t>
            </w:r>
            <w:proofErr w:type="spellEnd"/>
            <w:r w:rsidRPr="00336D4F">
              <w:rPr>
                <w:lang w:val="hu-HU" w:eastAsia="zh-CN"/>
              </w:rPr>
              <w:t xml:space="preserve"> 400</w:t>
            </w:r>
            <w:r>
              <w:rPr>
                <w:lang w:val="hu-HU" w:eastAsia="zh-CN"/>
              </w:rPr>
              <w:t> </w:t>
            </w:r>
            <w:r w:rsidRPr="00336D4F">
              <w:rPr>
                <w:lang w:val="hu-HU" w:eastAsia="zh-CN"/>
              </w:rPr>
              <w:t>mg</w:t>
            </w:r>
            <w:r>
              <w:rPr>
                <w:lang w:val="hu-HU" w:eastAsia="zh-CN"/>
              </w:rPr>
              <w:t xml:space="preserve"> </w:t>
            </w:r>
            <w:r w:rsidRPr="00BD345E">
              <w:rPr>
                <w:lang w:val="hu-HU" w:eastAsia="zh-CN"/>
              </w:rPr>
              <w:t>napi kétszer</w:t>
            </w:r>
          </w:p>
        </w:tc>
        <w:tc>
          <w:tcPr>
            <w:tcW w:w="2693" w:type="dxa"/>
          </w:tcPr>
          <w:p w14:paraId="15881F06" w14:textId="5D415A2B" w:rsidR="00764E95" w:rsidRDefault="00764E95">
            <w:pPr>
              <w:jc w:val="center"/>
              <w:rPr>
                <w:szCs w:val="22"/>
                <w:lang w:val="hu-HU" w:eastAsia="zh-CN"/>
              </w:rPr>
            </w:pPr>
            <w:r>
              <w:rPr>
                <w:lang w:val="hu-HU" w:eastAsia="zh-CN"/>
              </w:rPr>
              <w:t>10 mg, egyszeri dózis</w:t>
            </w:r>
          </w:p>
        </w:tc>
        <w:tc>
          <w:tcPr>
            <w:tcW w:w="2268" w:type="dxa"/>
          </w:tcPr>
          <w:p w14:paraId="221AF070" w14:textId="28C6210F" w:rsidR="00764E95" w:rsidRDefault="00764E95">
            <w:pPr>
              <w:jc w:val="center"/>
              <w:rPr>
                <w:szCs w:val="22"/>
                <w:lang w:val="hu-HU" w:eastAsia="zh-CN"/>
              </w:rPr>
            </w:pPr>
            <w:r w:rsidRPr="0094542B">
              <w:rPr>
                <w:lang w:val="hu-HU" w:eastAsia="zh-CN"/>
              </w:rPr>
              <w:t>2,1</w:t>
            </w:r>
            <w:r w:rsidRPr="0094542B">
              <w:rPr>
                <w:lang w:val="hu-HU" w:eastAsia="zh-CN"/>
              </w:rPr>
              <w:noBreakHyphen/>
              <w:t xml:space="preserve">szeres </w:t>
            </w:r>
            <w:r w:rsidRPr="0094542B">
              <w:rPr>
                <w:lang w:val="hu-HU" w:eastAsia="zh-CN"/>
              </w:rPr>
              <w:sym w:font="Symbol" w:char="F0AD"/>
            </w:r>
          </w:p>
        </w:tc>
      </w:tr>
      <w:tr w:rsidR="007963F8" w14:paraId="0985DE73" w14:textId="77777777">
        <w:trPr>
          <w:cantSplit/>
        </w:trPr>
        <w:tc>
          <w:tcPr>
            <w:tcW w:w="4361" w:type="dxa"/>
          </w:tcPr>
          <w:p w14:paraId="2C1C40AF" w14:textId="77777777" w:rsidR="007963F8" w:rsidRDefault="008714EA">
            <w:pPr>
              <w:rPr>
                <w:szCs w:val="22"/>
                <w:lang w:val="hu-HU" w:eastAsia="zh-CN"/>
              </w:rPr>
            </w:pPr>
            <w:proofErr w:type="spellStart"/>
            <w:r>
              <w:rPr>
                <w:szCs w:val="22"/>
                <w:lang w:val="hu-HU" w:eastAsia="zh-CN"/>
              </w:rPr>
              <w:t>Klopidogrel</w:t>
            </w:r>
            <w:proofErr w:type="spellEnd"/>
            <w:r>
              <w:rPr>
                <w:szCs w:val="22"/>
                <w:lang w:val="hu-HU" w:eastAsia="zh-CN"/>
              </w:rPr>
              <w:t xml:space="preserve"> 300 mg</w:t>
            </w:r>
            <w:r>
              <w:rPr>
                <w:szCs w:val="22"/>
                <w:lang w:val="hu-HU" w:eastAsia="zh-CN"/>
              </w:rPr>
              <w:noBreakHyphen/>
            </w:r>
            <w:proofErr w:type="spellStart"/>
            <w:r>
              <w:rPr>
                <w:szCs w:val="22"/>
                <w:lang w:val="hu-HU" w:eastAsia="zh-CN"/>
              </w:rPr>
              <w:t>os</w:t>
            </w:r>
            <w:proofErr w:type="spellEnd"/>
            <w:r>
              <w:rPr>
                <w:szCs w:val="22"/>
                <w:lang w:val="hu-HU" w:eastAsia="zh-CN"/>
              </w:rPr>
              <w:t xml:space="preserve"> telítő adag, 75 mg</w:t>
            </w:r>
            <w:r>
              <w:rPr>
                <w:szCs w:val="22"/>
                <w:lang w:val="hu-HU" w:eastAsia="zh-CN"/>
              </w:rPr>
              <w:noBreakHyphen/>
            </w:r>
            <w:proofErr w:type="spellStart"/>
            <w:r>
              <w:rPr>
                <w:szCs w:val="22"/>
                <w:lang w:val="hu-HU" w:eastAsia="zh-CN"/>
              </w:rPr>
              <w:t>mal</w:t>
            </w:r>
            <w:proofErr w:type="spellEnd"/>
            <w:r>
              <w:rPr>
                <w:szCs w:val="22"/>
                <w:lang w:val="hu-HU" w:eastAsia="zh-CN"/>
              </w:rPr>
              <w:t xml:space="preserve"> folytatva 24 óránként</w:t>
            </w:r>
          </w:p>
        </w:tc>
        <w:tc>
          <w:tcPr>
            <w:tcW w:w="2693" w:type="dxa"/>
          </w:tcPr>
          <w:p w14:paraId="52EA4A55" w14:textId="77777777" w:rsidR="007963F8" w:rsidRDefault="008714EA">
            <w:pPr>
              <w:jc w:val="center"/>
              <w:rPr>
                <w:szCs w:val="22"/>
                <w:lang w:val="hu-HU" w:eastAsia="zh-CN"/>
              </w:rPr>
            </w:pPr>
            <w:r>
              <w:rPr>
                <w:szCs w:val="22"/>
                <w:lang w:val="hu-HU" w:eastAsia="zh-CN"/>
              </w:rPr>
              <w:t>20 mg, egyszeri adag</w:t>
            </w:r>
          </w:p>
        </w:tc>
        <w:tc>
          <w:tcPr>
            <w:tcW w:w="2268" w:type="dxa"/>
          </w:tcPr>
          <w:p w14:paraId="013280DA" w14:textId="77777777" w:rsidR="007963F8" w:rsidRDefault="008714EA">
            <w:pPr>
              <w:jc w:val="center"/>
              <w:rPr>
                <w:szCs w:val="22"/>
                <w:lang w:val="hu-HU" w:eastAsia="zh-CN"/>
              </w:rPr>
            </w:pPr>
            <w:r>
              <w:rPr>
                <w:szCs w:val="22"/>
                <w:lang w:val="hu-HU" w:eastAsia="zh-CN"/>
              </w:rPr>
              <w:t>2</w:t>
            </w:r>
            <w:r>
              <w:rPr>
                <w:szCs w:val="22"/>
                <w:lang w:val="hu-HU" w:eastAsia="zh-CN"/>
              </w:rPr>
              <w:noBreakHyphen/>
              <w:t xml:space="preserve">szeres </w:t>
            </w:r>
            <w:r>
              <w:rPr>
                <w:szCs w:val="22"/>
                <w:lang w:val="hu-HU" w:eastAsia="zh-CN"/>
              </w:rPr>
              <w:sym w:font="Symbol" w:char="F0AD"/>
            </w:r>
          </w:p>
        </w:tc>
      </w:tr>
      <w:tr w:rsidR="006D3BAA" w14:paraId="56AEA5D5" w14:textId="77777777">
        <w:trPr>
          <w:cantSplit/>
        </w:trPr>
        <w:tc>
          <w:tcPr>
            <w:tcW w:w="4361" w:type="dxa"/>
          </w:tcPr>
          <w:p w14:paraId="71C18BFC" w14:textId="6707FB66" w:rsidR="006D3BAA" w:rsidRDefault="006D3BAA">
            <w:pPr>
              <w:rPr>
                <w:szCs w:val="22"/>
                <w:lang w:val="hu-HU" w:eastAsia="zh-CN"/>
              </w:rPr>
            </w:pPr>
            <w:proofErr w:type="spellStart"/>
            <w:r>
              <w:rPr>
                <w:lang w:val="hu-HU" w:eastAsia="zh-CN"/>
              </w:rPr>
              <w:lastRenderedPageBreak/>
              <w:t>Tafamidisz</w:t>
            </w:r>
            <w:proofErr w:type="spellEnd"/>
            <w:r>
              <w:rPr>
                <w:lang w:val="hu-HU" w:eastAsia="zh-CN"/>
              </w:rPr>
              <w:t xml:space="preserve"> 61 mg napi kétszer a kezelés 1</w:t>
            </w:r>
            <w:r w:rsidR="005924D0">
              <w:rPr>
                <w:lang w:val="hu-HU" w:eastAsia="zh-CN"/>
              </w:rPr>
              <w:noBreakHyphen/>
            </w:r>
            <w:r>
              <w:rPr>
                <w:lang w:val="hu-HU" w:eastAsia="zh-CN"/>
              </w:rPr>
              <w:t>2. napján, napi egyszer a kezelés 3-9. napján</w:t>
            </w:r>
          </w:p>
        </w:tc>
        <w:tc>
          <w:tcPr>
            <w:tcW w:w="2693" w:type="dxa"/>
          </w:tcPr>
          <w:p w14:paraId="292434D0" w14:textId="1F739792" w:rsidR="006D3BAA" w:rsidRDefault="006D3BAA">
            <w:pPr>
              <w:jc w:val="center"/>
              <w:rPr>
                <w:szCs w:val="22"/>
                <w:lang w:val="hu-HU" w:eastAsia="zh-CN"/>
              </w:rPr>
            </w:pPr>
            <w:r>
              <w:rPr>
                <w:lang w:val="hu-HU" w:eastAsia="zh-CN"/>
              </w:rPr>
              <w:t>10 mg, egyszeri dózis</w:t>
            </w:r>
          </w:p>
        </w:tc>
        <w:tc>
          <w:tcPr>
            <w:tcW w:w="2268" w:type="dxa"/>
          </w:tcPr>
          <w:p w14:paraId="6D0AE98D" w14:textId="3D80FBB2" w:rsidR="006D3BAA" w:rsidRDefault="006D3BAA">
            <w:pPr>
              <w:jc w:val="center"/>
              <w:rPr>
                <w:szCs w:val="22"/>
                <w:lang w:val="hu-HU" w:eastAsia="zh-CN"/>
              </w:rPr>
            </w:pPr>
            <w:r>
              <w:rPr>
                <w:lang w:val="hu-HU" w:eastAsia="zh-CN"/>
              </w:rPr>
              <w:t>2,0</w:t>
            </w:r>
            <w:r>
              <w:rPr>
                <w:lang w:val="hu-HU" w:eastAsia="zh-CN"/>
              </w:rPr>
              <w:noBreakHyphen/>
              <w:t xml:space="preserve">szeres </w:t>
            </w:r>
            <w:r>
              <w:rPr>
                <w:lang w:val="hu-HU" w:eastAsia="zh-CN"/>
              </w:rPr>
              <w:sym w:font="Symbol" w:char="F0AD"/>
            </w:r>
          </w:p>
        </w:tc>
      </w:tr>
      <w:tr w:rsidR="006D3BAA" w14:paraId="2354A9F7" w14:textId="77777777">
        <w:trPr>
          <w:cantSplit/>
        </w:trPr>
        <w:tc>
          <w:tcPr>
            <w:tcW w:w="4361" w:type="dxa"/>
          </w:tcPr>
          <w:p w14:paraId="43CEED33" w14:textId="4E7C5EE1" w:rsidR="006D3BAA" w:rsidRDefault="006D3BAA">
            <w:pPr>
              <w:rPr>
                <w:lang w:val="hu-HU" w:eastAsia="zh-CN"/>
              </w:rPr>
            </w:pPr>
            <w:proofErr w:type="spellStart"/>
            <w:r>
              <w:rPr>
                <w:lang w:val="hu-HU" w:eastAsia="zh-CN"/>
              </w:rPr>
              <w:t>F</w:t>
            </w:r>
            <w:r w:rsidRPr="00C13C94">
              <w:rPr>
                <w:lang w:val="hu-HU" w:eastAsia="zh-CN"/>
              </w:rPr>
              <w:t>osztamatinib</w:t>
            </w:r>
            <w:proofErr w:type="spellEnd"/>
            <w:r>
              <w:rPr>
                <w:lang w:val="hu-HU" w:eastAsia="zh-CN"/>
              </w:rPr>
              <w:t xml:space="preserve"> 100 mg </w:t>
            </w:r>
            <w:r w:rsidRPr="00BD345E">
              <w:rPr>
                <w:lang w:val="hu-HU" w:eastAsia="zh-CN"/>
              </w:rPr>
              <w:t>napi kétszer</w:t>
            </w:r>
          </w:p>
        </w:tc>
        <w:tc>
          <w:tcPr>
            <w:tcW w:w="2693" w:type="dxa"/>
          </w:tcPr>
          <w:p w14:paraId="746EA4ED" w14:textId="7A3BC53F" w:rsidR="006D3BAA" w:rsidRDefault="006D3BAA">
            <w:pPr>
              <w:jc w:val="center"/>
              <w:rPr>
                <w:lang w:val="hu-HU" w:eastAsia="zh-CN"/>
              </w:rPr>
            </w:pPr>
            <w:r w:rsidRPr="00BD345E">
              <w:rPr>
                <w:lang w:val="hu-HU" w:eastAsia="zh-CN"/>
              </w:rPr>
              <w:t>20 mg, egyszeri</w:t>
            </w:r>
            <w:r>
              <w:rPr>
                <w:lang w:val="hu-HU" w:eastAsia="zh-CN"/>
              </w:rPr>
              <w:t xml:space="preserve"> dózis</w:t>
            </w:r>
          </w:p>
        </w:tc>
        <w:tc>
          <w:tcPr>
            <w:tcW w:w="2268" w:type="dxa"/>
          </w:tcPr>
          <w:p w14:paraId="53BA0B69" w14:textId="57B18902" w:rsidR="006D3BAA" w:rsidRDefault="006D3BAA">
            <w:pPr>
              <w:jc w:val="center"/>
              <w:rPr>
                <w:lang w:val="hu-HU" w:eastAsia="zh-CN"/>
              </w:rPr>
            </w:pPr>
            <w:r w:rsidRPr="0094542B">
              <w:rPr>
                <w:lang w:val="hu-HU" w:eastAsia="zh-CN"/>
              </w:rPr>
              <w:t>2,</w:t>
            </w:r>
            <w:r>
              <w:rPr>
                <w:lang w:val="hu-HU" w:eastAsia="zh-CN"/>
              </w:rPr>
              <w:t>0</w:t>
            </w:r>
            <w:r w:rsidRPr="0094542B">
              <w:rPr>
                <w:lang w:val="hu-HU" w:eastAsia="zh-CN"/>
              </w:rPr>
              <w:noBreakHyphen/>
              <w:t xml:space="preserve">szeres </w:t>
            </w:r>
            <w:r w:rsidRPr="0094542B">
              <w:rPr>
                <w:lang w:val="hu-HU" w:eastAsia="zh-CN"/>
              </w:rPr>
              <w:sym w:font="Symbol" w:char="F0AD"/>
            </w:r>
          </w:p>
        </w:tc>
      </w:tr>
      <w:tr w:rsidR="007963F8" w14:paraId="58D62BC0" w14:textId="77777777">
        <w:trPr>
          <w:cantSplit/>
        </w:trPr>
        <w:tc>
          <w:tcPr>
            <w:tcW w:w="9322" w:type="dxa"/>
            <w:gridSpan w:val="3"/>
          </w:tcPr>
          <w:p w14:paraId="6FB39E8B" w14:textId="77777777" w:rsidR="007963F8" w:rsidRDefault="008714EA">
            <w:pPr>
              <w:keepNext/>
              <w:rPr>
                <w:b/>
                <w:szCs w:val="22"/>
                <w:lang w:val="hu-HU" w:eastAsia="zh-CN"/>
              </w:rPr>
            </w:pPr>
            <w:bookmarkStart w:id="0" w:name="_Hlk31666578"/>
            <w:r>
              <w:rPr>
                <w:b/>
                <w:szCs w:val="22"/>
                <w:lang w:val="hu-HU" w:eastAsia="zh-CN"/>
              </w:rPr>
              <w:t xml:space="preserve">A </w:t>
            </w:r>
            <w:proofErr w:type="spellStart"/>
            <w:r>
              <w:rPr>
                <w:b/>
                <w:szCs w:val="22"/>
                <w:lang w:val="hu-HU" w:eastAsia="zh-CN"/>
              </w:rPr>
              <w:t>rozuvasztatin</w:t>
            </w:r>
            <w:proofErr w:type="spellEnd"/>
            <w:r>
              <w:rPr>
                <w:b/>
                <w:szCs w:val="22"/>
                <w:lang w:val="hu-HU" w:eastAsia="zh-CN"/>
              </w:rPr>
              <w:t xml:space="preserve"> AUC értékének kevesebb mint 2-szeres mértékű növekedése</w:t>
            </w:r>
          </w:p>
        </w:tc>
      </w:tr>
      <w:tr w:rsidR="007963F8" w14:paraId="680691D2" w14:textId="77777777">
        <w:trPr>
          <w:cantSplit/>
        </w:trPr>
        <w:tc>
          <w:tcPr>
            <w:tcW w:w="4361" w:type="dxa"/>
          </w:tcPr>
          <w:p w14:paraId="2B59408A" w14:textId="77777777" w:rsidR="007963F8" w:rsidRDefault="008714EA">
            <w:pPr>
              <w:keepNext/>
              <w:rPr>
                <w:b/>
                <w:szCs w:val="22"/>
                <w:lang w:val="hu-HU" w:eastAsia="zh-CN"/>
              </w:rPr>
            </w:pPr>
            <w:r>
              <w:rPr>
                <w:b/>
                <w:szCs w:val="22"/>
                <w:lang w:val="hu-HU" w:eastAsia="zh-CN"/>
              </w:rPr>
              <w:t>Interakcióba lépő gyógyszer adagolási rendje</w:t>
            </w:r>
          </w:p>
        </w:tc>
        <w:tc>
          <w:tcPr>
            <w:tcW w:w="2693" w:type="dxa"/>
          </w:tcPr>
          <w:p w14:paraId="1A0DB52B" w14:textId="77777777" w:rsidR="007963F8" w:rsidRDefault="008714EA">
            <w:pPr>
              <w:keepNext/>
              <w:jc w:val="center"/>
              <w:rPr>
                <w:b/>
                <w:szCs w:val="22"/>
                <w:lang w:val="hu-HU" w:eastAsia="zh-CN"/>
              </w:rPr>
            </w:pPr>
            <w:proofErr w:type="spellStart"/>
            <w:r>
              <w:rPr>
                <w:b/>
                <w:szCs w:val="22"/>
                <w:lang w:val="hu-HU" w:eastAsia="zh-CN"/>
              </w:rPr>
              <w:t>Rozuvasztatin</w:t>
            </w:r>
            <w:proofErr w:type="spellEnd"/>
            <w:r>
              <w:rPr>
                <w:b/>
                <w:szCs w:val="22"/>
                <w:lang w:val="hu-HU" w:eastAsia="zh-CN"/>
              </w:rPr>
              <w:t xml:space="preserve"> adagolási rendje</w:t>
            </w:r>
          </w:p>
        </w:tc>
        <w:tc>
          <w:tcPr>
            <w:tcW w:w="2268" w:type="dxa"/>
          </w:tcPr>
          <w:p w14:paraId="1AEBED98" w14:textId="77777777" w:rsidR="007963F8" w:rsidRDefault="008714EA">
            <w:pPr>
              <w:keepNext/>
              <w:jc w:val="center"/>
              <w:rPr>
                <w:b/>
                <w:szCs w:val="22"/>
                <w:lang w:val="hu-HU" w:eastAsia="zh-CN"/>
              </w:rPr>
            </w:pPr>
            <w:proofErr w:type="spellStart"/>
            <w:r>
              <w:rPr>
                <w:b/>
                <w:szCs w:val="22"/>
                <w:lang w:val="hu-HU" w:eastAsia="zh-CN"/>
              </w:rPr>
              <w:t>Rozuvasztatin</w:t>
            </w:r>
            <w:proofErr w:type="spellEnd"/>
            <w:r>
              <w:rPr>
                <w:b/>
                <w:szCs w:val="22"/>
                <w:lang w:val="hu-HU" w:eastAsia="zh-CN"/>
              </w:rPr>
              <w:t xml:space="preserve"> AUC</w:t>
            </w:r>
            <w:r>
              <w:rPr>
                <w:b/>
                <w:szCs w:val="22"/>
                <w:vertAlign w:val="superscript"/>
                <w:lang w:val="hu-HU" w:eastAsia="zh-CN"/>
              </w:rPr>
              <w:t xml:space="preserve">* </w:t>
            </w:r>
            <w:r>
              <w:rPr>
                <w:b/>
                <w:szCs w:val="22"/>
                <w:lang w:val="hu-HU" w:eastAsia="zh-CN"/>
              </w:rPr>
              <w:t>változása</w:t>
            </w:r>
          </w:p>
        </w:tc>
      </w:tr>
      <w:tr w:rsidR="007963F8" w14:paraId="0CAA78CC" w14:textId="77777777">
        <w:trPr>
          <w:cantSplit/>
        </w:trPr>
        <w:tc>
          <w:tcPr>
            <w:tcW w:w="4361" w:type="dxa"/>
          </w:tcPr>
          <w:p w14:paraId="5F150891" w14:textId="77777777" w:rsidR="007963F8" w:rsidRDefault="008714EA">
            <w:pPr>
              <w:rPr>
                <w:szCs w:val="22"/>
                <w:lang w:val="hu-HU" w:eastAsia="zh-CN"/>
              </w:rPr>
            </w:pPr>
            <w:proofErr w:type="spellStart"/>
            <w:r>
              <w:rPr>
                <w:szCs w:val="22"/>
                <w:lang w:val="hu-HU" w:eastAsia="zh-CN"/>
              </w:rPr>
              <w:t>Gemfibrozil</w:t>
            </w:r>
            <w:proofErr w:type="spellEnd"/>
            <w:r>
              <w:rPr>
                <w:szCs w:val="22"/>
                <w:lang w:val="hu-HU" w:eastAsia="zh-CN"/>
              </w:rPr>
              <w:t xml:space="preserve"> 600 mg napi kétszer, 7 nap</w:t>
            </w:r>
          </w:p>
        </w:tc>
        <w:tc>
          <w:tcPr>
            <w:tcW w:w="2693" w:type="dxa"/>
          </w:tcPr>
          <w:p w14:paraId="44F6965D" w14:textId="77777777" w:rsidR="007963F8" w:rsidRDefault="008714EA">
            <w:pPr>
              <w:jc w:val="center"/>
              <w:rPr>
                <w:szCs w:val="22"/>
                <w:lang w:val="hu-HU" w:eastAsia="zh-CN"/>
              </w:rPr>
            </w:pPr>
            <w:r>
              <w:rPr>
                <w:szCs w:val="22"/>
                <w:lang w:val="hu-HU" w:eastAsia="zh-CN"/>
              </w:rPr>
              <w:t>80 mg, egyszeri adag</w:t>
            </w:r>
          </w:p>
        </w:tc>
        <w:tc>
          <w:tcPr>
            <w:tcW w:w="2268" w:type="dxa"/>
          </w:tcPr>
          <w:p w14:paraId="42F35902" w14:textId="77777777" w:rsidR="007963F8" w:rsidRDefault="008714EA">
            <w:pPr>
              <w:jc w:val="center"/>
              <w:rPr>
                <w:szCs w:val="22"/>
                <w:lang w:val="hu-HU" w:eastAsia="zh-CN"/>
              </w:rPr>
            </w:pPr>
            <w:r>
              <w:rPr>
                <w:szCs w:val="22"/>
                <w:lang w:val="hu-HU" w:eastAsia="zh-CN"/>
              </w:rPr>
              <w:t>1,9</w:t>
            </w:r>
            <w:r>
              <w:rPr>
                <w:szCs w:val="22"/>
                <w:lang w:val="hu-HU" w:eastAsia="zh-CN"/>
              </w:rPr>
              <w:noBreakHyphen/>
              <w:t xml:space="preserve">szeres </w:t>
            </w:r>
            <w:r>
              <w:rPr>
                <w:szCs w:val="22"/>
                <w:lang w:val="hu-HU" w:eastAsia="zh-CN"/>
              </w:rPr>
              <w:sym w:font="Symbol" w:char="F0AD"/>
            </w:r>
          </w:p>
        </w:tc>
      </w:tr>
      <w:tr w:rsidR="00671CB3" w14:paraId="1341465D" w14:textId="77777777">
        <w:trPr>
          <w:cantSplit/>
        </w:trPr>
        <w:tc>
          <w:tcPr>
            <w:tcW w:w="4361" w:type="dxa"/>
          </w:tcPr>
          <w:p w14:paraId="3C7E98A5" w14:textId="62D5ED1B" w:rsidR="00671CB3" w:rsidRDefault="00671CB3">
            <w:pPr>
              <w:rPr>
                <w:szCs w:val="22"/>
                <w:lang w:val="hu-HU" w:eastAsia="zh-CN"/>
              </w:rPr>
            </w:pPr>
            <w:proofErr w:type="spellStart"/>
            <w:r>
              <w:rPr>
                <w:lang w:val="hu-HU" w:eastAsia="zh-CN"/>
              </w:rPr>
              <w:t>F</w:t>
            </w:r>
            <w:r w:rsidRPr="00322981">
              <w:rPr>
                <w:lang w:val="hu-HU" w:eastAsia="zh-CN"/>
              </w:rPr>
              <w:t>ebuxosztát</w:t>
            </w:r>
            <w:proofErr w:type="spellEnd"/>
            <w:r>
              <w:rPr>
                <w:lang w:val="hu-HU" w:eastAsia="zh-CN"/>
              </w:rPr>
              <w:t xml:space="preserve"> 120 mg </w:t>
            </w:r>
            <w:r w:rsidRPr="00BD345E">
              <w:rPr>
                <w:lang w:val="hu-HU" w:eastAsia="zh-CN"/>
              </w:rPr>
              <w:t>napi egyszer</w:t>
            </w:r>
          </w:p>
        </w:tc>
        <w:tc>
          <w:tcPr>
            <w:tcW w:w="2693" w:type="dxa"/>
          </w:tcPr>
          <w:p w14:paraId="5FB2CC27" w14:textId="1E4FCDBF" w:rsidR="00671CB3" w:rsidRDefault="00671CB3">
            <w:pPr>
              <w:jc w:val="center"/>
              <w:rPr>
                <w:szCs w:val="22"/>
                <w:lang w:val="hu-HU" w:eastAsia="zh-CN"/>
              </w:rPr>
            </w:pPr>
            <w:r>
              <w:rPr>
                <w:lang w:val="hu-HU" w:eastAsia="zh-CN"/>
              </w:rPr>
              <w:t>10 mg, egyszeri dózis</w:t>
            </w:r>
          </w:p>
        </w:tc>
        <w:tc>
          <w:tcPr>
            <w:tcW w:w="2268" w:type="dxa"/>
          </w:tcPr>
          <w:p w14:paraId="694EE8AE" w14:textId="03946CE0" w:rsidR="00671CB3" w:rsidRDefault="00671CB3">
            <w:pPr>
              <w:jc w:val="center"/>
              <w:rPr>
                <w:szCs w:val="22"/>
                <w:lang w:val="hu-HU" w:eastAsia="zh-CN"/>
              </w:rPr>
            </w:pPr>
            <w:r>
              <w:rPr>
                <w:lang w:val="hu-HU" w:eastAsia="zh-CN"/>
              </w:rPr>
              <w:t>1</w:t>
            </w:r>
            <w:r w:rsidRPr="0094542B">
              <w:rPr>
                <w:lang w:val="hu-HU" w:eastAsia="zh-CN"/>
              </w:rPr>
              <w:t>,</w:t>
            </w:r>
            <w:r>
              <w:rPr>
                <w:lang w:val="hu-HU" w:eastAsia="zh-CN"/>
              </w:rPr>
              <w:t>9</w:t>
            </w:r>
            <w:r w:rsidRPr="0094542B">
              <w:rPr>
                <w:lang w:val="hu-HU" w:eastAsia="zh-CN"/>
              </w:rPr>
              <w:noBreakHyphen/>
              <w:t xml:space="preserve">szeres </w:t>
            </w:r>
            <w:r w:rsidRPr="0094542B">
              <w:rPr>
                <w:lang w:val="hu-HU" w:eastAsia="zh-CN"/>
              </w:rPr>
              <w:sym w:font="Symbol" w:char="F0AD"/>
            </w:r>
          </w:p>
        </w:tc>
      </w:tr>
      <w:bookmarkEnd w:id="0"/>
      <w:tr w:rsidR="007963F8" w14:paraId="6C9B7D6D" w14:textId="77777777">
        <w:trPr>
          <w:cantSplit/>
        </w:trPr>
        <w:tc>
          <w:tcPr>
            <w:tcW w:w="4361" w:type="dxa"/>
          </w:tcPr>
          <w:p w14:paraId="02E8E023" w14:textId="77777777" w:rsidR="007963F8" w:rsidRDefault="008714EA">
            <w:pPr>
              <w:rPr>
                <w:szCs w:val="22"/>
                <w:lang w:val="hu-HU" w:eastAsia="zh-CN"/>
              </w:rPr>
            </w:pPr>
            <w:proofErr w:type="spellStart"/>
            <w:r>
              <w:rPr>
                <w:szCs w:val="22"/>
                <w:lang w:val="hu-HU" w:eastAsia="zh-CN"/>
              </w:rPr>
              <w:t>Eltrombopag</w:t>
            </w:r>
            <w:proofErr w:type="spellEnd"/>
            <w:r>
              <w:rPr>
                <w:szCs w:val="22"/>
                <w:lang w:val="hu-HU" w:eastAsia="zh-CN"/>
              </w:rPr>
              <w:t xml:space="preserve"> 75 mg napi egyszer, 5 nap</w:t>
            </w:r>
          </w:p>
        </w:tc>
        <w:tc>
          <w:tcPr>
            <w:tcW w:w="2693" w:type="dxa"/>
          </w:tcPr>
          <w:p w14:paraId="3AEB50C5" w14:textId="77777777" w:rsidR="007963F8" w:rsidRDefault="008714EA">
            <w:pPr>
              <w:jc w:val="center"/>
              <w:rPr>
                <w:szCs w:val="22"/>
                <w:lang w:val="hu-HU" w:eastAsia="zh-CN"/>
              </w:rPr>
            </w:pPr>
            <w:r>
              <w:rPr>
                <w:szCs w:val="22"/>
                <w:lang w:val="hu-HU" w:eastAsia="zh-CN"/>
              </w:rPr>
              <w:t>10 mg, egyszeri adag</w:t>
            </w:r>
          </w:p>
        </w:tc>
        <w:tc>
          <w:tcPr>
            <w:tcW w:w="2268" w:type="dxa"/>
          </w:tcPr>
          <w:p w14:paraId="708655EE" w14:textId="77777777" w:rsidR="007963F8" w:rsidRDefault="008714EA">
            <w:pPr>
              <w:jc w:val="center"/>
              <w:rPr>
                <w:szCs w:val="22"/>
                <w:lang w:val="hu-HU" w:eastAsia="zh-CN"/>
              </w:rPr>
            </w:pPr>
            <w:r>
              <w:rPr>
                <w:szCs w:val="22"/>
                <w:lang w:val="hu-HU" w:eastAsia="zh-CN"/>
              </w:rPr>
              <w:t>1,6</w:t>
            </w:r>
            <w:r>
              <w:rPr>
                <w:szCs w:val="22"/>
                <w:lang w:val="hu-HU" w:eastAsia="zh-CN"/>
              </w:rPr>
              <w:noBreakHyphen/>
              <w:t xml:space="preserve">szoros </w:t>
            </w:r>
            <w:r>
              <w:rPr>
                <w:szCs w:val="22"/>
                <w:lang w:val="hu-HU" w:eastAsia="zh-CN"/>
              </w:rPr>
              <w:sym w:font="Symbol" w:char="F0AD"/>
            </w:r>
          </w:p>
        </w:tc>
      </w:tr>
      <w:tr w:rsidR="007963F8" w14:paraId="20F59C79" w14:textId="77777777">
        <w:trPr>
          <w:cantSplit/>
        </w:trPr>
        <w:tc>
          <w:tcPr>
            <w:tcW w:w="4361" w:type="dxa"/>
          </w:tcPr>
          <w:p w14:paraId="2427A314" w14:textId="77777777" w:rsidR="007963F8" w:rsidRDefault="008714EA">
            <w:pPr>
              <w:rPr>
                <w:szCs w:val="22"/>
                <w:lang w:val="hu-HU" w:eastAsia="zh-CN"/>
              </w:rPr>
            </w:pPr>
            <w:proofErr w:type="spellStart"/>
            <w:r>
              <w:rPr>
                <w:szCs w:val="22"/>
                <w:lang w:val="hu-HU" w:eastAsia="zh-CN"/>
              </w:rPr>
              <w:t>Darunavir</w:t>
            </w:r>
            <w:proofErr w:type="spellEnd"/>
            <w:r>
              <w:rPr>
                <w:szCs w:val="22"/>
                <w:lang w:val="hu-HU" w:eastAsia="zh-CN"/>
              </w:rPr>
              <w:t xml:space="preserve"> 600 mg/</w:t>
            </w:r>
            <w:proofErr w:type="spellStart"/>
            <w:r>
              <w:rPr>
                <w:szCs w:val="22"/>
                <w:lang w:val="hu-HU" w:eastAsia="zh-CN"/>
              </w:rPr>
              <w:t>ritonavir</w:t>
            </w:r>
            <w:proofErr w:type="spellEnd"/>
            <w:r>
              <w:rPr>
                <w:szCs w:val="22"/>
                <w:lang w:val="hu-HU" w:eastAsia="zh-CN"/>
              </w:rPr>
              <w:t xml:space="preserve"> 100 mg napi kétszer, 7 nap</w:t>
            </w:r>
          </w:p>
        </w:tc>
        <w:tc>
          <w:tcPr>
            <w:tcW w:w="2693" w:type="dxa"/>
          </w:tcPr>
          <w:p w14:paraId="1FA80013" w14:textId="77777777" w:rsidR="007963F8" w:rsidRDefault="008714EA">
            <w:pPr>
              <w:jc w:val="center"/>
              <w:rPr>
                <w:szCs w:val="22"/>
                <w:lang w:val="hu-HU" w:eastAsia="zh-CN"/>
              </w:rPr>
            </w:pPr>
            <w:r>
              <w:rPr>
                <w:szCs w:val="22"/>
                <w:lang w:val="hu-HU" w:eastAsia="zh-CN"/>
              </w:rPr>
              <w:t>10 mg napi egyszer, 7 nap</w:t>
            </w:r>
          </w:p>
        </w:tc>
        <w:tc>
          <w:tcPr>
            <w:tcW w:w="2268" w:type="dxa"/>
          </w:tcPr>
          <w:p w14:paraId="0B178929" w14:textId="77777777" w:rsidR="007963F8" w:rsidRDefault="008714EA">
            <w:pPr>
              <w:jc w:val="center"/>
              <w:rPr>
                <w:szCs w:val="22"/>
                <w:lang w:val="hu-HU" w:eastAsia="zh-CN"/>
              </w:rPr>
            </w:pPr>
            <w:r>
              <w:rPr>
                <w:szCs w:val="22"/>
                <w:lang w:val="hu-HU" w:eastAsia="zh-CN"/>
              </w:rPr>
              <w:t>1,5</w:t>
            </w:r>
            <w:r>
              <w:rPr>
                <w:szCs w:val="22"/>
                <w:lang w:val="hu-HU" w:eastAsia="zh-CN"/>
              </w:rPr>
              <w:noBreakHyphen/>
              <w:t xml:space="preserve">szörös </w:t>
            </w:r>
            <w:r>
              <w:rPr>
                <w:szCs w:val="22"/>
                <w:lang w:val="hu-HU" w:eastAsia="zh-CN"/>
              </w:rPr>
              <w:sym w:font="Symbol" w:char="F0AD"/>
            </w:r>
          </w:p>
        </w:tc>
      </w:tr>
      <w:tr w:rsidR="007963F8" w14:paraId="4F00E9D4" w14:textId="77777777">
        <w:trPr>
          <w:cantSplit/>
        </w:trPr>
        <w:tc>
          <w:tcPr>
            <w:tcW w:w="4361" w:type="dxa"/>
          </w:tcPr>
          <w:p w14:paraId="098098BD" w14:textId="77777777" w:rsidR="007963F8" w:rsidRDefault="008714EA">
            <w:pPr>
              <w:rPr>
                <w:szCs w:val="22"/>
                <w:lang w:val="hu-HU" w:eastAsia="zh-CN"/>
              </w:rPr>
            </w:pPr>
            <w:proofErr w:type="spellStart"/>
            <w:r>
              <w:rPr>
                <w:szCs w:val="22"/>
                <w:lang w:val="hu-HU" w:eastAsia="zh-CN"/>
              </w:rPr>
              <w:t>Tipranavir</w:t>
            </w:r>
            <w:proofErr w:type="spellEnd"/>
            <w:r>
              <w:rPr>
                <w:szCs w:val="22"/>
                <w:lang w:val="hu-HU" w:eastAsia="zh-CN"/>
              </w:rPr>
              <w:t xml:space="preserve"> 500 mg/</w:t>
            </w:r>
            <w:proofErr w:type="spellStart"/>
            <w:r>
              <w:rPr>
                <w:szCs w:val="22"/>
                <w:lang w:val="hu-HU" w:eastAsia="zh-CN"/>
              </w:rPr>
              <w:t>ritonavir</w:t>
            </w:r>
            <w:proofErr w:type="spellEnd"/>
            <w:r>
              <w:rPr>
                <w:szCs w:val="22"/>
                <w:lang w:val="hu-HU" w:eastAsia="zh-CN"/>
              </w:rPr>
              <w:t xml:space="preserve"> 200 mg napi kétszer, 11 nap</w:t>
            </w:r>
          </w:p>
        </w:tc>
        <w:tc>
          <w:tcPr>
            <w:tcW w:w="2693" w:type="dxa"/>
          </w:tcPr>
          <w:p w14:paraId="257048C7" w14:textId="77777777" w:rsidR="007963F8" w:rsidRDefault="008714EA">
            <w:pPr>
              <w:jc w:val="center"/>
              <w:rPr>
                <w:szCs w:val="22"/>
                <w:lang w:val="hu-HU" w:eastAsia="zh-CN"/>
              </w:rPr>
            </w:pPr>
            <w:r>
              <w:rPr>
                <w:szCs w:val="22"/>
                <w:lang w:val="hu-HU" w:eastAsia="zh-CN"/>
              </w:rPr>
              <w:t>10 mg, egyszeri adag</w:t>
            </w:r>
          </w:p>
        </w:tc>
        <w:tc>
          <w:tcPr>
            <w:tcW w:w="2268" w:type="dxa"/>
          </w:tcPr>
          <w:p w14:paraId="5FA4C405" w14:textId="77777777" w:rsidR="007963F8" w:rsidRDefault="008714EA">
            <w:pPr>
              <w:jc w:val="center"/>
              <w:rPr>
                <w:szCs w:val="22"/>
                <w:lang w:val="hu-HU" w:eastAsia="zh-CN"/>
              </w:rPr>
            </w:pPr>
            <w:r>
              <w:rPr>
                <w:szCs w:val="22"/>
                <w:lang w:val="hu-HU" w:eastAsia="zh-CN"/>
              </w:rPr>
              <w:t>1,4</w:t>
            </w:r>
            <w:r>
              <w:rPr>
                <w:szCs w:val="22"/>
                <w:lang w:val="hu-HU" w:eastAsia="zh-CN"/>
              </w:rPr>
              <w:noBreakHyphen/>
              <w:t xml:space="preserve">szeres </w:t>
            </w:r>
            <w:r>
              <w:rPr>
                <w:szCs w:val="22"/>
                <w:lang w:val="hu-HU" w:eastAsia="zh-CN"/>
              </w:rPr>
              <w:sym w:font="Symbol" w:char="F0AD"/>
            </w:r>
          </w:p>
        </w:tc>
      </w:tr>
      <w:tr w:rsidR="007963F8" w14:paraId="77F9FF77" w14:textId="77777777">
        <w:trPr>
          <w:cantSplit/>
        </w:trPr>
        <w:tc>
          <w:tcPr>
            <w:tcW w:w="4361" w:type="dxa"/>
          </w:tcPr>
          <w:p w14:paraId="71174713" w14:textId="77777777" w:rsidR="007963F8" w:rsidRDefault="008714EA">
            <w:pPr>
              <w:rPr>
                <w:szCs w:val="22"/>
                <w:lang w:val="hu-HU" w:eastAsia="zh-CN"/>
              </w:rPr>
            </w:pPr>
            <w:proofErr w:type="spellStart"/>
            <w:r>
              <w:rPr>
                <w:szCs w:val="22"/>
                <w:lang w:val="hu-HU" w:eastAsia="zh-CN"/>
              </w:rPr>
              <w:t>Dronedaron</w:t>
            </w:r>
            <w:proofErr w:type="spellEnd"/>
            <w:r>
              <w:rPr>
                <w:szCs w:val="22"/>
                <w:lang w:val="hu-HU" w:eastAsia="zh-CN"/>
              </w:rPr>
              <w:t xml:space="preserve"> 400 mg napi kétszer</w:t>
            </w:r>
          </w:p>
        </w:tc>
        <w:tc>
          <w:tcPr>
            <w:tcW w:w="2693" w:type="dxa"/>
          </w:tcPr>
          <w:p w14:paraId="250E94AC" w14:textId="77777777" w:rsidR="007963F8" w:rsidRDefault="008714EA">
            <w:pPr>
              <w:jc w:val="center"/>
              <w:rPr>
                <w:szCs w:val="22"/>
                <w:lang w:val="hu-HU" w:eastAsia="zh-CN"/>
              </w:rPr>
            </w:pPr>
            <w:r>
              <w:rPr>
                <w:szCs w:val="22"/>
                <w:lang w:val="hu-HU" w:eastAsia="zh-CN"/>
              </w:rPr>
              <w:t>Nem elérhető</w:t>
            </w:r>
          </w:p>
        </w:tc>
        <w:tc>
          <w:tcPr>
            <w:tcW w:w="2268" w:type="dxa"/>
          </w:tcPr>
          <w:p w14:paraId="3B6A4C32" w14:textId="77777777" w:rsidR="007963F8" w:rsidRDefault="008714EA">
            <w:pPr>
              <w:jc w:val="center"/>
              <w:rPr>
                <w:szCs w:val="22"/>
                <w:lang w:val="hu-HU" w:eastAsia="zh-CN"/>
              </w:rPr>
            </w:pPr>
            <w:r>
              <w:rPr>
                <w:szCs w:val="22"/>
                <w:lang w:val="hu-HU" w:eastAsia="zh-CN"/>
              </w:rPr>
              <w:t>1,4</w:t>
            </w:r>
            <w:r>
              <w:rPr>
                <w:szCs w:val="22"/>
                <w:lang w:val="hu-HU" w:eastAsia="zh-CN"/>
              </w:rPr>
              <w:noBreakHyphen/>
              <w:t xml:space="preserve">szeres </w:t>
            </w:r>
            <w:r>
              <w:rPr>
                <w:szCs w:val="22"/>
                <w:lang w:val="hu-HU" w:eastAsia="zh-CN"/>
              </w:rPr>
              <w:sym w:font="Symbol" w:char="F0AD"/>
            </w:r>
          </w:p>
        </w:tc>
      </w:tr>
      <w:tr w:rsidR="007963F8" w14:paraId="21980BDD" w14:textId="77777777">
        <w:trPr>
          <w:cantSplit/>
        </w:trPr>
        <w:tc>
          <w:tcPr>
            <w:tcW w:w="4361" w:type="dxa"/>
          </w:tcPr>
          <w:p w14:paraId="4CCA683F" w14:textId="77777777" w:rsidR="007963F8" w:rsidRDefault="008714EA">
            <w:pPr>
              <w:rPr>
                <w:szCs w:val="22"/>
                <w:lang w:val="hu-HU" w:eastAsia="zh-CN"/>
              </w:rPr>
            </w:pPr>
            <w:proofErr w:type="spellStart"/>
            <w:r>
              <w:rPr>
                <w:szCs w:val="22"/>
                <w:lang w:val="hu-HU" w:eastAsia="zh-CN"/>
              </w:rPr>
              <w:t>Itrakonazol</w:t>
            </w:r>
            <w:proofErr w:type="spellEnd"/>
            <w:r>
              <w:rPr>
                <w:szCs w:val="22"/>
                <w:lang w:val="hu-HU" w:eastAsia="zh-CN"/>
              </w:rPr>
              <w:t xml:space="preserve"> 200 mg napi egyszer, 5 nap</w:t>
            </w:r>
          </w:p>
        </w:tc>
        <w:tc>
          <w:tcPr>
            <w:tcW w:w="2693" w:type="dxa"/>
          </w:tcPr>
          <w:p w14:paraId="0C0E2802" w14:textId="77777777" w:rsidR="007963F8" w:rsidRDefault="008714EA">
            <w:pPr>
              <w:jc w:val="center"/>
              <w:rPr>
                <w:szCs w:val="22"/>
                <w:lang w:val="hu-HU" w:eastAsia="zh-CN"/>
              </w:rPr>
            </w:pPr>
            <w:r>
              <w:rPr>
                <w:szCs w:val="22"/>
                <w:lang w:val="hu-HU" w:eastAsia="zh-CN"/>
              </w:rPr>
              <w:t>10 mg, egyszeri adag</w:t>
            </w:r>
          </w:p>
        </w:tc>
        <w:tc>
          <w:tcPr>
            <w:tcW w:w="2268" w:type="dxa"/>
          </w:tcPr>
          <w:p w14:paraId="16219684" w14:textId="77777777" w:rsidR="007963F8" w:rsidRDefault="008714EA">
            <w:pPr>
              <w:jc w:val="center"/>
              <w:rPr>
                <w:szCs w:val="22"/>
                <w:lang w:val="hu-HU" w:eastAsia="zh-CN"/>
              </w:rPr>
            </w:pPr>
            <w:r>
              <w:rPr>
                <w:szCs w:val="22"/>
                <w:lang w:val="hu-HU" w:eastAsia="zh-CN"/>
              </w:rPr>
              <w:t>1,4</w:t>
            </w:r>
            <w:r>
              <w:rPr>
                <w:szCs w:val="22"/>
                <w:lang w:val="hu-HU" w:eastAsia="zh-CN"/>
              </w:rPr>
              <w:noBreakHyphen/>
              <w:t xml:space="preserve">szeres </w:t>
            </w:r>
            <w:r>
              <w:rPr>
                <w:szCs w:val="22"/>
                <w:lang w:val="hu-HU" w:eastAsia="zh-CN"/>
              </w:rPr>
              <w:sym w:font="Symbol" w:char="F0AD"/>
            </w:r>
            <w:r>
              <w:rPr>
                <w:szCs w:val="22"/>
                <w:vertAlign w:val="superscript"/>
                <w:lang w:val="hu-HU" w:eastAsia="zh-CN"/>
              </w:rPr>
              <w:t>**</w:t>
            </w:r>
          </w:p>
        </w:tc>
      </w:tr>
      <w:tr w:rsidR="007963F8" w14:paraId="46112847" w14:textId="77777777">
        <w:trPr>
          <w:cantSplit/>
        </w:trPr>
        <w:tc>
          <w:tcPr>
            <w:tcW w:w="4361" w:type="dxa"/>
          </w:tcPr>
          <w:p w14:paraId="610BE2D1" w14:textId="77777777" w:rsidR="007963F8" w:rsidRDefault="008714EA">
            <w:pPr>
              <w:rPr>
                <w:szCs w:val="22"/>
                <w:lang w:val="hu-HU" w:eastAsia="zh-CN"/>
              </w:rPr>
            </w:pPr>
            <w:proofErr w:type="spellStart"/>
            <w:r>
              <w:rPr>
                <w:szCs w:val="22"/>
                <w:lang w:val="hu-HU" w:eastAsia="zh-CN"/>
              </w:rPr>
              <w:t>Ezetimib</w:t>
            </w:r>
            <w:proofErr w:type="spellEnd"/>
            <w:r>
              <w:rPr>
                <w:szCs w:val="22"/>
                <w:lang w:val="hu-HU" w:eastAsia="zh-CN"/>
              </w:rPr>
              <w:t xml:space="preserve"> 10 mg napi egyszer, 14 nap</w:t>
            </w:r>
          </w:p>
        </w:tc>
        <w:tc>
          <w:tcPr>
            <w:tcW w:w="2693" w:type="dxa"/>
          </w:tcPr>
          <w:p w14:paraId="20095B59" w14:textId="77777777" w:rsidR="007963F8" w:rsidRDefault="008714EA">
            <w:pPr>
              <w:jc w:val="center"/>
              <w:rPr>
                <w:szCs w:val="22"/>
                <w:lang w:val="hu-HU" w:eastAsia="zh-CN"/>
              </w:rPr>
            </w:pPr>
            <w:r>
              <w:rPr>
                <w:szCs w:val="22"/>
                <w:lang w:val="hu-HU" w:eastAsia="zh-CN"/>
              </w:rPr>
              <w:t>10 mg, napi egyszer, 14 nap</w:t>
            </w:r>
          </w:p>
        </w:tc>
        <w:tc>
          <w:tcPr>
            <w:tcW w:w="2268" w:type="dxa"/>
          </w:tcPr>
          <w:p w14:paraId="22021CA2" w14:textId="77777777" w:rsidR="007963F8" w:rsidRDefault="008714EA">
            <w:pPr>
              <w:jc w:val="center"/>
              <w:rPr>
                <w:szCs w:val="22"/>
                <w:lang w:val="hu-HU" w:eastAsia="zh-CN"/>
              </w:rPr>
            </w:pPr>
            <w:r>
              <w:rPr>
                <w:szCs w:val="22"/>
                <w:lang w:val="hu-HU" w:eastAsia="zh-CN"/>
              </w:rPr>
              <w:t>1,2</w:t>
            </w:r>
            <w:r>
              <w:rPr>
                <w:szCs w:val="22"/>
                <w:lang w:val="hu-HU" w:eastAsia="zh-CN"/>
              </w:rPr>
              <w:noBreakHyphen/>
              <w:t xml:space="preserve">szeres </w:t>
            </w:r>
            <w:r>
              <w:rPr>
                <w:szCs w:val="22"/>
                <w:lang w:val="hu-HU" w:eastAsia="zh-CN"/>
              </w:rPr>
              <w:sym w:font="Symbol" w:char="F0AD"/>
            </w:r>
            <w:r>
              <w:rPr>
                <w:szCs w:val="22"/>
                <w:vertAlign w:val="superscript"/>
                <w:lang w:val="hu-HU" w:eastAsia="zh-CN"/>
              </w:rPr>
              <w:t>**</w:t>
            </w:r>
          </w:p>
        </w:tc>
      </w:tr>
      <w:tr w:rsidR="007963F8" w14:paraId="726A69FB" w14:textId="77777777">
        <w:trPr>
          <w:cantSplit/>
        </w:trPr>
        <w:tc>
          <w:tcPr>
            <w:tcW w:w="9322" w:type="dxa"/>
            <w:gridSpan w:val="3"/>
          </w:tcPr>
          <w:p w14:paraId="1B42F2D4" w14:textId="77777777" w:rsidR="007963F8" w:rsidRDefault="008714EA">
            <w:pPr>
              <w:keepNext/>
              <w:rPr>
                <w:b/>
                <w:szCs w:val="22"/>
                <w:lang w:val="hu-HU" w:eastAsia="zh-CN"/>
              </w:rPr>
            </w:pPr>
            <w:r>
              <w:rPr>
                <w:b/>
                <w:szCs w:val="22"/>
                <w:lang w:val="hu-HU" w:eastAsia="zh-CN"/>
              </w:rPr>
              <w:t xml:space="preserve">A </w:t>
            </w:r>
            <w:proofErr w:type="spellStart"/>
            <w:r>
              <w:rPr>
                <w:b/>
                <w:szCs w:val="22"/>
                <w:lang w:val="hu-HU" w:eastAsia="zh-CN"/>
              </w:rPr>
              <w:t>rozuvasztatin</w:t>
            </w:r>
            <w:proofErr w:type="spellEnd"/>
            <w:r>
              <w:rPr>
                <w:b/>
                <w:szCs w:val="22"/>
                <w:lang w:val="hu-HU" w:eastAsia="zh-CN"/>
              </w:rPr>
              <w:t xml:space="preserve"> AUC értékének csökkenése</w:t>
            </w:r>
          </w:p>
        </w:tc>
      </w:tr>
      <w:tr w:rsidR="007963F8" w14:paraId="28F33E1E" w14:textId="77777777">
        <w:trPr>
          <w:cantSplit/>
        </w:trPr>
        <w:tc>
          <w:tcPr>
            <w:tcW w:w="4361" w:type="dxa"/>
          </w:tcPr>
          <w:p w14:paraId="7770C082" w14:textId="77777777" w:rsidR="007963F8" w:rsidRDefault="008714EA">
            <w:pPr>
              <w:keepNext/>
              <w:rPr>
                <w:b/>
                <w:szCs w:val="22"/>
                <w:lang w:val="hu-HU" w:eastAsia="zh-CN"/>
              </w:rPr>
            </w:pPr>
            <w:r>
              <w:rPr>
                <w:b/>
                <w:szCs w:val="22"/>
                <w:lang w:val="hu-HU" w:eastAsia="zh-CN"/>
              </w:rPr>
              <w:t>Interakcióba lépő gyógyszer adagolási rendje</w:t>
            </w:r>
          </w:p>
        </w:tc>
        <w:tc>
          <w:tcPr>
            <w:tcW w:w="2693" w:type="dxa"/>
          </w:tcPr>
          <w:p w14:paraId="3B964505" w14:textId="77777777" w:rsidR="007963F8" w:rsidRDefault="008714EA">
            <w:pPr>
              <w:keepNext/>
              <w:jc w:val="center"/>
              <w:rPr>
                <w:b/>
                <w:szCs w:val="22"/>
                <w:lang w:val="hu-HU" w:eastAsia="zh-CN"/>
              </w:rPr>
            </w:pPr>
            <w:proofErr w:type="spellStart"/>
            <w:r>
              <w:rPr>
                <w:b/>
                <w:szCs w:val="22"/>
                <w:lang w:val="hu-HU" w:eastAsia="zh-CN"/>
              </w:rPr>
              <w:t>Rozuvasztatin</w:t>
            </w:r>
            <w:proofErr w:type="spellEnd"/>
            <w:r>
              <w:rPr>
                <w:b/>
                <w:szCs w:val="22"/>
                <w:lang w:val="hu-HU" w:eastAsia="zh-CN"/>
              </w:rPr>
              <w:t xml:space="preserve"> adagolási rendje</w:t>
            </w:r>
          </w:p>
        </w:tc>
        <w:tc>
          <w:tcPr>
            <w:tcW w:w="2268" w:type="dxa"/>
          </w:tcPr>
          <w:p w14:paraId="0EE2AC28" w14:textId="77777777" w:rsidR="007963F8" w:rsidRDefault="008714EA">
            <w:pPr>
              <w:keepNext/>
              <w:jc w:val="center"/>
              <w:rPr>
                <w:b/>
                <w:szCs w:val="22"/>
                <w:lang w:val="hu-HU" w:eastAsia="zh-CN"/>
              </w:rPr>
            </w:pPr>
            <w:proofErr w:type="spellStart"/>
            <w:r>
              <w:rPr>
                <w:b/>
                <w:szCs w:val="22"/>
                <w:lang w:val="hu-HU" w:eastAsia="zh-CN"/>
              </w:rPr>
              <w:t>Rozuvasztatin</w:t>
            </w:r>
            <w:proofErr w:type="spellEnd"/>
            <w:r>
              <w:rPr>
                <w:b/>
                <w:szCs w:val="22"/>
                <w:lang w:val="hu-HU" w:eastAsia="zh-CN"/>
              </w:rPr>
              <w:t xml:space="preserve"> AUC</w:t>
            </w:r>
            <w:r>
              <w:rPr>
                <w:b/>
                <w:szCs w:val="22"/>
                <w:vertAlign w:val="superscript"/>
                <w:lang w:val="hu-HU" w:eastAsia="zh-CN"/>
              </w:rPr>
              <w:t xml:space="preserve">* </w:t>
            </w:r>
            <w:r>
              <w:rPr>
                <w:b/>
                <w:szCs w:val="22"/>
                <w:lang w:val="hu-HU" w:eastAsia="zh-CN"/>
              </w:rPr>
              <w:t>változása</w:t>
            </w:r>
          </w:p>
        </w:tc>
      </w:tr>
      <w:tr w:rsidR="007963F8" w14:paraId="68B48CAA" w14:textId="77777777">
        <w:trPr>
          <w:cantSplit/>
        </w:trPr>
        <w:tc>
          <w:tcPr>
            <w:tcW w:w="4361" w:type="dxa"/>
          </w:tcPr>
          <w:p w14:paraId="16A2D899" w14:textId="77777777" w:rsidR="007963F8" w:rsidRDefault="008714EA">
            <w:pPr>
              <w:rPr>
                <w:szCs w:val="22"/>
                <w:lang w:val="hu-HU" w:eastAsia="zh-CN"/>
              </w:rPr>
            </w:pPr>
            <w:proofErr w:type="spellStart"/>
            <w:r>
              <w:rPr>
                <w:szCs w:val="22"/>
                <w:lang w:val="hu-HU" w:eastAsia="zh-CN"/>
              </w:rPr>
              <w:t>Eritromicin</w:t>
            </w:r>
            <w:proofErr w:type="spellEnd"/>
            <w:r>
              <w:rPr>
                <w:szCs w:val="22"/>
                <w:lang w:val="hu-HU" w:eastAsia="zh-CN"/>
              </w:rPr>
              <w:t xml:space="preserve"> 500 mg napi négyszer, 7 nap</w:t>
            </w:r>
          </w:p>
        </w:tc>
        <w:tc>
          <w:tcPr>
            <w:tcW w:w="2693" w:type="dxa"/>
          </w:tcPr>
          <w:p w14:paraId="005C14F1" w14:textId="77777777" w:rsidR="007963F8" w:rsidRDefault="008714EA">
            <w:pPr>
              <w:jc w:val="center"/>
              <w:rPr>
                <w:szCs w:val="22"/>
                <w:lang w:val="hu-HU" w:eastAsia="zh-CN"/>
              </w:rPr>
            </w:pPr>
            <w:r>
              <w:rPr>
                <w:szCs w:val="22"/>
                <w:lang w:val="hu-HU" w:eastAsia="zh-CN"/>
              </w:rPr>
              <w:t>80 mg, egyszeri adag</w:t>
            </w:r>
          </w:p>
        </w:tc>
        <w:tc>
          <w:tcPr>
            <w:tcW w:w="2268" w:type="dxa"/>
          </w:tcPr>
          <w:p w14:paraId="679C0D3B" w14:textId="77777777" w:rsidR="007963F8" w:rsidRDefault="008714EA">
            <w:pPr>
              <w:jc w:val="center"/>
              <w:rPr>
                <w:szCs w:val="22"/>
                <w:lang w:val="hu-HU" w:eastAsia="zh-CN"/>
              </w:rPr>
            </w:pPr>
            <w:r>
              <w:rPr>
                <w:szCs w:val="22"/>
                <w:lang w:val="hu-HU" w:eastAsia="zh-CN"/>
              </w:rPr>
              <w:t xml:space="preserve">20% </w:t>
            </w:r>
            <w:r>
              <w:rPr>
                <w:szCs w:val="22"/>
                <w:lang w:val="hu-HU" w:eastAsia="zh-CN"/>
              </w:rPr>
              <w:sym w:font="Symbol" w:char="F0AF"/>
            </w:r>
          </w:p>
        </w:tc>
      </w:tr>
      <w:tr w:rsidR="007963F8" w14:paraId="09BF8926" w14:textId="77777777">
        <w:trPr>
          <w:cantSplit/>
        </w:trPr>
        <w:tc>
          <w:tcPr>
            <w:tcW w:w="4361" w:type="dxa"/>
          </w:tcPr>
          <w:p w14:paraId="71854420" w14:textId="77777777" w:rsidR="007963F8" w:rsidRDefault="008714EA">
            <w:pPr>
              <w:rPr>
                <w:szCs w:val="22"/>
                <w:lang w:val="hu-HU" w:eastAsia="zh-CN"/>
              </w:rPr>
            </w:pPr>
            <w:proofErr w:type="spellStart"/>
            <w:r>
              <w:rPr>
                <w:szCs w:val="22"/>
                <w:lang w:val="hu-HU" w:eastAsia="zh-CN"/>
              </w:rPr>
              <w:t>Baikalin</w:t>
            </w:r>
            <w:proofErr w:type="spellEnd"/>
            <w:r>
              <w:rPr>
                <w:szCs w:val="22"/>
                <w:lang w:val="hu-HU" w:eastAsia="zh-CN"/>
              </w:rPr>
              <w:t xml:space="preserve"> 50 mg napi háromszor, 14 nap</w:t>
            </w:r>
          </w:p>
        </w:tc>
        <w:tc>
          <w:tcPr>
            <w:tcW w:w="2693" w:type="dxa"/>
          </w:tcPr>
          <w:p w14:paraId="20936ED2" w14:textId="77777777" w:rsidR="007963F8" w:rsidRDefault="008714EA">
            <w:pPr>
              <w:jc w:val="center"/>
              <w:rPr>
                <w:szCs w:val="22"/>
                <w:lang w:val="hu-HU" w:eastAsia="zh-CN"/>
              </w:rPr>
            </w:pPr>
            <w:r>
              <w:rPr>
                <w:szCs w:val="22"/>
                <w:lang w:val="hu-HU" w:eastAsia="zh-CN"/>
              </w:rPr>
              <w:t>20 mg, egyszeri adag</w:t>
            </w:r>
          </w:p>
        </w:tc>
        <w:tc>
          <w:tcPr>
            <w:tcW w:w="2268" w:type="dxa"/>
          </w:tcPr>
          <w:p w14:paraId="530F370B" w14:textId="77777777" w:rsidR="007963F8" w:rsidRDefault="008714EA">
            <w:pPr>
              <w:jc w:val="center"/>
              <w:rPr>
                <w:szCs w:val="22"/>
                <w:lang w:val="hu-HU" w:eastAsia="zh-CN"/>
              </w:rPr>
            </w:pPr>
            <w:r>
              <w:rPr>
                <w:szCs w:val="22"/>
                <w:lang w:val="hu-HU" w:eastAsia="zh-CN"/>
              </w:rPr>
              <w:t xml:space="preserve">47% </w:t>
            </w:r>
            <w:r>
              <w:rPr>
                <w:szCs w:val="22"/>
                <w:lang w:val="hu-HU" w:eastAsia="zh-CN"/>
              </w:rPr>
              <w:sym w:font="Symbol" w:char="F0AF"/>
            </w:r>
          </w:p>
        </w:tc>
      </w:tr>
    </w:tbl>
    <w:p w14:paraId="13FD3CB7" w14:textId="77777777" w:rsidR="007963F8" w:rsidRDefault="008714EA">
      <w:pPr>
        <w:widowControl w:val="0"/>
        <w:tabs>
          <w:tab w:val="left" w:pos="284"/>
        </w:tabs>
        <w:suppressAutoHyphens/>
        <w:ind w:left="284" w:hanging="284"/>
        <w:rPr>
          <w:rFonts w:eastAsia="HG Mincho Light J"/>
          <w:sz w:val="20"/>
          <w:szCs w:val="24"/>
          <w:lang w:val="hu-HU" w:eastAsia="zh-CN"/>
        </w:rPr>
      </w:pPr>
      <w:r>
        <w:rPr>
          <w:rFonts w:eastAsia="HG Mincho Light J"/>
          <w:sz w:val="20"/>
          <w:szCs w:val="24"/>
          <w:vertAlign w:val="superscript"/>
          <w:lang w:val="hu-HU" w:eastAsia="zh-CN"/>
        </w:rPr>
        <w:t>*</w:t>
      </w:r>
      <w:r>
        <w:rPr>
          <w:rFonts w:eastAsia="HG Mincho Light J"/>
          <w:szCs w:val="24"/>
          <w:lang w:val="hu-HU"/>
        </w:rPr>
        <w:tab/>
      </w:r>
      <w:r>
        <w:rPr>
          <w:rFonts w:eastAsia="HG Mincho Light J"/>
          <w:sz w:val="20"/>
          <w:szCs w:val="24"/>
          <w:lang w:val="hu-HU" w:eastAsia="zh-CN"/>
        </w:rPr>
        <w:t>Az x</w:t>
      </w:r>
      <w:r>
        <w:rPr>
          <w:rFonts w:eastAsia="HG Mincho Light J"/>
          <w:sz w:val="20"/>
          <w:szCs w:val="24"/>
          <w:lang w:val="hu-HU" w:eastAsia="zh-CN"/>
        </w:rPr>
        <w:noBreakHyphen/>
        <w:t xml:space="preserve">szeres változásként megadott adat az egyidejű alkalmazás és a </w:t>
      </w:r>
      <w:proofErr w:type="spellStart"/>
      <w:r>
        <w:rPr>
          <w:rFonts w:eastAsia="HG Mincho Light J"/>
          <w:sz w:val="20"/>
          <w:szCs w:val="24"/>
          <w:lang w:val="hu-HU" w:eastAsia="zh-CN"/>
        </w:rPr>
        <w:t>rozuvasztatin</w:t>
      </w:r>
      <w:proofErr w:type="spellEnd"/>
      <w:r>
        <w:rPr>
          <w:rFonts w:eastAsia="HG Mincho Light J"/>
          <w:sz w:val="20"/>
          <w:szCs w:val="24"/>
          <w:lang w:val="hu-HU" w:eastAsia="zh-CN"/>
        </w:rPr>
        <w:t xml:space="preserve"> önmagában történő alkalmazása közötti egyszerű arányszámot mutatja. A %</w:t>
      </w:r>
      <w:r>
        <w:rPr>
          <w:rFonts w:eastAsia="HG Mincho Light J"/>
          <w:sz w:val="20"/>
          <w:szCs w:val="24"/>
          <w:lang w:val="hu-HU" w:eastAsia="zh-CN"/>
        </w:rPr>
        <w:noBreakHyphen/>
      </w:r>
      <w:proofErr w:type="spellStart"/>
      <w:r>
        <w:rPr>
          <w:rFonts w:eastAsia="HG Mincho Light J"/>
          <w:sz w:val="20"/>
          <w:szCs w:val="24"/>
          <w:lang w:val="hu-HU" w:eastAsia="zh-CN"/>
        </w:rPr>
        <w:t>ban</w:t>
      </w:r>
      <w:proofErr w:type="spellEnd"/>
      <w:r>
        <w:rPr>
          <w:rFonts w:eastAsia="HG Mincho Light J"/>
          <w:sz w:val="20"/>
          <w:szCs w:val="24"/>
          <w:lang w:val="hu-HU" w:eastAsia="zh-CN"/>
        </w:rPr>
        <w:t xml:space="preserve"> kifejezett változás a </w:t>
      </w:r>
      <w:proofErr w:type="spellStart"/>
      <w:r>
        <w:rPr>
          <w:rFonts w:eastAsia="HG Mincho Light J"/>
          <w:sz w:val="20"/>
          <w:szCs w:val="24"/>
          <w:lang w:val="hu-HU" w:eastAsia="zh-CN"/>
        </w:rPr>
        <w:t>rozuvasztatin</w:t>
      </w:r>
      <w:proofErr w:type="spellEnd"/>
      <w:r>
        <w:rPr>
          <w:rFonts w:eastAsia="HG Mincho Light J"/>
          <w:sz w:val="20"/>
          <w:szCs w:val="24"/>
          <w:lang w:val="hu-HU" w:eastAsia="zh-CN"/>
        </w:rPr>
        <w:t xml:space="preserve"> önmagában történő alkalmazásához képest mért relatív %</w:t>
      </w:r>
      <w:r>
        <w:rPr>
          <w:rFonts w:eastAsia="HG Mincho Light J"/>
          <w:sz w:val="20"/>
          <w:szCs w:val="24"/>
          <w:lang w:val="hu-HU" w:eastAsia="zh-CN"/>
        </w:rPr>
        <w:noBreakHyphen/>
      </w:r>
      <w:proofErr w:type="spellStart"/>
      <w:r>
        <w:rPr>
          <w:rFonts w:eastAsia="HG Mincho Light J"/>
          <w:sz w:val="20"/>
          <w:szCs w:val="24"/>
          <w:lang w:val="hu-HU" w:eastAsia="zh-CN"/>
        </w:rPr>
        <w:t>os</w:t>
      </w:r>
      <w:proofErr w:type="spellEnd"/>
      <w:r>
        <w:rPr>
          <w:rFonts w:eastAsia="HG Mincho Light J"/>
          <w:sz w:val="20"/>
          <w:szCs w:val="24"/>
          <w:lang w:val="hu-HU" w:eastAsia="zh-CN"/>
        </w:rPr>
        <w:t xml:space="preserve"> eltérést jelenti.</w:t>
      </w:r>
    </w:p>
    <w:p w14:paraId="750EFE03" w14:textId="77777777" w:rsidR="007963F8" w:rsidRDefault="008714EA">
      <w:pPr>
        <w:widowControl w:val="0"/>
        <w:tabs>
          <w:tab w:val="left" w:pos="284"/>
        </w:tabs>
        <w:suppressAutoHyphens/>
        <w:ind w:left="284"/>
        <w:rPr>
          <w:rFonts w:eastAsia="HG Mincho Light J"/>
          <w:sz w:val="20"/>
          <w:szCs w:val="18"/>
          <w:lang w:val="hu-HU" w:eastAsia="zh-CN"/>
        </w:rPr>
      </w:pPr>
      <w:r>
        <w:rPr>
          <w:rFonts w:eastAsia="HG Mincho Light J"/>
          <w:sz w:val="20"/>
          <w:szCs w:val="24"/>
          <w:lang w:val="hu-HU" w:eastAsia="zh-CN"/>
        </w:rPr>
        <w:t>Növekedés “</w:t>
      </w:r>
      <w:r>
        <w:rPr>
          <w:rFonts w:eastAsia="HG Mincho Light J"/>
          <w:sz w:val="20"/>
          <w:szCs w:val="18"/>
          <w:lang w:val="hu-HU" w:eastAsia="zh-CN"/>
        </w:rPr>
        <w:sym w:font="Symbol" w:char="F0AD"/>
      </w:r>
      <w:r>
        <w:rPr>
          <w:rFonts w:eastAsia="HG Mincho Light J"/>
          <w:sz w:val="20"/>
          <w:szCs w:val="18"/>
          <w:lang w:val="hu-HU" w:eastAsia="zh-CN"/>
        </w:rPr>
        <w:t>”,</w:t>
      </w:r>
      <w:r>
        <w:rPr>
          <w:rFonts w:eastAsia="HG Mincho Light J"/>
          <w:sz w:val="20"/>
          <w:szCs w:val="24"/>
          <w:lang w:val="hu-HU" w:eastAsia="zh-CN"/>
        </w:rPr>
        <w:t xml:space="preserve"> </w:t>
      </w:r>
      <w:r>
        <w:rPr>
          <w:rFonts w:eastAsia="HG Mincho Light J"/>
          <w:sz w:val="20"/>
          <w:szCs w:val="18"/>
          <w:lang w:val="hu-HU" w:eastAsia="zh-CN"/>
        </w:rPr>
        <w:t>csökkenés “</w:t>
      </w:r>
      <w:r>
        <w:rPr>
          <w:rFonts w:eastAsia="HG Mincho Light J"/>
          <w:sz w:val="20"/>
          <w:szCs w:val="18"/>
          <w:lang w:val="hu-HU" w:eastAsia="zh-CN"/>
        </w:rPr>
        <w:sym w:font="Symbol" w:char="F0AF"/>
      </w:r>
      <w:r>
        <w:rPr>
          <w:rFonts w:eastAsia="HG Mincho Light J"/>
          <w:sz w:val="20"/>
          <w:szCs w:val="18"/>
          <w:lang w:val="hu-HU" w:eastAsia="zh-CN"/>
        </w:rPr>
        <w:t>” jellel mutatva.</w:t>
      </w:r>
    </w:p>
    <w:p w14:paraId="5B33A882" w14:textId="77777777" w:rsidR="007963F8" w:rsidRDefault="008714EA">
      <w:pPr>
        <w:widowControl w:val="0"/>
        <w:tabs>
          <w:tab w:val="left" w:pos="284"/>
        </w:tabs>
        <w:suppressAutoHyphens/>
        <w:ind w:left="284" w:hanging="284"/>
        <w:rPr>
          <w:rFonts w:eastAsia="HG Mincho Light J"/>
          <w:sz w:val="20"/>
          <w:szCs w:val="18"/>
          <w:lang w:val="hu-HU" w:eastAsia="zh-CN"/>
        </w:rPr>
      </w:pPr>
      <w:r>
        <w:rPr>
          <w:rFonts w:eastAsia="HG Mincho Light J"/>
          <w:sz w:val="20"/>
          <w:szCs w:val="24"/>
          <w:vertAlign w:val="superscript"/>
          <w:lang w:val="hu-HU" w:eastAsia="zh-CN"/>
        </w:rPr>
        <w:t>**</w:t>
      </w:r>
      <w:r>
        <w:rPr>
          <w:rFonts w:eastAsia="HG Mincho Light J"/>
          <w:szCs w:val="24"/>
          <w:lang w:val="hu-HU"/>
        </w:rPr>
        <w:tab/>
      </w:r>
      <w:r>
        <w:rPr>
          <w:rFonts w:eastAsia="HG Mincho Light J"/>
          <w:sz w:val="20"/>
          <w:szCs w:val="18"/>
          <w:lang w:val="hu-HU" w:eastAsia="zh-CN"/>
        </w:rPr>
        <w:t xml:space="preserve">Számos interakciós vizsgálatot végeztek különböző </w:t>
      </w:r>
      <w:proofErr w:type="spellStart"/>
      <w:r>
        <w:rPr>
          <w:rFonts w:eastAsia="HG Mincho Light J"/>
          <w:sz w:val="20"/>
          <w:szCs w:val="18"/>
          <w:lang w:val="hu-HU" w:eastAsia="zh-CN"/>
        </w:rPr>
        <w:t>rozuvasztatin</w:t>
      </w:r>
      <w:proofErr w:type="spellEnd"/>
      <w:r>
        <w:rPr>
          <w:rFonts w:eastAsia="HG Mincho Light J"/>
          <w:sz w:val="20"/>
          <w:szCs w:val="18"/>
          <w:lang w:val="hu-HU" w:eastAsia="zh-CN"/>
        </w:rPr>
        <w:t xml:space="preserve"> dózisokkal, a táblázat a legszignifikánsabb arányt mutatja. </w:t>
      </w:r>
    </w:p>
    <w:p w14:paraId="67D460F6" w14:textId="77777777" w:rsidR="007963F8" w:rsidRDefault="008714EA">
      <w:pPr>
        <w:rPr>
          <w:szCs w:val="22"/>
          <w:lang w:val="hu-HU"/>
        </w:rPr>
      </w:pPr>
      <w:r>
        <w:rPr>
          <w:rFonts w:eastAsia="HG Mincho Light J"/>
          <w:sz w:val="20"/>
          <w:szCs w:val="18"/>
          <w:lang w:val="hu-HU" w:eastAsia="zh-CN"/>
        </w:rPr>
        <w:t>AUC = görbe alatti terület (</w:t>
      </w:r>
      <w:proofErr w:type="spellStart"/>
      <w:r>
        <w:rPr>
          <w:rFonts w:eastAsia="HG Mincho Light J"/>
          <w:sz w:val="20"/>
          <w:szCs w:val="18"/>
          <w:lang w:val="hu-HU" w:eastAsia="zh-CN"/>
        </w:rPr>
        <w:t>area</w:t>
      </w:r>
      <w:proofErr w:type="spellEnd"/>
      <w:r>
        <w:rPr>
          <w:rFonts w:eastAsia="HG Mincho Light J"/>
          <w:sz w:val="20"/>
          <w:szCs w:val="18"/>
          <w:lang w:val="hu-HU" w:eastAsia="zh-CN"/>
        </w:rPr>
        <w:t xml:space="preserve"> </w:t>
      </w:r>
      <w:proofErr w:type="spellStart"/>
      <w:r>
        <w:rPr>
          <w:rFonts w:eastAsia="HG Mincho Light J"/>
          <w:sz w:val="20"/>
          <w:szCs w:val="18"/>
          <w:lang w:val="hu-HU" w:eastAsia="zh-CN"/>
        </w:rPr>
        <w:t>under</w:t>
      </w:r>
      <w:proofErr w:type="spellEnd"/>
      <w:r>
        <w:rPr>
          <w:rFonts w:eastAsia="HG Mincho Light J"/>
          <w:sz w:val="20"/>
          <w:szCs w:val="18"/>
          <w:lang w:val="hu-HU" w:eastAsia="zh-CN"/>
        </w:rPr>
        <w:t xml:space="preserve"> </w:t>
      </w:r>
      <w:proofErr w:type="spellStart"/>
      <w:r>
        <w:rPr>
          <w:rFonts w:eastAsia="HG Mincho Light J"/>
          <w:sz w:val="20"/>
          <w:szCs w:val="18"/>
          <w:lang w:val="hu-HU" w:eastAsia="zh-CN"/>
        </w:rPr>
        <w:t>curve</w:t>
      </w:r>
      <w:proofErr w:type="spellEnd"/>
      <w:r>
        <w:rPr>
          <w:rFonts w:eastAsia="HG Mincho Light J"/>
          <w:sz w:val="20"/>
          <w:szCs w:val="18"/>
          <w:lang w:val="hu-HU" w:eastAsia="zh-CN"/>
        </w:rPr>
        <w:t>)</w:t>
      </w:r>
    </w:p>
    <w:p w14:paraId="5998A01F" w14:textId="77777777" w:rsidR="007963F8" w:rsidRDefault="007963F8">
      <w:pPr>
        <w:rPr>
          <w:szCs w:val="22"/>
          <w:lang w:val="hu-HU"/>
        </w:rPr>
      </w:pPr>
    </w:p>
    <w:p w14:paraId="4F43AE89" w14:textId="77777777" w:rsidR="007963F8" w:rsidRDefault="008714EA">
      <w:pPr>
        <w:rPr>
          <w:szCs w:val="22"/>
          <w:lang w:val="hu-HU"/>
        </w:rPr>
      </w:pPr>
      <w:r>
        <w:rPr>
          <w:szCs w:val="22"/>
          <w:lang w:val="hu-HU"/>
        </w:rPr>
        <w:t xml:space="preserve">A következő gyógyszerek/kombinációk </w:t>
      </w:r>
      <w:proofErr w:type="spellStart"/>
      <w:r>
        <w:rPr>
          <w:szCs w:val="22"/>
          <w:lang w:val="hu-HU"/>
        </w:rPr>
        <w:t>rozuvasztatinnal</w:t>
      </w:r>
      <w:proofErr w:type="spellEnd"/>
      <w:r>
        <w:rPr>
          <w:szCs w:val="22"/>
          <w:lang w:val="hu-HU"/>
        </w:rPr>
        <w:t xml:space="preserve"> egyidejűleg alkalmazva nem befolyásolták klinikai szempontból szignifikánsan az AUC értékét: </w:t>
      </w:r>
    </w:p>
    <w:p w14:paraId="728B9F79" w14:textId="77777777" w:rsidR="007963F8" w:rsidRDefault="008714EA">
      <w:pPr>
        <w:rPr>
          <w:szCs w:val="22"/>
          <w:lang w:val="hu-HU"/>
        </w:rPr>
      </w:pPr>
      <w:proofErr w:type="spellStart"/>
      <w:r>
        <w:rPr>
          <w:szCs w:val="22"/>
          <w:lang w:val="hu-HU"/>
        </w:rPr>
        <w:t>Aleglitazár</w:t>
      </w:r>
      <w:proofErr w:type="spellEnd"/>
      <w:r>
        <w:rPr>
          <w:szCs w:val="22"/>
          <w:lang w:val="hu-HU"/>
        </w:rPr>
        <w:t xml:space="preserve"> 0,3 mg, 7 napig; </w:t>
      </w:r>
      <w:proofErr w:type="spellStart"/>
      <w:r>
        <w:rPr>
          <w:szCs w:val="22"/>
          <w:lang w:val="hu-HU"/>
        </w:rPr>
        <w:t>fenofibrát</w:t>
      </w:r>
      <w:proofErr w:type="spellEnd"/>
      <w:r>
        <w:rPr>
          <w:szCs w:val="22"/>
          <w:lang w:val="hu-HU"/>
        </w:rPr>
        <w:t xml:space="preserve"> 67 mg napi háromszor, 7 napig; </w:t>
      </w:r>
      <w:proofErr w:type="spellStart"/>
      <w:r>
        <w:rPr>
          <w:szCs w:val="22"/>
          <w:lang w:val="hu-HU"/>
        </w:rPr>
        <w:t>flukonazol</w:t>
      </w:r>
      <w:proofErr w:type="spellEnd"/>
      <w:r>
        <w:rPr>
          <w:szCs w:val="22"/>
          <w:lang w:val="hu-HU"/>
        </w:rPr>
        <w:t xml:space="preserve"> 200 mg napi egyszer, 11 napig; </w:t>
      </w:r>
      <w:proofErr w:type="spellStart"/>
      <w:r>
        <w:rPr>
          <w:szCs w:val="22"/>
          <w:lang w:val="hu-HU"/>
        </w:rPr>
        <w:t>fozamprenavir</w:t>
      </w:r>
      <w:proofErr w:type="spellEnd"/>
      <w:r>
        <w:rPr>
          <w:szCs w:val="22"/>
          <w:lang w:val="hu-HU"/>
        </w:rPr>
        <w:t xml:space="preserve"> 700 mg/</w:t>
      </w:r>
      <w:proofErr w:type="spellStart"/>
      <w:r>
        <w:rPr>
          <w:szCs w:val="22"/>
          <w:lang w:val="hu-HU"/>
        </w:rPr>
        <w:t>ritonavir</w:t>
      </w:r>
      <w:proofErr w:type="spellEnd"/>
      <w:r>
        <w:rPr>
          <w:szCs w:val="22"/>
          <w:lang w:val="hu-HU"/>
        </w:rPr>
        <w:t xml:space="preserve"> 100 mg napi kétszer, 8 napig; </w:t>
      </w:r>
      <w:proofErr w:type="spellStart"/>
      <w:r>
        <w:rPr>
          <w:szCs w:val="22"/>
          <w:lang w:val="hu-HU"/>
        </w:rPr>
        <w:t>ketokonazol</w:t>
      </w:r>
      <w:proofErr w:type="spellEnd"/>
      <w:r>
        <w:rPr>
          <w:szCs w:val="22"/>
          <w:lang w:val="hu-HU"/>
        </w:rPr>
        <w:t xml:space="preserve"> 200 mg napi kétszer, 7 napig; </w:t>
      </w:r>
      <w:proofErr w:type="spellStart"/>
      <w:r>
        <w:rPr>
          <w:szCs w:val="22"/>
          <w:lang w:val="hu-HU"/>
        </w:rPr>
        <w:t>rifampin</w:t>
      </w:r>
      <w:proofErr w:type="spellEnd"/>
      <w:r>
        <w:rPr>
          <w:szCs w:val="22"/>
          <w:lang w:val="hu-HU"/>
        </w:rPr>
        <w:t xml:space="preserve"> 450 mg napi egyszer, 7 napig; szilimarin 140 mg napi háromszor, 5 napig.</w:t>
      </w:r>
    </w:p>
    <w:p w14:paraId="7171DFC3" w14:textId="77777777" w:rsidR="007963F8" w:rsidRDefault="007963F8">
      <w:pPr>
        <w:rPr>
          <w:szCs w:val="22"/>
          <w:lang w:val="hu-HU"/>
        </w:rPr>
      </w:pPr>
    </w:p>
    <w:p w14:paraId="38A230F4" w14:textId="77777777" w:rsidR="007963F8" w:rsidRDefault="008714EA">
      <w:pPr>
        <w:rPr>
          <w:szCs w:val="22"/>
          <w:lang w:val="hu-HU"/>
        </w:rPr>
      </w:pPr>
      <w:r>
        <w:rPr>
          <w:szCs w:val="22"/>
          <w:u w:val="single"/>
          <w:lang w:val="hu-HU"/>
        </w:rPr>
        <w:t xml:space="preserve">A </w:t>
      </w:r>
      <w:proofErr w:type="spellStart"/>
      <w:r>
        <w:rPr>
          <w:szCs w:val="22"/>
          <w:u w:val="single"/>
          <w:lang w:val="hu-HU"/>
        </w:rPr>
        <w:t>rozuvasztatin</w:t>
      </w:r>
      <w:proofErr w:type="spellEnd"/>
      <w:r>
        <w:rPr>
          <w:szCs w:val="22"/>
          <w:u w:val="single"/>
          <w:lang w:val="hu-HU"/>
        </w:rPr>
        <w:t xml:space="preserve"> hatása az egyidejűleg alkalmazott gyógyszerekre</w:t>
      </w:r>
    </w:p>
    <w:p w14:paraId="413CD6E2" w14:textId="77777777" w:rsidR="007963F8" w:rsidRDefault="007963F8">
      <w:pPr>
        <w:widowControl w:val="0"/>
        <w:rPr>
          <w:szCs w:val="22"/>
          <w:lang w:val="hu-HU" w:eastAsia="en-US"/>
        </w:rPr>
      </w:pPr>
    </w:p>
    <w:p w14:paraId="560C7890" w14:textId="77777777" w:rsidR="007963F8" w:rsidRDefault="008714EA">
      <w:pPr>
        <w:rPr>
          <w:szCs w:val="22"/>
          <w:lang w:val="hu-HU"/>
        </w:rPr>
      </w:pPr>
      <w:r>
        <w:rPr>
          <w:bCs/>
          <w:i/>
          <w:iCs/>
          <w:szCs w:val="22"/>
          <w:lang w:val="hu-HU"/>
        </w:rPr>
        <w:t>K-vitamin-</w:t>
      </w:r>
      <w:proofErr w:type="spellStart"/>
      <w:r>
        <w:rPr>
          <w:bCs/>
          <w:i/>
          <w:iCs/>
          <w:szCs w:val="22"/>
          <w:lang w:val="hu-HU"/>
        </w:rPr>
        <w:t>antagonisták</w:t>
      </w:r>
      <w:proofErr w:type="spellEnd"/>
    </w:p>
    <w:p w14:paraId="377A0BB2" w14:textId="77777777" w:rsidR="007963F8" w:rsidRDefault="008714EA">
      <w:r>
        <w:t>Hasonlóan egyéb HMG</w:t>
      </w:r>
      <w:r>
        <w:noBreakHyphen/>
        <w:t>CoA</w:t>
      </w:r>
      <w:r>
        <w:noBreakHyphen/>
        <w:t>reduktáz-inhibitorokhoz, egyidejűleg K</w:t>
      </w:r>
      <w:r>
        <w:noBreakHyphen/>
        <w:t xml:space="preserve">vitamin-antagonistával (pl. warfarin vagy más, kumarin-típusú antikoaguláns) kezelt betegeknél a </w:t>
      </w:r>
      <w:proofErr w:type="spellStart"/>
      <w:r>
        <w:rPr>
          <w:szCs w:val="22"/>
          <w:lang w:val="hu-HU"/>
        </w:rPr>
        <w:t>Ravalsyo</w:t>
      </w:r>
      <w:proofErr w:type="spellEnd"/>
      <w:r>
        <w:t xml:space="preserve">-terápia megkezdése, illetve a dózis emelése a nemzetközi normalizált arány (International Normalized Ratio, INR) megemelkedését okozhatja. A </w:t>
      </w:r>
      <w:proofErr w:type="spellStart"/>
      <w:r>
        <w:rPr>
          <w:szCs w:val="22"/>
          <w:lang w:val="hu-HU"/>
        </w:rPr>
        <w:t>Ravalsyo</w:t>
      </w:r>
      <w:proofErr w:type="spellEnd"/>
      <w:r>
        <w:t>-terápia felfüggesztése vagy az adag csökkentése az INR csökkenését eredményezheti. Ilyen esetekben az INR megfelelő ellenőrzése szükséges.</w:t>
      </w:r>
    </w:p>
    <w:p w14:paraId="601F8E45" w14:textId="77777777" w:rsidR="007963F8" w:rsidRDefault="007963F8">
      <w:pPr>
        <w:widowControl w:val="0"/>
        <w:rPr>
          <w:szCs w:val="22"/>
          <w:lang w:val="hu-HU" w:eastAsia="en-US"/>
        </w:rPr>
      </w:pPr>
    </w:p>
    <w:p w14:paraId="35A1C868" w14:textId="77777777" w:rsidR="007963F8" w:rsidRDefault="008714EA">
      <w:pPr>
        <w:rPr>
          <w:bCs/>
          <w:i/>
          <w:iCs/>
          <w:szCs w:val="22"/>
          <w:lang w:val="hu-HU"/>
        </w:rPr>
      </w:pPr>
      <w:r>
        <w:rPr>
          <w:bCs/>
          <w:i/>
          <w:iCs/>
          <w:szCs w:val="22"/>
          <w:lang w:val="hu-HU"/>
        </w:rPr>
        <w:t>Orális fogamzásgátlók/hormonpótló kezelés (HRT)</w:t>
      </w:r>
    </w:p>
    <w:p w14:paraId="1A92015F" w14:textId="77777777" w:rsidR="007963F8" w:rsidRDefault="008714EA">
      <w:pPr>
        <w:rPr>
          <w:szCs w:val="22"/>
        </w:rPr>
      </w:pPr>
      <w:r>
        <w:rPr>
          <w:szCs w:val="22"/>
        </w:rPr>
        <w:t>A rozuvasztatin és orális fogamzásgátlók egyidejű alkalmazásakor az etinil-ösztradiol AUC-értéke 26%-kal, a norgesztrel AUC-értéke 34%-kal emelkedett. A plazmaszint-emelkedést az orális fogamzásgátló dózisának megválasztásakor figyelembe kell venni.</w:t>
      </w:r>
    </w:p>
    <w:p w14:paraId="6E4B46D7" w14:textId="77777777" w:rsidR="007963F8" w:rsidRDefault="008714EA">
      <w:pPr>
        <w:rPr>
          <w:szCs w:val="22"/>
        </w:rPr>
      </w:pPr>
      <w:r>
        <w:rPr>
          <w:szCs w:val="22"/>
        </w:rPr>
        <w:t>Nincs farmakokinetikai adat olyan betegekre vonatkozóan, akiknek hormonpótló kezelést és rozuvasztatint együtt adtak, ilyen esetekben hasonló hatás nem zárható ki. Nőknél, nagy betegszámú klinikai vizsgálatokban alkalmazva a kombinációt, a betegek ugyanakkor azt jól tolerálták.</w:t>
      </w:r>
    </w:p>
    <w:p w14:paraId="58E9A22F" w14:textId="77777777" w:rsidR="007963F8" w:rsidRDefault="007963F8">
      <w:pPr>
        <w:widowControl w:val="0"/>
        <w:rPr>
          <w:szCs w:val="22"/>
          <w:lang w:val="hu-HU" w:eastAsia="en-US"/>
        </w:rPr>
      </w:pPr>
    </w:p>
    <w:p w14:paraId="15FFDD7D" w14:textId="77777777" w:rsidR="007963F8" w:rsidRDefault="008714EA" w:rsidP="005924D0">
      <w:pPr>
        <w:keepNext/>
        <w:widowControl w:val="0"/>
        <w:rPr>
          <w:szCs w:val="22"/>
          <w:u w:val="single"/>
          <w:lang w:val="hu-HU" w:eastAsia="en-US"/>
        </w:rPr>
      </w:pPr>
      <w:r>
        <w:rPr>
          <w:szCs w:val="22"/>
          <w:u w:val="single"/>
          <w:lang w:val="hu-HU" w:eastAsia="en-US"/>
        </w:rPr>
        <w:lastRenderedPageBreak/>
        <w:t>Egyéb gyógyszerek</w:t>
      </w:r>
    </w:p>
    <w:p w14:paraId="13E0B3EB" w14:textId="77777777" w:rsidR="007963F8" w:rsidRDefault="007963F8" w:rsidP="005924D0">
      <w:pPr>
        <w:keepNext/>
        <w:widowControl w:val="0"/>
        <w:rPr>
          <w:szCs w:val="22"/>
          <w:lang w:val="hu-HU" w:eastAsia="en-US"/>
        </w:rPr>
      </w:pPr>
    </w:p>
    <w:p w14:paraId="2E62F7FE" w14:textId="77777777" w:rsidR="007963F8" w:rsidRDefault="008714EA" w:rsidP="005924D0">
      <w:pPr>
        <w:keepNext/>
        <w:rPr>
          <w:i/>
          <w:szCs w:val="22"/>
          <w:lang w:val="hu-HU"/>
        </w:rPr>
      </w:pPr>
      <w:proofErr w:type="spellStart"/>
      <w:r>
        <w:rPr>
          <w:i/>
          <w:szCs w:val="22"/>
          <w:lang w:val="hu-HU"/>
        </w:rPr>
        <w:t>Digoxin</w:t>
      </w:r>
      <w:proofErr w:type="spellEnd"/>
    </w:p>
    <w:p w14:paraId="25D098E7" w14:textId="77777777" w:rsidR="007963F8" w:rsidRDefault="008714EA">
      <w:pPr>
        <w:widowControl w:val="0"/>
        <w:rPr>
          <w:szCs w:val="22"/>
        </w:rPr>
      </w:pPr>
      <w:r>
        <w:rPr>
          <w:szCs w:val="22"/>
        </w:rPr>
        <w:t>Specifikus gyógyszerinterakciós vizsgálatok során nyert adatok alapján digoxinnal klinikai szempontból jelentős interakció nem várható.</w:t>
      </w:r>
    </w:p>
    <w:p w14:paraId="4E869049" w14:textId="77777777" w:rsidR="007963F8" w:rsidRDefault="007963F8">
      <w:pPr>
        <w:widowControl w:val="0"/>
        <w:rPr>
          <w:szCs w:val="22"/>
          <w:lang w:val="hu-HU" w:eastAsia="en-US"/>
        </w:rPr>
      </w:pPr>
    </w:p>
    <w:p w14:paraId="1B5A2D78" w14:textId="77777777" w:rsidR="007963F8" w:rsidRDefault="008714EA">
      <w:pPr>
        <w:pStyle w:val="Default"/>
        <w:rPr>
          <w:color w:val="auto"/>
          <w:sz w:val="22"/>
          <w:szCs w:val="22"/>
          <w:lang w:val="hu-HU"/>
        </w:rPr>
      </w:pPr>
      <w:proofErr w:type="spellStart"/>
      <w:r>
        <w:rPr>
          <w:i/>
          <w:color w:val="auto"/>
          <w:sz w:val="22"/>
          <w:szCs w:val="22"/>
          <w:lang w:val="hu-HU"/>
        </w:rPr>
        <w:t>Fuzidinsav</w:t>
      </w:r>
      <w:proofErr w:type="spellEnd"/>
    </w:p>
    <w:p w14:paraId="6D8F0C1D" w14:textId="0E71A156" w:rsidR="007963F8" w:rsidRDefault="00880171">
      <w:pPr>
        <w:pStyle w:val="Default"/>
        <w:rPr>
          <w:sz w:val="22"/>
          <w:szCs w:val="22"/>
          <w:lang w:val="hu-HU"/>
        </w:rPr>
      </w:pPr>
      <w:r w:rsidRPr="00E9327D">
        <w:rPr>
          <w:color w:val="auto"/>
          <w:sz w:val="22"/>
        </w:rPr>
        <w:t>Interakciós vizsgálatokat nem végeztek rozuvasztatin</w:t>
      </w:r>
      <w:r>
        <w:rPr>
          <w:color w:val="auto"/>
          <w:sz w:val="22"/>
        </w:rPr>
        <w:t xml:space="preserve"> és f</w:t>
      </w:r>
      <w:r w:rsidRPr="00E9327D">
        <w:rPr>
          <w:color w:val="auto"/>
          <w:sz w:val="22"/>
        </w:rPr>
        <w:t>uzidinsav</w:t>
      </w:r>
      <w:r>
        <w:rPr>
          <w:color w:val="auto"/>
          <w:sz w:val="22"/>
        </w:rPr>
        <w:t xml:space="preserve"> alkalmazásával. </w:t>
      </w:r>
      <w:r w:rsidR="008714EA">
        <w:rPr>
          <w:sz w:val="22"/>
          <w:szCs w:val="22"/>
          <w:lang w:val="hu-HU"/>
        </w:rPr>
        <w:t xml:space="preserve">A szisztémás </w:t>
      </w:r>
      <w:proofErr w:type="spellStart"/>
      <w:r w:rsidR="008714EA">
        <w:rPr>
          <w:sz w:val="22"/>
          <w:szCs w:val="22"/>
          <w:lang w:val="hu-HU"/>
        </w:rPr>
        <w:t>fuzidinsav</w:t>
      </w:r>
      <w:proofErr w:type="spellEnd"/>
      <w:r w:rsidR="008714EA">
        <w:rPr>
          <w:sz w:val="22"/>
          <w:szCs w:val="22"/>
          <w:lang w:val="hu-HU"/>
        </w:rPr>
        <w:t xml:space="preserve">-készítmények és </w:t>
      </w:r>
      <w:proofErr w:type="spellStart"/>
      <w:r w:rsidR="008714EA">
        <w:rPr>
          <w:sz w:val="22"/>
          <w:szCs w:val="22"/>
          <w:lang w:val="hu-HU"/>
        </w:rPr>
        <w:t>sztatinok</w:t>
      </w:r>
      <w:proofErr w:type="spellEnd"/>
      <w:r w:rsidR="008714EA">
        <w:rPr>
          <w:sz w:val="22"/>
          <w:szCs w:val="22"/>
          <w:lang w:val="hu-HU"/>
        </w:rPr>
        <w:t xml:space="preserve"> egyidejű adása fokozhatja a </w:t>
      </w:r>
      <w:proofErr w:type="spellStart"/>
      <w:r w:rsidR="008714EA">
        <w:rPr>
          <w:sz w:val="22"/>
          <w:szCs w:val="22"/>
          <w:lang w:val="hu-HU"/>
        </w:rPr>
        <w:t>myopathia</w:t>
      </w:r>
      <w:proofErr w:type="spellEnd"/>
      <w:r w:rsidR="008714EA">
        <w:rPr>
          <w:sz w:val="22"/>
          <w:szCs w:val="22"/>
          <w:lang w:val="hu-HU"/>
        </w:rPr>
        <w:t xml:space="preserve"> (pl. </w:t>
      </w:r>
      <w:proofErr w:type="spellStart"/>
      <w:r w:rsidR="008714EA">
        <w:rPr>
          <w:sz w:val="22"/>
          <w:szCs w:val="22"/>
          <w:lang w:val="hu-HU"/>
        </w:rPr>
        <w:t>rhabdomyolysis</w:t>
      </w:r>
      <w:proofErr w:type="spellEnd"/>
      <w:r w:rsidR="008714EA">
        <w:rPr>
          <w:sz w:val="22"/>
          <w:szCs w:val="22"/>
          <w:lang w:val="hu-HU"/>
        </w:rPr>
        <w:t xml:space="preserve">) kockázatát. Ennek az interakciónak a mechanizmusa (legyen az </w:t>
      </w:r>
      <w:proofErr w:type="spellStart"/>
      <w:r w:rsidR="008714EA">
        <w:rPr>
          <w:sz w:val="22"/>
          <w:szCs w:val="22"/>
          <w:lang w:val="hu-HU"/>
        </w:rPr>
        <w:t>farmakodinámiás</w:t>
      </w:r>
      <w:proofErr w:type="spellEnd"/>
      <w:r w:rsidR="008714EA">
        <w:rPr>
          <w:sz w:val="22"/>
          <w:szCs w:val="22"/>
          <w:lang w:val="hu-HU"/>
        </w:rPr>
        <w:t xml:space="preserve">, </w:t>
      </w:r>
      <w:proofErr w:type="spellStart"/>
      <w:r w:rsidR="008714EA">
        <w:rPr>
          <w:sz w:val="22"/>
          <w:szCs w:val="22"/>
          <w:lang w:val="hu-HU"/>
        </w:rPr>
        <w:t>farmakokinetikai</w:t>
      </w:r>
      <w:proofErr w:type="spellEnd"/>
      <w:r w:rsidR="008714EA">
        <w:rPr>
          <w:sz w:val="22"/>
          <w:szCs w:val="22"/>
          <w:lang w:val="hu-HU"/>
        </w:rPr>
        <w:t xml:space="preserve"> vagy mind a kettő) egyelőre nem ismert. Az ezzel a kombinációval kezelt betegeknél </w:t>
      </w:r>
      <w:proofErr w:type="spellStart"/>
      <w:r w:rsidR="008714EA">
        <w:rPr>
          <w:sz w:val="22"/>
          <w:szCs w:val="22"/>
          <w:lang w:val="hu-HU"/>
        </w:rPr>
        <w:t>rhabdomyolysisről</w:t>
      </w:r>
      <w:proofErr w:type="spellEnd"/>
      <w:r w:rsidR="008714EA">
        <w:rPr>
          <w:sz w:val="22"/>
          <w:szCs w:val="22"/>
          <w:lang w:val="hu-HU"/>
        </w:rPr>
        <w:t xml:space="preserve"> számoltak be (néhány haláleset is történt). </w:t>
      </w:r>
    </w:p>
    <w:p w14:paraId="23D0A53B" w14:textId="77777777" w:rsidR="007963F8" w:rsidRDefault="008714EA">
      <w:pPr>
        <w:pStyle w:val="Default"/>
        <w:rPr>
          <w:sz w:val="22"/>
          <w:szCs w:val="22"/>
          <w:lang w:val="hu-HU"/>
        </w:rPr>
      </w:pPr>
      <w:r>
        <w:rPr>
          <w:sz w:val="22"/>
          <w:szCs w:val="22"/>
          <w:lang w:val="hu-HU"/>
        </w:rPr>
        <w:t xml:space="preserve">Ha szisztémás </w:t>
      </w:r>
      <w:proofErr w:type="spellStart"/>
      <w:r>
        <w:rPr>
          <w:sz w:val="22"/>
          <w:szCs w:val="22"/>
          <w:lang w:val="hu-HU"/>
        </w:rPr>
        <w:t>fuzidinsav</w:t>
      </w:r>
      <w:proofErr w:type="spellEnd"/>
      <w:r>
        <w:rPr>
          <w:sz w:val="22"/>
          <w:szCs w:val="22"/>
          <w:lang w:val="hu-HU"/>
        </w:rPr>
        <w:t xml:space="preserve">-kezelés szükséges, annak teljes időtartamára fel kell függeszteni a </w:t>
      </w:r>
      <w:proofErr w:type="spellStart"/>
      <w:r>
        <w:rPr>
          <w:sz w:val="22"/>
          <w:szCs w:val="22"/>
          <w:lang w:val="hu-HU"/>
        </w:rPr>
        <w:t>rozuvasztatin</w:t>
      </w:r>
      <w:proofErr w:type="spellEnd"/>
      <w:r>
        <w:rPr>
          <w:sz w:val="22"/>
          <w:szCs w:val="22"/>
          <w:lang w:val="hu-HU"/>
        </w:rPr>
        <w:t>-terápiát. Lásd még 4.4 pont.</w:t>
      </w:r>
    </w:p>
    <w:p w14:paraId="165F831B" w14:textId="77777777" w:rsidR="007963F8" w:rsidRDefault="007963F8">
      <w:pPr>
        <w:rPr>
          <w:szCs w:val="22"/>
          <w:lang w:val="hu-HU"/>
        </w:rPr>
      </w:pPr>
    </w:p>
    <w:p w14:paraId="69355EE6" w14:textId="77777777" w:rsidR="007963F8" w:rsidRDefault="008714EA">
      <w:pPr>
        <w:rPr>
          <w:b/>
          <w:szCs w:val="22"/>
          <w:u w:val="single"/>
          <w:lang w:val="hu-HU"/>
        </w:rPr>
      </w:pPr>
      <w:r>
        <w:rPr>
          <w:szCs w:val="22"/>
          <w:u w:val="single"/>
          <w:lang w:val="hu-HU"/>
        </w:rPr>
        <w:t>Gyermekek és serdülők</w:t>
      </w:r>
    </w:p>
    <w:p w14:paraId="3F869152" w14:textId="77777777" w:rsidR="007963F8" w:rsidRDefault="008714EA">
      <w:pPr>
        <w:rPr>
          <w:szCs w:val="22"/>
          <w:lang w:val="hu-HU"/>
        </w:rPr>
      </w:pPr>
      <w:r>
        <w:rPr>
          <w:szCs w:val="22"/>
          <w:lang w:val="hu-HU"/>
        </w:rPr>
        <w:t>Interakciós vizsgálatokat csak felnőtteken végeztek. A kölcsönhatások mértéke gyermekeknél és serdülőknél nem ismert.</w:t>
      </w:r>
    </w:p>
    <w:p w14:paraId="2881C29E" w14:textId="77777777" w:rsidR="007963F8" w:rsidRDefault="007963F8">
      <w:pPr>
        <w:rPr>
          <w:szCs w:val="22"/>
          <w:lang w:val="hu-HU"/>
        </w:rPr>
      </w:pPr>
    </w:p>
    <w:p w14:paraId="1513FA59" w14:textId="77777777" w:rsidR="007963F8" w:rsidRDefault="008714EA">
      <w:pPr>
        <w:keepNext/>
        <w:ind w:left="567" w:hanging="567"/>
        <w:rPr>
          <w:b/>
          <w:szCs w:val="22"/>
          <w:lang w:val="hu-HU"/>
        </w:rPr>
      </w:pPr>
      <w:r>
        <w:rPr>
          <w:b/>
          <w:szCs w:val="22"/>
          <w:lang w:val="hu-HU"/>
        </w:rPr>
        <w:t>4.6</w:t>
      </w:r>
      <w:r>
        <w:rPr>
          <w:b/>
          <w:szCs w:val="22"/>
          <w:lang w:val="hu-HU"/>
        </w:rPr>
        <w:tab/>
        <w:t>Termékenység, terhesség és szoptatás</w:t>
      </w:r>
    </w:p>
    <w:p w14:paraId="3A77DEBB" w14:textId="77777777" w:rsidR="007963F8" w:rsidRDefault="007963F8">
      <w:pPr>
        <w:keepNext/>
        <w:rPr>
          <w:szCs w:val="22"/>
          <w:lang w:val="hu-HU"/>
        </w:rPr>
      </w:pPr>
    </w:p>
    <w:p w14:paraId="23A880D4" w14:textId="77777777" w:rsidR="007963F8" w:rsidRDefault="008714EA">
      <w:pPr>
        <w:rPr>
          <w:szCs w:val="22"/>
          <w:lang w:val="hu-HU"/>
        </w:rPr>
      </w:pPr>
      <w:r>
        <w:rPr>
          <w:szCs w:val="22"/>
          <w:lang w:val="hu-HU"/>
        </w:rPr>
        <w:t xml:space="preserve">A </w:t>
      </w:r>
      <w:proofErr w:type="spellStart"/>
      <w:r>
        <w:rPr>
          <w:szCs w:val="22"/>
          <w:lang w:val="hu-HU"/>
        </w:rPr>
        <w:t>Ravalsyo</w:t>
      </w:r>
      <w:proofErr w:type="spellEnd"/>
      <w:r>
        <w:rPr>
          <w:szCs w:val="22"/>
          <w:lang w:val="hu-HU"/>
        </w:rPr>
        <w:t xml:space="preserve"> a terhesség és a szoptatás ideje alatt ellenjavallt.</w:t>
      </w:r>
    </w:p>
    <w:p w14:paraId="12631724" w14:textId="77777777" w:rsidR="007963F8" w:rsidRDefault="007963F8">
      <w:pPr>
        <w:rPr>
          <w:szCs w:val="22"/>
          <w:lang w:val="hu-HU"/>
        </w:rPr>
      </w:pPr>
    </w:p>
    <w:p w14:paraId="7E7B768C" w14:textId="77777777" w:rsidR="007963F8" w:rsidRDefault="008714EA">
      <w:pPr>
        <w:keepNext/>
        <w:rPr>
          <w:szCs w:val="22"/>
          <w:u w:val="single"/>
          <w:lang w:val="hu-HU"/>
        </w:rPr>
      </w:pPr>
      <w:r>
        <w:rPr>
          <w:szCs w:val="22"/>
          <w:u w:val="single"/>
          <w:lang w:val="hu-HU"/>
        </w:rPr>
        <w:t>Terhesség</w:t>
      </w:r>
    </w:p>
    <w:p w14:paraId="617FDB15" w14:textId="77777777" w:rsidR="007963F8" w:rsidRDefault="007963F8">
      <w:pPr>
        <w:keepNext/>
        <w:rPr>
          <w:szCs w:val="22"/>
          <w:u w:val="single"/>
          <w:lang w:val="hu-HU"/>
        </w:rPr>
      </w:pPr>
    </w:p>
    <w:p w14:paraId="0104A926" w14:textId="77777777" w:rsidR="007963F8" w:rsidRDefault="008714EA">
      <w:pPr>
        <w:keepNext/>
        <w:rPr>
          <w:i/>
          <w:szCs w:val="22"/>
          <w:lang w:val="hu-HU"/>
        </w:rPr>
      </w:pPr>
      <w:r>
        <w:rPr>
          <w:i/>
          <w:szCs w:val="22"/>
          <w:lang w:val="hu-HU"/>
        </w:rPr>
        <w:t xml:space="preserve">A </w:t>
      </w:r>
      <w:proofErr w:type="spellStart"/>
      <w:r>
        <w:rPr>
          <w:i/>
          <w:szCs w:val="22"/>
          <w:lang w:val="hu-HU"/>
        </w:rPr>
        <w:t>rozuvasztatin</w:t>
      </w:r>
      <w:proofErr w:type="spellEnd"/>
      <w:r>
        <w:rPr>
          <w:i/>
          <w:szCs w:val="22"/>
          <w:lang w:val="hu-HU"/>
        </w:rPr>
        <w:t xml:space="preserve"> összetevőhöz kapcsolódóan</w:t>
      </w:r>
    </w:p>
    <w:p w14:paraId="2AD9B53A" w14:textId="77777777" w:rsidR="007963F8" w:rsidRDefault="008714EA">
      <w:pPr>
        <w:rPr>
          <w:szCs w:val="22"/>
        </w:rPr>
      </w:pPr>
      <w:r>
        <w:rPr>
          <w:szCs w:val="22"/>
        </w:rPr>
        <w:t>Fogamzóképes nőknek megfelelő fogamzásgátló módszert kell alkalmazniuk. Mivel a koleszterin és egyéb, a koleszterin bioszintézisének eredményeképpen létrejövő közti termékek a magzat fejlődéséhez nélkülözhetetlenek, a HMG-CoA-reduktáz-gátlásából eredő potenciális kockázat lehetősége meghaladja a terápia előnyeit a terhesség ideje alatt. Állatkísérletekből a reproduktív toxicitásra vonatkozóan korlátozott eredmények állnak rendelkezésre (lásd 5.3 pont). Amennyiben a rozuvasztatin-terápia ideje alatt a beteg teherbe esik, a kezelést azonnal fel kell függeszteni.</w:t>
      </w:r>
    </w:p>
    <w:p w14:paraId="7D0A422B" w14:textId="77777777" w:rsidR="007963F8" w:rsidRDefault="007963F8">
      <w:pPr>
        <w:rPr>
          <w:szCs w:val="22"/>
          <w:lang w:val="hu-HU"/>
        </w:rPr>
      </w:pPr>
    </w:p>
    <w:p w14:paraId="0D9957A2" w14:textId="77777777" w:rsidR="007963F8" w:rsidRDefault="008714EA">
      <w:pPr>
        <w:widowControl w:val="0"/>
        <w:rPr>
          <w:i/>
          <w:szCs w:val="22"/>
          <w:lang w:val="hu-HU" w:eastAsia="en-US"/>
        </w:rPr>
      </w:pPr>
      <w:r>
        <w:rPr>
          <w:i/>
          <w:szCs w:val="22"/>
          <w:lang w:val="hu-HU" w:eastAsia="en-US"/>
        </w:rPr>
        <w:t xml:space="preserve">A </w:t>
      </w:r>
      <w:proofErr w:type="spellStart"/>
      <w:r>
        <w:rPr>
          <w:i/>
          <w:szCs w:val="22"/>
          <w:lang w:val="hu-HU" w:eastAsia="en-US"/>
        </w:rPr>
        <w:t>valzartán</w:t>
      </w:r>
      <w:proofErr w:type="spellEnd"/>
      <w:r>
        <w:rPr>
          <w:i/>
          <w:szCs w:val="22"/>
          <w:lang w:val="hu-HU" w:eastAsia="en-US"/>
        </w:rPr>
        <w:t xml:space="preserve"> összetevőhöz kapcsolódóan</w:t>
      </w:r>
    </w:p>
    <w:p w14:paraId="4EC3A237" w14:textId="77777777" w:rsidR="007963F8" w:rsidRDefault="007963F8">
      <w:pPr>
        <w:widowControl w:val="0"/>
        <w:rPr>
          <w:szCs w:val="22"/>
          <w:lang w:val="hu-HU" w:eastAsia="en-US"/>
        </w:rPr>
      </w:pPr>
    </w:p>
    <w:p w14:paraId="4232F2F2" w14:textId="77777777" w:rsidR="007963F8" w:rsidRDefault="008714EA">
      <w:pPr>
        <w:pBdr>
          <w:top w:val="single" w:sz="4" w:space="1" w:color="auto"/>
          <w:left w:val="single" w:sz="4" w:space="4" w:color="auto"/>
          <w:bottom w:val="single" w:sz="4" w:space="4" w:color="auto"/>
          <w:right w:val="single" w:sz="4" w:space="4" w:color="auto"/>
        </w:pBdr>
        <w:tabs>
          <w:tab w:val="left" w:pos="567"/>
        </w:tabs>
        <w:rPr>
          <w:szCs w:val="22"/>
          <w:lang w:val="hu-HU"/>
        </w:rPr>
      </w:pPr>
      <w:r>
        <w:rPr>
          <w:spacing w:val="-4"/>
          <w:szCs w:val="22"/>
          <w:lang w:val="hu-HU"/>
        </w:rPr>
        <w:t xml:space="preserve">Az </w:t>
      </w:r>
      <w:proofErr w:type="spellStart"/>
      <w:r>
        <w:rPr>
          <w:spacing w:val="-4"/>
          <w:szCs w:val="22"/>
          <w:lang w:val="hu-HU"/>
        </w:rPr>
        <w:t>angiotenzin</w:t>
      </w:r>
      <w:proofErr w:type="spellEnd"/>
      <w:r>
        <w:rPr>
          <w:spacing w:val="-4"/>
          <w:szCs w:val="22"/>
          <w:lang w:val="hu-HU"/>
        </w:rPr>
        <w:t> II-receptor-</w:t>
      </w:r>
      <w:proofErr w:type="spellStart"/>
      <w:r>
        <w:rPr>
          <w:spacing w:val="-4"/>
          <w:szCs w:val="22"/>
          <w:lang w:val="hu-HU"/>
        </w:rPr>
        <w:t>antagonisták</w:t>
      </w:r>
      <w:proofErr w:type="spellEnd"/>
      <w:r>
        <w:rPr>
          <w:spacing w:val="-4"/>
          <w:szCs w:val="22"/>
          <w:lang w:val="hu-HU"/>
        </w:rPr>
        <w:t xml:space="preserve"> (AIIRA) alkalmazása nem javasolt a terhesség első trimeszterében </w:t>
      </w:r>
      <w:r>
        <w:rPr>
          <w:szCs w:val="22"/>
          <w:lang w:val="hu-HU"/>
        </w:rPr>
        <w:t xml:space="preserve">(lásd 4.4 pont). Az AIIRA alkalmazása ellenjavallt a terhesség második és harmadik trimeszterében (lásd 4.3 és 4.4 pont). </w:t>
      </w:r>
    </w:p>
    <w:p w14:paraId="379EF506" w14:textId="77777777" w:rsidR="007963F8" w:rsidRDefault="007963F8">
      <w:pPr>
        <w:widowControl w:val="0"/>
        <w:rPr>
          <w:szCs w:val="22"/>
          <w:lang w:val="hu-HU" w:eastAsia="en-US"/>
        </w:rPr>
      </w:pPr>
    </w:p>
    <w:p w14:paraId="682AA91D" w14:textId="77777777" w:rsidR="007963F8" w:rsidRDefault="008714EA">
      <w:pPr>
        <w:tabs>
          <w:tab w:val="left" w:pos="567"/>
        </w:tabs>
        <w:rPr>
          <w:szCs w:val="22"/>
        </w:rPr>
      </w:pPr>
      <w:r>
        <w:rPr>
          <w:szCs w:val="22"/>
        </w:rPr>
        <w:t>A terhesség első trimeszterében alkalmazott ACE-gátlókkal történő kezelést követően fellépő teratogenitás kockázatával kapcsolatos epidemiológiai bizonyítékok nem meggyőzőek. Ennek ellenére, a kockázat enyhe növekedése nem zárható ki. Jóllehet az AIIRA</w:t>
      </w:r>
      <w:r>
        <w:rPr>
          <w:szCs w:val="22"/>
        </w:rPr>
        <w:noBreakHyphen/>
        <w:t>kezelés kockázatára vonatkozó kontrollos epidemiológiai adatok nem állnak rendelkezésre, az említett gyógyszercsoport esetében hasonló kockázat állhat fenn. Hacsak az AIIRA</w:t>
      </w:r>
      <w:r>
        <w:rPr>
          <w:szCs w:val="22"/>
        </w:rPr>
        <w:noBreakHyphen/>
        <w:t>kezelés folytatása nem létfontosságú, azoknál a betegeknél, akik terhességet terveznek, olyan alternatív vérnyomáscsökkentő kezelésre kell átváltani, amely biztonságosan alkalmazható terhesség ideje alatt.Terhesség megállapítása esetén az AIIRA</w:t>
      </w:r>
      <w:r>
        <w:rPr>
          <w:szCs w:val="22"/>
        </w:rPr>
        <w:noBreakHyphen/>
        <w:t>kezelést azonnal meg kell szakítani és – szükség esetén – alternatív kezelést kell megkezdeni.</w:t>
      </w:r>
    </w:p>
    <w:p w14:paraId="47A6B7BE" w14:textId="77777777" w:rsidR="007963F8" w:rsidRDefault="007963F8">
      <w:pPr>
        <w:tabs>
          <w:tab w:val="left" w:pos="567"/>
        </w:tabs>
        <w:rPr>
          <w:szCs w:val="22"/>
        </w:rPr>
      </w:pPr>
    </w:p>
    <w:p w14:paraId="61E3D7AD" w14:textId="77777777" w:rsidR="007963F8" w:rsidRDefault="008714EA">
      <w:pPr>
        <w:tabs>
          <w:tab w:val="left" w:pos="567"/>
        </w:tabs>
        <w:rPr>
          <w:szCs w:val="22"/>
        </w:rPr>
      </w:pPr>
      <w:r>
        <w:rPr>
          <w:szCs w:val="22"/>
        </w:rPr>
        <w:t>Az AIIRA</w:t>
      </w:r>
      <w:r>
        <w:rPr>
          <w:szCs w:val="22"/>
        </w:rPr>
        <w:noBreakHyphen/>
        <w:t xml:space="preserve">kezelésnek a terhesség II. és </w:t>
      </w:r>
      <w:smartTag w:uri="urn:schemas-microsoft-com:office:smarttags" w:element="stockticker">
        <w:r>
          <w:rPr>
            <w:szCs w:val="22"/>
          </w:rPr>
          <w:t>III</w:t>
        </w:r>
      </w:smartTag>
      <w:r>
        <w:rPr>
          <w:szCs w:val="22"/>
        </w:rPr>
        <w:t>. trimeszterében történő alkalmazásával kapcsolatban ismert, hogy magzatkárosító hatást (csökkent veseműködés, oligohydramnion, a koponyacsontosodás megkésése) és újszülöttkori toxicitást (veseelégtelenség, hypotonia, hyperkalaemia) fejt ki; lásd továbbá az 5.3 „A preklinikai biztonságossági vizsgálatok eredményei” pontot.</w:t>
      </w:r>
    </w:p>
    <w:p w14:paraId="7CD5F803" w14:textId="77777777" w:rsidR="007963F8" w:rsidRDefault="007963F8">
      <w:pPr>
        <w:tabs>
          <w:tab w:val="left" w:pos="567"/>
        </w:tabs>
        <w:rPr>
          <w:szCs w:val="22"/>
        </w:rPr>
      </w:pPr>
    </w:p>
    <w:p w14:paraId="37988812" w14:textId="77777777" w:rsidR="007963F8" w:rsidRDefault="008714EA">
      <w:pPr>
        <w:tabs>
          <w:tab w:val="left" w:pos="567"/>
        </w:tabs>
        <w:rPr>
          <w:szCs w:val="22"/>
        </w:rPr>
      </w:pPr>
      <w:r>
        <w:rPr>
          <w:szCs w:val="22"/>
        </w:rPr>
        <w:t>Amennyiben az AIIRA hatása a terhesség második trimeszterében lépett fel, a veseműködés és a koponyacsont ultrahangos vizsgálata ajánlott.</w:t>
      </w:r>
    </w:p>
    <w:p w14:paraId="71A8F37A" w14:textId="77777777" w:rsidR="007963F8" w:rsidRDefault="007963F8">
      <w:pPr>
        <w:tabs>
          <w:tab w:val="left" w:pos="567"/>
        </w:tabs>
        <w:rPr>
          <w:szCs w:val="22"/>
        </w:rPr>
      </w:pPr>
    </w:p>
    <w:p w14:paraId="79918075" w14:textId="77777777" w:rsidR="007963F8" w:rsidRDefault="008714EA">
      <w:pPr>
        <w:tabs>
          <w:tab w:val="left" w:pos="567"/>
        </w:tabs>
        <w:rPr>
          <w:szCs w:val="22"/>
        </w:rPr>
      </w:pPr>
      <w:r>
        <w:rPr>
          <w:szCs w:val="22"/>
        </w:rPr>
        <w:lastRenderedPageBreak/>
        <w:t>Azoknál az újszülötteknél, akiknek anyja AIIRA-t szedett, szorosan figyelemmel kell kísérni, hogy előfordul-e hypotonia (lásd 4.3 és 4.4 pont).</w:t>
      </w:r>
    </w:p>
    <w:p w14:paraId="5DFA137F" w14:textId="77777777" w:rsidR="007963F8" w:rsidRDefault="007963F8">
      <w:pPr>
        <w:widowControl w:val="0"/>
        <w:rPr>
          <w:szCs w:val="22"/>
          <w:lang w:val="hu-HU" w:eastAsia="en-US"/>
        </w:rPr>
      </w:pPr>
    </w:p>
    <w:p w14:paraId="5DCAC6E0" w14:textId="77777777" w:rsidR="007963F8" w:rsidRDefault="008714EA">
      <w:pPr>
        <w:tabs>
          <w:tab w:val="left" w:pos="567"/>
        </w:tabs>
        <w:rPr>
          <w:szCs w:val="22"/>
          <w:u w:val="single"/>
          <w:lang w:val="hu-HU"/>
        </w:rPr>
      </w:pPr>
      <w:r>
        <w:rPr>
          <w:szCs w:val="22"/>
          <w:u w:val="single"/>
          <w:lang w:val="hu-HU"/>
        </w:rPr>
        <w:t>Szoptatás</w:t>
      </w:r>
    </w:p>
    <w:p w14:paraId="473C741D" w14:textId="279B8431" w:rsidR="007963F8" w:rsidRDefault="00880171">
      <w:pPr>
        <w:rPr>
          <w:szCs w:val="22"/>
        </w:rPr>
      </w:pPr>
      <w:r w:rsidRPr="0094542B">
        <w:rPr>
          <w:szCs w:val="22"/>
          <w:lang w:val="hu-HU" w:eastAsia="en-US"/>
        </w:rPr>
        <w:t xml:space="preserve">A </w:t>
      </w:r>
      <w:proofErr w:type="spellStart"/>
      <w:r>
        <w:rPr>
          <w:spacing w:val="-2"/>
          <w:szCs w:val="22"/>
          <w:lang w:val="hu-HU"/>
        </w:rPr>
        <w:t>Ravalsyo</w:t>
      </w:r>
      <w:proofErr w:type="spellEnd"/>
      <w:r>
        <w:rPr>
          <w:spacing w:val="-2"/>
          <w:szCs w:val="22"/>
          <w:lang w:val="hu-HU"/>
        </w:rPr>
        <w:t xml:space="preserve"> </w:t>
      </w:r>
      <w:r w:rsidRPr="0094542B">
        <w:rPr>
          <w:szCs w:val="22"/>
          <w:lang w:val="hu-HU" w:eastAsia="en-US"/>
        </w:rPr>
        <w:t xml:space="preserve">filmtabletta ellenjavallt a szoptatás alatt. </w:t>
      </w:r>
      <w:r>
        <w:rPr>
          <w:szCs w:val="22"/>
          <w:lang w:val="hu-HU" w:eastAsia="en-US"/>
        </w:rPr>
        <w:t xml:space="preserve">A rendelkezésre álló korlátozott adatok alapján a </w:t>
      </w:r>
      <w:proofErr w:type="spellStart"/>
      <w:r>
        <w:rPr>
          <w:szCs w:val="22"/>
          <w:lang w:val="hu-HU" w:eastAsia="en-US"/>
        </w:rPr>
        <w:t>rozuvasztatin</w:t>
      </w:r>
      <w:proofErr w:type="spellEnd"/>
      <w:r>
        <w:rPr>
          <w:szCs w:val="22"/>
          <w:lang w:val="hu-HU" w:eastAsia="en-US"/>
        </w:rPr>
        <w:t xml:space="preserve"> jelen van az anyatejben. </w:t>
      </w:r>
      <w:r w:rsidR="008714EA">
        <w:rPr>
          <w:szCs w:val="22"/>
        </w:rPr>
        <w:t xml:space="preserve">A rozuvasztatin patkányokban kiválasztódik az anyatejbe. </w:t>
      </w:r>
      <w:r w:rsidR="00775E6F">
        <w:rPr>
          <w:szCs w:val="22"/>
          <w:lang w:val="hu-HU"/>
        </w:rPr>
        <w:t xml:space="preserve">A </w:t>
      </w:r>
      <w:proofErr w:type="spellStart"/>
      <w:r w:rsidR="00775E6F">
        <w:rPr>
          <w:szCs w:val="22"/>
          <w:lang w:val="hu-HU"/>
        </w:rPr>
        <w:t>rozuvasztatin</w:t>
      </w:r>
      <w:proofErr w:type="spellEnd"/>
      <w:r w:rsidR="00775E6F">
        <w:rPr>
          <w:szCs w:val="22"/>
          <w:lang w:val="hu-HU"/>
        </w:rPr>
        <w:t xml:space="preserve"> hatásmechanizmusa miatt fennáll a mellékhatás kockázata a csecsemőnél.</w:t>
      </w:r>
    </w:p>
    <w:p w14:paraId="753F5639" w14:textId="142B0473" w:rsidR="007963F8" w:rsidRDefault="007963F8" w:rsidP="008714EA">
      <w:pPr>
        <w:widowControl w:val="0"/>
        <w:tabs>
          <w:tab w:val="left" w:pos="5268"/>
        </w:tabs>
        <w:rPr>
          <w:szCs w:val="22"/>
          <w:lang w:val="hu-HU" w:eastAsia="en-US"/>
        </w:rPr>
      </w:pPr>
    </w:p>
    <w:p w14:paraId="19DBB2CF" w14:textId="7C01F113" w:rsidR="007963F8" w:rsidRDefault="00C54B9C">
      <w:pPr>
        <w:tabs>
          <w:tab w:val="left" w:pos="567"/>
        </w:tabs>
        <w:rPr>
          <w:szCs w:val="22"/>
        </w:rPr>
      </w:pPr>
      <w:r>
        <w:rPr>
          <w:szCs w:val="22"/>
        </w:rPr>
        <w:t>Korlátozott mennyiségú adat arra utal, hogy a valszartán nem választódik ki az anyatejbe. Mindazonáltal,</w:t>
      </w:r>
      <w:r w:rsidR="008714EA">
        <w:rPr>
          <w:szCs w:val="22"/>
        </w:rPr>
        <w:t xml:space="preserve"> a valzartán alkalmazása nem ajánlott, és olyan alternatív kezelést kell előnyben részesíteni a szoptatás ideje alatt, amely biztonságossági profilja jobban ismert, különösen az újszülöttek vagy koraszülöttek esetében.</w:t>
      </w:r>
    </w:p>
    <w:p w14:paraId="1C676A78" w14:textId="77777777" w:rsidR="007963F8" w:rsidRDefault="007963F8">
      <w:pPr>
        <w:widowControl w:val="0"/>
        <w:rPr>
          <w:szCs w:val="22"/>
          <w:lang w:val="hu-HU" w:eastAsia="en-US"/>
        </w:rPr>
      </w:pPr>
    </w:p>
    <w:p w14:paraId="466C4B12" w14:textId="77777777" w:rsidR="007963F8" w:rsidRDefault="008714EA" w:rsidP="008714EA">
      <w:pPr>
        <w:keepNext/>
        <w:ind w:left="567" w:hanging="567"/>
        <w:outlineLvl w:val="0"/>
        <w:rPr>
          <w:iCs/>
          <w:szCs w:val="22"/>
          <w:u w:val="single"/>
          <w:lang w:val="hu-HU"/>
        </w:rPr>
      </w:pPr>
      <w:r>
        <w:rPr>
          <w:iCs/>
          <w:szCs w:val="22"/>
          <w:u w:val="single"/>
          <w:lang w:val="hu-HU"/>
        </w:rPr>
        <w:t>Termékenység</w:t>
      </w:r>
    </w:p>
    <w:p w14:paraId="4388C456" w14:textId="77777777" w:rsidR="007963F8" w:rsidRDefault="008714EA">
      <w:pPr>
        <w:outlineLvl w:val="0"/>
        <w:rPr>
          <w:szCs w:val="22"/>
        </w:rPr>
      </w:pPr>
      <w:r>
        <w:rPr>
          <w:szCs w:val="22"/>
        </w:rPr>
        <w:t>A valzartánnak hím és nőstény patkányok esetén 200 mg/kg/nap</w:t>
      </w:r>
      <w:r>
        <w:rPr>
          <w:szCs w:val="22"/>
        </w:rPr>
        <w:noBreakHyphen/>
        <w:t xml:space="preserve">os </w:t>
      </w:r>
      <w:r>
        <w:rPr>
          <w:i/>
          <w:szCs w:val="22"/>
        </w:rPr>
        <w:t>per os</w:t>
      </w:r>
      <w:r>
        <w:rPr>
          <w:szCs w:val="22"/>
        </w:rPr>
        <w:t xml:space="preserve"> dózisig nincs a reproduktív teljesítményre gyakorolt mellékhatása. Ez a dózis a mg/m</w:t>
      </w:r>
      <w:r>
        <w:rPr>
          <w:szCs w:val="22"/>
          <w:vertAlign w:val="superscript"/>
        </w:rPr>
        <w:t>2</w:t>
      </w:r>
      <w:r>
        <w:rPr>
          <w:szCs w:val="22"/>
        </w:rPr>
        <w:t xml:space="preserve"> alapon számított maximális javasolt humán dózis 6</w:t>
      </w:r>
      <w:r>
        <w:rPr>
          <w:szCs w:val="22"/>
        </w:rPr>
        <w:noBreakHyphen/>
        <w:t>szorosa (a számítások napi 320 mg</w:t>
      </w:r>
      <w:r>
        <w:rPr>
          <w:szCs w:val="22"/>
        </w:rPr>
        <w:noBreakHyphen/>
        <w:t xml:space="preserve">os </w:t>
      </w:r>
      <w:r>
        <w:rPr>
          <w:i/>
          <w:szCs w:val="22"/>
        </w:rPr>
        <w:t>per os</w:t>
      </w:r>
      <w:r>
        <w:rPr>
          <w:szCs w:val="22"/>
        </w:rPr>
        <w:t xml:space="preserve"> dózist és egy 60 kg</w:t>
      </w:r>
      <w:r>
        <w:rPr>
          <w:szCs w:val="22"/>
        </w:rPr>
        <w:noBreakHyphen/>
        <w:t>os beteget feltételeznek).</w:t>
      </w:r>
    </w:p>
    <w:p w14:paraId="70E0E610" w14:textId="77777777" w:rsidR="007963F8" w:rsidRDefault="007963F8">
      <w:pPr>
        <w:outlineLvl w:val="0"/>
        <w:rPr>
          <w:szCs w:val="22"/>
          <w:lang w:val="hu-HU"/>
        </w:rPr>
      </w:pPr>
    </w:p>
    <w:p w14:paraId="7EE6F74F" w14:textId="77777777" w:rsidR="007963F8" w:rsidRDefault="008714EA">
      <w:pPr>
        <w:keepNext/>
        <w:tabs>
          <w:tab w:val="left" w:pos="567"/>
        </w:tabs>
        <w:ind w:left="567" w:hanging="567"/>
        <w:rPr>
          <w:b/>
          <w:bCs/>
          <w:szCs w:val="22"/>
          <w:lang w:val="hu-HU"/>
        </w:rPr>
      </w:pPr>
      <w:r>
        <w:rPr>
          <w:b/>
          <w:bCs/>
          <w:szCs w:val="22"/>
          <w:lang w:val="hu-HU"/>
        </w:rPr>
        <w:t>4.7</w:t>
      </w:r>
      <w:r>
        <w:rPr>
          <w:b/>
          <w:bCs/>
          <w:szCs w:val="22"/>
          <w:lang w:val="hu-HU"/>
        </w:rPr>
        <w:tab/>
        <w:t>A készítmény hatásai a gépjárművezetéshez és a gépek kezeléséhez szükséges képességekre</w:t>
      </w:r>
    </w:p>
    <w:p w14:paraId="7DAA8982" w14:textId="77777777" w:rsidR="007963F8" w:rsidRDefault="007963F8">
      <w:pPr>
        <w:keepNext/>
        <w:tabs>
          <w:tab w:val="left" w:pos="567"/>
        </w:tabs>
        <w:rPr>
          <w:szCs w:val="22"/>
          <w:lang w:val="hu-HU"/>
        </w:rPr>
      </w:pPr>
    </w:p>
    <w:p w14:paraId="126A2B27" w14:textId="77777777" w:rsidR="007963F8" w:rsidRDefault="008714EA">
      <w:pPr>
        <w:tabs>
          <w:tab w:val="left" w:pos="567"/>
        </w:tabs>
        <w:rPr>
          <w:szCs w:val="22"/>
          <w:lang w:val="hu-HU"/>
        </w:rPr>
      </w:pPr>
      <w:r>
        <w:rPr>
          <w:spacing w:val="-2"/>
          <w:szCs w:val="22"/>
          <w:lang w:val="hu-HU"/>
        </w:rPr>
        <w:t xml:space="preserve">A </w:t>
      </w:r>
      <w:proofErr w:type="spellStart"/>
      <w:r>
        <w:rPr>
          <w:spacing w:val="-2"/>
          <w:szCs w:val="22"/>
          <w:lang w:val="hu-HU"/>
        </w:rPr>
        <w:t>Ravalsyo</w:t>
      </w:r>
      <w:proofErr w:type="spellEnd"/>
      <w:r>
        <w:rPr>
          <w:spacing w:val="-2"/>
          <w:szCs w:val="22"/>
          <w:lang w:val="hu-HU"/>
        </w:rPr>
        <w:t xml:space="preserve"> gépjárművezetéshez szükséges képességeket befolyásoló hatásait nem vizsgálták.</w:t>
      </w:r>
      <w:r>
        <w:rPr>
          <w:szCs w:val="22"/>
          <w:lang w:val="hu-HU"/>
        </w:rPr>
        <w:t xml:space="preserve"> Gépjárművezetés vagy gépek kezelése során szem előtt kell tartani, hogy esetenként szédülés vagy fáradtság jelentkezhet a kezelés során.</w:t>
      </w:r>
    </w:p>
    <w:p w14:paraId="0E063271" w14:textId="77777777" w:rsidR="007963F8" w:rsidRDefault="007963F8">
      <w:pPr>
        <w:tabs>
          <w:tab w:val="left" w:pos="567"/>
        </w:tabs>
        <w:rPr>
          <w:szCs w:val="22"/>
          <w:lang w:val="hu-HU"/>
        </w:rPr>
      </w:pPr>
    </w:p>
    <w:p w14:paraId="1EC9C02A" w14:textId="77777777" w:rsidR="007963F8" w:rsidRDefault="008714EA">
      <w:pPr>
        <w:keepNext/>
        <w:tabs>
          <w:tab w:val="left" w:pos="567"/>
        </w:tabs>
        <w:ind w:left="567" w:hanging="567"/>
        <w:rPr>
          <w:i/>
          <w:szCs w:val="22"/>
          <w:lang w:val="hu-HU"/>
        </w:rPr>
      </w:pPr>
      <w:r>
        <w:rPr>
          <w:b/>
          <w:szCs w:val="22"/>
          <w:lang w:val="hu-HU"/>
        </w:rPr>
        <w:t>4.8</w:t>
      </w:r>
      <w:r>
        <w:rPr>
          <w:b/>
          <w:szCs w:val="22"/>
          <w:lang w:val="hu-HU"/>
        </w:rPr>
        <w:tab/>
        <w:t>Nemkívánatos hatások, mellékhatások</w:t>
      </w:r>
    </w:p>
    <w:p w14:paraId="3CDDDE0E" w14:textId="77777777" w:rsidR="007963F8" w:rsidRDefault="007963F8">
      <w:pPr>
        <w:tabs>
          <w:tab w:val="left" w:pos="567"/>
        </w:tabs>
        <w:rPr>
          <w:szCs w:val="22"/>
          <w:lang w:val="hu-HU"/>
        </w:rPr>
      </w:pPr>
    </w:p>
    <w:p w14:paraId="269C8DEA" w14:textId="77777777" w:rsidR="007963F8" w:rsidRDefault="008714EA">
      <w:pPr>
        <w:outlineLvl w:val="0"/>
        <w:rPr>
          <w:szCs w:val="22"/>
          <w:u w:val="single"/>
          <w:lang w:val="hu-HU"/>
        </w:rPr>
      </w:pPr>
      <w:r>
        <w:rPr>
          <w:szCs w:val="22"/>
          <w:u w:val="single"/>
          <w:lang w:val="hu-HU"/>
        </w:rPr>
        <w:t>A biztonságossági jellemzők összefoglalása</w:t>
      </w:r>
    </w:p>
    <w:p w14:paraId="5EFD00C7" w14:textId="77777777" w:rsidR="007963F8" w:rsidRDefault="008714EA">
      <w:pPr>
        <w:rPr>
          <w:szCs w:val="22"/>
        </w:rPr>
      </w:pPr>
      <w:r>
        <w:rPr>
          <w:szCs w:val="22"/>
        </w:rPr>
        <w:t>A rozuvasztatin alkalmazásakor tapasztalt mellékhatások rendszerint enyhék és átmenetiek. Ellenőrzött klinikai vizsgálatokban, a rozuvasztatinnal kezelt betegek közül mellékhatások miatt a betegek kevesebb, mint 4%-át kellett kivonni a vizsgálatokból.</w:t>
      </w:r>
    </w:p>
    <w:p w14:paraId="2B13CA08" w14:textId="77777777" w:rsidR="007963F8" w:rsidRDefault="007963F8">
      <w:pPr>
        <w:widowControl w:val="0"/>
        <w:rPr>
          <w:szCs w:val="22"/>
          <w:lang w:val="hu-HU" w:eastAsia="en-US"/>
        </w:rPr>
      </w:pPr>
    </w:p>
    <w:p w14:paraId="313A526C" w14:textId="77777777" w:rsidR="007963F8" w:rsidRDefault="008714EA">
      <w:pPr>
        <w:tabs>
          <w:tab w:val="left" w:pos="567"/>
        </w:tabs>
        <w:ind w:right="30"/>
        <w:rPr>
          <w:szCs w:val="22"/>
        </w:rPr>
      </w:pPr>
      <w:r>
        <w:rPr>
          <w:szCs w:val="22"/>
        </w:rPr>
        <w:t>A hypertoniában szenvedő felnőtt betegek körében végzett kontrollos klinikai vizsgálatokban a mellékhatások összesített incidenciája megegyezett a placebóval kezelt betegekével, és összhangban van a valzartán farmakológiai tulajdonságaival. Egyik mellékhatás incidenciája sem mutatott összefüggést a dózissal vagy a kezelés időtartamával, illetve a nemmel, korral vagy rasszal sem.</w:t>
      </w:r>
    </w:p>
    <w:p w14:paraId="2578D7F2" w14:textId="77777777" w:rsidR="007963F8" w:rsidRDefault="007963F8">
      <w:pPr>
        <w:widowControl w:val="0"/>
        <w:rPr>
          <w:szCs w:val="22"/>
          <w:lang w:val="hu-HU" w:eastAsia="en-US"/>
        </w:rPr>
      </w:pPr>
    </w:p>
    <w:p w14:paraId="2801292B" w14:textId="77777777" w:rsidR="007963F8" w:rsidRDefault="008714EA">
      <w:pPr>
        <w:pStyle w:val="Normal1"/>
        <w:rPr>
          <w:color w:val="auto"/>
          <w:sz w:val="22"/>
          <w:szCs w:val="22"/>
          <w:u w:val="single"/>
          <w:lang w:val="hu-HU"/>
        </w:rPr>
      </w:pPr>
      <w:r>
        <w:rPr>
          <w:color w:val="auto"/>
          <w:sz w:val="22"/>
          <w:szCs w:val="22"/>
          <w:u w:val="single"/>
          <w:lang w:val="hu-HU"/>
        </w:rPr>
        <w:t>A mellékhatások táblázatos felsorolása</w:t>
      </w:r>
    </w:p>
    <w:p w14:paraId="4F9530AF" w14:textId="77777777" w:rsidR="007963F8" w:rsidRDefault="008714EA">
      <w:pPr>
        <w:pStyle w:val="Normal1"/>
        <w:rPr>
          <w:color w:val="auto"/>
          <w:sz w:val="22"/>
          <w:szCs w:val="22"/>
          <w:lang w:val="hu-HU"/>
        </w:rPr>
      </w:pPr>
      <w:r>
        <w:rPr>
          <w:color w:val="auto"/>
          <w:sz w:val="22"/>
          <w:szCs w:val="22"/>
          <w:lang w:val="hu-HU"/>
        </w:rPr>
        <w:t xml:space="preserve">A klinikai vizsgálatok és a forgalomba hozatalt követően gyűjtött, kiterjedt tapasztalatok alapján, a következő táblázat a </w:t>
      </w:r>
      <w:proofErr w:type="spellStart"/>
      <w:r>
        <w:rPr>
          <w:color w:val="auto"/>
          <w:sz w:val="22"/>
          <w:szCs w:val="22"/>
          <w:lang w:val="hu-HU"/>
        </w:rPr>
        <w:t>rozuvasztatin</w:t>
      </w:r>
      <w:proofErr w:type="spellEnd"/>
      <w:r>
        <w:rPr>
          <w:color w:val="auto"/>
          <w:sz w:val="22"/>
          <w:szCs w:val="22"/>
          <w:lang w:val="hu-HU"/>
        </w:rPr>
        <w:t xml:space="preserve"> mellékhatás-profilját mutatja be. Az alábbiakban felsorolt mellékhatásokat gyakoriság és szervrendszer-kategóriák (SOC) szerint csoportosították.</w:t>
      </w:r>
    </w:p>
    <w:p w14:paraId="29799027" w14:textId="77777777" w:rsidR="007963F8" w:rsidRDefault="008714EA">
      <w:pPr>
        <w:numPr>
          <w:ilvl w:val="0"/>
          <w:numId w:val="9"/>
        </w:numPr>
        <w:suppressAutoHyphens/>
        <w:ind w:left="567" w:hanging="567"/>
        <w:rPr>
          <w:szCs w:val="22"/>
          <w:lang w:val="hu-HU"/>
        </w:rPr>
      </w:pPr>
      <w:r>
        <w:rPr>
          <w:szCs w:val="22"/>
          <w:lang w:val="hu-HU"/>
        </w:rPr>
        <w:t>Nagyon gyakori: (</w:t>
      </w:r>
      <w:r>
        <w:rPr>
          <w:bCs/>
          <w:i/>
          <w:iCs/>
          <w:szCs w:val="22"/>
          <w:lang w:val="hu-HU"/>
        </w:rPr>
        <w:t>≥ </w:t>
      </w:r>
      <w:r>
        <w:rPr>
          <w:szCs w:val="22"/>
          <w:lang w:val="hu-HU"/>
        </w:rPr>
        <w:t>1/10)</w:t>
      </w:r>
    </w:p>
    <w:p w14:paraId="379BF532" w14:textId="77777777" w:rsidR="007963F8" w:rsidRDefault="008714EA">
      <w:pPr>
        <w:numPr>
          <w:ilvl w:val="0"/>
          <w:numId w:val="9"/>
        </w:numPr>
        <w:suppressAutoHyphens/>
        <w:ind w:left="567" w:hanging="567"/>
        <w:rPr>
          <w:szCs w:val="22"/>
          <w:lang w:val="hu-HU"/>
        </w:rPr>
      </w:pPr>
      <w:r>
        <w:rPr>
          <w:szCs w:val="22"/>
          <w:lang w:val="hu-HU"/>
        </w:rPr>
        <w:t>Gyakori: (</w:t>
      </w:r>
      <w:r>
        <w:rPr>
          <w:bCs/>
          <w:i/>
          <w:iCs/>
          <w:szCs w:val="22"/>
          <w:lang w:val="hu-HU"/>
        </w:rPr>
        <w:t>≥ </w:t>
      </w:r>
      <w:r>
        <w:rPr>
          <w:szCs w:val="22"/>
          <w:lang w:val="hu-HU"/>
        </w:rPr>
        <w:t>1/100 - &lt; 1/10)</w:t>
      </w:r>
    </w:p>
    <w:p w14:paraId="751A4E83" w14:textId="77777777" w:rsidR="007963F8" w:rsidRDefault="008714EA">
      <w:pPr>
        <w:numPr>
          <w:ilvl w:val="0"/>
          <w:numId w:val="9"/>
        </w:numPr>
        <w:suppressAutoHyphens/>
        <w:ind w:left="567" w:hanging="567"/>
        <w:rPr>
          <w:szCs w:val="22"/>
          <w:lang w:val="hu-HU"/>
        </w:rPr>
      </w:pPr>
      <w:r>
        <w:rPr>
          <w:szCs w:val="22"/>
          <w:lang w:val="hu-HU"/>
        </w:rPr>
        <w:t>Nem gyakori: (</w:t>
      </w:r>
      <w:r>
        <w:rPr>
          <w:bCs/>
          <w:i/>
          <w:iCs/>
          <w:szCs w:val="22"/>
          <w:lang w:val="hu-HU"/>
        </w:rPr>
        <w:t>≥ </w:t>
      </w:r>
      <w:r>
        <w:rPr>
          <w:szCs w:val="22"/>
          <w:lang w:val="hu-HU"/>
        </w:rPr>
        <w:t>1/1 000 - &lt; 1/100)</w:t>
      </w:r>
    </w:p>
    <w:p w14:paraId="0D42DF25" w14:textId="77777777" w:rsidR="007963F8" w:rsidRDefault="008714EA">
      <w:pPr>
        <w:numPr>
          <w:ilvl w:val="0"/>
          <w:numId w:val="9"/>
        </w:numPr>
        <w:suppressAutoHyphens/>
        <w:ind w:left="567" w:hanging="567"/>
        <w:rPr>
          <w:szCs w:val="22"/>
          <w:lang w:val="hu-HU"/>
        </w:rPr>
      </w:pPr>
      <w:r>
        <w:rPr>
          <w:szCs w:val="22"/>
          <w:lang w:val="hu-HU"/>
        </w:rPr>
        <w:t>Ritka: (</w:t>
      </w:r>
      <w:r>
        <w:rPr>
          <w:bCs/>
          <w:i/>
          <w:iCs/>
          <w:szCs w:val="22"/>
          <w:lang w:val="hu-HU"/>
        </w:rPr>
        <w:t>≥ </w:t>
      </w:r>
      <w:r>
        <w:rPr>
          <w:szCs w:val="22"/>
          <w:lang w:val="hu-HU"/>
        </w:rPr>
        <w:t>1/10 000 - &lt; 1/1 000)</w:t>
      </w:r>
    </w:p>
    <w:p w14:paraId="5977431D" w14:textId="77777777" w:rsidR="007963F8" w:rsidRDefault="008714EA">
      <w:pPr>
        <w:numPr>
          <w:ilvl w:val="0"/>
          <w:numId w:val="9"/>
        </w:numPr>
        <w:suppressAutoHyphens/>
        <w:ind w:left="567" w:hanging="567"/>
        <w:rPr>
          <w:szCs w:val="22"/>
          <w:lang w:val="hu-HU"/>
        </w:rPr>
      </w:pPr>
      <w:r>
        <w:rPr>
          <w:szCs w:val="22"/>
          <w:lang w:val="hu-HU"/>
        </w:rPr>
        <w:t>Nagyon ritka: (&lt; 1/10 000)</w:t>
      </w:r>
    </w:p>
    <w:p w14:paraId="4F56A3F9" w14:textId="77777777" w:rsidR="007963F8" w:rsidRDefault="008714EA">
      <w:pPr>
        <w:numPr>
          <w:ilvl w:val="0"/>
          <w:numId w:val="9"/>
        </w:numPr>
        <w:suppressAutoHyphens/>
        <w:ind w:left="567" w:hanging="567"/>
        <w:rPr>
          <w:szCs w:val="22"/>
          <w:u w:val="single"/>
          <w:lang w:val="hu-HU"/>
        </w:rPr>
      </w:pPr>
      <w:r>
        <w:rPr>
          <w:szCs w:val="22"/>
          <w:lang w:val="hu-HU"/>
        </w:rPr>
        <w:t>Nem ismert (a rendelkezésre álló adatokból nem állapítható meg)</w:t>
      </w:r>
    </w:p>
    <w:p w14:paraId="49DD6BA3" w14:textId="77777777" w:rsidR="007963F8" w:rsidRDefault="007963F8">
      <w:pPr>
        <w:widowControl w:val="0"/>
        <w:rPr>
          <w:szCs w:val="22"/>
          <w:lang w:val="hu-HU" w:eastAsia="en-US"/>
        </w:rPr>
      </w:pPr>
    </w:p>
    <w:p w14:paraId="4E77206F" w14:textId="77777777" w:rsidR="007963F8" w:rsidRDefault="008714EA">
      <w:pPr>
        <w:widowControl w:val="0"/>
        <w:rPr>
          <w:szCs w:val="22"/>
          <w:lang w:val="hu-HU" w:eastAsia="en-US"/>
        </w:rPr>
      </w:pPr>
      <w:r>
        <w:rPr>
          <w:szCs w:val="22"/>
          <w:lang w:val="hu-HU" w:eastAsia="en-US"/>
        </w:rPr>
        <w:t>A klinikai vizsgálatokból, a forgalomba hozatalt követően szerzett tapasztalatok, valamint a laboratóriumi leletek alapján bejelentett mellékhatásokat az alábbiakban szervrendszer-osztályonként soroljuk fel.</w:t>
      </w:r>
    </w:p>
    <w:p w14:paraId="4B242275" w14:textId="77777777" w:rsidR="007963F8" w:rsidRDefault="007963F8">
      <w:pPr>
        <w:widowControl w:val="0"/>
        <w:rPr>
          <w:szCs w:val="22"/>
          <w:lang w:val="hu-HU" w:eastAsia="en-US"/>
        </w:rPr>
      </w:pPr>
    </w:p>
    <w:tbl>
      <w:tblPr>
        <w:tblW w:w="91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3068"/>
        <w:gridCol w:w="3118"/>
        <w:gridCol w:w="1560"/>
        <w:gridCol w:w="1445"/>
      </w:tblGrid>
      <w:tr w:rsidR="007963F8" w14:paraId="372ADDFC" w14:textId="77777777">
        <w:trPr>
          <w:cantSplit/>
          <w:tblHeader/>
        </w:trPr>
        <w:tc>
          <w:tcPr>
            <w:tcW w:w="3068" w:type="dxa"/>
            <w:vMerge w:val="restart"/>
            <w:shd w:val="clear" w:color="auto" w:fill="auto"/>
            <w:vAlign w:val="center"/>
          </w:tcPr>
          <w:p w14:paraId="444ABE11" w14:textId="77777777" w:rsidR="007963F8" w:rsidRDefault="008714EA">
            <w:pPr>
              <w:keepNext/>
              <w:widowControl w:val="0"/>
              <w:tabs>
                <w:tab w:val="left" w:pos="567"/>
              </w:tabs>
              <w:rPr>
                <w:b/>
                <w:szCs w:val="22"/>
                <w:lang w:val="hu-HU" w:eastAsia="en-US"/>
              </w:rPr>
            </w:pPr>
            <w:proofErr w:type="spellStart"/>
            <w:r>
              <w:rPr>
                <w:b/>
                <w:szCs w:val="22"/>
                <w:lang w:val="hu-HU" w:eastAsia="en-US"/>
              </w:rPr>
              <w:lastRenderedPageBreak/>
              <w:t>MedDRA</w:t>
            </w:r>
            <w:proofErr w:type="spellEnd"/>
            <w:r>
              <w:rPr>
                <w:b/>
                <w:szCs w:val="22"/>
                <w:lang w:val="hu-HU" w:eastAsia="en-US"/>
              </w:rPr>
              <w:t xml:space="preserve"> </w:t>
            </w:r>
            <w:r>
              <w:rPr>
                <w:b/>
                <w:bCs/>
              </w:rPr>
              <w:t>szervrendszeri kategóriák</w:t>
            </w:r>
          </w:p>
        </w:tc>
        <w:tc>
          <w:tcPr>
            <w:tcW w:w="3118" w:type="dxa"/>
            <w:vMerge w:val="restart"/>
            <w:shd w:val="clear" w:color="auto" w:fill="auto"/>
            <w:vAlign w:val="center"/>
          </w:tcPr>
          <w:p w14:paraId="026A6AAC" w14:textId="77777777" w:rsidR="007963F8" w:rsidRDefault="008714EA">
            <w:pPr>
              <w:keepNext/>
              <w:widowControl w:val="0"/>
              <w:tabs>
                <w:tab w:val="left" w:pos="567"/>
              </w:tabs>
              <w:rPr>
                <w:b/>
                <w:szCs w:val="22"/>
                <w:lang w:val="hu-HU" w:eastAsia="en-US"/>
              </w:rPr>
            </w:pPr>
            <w:r>
              <w:rPr>
                <w:b/>
                <w:szCs w:val="22"/>
                <w:lang w:val="hu-HU" w:eastAsia="en-US"/>
              </w:rPr>
              <w:t>Mellékhatás</w:t>
            </w:r>
          </w:p>
        </w:tc>
        <w:tc>
          <w:tcPr>
            <w:tcW w:w="3005" w:type="dxa"/>
            <w:gridSpan w:val="2"/>
            <w:shd w:val="clear" w:color="auto" w:fill="auto"/>
            <w:vAlign w:val="center"/>
          </w:tcPr>
          <w:p w14:paraId="478AE974" w14:textId="77777777" w:rsidR="007963F8" w:rsidRDefault="008714EA">
            <w:pPr>
              <w:keepNext/>
              <w:widowControl w:val="0"/>
              <w:ind w:right="-57"/>
              <w:jc w:val="center"/>
              <w:rPr>
                <w:b/>
                <w:szCs w:val="22"/>
                <w:lang w:val="hu-HU" w:eastAsia="en-US"/>
              </w:rPr>
            </w:pPr>
            <w:r>
              <w:rPr>
                <w:b/>
                <w:szCs w:val="22"/>
                <w:lang w:val="hu-HU" w:eastAsia="en-US"/>
              </w:rPr>
              <w:t xml:space="preserve">Gyakoriság </w:t>
            </w:r>
          </w:p>
        </w:tc>
      </w:tr>
      <w:tr w:rsidR="007963F8" w14:paraId="393ADBB3" w14:textId="77777777">
        <w:trPr>
          <w:cantSplit/>
          <w:tblHeader/>
        </w:trPr>
        <w:tc>
          <w:tcPr>
            <w:tcW w:w="3068" w:type="dxa"/>
            <w:vMerge/>
            <w:shd w:val="clear" w:color="auto" w:fill="auto"/>
          </w:tcPr>
          <w:p w14:paraId="0292EB09" w14:textId="77777777" w:rsidR="007963F8" w:rsidRDefault="007963F8">
            <w:pPr>
              <w:keepNext/>
              <w:widowControl w:val="0"/>
              <w:tabs>
                <w:tab w:val="left" w:pos="567"/>
              </w:tabs>
              <w:rPr>
                <w:b/>
                <w:szCs w:val="22"/>
                <w:lang w:val="hu-HU" w:eastAsia="en-US"/>
              </w:rPr>
            </w:pPr>
          </w:p>
        </w:tc>
        <w:tc>
          <w:tcPr>
            <w:tcW w:w="3118" w:type="dxa"/>
            <w:vMerge/>
            <w:shd w:val="clear" w:color="auto" w:fill="auto"/>
            <w:vAlign w:val="center"/>
          </w:tcPr>
          <w:p w14:paraId="594F6D9E" w14:textId="77777777" w:rsidR="007963F8" w:rsidRDefault="007963F8">
            <w:pPr>
              <w:keepNext/>
              <w:widowControl w:val="0"/>
              <w:tabs>
                <w:tab w:val="left" w:pos="567"/>
              </w:tabs>
              <w:rPr>
                <w:b/>
                <w:szCs w:val="22"/>
                <w:lang w:val="hu-HU" w:eastAsia="en-US"/>
              </w:rPr>
            </w:pPr>
          </w:p>
        </w:tc>
        <w:tc>
          <w:tcPr>
            <w:tcW w:w="1560" w:type="dxa"/>
            <w:shd w:val="clear" w:color="auto" w:fill="auto"/>
            <w:vAlign w:val="center"/>
          </w:tcPr>
          <w:p w14:paraId="572D2CD4" w14:textId="77777777" w:rsidR="007963F8" w:rsidRDefault="008714EA">
            <w:pPr>
              <w:keepNext/>
              <w:widowControl w:val="0"/>
              <w:ind w:right="-57"/>
              <w:jc w:val="center"/>
              <w:rPr>
                <w:b/>
                <w:szCs w:val="22"/>
                <w:lang w:val="hu-HU" w:eastAsia="en-US"/>
              </w:rPr>
            </w:pPr>
            <w:proofErr w:type="spellStart"/>
            <w:r>
              <w:rPr>
                <w:b/>
                <w:szCs w:val="22"/>
                <w:lang w:val="hu-HU" w:eastAsia="en-US"/>
              </w:rPr>
              <w:t>Valzartán</w:t>
            </w:r>
            <w:proofErr w:type="spellEnd"/>
          </w:p>
        </w:tc>
        <w:tc>
          <w:tcPr>
            <w:tcW w:w="1445" w:type="dxa"/>
            <w:vAlign w:val="center"/>
          </w:tcPr>
          <w:p w14:paraId="7B1D971B" w14:textId="77777777" w:rsidR="007963F8" w:rsidRDefault="008714EA">
            <w:pPr>
              <w:keepNext/>
              <w:widowControl w:val="0"/>
              <w:ind w:right="-57"/>
              <w:jc w:val="center"/>
              <w:rPr>
                <w:b/>
                <w:szCs w:val="22"/>
                <w:lang w:val="hu-HU" w:eastAsia="en-US"/>
              </w:rPr>
            </w:pPr>
            <w:proofErr w:type="spellStart"/>
            <w:r>
              <w:rPr>
                <w:b/>
                <w:szCs w:val="22"/>
                <w:lang w:val="hu-HU" w:eastAsia="en-US"/>
              </w:rPr>
              <w:t>Rozuvasztatin</w:t>
            </w:r>
            <w:proofErr w:type="spellEnd"/>
          </w:p>
        </w:tc>
      </w:tr>
      <w:tr w:rsidR="007963F8" w14:paraId="2D428FE9" w14:textId="77777777">
        <w:trPr>
          <w:cantSplit/>
        </w:trPr>
        <w:tc>
          <w:tcPr>
            <w:tcW w:w="3068" w:type="dxa"/>
            <w:vMerge w:val="restart"/>
            <w:shd w:val="clear" w:color="auto" w:fill="auto"/>
          </w:tcPr>
          <w:p w14:paraId="220B234B" w14:textId="77777777" w:rsidR="007963F8" w:rsidRDefault="008714EA">
            <w:pPr>
              <w:keepNext/>
              <w:widowControl w:val="0"/>
              <w:rPr>
                <w:i/>
                <w:iCs/>
                <w:szCs w:val="22"/>
                <w:lang w:val="hu-HU"/>
              </w:rPr>
            </w:pPr>
            <w:r>
              <w:rPr>
                <w:bCs/>
                <w:i/>
                <w:szCs w:val="22"/>
                <w:lang w:val="hu-HU"/>
              </w:rPr>
              <w:t>Vérképzőszervi és nyirokrendszeri betegségek és tünetek</w:t>
            </w:r>
          </w:p>
        </w:tc>
        <w:tc>
          <w:tcPr>
            <w:tcW w:w="3118" w:type="dxa"/>
            <w:shd w:val="clear" w:color="auto" w:fill="auto"/>
            <w:vAlign w:val="center"/>
          </w:tcPr>
          <w:p w14:paraId="2055AFBE" w14:textId="77777777" w:rsidR="007963F8" w:rsidRDefault="008714EA">
            <w:pPr>
              <w:keepNext/>
              <w:widowControl w:val="0"/>
              <w:tabs>
                <w:tab w:val="left" w:pos="1315"/>
              </w:tabs>
              <w:rPr>
                <w:szCs w:val="22"/>
                <w:lang w:val="hu-HU" w:eastAsia="en-US"/>
              </w:rPr>
            </w:pPr>
            <w:proofErr w:type="spellStart"/>
            <w:r>
              <w:rPr>
                <w:szCs w:val="22"/>
                <w:lang w:val="hu-HU" w:eastAsia="en-US"/>
              </w:rPr>
              <w:t>Thrombocytopenia</w:t>
            </w:r>
            <w:proofErr w:type="spellEnd"/>
          </w:p>
        </w:tc>
        <w:tc>
          <w:tcPr>
            <w:tcW w:w="1560" w:type="dxa"/>
            <w:shd w:val="clear" w:color="auto" w:fill="auto"/>
            <w:vAlign w:val="center"/>
          </w:tcPr>
          <w:p w14:paraId="1243C80B" w14:textId="77777777" w:rsidR="007963F8" w:rsidRDefault="008714EA">
            <w:pPr>
              <w:keepNext/>
              <w:widowControl w:val="0"/>
              <w:ind w:right="-57"/>
              <w:jc w:val="center"/>
              <w:rPr>
                <w:szCs w:val="22"/>
                <w:lang w:val="hu-HU" w:eastAsia="en-US"/>
              </w:rPr>
            </w:pPr>
            <w:r>
              <w:rPr>
                <w:szCs w:val="22"/>
                <w:lang w:val="hu-HU" w:eastAsia="en-US"/>
              </w:rPr>
              <w:t>Nem ismert</w:t>
            </w:r>
          </w:p>
        </w:tc>
        <w:tc>
          <w:tcPr>
            <w:tcW w:w="1445" w:type="dxa"/>
            <w:vAlign w:val="center"/>
          </w:tcPr>
          <w:p w14:paraId="4D5E146E" w14:textId="77777777" w:rsidR="007963F8" w:rsidRDefault="008714EA">
            <w:pPr>
              <w:keepNext/>
              <w:widowControl w:val="0"/>
              <w:ind w:right="-57"/>
              <w:jc w:val="center"/>
              <w:rPr>
                <w:szCs w:val="22"/>
                <w:lang w:val="hu-HU" w:eastAsia="en-US"/>
              </w:rPr>
            </w:pPr>
            <w:r>
              <w:rPr>
                <w:szCs w:val="22"/>
                <w:lang w:val="hu-HU" w:eastAsia="en-US"/>
              </w:rPr>
              <w:t>Ritka</w:t>
            </w:r>
          </w:p>
        </w:tc>
      </w:tr>
      <w:tr w:rsidR="007963F8" w14:paraId="5CDBADF9" w14:textId="77777777">
        <w:trPr>
          <w:cantSplit/>
        </w:trPr>
        <w:tc>
          <w:tcPr>
            <w:tcW w:w="3068" w:type="dxa"/>
            <w:vMerge/>
            <w:shd w:val="clear" w:color="auto" w:fill="auto"/>
          </w:tcPr>
          <w:p w14:paraId="6D97B037"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6F500E43" w14:textId="77777777" w:rsidR="007963F8" w:rsidRDefault="008714EA">
            <w:pPr>
              <w:widowControl w:val="0"/>
              <w:tabs>
                <w:tab w:val="left" w:pos="1315"/>
              </w:tabs>
              <w:rPr>
                <w:szCs w:val="22"/>
                <w:lang w:val="hu-HU" w:eastAsia="en-US"/>
              </w:rPr>
            </w:pPr>
            <w:r>
              <w:rPr>
                <w:szCs w:val="22"/>
                <w:lang w:val="hu-HU"/>
              </w:rPr>
              <w:t xml:space="preserve">Hemoglobinszint-csökkenés, a </w:t>
            </w:r>
            <w:proofErr w:type="spellStart"/>
            <w:r>
              <w:rPr>
                <w:szCs w:val="22"/>
                <w:lang w:val="hu-HU"/>
              </w:rPr>
              <w:t>hematokrit</w:t>
            </w:r>
            <w:proofErr w:type="spellEnd"/>
            <w:r>
              <w:rPr>
                <w:szCs w:val="22"/>
                <w:lang w:val="hu-HU"/>
              </w:rPr>
              <w:noBreakHyphen/>
              <w:t xml:space="preserve">érték csökkenése, </w:t>
            </w:r>
            <w:proofErr w:type="spellStart"/>
            <w:r>
              <w:rPr>
                <w:szCs w:val="22"/>
                <w:lang w:val="hu-HU"/>
              </w:rPr>
              <w:t>neutropenia</w:t>
            </w:r>
            <w:proofErr w:type="spellEnd"/>
          </w:p>
        </w:tc>
        <w:tc>
          <w:tcPr>
            <w:tcW w:w="1560" w:type="dxa"/>
            <w:shd w:val="clear" w:color="auto" w:fill="auto"/>
            <w:vAlign w:val="center"/>
          </w:tcPr>
          <w:p w14:paraId="6D4009E9"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4CC92D4C"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48012BFB" w14:textId="77777777">
        <w:trPr>
          <w:cantSplit/>
        </w:trPr>
        <w:tc>
          <w:tcPr>
            <w:tcW w:w="3068" w:type="dxa"/>
            <w:vMerge w:val="restart"/>
            <w:shd w:val="clear" w:color="auto" w:fill="auto"/>
          </w:tcPr>
          <w:p w14:paraId="72AE22D7" w14:textId="77777777" w:rsidR="007963F8" w:rsidRDefault="008714EA">
            <w:pPr>
              <w:keepLines/>
              <w:rPr>
                <w:szCs w:val="22"/>
                <w:lang w:val="hu-HU"/>
              </w:rPr>
            </w:pPr>
            <w:r>
              <w:rPr>
                <w:bCs/>
                <w:i/>
                <w:szCs w:val="22"/>
                <w:lang w:val="hu-HU"/>
              </w:rPr>
              <w:t>Immunrendszeri betegségek és tünetek</w:t>
            </w:r>
          </w:p>
        </w:tc>
        <w:tc>
          <w:tcPr>
            <w:tcW w:w="3118" w:type="dxa"/>
            <w:shd w:val="clear" w:color="auto" w:fill="auto"/>
          </w:tcPr>
          <w:p w14:paraId="1D7B75D6" w14:textId="77777777" w:rsidR="007963F8" w:rsidRDefault="008714EA">
            <w:pPr>
              <w:rPr>
                <w:szCs w:val="22"/>
                <w:lang w:val="hu-HU"/>
              </w:rPr>
            </w:pPr>
            <w:r>
              <w:rPr>
                <w:szCs w:val="22"/>
                <w:lang w:val="hu-HU"/>
              </w:rPr>
              <w:t xml:space="preserve">Túlérzékenységi reakciók, beleértve az </w:t>
            </w:r>
            <w:proofErr w:type="spellStart"/>
            <w:r>
              <w:rPr>
                <w:szCs w:val="22"/>
                <w:lang w:val="hu-HU"/>
              </w:rPr>
              <w:t>angiooedemát</w:t>
            </w:r>
            <w:proofErr w:type="spellEnd"/>
            <w:r>
              <w:rPr>
                <w:szCs w:val="22"/>
                <w:lang w:val="hu-HU"/>
              </w:rPr>
              <w:t xml:space="preserve"> is</w:t>
            </w:r>
          </w:p>
        </w:tc>
        <w:tc>
          <w:tcPr>
            <w:tcW w:w="1560" w:type="dxa"/>
            <w:shd w:val="clear" w:color="auto" w:fill="auto"/>
            <w:vAlign w:val="center"/>
          </w:tcPr>
          <w:p w14:paraId="24646398"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3A4D7152" w14:textId="77777777" w:rsidR="007963F8" w:rsidRDefault="008714EA">
            <w:pPr>
              <w:widowControl w:val="0"/>
              <w:ind w:right="-57"/>
              <w:jc w:val="center"/>
              <w:rPr>
                <w:szCs w:val="22"/>
                <w:lang w:val="hu-HU" w:eastAsia="en-US"/>
              </w:rPr>
            </w:pPr>
            <w:r>
              <w:rPr>
                <w:szCs w:val="22"/>
                <w:lang w:val="hu-HU" w:eastAsia="en-US"/>
              </w:rPr>
              <w:t>Ritka</w:t>
            </w:r>
          </w:p>
        </w:tc>
      </w:tr>
      <w:tr w:rsidR="007963F8" w14:paraId="3A1F4B9F" w14:textId="77777777">
        <w:trPr>
          <w:cantSplit/>
        </w:trPr>
        <w:tc>
          <w:tcPr>
            <w:tcW w:w="3068" w:type="dxa"/>
            <w:vMerge/>
            <w:shd w:val="clear" w:color="auto" w:fill="auto"/>
          </w:tcPr>
          <w:p w14:paraId="70012A2D" w14:textId="77777777" w:rsidR="007963F8" w:rsidRDefault="007963F8">
            <w:pPr>
              <w:widowControl w:val="0"/>
              <w:tabs>
                <w:tab w:val="left" w:pos="567"/>
              </w:tabs>
              <w:rPr>
                <w:i/>
                <w:szCs w:val="22"/>
                <w:lang w:val="hu-HU" w:eastAsia="en-US"/>
              </w:rPr>
            </w:pPr>
          </w:p>
        </w:tc>
        <w:tc>
          <w:tcPr>
            <w:tcW w:w="3118" w:type="dxa"/>
            <w:shd w:val="clear" w:color="auto" w:fill="auto"/>
          </w:tcPr>
          <w:p w14:paraId="77BBF30F" w14:textId="77777777" w:rsidR="007963F8" w:rsidRDefault="008714EA">
            <w:pPr>
              <w:keepNext/>
              <w:keepLines/>
              <w:tabs>
                <w:tab w:val="left" w:pos="567"/>
              </w:tabs>
              <w:rPr>
                <w:szCs w:val="22"/>
                <w:lang w:val="hu-HU"/>
              </w:rPr>
            </w:pPr>
            <w:r>
              <w:rPr>
                <w:szCs w:val="22"/>
                <w:lang w:val="hu-HU"/>
              </w:rPr>
              <w:t>Túlérzékenység, beleértve a szérumbetegséget</w:t>
            </w:r>
          </w:p>
        </w:tc>
        <w:tc>
          <w:tcPr>
            <w:tcW w:w="1560" w:type="dxa"/>
            <w:shd w:val="clear" w:color="auto" w:fill="auto"/>
            <w:vAlign w:val="center"/>
          </w:tcPr>
          <w:p w14:paraId="00688A41"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458C8035"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3D37756B" w14:textId="77777777">
        <w:trPr>
          <w:cantSplit/>
        </w:trPr>
        <w:tc>
          <w:tcPr>
            <w:tcW w:w="3068" w:type="dxa"/>
            <w:shd w:val="clear" w:color="auto" w:fill="auto"/>
          </w:tcPr>
          <w:p w14:paraId="5DA4D6DF" w14:textId="77777777" w:rsidR="007963F8" w:rsidRDefault="008714EA">
            <w:pPr>
              <w:keepLines/>
              <w:rPr>
                <w:szCs w:val="22"/>
                <w:lang w:val="hu-HU"/>
              </w:rPr>
            </w:pPr>
            <w:r>
              <w:rPr>
                <w:bCs/>
                <w:i/>
                <w:szCs w:val="22"/>
                <w:lang w:val="hu-HU"/>
              </w:rPr>
              <w:t>Endokrin betegségek és tünetek</w:t>
            </w:r>
          </w:p>
        </w:tc>
        <w:tc>
          <w:tcPr>
            <w:tcW w:w="3118" w:type="dxa"/>
            <w:shd w:val="clear" w:color="auto" w:fill="auto"/>
            <w:vAlign w:val="center"/>
          </w:tcPr>
          <w:p w14:paraId="17D40720" w14:textId="77777777" w:rsidR="007963F8" w:rsidRDefault="008714EA">
            <w:pPr>
              <w:widowControl w:val="0"/>
              <w:tabs>
                <w:tab w:val="left" w:pos="1315"/>
              </w:tabs>
              <w:rPr>
                <w:szCs w:val="22"/>
                <w:lang w:val="hu-HU" w:eastAsia="en-US"/>
              </w:rPr>
            </w:pPr>
            <w:r>
              <w:rPr>
                <w:szCs w:val="22"/>
                <w:lang w:val="hu-HU" w:eastAsia="en-US"/>
              </w:rPr>
              <w:t>Diabetes mellitus</w:t>
            </w:r>
            <w:r>
              <w:rPr>
                <w:szCs w:val="22"/>
                <w:vertAlign w:val="superscript"/>
                <w:lang w:val="hu-HU" w:eastAsia="en-US"/>
              </w:rPr>
              <w:t>1</w:t>
            </w:r>
          </w:p>
        </w:tc>
        <w:tc>
          <w:tcPr>
            <w:tcW w:w="1560" w:type="dxa"/>
            <w:shd w:val="clear" w:color="auto" w:fill="auto"/>
            <w:vAlign w:val="center"/>
          </w:tcPr>
          <w:p w14:paraId="3C220F7F"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01B94FCF" w14:textId="77777777" w:rsidR="007963F8" w:rsidRDefault="008714EA">
            <w:pPr>
              <w:widowControl w:val="0"/>
              <w:ind w:right="-57"/>
              <w:jc w:val="center"/>
              <w:rPr>
                <w:szCs w:val="22"/>
                <w:lang w:val="hu-HU" w:eastAsia="en-US"/>
              </w:rPr>
            </w:pPr>
            <w:r>
              <w:rPr>
                <w:szCs w:val="22"/>
                <w:lang w:val="hu-HU" w:eastAsia="en-US"/>
              </w:rPr>
              <w:t xml:space="preserve">Gyakori </w:t>
            </w:r>
          </w:p>
        </w:tc>
      </w:tr>
      <w:tr w:rsidR="007963F8" w14:paraId="11C5D841" w14:textId="77777777">
        <w:trPr>
          <w:cantSplit/>
        </w:trPr>
        <w:tc>
          <w:tcPr>
            <w:tcW w:w="3068" w:type="dxa"/>
            <w:shd w:val="clear" w:color="auto" w:fill="auto"/>
          </w:tcPr>
          <w:p w14:paraId="13A04CB6" w14:textId="77777777" w:rsidR="007963F8" w:rsidRDefault="008714EA">
            <w:pPr>
              <w:tabs>
                <w:tab w:val="left" w:pos="567"/>
              </w:tabs>
              <w:rPr>
                <w:bCs/>
                <w:i/>
                <w:szCs w:val="22"/>
                <w:lang w:val="hu-HU"/>
              </w:rPr>
            </w:pPr>
            <w:r>
              <w:rPr>
                <w:bCs/>
                <w:i/>
                <w:szCs w:val="22"/>
                <w:lang w:val="hu-HU"/>
              </w:rPr>
              <w:t>Anyagcsere- és táplálkozási betegségek és tünetek</w:t>
            </w:r>
          </w:p>
        </w:tc>
        <w:tc>
          <w:tcPr>
            <w:tcW w:w="3118" w:type="dxa"/>
            <w:shd w:val="clear" w:color="auto" w:fill="auto"/>
            <w:vAlign w:val="center"/>
          </w:tcPr>
          <w:p w14:paraId="07ABAD80" w14:textId="77777777" w:rsidR="007963F8" w:rsidRDefault="008714EA">
            <w:pPr>
              <w:widowControl w:val="0"/>
              <w:tabs>
                <w:tab w:val="left" w:pos="1315"/>
              </w:tabs>
              <w:rPr>
                <w:szCs w:val="22"/>
                <w:lang w:val="hu-HU" w:eastAsia="en-US"/>
              </w:rPr>
            </w:pPr>
            <w:r>
              <w:rPr>
                <w:szCs w:val="22"/>
                <w:lang w:val="hu-HU" w:eastAsia="en-US"/>
              </w:rPr>
              <w:t xml:space="preserve">Szérum káliumszint-emelkedése, </w:t>
            </w:r>
            <w:proofErr w:type="spellStart"/>
            <w:r>
              <w:rPr>
                <w:szCs w:val="22"/>
                <w:lang w:val="hu-HU" w:eastAsia="en-US"/>
              </w:rPr>
              <w:t>hyponatraemia</w:t>
            </w:r>
            <w:proofErr w:type="spellEnd"/>
          </w:p>
        </w:tc>
        <w:tc>
          <w:tcPr>
            <w:tcW w:w="1560" w:type="dxa"/>
            <w:shd w:val="clear" w:color="auto" w:fill="auto"/>
            <w:vAlign w:val="center"/>
          </w:tcPr>
          <w:p w14:paraId="602BB0A2"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07242C58"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3B0FBC4A" w14:textId="77777777">
        <w:trPr>
          <w:cantSplit/>
        </w:trPr>
        <w:tc>
          <w:tcPr>
            <w:tcW w:w="3068" w:type="dxa"/>
            <w:shd w:val="clear" w:color="auto" w:fill="auto"/>
          </w:tcPr>
          <w:p w14:paraId="6E05F680" w14:textId="77777777" w:rsidR="007963F8" w:rsidRDefault="008714EA">
            <w:pPr>
              <w:keepLines/>
              <w:rPr>
                <w:i/>
                <w:iCs/>
                <w:szCs w:val="22"/>
                <w:lang w:val="hu-HU"/>
              </w:rPr>
            </w:pPr>
            <w:r>
              <w:rPr>
                <w:bCs/>
                <w:i/>
                <w:szCs w:val="22"/>
                <w:lang w:val="hu-HU"/>
              </w:rPr>
              <w:t>Pszichiátriai kórképek</w:t>
            </w:r>
          </w:p>
        </w:tc>
        <w:tc>
          <w:tcPr>
            <w:tcW w:w="3118" w:type="dxa"/>
            <w:shd w:val="clear" w:color="auto" w:fill="auto"/>
            <w:vAlign w:val="center"/>
          </w:tcPr>
          <w:p w14:paraId="75CE71E0" w14:textId="77777777" w:rsidR="007963F8" w:rsidRDefault="008714EA">
            <w:pPr>
              <w:widowControl w:val="0"/>
              <w:tabs>
                <w:tab w:val="left" w:pos="1315"/>
              </w:tabs>
              <w:rPr>
                <w:szCs w:val="22"/>
                <w:lang w:val="hu-HU" w:eastAsia="en-US"/>
              </w:rPr>
            </w:pPr>
            <w:r>
              <w:rPr>
                <w:szCs w:val="22"/>
                <w:lang w:val="hu-HU" w:eastAsia="en-US"/>
              </w:rPr>
              <w:t>Depresszió</w:t>
            </w:r>
          </w:p>
        </w:tc>
        <w:tc>
          <w:tcPr>
            <w:tcW w:w="1560" w:type="dxa"/>
            <w:shd w:val="clear" w:color="auto" w:fill="auto"/>
            <w:vAlign w:val="center"/>
          </w:tcPr>
          <w:p w14:paraId="0BF39571"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1AB8B54B" w14:textId="77777777" w:rsidR="007963F8" w:rsidRDefault="008714EA">
            <w:pPr>
              <w:widowControl w:val="0"/>
              <w:ind w:right="-57"/>
              <w:jc w:val="center"/>
              <w:rPr>
                <w:szCs w:val="22"/>
                <w:lang w:val="hu-HU" w:eastAsia="en-US"/>
              </w:rPr>
            </w:pPr>
            <w:r>
              <w:rPr>
                <w:szCs w:val="22"/>
                <w:lang w:val="hu-HU" w:eastAsia="en-US"/>
              </w:rPr>
              <w:t>Nem ismert</w:t>
            </w:r>
          </w:p>
        </w:tc>
      </w:tr>
      <w:tr w:rsidR="007963F8" w14:paraId="36783315" w14:textId="77777777">
        <w:trPr>
          <w:cantSplit/>
        </w:trPr>
        <w:tc>
          <w:tcPr>
            <w:tcW w:w="3068" w:type="dxa"/>
            <w:vMerge w:val="restart"/>
            <w:shd w:val="clear" w:color="auto" w:fill="auto"/>
          </w:tcPr>
          <w:p w14:paraId="65B725A4" w14:textId="77777777" w:rsidR="007963F8" w:rsidRDefault="008714EA">
            <w:pPr>
              <w:keepLines/>
              <w:rPr>
                <w:i/>
                <w:iCs/>
                <w:szCs w:val="22"/>
                <w:lang w:val="hu-HU"/>
              </w:rPr>
            </w:pPr>
            <w:r>
              <w:rPr>
                <w:bCs/>
                <w:i/>
                <w:szCs w:val="22"/>
                <w:lang w:val="hu-HU"/>
              </w:rPr>
              <w:t>Idegrendszeri betegségek és tünetek</w:t>
            </w:r>
          </w:p>
        </w:tc>
        <w:tc>
          <w:tcPr>
            <w:tcW w:w="3118" w:type="dxa"/>
            <w:shd w:val="clear" w:color="auto" w:fill="auto"/>
            <w:vAlign w:val="center"/>
          </w:tcPr>
          <w:p w14:paraId="3E2BFEB6" w14:textId="77777777" w:rsidR="007963F8" w:rsidRDefault="008714EA">
            <w:pPr>
              <w:widowControl w:val="0"/>
              <w:tabs>
                <w:tab w:val="left" w:pos="1315"/>
              </w:tabs>
              <w:rPr>
                <w:szCs w:val="22"/>
                <w:lang w:val="hu-HU" w:eastAsia="en-US"/>
              </w:rPr>
            </w:pPr>
            <w:r>
              <w:rPr>
                <w:szCs w:val="22"/>
                <w:lang w:val="hu-HU" w:eastAsia="en-US"/>
              </w:rPr>
              <w:t>Szédülés, fejfájás</w:t>
            </w:r>
          </w:p>
        </w:tc>
        <w:tc>
          <w:tcPr>
            <w:tcW w:w="1560" w:type="dxa"/>
            <w:shd w:val="clear" w:color="auto" w:fill="auto"/>
            <w:vAlign w:val="center"/>
          </w:tcPr>
          <w:p w14:paraId="38D768CE"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3ADC74C3" w14:textId="77777777" w:rsidR="007963F8" w:rsidRDefault="008714EA">
            <w:pPr>
              <w:widowControl w:val="0"/>
              <w:ind w:right="-57"/>
              <w:jc w:val="center"/>
              <w:rPr>
                <w:szCs w:val="22"/>
                <w:lang w:val="hu-HU" w:eastAsia="en-US"/>
              </w:rPr>
            </w:pPr>
            <w:r>
              <w:rPr>
                <w:szCs w:val="22"/>
                <w:lang w:val="hu-HU" w:eastAsia="en-US"/>
              </w:rPr>
              <w:t>Gyakori</w:t>
            </w:r>
          </w:p>
        </w:tc>
      </w:tr>
      <w:tr w:rsidR="007963F8" w14:paraId="57E5D0A8" w14:textId="77777777">
        <w:trPr>
          <w:cantSplit/>
        </w:trPr>
        <w:tc>
          <w:tcPr>
            <w:tcW w:w="3068" w:type="dxa"/>
            <w:vMerge/>
            <w:shd w:val="clear" w:color="auto" w:fill="auto"/>
          </w:tcPr>
          <w:p w14:paraId="3C4C8917"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5F3416BD" w14:textId="77777777" w:rsidR="007963F8" w:rsidRDefault="008714EA">
            <w:pPr>
              <w:widowControl w:val="0"/>
              <w:tabs>
                <w:tab w:val="left" w:pos="1315"/>
              </w:tabs>
              <w:rPr>
                <w:szCs w:val="22"/>
                <w:lang w:val="hu-HU" w:eastAsia="en-US"/>
              </w:rPr>
            </w:pPr>
            <w:proofErr w:type="spellStart"/>
            <w:r>
              <w:rPr>
                <w:szCs w:val="22"/>
                <w:lang w:val="hu-HU" w:eastAsia="en-US"/>
              </w:rPr>
              <w:t>Polyneuropathia</w:t>
            </w:r>
            <w:proofErr w:type="spellEnd"/>
            <w:r>
              <w:rPr>
                <w:szCs w:val="22"/>
                <w:lang w:val="hu-HU" w:eastAsia="en-US"/>
              </w:rPr>
              <w:t>, emlékezetkiesés</w:t>
            </w:r>
          </w:p>
        </w:tc>
        <w:tc>
          <w:tcPr>
            <w:tcW w:w="1560" w:type="dxa"/>
            <w:shd w:val="clear" w:color="auto" w:fill="auto"/>
            <w:vAlign w:val="center"/>
          </w:tcPr>
          <w:p w14:paraId="6C593343"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3510930B" w14:textId="77777777" w:rsidR="007963F8" w:rsidRDefault="008714EA">
            <w:pPr>
              <w:widowControl w:val="0"/>
              <w:ind w:right="-57"/>
              <w:jc w:val="center"/>
              <w:rPr>
                <w:szCs w:val="22"/>
                <w:lang w:val="hu-HU" w:eastAsia="en-US"/>
              </w:rPr>
            </w:pPr>
            <w:r>
              <w:rPr>
                <w:szCs w:val="22"/>
                <w:lang w:val="hu-HU" w:eastAsia="en-US"/>
              </w:rPr>
              <w:t>Nagyon ritka</w:t>
            </w:r>
          </w:p>
        </w:tc>
      </w:tr>
      <w:tr w:rsidR="007963F8" w14:paraId="17EE74D1" w14:textId="77777777">
        <w:trPr>
          <w:cantSplit/>
        </w:trPr>
        <w:tc>
          <w:tcPr>
            <w:tcW w:w="3068" w:type="dxa"/>
            <w:vMerge/>
            <w:shd w:val="clear" w:color="auto" w:fill="auto"/>
          </w:tcPr>
          <w:p w14:paraId="268297B2"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7B025942" w14:textId="77777777" w:rsidR="007963F8" w:rsidRDefault="008714EA">
            <w:pPr>
              <w:widowControl w:val="0"/>
              <w:tabs>
                <w:tab w:val="left" w:pos="1315"/>
              </w:tabs>
              <w:rPr>
                <w:szCs w:val="22"/>
                <w:lang w:val="hu-HU" w:eastAsia="en-US"/>
              </w:rPr>
            </w:pPr>
            <w:r>
              <w:rPr>
                <w:szCs w:val="22"/>
                <w:lang w:val="hu-HU" w:eastAsia="en-US"/>
              </w:rPr>
              <w:t xml:space="preserve">Perifériás </w:t>
            </w:r>
            <w:proofErr w:type="spellStart"/>
            <w:r>
              <w:rPr>
                <w:szCs w:val="22"/>
                <w:lang w:val="hu-HU" w:eastAsia="en-US"/>
              </w:rPr>
              <w:t>neuropathia</w:t>
            </w:r>
            <w:proofErr w:type="spellEnd"/>
            <w:r>
              <w:rPr>
                <w:szCs w:val="22"/>
                <w:lang w:val="hu-HU" w:eastAsia="en-US"/>
              </w:rPr>
              <w:t>, alvászavarok (beleértve az álmatlanságot és rémálmokat)</w:t>
            </w:r>
          </w:p>
        </w:tc>
        <w:tc>
          <w:tcPr>
            <w:tcW w:w="1560" w:type="dxa"/>
            <w:shd w:val="clear" w:color="auto" w:fill="auto"/>
            <w:vAlign w:val="center"/>
          </w:tcPr>
          <w:p w14:paraId="242731C3"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0EACD830" w14:textId="77777777" w:rsidR="007963F8" w:rsidRDefault="008714EA">
            <w:pPr>
              <w:widowControl w:val="0"/>
              <w:ind w:right="-57"/>
              <w:jc w:val="center"/>
              <w:rPr>
                <w:szCs w:val="22"/>
                <w:lang w:val="hu-HU" w:eastAsia="en-US"/>
              </w:rPr>
            </w:pPr>
            <w:r>
              <w:rPr>
                <w:szCs w:val="22"/>
                <w:lang w:val="hu-HU" w:eastAsia="en-US"/>
              </w:rPr>
              <w:t>Nem ismert</w:t>
            </w:r>
          </w:p>
        </w:tc>
      </w:tr>
      <w:tr w:rsidR="007963F8" w14:paraId="59BD30CA" w14:textId="77777777">
        <w:trPr>
          <w:cantSplit/>
        </w:trPr>
        <w:tc>
          <w:tcPr>
            <w:tcW w:w="3068" w:type="dxa"/>
            <w:vMerge/>
            <w:shd w:val="clear" w:color="auto" w:fill="auto"/>
          </w:tcPr>
          <w:p w14:paraId="3204456D" w14:textId="77777777" w:rsidR="007963F8" w:rsidRDefault="007963F8">
            <w:pPr>
              <w:tabs>
                <w:tab w:val="left" w:pos="567"/>
              </w:tabs>
              <w:rPr>
                <w:bCs/>
                <w:i/>
                <w:szCs w:val="22"/>
                <w:lang w:val="hu-HU"/>
              </w:rPr>
            </w:pPr>
          </w:p>
        </w:tc>
        <w:tc>
          <w:tcPr>
            <w:tcW w:w="3118" w:type="dxa"/>
            <w:shd w:val="clear" w:color="auto" w:fill="auto"/>
            <w:vAlign w:val="center"/>
          </w:tcPr>
          <w:p w14:paraId="68E835B8" w14:textId="77777777" w:rsidR="007963F8" w:rsidRDefault="008714EA">
            <w:pPr>
              <w:widowControl w:val="0"/>
              <w:tabs>
                <w:tab w:val="left" w:pos="1315"/>
              </w:tabs>
              <w:rPr>
                <w:szCs w:val="22"/>
                <w:lang w:val="hu-HU" w:eastAsia="en-US"/>
              </w:rPr>
            </w:pPr>
            <w:r>
              <w:rPr>
                <w:szCs w:val="22"/>
              </w:rPr>
              <w:t>Myasthenia gravis</w:t>
            </w:r>
          </w:p>
        </w:tc>
        <w:tc>
          <w:tcPr>
            <w:tcW w:w="1560" w:type="dxa"/>
            <w:shd w:val="clear" w:color="auto" w:fill="auto"/>
            <w:vAlign w:val="center"/>
          </w:tcPr>
          <w:p w14:paraId="2F61CCDB"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55FCAE72" w14:textId="77777777" w:rsidR="007963F8" w:rsidRDefault="008714EA">
            <w:pPr>
              <w:widowControl w:val="0"/>
              <w:ind w:right="-57"/>
              <w:jc w:val="center"/>
              <w:rPr>
                <w:szCs w:val="22"/>
                <w:lang w:val="hu-HU" w:eastAsia="en-US"/>
              </w:rPr>
            </w:pPr>
            <w:r>
              <w:rPr>
                <w:szCs w:val="22"/>
                <w:lang w:val="hu-HU" w:eastAsia="en-US"/>
              </w:rPr>
              <w:t>Nem ismert</w:t>
            </w:r>
          </w:p>
        </w:tc>
      </w:tr>
      <w:tr w:rsidR="007963F8" w14:paraId="39856DC6" w14:textId="77777777">
        <w:trPr>
          <w:cantSplit/>
        </w:trPr>
        <w:tc>
          <w:tcPr>
            <w:tcW w:w="3068" w:type="dxa"/>
            <w:shd w:val="clear" w:color="auto" w:fill="auto"/>
          </w:tcPr>
          <w:p w14:paraId="4A05AC5E" w14:textId="77777777" w:rsidR="007963F8" w:rsidRDefault="008714EA">
            <w:pPr>
              <w:tabs>
                <w:tab w:val="left" w:pos="567"/>
              </w:tabs>
              <w:rPr>
                <w:bCs/>
                <w:i/>
                <w:szCs w:val="22"/>
                <w:lang w:val="hu-HU"/>
              </w:rPr>
            </w:pPr>
            <w:r>
              <w:rPr>
                <w:bCs/>
                <w:i/>
                <w:szCs w:val="22"/>
                <w:lang w:val="hu-HU"/>
              </w:rPr>
              <w:t>Szembetegségek és szemészeti tünetek</w:t>
            </w:r>
          </w:p>
        </w:tc>
        <w:tc>
          <w:tcPr>
            <w:tcW w:w="3118" w:type="dxa"/>
            <w:shd w:val="clear" w:color="auto" w:fill="auto"/>
            <w:vAlign w:val="center"/>
          </w:tcPr>
          <w:p w14:paraId="56B27D12" w14:textId="77777777" w:rsidR="007963F8" w:rsidRDefault="008714EA">
            <w:pPr>
              <w:widowControl w:val="0"/>
              <w:tabs>
                <w:tab w:val="left" w:pos="1315"/>
              </w:tabs>
              <w:rPr>
                <w:szCs w:val="22"/>
                <w:lang w:val="hu-HU" w:eastAsia="en-US"/>
              </w:rPr>
            </w:pPr>
            <w:proofErr w:type="spellStart"/>
            <w:r>
              <w:rPr>
                <w:szCs w:val="22"/>
                <w:lang w:val="hu-HU" w:eastAsia="en-US"/>
              </w:rPr>
              <w:t>Ocularis</w:t>
            </w:r>
            <w:proofErr w:type="spellEnd"/>
            <w:r>
              <w:rPr>
                <w:szCs w:val="22"/>
                <w:lang w:val="hu-HU" w:eastAsia="en-US"/>
              </w:rPr>
              <w:t xml:space="preserve"> </w:t>
            </w:r>
            <w:proofErr w:type="spellStart"/>
            <w:r>
              <w:rPr>
                <w:szCs w:val="22"/>
                <w:lang w:val="hu-HU" w:eastAsia="en-US"/>
              </w:rPr>
              <w:t>myasthenia</w:t>
            </w:r>
            <w:proofErr w:type="spellEnd"/>
          </w:p>
        </w:tc>
        <w:tc>
          <w:tcPr>
            <w:tcW w:w="1560" w:type="dxa"/>
            <w:shd w:val="clear" w:color="auto" w:fill="auto"/>
            <w:vAlign w:val="center"/>
          </w:tcPr>
          <w:p w14:paraId="1874FD19"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5B1E6E97" w14:textId="77777777" w:rsidR="007963F8" w:rsidRDefault="008714EA">
            <w:pPr>
              <w:widowControl w:val="0"/>
              <w:ind w:right="-57"/>
              <w:jc w:val="center"/>
              <w:rPr>
                <w:szCs w:val="22"/>
                <w:lang w:val="hu-HU" w:eastAsia="en-US"/>
              </w:rPr>
            </w:pPr>
            <w:r>
              <w:rPr>
                <w:szCs w:val="22"/>
                <w:lang w:val="hu-HU" w:eastAsia="en-US"/>
              </w:rPr>
              <w:t>Nem ismert</w:t>
            </w:r>
          </w:p>
        </w:tc>
      </w:tr>
      <w:tr w:rsidR="007963F8" w14:paraId="600FD071" w14:textId="77777777">
        <w:trPr>
          <w:cantSplit/>
        </w:trPr>
        <w:tc>
          <w:tcPr>
            <w:tcW w:w="3068" w:type="dxa"/>
            <w:shd w:val="clear" w:color="auto" w:fill="auto"/>
          </w:tcPr>
          <w:p w14:paraId="4ED11361" w14:textId="77777777" w:rsidR="007963F8" w:rsidRDefault="008714EA">
            <w:pPr>
              <w:tabs>
                <w:tab w:val="left" w:pos="567"/>
              </w:tabs>
              <w:rPr>
                <w:bCs/>
                <w:i/>
                <w:szCs w:val="22"/>
                <w:lang w:val="hu-HU"/>
              </w:rPr>
            </w:pPr>
            <w:r>
              <w:rPr>
                <w:bCs/>
                <w:i/>
                <w:szCs w:val="22"/>
                <w:lang w:val="hu-HU"/>
              </w:rPr>
              <w:t>A fül-, és az egyensúly-érzékelő szerv betegségei és tünetei</w:t>
            </w:r>
          </w:p>
        </w:tc>
        <w:tc>
          <w:tcPr>
            <w:tcW w:w="3118" w:type="dxa"/>
            <w:shd w:val="clear" w:color="auto" w:fill="auto"/>
            <w:vAlign w:val="center"/>
          </w:tcPr>
          <w:p w14:paraId="45E150E5" w14:textId="77777777" w:rsidR="007963F8" w:rsidRDefault="008714EA">
            <w:pPr>
              <w:widowControl w:val="0"/>
              <w:tabs>
                <w:tab w:val="left" w:pos="1315"/>
              </w:tabs>
              <w:rPr>
                <w:szCs w:val="22"/>
                <w:lang w:val="hu-HU" w:eastAsia="en-US"/>
              </w:rPr>
            </w:pPr>
            <w:r>
              <w:rPr>
                <w:szCs w:val="22"/>
                <w:lang w:val="hu-HU" w:eastAsia="en-US"/>
              </w:rPr>
              <w:t>Vertigo</w:t>
            </w:r>
          </w:p>
        </w:tc>
        <w:tc>
          <w:tcPr>
            <w:tcW w:w="1560" w:type="dxa"/>
            <w:shd w:val="clear" w:color="auto" w:fill="auto"/>
            <w:vAlign w:val="center"/>
          </w:tcPr>
          <w:p w14:paraId="6FE9472B" w14:textId="77777777" w:rsidR="007963F8" w:rsidRDefault="008714EA">
            <w:pPr>
              <w:widowControl w:val="0"/>
              <w:ind w:right="-57"/>
              <w:jc w:val="center"/>
              <w:rPr>
                <w:szCs w:val="22"/>
                <w:lang w:val="hu-HU" w:eastAsia="en-US"/>
              </w:rPr>
            </w:pPr>
            <w:r>
              <w:rPr>
                <w:szCs w:val="22"/>
                <w:lang w:val="hu-HU" w:eastAsia="en-US"/>
              </w:rPr>
              <w:t>Nem gyakori</w:t>
            </w:r>
          </w:p>
        </w:tc>
        <w:tc>
          <w:tcPr>
            <w:tcW w:w="1445" w:type="dxa"/>
            <w:vAlign w:val="center"/>
          </w:tcPr>
          <w:p w14:paraId="635C1EA0"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4D34EA9B" w14:textId="77777777">
        <w:trPr>
          <w:cantSplit/>
        </w:trPr>
        <w:tc>
          <w:tcPr>
            <w:tcW w:w="3068" w:type="dxa"/>
            <w:shd w:val="clear" w:color="auto" w:fill="auto"/>
          </w:tcPr>
          <w:p w14:paraId="59BC639A" w14:textId="77777777" w:rsidR="007963F8" w:rsidRDefault="008714EA">
            <w:pPr>
              <w:tabs>
                <w:tab w:val="left" w:pos="567"/>
              </w:tabs>
              <w:rPr>
                <w:bCs/>
                <w:i/>
                <w:szCs w:val="22"/>
                <w:lang w:val="hu-HU"/>
              </w:rPr>
            </w:pPr>
            <w:r>
              <w:rPr>
                <w:bCs/>
                <w:i/>
                <w:szCs w:val="22"/>
                <w:lang w:val="hu-HU"/>
              </w:rPr>
              <w:t>Érbetegségek és tünetek</w:t>
            </w:r>
          </w:p>
        </w:tc>
        <w:tc>
          <w:tcPr>
            <w:tcW w:w="3118" w:type="dxa"/>
            <w:shd w:val="clear" w:color="auto" w:fill="auto"/>
            <w:vAlign w:val="center"/>
          </w:tcPr>
          <w:p w14:paraId="2B460202" w14:textId="77777777" w:rsidR="007963F8" w:rsidRDefault="008714EA">
            <w:pPr>
              <w:widowControl w:val="0"/>
              <w:tabs>
                <w:tab w:val="left" w:pos="1315"/>
              </w:tabs>
              <w:rPr>
                <w:szCs w:val="22"/>
                <w:lang w:val="hu-HU" w:eastAsia="en-US"/>
              </w:rPr>
            </w:pPr>
            <w:proofErr w:type="spellStart"/>
            <w:r>
              <w:rPr>
                <w:szCs w:val="22"/>
                <w:lang w:val="hu-HU" w:eastAsia="en-US"/>
              </w:rPr>
              <w:t>Vasculitis</w:t>
            </w:r>
            <w:proofErr w:type="spellEnd"/>
          </w:p>
        </w:tc>
        <w:tc>
          <w:tcPr>
            <w:tcW w:w="1560" w:type="dxa"/>
            <w:shd w:val="clear" w:color="auto" w:fill="auto"/>
            <w:vAlign w:val="center"/>
          </w:tcPr>
          <w:p w14:paraId="37C7D241"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07D9E50D"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1FE2CC49" w14:textId="77777777">
        <w:trPr>
          <w:cantSplit/>
        </w:trPr>
        <w:tc>
          <w:tcPr>
            <w:tcW w:w="3068" w:type="dxa"/>
            <w:vMerge w:val="restart"/>
            <w:shd w:val="clear" w:color="auto" w:fill="auto"/>
          </w:tcPr>
          <w:p w14:paraId="02190FB5" w14:textId="77777777" w:rsidR="007963F8" w:rsidRDefault="008714EA">
            <w:pPr>
              <w:rPr>
                <w:bCs/>
                <w:i/>
                <w:szCs w:val="22"/>
                <w:lang w:val="hu-HU"/>
              </w:rPr>
            </w:pPr>
            <w:r>
              <w:rPr>
                <w:bCs/>
                <w:i/>
                <w:szCs w:val="22"/>
                <w:lang w:val="hu-HU"/>
              </w:rPr>
              <w:t xml:space="preserve">Légzőrendszeri, mellkasi és </w:t>
            </w:r>
            <w:proofErr w:type="spellStart"/>
            <w:r>
              <w:rPr>
                <w:bCs/>
                <w:i/>
                <w:szCs w:val="22"/>
                <w:lang w:val="hu-HU"/>
              </w:rPr>
              <w:t>mediastinalis</w:t>
            </w:r>
            <w:proofErr w:type="spellEnd"/>
            <w:r>
              <w:rPr>
                <w:bCs/>
                <w:i/>
                <w:szCs w:val="22"/>
                <w:lang w:val="hu-HU"/>
              </w:rPr>
              <w:t xml:space="preserve"> betegségek és tünetek</w:t>
            </w:r>
          </w:p>
        </w:tc>
        <w:tc>
          <w:tcPr>
            <w:tcW w:w="3118" w:type="dxa"/>
            <w:shd w:val="clear" w:color="auto" w:fill="auto"/>
            <w:vAlign w:val="center"/>
          </w:tcPr>
          <w:p w14:paraId="167C4C9A" w14:textId="77777777" w:rsidR="007963F8" w:rsidRDefault="008714EA">
            <w:pPr>
              <w:widowControl w:val="0"/>
              <w:tabs>
                <w:tab w:val="left" w:pos="1315"/>
              </w:tabs>
              <w:rPr>
                <w:szCs w:val="22"/>
                <w:lang w:val="hu-HU" w:eastAsia="en-US"/>
              </w:rPr>
            </w:pPr>
            <w:proofErr w:type="spellStart"/>
            <w:r>
              <w:rPr>
                <w:szCs w:val="22"/>
                <w:lang w:val="hu-HU" w:eastAsia="en-US"/>
              </w:rPr>
              <w:t>Dyspnoe</w:t>
            </w:r>
            <w:proofErr w:type="spellEnd"/>
          </w:p>
        </w:tc>
        <w:tc>
          <w:tcPr>
            <w:tcW w:w="1560" w:type="dxa"/>
            <w:shd w:val="clear" w:color="auto" w:fill="auto"/>
            <w:vAlign w:val="center"/>
          </w:tcPr>
          <w:p w14:paraId="39936C1E"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67A77FE8" w14:textId="77777777" w:rsidR="007963F8" w:rsidRDefault="008714EA">
            <w:pPr>
              <w:widowControl w:val="0"/>
              <w:ind w:right="-57"/>
              <w:jc w:val="center"/>
              <w:rPr>
                <w:szCs w:val="22"/>
                <w:lang w:val="hu-HU" w:eastAsia="en-US"/>
              </w:rPr>
            </w:pPr>
            <w:r>
              <w:rPr>
                <w:szCs w:val="22"/>
                <w:lang w:val="hu-HU" w:eastAsia="en-US"/>
              </w:rPr>
              <w:t>Nem ismert</w:t>
            </w:r>
          </w:p>
        </w:tc>
      </w:tr>
      <w:tr w:rsidR="007963F8" w14:paraId="2DB273C4" w14:textId="77777777">
        <w:trPr>
          <w:cantSplit/>
        </w:trPr>
        <w:tc>
          <w:tcPr>
            <w:tcW w:w="3068" w:type="dxa"/>
            <w:vMerge/>
            <w:shd w:val="clear" w:color="auto" w:fill="auto"/>
          </w:tcPr>
          <w:p w14:paraId="5AC3E0AA"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278EB2ED" w14:textId="77777777" w:rsidR="007963F8" w:rsidRDefault="008714EA">
            <w:pPr>
              <w:widowControl w:val="0"/>
              <w:tabs>
                <w:tab w:val="left" w:pos="1315"/>
              </w:tabs>
              <w:rPr>
                <w:szCs w:val="22"/>
                <w:lang w:val="hu-HU" w:eastAsia="en-US"/>
              </w:rPr>
            </w:pPr>
            <w:r>
              <w:rPr>
                <w:szCs w:val="22"/>
                <w:lang w:val="hu-HU" w:eastAsia="en-US"/>
              </w:rPr>
              <w:t>Köhögés</w:t>
            </w:r>
          </w:p>
        </w:tc>
        <w:tc>
          <w:tcPr>
            <w:tcW w:w="1560" w:type="dxa"/>
            <w:shd w:val="clear" w:color="auto" w:fill="auto"/>
            <w:vAlign w:val="center"/>
          </w:tcPr>
          <w:p w14:paraId="2872E76B" w14:textId="77777777" w:rsidR="007963F8" w:rsidRDefault="008714EA">
            <w:pPr>
              <w:widowControl w:val="0"/>
              <w:ind w:right="-57"/>
              <w:jc w:val="center"/>
              <w:rPr>
                <w:szCs w:val="22"/>
                <w:lang w:val="hu-HU" w:eastAsia="en-US"/>
              </w:rPr>
            </w:pPr>
            <w:r>
              <w:rPr>
                <w:szCs w:val="22"/>
                <w:lang w:val="hu-HU" w:eastAsia="en-US"/>
              </w:rPr>
              <w:t>Nem gyakori</w:t>
            </w:r>
          </w:p>
        </w:tc>
        <w:tc>
          <w:tcPr>
            <w:tcW w:w="1445" w:type="dxa"/>
            <w:vAlign w:val="center"/>
          </w:tcPr>
          <w:p w14:paraId="5B24CBFC" w14:textId="77777777" w:rsidR="007963F8" w:rsidRDefault="008714EA">
            <w:pPr>
              <w:widowControl w:val="0"/>
              <w:ind w:right="-57"/>
              <w:jc w:val="center"/>
              <w:rPr>
                <w:szCs w:val="22"/>
                <w:lang w:val="hu-HU" w:eastAsia="en-US"/>
              </w:rPr>
            </w:pPr>
            <w:r>
              <w:rPr>
                <w:szCs w:val="22"/>
                <w:lang w:val="hu-HU" w:eastAsia="en-US"/>
              </w:rPr>
              <w:t>Nem ismert</w:t>
            </w:r>
          </w:p>
        </w:tc>
      </w:tr>
      <w:tr w:rsidR="007963F8" w14:paraId="523FBB77" w14:textId="77777777">
        <w:trPr>
          <w:cantSplit/>
        </w:trPr>
        <w:tc>
          <w:tcPr>
            <w:tcW w:w="3068" w:type="dxa"/>
            <w:vMerge w:val="restart"/>
            <w:shd w:val="clear" w:color="auto" w:fill="auto"/>
          </w:tcPr>
          <w:p w14:paraId="320FEB4A" w14:textId="77777777" w:rsidR="007963F8" w:rsidRDefault="008714EA">
            <w:pPr>
              <w:keepNext/>
              <w:rPr>
                <w:bCs/>
                <w:i/>
                <w:szCs w:val="22"/>
                <w:lang w:val="hu-HU"/>
              </w:rPr>
            </w:pPr>
            <w:r>
              <w:rPr>
                <w:bCs/>
                <w:i/>
                <w:szCs w:val="22"/>
                <w:lang w:val="hu-HU"/>
              </w:rPr>
              <w:t>Emésztőrendszeri betegségek és tünetek</w:t>
            </w:r>
          </w:p>
        </w:tc>
        <w:tc>
          <w:tcPr>
            <w:tcW w:w="3118" w:type="dxa"/>
            <w:shd w:val="clear" w:color="auto" w:fill="auto"/>
            <w:vAlign w:val="center"/>
          </w:tcPr>
          <w:p w14:paraId="27C23B7E" w14:textId="77777777" w:rsidR="007963F8" w:rsidRDefault="008714EA">
            <w:pPr>
              <w:keepNext/>
              <w:widowControl w:val="0"/>
              <w:tabs>
                <w:tab w:val="left" w:pos="1315"/>
              </w:tabs>
              <w:rPr>
                <w:szCs w:val="22"/>
                <w:lang w:val="hu-HU" w:eastAsia="en-US"/>
              </w:rPr>
            </w:pPr>
            <w:r>
              <w:rPr>
                <w:szCs w:val="22"/>
                <w:lang w:val="hu-HU" w:eastAsia="en-US"/>
              </w:rPr>
              <w:t>Hasi fájdalom</w:t>
            </w:r>
          </w:p>
        </w:tc>
        <w:tc>
          <w:tcPr>
            <w:tcW w:w="1560" w:type="dxa"/>
            <w:shd w:val="clear" w:color="auto" w:fill="auto"/>
            <w:vAlign w:val="center"/>
          </w:tcPr>
          <w:p w14:paraId="617120CC" w14:textId="77777777" w:rsidR="007963F8" w:rsidRDefault="008714EA">
            <w:pPr>
              <w:keepNext/>
              <w:widowControl w:val="0"/>
              <w:ind w:right="-57"/>
              <w:jc w:val="center"/>
              <w:rPr>
                <w:szCs w:val="22"/>
                <w:lang w:val="hu-HU" w:eastAsia="en-US"/>
              </w:rPr>
            </w:pPr>
            <w:r>
              <w:rPr>
                <w:szCs w:val="22"/>
                <w:lang w:val="hu-HU" w:eastAsia="en-US"/>
              </w:rPr>
              <w:t>Nem gyakori</w:t>
            </w:r>
          </w:p>
        </w:tc>
        <w:tc>
          <w:tcPr>
            <w:tcW w:w="1445" w:type="dxa"/>
            <w:vAlign w:val="center"/>
          </w:tcPr>
          <w:p w14:paraId="4C040BA6" w14:textId="77777777" w:rsidR="007963F8" w:rsidRDefault="008714EA">
            <w:pPr>
              <w:keepNext/>
              <w:widowControl w:val="0"/>
              <w:ind w:right="-57"/>
              <w:jc w:val="center"/>
              <w:rPr>
                <w:szCs w:val="22"/>
                <w:lang w:val="hu-HU" w:eastAsia="en-US"/>
              </w:rPr>
            </w:pPr>
            <w:r>
              <w:rPr>
                <w:szCs w:val="22"/>
                <w:lang w:val="hu-HU" w:eastAsia="en-US"/>
              </w:rPr>
              <w:t>Gyakori</w:t>
            </w:r>
          </w:p>
        </w:tc>
      </w:tr>
      <w:tr w:rsidR="007963F8" w14:paraId="4ED9A282" w14:textId="77777777">
        <w:trPr>
          <w:cantSplit/>
        </w:trPr>
        <w:tc>
          <w:tcPr>
            <w:tcW w:w="3068" w:type="dxa"/>
            <w:vMerge/>
            <w:shd w:val="clear" w:color="auto" w:fill="auto"/>
          </w:tcPr>
          <w:p w14:paraId="7207AE1A"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2BAF0E89" w14:textId="77777777" w:rsidR="007963F8" w:rsidRDefault="008714EA">
            <w:pPr>
              <w:widowControl w:val="0"/>
              <w:tabs>
                <w:tab w:val="left" w:pos="1315"/>
              </w:tabs>
              <w:rPr>
                <w:szCs w:val="22"/>
                <w:lang w:val="hu-HU" w:eastAsia="en-US"/>
              </w:rPr>
            </w:pPr>
            <w:r>
              <w:rPr>
                <w:szCs w:val="22"/>
                <w:lang w:val="hu-HU" w:eastAsia="en-US"/>
              </w:rPr>
              <w:t>Hányinger</w:t>
            </w:r>
          </w:p>
        </w:tc>
        <w:tc>
          <w:tcPr>
            <w:tcW w:w="1560" w:type="dxa"/>
            <w:shd w:val="clear" w:color="auto" w:fill="auto"/>
            <w:vAlign w:val="center"/>
          </w:tcPr>
          <w:p w14:paraId="75CD779B"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66726D57" w14:textId="77777777" w:rsidR="007963F8" w:rsidRDefault="008714EA">
            <w:pPr>
              <w:widowControl w:val="0"/>
              <w:ind w:right="-57"/>
              <w:jc w:val="center"/>
              <w:rPr>
                <w:szCs w:val="22"/>
                <w:lang w:val="hu-HU" w:eastAsia="en-US"/>
              </w:rPr>
            </w:pPr>
            <w:r>
              <w:rPr>
                <w:szCs w:val="22"/>
                <w:lang w:val="hu-HU" w:eastAsia="en-US"/>
              </w:rPr>
              <w:t>Gyakori</w:t>
            </w:r>
          </w:p>
        </w:tc>
      </w:tr>
      <w:tr w:rsidR="007963F8" w14:paraId="4680A704" w14:textId="77777777">
        <w:trPr>
          <w:cantSplit/>
        </w:trPr>
        <w:tc>
          <w:tcPr>
            <w:tcW w:w="3068" w:type="dxa"/>
            <w:vMerge/>
            <w:shd w:val="clear" w:color="auto" w:fill="auto"/>
          </w:tcPr>
          <w:p w14:paraId="0E3C3164"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363F8CD7" w14:textId="77777777" w:rsidR="007963F8" w:rsidRDefault="008714EA">
            <w:pPr>
              <w:widowControl w:val="0"/>
              <w:tabs>
                <w:tab w:val="left" w:pos="1315"/>
              </w:tabs>
              <w:rPr>
                <w:szCs w:val="22"/>
                <w:lang w:val="hu-HU" w:eastAsia="en-US"/>
              </w:rPr>
            </w:pPr>
            <w:r>
              <w:rPr>
                <w:szCs w:val="22"/>
                <w:lang w:val="hu-HU" w:eastAsia="en-US"/>
              </w:rPr>
              <w:t>Székrekedés</w:t>
            </w:r>
          </w:p>
        </w:tc>
        <w:tc>
          <w:tcPr>
            <w:tcW w:w="1560" w:type="dxa"/>
            <w:shd w:val="clear" w:color="auto" w:fill="auto"/>
            <w:vAlign w:val="center"/>
          </w:tcPr>
          <w:p w14:paraId="3F0AE0D5"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1F602538" w14:textId="77777777" w:rsidR="007963F8" w:rsidRDefault="008714EA">
            <w:pPr>
              <w:widowControl w:val="0"/>
              <w:ind w:right="-57"/>
              <w:jc w:val="center"/>
              <w:rPr>
                <w:szCs w:val="22"/>
                <w:lang w:val="hu-HU" w:eastAsia="en-US"/>
              </w:rPr>
            </w:pPr>
            <w:r>
              <w:rPr>
                <w:szCs w:val="22"/>
                <w:lang w:val="hu-HU" w:eastAsia="en-US"/>
              </w:rPr>
              <w:t>Gyakori</w:t>
            </w:r>
          </w:p>
        </w:tc>
      </w:tr>
      <w:tr w:rsidR="007963F8" w14:paraId="508C2ADD" w14:textId="77777777">
        <w:trPr>
          <w:cantSplit/>
        </w:trPr>
        <w:tc>
          <w:tcPr>
            <w:tcW w:w="3068" w:type="dxa"/>
            <w:vMerge/>
            <w:shd w:val="clear" w:color="auto" w:fill="auto"/>
          </w:tcPr>
          <w:p w14:paraId="50941DD8"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5D49B5B1" w14:textId="77777777" w:rsidR="007963F8" w:rsidRDefault="008714EA">
            <w:pPr>
              <w:widowControl w:val="0"/>
              <w:tabs>
                <w:tab w:val="left" w:pos="1315"/>
              </w:tabs>
              <w:rPr>
                <w:szCs w:val="22"/>
                <w:lang w:val="hu-HU" w:eastAsia="en-US"/>
              </w:rPr>
            </w:pPr>
            <w:proofErr w:type="spellStart"/>
            <w:r>
              <w:rPr>
                <w:szCs w:val="22"/>
                <w:lang w:val="hu-HU" w:eastAsia="en-US"/>
              </w:rPr>
              <w:t>Pancreatitis</w:t>
            </w:r>
            <w:proofErr w:type="spellEnd"/>
          </w:p>
        </w:tc>
        <w:tc>
          <w:tcPr>
            <w:tcW w:w="1560" w:type="dxa"/>
            <w:shd w:val="clear" w:color="auto" w:fill="auto"/>
            <w:vAlign w:val="center"/>
          </w:tcPr>
          <w:p w14:paraId="6FCC396A"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08C389DA" w14:textId="77777777" w:rsidR="007963F8" w:rsidRDefault="008714EA">
            <w:pPr>
              <w:widowControl w:val="0"/>
              <w:ind w:right="-57"/>
              <w:jc w:val="center"/>
              <w:rPr>
                <w:szCs w:val="22"/>
                <w:lang w:val="hu-HU" w:eastAsia="en-US"/>
              </w:rPr>
            </w:pPr>
            <w:r>
              <w:rPr>
                <w:szCs w:val="22"/>
                <w:lang w:val="hu-HU" w:eastAsia="en-US"/>
              </w:rPr>
              <w:t>Ritka</w:t>
            </w:r>
          </w:p>
        </w:tc>
      </w:tr>
      <w:tr w:rsidR="007963F8" w14:paraId="6A8C6241" w14:textId="77777777">
        <w:trPr>
          <w:cantSplit/>
        </w:trPr>
        <w:tc>
          <w:tcPr>
            <w:tcW w:w="3068" w:type="dxa"/>
            <w:vMerge/>
            <w:shd w:val="clear" w:color="auto" w:fill="auto"/>
          </w:tcPr>
          <w:p w14:paraId="2C5542BE"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5DEE406C" w14:textId="77777777" w:rsidR="007963F8" w:rsidRDefault="008714EA">
            <w:pPr>
              <w:widowControl w:val="0"/>
              <w:tabs>
                <w:tab w:val="left" w:pos="1315"/>
              </w:tabs>
              <w:rPr>
                <w:szCs w:val="22"/>
                <w:lang w:val="hu-HU" w:eastAsia="en-US"/>
              </w:rPr>
            </w:pPr>
            <w:r>
              <w:rPr>
                <w:szCs w:val="22"/>
                <w:lang w:val="hu-HU"/>
              </w:rPr>
              <w:t>Hasmenés</w:t>
            </w:r>
          </w:p>
        </w:tc>
        <w:tc>
          <w:tcPr>
            <w:tcW w:w="1560" w:type="dxa"/>
            <w:shd w:val="clear" w:color="auto" w:fill="auto"/>
            <w:vAlign w:val="center"/>
          </w:tcPr>
          <w:p w14:paraId="182A616E"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2CE8658B" w14:textId="77777777" w:rsidR="007963F8" w:rsidRDefault="008714EA">
            <w:pPr>
              <w:widowControl w:val="0"/>
              <w:ind w:right="-57"/>
              <w:jc w:val="center"/>
              <w:rPr>
                <w:szCs w:val="22"/>
                <w:lang w:val="hu-HU" w:eastAsia="en-US"/>
              </w:rPr>
            </w:pPr>
            <w:r>
              <w:rPr>
                <w:szCs w:val="22"/>
                <w:lang w:val="hu-HU" w:eastAsia="en-US"/>
              </w:rPr>
              <w:t>Nem ismert</w:t>
            </w:r>
          </w:p>
        </w:tc>
      </w:tr>
      <w:tr w:rsidR="007963F8" w14:paraId="415B90F9" w14:textId="77777777" w:rsidTr="00785904">
        <w:trPr>
          <w:cantSplit/>
        </w:trPr>
        <w:tc>
          <w:tcPr>
            <w:tcW w:w="3068" w:type="dxa"/>
            <w:vMerge/>
            <w:shd w:val="clear" w:color="auto" w:fill="auto"/>
          </w:tcPr>
          <w:p w14:paraId="26A252DF" w14:textId="77777777" w:rsidR="007963F8" w:rsidRDefault="007963F8">
            <w:pPr>
              <w:widowControl w:val="0"/>
              <w:tabs>
                <w:tab w:val="left" w:pos="567"/>
              </w:tabs>
              <w:rPr>
                <w:i/>
                <w:szCs w:val="22"/>
                <w:lang w:val="hu-HU" w:eastAsia="en-US"/>
              </w:rPr>
            </w:pPr>
          </w:p>
        </w:tc>
        <w:tc>
          <w:tcPr>
            <w:tcW w:w="3118" w:type="dxa"/>
            <w:shd w:val="clear" w:color="auto" w:fill="auto"/>
          </w:tcPr>
          <w:p w14:paraId="3C520722" w14:textId="77777777" w:rsidR="007963F8" w:rsidRDefault="008714EA">
            <w:pPr>
              <w:widowControl w:val="0"/>
              <w:tabs>
                <w:tab w:val="left" w:pos="1315"/>
              </w:tabs>
              <w:rPr>
                <w:szCs w:val="22"/>
                <w:lang w:val="hu-HU"/>
              </w:rPr>
            </w:pPr>
            <w:proofErr w:type="spellStart"/>
            <w:r>
              <w:rPr>
                <w:szCs w:val="22"/>
                <w:lang w:val="en-GB"/>
              </w:rPr>
              <w:t>Intestinalis</w:t>
            </w:r>
            <w:proofErr w:type="spellEnd"/>
            <w:r>
              <w:rPr>
                <w:szCs w:val="22"/>
                <w:lang w:val="en-GB"/>
              </w:rPr>
              <w:t xml:space="preserve"> </w:t>
            </w:r>
            <w:proofErr w:type="spellStart"/>
            <w:r>
              <w:rPr>
                <w:szCs w:val="22"/>
                <w:lang w:val="en-GB"/>
              </w:rPr>
              <w:t>angiooedema</w:t>
            </w:r>
            <w:proofErr w:type="spellEnd"/>
          </w:p>
        </w:tc>
        <w:tc>
          <w:tcPr>
            <w:tcW w:w="1560" w:type="dxa"/>
            <w:shd w:val="clear" w:color="auto" w:fill="auto"/>
          </w:tcPr>
          <w:p w14:paraId="31E88030" w14:textId="77777777" w:rsidR="007963F8" w:rsidRDefault="008714EA">
            <w:pPr>
              <w:widowControl w:val="0"/>
              <w:ind w:right="-57"/>
              <w:jc w:val="center"/>
              <w:rPr>
                <w:szCs w:val="22"/>
                <w:lang w:val="hu-HU" w:eastAsia="en-US"/>
              </w:rPr>
            </w:pPr>
            <w:r>
              <w:rPr>
                <w:szCs w:val="22"/>
              </w:rPr>
              <w:t>Nagyon ritka</w:t>
            </w:r>
          </w:p>
        </w:tc>
        <w:tc>
          <w:tcPr>
            <w:tcW w:w="1445" w:type="dxa"/>
            <w:vAlign w:val="center"/>
          </w:tcPr>
          <w:p w14:paraId="3F8A8D4D" w14:textId="77777777" w:rsidR="007963F8" w:rsidRDefault="008714EA">
            <w:pPr>
              <w:widowControl w:val="0"/>
              <w:ind w:right="-57"/>
              <w:jc w:val="center"/>
              <w:rPr>
                <w:szCs w:val="22"/>
                <w:lang w:val="hu-HU" w:eastAsia="en-US"/>
              </w:rPr>
            </w:pPr>
            <w:r>
              <w:rPr>
                <w:szCs w:val="22"/>
                <w:lang w:val="hu-HU" w:eastAsia="en-US"/>
              </w:rPr>
              <w:t>—</w:t>
            </w:r>
          </w:p>
        </w:tc>
      </w:tr>
      <w:tr w:rsidR="007963F8" w14:paraId="4ADE003D" w14:textId="77777777">
        <w:trPr>
          <w:cantSplit/>
        </w:trPr>
        <w:tc>
          <w:tcPr>
            <w:tcW w:w="3068" w:type="dxa"/>
            <w:vMerge w:val="restart"/>
            <w:shd w:val="clear" w:color="auto" w:fill="auto"/>
          </w:tcPr>
          <w:p w14:paraId="70D57DAA" w14:textId="77777777" w:rsidR="007963F8" w:rsidRDefault="008714EA">
            <w:pPr>
              <w:keepLines/>
              <w:rPr>
                <w:i/>
                <w:iCs/>
                <w:szCs w:val="22"/>
                <w:lang w:val="hu-HU"/>
              </w:rPr>
            </w:pPr>
            <w:r>
              <w:rPr>
                <w:bCs/>
                <w:i/>
                <w:szCs w:val="22"/>
                <w:lang w:val="hu-HU"/>
              </w:rPr>
              <w:t>Máj- és epebetegségek, illetve tünetek</w:t>
            </w:r>
          </w:p>
        </w:tc>
        <w:tc>
          <w:tcPr>
            <w:tcW w:w="3118" w:type="dxa"/>
            <w:shd w:val="clear" w:color="auto" w:fill="auto"/>
            <w:vAlign w:val="center"/>
          </w:tcPr>
          <w:p w14:paraId="4942E176" w14:textId="77777777" w:rsidR="007963F8" w:rsidRDefault="008714EA">
            <w:pPr>
              <w:widowControl w:val="0"/>
              <w:tabs>
                <w:tab w:val="left" w:pos="1315"/>
              </w:tabs>
              <w:rPr>
                <w:szCs w:val="22"/>
                <w:lang w:val="hu-HU" w:eastAsia="en-US"/>
              </w:rPr>
            </w:pPr>
            <w:r>
              <w:rPr>
                <w:szCs w:val="22"/>
                <w:lang w:val="hu-HU" w:eastAsia="en-US"/>
              </w:rPr>
              <w:t>Hepatitis</w:t>
            </w:r>
          </w:p>
        </w:tc>
        <w:tc>
          <w:tcPr>
            <w:tcW w:w="1560" w:type="dxa"/>
            <w:shd w:val="clear" w:color="auto" w:fill="auto"/>
            <w:vAlign w:val="center"/>
          </w:tcPr>
          <w:p w14:paraId="25D04BB4"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42F4F814" w14:textId="77777777" w:rsidR="007963F8" w:rsidRDefault="008714EA">
            <w:pPr>
              <w:widowControl w:val="0"/>
              <w:ind w:right="-57"/>
              <w:jc w:val="center"/>
              <w:rPr>
                <w:szCs w:val="22"/>
                <w:lang w:val="hu-HU" w:eastAsia="en-US"/>
              </w:rPr>
            </w:pPr>
            <w:r>
              <w:rPr>
                <w:szCs w:val="22"/>
                <w:lang w:val="hu-HU" w:eastAsia="en-US"/>
              </w:rPr>
              <w:t>Nagyon ritka</w:t>
            </w:r>
          </w:p>
        </w:tc>
      </w:tr>
      <w:tr w:rsidR="007963F8" w14:paraId="05EECA1B" w14:textId="77777777">
        <w:trPr>
          <w:cantSplit/>
        </w:trPr>
        <w:tc>
          <w:tcPr>
            <w:tcW w:w="3068" w:type="dxa"/>
            <w:vMerge/>
            <w:shd w:val="clear" w:color="auto" w:fill="auto"/>
          </w:tcPr>
          <w:p w14:paraId="41BC105B"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66CC57FC" w14:textId="77777777" w:rsidR="007963F8" w:rsidRDefault="008714EA">
            <w:pPr>
              <w:widowControl w:val="0"/>
              <w:tabs>
                <w:tab w:val="left" w:pos="1315"/>
              </w:tabs>
              <w:rPr>
                <w:szCs w:val="22"/>
                <w:lang w:val="hu-HU" w:eastAsia="en-US"/>
              </w:rPr>
            </w:pPr>
            <w:r>
              <w:rPr>
                <w:szCs w:val="22"/>
                <w:lang w:val="hu-HU" w:eastAsia="en-US"/>
              </w:rPr>
              <w:t>Sárgaság</w:t>
            </w:r>
          </w:p>
        </w:tc>
        <w:tc>
          <w:tcPr>
            <w:tcW w:w="1560" w:type="dxa"/>
            <w:shd w:val="clear" w:color="auto" w:fill="auto"/>
            <w:vAlign w:val="center"/>
          </w:tcPr>
          <w:p w14:paraId="48585216"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7F51F346" w14:textId="77777777" w:rsidR="007963F8" w:rsidRDefault="008714EA">
            <w:pPr>
              <w:widowControl w:val="0"/>
              <w:ind w:right="-57"/>
              <w:jc w:val="center"/>
              <w:rPr>
                <w:szCs w:val="22"/>
                <w:lang w:val="hu-HU" w:eastAsia="en-US"/>
              </w:rPr>
            </w:pPr>
            <w:r>
              <w:rPr>
                <w:szCs w:val="22"/>
                <w:lang w:val="hu-HU" w:eastAsia="en-US"/>
              </w:rPr>
              <w:t>Nagyon ritka</w:t>
            </w:r>
          </w:p>
        </w:tc>
      </w:tr>
      <w:tr w:rsidR="007963F8" w14:paraId="21140B27" w14:textId="77777777">
        <w:trPr>
          <w:cantSplit/>
        </w:trPr>
        <w:tc>
          <w:tcPr>
            <w:tcW w:w="3068" w:type="dxa"/>
            <w:vMerge/>
            <w:shd w:val="clear" w:color="auto" w:fill="auto"/>
          </w:tcPr>
          <w:p w14:paraId="34CC2315"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166ABC17" w14:textId="77777777" w:rsidR="007963F8" w:rsidRDefault="008714EA">
            <w:pPr>
              <w:widowControl w:val="0"/>
              <w:tabs>
                <w:tab w:val="left" w:pos="1315"/>
              </w:tabs>
              <w:rPr>
                <w:szCs w:val="22"/>
                <w:lang w:val="hu-HU" w:eastAsia="en-US"/>
              </w:rPr>
            </w:pPr>
            <w:r>
              <w:rPr>
                <w:bCs/>
              </w:rPr>
              <w:t>Májtranszaminázok emelkedése</w:t>
            </w:r>
          </w:p>
        </w:tc>
        <w:tc>
          <w:tcPr>
            <w:tcW w:w="1560" w:type="dxa"/>
            <w:shd w:val="clear" w:color="auto" w:fill="auto"/>
            <w:vAlign w:val="center"/>
          </w:tcPr>
          <w:p w14:paraId="17BE8192"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027D6EE5" w14:textId="77777777" w:rsidR="007963F8" w:rsidRDefault="008714EA">
            <w:pPr>
              <w:widowControl w:val="0"/>
              <w:ind w:right="-57"/>
              <w:jc w:val="center"/>
              <w:rPr>
                <w:szCs w:val="22"/>
                <w:lang w:val="hu-HU" w:eastAsia="en-US"/>
              </w:rPr>
            </w:pPr>
            <w:r>
              <w:rPr>
                <w:szCs w:val="22"/>
                <w:lang w:val="hu-HU" w:eastAsia="en-US"/>
              </w:rPr>
              <w:t>Ritka</w:t>
            </w:r>
          </w:p>
        </w:tc>
      </w:tr>
      <w:tr w:rsidR="007963F8" w14:paraId="209046FB" w14:textId="77777777">
        <w:trPr>
          <w:cantSplit/>
        </w:trPr>
        <w:tc>
          <w:tcPr>
            <w:tcW w:w="3068" w:type="dxa"/>
            <w:vMerge/>
            <w:shd w:val="clear" w:color="auto" w:fill="auto"/>
          </w:tcPr>
          <w:p w14:paraId="18FCA759"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2FACB316" w14:textId="77777777" w:rsidR="007963F8" w:rsidRDefault="008714EA">
            <w:pPr>
              <w:widowControl w:val="0"/>
              <w:tabs>
                <w:tab w:val="left" w:pos="1315"/>
              </w:tabs>
              <w:rPr>
                <w:szCs w:val="22"/>
                <w:lang w:val="hu-HU" w:eastAsia="en-US"/>
              </w:rPr>
            </w:pPr>
            <w:r>
              <w:rPr>
                <w:szCs w:val="22"/>
              </w:rPr>
              <w:t>A májműködés értékeinek emelkedése, beleértve a szérum bilirubinszint emelkedését</w:t>
            </w:r>
          </w:p>
        </w:tc>
        <w:tc>
          <w:tcPr>
            <w:tcW w:w="1560" w:type="dxa"/>
            <w:shd w:val="clear" w:color="auto" w:fill="auto"/>
            <w:vAlign w:val="center"/>
          </w:tcPr>
          <w:p w14:paraId="0F5F1DD9"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4F08D2EA"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5ED57D55" w14:textId="77777777">
        <w:trPr>
          <w:cantSplit/>
        </w:trPr>
        <w:tc>
          <w:tcPr>
            <w:tcW w:w="3068" w:type="dxa"/>
            <w:vMerge w:val="restart"/>
            <w:shd w:val="clear" w:color="auto" w:fill="auto"/>
          </w:tcPr>
          <w:p w14:paraId="59FFDB35" w14:textId="77777777" w:rsidR="007963F8" w:rsidRDefault="008714EA">
            <w:pPr>
              <w:keepLines/>
              <w:rPr>
                <w:i/>
                <w:iCs/>
                <w:szCs w:val="22"/>
                <w:lang w:val="hu-HU"/>
              </w:rPr>
            </w:pPr>
            <w:r>
              <w:rPr>
                <w:bCs/>
                <w:i/>
                <w:szCs w:val="22"/>
                <w:lang w:val="hu-HU"/>
              </w:rPr>
              <w:t>A bőr és a bőr alatti szövet betegségei és tünetei</w:t>
            </w:r>
          </w:p>
        </w:tc>
        <w:tc>
          <w:tcPr>
            <w:tcW w:w="3118" w:type="dxa"/>
            <w:shd w:val="clear" w:color="auto" w:fill="auto"/>
            <w:vAlign w:val="center"/>
          </w:tcPr>
          <w:p w14:paraId="478959CB" w14:textId="77777777" w:rsidR="007963F8" w:rsidRDefault="008714EA">
            <w:pPr>
              <w:widowControl w:val="0"/>
              <w:tabs>
                <w:tab w:val="left" w:pos="1315"/>
              </w:tabs>
              <w:rPr>
                <w:szCs w:val="22"/>
                <w:lang w:val="hu-HU" w:eastAsia="en-US"/>
              </w:rPr>
            </w:pPr>
            <w:r>
              <w:rPr>
                <w:szCs w:val="22"/>
                <w:lang w:val="hu-HU" w:eastAsia="en-US"/>
              </w:rPr>
              <w:t xml:space="preserve">Bőrkiütés, </w:t>
            </w:r>
            <w:proofErr w:type="spellStart"/>
            <w:r>
              <w:rPr>
                <w:szCs w:val="22"/>
                <w:lang w:val="hu-HU" w:eastAsia="en-US"/>
              </w:rPr>
              <w:t>pruritus</w:t>
            </w:r>
            <w:proofErr w:type="spellEnd"/>
          </w:p>
        </w:tc>
        <w:tc>
          <w:tcPr>
            <w:tcW w:w="1560" w:type="dxa"/>
            <w:shd w:val="clear" w:color="auto" w:fill="auto"/>
            <w:vAlign w:val="center"/>
          </w:tcPr>
          <w:p w14:paraId="7B469CE8"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5EFE5A27" w14:textId="77777777" w:rsidR="007963F8" w:rsidRDefault="008714EA">
            <w:pPr>
              <w:widowControl w:val="0"/>
              <w:ind w:right="-57"/>
              <w:jc w:val="center"/>
              <w:rPr>
                <w:szCs w:val="22"/>
                <w:lang w:val="hu-HU" w:eastAsia="en-US"/>
              </w:rPr>
            </w:pPr>
            <w:r>
              <w:rPr>
                <w:szCs w:val="22"/>
                <w:lang w:val="hu-HU" w:eastAsia="en-US"/>
              </w:rPr>
              <w:t>Nem gyakori</w:t>
            </w:r>
          </w:p>
        </w:tc>
      </w:tr>
      <w:tr w:rsidR="007963F8" w14:paraId="70BB593B" w14:textId="77777777">
        <w:trPr>
          <w:cantSplit/>
        </w:trPr>
        <w:tc>
          <w:tcPr>
            <w:tcW w:w="3068" w:type="dxa"/>
            <w:vMerge/>
            <w:shd w:val="clear" w:color="auto" w:fill="auto"/>
          </w:tcPr>
          <w:p w14:paraId="3F3606B0"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16AB5B7E" w14:textId="77777777" w:rsidR="007963F8" w:rsidRDefault="008714EA">
            <w:pPr>
              <w:widowControl w:val="0"/>
              <w:tabs>
                <w:tab w:val="left" w:pos="1315"/>
              </w:tabs>
              <w:rPr>
                <w:szCs w:val="22"/>
                <w:lang w:val="hu-HU" w:eastAsia="en-US"/>
              </w:rPr>
            </w:pPr>
            <w:proofErr w:type="spellStart"/>
            <w:r>
              <w:rPr>
                <w:szCs w:val="22"/>
                <w:lang w:val="hu-HU" w:eastAsia="en-US"/>
              </w:rPr>
              <w:t>Urticaria</w:t>
            </w:r>
            <w:proofErr w:type="spellEnd"/>
          </w:p>
        </w:tc>
        <w:tc>
          <w:tcPr>
            <w:tcW w:w="1560" w:type="dxa"/>
            <w:shd w:val="clear" w:color="auto" w:fill="auto"/>
            <w:vAlign w:val="center"/>
          </w:tcPr>
          <w:p w14:paraId="46E1A42D"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59641D0D" w14:textId="77777777" w:rsidR="007963F8" w:rsidRDefault="008714EA">
            <w:pPr>
              <w:widowControl w:val="0"/>
              <w:ind w:right="-57"/>
              <w:jc w:val="center"/>
              <w:rPr>
                <w:szCs w:val="22"/>
                <w:lang w:val="hu-HU" w:eastAsia="en-US"/>
              </w:rPr>
            </w:pPr>
            <w:r>
              <w:rPr>
                <w:szCs w:val="22"/>
                <w:lang w:val="hu-HU" w:eastAsia="en-US"/>
              </w:rPr>
              <w:t>Nem gyakori</w:t>
            </w:r>
          </w:p>
        </w:tc>
      </w:tr>
      <w:tr w:rsidR="007963F8" w14:paraId="645F09EF" w14:textId="77777777">
        <w:trPr>
          <w:cantSplit/>
        </w:trPr>
        <w:tc>
          <w:tcPr>
            <w:tcW w:w="3068" w:type="dxa"/>
            <w:vMerge/>
            <w:shd w:val="clear" w:color="auto" w:fill="auto"/>
          </w:tcPr>
          <w:p w14:paraId="5E5B20A5"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69004FA7" w14:textId="77777777" w:rsidR="007963F8" w:rsidRDefault="008714EA">
            <w:pPr>
              <w:widowControl w:val="0"/>
              <w:tabs>
                <w:tab w:val="left" w:pos="1315"/>
              </w:tabs>
              <w:rPr>
                <w:szCs w:val="22"/>
                <w:lang w:val="hu-HU" w:eastAsia="en-US"/>
              </w:rPr>
            </w:pPr>
            <w:proofErr w:type="spellStart"/>
            <w:r>
              <w:rPr>
                <w:szCs w:val="22"/>
                <w:lang w:val="hu-HU" w:eastAsia="en-US"/>
              </w:rPr>
              <w:t>Stevens</w:t>
            </w:r>
            <w:proofErr w:type="spellEnd"/>
            <w:r>
              <w:rPr>
                <w:szCs w:val="22"/>
                <w:lang w:val="hu-HU" w:eastAsia="en-US"/>
              </w:rPr>
              <w:t>–Johnson-szindróma</w:t>
            </w:r>
          </w:p>
        </w:tc>
        <w:tc>
          <w:tcPr>
            <w:tcW w:w="1560" w:type="dxa"/>
            <w:shd w:val="clear" w:color="auto" w:fill="auto"/>
            <w:vAlign w:val="center"/>
          </w:tcPr>
          <w:p w14:paraId="4BFCA138"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35C1BC3C" w14:textId="77777777" w:rsidR="007963F8" w:rsidRDefault="008714EA">
            <w:pPr>
              <w:widowControl w:val="0"/>
              <w:ind w:right="-57"/>
              <w:jc w:val="center"/>
              <w:rPr>
                <w:szCs w:val="22"/>
                <w:lang w:val="hu-HU" w:eastAsia="en-US"/>
              </w:rPr>
            </w:pPr>
            <w:r>
              <w:rPr>
                <w:szCs w:val="22"/>
                <w:lang w:val="hu-HU" w:eastAsia="en-US"/>
              </w:rPr>
              <w:t>Nem ismert</w:t>
            </w:r>
          </w:p>
        </w:tc>
      </w:tr>
      <w:tr w:rsidR="007963F8" w14:paraId="426201FF" w14:textId="77777777">
        <w:trPr>
          <w:cantSplit/>
        </w:trPr>
        <w:tc>
          <w:tcPr>
            <w:tcW w:w="3068" w:type="dxa"/>
            <w:vMerge/>
            <w:shd w:val="clear" w:color="auto" w:fill="auto"/>
          </w:tcPr>
          <w:p w14:paraId="2D0D023F"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671BFE5B" w14:textId="77777777" w:rsidR="007963F8" w:rsidRDefault="008714EA">
            <w:pPr>
              <w:widowControl w:val="0"/>
              <w:tabs>
                <w:tab w:val="left" w:pos="1315"/>
              </w:tabs>
              <w:rPr>
                <w:szCs w:val="22"/>
                <w:lang w:val="hu-HU" w:eastAsia="en-US"/>
              </w:rPr>
            </w:pPr>
            <w:proofErr w:type="spellStart"/>
            <w:r>
              <w:rPr>
                <w:szCs w:val="22"/>
                <w:lang w:val="hu-HU" w:eastAsia="en-US"/>
              </w:rPr>
              <w:t>Angiooedema</w:t>
            </w:r>
            <w:proofErr w:type="spellEnd"/>
          </w:p>
        </w:tc>
        <w:tc>
          <w:tcPr>
            <w:tcW w:w="1560" w:type="dxa"/>
            <w:shd w:val="clear" w:color="auto" w:fill="auto"/>
            <w:vAlign w:val="center"/>
          </w:tcPr>
          <w:p w14:paraId="37F9D03C"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05B66C36"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7E786095" w14:textId="77777777">
        <w:trPr>
          <w:cantSplit/>
        </w:trPr>
        <w:tc>
          <w:tcPr>
            <w:tcW w:w="3068" w:type="dxa"/>
            <w:vMerge/>
            <w:shd w:val="clear" w:color="auto" w:fill="auto"/>
          </w:tcPr>
          <w:p w14:paraId="44F37E2F"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4C3CB627" w14:textId="77777777" w:rsidR="007963F8" w:rsidRDefault="008714EA">
            <w:pPr>
              <w:widowControl w:val="0"/>
              <w:tabs>
                <w:tab w:val="left" w:pos="1315"/>
              </w:tabs>
              <w:rPr>
                <w:szCs w:val="22"/>
                <w:lang w:val="hu-HU" w:eastAsia="en-US"/>
              </w:rPr>
            </w:pPr>
            <w:proofErr w:type="spellStart"/>
            <w:r>
              <w:rPr>
                <w:szCs w:val="22"/>
                <w:lang w:val="hu-HU" w:eastAsia="en-US"/>
              </w:rPr>
              <w:t>Eosinophiliával</w:t>
            </w:r>
            <w:proofErr w:type="spellEnd"/>
            <w:r>
              <w:rPr>
                <w:szCs w:val="22"/>
                <w:lang w:val="hu-HU" w:eastAsia="en-US"/>
              </w:rPr>
              <w:t xml:space="preserve"> és szisztémás tünetekkel járó gyógyszerreakció (DRESS)</w:t>
            </w:r>
          </w:p>
        </w:tc>
        <w:tc>
          <w:tcPr>
            <w:tcW w:w="1560" w:type="dxa"/>
            <w:shd w:val="clear" w:color="auto" w:fill="auto"/>
            <w:vAlign w:val="center"/>
          </w:tcPr>
          <w:p w14:paraId="5024D148" w14:textId="77777777" w:rsidR="007963F8" w:rsidRDefault="008714EA">
            <w:pPr>
              <w:widowControl w:val="0"/>
              <w:ind w:right="-57"/>
              <w:jc w:val="center"/>
              <w:rPr>
                <w:szCs w:val="22"/>
                <w:lang w:val="hu-HU" w:eastAsia="en-US"/>
              </w:rPr>
            </w:pPr>
            <w:r>
              <w:rPr>
                <w:szCs w:val="22"/>
                <w:lang w:val="hu-HU" w:eastAsia="en-US"/>
              </w:rPr>
              <w:t>—</w:t>
            </w:r>
          </w:p>
        </w:tc>
        <w:tc>
          <w:tcPr>
            <w:tcW w:w="1445" w:type="dxa"/>
            <w:vAlign w:val="center"/>
          </w:tcPr>
          <w:p w14:paraId="2F7D8C34" w14:textId="77777777" w:rsidR="007963F8" w:rsidRDefault="008714EA">
            <w:pPr>
              <w:widowControl w:val="0"/>
              <w:ind w:right="-57"/>
              <w:jc w:val="center"/>
              <w:rPr>
                <w:szCs w:val="22"/>
                <w:lang w:val="hu-HU" w:eastAsia="en-US"/>
              </w:rPr>
            </w:pPr>
            <w:r>
              <w:rPr>
                <w:szCs w:val="22"/>
                <w:lang w:val="hu-HU" w:eastAsia="en-US"/>
              </w:rPr>
              <w:t>Nem ismert</w:t>
            </w:r>
          </w:p>
        </w:tc>
      </w:tr>
      <w:tr w:rsidR="007963F8" w14:paraId="09C31F39" w14:textId="77777777">
        <w:trPr>
          <w:cantSplit/>
        </w:trPr>
        <w:tc>
          <w:tcPr>
            <w:tcW w:w="3068" w:type="dxa"/>
            <w:vMerge w:val="restart"/>
            <w:shd w:val="clear" w:color="auto" w:fill="auto"/>
          </w:tcPr>
          <w:p w14:paraId="6B1E2F15" w14:textId="77777777" w:rsidR="007963F8" w:rsidRDefault="008714EA" w:rsidP="005924D0">
            <w:pPr>
              <w:keepNext/>
              <w:keepLines/>
              <w:rPr>
                <w:i/>
                <w:iCs/>
                <w:szCs w:val="22"/>
                <w:lang w:val="hu-HU"/>
              </w:rPr>
            </w:pPr>
            <w:r>
              <w:rPr>
                <w:bCs/>
                <w:i/>
                <w:szCs w:val="22"/>
                <w:lang w:val="hu-HU"/>
              </w:rPr>
              <w:lastRenderedPageBreak/>
              <w:t>A csont- és izomrendszer, valamint a kötőszövet betegségei és tünetei</w:t>
            </w:r>
          </w:p>
        </w:tc>
        <w:tc>
          <w:tcPr>
            <w:tcW w:w="3118" w:type="dxa"/>
            <w:shd w:val="clear" w:color="auto" w:fill="auto"/>
            <w:vAlign w:val="center"/>
          </w:tcPr>
          <w:p w14:paraId="00013BAF" w14:textId="77777777" w:rsidR="007963F8" w:rsidRDefault="008714EA" w:rsidP="005924D0">
            <w:pPr>
              <w:keepNext/>
              <w:widowControl w:val="0"/>
              <w:tabs>
                <w:tab w:val="left" w:pos="1315"/>
              </w:tabs>
              <w:rPr>
                <w:szCs w:val="22"/>
                <w:lang w:val="hu-HU" w:eastAsia="en-US"/>
              </w:rPr>
            </w:pPr>
            <w:proofErr w:type="spellStart"/>
            <w:r>
              <w:rPr>
                <w:szCs w:val="22"/>
                <w:lang w:val="hu-HU" w:eastAsia="en-US"/>
              </w:rPr>
              <w:t>Myalgia</w:t>
            </w:r>
            <w:proofErr w:type="spellEnd"/>
          </w:p>
        </w:tc>
        <w:tc>
          <w:tcPr>
            <w:tcW w:w="1560" w:type="dxa"/>
            <w:shd w:val="clear" w:color="auto" w:fill="auto"/>
            <w:vAlign w:val="center"/>
          </w:tcPr>
          <w:p w14:paraId="4A5B5036" w14:textId="77777777" w:rsidR="007963F8" w:rsidRDefault="008714EA" w:rsidP="005924D0">
            <w:pPr>
              <w:keepNext/>
              <w:widowControl w:val="0"/>
              <w:ind w:right="-57"/>
              <w:jc w:val="center"/>
              <w:rPr>
                <w:szCs w:val="22"/>
                <w:lang w:val="hu-HU" w:eastAsia="en-US"/>
              </w:rPr>
            </w:pPr>
            <w:r>
              <w:rPr>
                <w:szCs w:val="22"/>
                <w:lang w:val="hu-HU" w:eastAsia="en-US"/>
              </w:rPr>
              <w:t>Nem ismert</w:t>
            </w:r>
          </w:p>
        </w:tc>
        <w:tc>
          <w:tcPr>
            <w:tcW w:w="1445" w:type="dxa"/>
            <w:vAlign w:val="center"/>
          </w:tcPr>
          <w:p w14:paraId="2C2104D5" w14:textId="77777777" w:rsidR="007963F8" w:rsidRDefault="008714EA" w:rsidP="005924D0">
            <w:pPr>
              <w:keepNext/>
              <w:widowControl w:val="0"/>
              <w:ind w:right="-57"/>
              <w:jc w:val="center"/>
              <w:rPr>
                <w:szCs w:val="22"/>
                <w:lang w:val="hu-HU" w:eastAsia="en-US"/>
              </w:rPr>
            </w:pPr>
            <w:r>
              <w:rPr>
                <w:szCs w:val="22"/>
                <w:lang w:val="hu-HU" w:eastAsia="en-US"/>
              </w:rPr>
              <w:t>Gyakori</w:t>
            </w:r>
          </w:p>
        </w:tc>
      </w:tr>
      <w:tr w:rsidR="007963F8" w14:paraId="3E933D2F" w14:textId="77777777">
        <w:trPr>
          <w:cantSplit/>
        </w:trPr>
        <w:tc>
          <w:tcPr>
            <w:tcW w:w="3068" w:type="dxa"/>
            <w:vMerge/>
            <w:shd w:val="clear" w:color="auto" w:fill="auto"/>
          </w:tcPr>
          <w:p w14:paraId="1D9177E5"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70B149C8" w14:textId="77777777" w:rsidR="007963F8" w:rsidRDefault="008714EA">
            <w:pPr>
              <w:widowControl w:val="0"/>
              <w:tabs>
                <w:tab w:val="left" w:pos="1315"/>
              </w:tabs>
              <w:rPr>
                <w:szCs w:val="22"/>
                <w:lang w:val="hu-HU" w:eastAsia="en-US"/>
              </w:rPr>
            </w:pPr>
            <w:proofErr w:type="spellStart"/>
            <w:r>
              <w:rPr>
                <w:szCs w:val="22"/>
                <w:lang w:val="hu-HU" w:eastAsia="en-US"/>
              </w:rPr>
              <w:t>Myopathia</w:t>
            </w:r>
            <w:proofErr w:type="spellEnd"/>
            <w:r>
              <w:rPr>
                <w:szCs w:val="22"/>
                <w:lang w:val="hu-HU" w:eastAsia="en-US"/>
              </w:rPr>
              <w:t xml:space="preserve"> (pl. </w:t>
            </w:r>
            <w:proofErr w:type="spellStart"/>
            <w:r>
              <w:rPr>
                <w:szCs w:val="22"/>
                <w:lang w:val="hu-HU" w:eastAsia="en-US"/>
              </w:rPr>
              <w:t>myositis</w:t>
            </w:r>
            <w:proofErr w:type="spellEnd"/>
            <w:r>
              <w:rPr>
                <w:szCs w:val="22"/>
                <w:lang w:val="hu-HU" w:eastAsia="en-US"/>
              </w:rPr>
              <w:t xml:space="preserve">), </w:t>
            </w:r>
            <w:r>
              <w:rPr>
                <w:szCs w:val="22"/>
              </w:rPr>
              <w:t>lupus</w:t>
            </w:r>
            <w:r>
              <w:rPr>
                <w:szCs w:val="22"/>
              </w:rPr>
              <w:noBreakHyphen/>
              <w:t xml:space="preserve">szerű szindróma, </w:t>
            </w:r>
            <w:r>
              <w:rPr>
                <w:color w:val="000000"/>
                <w:szCs w:val="22"/>
                <w:lang w:val="hu-HU"/>
              </w:rPr>
              <w:t>izomszakadás</w:t>
            </w:r>
          </w:p>
        </w:tc>
        <w:tc>
          <w:tcPr>
            <w:tcW w:w="1560" w:type="dxa"/>
            <w:shd w:val="clear" w:color="auto" w:fill="auto"/>
            <w:vAlign w:val="center"/>
          </w:tcPr>
          <w:p w14:paraId="5C686355"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2BB7A074" w14:textId="77777777" w:rsidR="007963F8" w:rsidRDefault="008714EA">
            <w:pPr>
              <w:widowControl w:val="0"/>
              <w:ind w:right="-57"/>
              <w:jc w:val="center"/>
              <w:rPr>
                <w:szCs w:val="22"/>
                <w:lang w:val="hu-HU" w:eastAsia="en-US"/>
              </w:rPr>
            </w:pPr>
            <w:r>
              <w:rPr>
                <w:szCs w:val="22"/>
                <w:lang w:val="hu-HU" w:eastAsia="en-US"/>
              </w:rPr>
              <w:t>Ritka</w:t>
            </w:r>
          </w:p>
        </w:tc>
      </w:tr>
      <w:tr w:rsidR="007963F8" w14:paraId="06C105D5" w14:textId="77777777">
        <w:trPr>
          <w:cantSplit/>
        </w:trPr>
        <w:tc>
          <w:tcPr>
            <w:tcW w:w="3068" w:type="dxa"/>
            <w:vMerge/>
            <w:shd w:val="clear" w:color="auto" w:fill="auto"/>
          </w:tcPr>
          <w:p w14:paraId="319F1302"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3EA912E3" w14:textId="77777777" w:rsidR="007963F8" w:rsidRDefault="008714EA">
            <w:pPr>
              <w:widowControl w:val="0"/>
              <w:tabs>
                <w:tab w:val="left" w:pos="1315"/>
              </w:tabs>
              <w:rPr>
                <w:szCs w:val="22"/>
                <w:lang w:val="hu-HU" w:eastAsia="en-US"/>
              </w:rPr>
            </w:pPr>
            <w:proofErr w:type="spellStart"/>
            <w:r>
              <w:rPr>
                <w:szCs w:val="22"/>
                <w:lang w:val="hu-HU" w:eastAsia="en-US"/>
              </w:rPr>
              <w:t>Rhabdomyolysis</w:t>
            </w:r>
            <w:proofErr w:type="spellEnd"/>
          </w:p>
        </w:tc>
        <w:tc>
          <w:tcPr>
            <w:tcW w:w="1560" w:type="dxa"/>
            <w:shd w:val="clear" w:color="auto" w:fill="auto"/>
            <w:vAlign w:val="center"/>
          </w:tcPr>
          <w:p w14:paraId="77465C2A"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614A9EF5" w14:textId="77777777" w:rsidR="007963F8" w:rsidRDefault="008714EA">
            <w:pPr>
              <w:widowControl w:val="0"/>
              <w:ind w:right="-57"/>
              <w:jc w:val="center"/>
              <w:rPr>
                <w:szCs w:val="22"/>
                <w:lang w:val="hu-HU" w:eastAsia="en-US"/>
              </w:rPr>
            </w:pPr>
            <w:r>
              <w:rPr>
                <w:szCs w:val="22"/>
                <w:lang w:val="hu-HU" w:eastAsia="en-US"/>
              </w:rPr>
              <w:t>Ritka</w:t>
            </w:r>
          </w:p>
        </w:tc>
      </w:tr>
      <w:tr w:rsidR="007963F8" w14:paraId="01FB6044" w14:textId="77777777">
        <w:trPr>
          <w:cantSplit/>
        </w:trPr>
        <w:tc>
          <w:tcPr>
            <w:tcW w:w="3068" w:type="dxa"/>
            <w:vMerge/>
            <w:shd w:val="clear" w:color="auto" w:fill="auto"/>
          </w:tcPr>
          <w:p w14:paraId="36097447"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23BE8E9A" w14:textId="77777777" w:rsidR="007963F8" w:rsidRDefault="008714EA">
            <w:pPr>
              <w:widowControl w:val="0"/>
              <w:tabs>
                <w:tab w:val="left" w:pos="1315"/>
              </w:tabs>
              <w:rPr>
                <w:szCs w:val="22"/>
                <w:lang w:val="hu-HU" w:eastAsia="en-US"/>
              </w:rPr>
            </w:pPr>
            <w:r>
              <w:t>Arthralgia</w:t>
            </w:r>
          </w:p>
        </w:tc>
        <w:tc>
          <w:tcPr>
            <w:tcW w:w="1560" w:type="dxa"/>
            <w:shd w:val="clear" w:color="auto" w:fill="auto"/>
            <w:vAlign w:val="center"/>
          </w:tcPr>
          <w:p w14:paraId="6071765F"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7BD6FED6" w14:textId="77777777" w:rsidR="007963F8" w:rsidRDefault="008714EA">
            <w:pPr>
              <w:widowControl w:val="0"/>
              <w:ind w:right="-57"/>
              <w:jc w:val="center"/>
              <w:rPr>
                <w:szCs w:val="22"/>
                <w:lang w:val="hu-HU" w:eastAsia="en-US"/>
              </w:rPr>
            </w:pPr>
            <w:r>
              <w:rPr>
                <w:szCs w:val="22"/>
                <w:lang w:val="hu-HU" w:eastAsia="en-US"/>
              </w:rPr>
              <w:t>Nagyon ritka</w:t>
            </w:r>
          </w:p>
        </w:tc>
      </w:tr>
      <w:tr w:rsidR="007963F8" w14:paraId="3027C5D5" w14:textId="77777777">
        <w:trPr>
          <w:cantSplit/>
        </w:trPr>
        <w:tc>
          <w:tcPr>
            <w:tcW w:w="3068" w:type="dxa"/>
            <w:vMerge/>
            <w:shd w:val="clear" w:color="auto" w:fill="auto"/>
          </w:tcPr>
          <w:p w14:paraId="23A8C262"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1C35ED7E" w14:textId="77777777" w:rsidR="007963F8" w:rsidRDefault="008714EA">
            <w:pPr>
              <w:widowControl w:val="0"/>
              <w:tabs>
                <w:tab w:val="left" w:pos="1315"/>
              </w:tabs>
              <w:rPr>
                <w:szCs w:val="22"/>
                <w:lang w:val="hu-HU" w:eastAsia="en-US"/>
              </w:rPr>
            </w:pPr>
            <w:proofErr w:type="spellStart"/>
            <w:r>
              <w:rPr>
                <w:szCs w:val="22"/>
                <w:lang w:val="hu-HU" w:eastAsia="en-US"/>
              </w:rPr>
              <w:t>Immunmediált</w:t>
            </w:r>
            <w:proofErr w:type="spellEnd"/>
            <w:r>
              <w:rPr>
                <w:szCs w:val="22"/>
                <w:lang w:val="hu-HU" w:eastAsia="en-US"/>
              </w:rPr>
              <w:t xml:space="preserve"> </w:t>
            </w:r>
            <w:proofErr w:type="spellStart"/>
            <w:r>
              <w:rPr>
                <w:szCs w:val="22"/>
                <w:lang w:val="hu-HU" w:eastAsia="en-US"/>
              </w:rPr>
              <w:t>nekrotizáló</w:t>
            </w:r>
            <w:proofErr w:type="spellEnd"/>
            <w:r>
              <w:rPr>
                <w:szCs w:val="22"/>
                <w:lang w:val="hu-HU" w:eastAsia="en-US"/>
              </w:rPr>
              <w:t xml:space="preserve"> </w:t>
            </w:r>
            <w:proofErr w:type="spellStart"/>
            <w:r>
              <w:rPr>
                <w:szCs w:val="22"/>
                <w:lang w:val="hu-HU" w:eastAsia="en-US"/>
              </w:rPr>
              <w:t>myopathia</w:t>
            </w:r>
            <w:proofErr w:type="spellEnd"/>
          </w:p>
        </w:tc>
        <w:tc>
          <w:tcPr>
            <w:tcW w:w="1560" w:type="dxa"/>
            <w:shd w:val="clear" w:color="auto" w:fill="auto"/>
            <w:vAlign w:val="center"/>
          </w:tcPr>
          <w:p w14:paraId="5BE4B49E"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6FF1F3ED" w14:textId="77777777" w:rsidR="007963F8" w:rsidRDefault="008714EA">
            <w:pPr>
              <w:widowControl w:val="0"/>
              <w:ind w:right="-57"/>
              <w:jc w:val="center"/>
              <w:rPr>
                <w:szCs w:val="22"/>
                <w:lang w:val="hu-HU" w:eastAsia="en-US"/>
              </w:rPr>
            </w:pPr>
            <w:r>
              <w:rPr>
                <w:szCs w:val="22"/>
                <w:lang w:val="hu-HU" w:eastAsia="en-US"/>
              </w:rPr>
              <w:t>Nem ismert</w:t>
            </w:r>
          </w:p>
        </w:tc>
      </w:tr>
      <w:tr w:rsidR="007963F8" w14:paraId="50A61E25" w14:textId="77777777">
        <w:trPr>
          <w:cantSplit/>
        </w:trPr>
        <w:tc>
          <w:tcPr>
            <w:tcW w:w="3068" w:type="dxa"/>
            <w:vMerge/>
            <w:shd w:val="clear" w:color="auto" w:fill="auto"/>
          </w:tcPr>
          <w:p w14:paraId="00DD443D"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438F930E" w14:textId="77777777" w:rsidR="007963F8" w:rsidRDefault="008714EA">
            <w:pPr>
              <w:widowControl w:val="0"/>
              <w:tabs>
                <w:tab w:val="left" w:pos="1315"/>
              </w:tabs>
              <w:rPr>
                <w:szCs w:val="22"/>
                <w:lang w:val="hu-HU" w:eastAsia="en-US"/>
              </w:rPr>
            </w:pPr>
            <w:r>
              <w:rPr>
                <w:szCs w:val="22"/>
                <w:lang w:val="hu-HU" w:eastAsia="en-US"/>
              </w:rPr>
              <w:t xml:space="preserve">Ínrendellenesség, olykor szövődményként </w:t>
            </w:r>
            <w:proofErr w:type="spellStart"/>
            <w:r>
              <w:rPr>
                <w:szCs w:val="22"/>
                <w:lang w:val="hu-HU" w:eastAsia="en-US"/>
              </w:rPr>
              <w:t>ínruptura</w:t>
            </w:r>
            <w:proofErr w:type="spellEnd"/>
          </w:p>
        </w:tc>
        <w:tc>
          <w:tcPr>
            <w:tcW w:w="1560" w:type="dxa"/>
            <w:shd w:val="clear" w:color="auto" w:fill="auto"/>
            <w:vAlign w:val="center"/>
          </w:tcPr>
          <w:p w14:paraId="76095115"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5E78857E" w14:textId="77777777" w:rsidR="007963F8" w:rsidRDefault="008714EA">
            <w:pPr>
              <w:widowControl w:val="0"/>
              <w:ind w:right="-57"/>
              <w:jc w:val="center"/>
              <w:rPr>
                <w:szCs w:val="22"/>
                <w:lang w:val="hu-HU" w:eastAsia="en-US"/>
              </w:rPr>
            </w:pPr>
            <w:r>
              <w:rPr>
                <w:szCs w:val="22"/>
                <w:lang w:val="hu-HU" w:eastAsia="en-US"/>
              </w:rPr>
              <w:t>Nem ismert</w:t>
            </w:r>
          </w:p>
        </w:tc>
      </w:tr>
      <w:tr w:rsidR="007963F8" w14:paraId="15881676" w14:textId="77777777">
        <w:trPr>
          <w:cantSplit/>
        </w:trPr>
        <w:tc>
          <w:tcPr>
            <w:tcW w:w="3068" w:type="dxa"/>
            <w:vMerge w:val="restart"/>
            <w:shd w:val="clear" w:color="auto" w:fill="auto"/>
          </w:tcPr>
          <w:p w14:paraId="0FDF5673" w14:textId="77777777" w:rsidR="007963F8" w:rsidRDefault="008714EA">
            <w:pPr>
              <w:keepLines/>
              <w:rPr>
                <w:szCs w:val="22"/>
                <w:lang w:val="hu-HU"/>
              </w:rPr>
            </w:pPr>
            <w:r>
              <w:rPr>
                <w:bCs/>
                <w:i/>
                <w:szCs w:val="22"/>
                <w:lang w:val="hu-HU"/>
              </w:rPr>
              <w:t>Vese- és húgyúti betegségek és tünetek</w:t>
            </w:r>
          </w:p>
        </w:tc>
        <w:tc>
          <w:tcPr>
            <w:tcW w:w="3118" w:type="dxa"/>
            <w:shd w:val="clear" w:color="auto" w:fill="auto"/>
            <w:vAlign w:val="center"/>
          </w:tcPr>
          <w:p w14:paraId="06042790" w14:textId="77777777" w:rsidR="007963F8" w:rsidRDefault="008714EA">
            <w:pPr>
              <w:widowControl w:val="0"/>
              <w:tabs>
                <w:tab w:val="left" w:pos="1315"/>
              </w:tabs>
              <w:rPr>
                <w:szCs w:val="22"/>
                <w:lang w:val="hu-HU" w:eastAsia="en-US"/>
              </w:rPr>
            </w:pPr>
            <w:proofErr w:type="spellStart"/>
            <w:r>
              <w:rPr>
                <w:szCs w:val="22"/>
                <w:lang w:val="hu-HU" w:eastAsia="en-US"/>
              </w:rPr>
              <w:t>Haematuria</w:t>
            </w:r>
            <w:proofErr w:type="spellEnd"/>
          </w:p>
        </w:tc>
        <w:tc>
          <w:tcPr>
            <w:tcW w:w="1560" w:type="dxa"/>
            <w:shd w:val="clear" w:color="auto" w:fill="auto"/>
            <w:vAlign w:val="center"/>
          </w:tcPr>
          <w:p w14:paraId="686E721D"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701CA237" w14:textId="77777777" w:rsidR="007963F8" w:rsidRDefault="008714EA">
            <w:pPr>
              <w:widowControl w:val="0"/>
              <w:ind w:right="-57"/>
              <w:jc w:val="center"/>
              <w:rPr>
                <w:szCs w:val="22"/>
                <w:lang w:val="hu-HU" w:eastAsia="en-US"/>
              </w:rPr>
            </w:pPr>
            <w:r>
              <w:rPr>
                <w:szCs w:val="22"/>
                <w:lang w:val="hu-HU" w:eastAsia="en-US"/>
              </w:rPr>
              <w:t>Nagyon ritka</w:t>
            </w:r>
          </w:p>
        </w:tc>
      </w:tr>
      <w:tr w:rsidR="007963F8" w14:paraId="1BDED9AC" w14:textId="77777777">
        <w:trPr>
          <w:cantSplit/>
        </w:trPr>
        <w:tc>
          <w:tcPr>
            <w:tcW w:w="3068" w:type="dxa"/>
            <w:vMerge/>
            <w:shd w:val="clear" w:color="auto" w:fill="auto"/>
          </w:tcPr>
          <w:p w14:paraId="20D277B9" w14:textId="77777777" w:rsidR="007963F8" w:rsidRDefault="007963F8">
            <w:pPr>
              <w:widowControl w:val="0"/>
              <w:tabs>
                <w:tab w:val="left" w:pos="567"/>
              </w:tabs>
              <w:rPr>
                <w:i/>
                <w:szCs w:val="22"/>
                <w:lang w:val="hu-HU" w:eastAsia="en-US"/>
              </w:rPr>
            </w:pPr>
          </w:p>
        </w:tc>
        <w:tc>
          <w:tcPr>
            <w:tcW w:w="3118" w:type="dxa"/>
            <w:shd w:val="clear" w:color="auto" w:fill="auto"/>
            <w:vAlign w:val="center"/>
          </w:tcPr>
          <w:p w14:paraId="4547B94A" w14:textId="77777777" w:rsidR="007963F8" w:rsidRDefault="008714EA">
            <w:pPr>
              <w:widowControl w:val="0"/>
              <w:tabs>
                <w:tab w:val="left" w:pos="1315"/>
              </w:tabs>
              <w:rPr>
                <w:szCs w:val="22"/>
                <w:lang w:val="hu-HU" w:eastAsia="en-US"/>
              </w:rPr>
            </w:pPr>
            <w:r>
              <w:rPr>
                <w:szCs w:val="22"/>
                <w:lang w:val="hu-HU" w:eastAsia="en-US"/>
              </w:rPr>
              <w:t xml:space="preserve">Veseelégtelenség/-károsodás, a szérum </w:t>
            </w:r>
            <w:proofErr w:type="spellStart"/>
            <w:r>
              <w:rPr>
                <w:szCs w:val="22"/>
                <w:lang w:val="hu-HU" w:eastAsia="en-US"/>
              </w:rPr>
              <w:t>kreatininszint</w:t>
            </w:r>
            <w:proofErr w:type="spellEnd"/>
            <w:r>
              <w:rPr>
                <w:szCs w:val="22"/>
                <w:lang w:val="hu-HU" w:eastAsia="en-US"/>
              </w:rPr>
              <w:t xml:space="preserve"> emelkedése</w:t>
            </w:r>
          </w:p>
        </w:tc>
        <w:tc>
          <w:tcPr>
            <w:tcW w:w="1560" w:type="dxa"/>
            <w:shd w:val="clear" w:color="auto" w:fill="auto"/>
            <w:vAlign w:val="center"/>
          </w:tcPr>
          <w:p w14:paraId="6B9C37DA" w14:textId="77777777" w:rsidR="007963F8" w:rsidRDefault="008714EA">
            <w:pPr>
              <w:widowControl w:val="0"/>
              <w:ind w:right="-57"/>
              <w:jc w:val="center"/>
              <w:rPr>
                <w:szCs w:val="22"/>
                <w:lang w:val="hu-HU" w:eastAsia="en-US"/>
              </w:rPr>
            </w:pPr>
            <w:r>
              <w:rPr>
                <w:szCs w:val="22"/>
                <w:lang w:val="hu-HU" w:eastAsia="en-US"/>
              </w:rPr>
              <w:t>Nem ismert</w:t>
            </w:r>
          </w:p>
        </w:tc>
        <w:tc>
          <w:tcPr>
            <w:tcW w:w="1445" w:type="dxa"/>
            <w:vAlign w:val="center"/>
          </w:tcPr>
          <w:p w14:paraId="63179C95" w14:textId="77777777" w:rsidR="007963F8" w:rsidRDefault="008714EA">
            <w:pPr>
              <w:widowControl w:val="0"/>
              <w:ind w:right="-57"/>
              <w:jc w:val="center"/>
              <w:rPr>
                <w:szCs w:val="22"/>
                <w:lang w:val="hu-HU" w:eastAsia="en-US"/>
              </w:rPr>
            </w:pPr>
            <w:r>
              <w:rPr>
                <w:szCs w:val="22"/>
                <w:lang w:val="hu-HU" w:eastAsia="en-US"/>
              </w:rPr>
              <w:t xml:space="preserve"> —</w:t>
            </w:r>
          </w:p>
        </w:tc>
      </w:tr>
      <w:tr w:rsidR="007963F8" w14:paraId="4FB4D3F9" w14:textId="77777777">
        <w:trPr>
          <w:cantSplit/>
        </w:trPr>
        <w:tc>
          <w:tcPr>
            <w:tcW w:w="3068" w:type="dxa"/>
            <w:shd w:val="clear" w:color="auto" w:fill="auto"/>
          </w:tcPr>
          <w:p w14:paraId="4F515148" w14:textId="77777777" w:rsidR="007963F8" w:rsidRDefault="008714EA">
            <w:pPr>
              <w:keepLines/>
              <w:rPr>
                <w:szCs w:val="22"/>
                <w:lang w:val="hu-HU"/>
              </w:rPr>
            </w:pPr>
            <w:r>
              <w:rPr>
                <w:bCs/>
                <w:i/>
                <w:szCs w:val="22"/>
                <w:lang w:val="hu-HU"/>
              </w:rPr>
              <w:t>A nemi szervekkel és az emlőkkel kapcsolatos betegségek és tünetek</w:t>
            </w:r>
          </w:p>
        </w:tc>
        <w:tc>
          <w:tcPr>
            <w:tcW w:w="3118" w:type="dxa"/>
            <w:shd w:val="clear" w:color="auto" w:fill="auto"/>
            <w:vAlign w:val="center"/>
          </w:tcPr>
          <w:p w14:paraId="7DA82107" w14:textId="77777777" w:rsidR="007963F8" w:rsidRDefault="008714EA">
            <w:pPr>
              <w:widowControl w:val="0"/>
              <w:tabs>
                <w:tab w:val="left" w:pos="1315"/>
              </w:tabs>
              <w:rPr>
                <w:szCs w:val="22"/>
                <w:lang w:val="hu-HU" w:eastAsia="en-US"/>
              </w:rPr>
            </w:pPr>
            <w:proofErr w:type="spellStart"/>
            <w:r>
              <w:rPr>
                <w:szCs w:val="22"/>
                <w:lang w:val="hu-HU" w:eastAsia="en-US"/>
              </w:rPr>
              <w:t>Gynaecomastia</w:t>
            </w:r>
            <w:proofErr w:type="spellEnd"/>
          </w:p>
        </w:tc>
        <w:tc>
          <w:tcPr>
            <w:tcW w:w="1560" w:type="dxa"/>
            <w:shd w:val="clear" w:color="auto" w:fill="auto"/>
            <w:vAlign w:val="center"/>
          </w:tcPr>
          <w:p w14:paraId="3607FCA2" w14:textId="77777777" w:rsidR="007963F8" w:rsidRDefault="008714EA">
            <w:pPr>
              <w:widowControl w:val="0"/>
              <w:ind w:right="-57"/>
              <w:jc w:val="center"/>
              <w:rPr>
                <w:szCs w:val="22"/>
                <w:lang w:val="hu-HU" w:eastAsia="en-US"/>
              </w:rPr>
            </w:pPr>
            <w:r>
              <w:rPr>
                <w:szCs w:val="22"/>
                <w:lang w:val="hu-HU" w:eastAsia="en-US"/>
              </w:rPr>
              <w:t xml:space="preserve"> —</w:t>
            </w:r>
          </w:p>
        </w:tc>
        <w:tc>
          <w:tcPr>
            <w:tcW w:w="1445" w:type="dxa"/>
            <w:vAlign w:val="center"/>
          </w:tcPr>
          <w:p w14:paraId="6B73ACB0" w14:textId="77777777" w:rsidR="007963F8" w:rsidRDefault="008714EA">
            <w:pPr>
              <w:widowControl w:val="0"/>
              <w:ind w:right="-57"/>
              <w:jc w:val="center"/>
              <w:rPr>
                <w:szCs w:val="22"/>
                <w:lang w:val="hu-HU" w:eastAsia="en-US"/>
              </w:rPr>
            </w:pPr>
            <w:r>
              <w:rPr>
                <w:szCs w:val="22"/>
                <w:lang w:val="hu-HU" w:eastAsia="en-US"/>
              </w:rPr>
              <w:t>Nagyon ritka</w:t>
            </w:r>
          </w:p>
        </w:tc>
      </w:tr>
      <w:tr w:rsidR="007963F8" w14:paraId="77A84423" w14:textId="77777777">
        <w:trPr>
          <w:cantSplit/>
        </w:trPr>
        <w:tc>
          <w:tcPr>
            <w:tcW w:w="3068" w:type="dxa"/>
            <w:vMerge w:val="restart"/>
            <w:shd w:val="clear" w:color="auto" w:fill="auto"/>
          </w:tcPr>
          <w:p w14:paraId="6734D0FF" w14:textId="77777777" w:rsidR="007963F8" w:rsidRDefault="008714EA">
            <w:pPr>
              <w:keepNext/>
              <w:keepLines/>
              <w:rPr>
                <w:i/>
                <w:iCs/>
                <w:szCs w:val="22"/>
                <w:lang w:val="hu-HU"/>
              </w:rPr>
            </w:pPr>
            <w:r>
              <w:rPr>
                <w:bCs/>
                <w:i/>
                <w:szCs w:val="22"/>
                <w:lang w:val="hu-HU"/>
              </w:rPr>
              <w:t>Általános tünetek, az alkalmazás helyén fellépő reakciók</w:t>
            </w:r>
          </w:p>
        </w:tc>
        <w:tc>
          <w:tcPr>
            <w:tcW w:w="3118" w:type="dxa"/>
            <w:shd w:val="clear" w:color="auto" w:fill="auto"/>
            <w:vAlign w:val="center"/>
          </w:tcPr>
          <w:p w14:paraId="7042A2CC" w14:textId="77777777" w:rsidR="007963F8" w:rsidRDefault="008714EA">
            <w:pPr>
              <w:keepNext/>
              <w:widowControl w:val="0"/>
              <w:tabs>
                <w:tab w:val="left" w:pos="1315"/>
              </w:tabs>
              <w:rPr>
                <w:szCs w:val="22"/>
                <w:lang w:val="hu-HU" w:eastAsia="en-US"/>
              </w:rPr>
            </w:pPr>
            <w:proofErr w:type="spellStart"/>
            <w:r>
              <w:rPr>
                <w:szCs w:val="22"/>
                <w:lang w:val="hu-HU" w:eastAsia="en-US"/>
              </w:rPr>
              <w:t>Asthenia</w:t>
            </w:r>
            <w:proofErr w:type="spellEnd"/>
          </w:p>
        </w:tc>
        <w:tc>
          <w:tcPr>
            <w:tcW w:w="1560" w:type="dxa"/>
            <w:shd w:val="clear" w:color="auto" w:fill="auto"/>
            <w:vAlign w:val="center"/>
          </w:tcPr>
          <w:p w14:paraId="476C55FC" w14:textId="77777777" w:rsidR="007963F8" w:rsidRDefault="008714EA">
            <w:pPr>
              <w:keepNext/>
              <w:widowControl w:val="0"/>
              <w:ind w:right="-57"/>
              <w:jc w:val="center"/>
              <w:rPr>
                <w:szCs w:val="22"/>
                <w:lang w:val="hu-HU" w:eastAsia="en-US"/>
              </w:rPr>
            </w:pPr>
            <w:r>
              <w:rPr>
                <w:szCs w:val="22"/>
                <w:lang w:val="hu-HU" w:eastAsia="en-US"/>
              </w:rPr>
              <w:t xml:space="preserve"> —</w:t>
            </w:r>
          </w:p>
        </w:tc>
        <w:tc>
          <w:tcPr>
            <w:tcW w:w="1445" w:type="dxa"/>
            <w:vAlign w:val="center"/>
          </w:tcPr>
          <w:p w14:paraId="222B715A" w14:textId="77777777" w:rsidR="007963F8" w:rsidRDefault="008714EA">
            <w:pPr>
              <w:keepNext/>
              <w:widowControl w:val="0"/>
              <w:ind w:right="-57"/>
              <w:jc w:val="center"/>
              <w:rPr>
                <w:szCs w:val="22"/>
                <w:lang w:val="hu-HU" w:eastAsia="en-US"/>
              </w:rPr>
            </w:pPr>
            <w:r>
              <w:rPr>
                <w:szCs w:val="22"/>
                <w:lang w:val="hu-HU" w:eastAsia="en-US"/>
              </w:rPr>
              <w:t>Gyakori</w:t>
            </w:r>
          </w:p>
        </w:tc>
      </w:tr>
      <w:tr w:rsidR="007963F8" w14:paraId="4163853E" w14:textId="77777777">
        <w:trPr>
          <w:cantSplit/>
        </w:trPr>
        <w:tc>
          <w:tcPr>
            <w:tcW w:w="3068" w:type="dxa"/>
            <w:vMerge/>
            <w:shd w:val="clear" w:color="auto" w:fill="auto"/>
          </w:tcPr>
          <w:p w14:paraId="0D4AE6A2" w14:textId="77777777" w:rsidR="007963F8" w:rsidRDefault="007963F8">
            <w:pPr>
              <w:keepNext/>
              <w:widowControl w:val="0"/>
              <w:tabs>
                <w:tab w:val="left" w:pos="567"/>
              </w:tabs>
              <w:rPr>
                <w:szCs w:val="22"/>
                <w:lang w:val="hu-HU" w:eastAsia="en-US"/>
              </w:rPr>
            </w:pPr>
          </w:p>
        </w:tc>
        <w:tc>
          <w:tcPr>
            <w:tcW w:w="3118" w:type="dxa"/>
            <w:shd w:val="clear" w:color="auto" w:fill="auto"/>
            <w:vAlign w:val="center"/>
          </w:tcPr>
          <w:p w14:paraId="0D7E8855" w14:textId="77777777" w:rsidR="007963F8" w:rsidRDefault="008714EA">
            <w:pPr>
              <w:keepNext/>
              <w:widowControl w:val="0"/>
              <w:tabs>
                <w:tab w:val="left" w:pos="1315"/>
              </w:tabs>
              <w:rPr>
                <w:szCs w:val="22"/>
                <w:lang w:val="hu-HU" w:eastAsia="en-US"/>
              </w:rPr>
            </w:pPr>
            <w:proofErr w:type="spellStart"/>
            <w:r>
              <w:rPr>
                <w:szCs w:val="22"/>
                <w:lang w:val="hu-HU" w:eastAsia="en-US"/>
              </w:rPr>
              <w:t>Oedema</w:t>
            </w:r>
            <w:proofErr w:type="spellEnd"/>
          </w:p>
        </w:tc>
        <w:tc>
          <w:tcPr>
            <w:tcW w:w="1560" w:type="dxa"/>
            <w:shd w:val="clear" w:color="auto" w:fill="auto"/>
            <w:vAlign w:val="center"/>
          </w:tcPr>
          <w:p w14:paraId="4A40D030" w14:textId="77777777" w:rsidR="007963F8" w:rsidRDefault="008714EA">
            <w:pPr>
              <w:keepNext/>
              <w:widowControl w:val="0"/>
              <w:ind w:right="-57"/>
              <w:jc w:val="center"/>
              <w:rPr>
                <w:szCs w:val="22"/>
                <w:lang w:val="hu-HU" w:eastAsia="en-US"/>
              </w:rPr>
            </w:pPr>
            <w:r>
              <w:rPr>
                <w:szCs w:val="22"/>
                <w:lang w:val="hu-HU" w:eastAsia="en-US"/>
              </w:rPr>
              <w:t xml:space="preserve"> —</w:t>
            </w:r>
          </w:p>
        </w:tc>
        <w:tc>
          <w:tcPr>
            <w:tcW w:w="1445" w:type="dxa"/>
            <w:vAlign w:val="center"/>
          </w:tcPr>
          <w:p w14:paraId="337F9AD4" w14:textId="77777777" w:rsidR="007963F8" w:rsidRDefault="008714EA">
            <w:pPr>
              <w:keepNext/>
              <w:widowControl w:val="0"/>
              <w:ind w:right="-57"/>
              <w:jc w:val="center"/>
              <w:rPr>
                <w:szCs w:val="22"/>
                <w:lang w:val="hu-HU" w:eastAsia="en-US"/>
              </w:rPr>
            </w:pPr>
            <w:r>
              <w:rPr>
                <w:szCs w:val="22"/>
                <w:lang w:val="hu-HU" w:eastAsia="en-US"/>
              </w:rPr>
              <w:t>Nem ismert</w:t>
            </w:r>
          </w:p>
        </w:tc>
      </w:tr>
      <w:tr w:rsidR="007963F8" w14:paraId="3ED96141" w14:textId="77777777">
        <w:trPr>
          <w:cantSplit/>
        </w:trPr>
        <w:tc>
          <w:tcPr>
            <w:tcW w:w="3068" w:type="dxa"/>
            <w:vMerge/>
            <w:tcBorders>
              <w:bottom w:val="single" w:sz="4" w:space="0" w:color="auto"/>
            </w:tcBorders>
            <w:shd w:val="clear" w:color="auto" w:fill="auto"/>
          </w:tcPr>
          <w:p w14:paraId="21FB6747" w14:textId="77777777" w:rsidR="007963F8" w:rsidRDefault="007963F8">
            <w:pPr>
              <w:keepNext/>
              <w:widowControl w:val="0"/>
              <w:tabs>
                <w:tab w:val="left" w:pos="567"/>
              </w:tabs>
              <w:rPr>
                <w:szCs w:val="22"/>
                <w:lang w:val="hu-HU" w:eastAsia="en-US"/>
              </w:rPr>
            </w:pPr>
          </w:p>
        </w:tc>
        <w:tc>
          <w:tcPr>
            <w:tcW w:w="3118" w:type="dxa"/>
            <w:tcBorders>
              <w:bottom w:val="single" w:sz="4" w:space="0" w:color="auto"/>
            </w:tcBorders>
            <w:shd w:val="clear" w:color="auto" w:fill="auto"/>
            <w:vAlign w:val="center"/>
          </w:tcPr>
          <w:p w14:paraId="44B5DAC5" w14:textId="77777777" w:rsidR="007963F8" w:rsidRDefault="008714EA">
            <w:pPr>
              <w:keepNext/>
              <w:widowControl w:val="0"/>
              <w:tabs>
                <w:tab w:val="left" w:pos="1315"/>
              </w:tabs>
              <w:rPr>
                <w:szCs w:val="22"/>
                <w:lang w:val="hu-HU" w:eastAsia="en-US"/>
              </w:rPr>
            </w:pPr>
            <w:r>
              <w:rPr>
                <w:szCs w:val="22"/>
                <w:lang w:val="hu-HU" w:eastAsia="en-US"/>
              </w:rPr>
              <w:t>Kimerültség</w:t>
            </w:r>
          </w:p>
        </w:tc>
        <w:tc>
          <w:tcPr>
            <w:tcW w:w="1560" w:type="dxa"/>
            <w:tcBorders>
              <w:bottom w:val="single" w:sz="4" w:space="0" w:color="auto"/>
            </w:tcBorders>
            <w:shd w:val="clear" w:color="auto" w:fill="auto"/>
            <w:vAlign w:val="center"/>
          </w:tcPr>
          <w:p w14:paraId="0F969874" w14:textId="77777777" w:rsidR="007963F8" w:rsidRDefault="008714EA">
            <w:pPr>
              <w:keepNext/>
              <w:widowControl w:val="0"/>
              <w:ind w:right="-57"/>
              <w:jc w:val="center"/>
              <w:rPr>
                <w:szCs w:val="22"/>
                <w:lang w:val="hu-HU" w:eastAsia="en-US"/>
              </w:rPr>
            </w:pPr>
            <w:r>
              <w:rPr>
                <w:szCs w:val="22"/>
                <w:lang w:val="hu-HU" w:eastAsia="en-US"/>
              </w:rPr>
              <w:t>Nem gyakori</w:t>
            </w:r>
          </w:p>
        </w:tc>
        <w:tc>
          <w:tcPr>
            <w:tcW w:w="1445" w:type="dxa"/>
            <w:tcBorders>
              <w:bottom w:val="single" w:sz="4" w:space="0" w:color="auto"/>
            </w:tcBorders>
            <w:vAlign w:val="center"/>
          </w:tcPr>
          <w:p w14:paraId="1F63484C" w14:textId="77777777" w:rsidR="007963F8" w:rsidRDefault="008714EA">
            <w:pPr>
              <w:keepNext/>
              <w:widowControl w:val="0"/>
              <w:ind w:right="-57"/>
              <w:jc w:val="center"/>
              <w:rPr>
                <w:szCs w:val="22"/>
                <w:lang w:val="hu-HU" w:eastAsia="en-US"/>
              </w:rPr>
            </w:pPr>
            <w:r>
              <w:rPr>
                <w:szCs w:val="22"/>
                <w:lang w:val="hu-HU" w:eastAsia="en-US"/>
              </w:rPr>
              <w:t xml:space="preserve"> —</w:t>
            </w:r>
          </w:p>
        </w:tc>
      </w:tr>
      <w:tr w:rsidR="007963F8" w14:paraId="7ED0F149" w14:textId="77777777">
        <w:trPr>
          <w:cantSplit/>
        </w:trPr>
        <w:tc>
          <w:tcPr>
            <w:tcW w:w="9191" w:type="dxa"/>
            <w:gridSpan w:val="4"/>
            <w:tcBorders>
              <w:top w:val="single" w:sz="4" w:space="0" w:color="auto"/>
              <w:left w:val="nil"/>
              <w:bottom w:val="nil"/>
              <w:right w:val="nil"/>
            </w:tcBorders>
            <w:shd w:val="clear" w:color="auto" w:fill="auto"/>
          </w:tcPr>
          <w:p w14:paraId="3474C5B1" w14:textId="77777777" w:rsidR="007963F8" w:rsidRDefault="008714EA">
            <w:pPr>
              <w:widowControl w:val="0"/>
              <w:ind w:left="318" w:right="-57" w:hanging="318"/>
              <w:rPr>
                <w:szCs w:val="22"/>
                <w:vertAlign w:val="superscript"/>
                <w:lang w:val="hu-HU" w:eastAsia="en-US"/>
              </w:rPr>
            </w:pPr>
            <w:r>
              <w:rPr>
                <w:szCs w:val="22"/>
                <w:vertAlign w:val="superscript"/>
                <w:lang w:val="hu-HU" w:eastAsia="en-US"/>
              </w:rPr>
              <w:t>1</w:t>
            </w:r>
            <w:r>
              <w:rPr>
                <w:szCs w:val="22"/>
                <w:lang w:val="hu-HU" w:eastAsia="en-US"/>
              </w:rPr>
              <w:tab/>
            </w:r>
            <w:r>
              <w:rPr>
                <w:szCs w:val="22"/>
                <w:lang w:val="hu-HU"/>
              </w:rPr>
              <w:t>A gyakoriság a kockázati tényezők meglététől, ill. hiányától függ (</w:t>
            </w:r>
            <w:proofErr w:type="spellStart"/>
            <w:r>
              <w:rPr>
                <w:szCs w:val="22"/>
                <w:lang w:val="hu-HU"/>
              </w:rPr>
              <w:t>éhomi</w:t>
            </w:r>
            <w:proofErr w:type="spellEnd"/>
            <w:r>
              <w:rPr>
                <w:szCs w:val="22"/>
                <w:lang w:val="hu-HU"/>
              </w:rPr>
              <w:t xml:space="preserve"> </w:t>
            </w:r>
            <w:proofErr w:type="spellStart"/>
            <w:r>
              <w:rPr>
                <w:szCs w:val="22"/>
                <w:lang w:val="hu-HU"/>
              </w:rPr>
              <w:t>gükóz</w:t>
            </w:r>
            <w:proofErr w:type="spellEnd"/>
            <w:r>
              <w:rPr>
                <w:szCs w:val="22"/>
                <w:lang w:val="hu-HU"/>
              </w:rPr>
              <w:t> </w:t>
            </w:r>
            <w:r>
              <w:rPr>
                <w:rFonts w:ascii="Symbol" w:hAnsi="Symbol"/>
                <w:szCs w:val="22"/>
                <w:lang w:val="hu-HU"/>
              </w:rPr>
              <w:t></w:t>
            </w:r>
            <w:r>
              <w:rPr>
                <w:szCs w:val="22"/>
                <w:lang w:val="hu-HU"/>
              </w:rPr>
              <w:t> </w:t>
            </w:r>
            <w:r>
              <w:rPr>
                <w:rFonts w:ascii="Symbol" w:hAnsi="Symbol"/>
                <w:szCs w:val="22"/>
                <w:lang w:val="hu-HU"/>
              </w:rPr>
              <w:t></w:t>
            </w:r>
            <w:r>
              <w:rPr>
                <w:rFonts w:ascii="Symbol" w:hAnsi="Symbol"/>
                <w:szCs w:val="22"/>
                <w:lang w:val="hu-HU"/>
              </w:rPr>
              <w:t></w:t>
            </w:r>
            <w:r>
              <w:rPr>
                <w:rFonts w:ascii="Symbol" w:hAnsi="Symbol"/>
                <w:szCs w:val="22"/>
                <w:lang w:val="hu-HU"/>
              </w:rPr>
              <w:t></w:t>
            </w:r>
            <w:r>
              <w:rPr>
                <w:rFonts w:ascii="Symbol" w:hAnsi="Symbol"/>
                <w:szCs w:val="22"/>
                <w:lang w:val="hu-HU"/>
              </w:rPr>
              <w:t></w:t>
            </w:r>
            <w:proofErr w:type="spellStart"/>
            <w:r>
              <w:rPr>
                <w:szCs w:val="22"/>
                <w:lang w:val="hu-HU"/>
              </w:rPr>
              <w:t>mmol</w:t>
            </w:r>
            <w:proofErr w:type="spellEnd"/>
            <w:r>
              <w:rPr>
                <w:szCs w:val="22"/>
                <w:lang w:val="hu-HU"/>
              </w:rPr>
              <w:t>/l, BMI &gt; 30 kg/m</w:t>
            </w:r>
            <w:r>
              <w:rPr>
                <w:szCs w:val="22"/>
                <w:vertAlign w:val="superscript"/>
                <w:lang w:val="hu-HU"/>
              </w:rPr>
              <w:t>2</w:t>
            </w:r>
            <w:r>
              <w:rPr>
                <w:szCs w:val="22"/>
                <w:lang w:val="hu-HU"/>
              </w:rPr>
              <w:t xml:space="preserve">, </w:t>
            </w:r>
            <w:proofErr w:type="spellStart"/>
            <w:r>
              <w:rPr>
                <w:szCs w:val="22"/>
                <w:lang w:val="hu-HU"/>
              </w:rPr>
              <w:t>hypertriglyceridaemia</w:t>
            </w:r>
            <w:proofErr w:type="spellEnd"/>
            <w:r>
              <w:rPr>
                <w:szCs w:val="22"/>
                <w:lang w:val="hu-HU"/>
              </w:rPr>
              <w:t xml:space="preserve">, </w:t>
            </w:r>
            <w:proofErr w:type="spellStart"/>
            <w:r>
              <w:rPr>
                <w:szCs w:val="22"/>
                <w:lang w:val="hu-HU"/>
              </w:rPr>
              <w:t>hypertonia</w:t>
            </w:r>
            <w:proofErr w:type="spellEnd"/>
            <w:r>
              <w:rPr>
                <w:szCs w:val="22"/>
                <w:lang w:val="hu-HU"/>
              </w:rPr>
              <w:t xml:space="preserve"> a kórtörténetben).</w:t>
            </w:r>
          </w:p>
        </w:tc>
      </w:tr>
    </w:tbl>
    <w:p w14:paraId="30C5837E" w14:textId="77777777" w:rsidR="007963F8" w:rsidRDefault="007963F8">
      <w:pPr>
        <w:widowControl w:val="0"/>
        <w:rPr>
          <w:szCs w:val="22"/>
          <w:lang w:val="hu-HU" w:eastAsia="en-US"/>
        </w:rPr>
      </w:pPr>
    </w:p>
    <w:p w14:paraId="245249EC" w14:textId="77777777" w:rsidR="007963F8" w:rsidRDefault="008714EA">
      <w:pPr>
        <w:rPr>
          <w:szCs w:val="22"/>
        </w:rPr>
      </w:pPr>
      <w:r>
        <w:rPr>
          <w:szCs w:val="22"/>
        </w:rPr>
        <w:t>Egyéb HMG-CoA-reduktáz-inhibitorokhoz hasonlóan, a nemkívánatos mellékhatások incidenciája dózisfüggő tendenciát mutat.</w:t>
      </w:r>
    </w:p>
    <w:p w14:paraId="03EAB1B6" w14:textId="77777777" w:rsidR="007963F8" w:rsidRDefault="007963F8">
      <w:pPr>
        <w:widowControl w:val="0"/>
        <w:rPr>
          <w:szCs w:val="22"/>
          <w:lang w:val="hu-HU" w:eastAsia="en-US"/>
        </w:rPr>
      </w:pPr>
    </w:p>
    <w:p w14:paraId="5DB057D3" w14:textId="77777777" w:rsidR="007963F8" w:rsidRDefault="008714EA">
      <w:pPr>
        <w:autoSpaceDE w:val="0"/>
        <w:autoSpaceDN w:val="0"/>
        <w:adjustRightInd w:val="0"/>
        <w:rPr>
          <w:szCs w:val="22"/>
          <w:u w:val="single"/>
          <w:lang w:val="hu-HU"/>
        </w:rPr>
      </w:pPr>
      <w:r>
        <w:rPr>
          <w:szCs w:val="22"/>
          <w:u w:val="single"/>
          <w:lang w:val="hu-HU"/>
        </w:rPr>
        <w:t>Kiválasztott mellékhatások leírása</w:t>
      </w:r>
    </w:p>
    <w:p w14:paraId="51262925" w14:textId="77777777" w:rsidR="007963F8" w:rsidRDefault="007963F8">
      <w:pPr>
        <w:widowControl w:val="0"/>
        <w:rPr>
          <w:szCs w:val="22"/>
          <w:lang w:val="hu-HU" w:eastAsia="en-US"/>
        </w:rPr>
      </w:pPr>
    </w:p>
    <w:p w14:paraId="40055512" w14:textId="77777777" w:rsidR="007963F8" w:rsidRDefault="008714EA">
      <w:pPr>
        <w:rPr>
          <w:szCs w:val="22"/>
        </w:rPr>
      </w:pPr>
      <w:r>
        <w:rPr>
          <w:bCs/>
          <w:i/>
          <w:szCs w:val="22"/>
          <w:lang w:val="hu-HU"/>
        </w:rPr>
        <w:t>Vesére gyakorolt hatások:</w:t>
      </w:r>
      <w:r>
        <w:rPr>
          <w:szCs w:val="22"/>
        </w:rPr>
        <w:t xml:space="preserve"> Rozuvasztatinnal kezelt betegekben tesztcsík vizsgálattal kimutatott, főleg tubuláris eredetű proteinuriát figyeltek meg. A vizeletben megjelenő proteinmennyiség növekedése a nullától, illetve nyomokban előforduló szinttől, – a 10 és 20 mg-os adaggal való kezelés során – a betegek &lt; 1%-nál emelkedett kétkeresztes vagy ennél magasabb értékig. Ugyanez az emelkedés a 40 mg-os adaggal való kezelés mellett megközelítőleg a betegek 3%-ánál volt megfigyelhető. A 20 mg-os dózis alkalmazásakor a protein érték nulláról, illetve nyomokban előforduló értékről egy keresztre történő változása valamivel gyakrabban fordult elő. Az esetek többségében a terápia folytatása mellett a proteinuria spontán csökken vagy megszűnik. </w:t>
      </w:r>
      <w:r>
        <w:t>A klinikai vizsgálatok adatai, valamint az eddigi posztmarketing tapasztalatok alapján nem igazolódott ok</w:t>
      </w:r>
      <w:r>
        <w:noBreakHyphen/>
        <w:t>okozati összefüggés a proteinuria és az akut vagy súlyosbodó vesebetegség kialakulása között.</w:t>
      </w:r>
    </w:p>
    <w:p w14:paraId="279D6B35" w14:textId="77777777" w:rsidR="007963F8" w:rsidRDefault="007963F8">
      <w:pPr>
        <w:rPr>
          <w:szCs w:val="22"/>
          <w:lang w:val="hu-HU"/>
        </w:rPr>
      </w:pPr>
    </w:p>
    <w:p w14:paraId="5D2697A9" w14:textId="77777777" w:rsidR="007963F8" w:rsidRDefault="008714EA">
      <w:pPr>
        <w:pStyle w:val="Normal1"/>
        <w:rPr>
          <w:color w:val="auto"/>
          <w:sz w:val="22"/>
          <w:lang w:val="hu-HU"/>
        </w:rPr>
      </w:pPr>
      <w:r>
        <w:rPr>
          <w:color w:val="auto"/>
          <w:sz w:val="22"/>
          <w:lang w:val="hu-HU"/>
        </w:rPr>
        <w:t xml:space="preserve">Klinikai vizsgálati adatok alapján a </w:t>
      </w:r>
      <w:proofErr w:type="spellStart"/>
      <w:r>
        <w:rPr>
          <w:color w:val="auto"/>
          <w:sz w:val="22"/>
          <w:lang w:val="hu-HU"/>
        </w:rPr>
        <w:t>rozuvasztatinnal</w:t>
      </w:r>
      <w:proofErr w:type="spellEnd"/>
      <w:r>
        <w:rPr>
          <w:color w:val="auto"/>
          <w:sz w:val="22"/>
          <w:lang w:val="hu-HU"/>
        </w:rPr>
        <w:t xml:space="preserve"> kezelt betegeknél nagyon ritkán </w:t>
      </w:r>
      <w:proofErr w:type="spellStart"/>
      <w:r>
        <w:rPr>
          <w:color w:val="auto"/>
          <w:sz w:val="22"/>
          <w:lang w:val="hu-HU"/>
        </w:rPr>
        <w:t>haematuria</w:t>
      </w:r>
      <w:proofErr w:type="spellEnd"/>
      <w:r>
        <w:rPr>
          <w:color w:val="auto"/>
          <w:sz w:val="22"/>
          <w:lang w:val="hu-HU"/>
        </w:rPr>
        <w:t xml:space="preserve"> kialakulását tapasztalták.</w:t>
      </w:r>
    </w:p>
    <w:p w14:paraId="2C950C35" w14:textId="77777777" w:rsidR="007963F8" w:rsidRDefault="007963F8">
      <w:pPr>
        <w:pStyle w:val="Normal1"/>
        <w:rPr>
          <w:color w:val="auto"/>
          <w:sz w:val="22"/>
          <w:szCs w:val="22"/>
          <w:lang w:val="hu-HU"/>
        </w:rPr>
      </w:pPr>
    </w:p>
    <w:p w14:paraId="6D02109D" w14:textId="77777777" w:rsidR="007963F8" w:rsidRDefault="008714EA">
      <w:pPr>
        <w:rPr>
          <w:szCs w:val="22"/>
        </w:rPr>
      </w:pPr>
      <w:r>
        <w:rPr>
          <w:bCs/>
          <w:i/>
          <w:szCs w:val="22"/>
          <w:lang w:val="hu-HU"/>
        </w:rPr>
        <w:t>Vázizomzatra kifejtett hatások:</w:t>
      </w:r>
      <w:r>
        <w:rPr>
          <w:szCs w:val="22"/>
          <w:lang w:val="hu-HU"/>
        </w:rPr>
        <w:t xml:space="preserve"> </w:t>
      </w:r>
      <w:r>
        <w:rPr>
          <w:szCs w:val="22"/>
        </w:rPr>
        <w:t xml:space="preserve">A vázizmok érintettségéről, mint pl. myalgia, myopathia </w:t>
      </w:r>
      <w:r>
        <w:t>(beleértve a myositist)</w:t>
      </w:r>
      <w:r>
        <w:rPr>
          <w:szCs w:val="22"/>
        </w:rPr>
        <w:t xml:space="preserve"> és ritkán rhabdomyolysis, számoltak be rozuvasztatinnal kezelt betegek esetében, bármely dózis, de különösen 20 mg-nál nagyobb adag alkalmazásakor. </w:t>
      </w:r>
    </w:p>
    <w:p w14:paraId="03443C31" w14:textId="77777777" w:rsidR="007963F8" w:rsidRDefault="008714EA">
      <w:pPr>
        <w:rPr>
          <w:szCs w:val="22"/>
        </w:rPr>
      </w:pPr>
      <w:r>
        <w:rPr>
          <w:szCs w:val="22"/>
        </w:rPr>
        <w:t>A rozuvasztatin-kezelésben részesülő betegeknél is megfigyelték a CK-szint dózisfüggő emelkedését. Az esetek többségében ez enyhe, tünetmentes és átmeneti volt. Amennyiben a CK-szint megemelkedik (&gt; 5×ULN), a kezelést fel kell függeszteni (lásd 4.4 pont).</w:t>
      </w:r>
    </w:p>
    <w:p w14:paraId="6BC5DFAB" w14:textId="77777777" w:rsidR="007963F8" w:rsidRDefault="007963F8">
      <w:pPr>
        <w:rPr>
          <w:szCs w:val="22"/>
          <w:lang w:val="hu-HU" w:eastAsia="en-US"/>
        </w:rPr>
      </w:pPr>
    </w:p>
    <w:p w14:paraId="212281FC" w14:textId="77777777" w:rsidR="007963F8" w:rsidRDefault="008714EA">
      <w:pPr>
        <w:rPr>
          <w:szCs w:val="22"/>
        </w:rPr>
      </w:pPr>
      <w:r>
        <w:rPr>
          <w:bCs/>
          <w:i/>
          <w:szCs w:val="22"/>
          <w:lang w:val="hu-HU"/>
        </w:rPr>
        <w:t>A májra kifejtett hatások:</w:t>
      </w:r>
      <w:r>
        <w:rPr>
          <w:szCs w:val="22"/>
          <w:lang w:val="hu-HU"/>
        </w:rPr>
        <w:t xml:space="preserve"> </w:t>
      </w:r>
      <w:r>
        <w:rPr>
          <w:szCs w:val="22"/>
        </w:rPr>
        <w:t>Mint egyéb HMG-CoA-reduktáz-gátlóknál, a rozuvasztatin-kezelésben részesülő betegek kis csoportjában is megfigyelték a szérum transzaminázok dózisfüggő emelkedését. Az esetek nagy részében ez enyhe, tünetmentes és átmeneti volt.</w:t>
      </w:r>
    </w:p>
    <w:p w14:paraId="43E16974" w14:textId="77777777" w:rsidR="007963F8" w:rsidRDefault="007963F8">
      <w:pPr>
        <w:rPr>
          <w:szCs w:val="22"/>
        </w:rPr>
      </w:pPr>
    </w:p>
    <w:p w14:paraId="399756DD" w14:textId="77777777" w:rsidR="007963F8" w:rsidRDefault="008714EA">
      <w:pPr>
        <w:rPr>
          <w:szCs w:val="22"/>
        </w:rPr>
      </w:pPr>
      <w:r>
        <w:rPr>
          <w:szCs w:val="22"/>
        </w:rPr>
        <w:t xml:space="preserve">A következő nemkívánt hatások kialakulásáról számoltak be néhány sztatinnal kapcsolatban </w:t>
      </w:r>
    </w:p>
    <w:p w14:paraId="7DEC4050" w14:textId="77777777" w:rsidR="007963F8" w:rsidRDefault="008714EA">
      <w:pPr>
        <w:numPr>
          <w:ilvl w:val="0"/>
          <w:numId w:val="19"/>
        </w:numPr>
        <w:suppressAutoHyphens/>
        <w:ind w:left="567" w:hanging="567"/>
        <w:rPr>
          <w:szCs w:val="22"/>
        </w:rPr>
      </w:pPr>
      <w:r>
        <w:rPr>
          <w:szCs w:val="22"/>
        </w:rPr>
        <w:t xml:space="preserve">szexuális diszfunkció, </w:t>
      </w:r>
    </w:p>
    <w:p w14:paraId="6B6C29B5" w14:textId="77777777" w:rsidR="007963F8" w:rsidRDefault="008714EA">
      <w:pPr>
        <w:numPr>
          <w:ilvl w:val="0"/>
          <w:numId w:val="19"/>
        </w:numPr>
        <w:suppressAutoHyphens/>
        <w:ind w:left="567" w:hanging="567"/>
        <w:rPr>
          <w:szCs w:val="22"/>
        </w:rPr>
      </w:pPr>
      <w:r>
        <w:rPr>
          <w:szCs w:val="22"/>
        </w:rPr>
        <w:t>intersticiális tüdőbetegség kivételes eseteit jelentették, különösen hosszú távú kezeléskor (lásd 4.4 pont).</w:t>
      </w:r>
    </w:p>
    <w:p w14:paraId="2F88ED48" w14:textId="77777777" w:rsidR="007963F8" w:rsidRDefault="007963F8">
      <w:pPr>
        <w:rPr>
          <w:szCs w:val="22"/>
        </w:rPr>
      </w:pPr>
    </w:p>
    <w:p w14:paraId="3303A59E" w14:textId="77777777" w:rsidR="007963F8" w:rsidRDefault="008714EA">
      <w:pPr>
        <w:rPr>
          <w:szCs w:val="22"/>
        </w:rPr>
      </w:pPr>
      <w:r>
        <w:rPr>
          <w:szCs w:val="22"/>
        </w:rPr>
        <w:t>A rhabdomyolysis esetek, a súlyos vesetünetek és a súlyos májtünetek (főként transzaminázszint</w:t>
      </w:r>
      <w:r>
        <w:rPr>
          <w:szCs w:val="22"/>
        </w:rPr>
        <w:noBreakHyphen/>
        <w:t>emelkedés) jelentési gyakorisága a 40 mg-os dózis alkalmazásakor magasabb.</w:t>
      </w:r>
    </w:p>
    <w:p w14:paraId="2DF57CA9" w14:textId="77777777" w:rsidR="007963F8" w:rsidRDefault="007963F8">
      <w:pPr>
        <w:rPr>
          <w:szCs w:val="22"/>
          <w:lang w:val="hu-HU"/>
        </w:rPr>
      </w:pPr>
    </w:p>
    <w:p w14:paraId="3DBC2634" w14:textId="77777777" w:rsidR="007963F8" w:rsidRDefault="008714EA">
      <w:pPr>
        <w:pStyle w:val="Normal1"/>
        <w:rPr>
          <w:bCs/>
          <w:color w:val="auto"/>
          <w:sz w:val="22"/>
          <w:szCs w:val="22"/>
          <w:u w:val="single"/>
          <w:lang w:val="hu-HU"/>
        </w:rPr>
      </w:pPr>
      <w:r>
        <w:rPr>
          <w:bCs/>
          <w:color w:val="auto"/>
          <w:sz w:val="22"/>
          <w:szCs w:val="22"/>
          <w:u w:val="single"/>
          <w:lang w:val="hu-HU"/>
        </w:rPr>
        <w:t>Gyermekek és serdülők</w:t>
      </w:r>
    </w:p>
    <w:p w14:paraId="76126551" w14:textId="77777777" w:rsidR="007963F8" w:rsidRDefault="008714EA">
      <w:pPr>
        <w:pStyle w:val="Normal1"/>
        <w:rPr>
          <w:b/>
          <w:bCs/>
          <w:color w:val="auto"/>
          <w:sz w:val="22"/>
          <w:lang w:val="hu-HU"/>
        </w:rPr>
      </w:pPr>
      <w:r>
        <w:rPr>
          <w:bCs/>
          <w:color w:val="auto"/>
          <w:sz w:val="22"/>
          <w:lang w:val="hu-HU"/>
        </w:rPr>
        <w:t>Kreatin-</w:t>
      </w:r>
      <w:proofErr w:type="spellStart"/>
      <w:r>
        <w:rPr>
          <w:bCs/>
          <w:color w:val="auto"/>
          <w:sz w:val="22"/>
          <w:lang w:val="hu-HU"/>
        </w:rPr>
        <w:t>kináz</w:t>
      </w:r>
      <w:proofErr w:type="spellEnd"/>
      <w:r>
        <w:rPr>
          <w:bCs/>
          <w:color w:val="auto"/>
          <w:sz w:val="22"/>
          <w:lang w:val="hu-HU"/>
        </w:rPr>
        <w:t xml:space="preserve">-szintek emelkedését </w:t>
      </w:r>
      <w:r>
        <w:rPr>
          <w:color w:val="auto"/>
          <w:sz w:val="22"/>
          <w:lang w:val="hu-HU"/>
        </w:rPr>
        <w:t>&gt; 10×ULN és izomtünetek jelentkezését mozgás vagy fokozott fizikai aktivitást követően gyakrabban figyelték meg egy 52 hetes,</w:t>
      </w:r>
      <w:r>
        <w:rPr>
          <w:b/>
          <w:bCs/>
          <w:color w:val="auto"/>
          <w:sz w:val="22"/>
          <w:lang w:val="hu-HU"/>
        </w:rPr>
        <w:t xml:space="preserve"> </w:t>
      </w:r>
      <w:r>
        <w:rPr>
          <w:color w:val="auto"/>
          <w:sz w:val="22"/>
          <w:lang w:val="hu-HU"/>
        </w:rPr>
        <w:t xml:space="preserve">gyermekek és serdülők körében végzett klinikai vizsgálatban felnőttekhez képest (lásd 4.4 pont). Más szempontból, a </w:t>
      </w:r>
      <w:proofErr w:type="spellStart"/>
      <w:r>
        <w:rPr>
          <w:color w:val="auto"/>
          <w:sz w:val="22"/>
          <w:lang w:val="hu-HU"/>
        </w:rPr>
        <w:t>rozuvasztatin</w:t>
      </w:r>
      <w:proofErr w:type="spellEnd"/>
      <w:r>
        <w:rPr>
          <w:color w:val="auto"/>
          <w:lang w:val="hu-HU"/>
        </w:rPr>
        <w:t xml:space="preserve"> </w:t>
      </w:r>
      <w:r>
        <w:rPr>
          <w:color w:val="auto"/>
          <w:sz w:val="22"/>
          <w:lang w:val="hu-HU"/>
        </w:rPr>
        <w:t>biztonságossági profilja gyermekek és serdülők esetében a felnőttekéhez hasonló volt.</w:t>
      </w:r>
    </w:p>
    <w:p w14:paraId="3AC5B8C1" w14:textId="77777777" w:rsidR="007963F8" w:rsidRDefault="007963F8">
      <w:pPr>
        <w:rPr>
          <w:szCs w:val="22"/>
          <w:lang w:val="hu-HU"/>
        </w:rPr>
      </w:pPr>
    </w:p>
    <w:p w14:paraId="4E4DA658" w14:textId="77777777" w:rsidR="007963F8" w:rsidRDefault="008714EA">
      <w:pPr>
        <w:keepNext/>
        <w:rPr>
          <w:szCs w:val="22"/>
          <w:u w:val="single"/>
          <w:lang w:val="hu-HU"/>
        </w:rPr>
      </w:pPr>
      <w:r>
        <w:rPr>
          <w:szCs w:val="22"/>
          <w:u w:val="single"/>
          <w:lang w:val="hu-HU"/>
        </w:rPr>
        <w:t>Feltételezett mellékhatások bejelentése</w:t>
      </w:r>
    </w:p>
    <w:p w14:paraId="13F35CD5" w14:textId="77777777" w:rsidR="007963F8" w:rsidRDefault="008714EA">
      <w:pPr>
        <w:rPr>
          <w:szCs w:val="22"/>
          <w:lang w:val="hu-HU"/>
        </w:rPr>
      </w:pPr>
      <w:r>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7A3D0934" w14:textId="77777777" w:rsidR="007963F8" w:rsidRDefault="008714EA">
      <w:pPr>
        <w:rPr>
          <w:szCs w:val="22"/>
          <w:lang w:val="hu-HU"/>
        </w:rPr>
      </w:pPr>
      <w:r>
        <w:rPr>
          <w:szCs w:val="22"/>
          <w:lang w:val="hu-HU"/>
        </w:rPr>
        <w:t xml:space="preserve">Az egészségügyi szakembereket kérjük, hogy jelentsék be a feltételezett mellékhatásokat a hatóság részére az </w:t>
      </w:r>
      <w:hyperlink r:id="rId8" w:history="1">
        <w:r>
          <w:rPr>
            <w:rStyle w:val="Hiperhivatkozs"/>
            <w:sz w:val="22"/>
            <w:szCs w:val="22"/>
            <w:lang w:val="hu-HU"/>
          </w:rPr>
          <w:t>V. függelékben</w:t>
        </w:r>
      </w:hyperlink>
      <w:r>
        <w:rPr>
          <w:szCs w:val="22"/>
          <w:lang w:val="hu-HU"/>
        </w:rPr>
        <w:t xml:space="preserve"> található elérhetőségek valamelyikén keresztül.</w:t>
      </w:r>
    </w:p>
    <w:p w14:paraId="12970814" w14:textId="77777777" w:rsidR="007963F8" w:rsidRDefault="007963F8">
      <w:pPr>
        <w:rPr>
          <w:szCs w:val="22"/>
          <w:lang w:val="hu-HU"/>
        </w:rPr>
      </w:pPr>
    </w:p>
    <w:p w14:paraId="471DA83A" w14:textId="77777777" w:rsidR="007963F8" w:rsidRDefault="008714EA">
      <w:pPr>
        <w:ind w:left="567" w:hanging="567"/>
        <w:rPr>
          <w:b/>
          <w:szCs w:val="22"/>
          <w:lang w:val="hu-HU"/>
        </w:rPr>
      </w:pPr>
      <w:r>
        <w:rPr>
          <w:b/>
          <w:szCs w:val="22"/>
          <w:lang w:val="hu-HU"/>
        </w:rPr>
        <w:t>4.9</w:t>
      </w:r>
      <w:r>
        <w:rPr>
          <w:b/>
          <w:szCs w:val="22"/>
          <w:lang w:val="hu-HU"/>
        </w:rPr>
        <w:tab/>
        <w:t>Túladagolás</w:t>
      </w:r>
    </w:p>
    <w:p w14:paraId="57CBA56A" w14:textId="77777777" w:rsidR="007963F8" w:rsidRDefault="007963F8">
      <w:pPr>
        <w:rPr>
          <w:szCs w:val="22"/>
          <w:lang w:val="hu-HU"/>
        </w:rPr>
      </w:pPr>
    </w:p>
    <w:p w14:paraId="3A95C660" w14:textId="77777777" w:rsidR="007963F8" w:rsidRDefault="008714EA">
      <w:pPr>
        <w:tabs>
          <w:tab w:val="left" w:pos="567"/>
        </w:tabs>
        <w:rPr>
          <w:szCs w:val="22"/>
          <w:u w:val="single"/>
          <w:lang w:val="hu-HU"/>
        </w:rPr>
      </w:pPr>
      <w:r>
        <w:rPr>
          <w:szCs w:val="22"/>
          <w:u w:val="single"/>
          <w:lang w:val="hu-HU"/>
        </w:rPr>
        <w:t>Tünetek</w:t>
      </w:r>
    </w:p>
    <w:p w14:paraId="1EE815D0" w14:textId="77777777" w:rsidR="007963F8" w:rsidRDefault="008714EA">
      <w:pPr>
        <w:tabs>
          <w:tab w:val="left" w:pos="567"/>
        </w:tabs>
        <w:rPr>
          <w:szCs w:val="22"/>
          <w:lang w:val="hu-HU"/>
        </w:rPr>
      </w:pPr>
      <w:r>
        <w:rPr>
          <w:spacing w:val="-2"/>
          <w:szCs w:val="22"/>
          <w:lang w:val="hu-HU"/>
        </w:rPr>
        <w:t xml:space="preserve">A </w:t>
      </w:r>
      <w:proofErr w:type="spellStart"/>
      <w:r>
        <w:rPr>
          <w:spacing w:val="-2"/>
          <w:szCs w:val="22"/>
          <w:lang w:val="hu-HU"/>
        </w:rPr>
        <w:t>valzartán</w:t>
      </w:r>
      <w:proofErr w:type="spellEnd"/>
      <w:r>
        <w:rPr>
          <w:spacing w:val="-2"/>
          <w:szCs w:val="22"/>
          <w:lang w:val="hu-HU"/>
        </w:rPr>
        <w:t xml:space="preserve"> túladagolása kifejezett </w:t>
      </w:r>
      <w:proofErr w:type="spellStart"/>
      <w:r>
        <w:rPr>
          <w:spacing w:val="-2"/>
          <w:szCs w:val="22"/>
          <w:lang w:val="hu-HU"/>
        </w:rPr>
        <w:t>hypotóniát</w:t>
      </w:r>
      <w:proofErr w:type="spellEnd"/>
      <w:r>
        <w:rPr>
          <w:spacing w:val="-2"/>
          <w:szCs w:val="22"/>
          <w:lang w:val="hu-HU"/>
        </w:rPr>
        <w:t xml:space="preserve"> eredményezhet, ami beszűkült tudatállapothoz, keringés</w:t>
      </w:r>
      <w:r>
        <w:rPr>
          <w:szCs w:val="22"/>
          <w:lang w:val="hu-HU"/>
        </w:rPr>
        <w:t>-összeomláshoz és/vagy keringési sokkhoz vezethet.</w:t>
      </w:r>
    </w:p>
    <w:p w14:paraId="4899843C" w14:textId="77777777" w:rsidR="007963F8" w:rsidRDefault="007963F8">
      <w:pPr>
        <w:tabs>
          <w:tab w:val="left" w:pos="567"/>
        </w:tabs>
        <w:rPr>
          <w:szCs w:val="22"/>
          <w:lang w:val="hu-HU"/>
        </w:rPr>
      </w:pPr>
    </w:p>
    <w:p w14:paraId="4472CA10" w14:textId="77777777" w:rsidR="007963F8" w:rsidRDefault="008714EA">
      <w:pPr>
        <w:tabs>
          <w:tab w:val="left" w:pos="567"/>
        </w:tabs>
        <w:rPr>
          <w:szCs w:val="22"/>
          <w:u w:val="single"/>
          <w:lang w:val="hu-HU"/>
        </w:rPr>
      </w:pPr>
      <w:r>
        <w:rPr>
          <w:szCs w:val="22"/>
          <w:u w:val="single"/>
          <w:lang w:val="hu-HU"/>
        </w:rPr>
        <w:t>Kezelés</w:t>
      </w:r>
    </w:p>
    <w:p w14:paraId="02BEA09B" w14:textId="77777777" w:rsidR="007963F8" w:rsidRDefault="008714EA">
      <w:pPr>
        <w:tabs>
          <w:tab w:val="left" w:pos="567"/>
        </w:tabs>
        <w:rPr>
          <w:szCs w:val="22"/>
        </w:rPr>
      </w:pPr>
      <w:r>
        <w:rPr>
          <w:szCs w:val="22"/>
        </w:rPr>
        <w:t>A terápiás intézkedések a bevétel időpontjától, illetve a tünetek jellegétől és súlyosságától függnek, a vérkeringés stabilizálása elsődleges jelentőségű.</w:t>
      </w:r>
    </w:p>
    <w:p w14:paraId="66241726" w14:textId="77777777" w:rsidR="007963F8" w:rsidRDefault="008714EA">
      <w:pPr>
        <w:tabs>
          <w:tab w:val="left" w:pos="567"/>
        </w:tabs>
        <w:rPr>
          <w:szCs w:val="22"/>
        </w:rPr>
      </w:pPr>
      <w:r>
        <w:rPr>
          <w:szCs w:val="22"/>
        </w:rPr>
        <w:t>Hypotonia előfordulása esetén a beteget fekvő testhelyzetbe kell helyezni, és vérvolumen korrekciót kell végezni.</w:t>
      </w:r>
    </w:p>
    <w:p w14:paraId="1198F988" w14:textId="77777777" w:rsidR="007963F8" w:rsidRDefault="008714EA">
      <w:pPr>
        <w:tabs>
          <w:tab w:val="left" w:pos="567"/>
        </w:tabs>
        <w:rPr>
          <w:szCs w:val="22"/>
        </w:rPr>
      </w:pPr>
      <w:r>
        <w:rPr>
          <w:szCs w:val="22"/>
        </w:rPr>
        <w:t>A valzartán nagy valószínűséggel nem távolítható el hemodialízissel.</w:t>
      </w:r>
    </w:p>
    <w:p w14:paraId="34A99007" w14:textId="77777777" w:rsidR="007963F8" w:rsidRDefault="007963F8">
      <w:pPr>
        <w:tabs>
          <w:tab w:val="left" w:pos="567"/>
        </w:tabs>
        <w:rPr>
          <w:szCs w:val="22"/>
          <w:lang w:val="hu-HU"/>
        </w:rPr>
      </w:pPr>
    </w:p>
    <w:p w14:paraId="68072A2B" w14:textId="77777777" w:rsidR="007963F8" w:rsidRDefault="008714EA">
      <w:pPr>
        <w:rPr>
          <w:szCs w:val="22"/>
          <w:lang w:val="hu-HU"/>
        </w:rPr>
      </w:pPr>
      <w:proofErr w:type="spellStart"/>
      <w:r>
        <w:rPr>
          <w:szCs w:val="22"/>
          <w:lang w:val="hu-HU"/>
        </w:rPr>
        <w:t>Rozuvasztatin</w:t>
      </w:r>
      <w:proofErr w:type="spellEnd"/>
      <w:r>
        <w:rPr>
          <w:szCs w:val="22"/>
          <w:lang w:val="hu-HU"/>
        </w:rPr>
        <w:t xml:space="preserve"> túladagolásra nincs </w:t>
      </w:r>
      <w:r>
        <w:rPr>
          <w:szCs w:val="22"/>
        </w:rPr>
        <w:t>specifikus</w:t>
      </w:r>
      <w:r>
        <w:rPr>
          <w:szCs w:val="22"/>
          <w:lang w:val="hu-HU"/>
        </w:rPr>
        <w:t xml:space="preserve"> kezelési mód. Túladagolás esetén a beteget tüneti kezelésben és szükség szerint támogató terápiában kell részesíteni. A májfunkciókat és a CK-szintet ellenőrizni kell. Nem valószínű, hogy a </w:t>
      </w:r>
      <w:proofErr w:type="spellStart"/>
      <w:r>
        <w:rPr>
          <w:szCs w:val="22"/>
          <w:lang w:val="hu-HU"/>
        </w:rPr>
        <w:t>hemodialízis</w:t>
      </w:r>
      <w:proofErr w:type="spellEnd"/>
      <w:r>
        <w:rPr>
          <w:szCs w:val="22"/>
          <w:lang w:val="hu-HU"/>
        </w:rPr>
        <w:t xml:space="preserve"> hatásos lenne.</w:t>
      </w:r>
    </w:p>
    <w:p w14:paraId="75E9945A" w14:textId="77777777" w:rsidR="007963F8" w:rsidRDefault="007963F8">
      <w:pPr>
        <w:rPr>
          <w:szCs w:val="22"/>
          <w:lang w:val="hu-HU"/>
        </w:rPr>
      </w:pPr>
    </w:p>
    <w:p w14:paraId="1CED2DA5" w14:textId="77777777" w:rsidR="007963F8" w:rsidRDefault="007963F8">
      <w:pPr>
        <w:rPr>
          <w:szCs w:val="22"/>
          <w:lang w:val="hu-HU"/>
        </w:rPr>
      </w:pPr>
    </w:p>
    <w:p w14:paraId="51FCCA9D" w14:textId="77777777" w:rsidR="007963F8" w:rsidRDefault="008714EA">
      <w:pPr>
        <w:ind w:left="567" w:hanging="567"/>
        <w:rPr>
          <w:b/>
          <w:szCs w:val="22"/>
          <w:lang w:val="hu-HU"/>
        </w:rPr>
      </w:pPr>
      <w:r>
        <w:rPr>
          <w:b/>
          <w:szCs w:val="22"/>
          <w:lang w:val="hu-HU"/>
        </w:rPr>
        <w:t>5.</w:t>
      </w:r>
      <w:r>
        <w:rPr>
          <w:b/>
          <w:szCs w:val="22"/>
          <w:lang w:val="hu-HU"/>
        </w:rPr>
        <w:tab/>
        <w:t>FARMAKOLÓGIAI TULAJDONSÁGOK</w:t>
      </w:r>
    </w:p>
    <w:p w14:paraId="69F5C14C" w14:textId="77777777" w:rsidR="007963F8" w:rsidRDefault="007963F8">
      <w:pPr>
        <w:rPr>
          <w:szCs w:val="22"/>
          <w:lang w:val="hu-HU"/>
        </w:rPr>
      </w:pPr>
    </w:p>
    <w:p w14:paraId="14057FC4" w14:textId="77777777" w:rsidR="007963F8" w:rsidRDefault="008714EA">
      <w:pPr>
        <w:ind w:left="567" w:hanging="567"/>
        <w:rPr>
          <w:b/>
          <w:szCs w:val="22"/>
          <w:lang w:val="hu-HU"/>
        </w:rPr>
      </w:pPr>
      <w:r>
        <w:rPr>
          <w:b/>
          <w:szCs w:val="22"/>
          <w:lang w:val="hu-HU"/>
        </w:rPr>
        <w:t>5.1</w:t>
      </w:r>
      <w:r>
        <w:rPr>
          <w:b/>
          <w:szCs w:val="22"/>
          <w:lang w:val="hu-HU"/>
        </w:rPr>
        <w:tab/>
      </w:r>
      <w:proofErr w:type="spellStart"/>
      <w:r>
        <w:rPr>
          <w:b/>
          <w:szCs w:val="22"/>
          <w:lang w:val="hu-HU"/>
        </w:rPr>
        <w:t>Farmakodinámiás</w:t>
      </w:r>
      <w:proofErr w:type="spellEnd"/>
      <w:r>
        <w:rPr>
          <w:b/>
          <w:szCs w:val="22"/>
          <w:lang w:val="hu-HU"/>
        </w:rPr>
        <w:t xml:space="preserve"> tulajdonságok</w:t>
      </w:r>
    </w:p>
    <w:p w14:paraId="32033F0C" w14:textId="77777777" w:rsidR="007963F8" w:rsidRDefault="007963F8">
      <w:pPr>
        <w:rPr>
          <w:szCs w:val="22"/>
          <w:lang w:val="hu-HU"/>
        </w:rPr>
      </w:pPr>
    </w:p>
    <w:p w14:paraId="419675B8" w14:textId="77777777" w:rsidR="007963F8" w:rsidRDefault="008714EA">
      <w:pPr>
        <w:rPr>
          <w:szCs w:val="22"/>
          <w:lang w:val="hu-HU"/>
        </w:rPr>
      </w:pPr>
      <w:proofErr w:type="spellStart"/>
      <w:r>
        <w:rPr>
          <w:szCs w:val="22"/>
          <w:lang w:val="hu-HU"/>
        </w:rPr>
        <w:t>Farmakoterápiás</w:t>
      </w:r>
      <w:proofErr w:type="spellEnd"/>
      <w:r>
        <w:rPr>
          <w:szCs w:val="22"/>
          <w:lang w:val="hu-HU"/>
        </w:rPr>
        <w:t xml:space="preserve"> csoport: </w:t>
      </w:r>
      <w:proofErr w:type="spellStart"/>
      <w:r>
        <w:rPr>
          <w:szCs w:val="22"/>
          <w:lang w:val="hu-HU"/>
        </w:rPr>
        <w:t>lipidszint</w:t>
      </w:r>
      <w:proofErr w:type="spellEnd"/>
      <w:r>
        <w:rPr>
          <w:szCs w:val="22"/>
          <w:lang w:val="hu-HU"/>
        </w:rPr>
        <w:t>-módosító szerek, HMG-</w:t>
      </w:r>
      <w:proofErr w:type="spellStart"/>
      <w:r>
        <w:rPr>
          <w:szCs w:val="22"/>
          <w:lang w:val="hu-HU"/>
        </w:rPr>
        <w:t>CoA</w:t>
      </w:r>
      <w:proofErr w:type="spellEnd"/>
      <w:r>
        <w:rPr>
          <w:szCs w:val="22"/>
          <w:lang w:val="hu-HU"/>
        </w:rPr>
        <w:t>-</w:t>
      </w:r>
      <w:proofErr w:type="spellStart"/>
      <w:r>
        <w:rPr>
          <w:szCs w:val="22"/>
          <w:lang w:val="hu-HU"/>
        </w:rPr>
        <w:t>reduktáz</w:t>
      </w:r>
      <w:proofErr w:type="spellEnd"/>
      <w:r>
        <w:rPr>
          <w:szCs w:val="22"/>
          <w:lang w:val="hu-HU"/>
        </w:rPr>
        <w:t>-gátlók, egyéb kombinációk, ATC kód: C10B X10.</w:t>
      </w:r>
    </w:p>
    <w:p w14:paraId="442EDCD3" w14:textId="77777777" w:rsidR="007963F8" w:rsidRDefault="007963F8">
      <w:pPr>
        <w:rPr>
          <w:szCs w:val="22"/>
          <w:lang w:val="hu-HU"/>
        </w:rPr>
      </w:pPr>
    </w:p>
    <w:p w14:paraId="54DA6158" w14:textId="77777777" w:rsidR="007963F8" w:rsidRDefault="008714EA">
      <w:pPr>
        <w:rPr>
          <w:szCs w:val="22"/>
          <w:u w:val="single"/>
          <w:lang w:val="hu-HU"/>
        </w:rPr>
      </w:pPr>
      <w:proofErr w:type="spellStart"/>
      <w:r>
        <w:rPr>
          <w:szCs w:val="22"/>
          <w:u w:val="single"/>
          <w:lang w:val="hu-HU"/>
        </w:rPr>
        <w:t>Valzartán</w:t>
      </w:r>
      <w:proofErr w:type="spellEnd"/>
    </w:p>
    <w:p w14:paraId="58D54CE0" w14:textId="77777777" w:rsidR="007963F8" w:rsidRDefault="007963F8">
      <w:pPr>
        <w:rPr>
          <w:szCs w:val="22"/>
          <w:lang w:val="hu-HU"/>
        </w:rPr>
      </w:pPr>
    </w:p>
    <w:p w14:paraId="09F31A66" w14:textId="77777777" w:rsidR="007963F8" w:rsidRDefault="008714EA">
      <w:pPr>
        <w:tabs>
          <w:tab w:val="left" w:pos="567"/>
        </w:tabs>
        <w:rPr>
          <w:szCs w:val="22"/>
        </w:rPr>
      </w:pPr>
      <w:r>
        <w:rPr>
          <w:szCs w:val="22"/>
        </w:rPr>
        <w:t>A valzartán egy orálisan hatékony, specifikus angiotenzin II- (Ang II) receptor-antagonista. Szelektíven hat az AT</w:t>
      </w:r>
      <w:r>
        <w:rPr>
          <w:szCs w:val="22"/>
          <w:vertAlign w:val="subscript"/>
        </w:rPr>
        <w:t>1</w:t>
      </w:r>
      <w:r>
        <w:rPr>
          <w:szCs w:val="22"/>
        </w:rPr>
        <w:t>-receptor altípusra, ami az angiotenzin II ismert hatásaiért felelős. A valzartán okozta AT</w:t>
      </w:r>
      <w:r>
        <w:rPr>
          <w:szCs w:val="22"/>
          <w:vertAlign w:val="subscript"/>
        </w:rPr>
        <w:t>1</w:t>
      </w:r>
      <w:r>
        <w:rPr>
          <w:szCs w:val="22"/>
        </w:rPr>
        <w:t>-receptor-blokád miatt a felszaporodó angiotenzin II stimulálhatja a blokkolás alatt nem álló AT</w:t>
      </w:r>
      <w:r>
        <w:rPr>
          <w:szCs w:val="22"/>
          <w:vertAlign w:val="subscript"/>
        </w:rPr>
        <w:t>2</w:t>
      </w:r>
      <w:r>
        <w:rPr>
          <w:szCs w:val="22"/>
        </w:rPr>
        <w:t>-receptort, ami úgy tűnik, ellensúlyozza az AT</w:t>
      </w:r>
      <w:r>
        <w:rPr>
          <w:szCs w:val="22"/>
          <w:vertAlign w:val="subscript"/>
        </w:rPr>
        <w:t>1</w:t>
      </w:r>
      <w:r>
        <w:rPr>
          <w:szCs w:val="22"/>
        </w:rPr>
        <w:t>-receptor-hatást. A valzartán nem fejt ki részleges agonista hatást az AT</w:t>
      </w:r>
      <w:r>
        <w:rPr>
          <w:szCs w:val="22"/>
          <w:vertAlign w:val="subscript"/>
        </w:rPr>
        <w:t>1</w:t>
      </w:r>
      <w:r>
        <w:rPr>
          <w:szCs w:val="22"/>
        </w:rPr>
        <w:t>-receptorokon, és sokkal nagyobb affinitással (kb. 20 000-szeres) kötődik az AT</w:t>
      </w:r>
      <w:r>
        <w:rPr>
          <w:szCs w:val="22"/>
          <w:vertAlign w:val="subscript"/>
        </w:rPr>
        <w:t>1</w:t>
      </w:r>
      <w:r>
        <w:rPr>
          <w:szCs w:val="22"/>
        </w:rPr>
        <w:t>-receptorokhoz, mint az AT</w:t>
      </w:r>
      <w:r>
        <w:rPr>
          <w:szCs w:val="22"/>
          <w:vertAlign w:val="subscript"/>
        </w:rPr>
        <w:t>2</w:t>
      </w:r>
      <w:r>
        <w:rPr>
          <w:szCs w:val="22"/>
        </w:rPr>
        <w:t>-receptorokhoz. A valzartán nem kötődik egyéb – a cardiovascularis szabályozásban jelentős szerepet játszó – hormonreceptorokhoz vagy ioncsatornákhoz, ill. azokat nem is blokkolja.</w:t>
      </w:r>
    </w:p>
    <w:p w14:paraId="4E48798B" w14:textId="77777777" w:rsidR="007963F8" w:rsidRDefault="007963F8">
      <w:pPr>
        <w:tabs>
          <w:tab w:val="left" w:pos="567"/>
        </w:tabs>
        <w:rPr>
          <w:szCs w:val="22"/>
        </w:rPr>
      </w:pPr>
    </w:p>
    <w:p w14:paraId="4D6BB611" w14:textId="77777777" w:rsidR="007963F8" w:rsidRDefault="008714EA">
      <w:pPr>
        <w:tabs>
          <w:tab w:val="left" w:pos="567"/>
        </w:tabs>
        <w:rPr>
          <w:szCs w:val="22"/>
        </w:rPr>
      </w:pPr>
      <w:r>
        <w:rPr>
          <w:szCs w:val="22"/>
        </w:rPr>
        <w:t>A valzartán nem gátolja az ACE, más néven kinináz-II működését, ami az Ang I-et Ang II-vé alakítja és a bradikinint lebontja. Az angiotenzin II-receptor-antagonisták nagy valószínűséggel nem okoznak köhögést, mivel nem hatnak az ACE-ra, és nem potenciálják a bradikinint és a P-anyagot.</w:t>
      </w:r>
    </w:p>
    <w:p w14:paraId="38348B95" w14:textId="77777777" w:rsidR="007963F8" w:rsidRDefault="008714EA">
      <w:pPr>
        <w:tabs>
          <w:tab w:val="left" w:pos="567"/>
        </w:tabs>
        <w:rPr>
          <w:szCs w:val="22"/>
        </w:rPr>
      </w:pPr>
      <w:r>
        <w:rPr>
          <w:szCs w:val="22"/>
        </w:rPr>
        <w:t>Azokban a klinikai vizsgálatokban, melyekben a valzartánt ACE-gátlóval hasonlították össze, a száraz köhögés incidenciája szignifikánsan (p &lt; 0,05) kisebb volt a valzartánnal kezelt csoportban, mint az ACE-gátlóval kezelt csoportban (2,6%, ill. 7,9%). Egy olyan klinikai vizsgálatban, melyet azon betegek bevonásával végeztek, akiknek az anamnézisében ACE-gátló-kezelés alatt kialakuló száraz köhögés szerepel, a valzartánt szedő betegek 19,5%-ában, a tiazid diuretikumot szedők 19,0%-ában jelentkezett köhögés, míg az ACE-gátlót szedők esetében 68,5%-ban (p&lt; 0,05).</w:t>
      </w:r>
    </w:p>
    <w:p w14:paraId="52DBB210" w14:textId="77777777" w:rsidR="007963F8" w:rsidRDefault="007963F8">
      <w:pPr>
        <w:tabs>
          <w:tab w:val="left" w:pos="567"/>
        </w:tabs>
        <w:rPr>
          <w:szCs w:val="22"/>
          <w:lang w:val="hu-HU"/>
        </w:rPr>
      </w:pPr>
    </w:p>
    <w:p w14:paraId="514AEEF8" w14:textId="77777777" w:rsidR="007963F8" w:rsidRDefault="008714EA">
      <w:pPr>
        <w:tabs>
          <w:tab w:val="left" w:pos="567"/>
        </w:tabs>
        <w:rPr>
          <w:i/>
          <w:iCs/>
          <w:szCs w:val="22"/>
          <w:u w:val="single"/>
          <w:lang w:val="hu-HU"/>
        </w:rPr>
      </w:pPr>
      <w:proofErr w:type="spellStart"/>
      <w:r>
        <w:rPr>
          <w:i/>
          <w:iCs/>
          <w:szCs w:val="22"/>
          <w:u w:val="single"/>
          <w:lang w:val="hu-HU"/>
        </w:rPr>
        <w:t>Hypertonia</w:t>
      </w:r>
      <w:proofErr w:type="spellEnd"/>
    </w:p>
    <w:p w14:paraId="42BE9428" w14:textId="77777777" w:rsidR="007963F8" w:rsidRDefault="007963F8">
      <w:pPr>
        <w:tabs>
          <w:tab w:val="left" w:pos="567"/>
        </w:tabs>
        <w:rPr>
          <w:szCs w:val="22"/>
          <w:lang w:val="hu-HU"/>
        </w:rPr>
      </w:pPr>
    </w:p>
    <w:p w14:paraId="2446AA3C" w14:textId="77777777" w:rsidR="007963F8" w:rsidRDefault="008714EA">
      <w:pPr>
        <w:tabs>
          <w:tab w:val="left" w:pos="567"/>
        </w:tabs>
        <w:rPr>
          <w:szCs w:val="22"/>
        </w:rPr>
      </w:pPr>
      <w:r>
        <w:rPr>
          <w:szCs w:val="22"/>
        </w:rPr>
        <w:t>Hypertoniás betegeknek adva a valzartánt, a vérnyomáscsökkenés a pulzusszám változása nélkül következik be.</w:t>
      </w:r>
    </w:p>
    <w:p w14:paraId="45FD8242" w14:textId="77777777" w:rsidR="007963F8" w:rsidRDefault="007963F8">
      <w:pPr>
        <w:tabs>
          <w:tab w:val="left" w:pos="567"/>
        </w:tabs>
        <w:rPr>
          <w:szCs w:val="22"/>
        </w:rPr>
      </w:pPr>
    </w:p>
    <w:p w14:paraId="297AFC3D" w14:textId="77777777" w:rsidR="007963F8" w:rsidRDefault="008714EA">
      <w:pPr>
        <w:tabs>
          <w:tab w:val="left" w:pos="567"/>
        </w:tabs>
        <w:rPr>
          <w:szCs w:val="22"/>
        </w:rPr>
      </w:pPr>
      <w:r>
        <w:rPr>
          <w:szCs w:val="22"/>
        </w:rPr>
        <w:t>A legtöbb betegben, egyszeri per os alkalmazása után az antihipertenzív hatás 2 órán belül kezdődik, és a vérnyomáscsökkenés kb. 4-6 órán belül éri el maximumát. Az antihipertenzív hatás a bevétel után 24 órán keresztül fennáll. Ismételt adagolás során a vérnyomáscsökkenés 2 héten belül kialakul, a maximális hatás 4 héten belül várható és hosszú távú kezelés során is megmarad. Hidroklorotiaziddal kombinálva további szignifikáns vérnyomáscsökkenés érhető el.</w:t>
      </w:r>
    </w:p>
    <w:p w14:paraId="6E2B76F7" w14:textId="77777777" w:rsidR="007963F8" w:rsidRDefault="007963F8">
      <w:pPr>
        <w:tabs>
          <w:tab w:val="left" w:pos="567"/>
        </w:tabs>
        <w:rPr>
          <w:szCs w:val="22"/>
        </w:rPr>
      </w:pPr>
    </w:p>
    <w:p w14:paraId="147FD486" w14:textId="77777777" w:rsidR="007963F8" w:rsidRDefault="008714EA">
      <w:pPr>
        <w:tabs>
          <w:tab w:val="left" w:pos="567"/>
        </w:tabs>
        <w:rPr>
          <w:szCs w:val="22"/>
        </w:rPr>
      </w:pPr>
      <w:r>
        <w:rPr>
          <w:szCs w:val="22"/>
        </w:rPr>
        <w:t>A valzartán hirtelen megvonása nem eredményezett rebound hipertóniát és egyéb nemkívánt klinikai eseményt.</w:t>
      </w:r>
    </w:p>
    <w:p w14:paraId="0708D6A6" w14:textId="77777777" w:rsidR="007963F8" w:rsidRDefault="007963F8">
      <w:pPr>
        <w:tabs>
          <w:tab w:val="left" w:pos="567"/>
        </w:tabs>
        <w:rPr>
          <w:szCs w:val="22"/>
          <w:lang w:val="hu-HU"/>
        </w:rPr>
      </w:pPr>
    </w:p>
    <w:p w14:paraId="791F5A18" w14:textId="77777777" w:rsidR="007963F8" w:rsidRDefault="008714EA">
      <w:pPr>
        <w:tabs>
          <w:tab w:val="left" w:pos="567"/>
        </w:tabs>
        <w:rPr>
          <w:szCs w:val="22"/>
          <w:u w:val="single"/>
          <w:lang w:val="hu-HU"/>
        </w:rPr>
      </w:pPr>
      <w:r>
        <w:rPr>
          <w:szCs w:val="22"/>
          <w:u w:val="single"/>
          <w:lang w:val="hu-HU"/>
        </w:rPr>
        <w:t xml:space="preserve">A </w:t>
      </w:r>
      <w:proofErr w:type="spellStart"/>
      <w:r>
        <w:rPr>
          <w:szCs w:val="22"/>
          <w:u w:val="single"/>
          <w:lang w:val="hu-HU"/>
        </w:rPr>
        <w:t>renin-angiotenzin-aldoszteron</w:t>
      </w:r>
      <w:proofErr w:type="spellEnd"/>
      <w:r>
        <w:rPr>
          <w:szCs w:val="22"/>
          <w:u w:val="single"/>
          <w:lang w:val="hu-HU"/>
        </w:rPr>
        <w:t xml:space="preserve"> rendszer (RAAS) kettős blokádja</w:t>
      </w:r>
    </w:p>
    <w:p w14:paraId="42D048F9" w14:textId="77777777" w:rsidR="007963F8" w:rsidRDefault="008714EA">
      <w:pPr>
        <w:tabs>
          <w:tab w:val="left" w:pos="567"/>
        </w:tabs>
        <w:rPr>
          <w:szCs w:val="22"/>
        </w:rPr>
      </w:pPr>
      <w:r>
        <w:rPr>
          <w:szCs w:val="22"/>
        </w:rPr>
        <w:t>Két nagy, randomizált, kontrollos vizsgálatban [ONTARGET (ONgoing Telmisartan Alone and in combination with Ramipril Global Endpoint Trial) és VA NEPHRON-D (The Veterans Affairs Nephropathy in Diabetes)] vizsgálták az ACE-gátló és angiotenzin II-receptor-blokkoló kombinált alkalmazását.</w:t>
      </w:r>
    </w:p>
    <w:p w14:paraId="4B8C54D8" w14:textId="77777777" w:rsidR="007963F8" w:rsidRDefault="008714EA">
      <w:pPr>
        <w:tabs>
          <w:tab w:val="left" w:pos="567"/>
        </w:tabs>
        <w:rPr>
          <w:szCs w:val="22"/>
        </w:rPr>
      </w:pPr>
      <w:r>
        <w:rPr>
          <w:szCs w:val="22"/>
        </w:rPr>
        <w:t>Az ONTARGET vizsgálatot olyan betegeken végezték, akiknek a kórtörténetében cardiovascularis vagy cerebrovascularis betegség, vagy szervkárosodással járó II. típusú diabetes mellitus szerepelt. A VA NEPHRON D vizsgálatot II. típusú diabetesben és diabeteses nephropathiában szenvedő betegeken végezték.</w:t>
      </w:r>
    </w:p>
    <w:p w14:paraId="619FBAE2" w14:textId="77777777" w:rsidR="007963F8" w:rsidRDefault="008714EA">
      <w:pPr>
        <w:tabs>
          <w:tab w:val="left" w:pos="567"/>
        </w:tabs>
        <w:rPr>
          <w:szCs w:val="22"/>
        </w:rPr>
      </w:pPr>
      <w:r>
        <w:rPr>
          <w:szCs w:val="22"/>
        </w:rPr>
        <w:t>Ezek a vizsgálatok nem mutattak ki szignifikánsan előnyös hatásokat a renalis és/vagy cardiovascularis kimenetel és a mortalitás vonatkozásában, miközben a monoterápia esetén megfigyelthez képest nőtt a hyperkalaemia, akut veseelégtelenség és/vagy hypotonia kockázata.</w:t>
      </w:r>
    </w:p>
    <w:p w14:paraId="47D156D4" w14:textId="77777777" w:rsidR="007963F8" w:rsidRDefault="008714EA">
      <w:pPr>
        <w:tabs>
          <w:tab w:val="left" w:pos="567"/>
        </w:tabs>
        <w:rPr>
          <w:szCs w:val="22"/>
        </w:rPr>
      </w:pPr>
      <w:r>
        <w:rPr>
          <w:szCs w:val="22"/>
        </w:rPr>
        <w:t>A hasonló farmakodinámiás tulajdonságok alapján ezek az eredmények más ACE-gátlók és angiotenzin II-receptor-blokkolók esetében is relevánsak.</w:t>
      </w:r>
    </w:p>
    <w:p w14:paraId="44FCDDFB" w14:textId="77777777" w:rsidR="007963F8" w:rsidRDefault="008714EA">
      <w:pPr>
        <w:tabs>
          <w:tab w:val="left" w:pos="567"/>
        </w:tabs>
        <w:rPr>
          <w:szCs w:val="22"/>
        </w:rPr>
      </w:pPr>
      <w:r>
        <w:rPr>
          <w:szCs w:val="22"/>
        </w:rPr>
        <w:t>Az ACE-gátlók és angiotenzin II-receptor-blokkolók egyidejű alkalmazása diabeteses nephropathiaban szenvedő betegeknél így tehát nem javasolt.</w:t>
      </w:r>
    </w:p>
    <w:p w14:paraId="33DCAD4B" w14:textId="77777777" w:rsidR="007963F8" w:rsidRDefault="008714EA">
      <w:pPr>
        <w:tabs>
          <w:tab w:val="left" w:pos="567"/>
        </w:tabs>
        <w:rPr>
          <w:szCs w:val="22"/>
        </w:rPr>
      </w:pPr>
      <w:r>
        <w:rPr>
          <w:szCs w:val="22"/>
        </w:rPr>
        <w:t>Az ALTITUDE (Aliskiren Trial in Type 2 Diabetes Using Cardiovascular and Renal Disease Endpoints) vizsgálat célja az volt, hogy megállapítsák, előnyös-e a standard ACE-gátló- vagy angiotenzin II-receptor-blokkoló-kezelés kiegészítése aliszkirénnel II. típusú diabetesben és krónikus vesebetegségben, illetve cardiovascularis betegségben vagy mindkettőben szenvedő betegeknél. A vizsgálatot idő előtt leállították, mert nőtt a mellékhatások kockázata. A cardiovascularis eredetű halál és a stroke szám szerint gyakoribb volt az aliszkiréncsoportban, mint a placebocsoportban, és a jelentős mellékhatások illetve súlyos mellékhatások (hyperkalaemia, hypotonia és veseműködési zavar) is gyakoribbak voltak az aliszkiréncsoportban, mint a placebocsoportban.</w:t>
      </w:r>
    </w:p>
    <w:p w14:paraId="33F0D82F" w14:textId="77777777" w:rsidR="007963F8" w:rsidRDefault="007963F8">
      <w:pPr>
        <w:tabs>
          <w:tab w:val="left" w:pos="567"/>
        </w:tabs>
        <w:rPr>
          <w:szCs w:val="22"/>
          <w:lang w:val="hu-HU"/>
        </w:rPr>
      </w:pPr>
    </w:p>
    <w:p w14:paraId="39A256EB" w14:textId="77777777" w:rsidR="007963F8" w:rsidRDefault="008714EA">
      <w:pPr>
        <w:tabs>
          <w:tab w:val="left" w:pos="567"/>
        </w:tabs>
        <w:rPr>
          <w:szCs w:val="22"/>
          <w:u w:val="single"/>
          <w:lang w:val="hu-HU"/>
        </w:rPr>
      </w:pPr>
      <w:proofErr w:type="spellStart"/>
      <w:r>
        <w:rPr>
          <w:szCs w:val="22"/>
          <w:u w:val="single"/>
          <w:lang w:val="hu-HU"/>
        </w:rPr>
        <w:t>Rozuvasztatin</w:t>
      </w:r>
      <w:proofErr w:type="spellEnd"/>
    </w:p>
    <w:p w14:paraId="23ED5907" w14:textId="77777777" w:rsidR="007963F8" w:rsidRDefault="007963F8">
      <w:pPr>
        <w:tabs>
          <w:tab w:val="left" w:pos="567"/>
        </w:tabs>
        <w:rPr>
          <w:szCs w:val="22"/>
          <w:lang w:val="hu-HU"/>
        </w:rPr>
      </w:pPr>
    </w:p>
    <w:p w14:paraId="637D2B58" w14:textId="77777777" w:rsidR="007963F8" w:rsidRDefault="008714EA">
      <w:pPr>
        <w:rPr>
          <w:szCs w:val="22"/>
        </w:rPr>
      </w:pPr>
      <w:r>
        <w:rPr>
          <w:szCs w:val="22"/>
        </w:rPr>
        <w:t>A rozuvasztatin a HMG-CoA-reduktáz szelektív és kompetitív gátlója. Ez az enzim felelős a 3</w:t>
      </w:r>
      <w:r>
        <w:rPr>
          <w:szCs w:val="22"/>
        </w:rPr>
        <w:noBreakHyphen/>
        <w:t>hidroxi-3-metil-glutaril-koenzim-A mevalonáttá, azaz a koleszterin előanyagává történő átalakulásáért, és meghatározza annak mértékét. A rozuvasztatin hatását elsősorban a májban, a koleszterinszint-csökkentés célszervében fejti ki.</w:t>
      </w:r>
    </w:p>
    <w:p w14:paraId="53F4CBF3" w14:textId="77777777" w:rsidR="007963F8" w:rsidRDefault="007963F8">
      <w:pPr>
        <w:rPr>
          <w:szCs w:val="22"/>
        </w:rPr>
      </w:pPr>
    </w:p>
    <w:p w14:paraId="71410237" w14:textId="77777777" w:rsidR="007963F8" w:rsidRDefault="008714EA">
      <w:pPr>
        <w:rPr>
          <w:szCs w:val="22"/>
        </w:rPr>
      </w:pPr>
      <w:r>
        <w:rPr>
          <w:szCs w:val="22"/>
        </w:rPr>
        <w:lastRenderedPageBreak/>
        <w:t>A rozuvasztatin a májban megnöveli a sejtek felszínén található LDL-receptorok számát, fokozva így az LDL-koleszterin-felvételt és -katabolizmust, továbbá csökkenti a VLDL-koleszterin májban történő szintézisét. A rozuvasztatin ily módon csökkenti az össz-VLDL- és –LDL-részecskék mennyiségét.</w:t>
      </w:r>
    </w:p>
    <w:p w14:paraId="65FEE91F" w14:textId="77777777" w:rsidR="007963F8" w:rsidRDefault="007963F8">
      <w:pPr>
        <w:rPr>
          <w:szCs w:val="22"/>
        </w:rPr>
      </w:pPr>
    </w:p>
    <w:p w14:paraId="7F422EE3" w14:textId="77777777" w:rsidR="007963F8" w:rsidRDefault="008714EA">
      <w:pPr>
        <w:rPr>
          <w:szCs w:val="22"/>
        </w:rPr>
      </w:pPr>
      <w:r>
        <w:rPr>
          <w:szCs w:val="22"/>
        </w:rPr>
        <w:t>A rozuvasztatin csökkenti a megemelkedett LDL-koleszterin-, összkoleszterin- és trigliceridszintet, valamint emeli a HDL-koleszterin szintjét. Csökkenti továbbá az Apo-B-, a nem-HDL-C-, a VLDL</w:t>
      </w:r>
      <w:r>
        <w:rPr>
          <w:szCs w:val="22"/>
        </w:rPr>
        <w:noBreakHyphen/>
        <w:t>C</w:t>
      </w:r>
      <w:r>
        <w:rPr>
          <w:szCs w:val="22"/>
        </w:rPr>
        <w:noBreakHyphen/>
        <w:t>, a VLDL-TG-szintet, és emeli az Apo-A-I szintet (lásd 2. táblázat). A rozuvasztatin szintén csökkenti az LDL-C/HDL-C, az össz C/HDL-C, a nem-HDL-C/HDL-C és az Apo-B/Ap-oA-I hányadost.</w:t>
      </w:r>
    </w:p>
    <w:p w14:paraId="290DB87F" w14:textId="77777777" w:rsidR="007963F8" w:rsidRDefault="007963F8">
      <w:pPr>
        <w:tabs>
          <w:tab w:val="left" w:pos="567"/>
        </w:tabs>
        <w:rPr>
          <w:szCs w:val="22"/>
          <w:lang w:val="hu-HU"/>
        </w:rPr>
      </w:pPr>
    </w:p>
    <w:p w14:paraId="0E6BA7B2" w14:textId="77777777" w:rsidR="007963F8" w:rsidRDefault="008714EA">
      <w:pPr>
        <w:tabs>
          <w:tab w:val="left" w:pos="1134"/>
        </w:tabs>
        <w:ind w:left="1134" w:hanging="1134"/>
        <w:rPr>
          <w:szCs w:val="22"/>
          <w:lang w:val="hu-HU"/>
        </w:rPr>
      </w:pPr>
      <w:r>
        <w:rPr>
          <w:b/>
          <w:szCs w:val="22"/>
          <w:lang w:val="hu-HU"/>
        </w:rPr>
        <w:t>2. táblázat:</w:t>
      </w:r>
      <w:r>
        <w:rPr>
          <w:szCs w:val="22"/>
          <w:lang w:val="hu-HU"/>
        </w:rPr>
        <w:tab/>
      </w:r>
      <w:r>
        <w:rPr>
          <w:szCs w:val="22"/>
        </w:rPr>
        <w:t xml:space="preserve">A primaer hypercholesterinaemiában (Iia. és Iib.) szenvedő betegek válaszreakciói az egyes dózisokra </w:t>
      </w:r>
      <w:r>
        <w:rPr>
          <w:bCs/>
          <w:szCs w:val="22"/>
        </w:rPr>
        <w:t>(a kiindulási értéktől mért változás százalékos középértéke)</w:t>
      </w:r>
    </w:p>
    <w:p w14:paraId="530D1D0C" w14:textId="77777777" w:rsidR="007963F8" w:rsidRDefault="007963F8">
      <w:pPr>
        <w:tabs>
          <w:tab w:val="left" w:pos="567"/>
        </w:tabs>
        <w:rPr>
          <w:szCs w:val="22"/>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840"/>
        <w:gridCol w:w="1080"/>
        <w:gridCol w:w="960"/>
        <w:gridCol w:w="1080"/>
        <w:gridCol w:w="600"/>
        <w:gridCol w:w="1680"/>
        <w:gridCol w:w="840"/>
        <w:gridCol w:w="1093"/>
      </w:tblGrid>
      <w:tr w:rsidR="007963F8" w14:paraId="40E02112" w14:textId="77777777">
        <w:trPr>
          <w:cantSplit/>
        </w:trPr>
        <w:tc>
          <w:tcPr>
            <w:tcW w:w="960" w:type="dxa"/>
          </w:tcPr>
          <w:p w14:paraId="392036D8" w14:textId="77777777" w:rsidR="007963F8" w:rsidRDefault="008714EA">
            <w:pPr>
              <w:jc w:val="center"/>
              <w:rPr>
                <w:b/>
                <w:szCs w:val="22"/>
                <w:lang w:val="hu-HU"/>
              </w:rPr>
            </w:pPr>
            <w:r>
              <w:rPr>
                <w:b/>
                <w:szCs w:val="22"/>
                <w:lang w:val="hu-HU"/>
              </w:rPr>
              <w:t>Adag</w:t>
            </w:r>
          </w:p>
        </w:tc>
        <w:tc>
          <w:tcPr>
            <w:tcW w:w="840" w:type="dxa"/>
          </w:tcPr>
          <w:p w14:paraId="23E4BC03" w14:textId="77777777" w:rsidR="007963F8" w:rsidRDefault="008714EA">
            <w:pPr>
              <w:jc w:val="center"/>
              <w:rPr>
                <w:b/>
                <w:szCs w:val="22"/>
                <w:lang w:val="hu-HU"/>
              </w:rPr>
            </w:pPr>
            <w:r>
              <w:rPr>
                <w:b/>
                <w:szCs w:val="22"/>
                <w:lang w:val="hu-HU"/>
              </w:rPr>
              <w:t>N</w:t>
            </w:r>
          </w:p>
        </w:tc>
        <w:tc>
          <w:tcPr>
            <w:tcW w:w="1080" w:type="dxa"/>
          </w:tcPr>
          <w:p w14:paraId="190D73C4" w14:textId="77777777" w:rsidR="007963F8" w:rsidRDefault="008714EA">
            <w:pPr>
              <w:jc w:val="center"/>
              <w:rPr>
                <w:b/>
                <w:szCs w:val="22"/>
                <w:lang w:val="hu-HU"/>
              </w:rPr>
            </w:pPr>
            <w:r>
              <w:rPr>
                <w:b/>
                <w:szCs w:val="22"/>
                <w:lang w:val="hu-HU"/>
              </w:rPr>
              <w:t>LDL-C</w:t>
            </w:r>
          </w:p>
        </w:tc>
        <w:tc>
          <w:tcPr>
            <w:tcW w:w="960" w:type="dxa"/>
          </w:tcPr>
          <w:p w14:paraId="341EF448" w14:textId="77777777" w:rsidR="007963F8" w:rsidRDefault="008714EA">
            <w:pPr>
              <w:jc w:val="center"/>
              <w:rPr>
                <w:b/>
                <w:szCs w:val="22"/>
                <w:lang w:val="hu-HU"/>
              </w:rPr>
            </w:pPr>
            <w:proofErr w:type="spellStart"/>
            <w:r>
              <w:rPr>
                <w:b/>
                <w:szCs w:val="22"/>
                <w:lang w:val="hu-HU"/>
              </w:rPr>
              <w:t>Össz</w:t>
            </w:r>
            <w:proofErr w:type="spellEnd"/>
            <w:r>
              <w:rPr>
                <w:b/>
                <w:szCs w:val="22"/>
                <w:lang w:val="hu-HU"/>
              </w:rPr>
              <w:t>-C</w:t>
            </w:r>
          </w:p>
        </w:tc>
        <w:tc>
          <w:tcPr>
            <w:tcW w:w="1080" w:type="dxa"/>
          </w:tcPr>
          <w:p w14:paraId="228E2BF9" w14:textId="77777777" w:rsidR="007963F8" w:rsidRDefault="008714EA">
            <w:pPr>
              <w:jc w:val="center"/>
              <w:rPr>
                <w:b/>
                <w:szCs w:val="22"/>
                <w:lang w:val="hu-HU"/>
              </w:rPr>
            </w:pPr>
            <w:r>
              <w:rPr>
                <w:b/>
                <w:szCs w:val="22"/>
                <w:lang w:val="hu-HU"/>
              </w:rPr>
              <w:t>HDL-C</w:t>
            </w:r>
          </w:p>
        </w:tc>
        <w:tc>
          <w:tcPr>
            <w:tcW w:w="600" w:type="dxa"/>
          </w:tcPr>
          <w:p w14:paraId="4339C3AD" w14:textId="77777777" w:rsidR="007963F8" w:rsidRDefault="008714EA">
            <w:pPr>
              <w:jc w:val="center"/>
              <w:rPr>
                <w:b/>
                <w:szCs w:val="22"/>
                <w:lang w:val="hu-HU"/>
              </w:rPr>
            </w:pPr>
            <w:r>
              <w:rPr>
                <w:b/>
                <w:szCs w:val="22"/>
                <w:lang w:val="hu-HU"/>
              </w:rPr>
              <w:t>TG</w:t>
            </w:r>
          </w:p>
        </w:tc>
        <w:tc>
          <w:tcPr>
            <w:tcW w:w="1680" w:type="dxa"/>
          </w:tcPr>
          <w:p w14:paraId="1A14A3FC" w14:textId="77777777" w:rsidR="007963F8" w:rsidRDefault="008714EA">
            <w:pPr>
              <w:jc w:val="center"/>
              <w:rPr>
                <w:b/>
                <w:szCs w:val="22"/>
                <w:lang w:val="hu-HU"/>
              </w:rPr>
            </w:pPr>
            <w:r>
              <w:rPr>
                <w:b/>
                <w:szCs w:val="22"/>
                <w:lang w:val="hu-HU"/>
              </w:rPr>
              <w:t>Nem HDL-C</w:t>
            </w:r>
          </w:p>
        </w:tc>
        <w:tc>
          <w:tcPr>
            <w:tcW w:w="840" w:type="dxa"/>
          </w:tcPr>
          <w:p w14:paraId="24E3AFBF" w14:textId="77777777" w:rsidR="007963F8" w:rsidRDefault="008714EA">
            <w:pPr>
              <w:jc w:val="center"/>
              <w:rPr>
                <w:b/>
                <w:szCs w:val="22"/>
                <w:lang w:val="hu-HU"/>
              </w:rPr>
            </w:pPr>
            <w:proofErr w:type="spellStart"/>
            <w:r>
              <w:rPr>
                <w:b/>
                <w:szCs w:val="22"/>
                <w:lang w:val="hu-HU"/>
              </w:rPr>
              <w:t>Apo</w:t>
            </w:r>
            <w:proofErr w:type="spellEnd"/>
            <w:r>
              <w:rPr>
                <w:b/>
                <w:szCs w:val="22"/>
                <w:lang w:val="hu-HU"/>
              </w:rPr>
              <w:t>-B</w:t>
            </w:r>
          </w:p>
        </w:tc>
        <w:tc>
          <w:tcPr>
            <w:tcW w:w="1093" w:type="dxa"/>
          </w:tcPr>
          <w:p w14:paraId="4DDA0AE0" w14:textId="77777777" w:rsidR="007963F8" w:rsidRDefault="008714EA">
            <w:pPr>
              <w:jc w:val="center"/>
              <w:rPr>
                <w:b/>
                <w:szCs w:val="22"/>
                <w:lang w:val="hu-HU"/>
              </w:rPr>
            </w:pPr>
            <w:proofErr w:type="spellStart"/>
            <w:r>
              <w:rPr>
                <w:b/>
                <w:szCs w:val="22"/>
                <w:lang w:val="hu-HU"/>
              </w:rPr>
              <w:t>Apo</w:t>
            </w:r>
            <w:proofErr w:type="spellEnd"/>
            <w:r>
              <w:rPr>
                <w:b/>
                <w:szCs w:val="22"/>
                <w:lang w:val="hu-HU"/>
              </w:rPr>
              <w:t>-A-I</w:t>
            </w:r>
          </w:p>
        </w:tc>
      </w:tr>
      <w:tr w:rsidR="007963F8" w14:paraId="7908279B" w14:textId="77777777">
        <w:trPr>
          <w:cantSplit/>
        </w:trPr>
        <w:tc>
          <w:tcPr>
            <w:tcW w:w="960" w:type="dxa"/>
          </w:tcPr>
          <w:p w14:paraId="71618661" w14:textId="77777777" w:rsidR="007963F8" w:rsidRDefault="008714EA">
            <w:pPr>
              <w:jc w:val="center"/>
              <w:rPr>
                <w:szCs w:val="22"/>
                <w:lang w:val="hu-HU"/>
              </w:rPr>
            </w:pPr>
            <w:r>
              <w:rPr>
                <w:szCs w:val="22"/>
                <w:lang w:val="hu-HU"/>
              </w:rPr>
              <w:t>Placebo</w:t>
            </w:r>
          </w:p>
        </w:tc>
        <w:tc>
          <w:tcPr>
            <w:tcW w:w="840" w:type="dxa"/>
          </w:tcPr>
          <w:p w14:paraId="456D2515" w14:textId="77777777" w:rsidR="007963F8" w:rsidRDefault="008714EA">
            <w:pPr>
              <w:jc w:val="center"/>
              <w:rPr>
                <w:szCs w:val="22"/>
                <w:lang w:val="hu-HU"/>
              </w:rPr>
            </w:pPr>
            <w:r>
              <w:rPr>
                <w:szCs w:val="22"/>
                <w:lang w:val="hu-HU"/>
              </w:rPr>
              <w:t>13</w:t>
            </w:r>
          </w:p>
        </w:tc>
        <w:tc>
          <w:tcPr>
            <w:tcW w:w="1080" w:type="dxa"/>
          </w:tcPr>
          <w:p w14:paraId="07347B90" w14:textId="77777777" w:rsidR="007963F8" w:rsidRDefault="008714EA">
            <w:pPr>
              <w:jc w:val="center"/>
              <w:rPr>
                <w:szCs w:val="22"/>
                <w:lang w:val="hu-HU"/>
              </w:rPr>
            </w:pPr>
            <w:r>
              <w:rPr>
                <w:szCs w:val="22"/>
                <w:lang w:val="hu-HU"/>
              </w:rPr>
              <w:t>-7</w:t>
            </w:r>
          </w:p>
        </w:tc>
        <w:tc>
          <w:tcPr>
            <w:tcW w:w="960" w:type="dxa"/>
          </w:tcPr>
          <w:p w14:paraId="0374EA21" w14:textId="77777777" w:rsidR="007963F8" w:rsidRDefault="008714EA">
            <w:pPr>
              <w:jc w:val="center"/>
              <w:rPr>
                <w:szCs w:val="22"/>
                <w:lang w:val="hu-HU"/>
              </w:rPr>
            </w:pPr>
            <w:r>
              <w:rPr>
                <w:szCs w:val="22"/>
                <w:lang w:val="hu-HU"/>
              </w:rPr>
              <w:t>-5</w:t>
            </w:r>
          </w:p>
        </w:tc>
        <w:tc>
          <w:tcPr>
            <w:tcW w:w="1080" w:type="dxa"/>
          </w:tcPr>
          <w:p w14:paraId="3746AAE9" w14:textId="77777777" w:rsidR="007963F8" w:rsidRDefault="008714EA">
            <w:pPr>
              <w:jc w:val="center"/>
              <w:rPr>
                <w:szCs w:val="22"/>
                <w:lang w:val="hu-HU"/>
              </w:rPr>
            </w:pPr>
            <w:r>
              <w:rPr>
                <w:szCs w:val="22"/>
                <w:lang w:val="hu-HU"/>
              </w:rPr>
              <w:t>3</w:t>
            </w:r>
          </w:p>
        </w:tc>
        <w:tc>
          <w:tcPr>
            <w:tcW w:w="600" w:type="dxa"/>
          </w:tcPr>
          <w:p w14:paraId="2D178BF4" w14:textId="77777777" w:rsidR="007963F8" w:rsidRDefault="008714EA">
            <w:pPr>
              <w:jc w:val="center"/>
              <w:rPr>
                <w:szCs w:val="22"/>
                <w:lang w:val="hu-HU"/>
              </w:rPr>
            </w:pPr>
            <w:r>
              <w:rPr>
                <w:szCs w:val="22"/>
                <w:lang w:val="hu-HU"/>
              </w:rPr>
              <w:t>-3</w:t>
            </w:r>
          </w:p>
        </w:tc>
        <w:tc>
          <w:tcPr>
            <w:tcW w:w="1680" w:type="dxa"/>
          </w:tcPr>
          <w:p w14:paraId="7B60EB46" w14:textId="77777777" w:rsidR="007963F8" w:rsidRDefault="008714EA">
            <w:pPr>
              <w:jc w:val="center"/>
              <w:rPr>
                <w:szCs w:val="22"/>
                <w:lang w:val="hu-HU"/>
              </w:rPr>
            </w:pPr>
            <w:r>
              <w:rPr>
                <w:szCs w:val="22"/>
                <w:lang w:val="hu-HU"/>
              </w:rPr>
              <w:t>-7</w:t>
            </w:r>
          </w:p>
        </w:tc>
        <w:tc>
          <w:tcPr>
            <w:tcW w:w="840" w:type="dxa"/>
          </w:tcPr>
          <w:p w14:paraId="502EE240" w14:textId="77777777" w:rsidR="007963F8" w:rsidRDefault="008714EA">
            <w:pPr>
              <w:jc w:val="center"/>
              <w:rPr>
                <w:szCs w:val="22"/>
                <w:lang w:val="hu-HU"/>
              </w:rPr>
            </w:pPr>
            <w:r>
              <w:rPr>
                <w:szCs w:val="22"/>
                <w:lang w:val="hu-HU"/>
              </w:rPr>
              <w:t>-3</w:t>
            </w:r>
          </w:p>
        </w:tc>
        <w:tc>
          <w:tcPr>
            <w:tcW w:w="1093" w:type="dxa"/>
          </w:tcPr>
          <w:p w14:paraId="31AA9AFA" w14:textId="77777777" w:rsidR="007963F8" w:rsidRDefault="008714EA">
            <w:pPr>
              <w:jc w:val="center"/>
              <w:rPr>
                <w:szCs w:val="22"/>
                <w:lang w:val="hu-HU"/>
              </w:rPr>
            </w:pPr>
            <w:r>
              <w:rPr>
                <w:szCs w:val="22"/>
                <w:lang w:val="hu-HU"/>
              </w:rPr>
              <w:t>0</w:t>
            </w:r>
          </w:p>
        </w:tc>
      </w:tr>
      <w:tr w:rsidR="007963F8" w14:paraId="0C996FBD" w14:textId="77777777">
        <w:trPr>
          <w:cantSplit/>
        </w:trPr>
        <w:tc>
          <w:tcPr>
            <w:tcW w:w="960" w:type="dxa"/>
          </w:tcPr>
          <w:p w14:paraId="48E46DC1" w14:textId="77777777" w:rsidR="007963F8" w:rsidRDefault="008714EA">
            <w:pPr>
              <w:jc w:val="center"/>
              <w:rPr>
                <w:szCs w:val="22"/>
                <w:lang w:val="hu-HU"/>
              </w:rPr>
            </w:pPr>
            <w:r>
              <w:rPr>
                <w:szCs w:val="22"/>
                <w:lang w:val="hu-HU"/>
              </w:rPr>
              <w:t>5</w:t>
            </w:r>
          </w:p>
        </w:tc>
        <w:tc>
          <w:tcPr>
            <w:tcW w:w="840" w:type="dxa"/>
          </w:tcPr>
          <w:p w14:paraId="7E53561B" w14:textId="77777777" w:rsidR="007963F8" w:rsidRDefault="008714EA">
            <w:pPr>
              <w:jc w:val="center"/>
              <w:rPr>
                <w:szCs w:val="22"/>
                <w:lang w:val="hu-HU"/>
              </w:rPr>
            </w:pPr>
            <w:r>
              <w:rPr>
                <w:szCs w:val="22"/>
                <w:lang w:val="hu-HU"/>
              </w:rPr>
              <w:t>17</w:t>
            </w:r>
          </w:p>
        </w:tc>
        <w:tc>
          <w:tcPr>
            <w:tcW w:w="1080" w:type="dxa"/>
          </w:tcPr>
          <w:p w14:paraId="5E1B5792" w14:textId="77777777" w:rsidR="007963F8" w:rsidRDefault="008714EA">
            <w:pPr>
              <w:jc w:val="center"/>
              <w:rPr>
                <w:szCs w:val="22"/>
                <w:lang w:val="hu-HU"/>
              </w:rPr>
            </w:pPr>
            <w:r>
              <w:rPr>
                <w:szCs w:val="22"/>
                <w:lang w:val="hu-HU"/>
              </w:rPr>
              <w:t>-45</w:t>
            </w:r>
          </w:p>
        </w:tc>
        <w:tc>
          <w:tcPr>
            <w:tcW w:w="960" w:type="dxa"/>
          </w:tcPr>
          <w:p w14:paraId="59FB6F5A" w14:textId="77777777" w:rsidR="007963F8" w:rsidRDefault="008714EA">
            <w:pPr>
              <w:jc w:val="center"/>
              <w:rPr>
                <w:szCs w:val="22"/>
                <w:lang w:val="hu-HU"/>
              </w:rPr>
            </w:pPr>
            <w:r>
              <w:rPr>
                <w:szCs w:val="22"/>
                <w:lang w:val="hu-HU"/>
              </w:rPr>
              <w:t>-33</w:t>
            </w:r>
          </w:p>
        </w:tc>
        <w:tc>
          <w:tcPr>
            <w:tcW w:w="1080" w:type="dxa"/>
          </w:tcPr>
          <w:p w14:paraId="1DEBBE71" w14:textId="77777777" w:rsidR="007963F8" w:rsidRDefault="008714EA">
            <w:pPr>
              <w:jc w:val="center"/>
              <w:rPr>
                <w:szCs w:val="22"/>
                <w:lang w:val="hu-HU"/>
              </w:rPr>
            </w:pPr>
            <w:r>
              <w:rPr>
                <w:szCs w:val="22"/>
                <w:lang w:val="hu-HU"/>
              </w:rPr>
              <w:t>13</w:t>
            </w:r>
          </w:p>
        </w:tc>
        <w:tc>
          <w:tcPr>
            <w:tcW w:w="600" w:type="dxa"/>
          </w:tcPr>
          <w:p w14:paraId="77F5BA5B" w14:textId="77777777" w:rsidR="007963F8" w:rsidRDefault="008714EA">
            <w:pPr>
              <w:jc w:val="center"/>
              <w:rPr>
                <w:szCs w:val="22"/>
                <w:lang w:val="hu-HU"/>
              </w:rPr>
            </w:pPr>
            <w:r>
              <w:rPr>
                <w:szCs w:val="22"/>
                <w:lang w:val="hu-HU"/>
              </w:rPr>
              <w:t>-35</w:t>
            </w:r>
          </w:p>
        </w:tc>
        <w:tc>
          <w:tcPr>
            <w:tcW w:w="1680" w:type="dxa"/>
          </w:tcPr>
          <w:p w14:paraId="28FB35F0" w14:textId="77777777" w:rsidR="007963F8" w:rsidRDefault="008714EA">
            <w:pPr>
              <w:jc w:val="center"/>
              <w:rPr>
                <w:szCs w:val="22"/>
                <w:lang w:val="hu-HU"/>
              </w:rPr>
            </w:pPr>
            <w:r>
              <w:rPr>
                <w:szCs w:val="22"/>
                <w:lang w:val="hu-HU"/>
              </w:rPr>
              <w:t>-44</w:t>
            </w:r>
          </w:p>
        </w:tc>
        <w:tc>
          <w:tcPr>
            <w:tcW w:w="840" w:type="dxa"/>
          </w:tcPr>
          <w:p w14:paraId="4850FBD9" w14:textId="77777777" w:rsidR="007963F8" w:rsidRDefault="008714EA">
            <w:pPr>
              <w:jc w:val="center"/>
              <w:rPr>
                <w:szCs w:val="22"/>
                <w:lang w:val="hu-HU"/>
              </w:rPr>
            </w:pPr>
            <w:r>
              <w:rPr>
                <w:szCs w:val="22"/>
                <w:lang w:val="hu-HU"/>
              </w:rPr>
              <w:t>-38</w:t>
            </w:r>
          </w:p>
        </w:tc>
        <w:tc>
          <w:tcPr>
            <w:tcW w:w="1093" w:type="dxa"/>
          </w:tcPr>
          <w:p w14:paraId="65DA8E7E" w14:textId="77777777" w:rsidR="007963F8" w:rsidRDefault="008714EA">
            <w:pPr>
              <w:jc w:val="center"/>
              <w:rPr>
                <w:szCs w:val="22"/>
                <w:lang w:val="hu-HU"/>
              </w:rPr>
            </w:pPr>
            <w:r>
              <w:rPr>
                <w:szCs w:val="22"/>
                <w:lang w:val="hu-HU"/>
              </w:rPr>
              <w:t>4</w:t>
            </w:r>
          </w:p>
        </w:tc>
      </w:tr>
      <w:tr w:rsidR="007963F8" w14:paraId="19E73CA0" w14:textId="77777777">
        <w:trPr>
          <w:cantSplit/>
        </w:trPr>
        <w:tc>
          <w:tcPr>
            <w:tcW w:w="960" w:type="dxa"/>
          </w:tcPr>
          <w:p w14:paraId="756051B7" w14:textId="77777777" w:rsidR="007963F8" w:rsidRDefault="008714EA">
            <w:pPr>
              <w:jc w:val="center"/>
              <w:rPr>
                <w:szCs w:val="22"/>
                <w:lang w:val="hu-HU"/>
              </w:rPr>
            </w:pPr>
            <w:r>
              <w:rPr>
                <w:szCs w:val="22"/>
                <w:lang w:val="hu-HU"/>
              </w:rPr>
              <w:t>10</w:t>
            </w:r>
          </w:p>
        </w:tc>
        <w:tc>
          <w:tcPr>
            <w:tcW w:w="840" w:type="dxa"/>
          </w:tcPr>
          <w:p w14:paraId="0B2BD232" w14:textId="77777777" w:rsidR="007963F8" w:rsidRDefault="008714EA">
            <w:pPr>
              <w:jc w:val="center"/>
              <w:rPr>
                <w:szCs w:val="22"/>
                <w:lang w:val="hu-HU"/>
              </w:rPr>
            </w:pPr>
            <w:r>
              <w:rPr>
                <w:szCs w:val="22"/>
                <w:lang w:val="hu-HU"/>
              </w:rPr>
              <w:t>17</w:t>
            </w:r>
          </w:p>
        </w:tc>
        <w:tc>
          <w:tcPr>
            <w:tcW w:w="1080" w:type="dxa"/>
          </w:tcPr>
          <w:p w14:paraId="2B2B6D41" w14:textId="77777777" w:rsidR="007963F8" w:rsidRDefault="008714EA">
            <w:pPr>
              <w:jc w:val="center"/>
              <w:rPr>
                <w:szCs w:val="22"/>
                <w:lang w:val="hu-HU"/>
              </w:rPr>
            </w:pPr>
            <w:r>
              <w:rPr>
                <w:szCs w:val="22"/>
                <w:lang w:val="hu-HU"/>
              </w:rPr>
              <w:t>-52</w:t>
            </w:r>
          </w:p>
        </w:tc>
        <w:tc>
          <w:tcPr>
            <w:tcW w:w="960" w:type="dxa"/>
          </w:tcPr>
          <w:p w14:paraId="3C0B2D15" w14:textId="77777777" w:rsidR="007963F8" w:rsidRDefault="008714EA">
            <w:pPr>
              <w:jc w:val="center"/>
              <w:rPr>
                <w:szCs w:val="22"/>
                <w:lang w:val="hu-HU"/>
              </w:rPr>
            </w:pPr>
            <w:r>
              <w:rPr>
                <w:szCs w:val="22"/>
                <w:lang w:val="hu-HU"/>
              </w:rPr>
              <w:t>-36</w:t>
            </w:r>
          </w:p>
        </w:tc>
        <w:tc>
          <w:tcPr>
            <w:tcW w:w="1080" w:type="dxa"/>
          </w:tcPr>
          <w:p w14:paraId="13CD49A3" w14:textId="77777777" w:rsidR="007963F8" w:rsidRDefault="008714EA">
            <w:pPr>
              <w:jc w:val="center"/>
              <w:rPr>
                <w:szCs w:val="22"/>
                <w:lang w:val="hu-HU"/>
              </w:rPr>
            </w:pPr>
            <w:r>
              <w:rPr>
                <w:szCs w:val="22"/>
                <w:lang w:val="hu-HU"/>
              </w:rPr>
              <w:t>14</w:t>
            </w:r>
          </w:p>
        </w:tc>
        <w:tc>
          <w:tcPr>
            <w:tcW w:w="600" w:type="dxa"/>
          </w:tcPr>
          <w:p w14:paraId="458E9EDF" w14:textId="77777777" w:rsidR="007963F8" w:rsidRDefault="008714EA">
            <w:pPr>
              <w:jc w:val="center"/>
              <w:rPr>
                <w:szCs w:val="22"/>
                <w:lang w:val="hu-HU"/>
              </w:rPr>
            </w:pPr>
            <w:r>
              <w:rPr>
                <w:szCs w:val="22"/>
                <w:lang w:val="hu-HU"/>
              </w:rPr>
              <w:t>-10</w:t>
            </w:r>
          </w:p>
        </w:tc>
        <w:tc>
          <w:tcPr>
            <w:tcW w:w="1680" w:type="dxa"/>
          </w:tcPr>
          <w:p w14:paraId="0B71B4BF" w14:textId="77777777" w:rsidR="007963F8" w:rsidRDefault="008714EA">
            <w:pPr>
              <w:jc w:val="center"/>
              <w:rPr>
                <w:szCs w:val="22"/>
                <w:lang w:val="hu-HU"/>
              </w:rPr>
            </w:pPr>
            <w:r>
              <w:rPr>
                <w:szCs w:val="22"/>
                <w:lang w:val="hu-HU"/>
              </w:rPr>
              <w:t>-48</w:t>
            </w:r>
          </w:p>
        </w:tc>
        <w:tc>
          <w:tcPr>
            <w:tcW w:w="840" w:type="dxa"/>
          </w:tcPr>
          <w:p w14:paraId="242FADCC" w14:textId="77777777" w:rsidR="007963F8" w:rsidRDefault="008714EA">
            <w:pPr>
              <w:jc w:val="center"/>
              <w:rPr>
                <w:szCs w:val="22"/>
                <w:lang w:val="hu-HU"/>
              </w:rPr>
            </w:pPr>
            <w:r>
              <w:rPr>
                <w:szCs w:val="22"/>
                <w:lang w:val="hu-HU"/>
              </w:rPr>
              <w:t>-42</w:t>
            </w:r>
          </w:p>
        </w:tc>
        <w:tc>
          <w:tcPr>
            <w:tcW w:w="1093" w:type="dxa"/>
          </w:tcPr>
          <w:p w14:paraId="542B3D9B" w14:textId="77777777" w:rsidR="007963F8" w:rsidRDefault="008714EA">
            <w:pPr>
              <w:jc w:val="center"/>
              <w:rPr>
                <w:szCs w:val="22"/>
                <w:lang w:val="hu-HU"/>
              </w:rPr>
            </w:pPr>
            <w:r>
              <w:rPr>
                <w:szCs w:val="22"/>
                <w:lang w:val="hu-HU"/>
              </w:rPr>
              <w:t>4</w:t>
            </w:r>
          </w:p>
        </w:tc>
      </w:tr>
      <w:tr w:rsidR="007963F8" w14:paraId="61AF0261" w14:textId="77777777">
        <w:trPr>
          <w:cantSplit/>
        </w:trPr>
        <w:tc>
          <w:tcPr>
            <w:tcW w:w="960" w:type="dxa"/>
          </w:tcPr>
          <w:p w14:paraId="570D8D61" w14:textId="77777777" w:rsidR="007963F8" w:rsidRDefault="008714EA">
            <w:pPr>
              <w:jc w:val="center"/>
              <w:rPr>
                <w:szCs w:val="22"/>
                <w:lang w:val="hu-HU"/>
              </w:rPr>
            </w:pPr>
            <w:r>
              <w:rPr>
                <w:szCs w:val="22"/>
                <w:lang w:val="hu-HU"/>
              </w:rPr>
              <w:t>20</w:t>
            </w:r>
          </w:p>
        </w:tc>
        <w:tc>
          <w:tcPr>
            <w:tcW w:w="840" w:type="dxa"/>
          </w:tcPr>
          <w:p w14:paraId="3DF5B87A" w14:textId="77777777" w:rsidR="007963F8" w:rsidRDefault="008714EA">
            <w:pPr>
              <w:jc w:val="center"/>
              <w:rPr>
                <w:szCs w:val="22"/>
                <w:lang w:val="hu-HU"/>
              </w:rPr>
            </w:pPr>
            <w:r>
              <w:rPr>
                <w:szCs w:val="22"/>
                <w:lang w:val="hu-HU"/>
              </w:rPr>
              <w:t>17</w:t>
            </w:r>
          </w:p>
        </w:tc>
        <w:tc>
          <w:tcPr>
            <w:tcW w:w="1080" w:type="dxa"/>
          </w:tcPr>
          <w:p w14:paraId="16B2EBED" w14:textId="77777777" w:rsidR="007963F8" w:rsidRDefault="008714EA">
            <w:pPr>
              <w:jc w:val="center"/>
              <w:rPr>
                <w:szCs w:val="22"/>
                <w:lang w:val="hu-HU"/>
              </w:rPr>
            </w:pPr>
            <w:r>
              <w:rPr>
                <w:szCs w:val="22"/>
                <w:lang w:val="hu-HU"/>
              </w:rPr>
              <w:t>-55</w:t>
            </w:r>
          </w:p>
        </w:tc>
        <w:tc>
          <w:tcPr>
            <w:tcW w:w="960" w:type="dxa"/>
          </w:tcPr>
          <w:p w14:paraId="6911A123" w14:textId="77777777" w:rsidR="007963F8" w:rsidRDefault="008714EA">
            <w:pPr>
              <w:jc w:val="center"/>
              <w:rPr>
                <w:szCs w:val="22"/>
                <w:lang w:val="hu-HU"/>
              </w:rPr>
            </w:pPr>
            <w:r>
              <w:rPr>
                <w:szCs w:val="22"/>
                <w:lang w:val="hu-HU"/>
              </w:rPr>
              <w:t>-40</w:t>
            </w:r>
          </w:p>
        </w:tc>
        <w:tc>
          <w:tcPr>
            <w:tcW w:w="1080" w:type="dxa"/>
          </w:tcPr>
          <w:p w14:paraId="645FA4D6" w14:textId="77777777" w:rsidR="007963F8" w:rsidRDefault="008714EA">
            <w:pPr>
              <w:jc w:val="center"/>
              <w:rPr>
                <w:szCs w:val="22"/>
                <w:lang w:val="hu-HU"/>
              </w:rPr>
            </w:pPr>
            <w:r>
              <w:rPr>
                <w:szCs w:val="22"/>
                <w:lang w:val="hu-HU"/>
              </w:rPr>
              <w:t>8</w:t>
            </w:r>
          </w:p>
        </w:tc>
        <w:tc>
          <w:tcPr>
            <w:tcW w:w="600" w:type="dxa"/>
          </w:tcPr>
          <w:p w14:paraId="44439FE0" w14:textId="77777777" w:rsidR="007963F8" w:rsidRDefault="008714EA">
            <w:pPr>
              <w:jc w:val="center"/>
              <w:rPr>
                <w:szCs w:val="22"/>
                <w:lang w:val="hu-HU"/>
              </w:rPr>
            </w:pPr>
            <w:r>
              <w:rPr>
                <w:szCs w:val="22"/>
                <w:lang w:val="hu-HU"/>
              </w:rPr>
              <w:t>-23</w:t>
            </w:r>
          </w:p>
        </w:tc>
        <w:tc>
          <w:tcPr>
            <w:tcW w:w="1680" w:type="dxa"/>
          </w:tcPr>
          <w:p w14:paraId="7159310F" w14:textId="77777777" w:rsidR="007963F8" w:rsidRDefault="008714EA">
            <w:pPr>
              <w:jc w:val="center"/>
              <w:rPr>
                <w:szCs w:val="22"/>
                <w:lang w:val="hu-HU"/>
              </w:rPr>
            </w:pPr>
            <w:r>
              <w:rPr>
                <w:szCs w:val="22"/>
                <w:lang w:val="hu-HU"/>
              </w:rPr>
              <w:t>-51</w:t>
            </w:r>
          </w:p>
        </w:tc>
        <w:tc>
          <w:tcPr>
            <w:tcW w:w="840" w:type="dxa"/>
          </w:tcPr>
          <w:p w14:paraId="05BC00BE" w14:textId="77777777" w:rsidR="007963F8" w:rsidRDefault="008714EA">
            <w:pPr>
              <w:jc w:val="center"/>
              <w:rPr>
                <w:szCs w:val="22"/>
                <w:lang w:val="hu-HU"/>
              </w:rPr>
            </w:pPr>
            <w:r>
              <w:rPr>
                <w:szCs w:val="22"/>
                <w:lang w:val="hu-HU"/>
              </w:rPr>
              <w:t>-46</w:t>
            </w:r>
          </w:p>
        </w:tc>
        <w:tc>
          <w:tcPr>
            <w:tcW w:w="1093" w:type="dxa"/>
          </w:tcPr>
          <w:p w14:paraId="187528E8" w14:textId="77777777" w:rsidR="007963F8" w:rsidRDefault="008714EA">
            <w:pPr>
              <w:jc w:val="center"/>
              <w:rPr>
                <w:szCs w:val="22"/>
                <w:lang w:val="hu-HU"/>
              </w:rPr>
            </w:pPr>
            <w:r>
              <w:rPr>
                <w:szCs w:val="22"/>
                <w:lang w:val="hu-HU"/>
              </w:rPr>
              <w:t>5</w:t>
            </w:r>
          </w:p>
        </w:tc>
      </w:tr>
      <w:tr w:rsidR="007963F8" w14:paraId="6F64829F" w14:textId="77777777">
        <w:trPr>
          <w:cantSplit/>
        </w:trPr>
        <w:tc>
          <w:tcPr>
            <w:tcW w:w="960" w:type="dxa"/>
          </w:tcPr>
          <w:p w14:paraId="11FB22A0" w14:textId="77777777" w:rsidR="007963F8" w:rsidRDefault="008714EA">
            <w:pPr>
              <w:jc w:val="center"/>
              <w:rPr>
                <w:szCs w:val="22"/>
                <w:lang w:val="hu-HU"/>
              </w:rPr>
            </w:pPr>
            <w:r>
              <w:rPr>
                <w:szCs w:val="22"/>
                <w:lang w:val="hu-HU"/>
              </w:rPr>
              <w:t>40</w:t>
            </w:r>
          </w:p>
        </w:tc>
        <w:tc>
          <w:tcPr>
            <w:tcW w:w="840" w:type="dxa"/>
          </w:tcPr>
          <w:p w14:paraId="6A6C105D" w14:textId="77777777" w:rsidR="007963F8" w:rsidRDefault="008714EA">
            <w:pPr>
              <w:jc w:val="center"/>
              <w:rPr>
                <w:szCs w:val="22"/>
                <w:lang w:val="hu-HU"/>
              </w:rPr>
            </w:pPr>
            <w:r>
              <w:rPr>
                <w:szCs w:val="22"/>
                <w:lang w:val="hu-HU"/>
              </w:rPr>
              <w:t>18</w:t>
            </w:r>
          </w:p>
        </w:tc>
        <w:tc>
          <w:tcPr>
            <w:tcW w:w="1080" w:type="dxa"/>
          </w:tcPr>
          <w:p w14:paraId="4EBCC17C" w14:textId="77777777" w:rsidR="007963F8" w:rsidRDefault="008714EA">
            <w:pPr>
              <w:jc w:val="center"/>
              <w:rPr>
                <w:szCs w:val="22"/>
                <w:lang w:val="hu-HU"/>
              </w:rPr>
            </w:pPr>
            <w:r>
              <w:rPr>
                <w:szCs w:val="22"/>
                <w:lang w:val="hu-HU"/>
              </w:rPr>
              <w:t>-63</w:t>
            </w:r>
          </w:p>
        </w:tc>
        <w:tc>
          <w:tcPr>
            <w:tcW w:w="960" w:type="dxa"/>
          </w:tcPr>
          <w:p w14:paraId="3A579BFF" w14:textId="77777777" w:rsidR="007963F8" w:rsidRDefault="008714EA">
            <w:pPr>
              <w:jc w:val="center"/>
              <w:rPr>
                <w:szCs w:val="22"/>
                <w:lang w:val="hu-HU"/>
              </w:rPr>
            </w:pPr>
            <w:r>
              <w:rPr>
                <w:szCs w:val="22"/>
                <w:lang w:val="hu-HU"/>
              </w:rPr>
              <w:t>-46</w:t>
            </w:r>
          </w:p>
        </w:tc>
        <w:tc>
          <w:tcPr>
            <w:tcW w:w="1080" w:type="dxa"/>
          </w:tcPr>
          <w:p w14:paraId="4E085955" w14:textId="77777777" w:rsidR="007963F8" w:rsidRDefault="008714EA">
            <w:pPr>
              <w:jc w:val="center"/>
              <w:rPr>
                <w:szCs w:val="22"/>
                <w:lang w:val="hu-HU"/>
              </w:rPr>
            </w:pPr>
            <w:r>
              <w:rPr>
                <w:szCs w:val="22"/>
                <w:lang w:val="hu-HU"/>
              </w:rPr>
              <w:t>10</w:t>
            </w:r>
          </w:p>
        </w:tc>
        <w:tc>
          <w:tcPr>
            <w:tcW w:w="600" w:type="dxa"/>
          </w:tcPr>
          <w:p w14:paraId="3157E799" w14:textId="77777777" w:rsidR="007963F8" w:rsidRDefault="008714EA">
            <w:pPr>
              <w:jc w:val="center"/>
              <w:rPr>
                <w:szCs w:val="22"/>
                <w:lang w:val="hu-HU"/>
              </w:rPr>
            </w:pPr>
            <w:r>
              <w:rPr>
                <w:szCs w:val="22"/>
                <w:lang w:val="hu-HU"/>
              </w:rPr>
              <w:t>-28</w:t>
            </w:r>
          </w:p>
        </w:tc>
        <w:tc>
          <w:tcPr>
            <w:tcW w:w="1680" w:type="dxa"/>
          </w:tcPr>
          <w:p w14:paraId="145CAAA2" w14:textId="77777777" w:rsidR="007963F8" w:rsidRDefault="008714EA">
            <w:pPr>
              <w:jc w:val="center"/>
              <w:rPr>
                <w:szCs w:val="22"/>
                <w:lang w:val="hu-HU"/>
              </w:rPr>
            </w:pPr>
            <w:r>
              <w:rPr>
                <w:szCs w:val="22"/>
                <w:lang w:val="hu-HU"/>
              </w:rPr>
              <w:t>-60</w:t>
            </w:r>
          </w:p>
        </w:tc>
        <w:tc>
          <w:tcPr>
            <w:tcW w:w="840" w:type="dxa"/>
          </w:tcPr>
          <w:p w14:paraId="420AB85B" w14:textId="77777777" w:rsidR="007963F8" w:rsidRDefault="008714EA">
            <w:pPr>
              <w:jc w:val="center"/>
              <w:rPr>
                <w:szCs w:val="22"/>
                <w:lang w:val="hu-HU"/>
              </w:rPr>
            </w:pPr>
            <w:r>
              <w:rPr>
                <w:szCs w:val="22"/>
                <w:lang w:val="hu-HU"/>
              </w:rPr>
              <w:t>-54</w:t>
            </w:r>
          </w:p>
        </w:tc>
        <w:tc>
          <w:tcPr>
            <w:tcW w:w="1093" w:type="dxa"/>
          </w:tcPr>
          <w:p w14:paraId="304F5B0B" w14:textId="77777777" w:rsidR="007963F8" w:rsidRDefault="008714EA">
            <w:pPr>
              <w:jc w:val="center"/>
              <w:rPr>
                <w:szCs w:val="22"/>
                <w:lang w:val="hu-HU"/>
              </w:rPr>
            </w:pPr>
            <w:r>
              <w:rPr>
                <w:szCs w:val="22"/>
                <w:lang w:val="hu-HU"/>
              </w:rPr>
              <w:t>0</w:t>
            </w:r>
          </w:p>
        </w:tc>
      </w:tr>
    </w:tbl>
    <w:p w14:paraId="7DF3EE7E" w14:textId="77777777" w:rsidR="007963F8" w:rsidRDefault="007963F8">
      <w:pPr>
        <w:rPr>
          <w:szCs w:val="22"/>
          <w:lang w:val="hu-HU"/>
        </w:rPr>
      </w:pPr>
    </w:p>
    <w:p w14:paraId="121144CC" w14:textId="77777777" w:rsidR="007963F8" w:rsidRDefault="008714EA">
      <w:pPr>
        <w:rPr>
          <w:szCs w:val="22"/>
        </w:rPr>
      </w:pPr>
      <w:r>
        <w:rPr>
          <w:szCs w:val="22"/>
        </w:rPr>
        <w:t>A terápia megkezdésétől számított 1 héten belül a terápiás hatás már megmutatkozik, és rendszerint 2 hét múlva kialakul a teljes terápiás válasz 90%-a. A teljes terápiás válasz általában a negyedik hétre alakul ki és ezután állandó marad.</w:t>
      </w:r>
    </w:p>
    <w:p w14:paraId="3B8904AD" w14:textId="77777777" w:rsidR="007963F8" w:rsidRDefault="007963F8">
      <w:pPr>
        <w:rPr>
          <w:szCs w:val="22"/>
        </w:rPr>
      </w:pPr>
    </w:p>
    <w:p w14:paraId="12852E07" w14:textId="77777777" w:rsidR="007963F8" w:rsidRDefault="008714EA">
      <w:pPr>
        <w:rPr>
          <w:szCs w:val="22"/>
        </w:rPr>
      </w:pPr>
      <w:r>
        <w:rPr>
          <w:szCs w:val="22"/>
        </w:rPr>
        <w:t>A rozuvasztatin rasszra, nemre és korra való tekintet nélkül hatékony a hypertrigliceridaemiával vagy anélkül jelentkező, hypercholesterinaemiában szenvedő felnőtt populáció kezelésében.</w:t>
      </w:r>
    </w:p>
    <w:p w14:paraId="1A437978" w14:textId="77777777" w:rsidR="007963F8" w:rsidRDefault="008714EA">
      <w:pPr>
        <w:rPr>
          <w:szCs w:val="22"/>
        </w:rPr>
      </w:pPr>
      <w:r>
        <w:rPr>
          <w:szCs w:val="22"/>
        </w:rPr>
        <w:t>A rozuvasztatin szintén hatékony speciális betegcsoportok kezelésében, mint a diabetes vagy a familiaris hypercholesterinaemia.</w:t>
      </w:r>
    </w:p>
    <w:p w14:paraId="2997A98A" w14:textId="77777777" w:rsidR="007963F8" w:rsidRDefault="007963F8">
      <w:pPr>
        <w:rPr>
          <w:szCs w:val="22"/>
        </w:rPr>
      </w:pPr>
    </w:p>
    <w:p w14:paraId="3A4FEEC5" w14:textId="77777777" w:rsidR="007963F8" w:rsidRDefault="008714EA">
      <w:pPr>
        <w:rPr>
          <w:szCs w:val="22"/>
        </w:rPr>
      </w:pPr>
      <w:r>
        <w:rPr>
          <w:szCs w:val="22"/>
        </w:rPr>
        <w:t>III. fázisú vizsgálatok összevont adatai alapján a rozuvasztatin hatékonynak bizonyult a Iia. és Iib  típusú hypercholesterinaemiában szenvedő betegek (a kiindulási LDL-C-érték középértéke megközelítőleg 4,8 mmol/1) többségének kezelésében, az Európai Atherosclerosis Társaság (EAS; 1998) elfogadott irányelveiben megfogalmazott célérték elérésében. A 10 mg rozuvasztatinnal kezelt betegek körülbelül 80%-ánál az LDL-koleszterin-szint az EAS irányelvekben rögzített célértékre csökkent (&lt; 3 mmol/1).</w:t>
      </w:r>
    </w:p>
    <w:p w14:paraId="2787DB07" w14:textId="77777777" w:rsidR="007963F8" w:rsidRDefault="007963F8">
      <w:pPr>
        <w:rPr>
          <w:szCs w:val="22"/>
        </w:rPr>
      </w:pPr>
    </w:p>
    <w:p w14:paraId="21EA5EC1" w14:textId="61DE5532" w:rsidR="007963F8" w:rsidRDefault="008714EA">
      <w:pPr>
        <w:rPr>
          <w:szCs w:val="22"/>
        </w:rPr>
      </w:pPr>
      <w:r>
        <w:rPr>
          <w:szCs w:val="22"/>
        </w:rPr>
        <w:t>Heterozygota familiaris hypercholesterinaemiában szenvedő betegeken végzett nagy betegszámú dózis-hatás vizsgálatban, 435 beteg kapott rozuvasztatint 20-80 mg dózisokban. A rozuvasztatin minden vizsgálati dózisa a lipid értékek javulását, valamint a terápia célértékeihez való közelítést eredményezte. A 40 mg-os adag elérését követően (a terápia 12. hete) az LDL–koleszterin-szint 53%</w:t>
      </w:r>
      <w:r>
        <w:rPr>
          <w:szCs w:val="22"/>
        </w:rPr>
        <w:noBreakHyphen/>
        <w:t xml:space="preserve">kal csökkent. A betegek </w:t>
      </w:r>
      <w:r w:rsidR="00C54B9C">
        <w:rPr>
          <w:szCs w:val="22"/>
          <w:lang w:val="hu-HU"/>
        </w:rPr>
        <w:t>harminchárom százalékában (</w:t>
      </w:r>
      <w:r>
        <w:rPr>
          <w:szCs w:val="22"/>
        </w:rPr>
        <w:t>33%-</w:t>
      </w:r>
      <w:r w:rsidR="00C54B9C">
        <w:rPr>
          <w:szCs w:val="22"/>
        </w:rPr>
        <w:t>)</w:t>
      </w:r>
      <w:r>
        <w:rPr>
          <w:szCs w:val="22"/>
        </w:rPr>
        <w:t xml:space="preserve"> az LDL-koleszterin-szint az EAS irányelvekben meghatározott célértékre csökkent (&lt; 3 mmol/1).</w:t>
      </w:r>
    </w:p>
    <w:p w14:paraId="3741E955" w14:textId="77777777" w:rsidR="007963F8" w:rsidRDefault="007963F8">
      <w:pPr>
        <w:rPr>
          <w:szCs w:val="22"/>
        </w:rPr>
      </w:pPr>
    </w:p>
    <w:p w14:paraId="76A125D6" w14:textId="77777777" w:rsidR="007963F8" w:rsidRDefault="008714EA">
      <w:pPr>
        <w:rPr>
          <w:szCs w:val="22"/>
        </w:rPr>
      </w:pPr>
      <w:r>
        <w:rPr>
          <w:szCs w:val="22"/>
        </w:rPr>
        <w:t>Nyílt, dózis-hatás vizsgálatban, 42 homozygota familiaris hypercholesterinaemiában szenvedő betegnél értékelték a 20-40 mg rozuvasztatin terápiára kialakuló válaszreakciót. A teljes populációban az LDL-koleszterin-szint csökkenésének középértéke 22% volt.</w:t>
      </w:r>
    </w:p>
    <w:p w14:paraId="1F357948" w14:textId="77777777" w:rsidR="007963F8" w:rsidRDefault="007963F8">
      <w:pPr>
        <w:pStyle w:val="WW-Szvegtrzs2"/>
        <w:rPr>
          <w:sz w:val="22"/>
          <w:szCs w:val="22"/>
        </w:rPr>
      </w:pPr>
    </w:p>
    <w:p w14:paraId="617A806B" w14:textId="77777777" w:rsidR="007963F8" w:rsidRDefault="008714EA">
      <w:pPr>
        <w:pStyle w:val="WW-Szvegtrzs2"/>
        <w:rPr>
          <w:sz w:val="22"/>
          <w:szCs w:val="22"/>
        </w:rPr>
      </w:pPr>
      <w:r>
        <w:rPr>
          <w:sz w:val="22"/>
          <w:szCs w:val="22"/>
        </w:rPr>
        <w:t xml:space="preserve">Korlátozott betegszámú klinikai vizsgálatokban, </w:t>
      </w:r>
      <w:proofErr w:type="spellStart"/>
      <w:r>
        <w:rPr>
          <w:sz w:val="22"/>
          <w:szCs w:val="22"/>
        </w:rPr>
        <w:t>fenofibráttal</w:t>
      </w:r>
      <w:proofErr w:type="spellEnd"/>
      <w:r>
        <w:rPr>
          <w:sz w:val="22"/>
          <w:szCs w:val="22"/>
        </w:rPr>
        <w:t xml:space="preserve"> </w:t>
      </w:r>
      <w:proofErr w:type="spellStart"/>
      <w:r>
        <w:rPr>
          <w:sz w:val="22"/>
          <w:szCs w:val="22"/>
        </w:rPr>
        <w:t>együttadva</w:t>
      </w:r>
      <w:proofErr w:type="spellEnd"/>
      <w:r>
        <w:rPr>
          <w:sz w:val="22"/>
          <w:szCs w:val="22"/>
        </w:rPr>
        <w:t xml:space="preserve"> a </w:t>
      </w:r>
      <w:proofErr w:type="spellStart"/>
      <w:r>
        <w:rPr>
          <w:sz w:val="22"/>
          <w:szCs w:val="22"/>
        </w:rPr>
        <w:t>rozuvasztatin</w:t>
      </w:r>
      <w:proofErr w:type="spellEnd"/>
      <w:r>
        <w:rPr>
          <w:sz w:val="22"/>
          <w:szCs w:val="22"/>
        </w:rPr>
        <w:t xml:space="preserve"> additív hatásúnak bizonyult a trigliceridszint csökkentésében, továbbá </w:t>
      </w:r>
      <w:proofErr w:type="spellStart"/>
      <w:r>
        <w:rPr>
          <w:sz w:val="22"/>
          <w:szCs w:val="22"/>
        </w:rPr>
        <w:t>niacinnal</w:t>
      </w:r>
      <w:proofErr w:type="spellEnd"/>
      <w:r>
        <w:rPr>
          <w:sz w:val="22"/>
          <w:szCs w:val="22"/>
        </w:rPr>
        <w:t xml:space="preserve"> együtt alkalmazva a HDL</w:t>
      </w:r>
      <w:r>
        <w:rPr>
          <w:sz w:val="22"/>
          <w:szCs w:val="22"/>
        </w:rPr>
        <w:noBreakHyphen/>
        <w:t>koleszterin-szint emelésében (lásd. 4.4 pont).</w:t>
      </w:r>
    </w:p>
    <w:p w14:paraId="339D6ABB" w14:textId="77777777" w:rsidR="007963F8" w:rsidRDefault="007963F8">
      <w:pPr>
        <w:pStyle w:val="WW-Szvegtrzs2"/>
        <w:rPr>
          <w:sz w:val="22"/>
          <w:szCs w:val="22"/>
        </w:rPr>
      </w:pPr>
    </w:p>
    <w:p w14:paraId="391443F4" w14:textId="77777777" w:rsidR="007963F8" w:rsidRDefault="008714EA">
      <w:pPr>
        <w:pStyle w:val="Normal1"/>
        <w:rPr>
          <w:color w:val="auto"/>
          <w:sz w:val="22"/>
          <w:lang w:val="hu-HU"/>
        </w:rPr>
      </w:pPr>
      <w:r>
        <w:rPr>
          <w:color w:val="auto"/>
          <w:sz w:val="22"/>
          <w:lang w:val="hu-HU"/>
        </w:rPr>
        <w:t>Egy multicentrikus, kettős vak, placebokontrollos klinikai vizsgálatban (METEOR) 984, 45 és 70 év közötti, coronaria-betegségre nézve alacsony rizikójú (</w:t>
      </w:r>
      <w:proofErr w:type="spellStart"/>
      <w:r>
        <w:rPr>
          <w:color w:val="auto"/>
          <w:sz w:val="22"/>
          <w:lang w:val="hu-HU"/>
        </w:rPr>
        <w:t>Framingham</w:t>
      </w:r>
      <w:proofErr w:type="spellEnd"/>
      <w:r>
        <w:rPr>
          <w:color w:val="auto"/>
          <w:sz w:val="22"/>
          <w:lang w:val="hu-HU"/>
        </w:rPr>
        <w:t xml:space="preserve"> kockázati besorolás szerint: &lt; 10% tíz éven belül), továbbá 4,0 </w:t>
      </w:r>
      <w:proofErr w:type="spellStart"/>
      <w:r>
        <w:rPr>
          <w:color w:val="auto"/>
          <w:sz w:val="22"/>
          <w:lang w:val="hu-HU"/>
        </w:rPr>
        <w:t>mmol</w:t>
      </w:r>
      <w:proofErr w:type="spellEnd"/>
      <w:r>
        <w:rPr>
          <w:color w:val="auto"/>
          <w:sz w:val="22"/>
          <w:lang w:val="hu-HU"/>
        </w:rPr>
        <w:t>/l (154,5 mg/dl) LDL</w:t>
      </w:r>
      <w:r>
        <w:rPr>
          <w:color w:val="auto"/>
          <w:sz w:val="22"/>
          <w:lang w:val="hu-HU"/>
        </w:rPr>
        <w:noBreakHyphen/>
        <w:t xml:space="preserve">C-középértékkel bíró, </w:t>
      </w:r>
      <w:proofErr w:type="spellStart"/>
      <w:r>
        <w:rPr>
          <w:color w:val="auto"/>
          <w:sz w:val="22"/>
          <w:lang w:val="hu-HU"/>
        </w:rPr>
        <w:t>szubklinikai</w:t>
      </w:r>
      <w:proofErr w:type="spellEnd"/>
      <w:r>
        <w:rPr>
          <w:color w:val="auto"/>
          <w:sz w:val="22"/>
          <w:lang w:val="hu-HU"/>
        </w:rPr>
        <w:t xml:space="preserve"> </w:t>
      </w:r>
      <w:proofErr w:type="spellStart"/>
      <w:r>
        <w:rPr>
          <w:color w:val="auto"/>
          <w:sz w:val="22"/>
          <w:lang w:val="hu-HU"/>
        </w:rPr>
        <w:t>atherosclerosisban</w:t>
      </w:r>
      <w:proofErr w:type="spellEnd"/>
      <w:r>
        <w:rPr>
          <w:color w:val="auto"/>
          <w:sz w:val="22"/>
          <w:lang w:val="hu-HU"/>
        </w:rPr>
        <w:t xml:space="preserve"> (</w:t>
      </w:r>
      <w:proofErr w:type="spellStart"/>
      <w:r>
        <w:rPr>
          <w:color w:val="auto"/>
          <w:sz w:val="22"/>
          <w:lang w:val="hu-HU"/>
        </w:rPr>
        <w:t>Carotid</w:t>
      </w:r>
      <w:proofErr w:type="spellEnd"/>
      <w:r>
        <w:rPr>
          <w:color w:val="auto"/>
          <w:sz w:val="22"/>
          <w:lang w:val="hu-HU"/>
        </w:rPr>
        <w:t xml:space="preserve"> </w:t>
      </w:r>
      <w:proofErr w:type="spellStart"/>
      <w:r>
        <w:rPr>
          <w:color w:val="auto"/>
          <w:sz w:val="22"/>
          <w:lang w:val="hu-HU"/>
        </w:rPr>
        <w:t>Intima</w:t>
      </w:r>
      <w:proofErr w:type="spellEnd"/>
      <w:r>
        <w:rPr>
          <w:color w:val="auto"/>
          <w:sz w:val="22"/>
          <w:lang w:val="hu-HU"/>
        </w:rPr>
        <w:t xml:space="preserve"> Media </w:t>
      </w:r>
      <w:proofErr w:type="spellStart"/>
      <w:r>
        <w:rPr>
          <w:color w:val="auto"/>
          <w:sz w:val="22"/>
          <w:lang w:val="hu-HU"/>
        </w:rPr>
        <w:t>Thickness</w:t>
      </w:r>
      <w:proofErr w:type="spellEnd"/>
      <w:r>
        <w:rPr>
          <w:color w:val="auto"/>
          <w:sz w:val="22"/>
          <w:lang w:val="hu-HU"/>
        </w:rPr>
        <w:t xml:space="preserve">, CIMT méréssel meghatározva) szenvedő beteget </w:t>
      </w:r>
      <w:proofErr w:type="spellStart"/>
      <w:r>
        <w:rPr>
          <w:color w:val="auto"/>
          <w:sz w:val="22"/>
          <w:lang w:val="hu-HU"/>
        </w:rPr>
        <w:t>randomizáltak</w:t>
      </w:r>
      <w:proofErr w:type="spellEnd"/>
      <w:r>
        <w:rPr>
          <w:color w:val="auto"/>
          <w:sz w:val="22"/>
          <w:lang w:val="hu-HU"/>
        </w:rPr>
        <w:t xml:space="preserve">, napi egyszeri 40 mg </w:t>
      </w:r>
      <w:proofErr w:type="spellStart"/>
      <w:r>
        <w:rPr>
          <w:color w:val="auto"/>
          <w:sz w:val="22"/>
          <w:lang w:val="hu-HU"/>
        </w:rPr>
        <w:t>rozuvasztatin</w:t>
      </w:r>
      <w:proofErr w:type="spellEnd"/>
      <w:r>
        <w:rPr>
          <w:color w:val="auto"/>
          <w:sz w:val="22"/>
          <w:lang w:val="hu-HU"/>
        </w:rPr>
        <w:t xml:space="preserve"> vagy placebo kezelésre, 2 éves időtartamra.</w:t>
      </w:r>
    </w:p>
    <w:p w14:paraId="597FAE12" w14:textId="77777777" w:rsidR="007963F8" w:rsidRDefault="008714EA">
      <w:pPr>
        <w:pStyle w:val="Normal1"/>
        <w:rPr>
          <w:color w:val="auto"/>
          <w:sz w:val="22"/>
          <w:lang w:val="hu-HU"/>
        </w:rPr>
      </w:pPr>
      <w:r>
        <w:rPr>
          <w:color w:val="auto"/>
          <w:sz w:val="22"/>
          <w:lang w:val="hu-HU"/>
        </w:rPr>
        <w:t xml:space="preserve">A </w:t>
      </w:r>
      <w:proofErr w:type="spellStart"/>
      <w:r>
        <w:rPr>
          <w:color w:val="auto"/>
          <w:sz w:val="22"/>
          <w:lang w:val="hu-HU"/>
        </w:rPr>
        <w:t>rozuvasztatin</w:t>
      </w:r>
      <w:proofErr w:type="spellEnd"/>
      <w:r>
        <w:rPr>
          <w:color w:val="auto"/>
          <w:sz w:val="22"/>
          <w:lang w:val="hu-HU"/>
        </w:rPr>
        <w:t xml:space="preserve"> a </w:t>
      </w:r>
      <w:proofErr w:type="spellStart"/>
      <w:r>
        <w:rPr>
          <w:color w:val="auto"/>
          <w:sz w:val="22"/>
          <w:lang w:val="hu-HU"/>
        </w:rPr>
        <w:t>placebóhoz</w:t>
      </w:r>
      <w:proofErr w:type="spellEnd"/>
      <w:r>
        <w:rPr>
          <w:color w:val="auto"/>
          <w:sz w:val="22"/>
          <w:lang w:val="hu-HU"/>
        </w:rPr>
        <w:t xml:space="preserve"> képest szignifikáns mértékben lassította a </w:t>
      </w:r>
      <w:proofErr w:type="spellStart"/>
      <w:r>
        <w:rPr>
          <w:color w:val="auto"/>
          <w:sz w:val="22"/>
          <w:lang w:val="hu-HU"/>
        </w:rPr>
        <w:t>carotis</w:t>
      </w:r>
      <w:proofErr w:type="spellEnd"/>
      <w:r>
        <w:rPr>
          <w:color w:val="auto"/>
          <w:sz w:val="22"/>
          <w:lang w:val="hu-HU"/>
        </w:rPr>
        <w:t xml:space="preserve"> </w:t>
      </w:r>
      <w:proofErr w:type="spellStart"/>
      <w:r>
        <w:rPr>
          <w:color w:val="auto"/>
          <w:sz w:val="22"/>
          <w:lang w:val="hu-HU"/>
        </w:rPr>
        <w:t>arteria</w:t>
      </w:r>
      <w:proofErr w:type="spellEnd"/>
      <w:r>
        <w:rPr>
          <w:color w:val="auto"/>
          <w:sz w:val="22"/>
          <w:lang w:val="hu-HU"/>
        </w:rPr>
        <w:t xml:space="preserve"> 12 vizsgált </w:t>
      </w:r>
      <w:r>
        <w:rPr>
          <w:color w:val="auto"/>
          <w:sz w:val="22"/>
          <w:lang w:val="hu-HU"/>
        </w:rPr>
        <w:lastRenderedPageBreak/>
        <w:t xml:space="preserve">pontján mért maximális CIMT progresszióját (–0,0145 mm/év [95 % CI: </w:t>
      </w:r>
      <w:r>
        <w:rPr>
          <w:color w:val="auto"/>
          <w:sz w:val="22"/>
          <w:lang w:val="hu-HU"/>
        </w:rPr>
        <w:noBreakHyphen/>
        <w:t xml:space="preserve">0,0196, </w:t>
      </w:r>
      <w:r>
        <w:rPr>
          <w:color w:val="auto"/>
          <w:sz w:val="22"/>
          <w:lang w:val="hu-HU"/>
        </w:rPr>
        <w:noBreakHyphen/>
        <w:t xml:space="preserve">0,0093; p&lt; 0,0001]). A </w:t>
      </w:r>
      <w:proofErr w:type="spellStart"/>
      <w:r>
        <w:rPr>
          <w:color w:val="auto"/>
          <w:sz w:val="22"/>
          <w:lang w:val="hu-HU"/>
        </w:rPr>
        <w:t>rozuvasztatint</w:t>
      </w:r>
      <w:proofErr w:type="spellEnd"/>
      <w:r>
        <w:rPr>
          <w:color w:val="auto"/>
          <w:sz w:val="22"/>
          <w:lang w:val="hu-HU"/>
        </w:rPr>
        <w:t xml:space="preserve"> szedő csoportban a kiindulási értéktől való eltérés –0,0014 mm/év volt (</w:t>
      </w:r>
      <w:r>
        <w:rPr>
          <w:color w:val="auto"/>
          <w:sz w:val="22"/>
          <w:lang w:val="hu-HU"/>
        </w:rPr>
        <w:noBreakHyphen/>
        <w:t xml:space="preserve">0,12%/év [nem szignifikáns]) a placebocsoportban tapasztalt </w:t>
      </w:r>
      <w:r>
        <w:rPr>
          <w:color w:val="auto"/>
          <w:sz w:val="22"/>
          <w:szCs w:val="20"/>
          <w:lang w:val="hu-HU"/>
        </w:rPr>
        <w:t xml:space="preserve">+0,0131 mm/év (1,12%/év (p&lt; 0,0001)) </w:t>
      </w:r>
      <w:r>
        <w:rPr>
          <w:color w:val="auto"/>
          <w:sz w:val="22"/>
          <w:lang w:val="hu-HU"/>
        </w:rPr>
        <w:t>progresszióhoz viszonyítva</w:t>
      </w:r>
      <w:r>
        <w:rPr>
          <w:color w:val="auto"/>
          <w:sz w:val="22"/>
          <w:szCs w:val="20"/>
          <w:lang w:val="hu-HU"/>
        </w:rPr>
        <w:t xml:space="preserve">. </w:t>
      </w:r>
      <w:r>
        <w:rPr>
          <w:color w:val="auto"/>
          <w:sz w:val="22"/>
          <w:lang w:val="hu-HU"/>
        </w:rPr>
        <w:t xml:space="preserve">A CIMT-csökkenés és a </w:t>
      </w:r>
      <w:proofErr w:type="spellStart"/>
      <w:r>
        <w:rPr>
          <w:color w:val="auto"/>
          <w:sz w:val="22"/>
          <w:lang w:val="hu-HU"/>
        </w:rPr>
        <w:t>cardiovascularis</w:t>
      </w:r>
      <w:proofErr w:type="spellEnd"/>
      <w:r>
        <w:rPr>
          <w:color w:val="auto"/>
          <w:sz w:val="22"/>
          <w:lang w:val="hu-HU"/>
        </w:rPr>
        <w:t xml:space="preserve"> események kockázatának csökkenése között direkt összefüggést még nem mutattak ki. A METEOR vizsgálatban tanulmányozott populáció a coronaria-betegségre nézve alacsony rizikójú és nem célcsoportja a </w:t>
      </w:r>
      <w:proofErr w:type="spellStart"/>
      <w:r>
        <w:rPr>
          <w:color w:val="auto"/>
          <w:sz w:val="22"/>
          <w:lang w:val="hu-HU"/>
        </w:rPr>
        <w:t>rozuvasztatin</w:t>
      </w:r>
      <w:proofErr w:type="spellEnd"/>
      <w:r>
        <w:rPr>
          <w:color w:val="auto"/>
          <w:sz w:val="22"/>
          <w:lang w:val="hu-HU"/>
        </w:rPr>
        <w:t xml:space="preserve"> 40 mg dózisnak. A 40 mg</w:t>
      </w:r>
      <w:r>
        <w:rPr>
          <w:color w:val="auto"/>
          <w:sz w:val="22"/>
          <w:lang w:val="hu-HU"/>
        </w:rPr>
        <w:noBreakHyphen/>
      </w:r>
      <w:proofErr w:type="spellStart"/>
      <w:r>
        <w:rPr>
          <w:color w:val="auto"/>
          <w:sz w:val="22"/>
          <w:lang w:val="hu-HU"/>
        </w:rPr>
        <w:t>os</w:t>
      </w:r>
      <w:proofErr w:type="spellEnd"/>
      <w:r>
        <w:rPr>
          <w:color w:val="auto"/>
          <w:sz w:val="22"/>
          <w:lang w:val="hu-HU"/>
        </w:rPr>
        <w:t xml:space="preserve"> dózis csak a magas </w:t>
      </w:r>
      <w:proofErr w:type="spellStart"/>
      <w:r>
        <w:rPr>
          <w:color w:val="auto"/>
          <w:sz w:val="22"/>
          <w:lang w:val="hu-HU"/>
        </w:rPr>
        <w:t>cardiovascularis</w:t>
      </w:r>
      <w:proofErr w:type="spellEnd"/>
      <w:r>
        <w:rPr>
          <w:color w:val="auto"/>
          <w:sz w:val="22"/>
          <w:lang w:val="hu-HU"/>
        </w:rPr>
        <w:t xml:space="preserve"> kockázatú, súlyos </w:t>
      </w:r>
      <w:proofErr w:type="spellStart"/>
      <w:r>
        <w:rPr>
          <w:color w:val="auto"/>
          <w:sz w:val="22"/>
          <w:lang w:val="hu-HU"/>
        </w:rPr>
        <w:t>hypercholesterinaemiában</w:t>
      </w:r>
      <w:proofErr w:type="spellEnd"/>
      <w:r>
        <w:rPr>
          <w:color w:val="auto"/>
          <w:sz w:val="22"/>
          <w:lang w:val="hu-HU"/>
        </w:rPr>
        <w:t xml:space="preserve"> szenvedő betegeknek rendelhető (lásd 4.2 pont).</w:t>
      </w:r>
    </w:p>
    <w:p w14:paraId="1245DEDB" w14:textId="77777777" w:rsidR="007963F8" w:rsidRDefault="007963F8"/>
    <w:p w14:paraId="1D8323C5" w14:textId="77777777" w:rsidR="007963F8" w:rsidRDefault="008714EA">
      <w:r>
        <w:t>A JUPITER vizsgálatban (Justification for the Use of Statins in Primary Prevention: An Interventional Trial Evaluating Rosuvastatin) a rozuvasztatinnak a major atheroscleroticus cardiovascularis események előfordulására kifejtett hatását vizsgálták 17802 férfin (≥ 50 év) és nőn (≥ 60 év).</w:t>
      </w:r>
    </w:p>
    <w:p w14:paraId="4AFFF67C" w14:textId="77777777" w:rsidR="007963F8" w:rsidRDefault="008714EA">
      <w:pPr>
        <w:pStyle w:val="Normal1"/>
        <w:rPr>
          <w:color w:val="auto"/>
          <w:sz w:val="22"/>
          <w:lang w:val="hu-HU"/>
        </w:rPr>
      </w:pPr>
      <w:r>
        <w:rPr>
          <w:color w:val="auto"/>
          <w:sz w:val="22"/>
          <w:lang w:val="hu-HU"/>
        </w:rPr>
        <w:t xml:space="preserve">A vizsgálatban résztvevőket </w:t>
      </w:r>
      <w:proofErr w:type="spellStart"/>
      <w:r>
        <w:rPr>
          <w:color w:val="auto"/>
          <w:sz w:val="22"/>
          <w:lang w:val="hu-HU"/>
        </w:rPr>
        <w:t>randomizáltan</w:t>
      </w:r>
      <w:proofErr w:type="spellEnd"/>
      <w:r>
        <w:rPr>
          <w:color w:val="auto"/>
          <w:sz w:val="22"/>
          <w:lang w:val="hu-HU"/>
        </w:rPr>
        <w:t xml:space="preserve"> beválasztották placebo (n = 8901) vagy napi 20 mg </w:t>
      </w:r>
      <w:proofErr w:type="spellStart"/>
      <w:r>
        <w:rPr>
          <w:color w:val="auto"/>
          <w:sz w:val="22"/>
          <w:lang w:val="hu-HU"/>
        </w:rPr>
        <w:t>rozuvasztatin</w:t>
      </w:r>
      <w:proofErr w:type="spellEnd"/>
      <w:r>
        <w:rPr>
          <w:color w:val="auto"/>
          <w:sz w:val="22"/>
          <w:lang w:val="hu-HU"/>
        </w:rPr>
        <w:t xml:space="preserve"> (n = 8901) terápiára, és átlag 2 éves időtartamig követték.</w:t>
      </w:r>
    </w:p>
    <w:p w14:paraId="589FDC8B" w14:textId="77777777" w:rsidR="007963F8" w:rsidRDefault="008714EA">
      <w:pPr>
        <w:pStyle w:val="Normal1"/>
        <w:widowControl/>
        <w:rPr>
          <w:color w:val="auto"/>
          <w:sz w:val="22"/>
          <w:lang w:val="hu-HU"/>
        </w:rPr>
      </w:pPr>
      <w:r>
        <w:rPr>
          <w:color w:val="auto"/>
          <w:sz w:val="22"/>
          <w:lang w:val="hu-HU"/>
        </w:rPr>
        <w:t>Az LDL</w:t>
      </w:r>
      <w:r>
        <w:rPr>
          <w:color w:val="auto"/>
          <w:sz w:val="22"/>
          <w:lang w:val="hu-HU"/>
        </w:rPr>
        <w:noBreakHyphen/>
        <w:t xml:space="preserve">koleszterin-szint a </w:t>
      </w:r>
      <w:proofErr w:type="spellStart"/>
      <w:r>
        <w:rPr>
          <w:color w:val="auto"/>
          <w:sz w:val="22"/>
          <w:lang w:val="hu-HU"/>
        </w:rPr>
        <w:t>rozuvasztatincsoportban</w:t>
      </w:r>
      <w:proofErr w:type="spellEnd"/>
      <w:r>
        <w:rPr>
          <w:color w:val="auto"/>
          <w:sz w:val="22"/>
          <w:lang w:val="hu-HU"/>
        </w:rPr>
        <w:t xml:space="preserve"> 45%</w:t>
      </w:r>
      <w:r>
        <w:rPr>
          <w:color w:val="auto"/>
          <w:sz w:val="22"/>
          <w:lang w:val="hu-HU"/>
        </w:rPr>
        <w:noBreakHyphen/>
      </w:r>
      <w:proofErr w:type="spellStart"/>
      <w:r>
        <w:rPr>
          <w:color w:val="auto"/>
          <w:sz w:val="22"/>
          <w:lang w:val="hu-HU"/>
        </w:rPr>
        <w:t>kal</w:t>
      </w:r>
      <w:proofErr w:type="spellEnd"/>
      <w:r>
        <w:rPr>
          <w:color w:val="auto"/>
          <w:sz w:val="22"/>
          <w:lang w:val="hu-HU"/>
        </w:rPr>
        <w:t xml:space="preserve"> csökkent (p &lt; 0,001) a placebocsoporthoz képest.</w:t>
      </w:r>
    </w:p>
    <w:p w14:paraId="07DCB71D" w14:textId="77777777" w:rsidR="007963F8" w:rsidRDefault="007963F8"/>
    <w:p w14:paraId="39697541" w14:textId="77777777" w:rsidR="007963F8" w:rsidRDefault="008714EA">
      <w:r>
        <w:t>Egy post-hoc analízisben a magas kockázatú betegek alcsoportjában Framingham kockázati besorolás szerint &gt; 20% alapértékkel (1558 személy) szignifikáns csökkenés mutatkozott a cardiovascularis halál, a stroke és a myocardialis infarctus összetett végpontjában (p = 0,028) a rozuvasztatin</w:t>
      </w:r>
      <w:r>
        <w:noBreakHyphen/>
        <w:t>kezelésben részesülőknél a placebóhoz képest. Az abszolút kockázatcsökkenés az események aránya/1000 beteg</w:t>
      </w:r>
      <w:r>
        <w:noBreakHyphen/>
        <w:t>évek kifejezve 8,8 volt. Az összhalálozás nem változott ebben a magas kockázatú csoportban (p = 0,193). Egy post-hoc analízisben a magas kockázatú betegek alcsoportjában (összesen 9302 személy) Framingham kockázati besorolás szerint ≥ 5% alapértékkel (extrapoláltva 65 év feletti személyek beleszámításához) szignifikáns csökkenés mutatkozott a cardiovascularis halál, a stroke és a myocardialis infarctus összetett végpontjában (p = 0,0003) a rozuvasztatin-kezelésben részesülőknél a placebóhoz képest. Az abszolút kockázatcsökkenés az események arányában 5,1 volt / 1000 beteg</w:t>
      </w:r>
      <w:r>
        <w:noBreakHyphen/>
        <w:t>évek. Az összhalálozás nem változott ebben a magas kockázatú csoportban (p = 0,076).</w:t>
      </w:r>
    </w:p>
    <w:p w14:paraId="1DC40E6A" w14:textId="77777777" w:rsidR="007963F8" w:rsidRDefault="007963F8"/>
    <w:p w14:paraId="0569BD25" w14:textId="77777777" w:rsidR="007963F8" w:rsidRDefault="008714EA">
      <w:r>
        <w:t>A JUPITER vizsgálatban a rozuvasztatint szedő személyek 6,6%</w:t>
      </w:r>
      <w:r>
        <w:noBreakHyphen/>
        <w:t>a, és a placebót kapó személyek 6,2%</w:t>
      </w:r>
      <w:r>
        <w:noBreakHyphen/>
        <w:t>a hagyta abba a vizsgálati készítmény szedését mellékhatás miatt. A terápia felfüggesztéséhez vezető, leggyakrabban előforduló mellékhatások: a myalgia (rozuvasztatin 0,3%, placebo 0,2%), a hasi fájdalom (rozuvasztatin 0,03%, placebo 0,02%), és a bőrkiütés (rozuvasztatin 0,02%, placebo 0,03%) voltak. A leggyakrabban előforduló mellékhatások, melyek aránya nagyobb vagy egyenlő volt a placebóval, a húgyúti fertőzés (rozuvasztatin 8,7%, placebo 8,6%), a nasopharyngitis (rozuvasztatin 7,6%, placebo 7,2%), a hátfájás (rozuvasztatin 7,6%, placebo 6,9%) és a myalgia (rozuvasztatin 7,6%, placebo 6,6%) voltak.</w:t>
      </w:r>
    </w:p>
    <w:p w14:paraId="4489F69A" w14:textId="77777777" w:rsidR="007963F8" w:rsidRDefault="007963F8"/>
    <w:p w14:paraId="7BC65AB1" w14:textId="77777777" w:rsidR="007963F8" w:rsidRDefault="008714EA">
      <w:pPr>
        <w:tabs>
          <w:tab w:val="left" w:pos="567"/>
        </w:tabs>
        <w:rPr>
          <w:b/>
          <w:szCs w:val="22"/>
          <w:lang w:val="hu-HU"/>
        </w:rPr>
      </w:pPr>
      <w:r>
        <w:rPr>
          <w:b/>
          <w:szCs w:val="22"/>
          <w:lang w:val="hu-HU"/>
        </w:rPr>
        <w:t>5.2</w:t>
      </w:r>
      <w:r>
        <w:rPr>
          <w:b/>
          <w:szCs w:val="22"/>
          <w:lang w:val="hu-HU"/>
        </w:rPr>
        <w:tab/>
      </w:r>
      <w:proofErr w:type="spellStart"/>
      <w:r>
        <w:rPr>
          <w:b/>
          <w:szCs w:val="22"/>
          <w:lang w:val="hu-HU"/>
        </w:rPr>
        <w:t>Farmakokinetikai</w:t>
      </w:r>
      <w:proofErr w:type="spellEnd"/>
      <w:r>
        <w:rPr>
          <w:b/>
          <w:szCs w:val="22"/>
          <w:lang w:val="hu-HU"/>
        </w:rPr>
        <w:t xml:space="preserve"> tulajdonságok</w:t>
      </w:r>
    </w:p>
    <w:p w14:paraId="039235F6" w14:textId="77777777" w:rsidR="007963F8" w:rsidRDefault="007963F8">
      <w:pPr>
        <w:rPr>
          <w:szCs w:val="22"/>
          <w:lang w:val="hu-HU"/>
        </w:rPr>
      </w:pPr>
    </w:p>
    <w:p w14:paraId="1B2CC302" w14:textId="77777777" w:rsidR="007963F8" w:rsidRDefault="008714EA">
      <w:pPr>
        <w:rPr>
          <w:bCs/>
          <w:szCs w:val="22"/>
          <w:u w:val="single"/>
          <w:lang w:val="hu-HU"/>
        </w:rPr>
      </w:pPr>
      <w:r>
        <w:rPr>
          <w:szCs w:val="22"/>
          <w:u w:val="single"/>
          <w:lang w:val="hu-HU"/>
        </w:rPr>
        <w:t>Felszívódás</w:t>
      </w:r>
    </w:p>
    <w:p w14:paraId="1F41F6C0" w14:textId="77777777" w:rsidR="007963F8" w:rsidRDefault="007963F8">
      <w:pPr>
        <w:pStyle w:val="Normal1"/>
        <w:rPr>
          <w:color w:val="auto"/>
          <w:sz w:val="22"/>
          <w:szCs w:val="22"/>
          <w:lang w:val="hu-HU"/>
        </w:rPr>
      </w:pPr>
    </w:p>
    <w:p w14:paraId="40A3E11E" w14:textId="77777777" w:rsidR="007963F8" w:rsidRDefault="008714EA">
      <w:pPr>
        <w:pStyle w:val="Normal1"/>
        <w:rPr>
          <w:i/>
          <w:color w:val="auto"/>
          <w:sz w:val="22"/>
          <w:szCs w:val="22"/>
          <w:lang w:val="hu-HU"/>
        </w:rPr>
      </w:pPr>
      <w:proofErr w:type="spellStart"/>
      <w:r>
        <w:rPr>
          <w:i/>
          <w:color w:val="auto"/>
          <w:sz w:val="22"/>
          <w:szCs w:val="22"/>
          <w:lang w:val="hu-HU"/>
        </w:rPr>
        <w:t>Valzartán</w:t>
      </w:r>
      <w:proofErr w:type="spellEnd"/>
    </w:p>
    <w:p w14:paraId="6A000CAB" w14:textId="77777777" w:rsidR="007963F8" w:rsidRDefault="008714EA">
      <w:pPr>
        <w:tabs>
          <w:tab w:val="left" w:pos="567"/>
        </w:tabs>
        <w:ind w:right="-367"/>
        <w:rPr>
          <w:szCs w:val="22"/>
        </w:rPr>
      </w:pPr>
      <w:r>
        <w:rPr>
          <w:szCs w:val="22"/>
        </w:rPr>
        <w:t>A valzartán önmagában történő orális alkalmazása után a készítmény 2-4 órán belül éri el a maximális plazmakoncentrációt a tabletta, és 1</w:t>
      </w:r>
      <w:r>
        <w:rPr>
          <w:szCs w:val="22"/>
        </w:rPr>
        <w:noBreakHyphen/>
        <w:t xml:space="preserve">2 órán belül az oldatos gyógyszerforma esetén. Az átlagos abszolút biohasznosulás 23% a tabletta bevételekor és 39% az oldatos gyógyszerforma bevételekor. Táplálékkal együtt való bevétele esetén a valzartánterhelés (amit a plazmakoncentráció alatti görbe </w:t>
      </w:r>
      <w:r>
        <w:rPr>
          <w:rFonts w:hAnsi="Vrinda" w:cs="Vrinda"/>
          <w:szCs w:val="22"/>
        </w:rPr>
        <w:t>[</w:t>
      </w:r>
      <w:r>
        <w:rPr>
          <w:szCs w:val="22"/>
        </w:rPr>
        <w:t>AUC</w:t>
      </w:r>
      <w:r>
        <w:rPr>
          <w:rFonts w:hAnsi="Vrinda" w:cs="Vrinda"/>
          <w:szCs w:val="22"/>
        </w:rPr>
        <w:t>]</w:t>
      </w:r>
      <w:r>
        <w:rPr>
          <w:szCs w:val="22"/>
        </w:rPr>
        <w:t xml:space="preserve"> mér) kb. 40%-kal, a maximális plazmakoncentráció (C</w:t>
      </w:r>
      <w:r>
        <w:rPr>
          <w:szCs w:val="22"/>
          <w:vertAlign w:val="subscript"/>
        </w:rPr>
        <w:t>max</w:t>
      </w:r>
      <w:r>
        <w:rPr>
          <w:szCs w:val="22"/>
        </w:rPr>
        <w:t>) pedig kb. 50%-kal csökken, jóllehet a dózis bevételét követő 8 óra eltelte után a koncentráció hasonló volt a két csoportban, azaz táplálékkal és éhgyomorra történő bevétel esetén. Az AUC csökkenése azonban nem vezet a hatás klinikailag jelentős csökkenéséhez, ezért a valzartán bevehető táplálékkal és étkezéstől függetlenül is.</w:t>
      </w:r>
    </w:p>
    <w:p w14:paraId="1EF2F4FC" w14:textId="77777777" w:rsidR="007963F8" w:rsidRDefault="007963F8">
      <w:pPr>
        <w:pStyle w:val="Normal1"/>
        <w:rPr>
          <w:color w:val="auto"/>
          <w:sz w:val="22"/>
          <w:szCs w:val="22"/>
          <w:lang w:val="hu-HU"/>
        </w:rPr>
      </w:pPr>
    </w:p>
    <w:p w14:paraId="69AD1A7F" w14:textId="77777777" w:rsidR="007963F8" w:rsidRDefault="008714EA">
      <w:pPr>
        <w:pStyle w:val="Normal1"/>
        <w:rPr>
          <w:i/>
          <w:color w:val="auto"/>
          <w:sz w:val="22"/>
          <w:szCs w:val="22"/>
          <w:lang w:val="hu-HU"/>
        </w:rPr>
      </w:pPr>
      <w:proofErr w:type="spellStart"/>
      <w:r>
        <w:rPr>
          <w:i/>
          <w:color w:val="auto"/>
          <w:sz w:val="22"/>
          <w:szCs w:val="22"/>
          <w:lang w:val="hu-HU"/>
        </w:rPr>
        <w:t>Rozuvasztatin</w:t>
      </w:r>
      <w:proofErr w:type="spellEnd"/>
    </w:p>
    <w:p w14:paraId="30DE67C2" w14:textId="77777777" w:rsidR="007963F8" w:rsidRDefault="008714EA">
      <w:pPr>
        <w:rPr>
          <w:szCs w:val="22"/>
        </w:rPr>
      </w:pPr>
      <w:r>
        <w:rPr>
          <w:i/>
          <w:szCs w:val="22"/>
        </w:rPr>
        <w:t>Per os</w:t>
      </w:r>
      <w:r>
        <w:rPr>
          <w:szCs w:val="22"/>
        </w:rPr>
        <w:t xml:space="preserve"> adagolást követően megközelítőleg 5 óra múlva alakul ki a rozuvasztatin maximális plazmakoncentrációja. A teljes biohasznosulás értéke megközelítőleg 20%.</w:t>
      </w:r>
    </w:p>
    <w:p w14:paraId="5F3F4D59" w14:textId="77777777" w:rsidR="007963F8" w:rsidRDefault="007963F8">
      <w:pPr>
        <w:pStyle w:val="Normal1"/>
        <w:rPr>
          <w:b/>
          <w:color w:val="auto"/>
          <w:sz w:val="22"/>
          <w:szCs w:val="22"/>
          <w:lang w:val="hu-HU"/>
        </w:rPr>
      </w:pPr>
    </w:p>
    <w:p w14:paraId="1A87414D" w14:textId="77777777" w:rsidR="007963F8" w:rsidRDefault="008714EA">
      <w:pPr>
        <w:rPr>
          <w:szCs w:val="22"/>
          <w:u w:val="single"/>
          <w:lang w:val="hu-HU"/>
        </w:rPr>
      </w:pPr>
      <w:r>
        <w:rPr>
          <w:szCs w:val="22"/>
          <w:u w:val="single"/>
          <w:lang w:val="hu-HU"/>
        </w:rPr>
        <w:lastRenderedPageBreak/>
        <w:t>Eloszlás</w:t>
      </w:r>
    </w:p>
    <w:p w14:paraId="51E0E503" w14:textId="77777777" w:rsidR="007963F8" w:rsidRDefault="007963F8">
      <w:pPr>
        <w:rPr>
          <w:szCs w:val="22"/>
          <w:lang w:val="hu-HU"/>
        </w:rPr>
      </w:pPr>
    </w:p>
    <w:p w14:paraId="3BBE8D37" w14:textId="77777777" w:rsidR="007963F8" w:rsidRDefault="008714EA">
      <w:pPr>
        <w:rPr>
          <w:i/>
          <w:szCs w:val="22"/>
          <w:lang w:val="hu-HU"/>
        </w:rPr>
      </w:pPr>
      <w:proofErr w:type="spellStart"/>
      <w:r>
        <w:rPr>
          <w:i/>
          <w:szCs w:val="22"/>
          <w:lang w:val="hu-HU"/>
        </w:rPr>
        <w:t>Valzartán</w:t>
      </w:r>
      <w:proofErr w:type="spellEnd"/>
    </w:p>
    <w:p w14:paraId="183C4AC1" w14:textId="77777777" w:rsidR="007963F8" w:rsidRDefault="008714EA">
      <w:pPr>
        <w:tabs>
          <w:tab w:val="left" w:pos="567"/>
        </w:tabs>
        <w:rPr>
          <w:szCs w:val="22"/>
        </w:rPr>
      </w:pPr>
      <w:r>
        <w:rPr>
          <w:szCs w:val="22"/>
        </w:rPr>
        <w:t xml:space="preserve">A valzartán </w:t>
      </w:r>
      <w:r>
        <w:rPr>
          <w:i/>
          <w:szCs w:val="22"/>
        </w:rPr>
        <w:t>steady-state</w:t>
      </w:r>
      <w:r>
        <w:rPr>
          <w:szCs w:val="22"/>
        </w:rPr>
        <w:t xml:space="preserve"> (egyensúlyi állapot) eloszlási térfogata körülbelül 17 liter, ami arra utal, hogy a valzartán nem oszlik el kiterjedten a szövetekben. A valzartán erősen kötődik szérumfehérjékhez (94-97%-ban), főleg szérum albuminhoz.</w:t>
      </w:r>
    </w:p>
    <w:p w14:paraId="5C0C846F" w14:textId="77777777" w:rsidR="007963F8" w:rsidRDefault="007963F8">
      <w:pPr>
        <w:rPr>
          <w:szCs w:val="22"/>
          <w:lang w:val="hu-HU"/>
        </w:rPr>
      </w:pPr>
    </w:p>
    <w:p w14:paraId="67418A9C" w14:textId="77777777" w:rsidR="007963F8" w:rsidRDefault="008714EA">
      <w:pPr>
        <w:rPr>
          <w:i/>
          <w:szCs w:val="22"/>
          <w:lang w:val="hu-HU"/>
        </w:rPr>
      </w:pPr>
      <w:proofErr w:type="spellStart"/>
      <w:r>
        <w:rPr>
          <w:i/>
          <w:szCs w:val="22"/>
          <w:lang w:val="hu-HU"/>
        </w:rPr>
        <w:t>Rozuvasztatin</w:t>
      </w:r>
      <w:proofErr w:type="spellEnd"/>
    </w:p>
    <w:p w14:paraId="586F7F47" w14:textId="77777777" w:rsidR="007963F8" w:rsidRDefault="008714EA">
      <w:pPr>
        <w:rPr>
          <w:szCs w:val="22"/>
          <w:lang w:val="hu-HU"/>
        </w:rPr>
      </w:pPr>
      <w:r>
        <w:rPr>
          <w:szCs w:val="22"/>
          <w:lang w:val="hu-HU"/>
        </w:rPr>
        <w:t xml:space="preserve">A </w:t>
      </w:r>
      <w:proofErr w:type="spellStart"/>
      <w:r>
        <w:rPr>
          <w:szCs w:val="22"/>
          <w:lang w:val="hu-HU"/>
        </w:rPr>
        <w:t>rozuvasztatint</w:t>
      </w:r>
      <w:proofErr w:type="spellEnd"/>
      <w:r>
        <w:rPr>
          <w:szCs w:val="22"/>
          <w:lang w:val="hu-HU"/>
        </w:rPr>
        <w:t xml:space="preserve"> nagymértékben a máj veszi fel, ami a koleszterin szintézisének és az LDL-koleszterin eliminációjának elsődleges színtere. A </w:t>
      </w:r>
      <w:proofErr w:type="spellStart"/>
      <w:r>
        <w:rPr>
          <w:szCs w:val="22"/>
          <w:lang w:val="hu-HU"/>
        </w:rPr>
        <w:t>rozuvasztatin</w:t>
      </w:r>
      <w:proofErr w:type="spellEnd"/>
      <w:r>
        <w:rPr>
          <w:szCs w:val="22"/>
          <w:lang w:val="hu-HU"/>
        </w:rPr>
        <w:t xml:space="preserve"> eloszlási térfogata megközelítőleg 134 liter. A </w:t>
      </w:r>
      <w:proofErr w:type="spellStart"/>
      <w:r>
        <w:rPr>
          <w:szCs w:val="22"/>
          <w:lang w:val="hu-HU"/>
        </w:rPr>
        <w:t>rozuvasztatin</w:t>
      </w:r>
      <w:proofErr w:type="spellEnd"/>
      <w:r>
        <w:rPr>
          <w:szCs w:val="22"/>
          <w:lang w:val="hu-HU"/>
        </w:rPr>
        <w:t xml:space="preserve"> körülbelül 90%-a kötődik a plazmafehérjékhez, főleg az albuminhoz.</w:t>
      </w:r>
    </w:p>
    <w:p w14:paraId="4872A341" w14:textId="77777777" w:rsidR="007963F8" w:rsidRDefault="007963F8">
      <w:pPr>
        <w:rPr>
          <w:szCs w:val="22"/>
          <w:lang w:val="hu-HU"/>
        </w:rPr>
      </w:pPr>
    </w:p>
    <w:p w14:paraId="70EDD3FF" w14:textId="77777777" w:rsidR="007963F8" w:rsidRDefault="008714EA">
      <w:pPr>
        <w:keepNext/>
        <w:rPr>
          <w:szCs w:val="22"/>
          <w:u w:val="single"/>
          <w:lang w:val="hu-HU"/>
        </w:rPr>
      </w:pPr>
      <w:proofErr w:type="spellStart"/>
      <w:r>
        <w:rPr>
          <w:szCs w:val="22"/>
          <w:u w:val="single"/>
          <w:lang w:val="hu-HU"/>
        </w:rPr>
        <w:t>Biotranszformáció</w:t>
      </w:r>
      <w:proofErr w:type="spellEnd"/>
    </w:p>
    <w:p w14:paraId="6EEAC03D" w14:textId="77777777" w:rsidR="007963F8" w:rsidRDefault="007963F8">
      <w:pPr>
        <w:keepNext/>
        <w:rPr>
          <w:szCs w:val="22"/>
          <w:lang w:val="hu-HU"/>
        </w:rPr>
      </w:pPr>
    </w:p>
    <w:p w14:paraId="3EDDE5DD" w14:textId="77777777" w:rsidR="007963F8" w:rsidRDefault="008714EA">
      <w:pPr>
        <w:rPr>
          <w:i/>
          <w:szCs w:val="22"/>
          <w:lang w:val="hu-HU"/>
        </w:rPr>
      </w:pPr>
      <w:proofErr w:type="spellStart"/>
      <w:r>
        <w:rPr>
          <w:i/>
          <w:szCs w:val="22"/>
          <w:lang w:val="hu-HU"/>
        </w:rPr>
        <w:t>Valzartán</w:t>
      </w:r>
      <w:proofErr w:type="spellEnd"/>
    </w:p>
    <w:p w14:paraId="61C812F2" w14:textId="77777777" w:rsidR="007963F8" w:rsidRDefault="008714EA">
      <w:pPr>
        <w:tabs>
          <w:tab w:val="left" w:pos="567"/>
        </w:tabs>
        <w:rPr>
          <w:iCs/>
          <w:szCs w:val="22"/>
        </w:rPr>
      </w:pPr>
      <w:r>
        <w:rPr>
          <w:iCs/>
          <w:szCs w:val="22"/>
        </w:rPr>
        <w:t xml:space="preserve">A valzartán nem megy át nagymértékű biotranszformáción, hiszen az adag csupán 20%-a nyerhető vissza metabolitok formájában. Egy hidroxi metabolitot azonosítottak a plazmában alacsony koncentrációban (a valzartán </w:t>
      </w:r>
      <w:r>
        <w:rPr>
          <w:szCs w:val="22"/>
        </w:rPr>
        <w:t>plazmakoncentráció alatti görbéjének kevesebb mint 10%</w:t>
      </w:r>
      <w:r>
        <w:rPr>
          <w:szCs w:val="22"/>
        </w:rPr>
        <w:noBreakHyphen/>
        <w:t>a)</w:t>
      </w:r>
      <w:r>
        <w:rPr>
          <w:iCs/>
          <w:szCs w:val="22"/>
        </w:rPr>
        <w:t>. Ez a metabolit farmakológiai szempontból inaktív.</w:t>
      </w:r>
    </w:p>
    <w:p w14:paraId="538BA894" w14:textId="77777777" w:rsidR="007963F8" w:rsidRDefault="007963F8">
      <w:pPr>
        <w:rPr>
          <w:szCs w:val="22"/>
          <w:lang w:val="hu-HU"/>
        </w:rPr>
      </w:pPr>
    </w:p>
    <w:p w14:paraId="2FCF075D" w14:textId="77777777" w:rsidR="007963F8" w:rsidRDefault="008714EA">
      <w:pPr>
        <w:rPr>
          <w:i/>
          <w:szCs w:val="22"/>
          <w:lang w:val="hu-HU"/>
        </w:rPr>
      </w:pPr>
      <w:proofErr w:type="spellStart"/>
      <w:r>
        <w:rPr>
          <w:i/>
          <w:szCs w:val="22"/>
          <w:lang w:val="hu-HU"/>
        </w:rPr>
        <w:t>Rozuvasztatin</w:t>
      </w:r>
      <w:proofErr w:type="spellEnd"/>
    </w:p>
    <w:p w14:paraId="345A4D35" w14:textId="77777777" w:rsidR="007963F8" w:rsidRDefault="008714EA">
      <w:pPr>
        <w:rPr>
          <w:szCs w:val="22"/>
        </w:rPr>
      </w:pPr>
      <w:r>
        <w:rPr>
          <w:szCs w:val="22"/>
        </w:rPr>
        <w:t xml:space="preserve">A rozuvasztatin kismértékű metabolizmuson megy keresztül (körülbelül 10%). Emberi májsejteken végzett </w:t>
      </w:r>
      <w:r>
        <w:rPr>
          <w:i/>
          <w:szCs w:val="22"/>
        </w:rPr>
        <w:t>in vitro</w:t>
      </w:r>
      <w:r>
        <w:rPr>
          <w:szCs w:val="22"/>
        </w:rPr>
        <w:t xml:space="preserve"> metabolit vizsgálatok szerint a rozuvasztatin a citokróm P450-en alapuló metabolizmus gyenge szubsztrátja. A folyamatban főleg a CYP2C9 izoenzim játszott szerepet, míg a 2C19, 3A4 és 2D6 kevésbé. Legfőképpen N-dezmetil- és lakton-metabolitok képződnek. Az N</w:t>
      </w:r>
      <w:r>
        <w:rPr>
          <w:szCs w:val="22"/>
        </w:rPr>
        <w:noBreakHyphen/>
        <w:t>dezmetil metabolit megközelítőleg 50%-kal kevésbé aktív, mint a rozuvasztatin, a lakton metabolit pedig klinikai szempontból inaktív. A keringésben lévő HMG-CoA-reduktáz-inhibitor-aktivitás több mint 90%-ban a rozuvasztatinnak tulajdonítható.</w:t>
      </w:r>
    </w:p>
    <w:p w14:paraId="0750BC9B" w14:textId="77777777" w:rsidR="007963F8" w:rsidRDefault="007963F8">
      <w:pPr>
        <w:rPr>
          <w:szCs w:val="22"/>
          <w:lang w:val="hu-HU"/>
        </w:rPr>
      </w:pPr>
    </w:p>
    <w:p w14:paraId="3F602B53" w14:textId="77777777" w:rsidR="007963F8" w:rsidRDefault="008714EA">
      <w:pPr>
        <w:rPr>
          <w:szCs w:val="22"/>
          <w:u w:val="single"/>
          <w:lang w:val="hu-HU"/>
        </w:rPr>
      </w:pPr>
      <w:r>
        <w:rPr>
          <w:szCs w:val="22"/>
          <w:u w:val="single"/>
          <w:lang w:val="hu-HU"/>
        </w:rPr>
        <w:t>Elimináció</w:t>
      </w:r>
    </w:p>
    <w:p w14:paraId="676ADEA6" w14:textId="77777777" w:rsidR="007963F8" w:rsidRDefault="007963F8">
      <w:pPr>
        <w:rPr>
          <w:szCs w:val="22"/>
          <w:lang w:val="hu-HU"/>
        </w:rPr>
      </w:pPr>
    </w:p>
    <w:p w14:paraId="09EC7BCC" w14:textId="77777777" w:rsidR="007963F8" w:rsidRDefault="008714EA">
      <w:pPr>
        <w:rPr>
          <w:i/>
          <w:szCs w:val="22"/>
          <w:lang w:val="hu-HU"/>
        </w:rPr>
      </w:pPr>
      <w:proofErr w:type="spellStart"/>
      <w:r>
        <w:rPr>
          <w:i/>
          <w:szCs w:val="22"/>
          <w:lang w:val="hu-HU"/>
        </w:rPr>
        <w:t>Valzartán</w:t>
      </w:r>
      <w:proofErr w:type="spellEnd"/>
    </w:p>
    <w:p w14:paraId="5055ED64" w14:textId="77777777" w:rsidR="007963F8" w:rsidRDefault="008714EA">
      <w:pPr>
        <w:widowControl w:val="0"/>
        <w:tabs>
          <w:tab w:val="left" w:pos="567"/>
        </w:tabs>
        <w:rPr>
          <w:szCs w:val="22"/>
        </w:rPr>
      </w:pPr>
      <w:r>
        <w:rPr>
          <w:szCs w:val="22"/>
        </w:rPr>
        <w:t>A valzartán multiexponenciális bomlási kinetikát mutat (t</w:t>
      </w:r>
      <w:r>
        <w:rPr>
          <w:szCs w:val="22"/>
          <w:vertAlign w:val="subscript"/>
        </w:rPr>
        <w:t>½alfa</w:t>
      </w:r>
      <w:r>
        <w:rPr>
          <w:szCs w:val="22"/>
        </w:rPr>
        <w:t> &lt; 1 óra és t</w:t>
      </w:r>
      <w:r>
        <w:rPr>
          <w:szCs w:val="22"/>
          <w:vertAlign w:val="subscript"/>
        </w:rPr>
        <w:t>½béta</w:t>
      </w:r>
      <w:r>
        <w:rPr>
          <w:szCs w:val="22"/>
        </w:rPr>
        <w:t xml:space="preserve"> kb. 9 óra). A valzartán elsősorban biliáris exkréció útján a széklettel (az adag kb. 83%-a) és renális exkréció útján a vizelettel (az adag kb. 13%-a) választódik ki, nagyrészt változatlan formában. Intravénás alkalmazás után a valzartán plazma-clearance-e kb. 2 l/óra, vese-clearance-e pedig 0,62 l/óra (a teljes clearance kb. 30%</w:t>
      </w:r>
      <w:r>
        <w:rPr>
          <w:szCs w:val="22"/>
        </w:rPr>
        <w:noBreakHyphen/>
        <w:t>a). A valzartán felezési ideje 6 óra.</w:t>
      </w:r>
    </w:p>
    <w:p w14:paraId="0B80FC95" w14:textId="77777777" w:rsidR="007963F8" w:rsidRDefault="007963F8">
      <w:pPr>
        <w:rPr>
          <w:szCs w:val="22"/>
          <w:lang w:val="hu-HU"/>
        </w:rPr>
      </w:pPr>
    </w:p>
    <w:p w14:paraId="6E669F24" w14:textId="77777777" w:rsidR="007963F8" w:rsidRDefault="008714EA">
      <w:pPr>
        <w:rPr>
          <w:i/>
          <w:szCs w:val="22"/>
          <w:lang w:val="hu-HU"/>
        </w:rPr>
      </w:pPr>
      <w:proofErr w:type="spellStart"/>
      <w:r>
        <w:rPr>
          <w:i/>
          <w:szCs w:val="22"/>
          <w:lang w:val="hu-HU"/>
        </w:rPr>
        <w:t>Rozuvasztatin</w:t>
      </w:r>
      <w:proofErr w:type="spellEnd"/>
    </w:p>
    <w:p w14:paraId="71F41F10" w14:textId="77777777" w:rsidR="007963F8" w:rsidRDefault="008714EA">
      <w:pPr>
        <w:rPr>
          <w:szCs w:val="22"/>
        </w:rPr>
      </w:pPr>
      <w:r>
        <w:rPr>
          <w:szCs w:val="22"/>
        </w:rPr>
        <w:t>A rozuvasztatin körülbelül 90%-a választódik ki változatlan formában a székletben (felszívódott és fel nem szívódott hatóanyag), a fennmaradó rész pedig a vizelettel távozik.</w:t>
      </w:r>
    </w:p>
    <w:p w14:paraId="3D5893BC" w14:textId="77777777" w:rsidR="007963F8" w:rsidRDefault="008714EA">
      <w:pPr>
        <w:rPr>
          <w:szCs w:val="22"/>
        </w:rPr>
      </w:pPr>
      <w:r>
        <w:rPr>
          <w:szCs w:val="22"/>
        </w:rPr>
        <w:t>A vizeletben megközelítőleg 5% választódik ki változatlan formában. A plazma eliminációs felezési idő megközelítőleg 19 óra. Az elimináció felezési ideje magasabb dózis esetében sem növekszik.</w:t>
      </w:r>
    </w:p>
    <w:p w14:paraId="0A2874EF" w14:textId="77777777" w:rsidR="007963F8" w:rsidRDefault="008714EA">
      <w:pPr>
        <w:rPr>
          <w:szCs w:val="22"/>
        </w:rPr>
      </w:pPr>
      <w:r>
        <w:rPr>
          <w:szCs w:val="22"/>
        </w:rPr>
        <w:t>A plazma-clearance mértani középértéke megközelítőleg 50 l/óra (variációs koefficiens 21,7%). Hasonlóan egyéb HMG-CoA-reduktáz-gátlókhoz, az OATP-C membrántranszporter részt vesz a rozuvasztatin májba történő felvételében. Ez a transzporter fontos szerepet játszik a rozuvasztatin eliminációjában.</w:t>
      </w:r>
    </w:p>
    <w:p w14:paraId="4D1A9BF0" w14:textId="77777777" w:rsidR="007963F8" w:rsidRDefault="007963F8">
      <w:pPr>
        <w:rPr>
          <w:szCs w:val="22"/>
          <w:lang w:val="hu-HU"/>
        </w:rPr>
      </w:pPr>
    </w:p>
    <w:p w14:paraId="10DD18FD" w14:textId="77777777" w:rsidR="007963F8" w:rsidRDefault="008714EA">
      <w:pPr>
        <w:rPr>
          <w:szCs w:val="22"/>
          <w:u w:val="single"/>
          <w:lang w:val="hu-HU"/>
        </w:rPr>
      </w:pPr>
      <w:r>
        <w:rPr>
          <w:szCs w:val="22"/>
          <w:u w:val="single"/>
          <w:lang w:val="hu-HU"/>
        </w:rPr>
        <w:t>Linearitás/non-linearitás</w:t>
      </w:r>
    </w:p>
    <w:p w14:paraId="0D144A60" w14:textId="77777777" w:rsidR="007963F8" w:rsidRDefault="007963F8">
      <w:pPr>
        <w:rPr>
          <w:szCs w:val="22"/>
          <w:lang w:val="hu-HU"/>
        </w:rPr>
      </w:pPr>
    </w:p>
    <w:p w14:paraId="5E75FBA5" w14:textId="77777777" w:rsidR="007963F8" w:rsidRDefault="008714EA">
      <w:pPr>
        <w:rPr>
          <w:i/>
          <w:szCs w:val="22"/>
          <w:lang w:val="hu-HU"/>
        </w:rPr>
      </w:pPr>
      <w:proofErr w:type="spellStart"/>
      <w:r>
        <w:rPr>
          <w:i/>
          <w:szCs w:val="22"/>
          <w:lang w:val="hu-HU"/>
        </w:rPr>
        <w:t>Rozuvasztatin</w:t>
      </w:r>
      <w:proofErr w:type="spellEnd"/>
    </w:p>
    <w:p w14:paraId="6F43E0AD" w14:textId="77777777" w:rsidR="007963F8" w:rsidRDefault="008714EA">
      <w:pPr>
        <w:rPr>
          <w:szCs w:val="22"/>
        </w:rPr>
      </w:pPr>
      <w:r>
        <w:rPr>
          <w:szCs w:val="22"/>
        </w:rPr>
        <w:t>A dózis nagyságától függően a rozuvasztatin szisztémás expozíciója nő. A farmakokinetikai paraméterekben nincs változás napi többszöri dózis alkalmazása után.</w:t>
      </w:r>
    </w:p>
    <w:p w14:paraId="1A0F30BB" w14:textId="77777777" w:rsidR="007963F8" w:rsidRDefault="007963F8">
      <w:pPr>
        <w:rPr>
          <w:szCs w:val="22"/>
          <w:lang w:val="hu-HU"/>
        </w:rPr>
      </w:pPr>
    </w:p>
    <w:p w14:paraId="53CD2E5B" w14:textId="77777777" w:rsidR="007963F8" w:rsidRDefault="008714EA" w:rsidP="005924D0">
      <w:pPr>
        <w:keepNext/>
        <w:rPr>
          <w:b/>
          <w:szCs w:val="22"/>
          <w:lang w:val="hu-HU"/>
        </w:rPr>
      </w:pPr>
      <w:r>
        <w:rPr>
          <w:b/>
          <w:szCs w:val="22"/>
          <w:lang w:val="hu-HU"/>
        </w:rPr>
        <w:lastRenderedPageBreak/>
        <w:t>Különleges betegcsoportok</w:t>
      </w:r>
    </w:p>
    <w:p w14:paraId="01782A49" w14:textId="77777777" w:rsidR="007963F8" w:rsidRDefault="007963F8" w:rsidP="005924D0">
      <w:pPr>
        <w:keepNext/>
        <w:rPr>
          <w:szCs w:val="22"/>
          <w:lang w:val="hu-HU"/>
        </w:rPr>
      </w:pPr>
    </w:p>
    <w:p w14:paraId="79FAE219" w14:textId="77777777" w:rsidR="007963F8" w:rsidRDefault="008714EA" w:rsidP="005924D0">
      <w:pPr>
        <w:keepNext/>
        <w:rPr>
          <w:i/>
          <w:szCs w:val="22"/>
          <w:lang w:val="hu-HU"/>
        </w:rPr>
      </w:pPr>
      <w:r>
        <w:rPr>
          <w:i/>
          <w:szCs w:val="22"/>
          <w:lang w:val="hu-HU"/>
        </w:rPr>
        <w:t>Életkor és nem</w:t>
      </w:r>
    </w:p>
    <w:p w14:paraId="28C0C009" w14:textId="77777777" w:rsidR="007963F8" w:rsidRDefault="008714EA">
      <w:pPr>
        <w:rPr>
          <w:szCs w:val="22"/>
          <w:lang w:val="hu-HU"/>
        </w:rPr>
      </w:pPr>
      <w:r>
        <w:rPr>
          <w:szCs w:val="22"/>
          <w:lang w:val="hu-HU"/>
        </w:rPr>
        <w:t xml:space="preserve">Felnőttek esetében az életkornak és a nemnek nem volt klinikai szempontból jelentős hatása a </w:t>
      </w:r>
      <w:proofErr w:type="spellStart"/>
      <w:r>
        <w:rPr>
          <w:szCs w:val="22"/>
          <w:lang w:val="hu-HU"/>
        </w:rPr>
        <w:t>rozuvasztatin</w:t>
      </w:r>
      <w:proofErr w:type="spellEnd"/>
      <w:r>
        <w:rPr>
          <w:szCs w:val="22"/>
          <w:lang w:val="hu-HU"/>
        </w:rPr>
        <w:t xml:space="preserve"> </w:t>
      </w:r>
      <w:proofErr w:type="spellStart"/>
      <w:r>
        <w:rPr>
          <w:szCs w:val="22"/>
          <w:lang w:val="hu-HU"/>
        </w:rPr>
        <w:t>farmakokinetikájára</w:t>
      </w:r>
      <w:proofErr w:type="spellEnd"/>
      <w:r>
        <w:rPr>
          <w:szCs w:val="22"/>
          <w:lang w:val="hu-HU"/>
        </w:rPr>
        <w:t xml:space="preserve">. </w:t>
      </w:r>
      <w:proofErr w:type="spellStart"/>
      <w:r>
        <w:rPr>
          <w:szCs w:val="22"/>
          <w:lang w:val="hu-HU"/>
        </w:rPr>
        <w:t>Heterozygota</w:t>
      </w:r>
      <w:proofErr w:type="spellEnd"/>
      <w:r>
        <w:rPr>
          <w:szCs w:val="22"/>
          <w:lang w:val="hu-HU"/>
        </w:rPr>
        <w:t xml:space="preserve"> </w:t>
      </w:r>
      <w:proofErr w:type="spellStart"/>
      <w:r>
        <w:rPr>
          <w:szCs w:val="22"/>
          <w:lang w:val="hu-HU"/>
        </w:rPr>
        <w:t>familiaris</w:t>
      </w:r>
      <w:proofErr w:type="spellEnd"/>
      <w:r>
        <w:rPr>
          <w:szCs w:val="22"/>
          <w:lang w:val="hu-HU"/>
        </w:rPr>
        <w:t xml:space="preserve"> </w:t>
      </w:r>
      <w:proofErr w:type="spellStart"/>
      <w:r>
        <w:rPr>
          <w:szCs w:val="22"/>
          <w:lang w:val="hu-HU"/>
        </w:rPr>
        <w:t>hypercholesterinaemiában</w:t>
      </w:r>
      <w:proofErr w:type="spellEnd"/>
      <w:r>
        <w:rPr>
          <w:szCs w:val="22"/>
          <w:lang w:val="hu-HU"/>
        </w:rPr>
        <w:t xml:space="preserve"> szenvedő gyermekeknél és serdülőknél a </w:t>
      </w:r>
      <w:proofErr w:type="spellStart"/>
      <w:r>
        <w:rPr>
          <w:szCs w:val="22"/>
          <w:lang w:val="hu-HU"/>
        </w:rPr>
        <w:t>rozuvasztatin</w:t>
      </w:r>
      <w:proofErr w:type="spellEnd"/>
      <w:r>
        <w:rPr>
          <w:szCs w:val="22"/>
          <w:lang w:val="hu-HU"/>
        </w:rPr>
        <w:t xml:space="preserve"> </w:t>
      </w:r>
      <w:proofErr w:type="spellStart"/>
      <w:r>
        <w:rPr>
          <w:szCs w:val="22"/>
          <w:lang w:val="hu-HU"/>
        </w:rPr>
        <w:t>farmakokinetikája</w:t>
      </w:r>
      <w:proofErr w:type="spellEnd"/>
      <w:r>
        <w:rPr>
          <w:szCs w:val="22"/>
          <w:lang w:val="hu-HU"/>
        </w:rPr>
        <w:t xml:space="preserve"> hasonló volt a felnőtt önkéntesekéhez (lásd később „Gyermekek és serdülők” címmel).</w:t>
      </w:r>
    </w:p>
    <w:p w14:paraId="0593EE51" w14:textId="77777777" w:rsidR="007963F8" w:rsidRDefault="007963F8">
      <w:pPr>
        <w:rPr>
          <w:szCs w:val="22"/>
          <w:lang w:val="hu-HU"/>
        </w:rPr>
      </w:pPr>
    </w:p>
    <w:p w14:paraId="172A5320" w14:textId="77777777" w:rsidR="007963F8" w:rsidRDefault="008714EA">
      <w:pPr>
        <w:tabs>
          <w:tab w:val="left" w:pos="567"/>
        </w:tabs>
        <w:rPr>
          <w:szCs w:val="22"/>
          <w:lang w:val="hu-HU"/>
        </w:rPr>
      </w:pPr>
      <w:r>
        <w:rPr>
          <w:szCs w:val="22"/>
          <w:lang w:val="hu-HU"/>
        </w:rPr>
        <w:t xml:space="preserve">Néhány idős egyénben a </w:t>
      </w:r>
      <w:proofErr w:type="spellStart"/>
      <w:r>
        <w:rPr>
          <w:szCs w:val="22"/>
          <w:lang w:val="hu-HU"/>
        </w:rPr>
        <w:t>valzartán</w:t>
      </w:r>
      <w:proofErr w:type="spellEnd"/>
      <w:r>
        <w:rPr>
          <w:szCs w:val="22"/>
          <w:lang w:val="hu-HU"/>
        </w:rPr>
        <w:t xml:space="preserve"> szisztémás expozíciója valamivel nagyobb volt, mint fiataloknál, azonban nem bizonyított, hogy ennek klinikai jelentősége lenne.</w:t>
      </w:r>
    </w:p>
    <w:p w14:paraId="4DC3A0DB" w14:textId="77777777" w:rsidR="007963F8" w:rsidRDefault="007963F8">
      <w:pPr>
        <w:rPr>
          <w:szCs w:val="22"/>
          <w:lang w:val="hu-HU"/>
        </w:rPr>
      </w:pPr>
    </w:p>
    <w:p w14:paraId="64FECE2B" w14:textId="77777777" w:rsidR="007963F8" w:rsidRDefault="008714EA">
      <w:pPr>
        <w:rPr>
          <w:i/>
          <w:szCs w:val="22"/>
          <w:lang w:val="hu-HU"/>
        </w:rPr>
      </w:pPr>
      <w:r>
        <w:rPr>
          <w:i/>
          <w:szCs w:val="22"/>
          <w:lang w:val="hu-HU"/>
        </w:rPr>
        <w:t>Népcsoportok</w:t>
      </w:r>
    </w:p>
    <w:p w14:paraId="1E3834F2" w14:textId="77777777" w:rsidR="007963F8" w:rsidRDefault="008714EA">
      <w:pPr>
        <w:pStyle w:val="WW-Szvegtrzs2"/>
        <w:rPr>
          <w:sz w:val="22"/>
          <w:szCs w:val="22"/>
        </w:rPr>
      </w:pPr>
      <w:proofErr w:type="spellStart"/>
      <w:r>
        <w:rPr>
          <w:sz w:val="22"/>
          <w:szCs w:val="22"/>
        </w:rPr>
        <w:t>Farmakokinetikai</w:t>
      </w:r>
      <w:proofErr w:type="spellEnd"/>
      <w:r>
        <w:rPr>
          <w:sz w:val="22"/>
          <w:szCs w:val="22"/>
        </w:rPr>
        <w:t xml:space="preserve"> vizsgálatok során ázsiai (japán, kínai, filippin, vietnámi és koreai) egyénekben kb. kétszeres medián AUC- és </w:t>
      </w:r>
      <w:proofErr w:type="spellStart"/>
      <w:r>
        <w:rPr>
          <w:sz w:val="22"/>
          <w:szCs w:val="22"/>
        </w:rPr>
        <w:t>C</w:t>
      </w:r>
      <w:r>
        <w:rPr>
          <w:sz w:val="22"/>
          <w:szCs w:val="22"/>
          <w:vertAlign w:val="subscript"/>
        </w:rPr>
        <w:t>max</w:t>
      </w:r>
      <w:proofErr w:type="spellEnd"/>
      <w:r>
        <w:rPr>
          <w:sz w:val="22"/>
          <w:szCs w:val="22"/>
        </w:rPr>
        <w:t>-emelkedést tapasztaltak a kaukázusiakkal összehasonlítva. Ázsiai</w:t>
      </w:r>
      <w:r>
        <w:rPr>
          <w:sz w:val="22"/>
          <w:szCs w:val="22"/>
        </w:rPr>
        <w:noBreakHyphen/>
        <w:t xml:space="preserve">indiaiaknál kb. 1.3-szoros medián AUC- és </w:t>
      </w:r>
      <w:proofErr w:type="spellStart"/>
      <w:r>
        <w:rPr>
          <w:sz w:val="22"/>
          <w:szCs w:val="22"/>
        </w:rPr>
        <w:t>C</w:t>
      </w:r>
      <w:r>
        <w:rPr>
          <w:sz w:val="22"/>
          <w:szCs w:val="22"/>
          <w:vertAlign w:val="subscript"/>
        </w:rPr>
        <w:t>max</w:t>
      </w:r>
      <w:proofErr w:type="spellEnd"/>
      <w:r>
        <w:rPr>
          <w:sz w:val="22"/>
          <w:szCs w:val="22"/>
        </w:rPr>
        <w:t xml:space="preserve">-emelkedést tapasztaltak. A populáció </w:t>
      </w:r>
      <w:proofErr w:type="spellStart"/>
      <w:r>
        <w:rPr>
          <w:sz w:val="22"/>
          <w:szCs w:val="22"/>
        </w:rPr>
        <w:t>farmakokinetikai</w:t>
      </w:r>
      <w:proofErr w:type="spellEnd"/>
      <w:r>
        <w:rPr>
          <w:sz w:val="22"/>
          <w:szCs w:val="22"/>
        </w:rPr>
        <w:t xml:space="preserve"> analízis nem mutatott a szer </w:t>
      </w:r>
      <w:proofErr w:type="spellStart"/>
      <w:r>
        <w:rPr>
          <w:sz w:val="22"/>
          <w:szCs w:val="22"/>
        </w:rPr>
        <w:t>farmakokinetikájában</w:t>
      </w:r>
      <w:proofErr w:type="spellEnd"/>
      <w:r>
        <w:rPr>
          <w:sz w:val="22"/>
          <w:szCs w:val="22"/>
        </w:rPr>
        <w:t xml:space="preserve"> lényeges különbségeket a kaukázusi és a feketebőrű népcsoportokat összevetve.</w:t>
      </w:r>
    </w:p>
    <w:p w14:paraId="6D53DBE9" w14:textId="77777777" w:rsidR="007963F8" w:rsidRDefault="007963F8">
      <w:pPr>
        <w:rPr>
          <w:i/>
          <w:szCs w:val="22"/>
          <w:lang w:val="hu-HU"/>
        </w:rPr>
      </w:pPr>
    </w:p>
    <w:p w14:paraId="45287C18" w14:textId="77777777" w:rsidR="007963F8" w:rsidRDefault="008714EA">
      <w:pPr>
        <w:rPr>
          <w:szCs w:val="22"/>
          <w:u w:val="single"/>
          <w:lang w:val="hu-HU"/>
        </w:rPr>
      </w:pPr>
      <w:r>
        <w:rPr>
          <w:i/>
          <w:szCs w:val="22"/>
          <w:lang w:val="hu-HU"/>
        </w:rPr>
        <w:t>Vesekárosodás</w:t>
      </w:r>
    </w:p>
    <w:p w14:paraId="3D2D87B3" w14:textId="77777777" w:rsidR="007963F8" w:rsidRDefault="008714EA">
      <w:pPr>
        <w:rPr>
          <w:szCs w:val="22"/>
        </w:rPr>
      </w:pPr>
      <w:r>
        <w:rPr>
          <w:szCs w:val="22"/>
        </w:rPr>
        <w:t xml:space="preserve">Különböző súlyosságú vesekárosodásban szenvedő betegeknél végzett vizsgálatokban, az enyhe és közepesen súlyos vesebetegség nem befolyásolta a rozuvasztatin vagy az N-dezmetil metabolit plazmakoncentráció értékét. Súlyos vesekárosodásban (kreatinin-clearance &lt; 30 ml/perc) szenvedő betegeknél a rozuvasztatin plazmakoncentráció háromszor, az N-dezmetil metabolit plazmakoncentráció kilencszer volt magasabb, mint az egészséges önkénteseknél. Hemodialízis alatt álló betegeknél a rozuvasztatin </w:t>
      </w:r>
      <w:r>
        <w:rPr>
          <w:i/>
          <w:szCs w:val="22"/>
        </w:rPr>
        <w:t>steady-state</w:t>
      </w:r>
      <w:r>
        <w:rPr>
          <w:szCs w:val="22"/>
        </w:rPr>
        <w:t xml:space="preserve"> plazmakoncentrációja az egészséges önkéntesekhez viszonyítva 50%-kal volt magasabb.</w:t>
      </w:r>
    </w:p>
    <w:p w14:paraId="16BBB5D9" w14:textId="77777777" w:rsidR="007963F8" w:rsidRDefault="007963F8">
      <w:pPr>
        <w:rPr>
          <w:szCs w:val="22"/>
          <w:lang w:val="hu-HU"/>
        </w:rPr>
      </w:pPr>
    </w:p>
    <w:p w14:paraId="3A3BF4D0" w14:textId="77777777" w:rsidR="007963F8" w:rsidRDefault="008714EA">
      <w:pPr>
        <w:tabs>
          <w:tab w:val="left" w:pos="567"/>
        </w:tabs>
        <w:rPr>
          <w:szCs w:val="22"/>
        </w:rPr>
      </w:pPr>
      <w:r>
        <w:rPr>
          <w:szCs w:val="22"/>
        </w:rPr>
        <w:t>Annak megfelelően, hogy e vegyület esetében a renalis clearance az össz-clearance 30%-át teszi ki, nem figyeltek meg korrelációt a vesefunkció és a valzartán szisztémás expozíciója között. Ezért veseműködési zavar (kreatinin-clearance &gt; 10 ml/perc) esetén nem szükséges a dózis módosítása. Nincs tapasztalat a biztonságos alkalmazásra vonatkozóan olyan betegeknél, akik kreatinin</w:t>
      </w:r>
      <w:r>
        <w:rPr>
          <w:szCs w:val="22"/>
        </w:rPr>
        <w:noBreakHyphen/>
        <w:t>clearance</w:t>
      </w:r>
      <w:r>
        <w:rPr>
          <w:szCs w:val="22"/>
        </w:rPr>
        <w:noBreakHyphen/>
        <w:t>e &lt; 10 ml/perc vagy dialíziskezelés alatt állnak, ezért a valzartánt óvatossággal kell alkalmazni ezeknél a betegeknél (lásd 4.2 és 4.4 pont). A valzartán nagymértékben kötődik plazmafehérjékhez és nem valószínű, hogy eltávolítható dialízissel.</w:t>
      </w:r>
    </w:p>
    <w:p w14:paraId="292BA522" w14:textId="77777777" w:rsidR="007963F8" w:rsidRDefault="007963F8">
      <w:pPr>
        <w:rPr>
          <w:szCs w:val="22"/>
          <w:lang w:val="hu-HU"/>
        </w:rPr>
      </w:pPr>
    </w:p>
    <w:p w14:paraId="0A6ACD77" w14:textId="77777777" w:rsidR="007963F8" w:rsidRDefault="008714EA">
      <w:pPr>
        <w:keepNext/>
        <w:rPr>
          <w:i/>
          <w:szCs w:val="22"/>
          <w:lang w:val="hu-HU"/>
        </w:rPr>
      </w:pPr>
      <w:r>
        <w:rPr>
          <w:i/>
          <w:szCs w:val="22"/>
          <w:lang w:val="hu-HU"/>
        </w:rPr>
        <w:t>Májkárosodás</w:t>
      </w:r>
    </w:p>
    <w:p w14:paraId="3E5905FA" w14:textId="77777777" w:rsidR="007963F8" w:rsidRDefault="008714EA">
      <w:pPr>
        <w:rPr>
          <w:szCs w:val="22"/>
        </w:rPr>
      </w:pPr>
      <w:r>
        <w:rPr>
          <w:szCs w:val="22"/>
        </w:rPr>
        <w:t>Különböző súlyosságú májkárosodásban szenvedő betegeknél végzett vizsgálatokban, 7-es vagy alacsonyabb Child-Pugh érték mellett nem mértek emelkedett rozuvasztatin-expozíciót. Azonban két betegnél, akiknek Child</w:t>
      </w:r>
      <w:r>
        <w:rPr>
          <w:szCs w:val="22"/>
        </w:rPr>
        <w:noBreakHyphen/>
        <w:t>Pugh értéke 8 és 9 volt, a szisztémás expozíció emelkedése legalább kétszeres volt az alacsonyabb Child-Pugh pontszámú betegekhez képest. Nincs tapasztalat olyan betegekkel, akik Child-Pugh értéke 9 felett van.</w:t>
      </w:r>
    </w:p>
    <w:p w14:paraId="7847270D" w14:textId="77777777" w:rsidR="007963F8" w:rsidRDefault="007963F8">
      <w:pPr>
        <w:widowControl w:val="0"/>
        <w:rPr>
          <w:szCs w:val="22"/>
          <w:lang w:val="hu-HU" w:eastAsia="en-US"/>
        </w:rPr>
      </w:pPr>
    </w:p>
    <w:p w14:paraId="5CB218C1" w14:textId="77777777" w:rsidR="007963F8" w:rsidRDefault="008714EA">
      <w:pPr>
        <w:tabs>
          <w:tab w:val="left" w:pos="567"/>
        </w:tabs>
        <w:rPr>
          <w:szCs w:val="22"/>
        </w:rPr>
      </w:pPr>
      <w:r>
        <w:rPr>
          <w:szCs w:val="22"/>
        </w:rPr>
        <w:t>A felszívódott adag kb. 70%-a választódik ki az epével, lényegében változatlan formában. Az expozíció (AUC) megduplázódását figyelték meg az enyhe és közepesen súlyos májkárosodásban szenvedő betegekben az egészséges kísérleti alanyokhoz hasonlítva. Azonban nem figyeltek meg korrelációt a valzartán koncentrációja és a májműködési zavar között. A valzartánt nem vizsgálták súlyos májműködési zavarban szenvedő betegekben (lásd 4.2, 4.3 és 4.4 pont).</w:t>
      </w:r>
    </w:p>
    <w:p w14:paraId="376C87D8" w14:textId="77777777" w:rsidR="007963F8" w:rsidRDefault="007963F8">
      <w:pPr>
        <w:tabs>
          <w:tab w:val="left" w:pos="567"/>
        </w:tabs>
        <w:rPr>
          <w:szCs w:val="22"/>
          <w:lang w:val="hu-HU"/>
        </w:rPr>
      </w:pPr>
    </w:p>
    <w:p w14:paraId="59A43A3D" w14:textId="77777777" w:rsidR="007963F8" w:rsidRDefault="008714EA">
      <w:pPr>
        <w:tabs>
          <w:tab w:val="left" w:pos="567"/>
        </w:tabs>
        <w:rPr>
          <w:szCs w:val="22"/>
          <w:u w:val="single"/>
          <w:lang w:val="hu-HU"/>
        </w:rPr>
      </w:pPr>
      <w:r>
        <w:rPr>
          <w:szCs w:val="22"/>
          <w:u w:val="single"/>
          <w:lang w:val="hu-HU"/>
        </w:rPr>
        <w:t>Gyermekek és serdülők</w:t>
      </w:r>
    </w:p>
    <w:p w14:paraId="0C5B2F06" w14:textId="77777777" w:rsidR="007963F8" w:rsidRDefault="008714EA">
      <w:pPr>
        <w:tabs>
          <w:tab w:val="left" w:pos="567"/>
        </w:tabs>
        <w:rPr>
          <w:szCs w:val="22"/>
          <w:lang w:val="hu-HU"/>
        </w:rPr>
      </w:pPr>
      <w:r>
        <w:rPr>
          <w:szCs w:val="22"/>
          <w:lang w:val="hu-HU"/>
        </w:rPr>
        <w:t xml:space="preserve">A </w:t>
      </w:r>
      <w:proofErr w:type="spellStart"/>
      <w:r>
        <w:rPr>
          <w:szCs w:val="22"/>
          <w:lang w:val="hu-HU"/>
        </w:rPr>
        <w:t>rozuvasztatin</w:t>
      </w:r>
      <w:proofErr w:type="spellEnd"/>
      <w:r>
        <w:rPr>
          <w:szCs w:val="22"/>
          <w:lang w:val="hu-HU"/>
        </w:rPr>
        <w:t xml:space="preserve"> </w:t>
      </w:r>
      <w:proofErr w:type="spellStart"/>
      <w:r>
        <w:rPr>
          <w:szCs w:val="22"/>
          <w:lang w:val="hu-HU"/>
        </w:rPr>
        <w:t>farmakokinetikai</w:t>
      </w:r>
      <w:proofErr w:type="spellEnd"/>
      <w:r>
        <w:rPr>
          <w:szCs w:val="22"/>
          <w:lang w:val="hu-HU"/>
        </w:rPr>
        <w:t xml:space="preserve"> paramétereit </w:t>
      </w:r>
      <w:proofErr w:type="spellStart"/>
      <w:r>
        <w:rPr>
          <w:szCs w:val="22"/>
          <w:lang w:val="hu-HU"/>
        </w:rPr>
        <w:t>heterozygota</w:t>
      </w:r>
      <w:proofErr w:type="spellEnd"/>
      <w:r>
        <w:rPr>
          <w:szCs w:val="22"/>
          <w:lang w:val="hu-HU"/>
        </w:rPr>
        <w:t xml:space="preserve"> </w:t>
      </w:r>
      <w:proofErr w:type="spellStart"/>
      <w:r>
        <w:rPr>
          <w:szCs w:val="22"/>
          <w:lang w:val="hu-HU"/>
        </w:rPr>
        <w:t>familiaris</w:t>
      </w:r>
      <w:proofErr w:type="spellEnd"/>
      <w:r>
        <w:rPr>
          <w:szCs w:val="22"/>
          <w:lang w:val="hu-HU"/>
        </w:rPr>
        <w:t xml:space="preserve"> </w:t>
      </w:r>
      <w:proofErr w:type="spellStart"/>
      <w:r>
        <w:rPr>
          <w:szCs w:val="22"/>
          <w:lang w:val="hu-HU"/>
        </w:rPr>
        <w:t>hypercholesterinaemiás</w:t>
      </w:r>
      <w:proofErr w:type="spellEnd"/>
      <w:r>
        <w:rPr>
          <w:szCs w:val="22"/>
          <w:lang w:val="hu-HU"/>
        </w:rPr>
        <w:t xml:space="preserve"> </w:t>
      </w:r>
      <w:r>
        <w:rPr>
          <w:spacing w:val="-4"/>
          <w:szCs w:val="22"/>
          <w:lang w:val="hu-HU"/>
        </w:rPr>
        <w:t>gyermekgyógyászati (10</w:t>
      </w:r>
      <w:r>
        <w:rPr>
          <w:spacing w:val="-4"/>
          <w:szCs w:val="22"/>
          <w:lang w:val="hu-HU"/>
        </w:rPr>
        <w:noBreakHyphen/>
        <w:t xml:space="preserve">17 éves) betegeken nem tárták fel teljesen. Egy kisebb szabású </w:t>
      </w:r>
      <w:proofErr w:type="spellStart"/>
      <w:r>
        <w:rPr>
          <w:spacing w:val="-4"/>
          <w:szCs w:val="22"/>
          <w:lang w:val="hu-HU"/>
        </w:rPr>
        <w:t>farmakokinetikai</w:t>
      </w:r>
      <w:proofErr w:type="spellEnd"/>
      <w:r>
        <w:rPr>
          <w:szCs w:val="22"/>
          <w:lang w:val="hu-HU"/>
        </w:rPr>
        <w:t xml:space="preserve"> vizsgálat során, a 18, gyermekgyógyászati betegnek tablettában adtak </w:t>
      </w:r>
      <w:proofErr w:type="spellStart"/>
      <w:r>
        <w:rPr>
          <w:szCs w:val="22"/>
          <w:lang w:val="hu-HU"/>
        </w:rPr>
        <w:t>rozuvasztatint</w:t>
      </w:r>
      <w:proofErr w:type="spellEnd"/>
      <w:r>
        <w:rPr>
          <w:szCs w:val="22"/>
          <w:lang w:val="hu-HU"/>
        </w:rPr>
        <w:t>. Megállapították, hogy az expozíció mértéke gyermekgyógyászati betegek esetében is hasonlónak tűnik a felnőtt betegeken észlelthez. Ezen felül, az eredmények amellett szólnak, hogy az expozíció dózisarányossága tekintetében sem várható jelentős különbség.</w:t>
      </w:r>
    </w:p>
    <w:p w14:paraId="2127AC22" w14:textId="77777777" w:rsidR="007963F8" w:rsidRDefault="007963F8">
      <w:pPr>
        <w:tabs>
          <w:tab w:val="left" w:pos="567"/>
        </w:tabs>
        <w:rPr>
          <w:szCs w:val="22"/>
          <w:lang w:val="hu-HU"/>
        </w:rPr>
      </w:pPr>
    </w:p>
    <w:p w14:paraId="0A035B9D" w14:textId="77777777" w:rsidR="007963F8" w:rsidRDefault="008714EA">
      <w:pPr>
        <w:rPr>
          <w:szCs w:val="22"/>
        </w:rPr>
      </w:pPr>
      <w:r>
        <w:rPr>
          <w:szCs w:val="22"/>
        </w:rPr>
        <w:lastRenderedPageBreak/>
        <w:t>Egy 26, hypertoniás gyermekgyógyászati beteggel (1</w:t>
      </w:r>
      <w:r>
        <w:rPr>
          <w:szCs w:val="22"/>
        </w:rPr>
        <w:noBreakHyphen/>
        <w:t>16 éves) végzett vizsgálatban egyetlen adag valzartán szuszpenzió (átlag: 0,9 - 2 mg/kg, 80 mg</w:t>
      </w:r>
      <w:r>
        <w:rPr>
          <w:szCs w:val="22"/>
        </w:rPr>
        <w:noBreakHyphen/>
        <w:t>os maximális dózissal) adásakor a valzartán</w:t>
      </w:r>
      <w:r>
        <w:rPr>
          <w:szCs w:val="22"/>
        </w:rPr>
        <w:noBreakHyphen/>
        <w:t>clearance (liter/óra/kg) a teljes, 1 évestől 16 éves korig terjedő életkor-tartományban hasonló volt, és az ugyanezt a gyógyszerformát kapó felnőtteknél észlelthez is hasonló volt.</w:t>
      </w:r>
    </w:p>
    <w:p w14:paraId="3DDE3F8C" w14:textId="77777777" w:rsidR="007963F8" w:rsidRDefault="007963F8">
      <w:pPr>
        <w:rPr>
          <w:i/>
          <w:iCs/>
          <w:szCs w:val="22"/>
          <w:u w:val="single"/>
          <w:lang w:val="hu-HU"/>
        </w:rPr>
      </w:pPr>
    </w:p>
    <w:p w14:paraId="1238A977" w14:textId="77777777" w:rsidR="007963F8" w:rsidRDefault="008714EA">
      <w:pPr>
        <w:widowControl w:val="0"/>
        <w:rPr>
          <w:i/>
          <w:szCs w:val="22"/>
          <w:lang w:val="hu-HU" w:eastAsia="en-US"/>
        </w:rPr>
      </w:pPr>
      <w:r>
        <w:rPr>
          <w:i/>
          <w:szCs w:val="22"/>
          <w:lang w:val="hu-HU" w:eastAsia="en-US"/>
        </w:rPr>
        <w:t>Genetikai polimorfizmusok</w:t>
      </w:r>
    </w:p>
    <w:p w14:paraId="22C9F846" w14:textId="77777777" w:rsidR="007963F8" w:rsidRDefault="008714EA">
      <w:pPr>
        <w:rPr>
          <w:b/>
          <w:bCs/>
          <w:szCs w:val="22"/>
        </w:rPr>
      </w:pPr>
      <w:r>
        <w:rPr>
          <w:szCs w:val="22"/>
        </w:rPr>
        <w:t>A HMG</w:t>
      </w:r>
      <w:r>
        <w:rPr>
          <w:szCs w:val="22"/>
        </w:rPr>
        <w:noBreakHyphen/>
        <w:t>CoA</w:t>
      </w:r>
      <w:r>
        <w:rPr>
          <w:szCs w:val="22"/>
        </w:rPr>
        <w:noBreakHyphen/>
        <w:t>reduktáz</w:t>
      </w:r>
      <w:r>
        <w:rPr>
          <w:szCs w:val="22"/>
        </w:rPr>
        <w:noBreakHyphen/>
        <w:t>inhibitorok, beleértve a rozuvasztatint is, eltávolításában szerepet játszanak az OATP1B1 és a BCRP transzportfehérjék. Az SLCO1B1 (OATP1B1) és/vagy ABCG2 (BCRP) genetikai polimorfizmussal rendelkező betegeknél fennáll a fokozott rozuvasztatin</w:t>
      </w:r>
      <w:r>
        <w:rPr>
          <w:szCs w:val="22"/>
        </w:rPr>
        <w:noBreakHyphen/>
        <w:t>expozíció kockázata. Az SLCO1B1 c.521CC és az ABCG2 c.421AA egyedi polimorfizmusok magasabb rozuvasztatin-expozícióval (AUC) járnak együtt, mint az SLCO1B1 c.521TT vagy az ABCG2 c.421CC genotípusok. Ez a specifikus genotipizálás a klinikai gyakorlatban nem megalapozott, de azoknál a betegeknél, akiknél ismert, hogy ilyen polimorfizmusuk van, alacsonyabb napi rozuvasztatin-dózis javasolt.</w:t>
      </w:r>
    </w:p>
    <w:p w14:paraId="39465831" w14:textId="77777777" w:rsidR="007963F8" w:rsidRDefault="007963F8">
      <w:pPr>
        <w:widowControl w:val="0"/>
        <w:rPr>
          <w:szCs w:val="22"/>
          <w:lang w:val="hu-HU"/>
        </w:rPr>
      </w:pPr>
    </w:p>
    <w:p w14:paraId="5AB22392" w14:textId="77777777" w:rsidR="007963F8" w:rsidRDefault="008714EA">
      <w:pPr>
        <w:widowControl w:val="0"/>
        <w:rPr>
          <w:i/>
          <w:szCs w:val="22"/>
          <w:lang w:val="hu-HU"/>
        </w:rPr>
      </w:pPr>
      <w:r>
        <w:rPr>
          <w:i/>
          <w:szCs w:val="22"/>
          <w:lang w:val="hu-HU"/>
        </w:rPr>
        <w:t>Vesekárosodás</w:t>
      </w:r>
    </w:p>
    <w:p w14:paraId="7F0B74B9" w14:textId="77777777" w:rsidR="007963F8" w:rsidRDefault="008714EA">
      <w:pPr>
        <w:rPr>
          <w:rFonts w:ascii="TimesNewRomanPSMT" w:hAnsi="TimesNewRomanPSMT" w:cs="TimesNewRomanPSMT"/>
          <w:szCs w:val="22"/>
          <w:lang w:bidi="th-TH"/>
        </w:rPr>
      </w:pPr>
      <w:r>
        <w:rPr>
          <w:rFonts w:ascii="TimesNewRomanPSMT" w:hAnsi="TimesNewRomanPSMT" w:cs="TimesNewRomanPSMT"/>
          <w:szCs w:val="22"/>
          <w:lang w:bidi="th-TH"/>
        </w:rPr>
        <w:t>Alkalmazását azoknál a gyermekgyógyászati betegeknél, akiknek a kreatitnin</w:t>
      </w:r>
      <w:r>
        <w:rPr>
          <w:rFonts w:ascii="TimesNewRomanPSMT" w:hAnsi="TimesNewRomanPSMT" w:cs="TimesNewRomanPSMT"/>
          <w:szCs w:val="22"/>
          <w:lang w:bidi="th-TH"/>
        </w:rPr>
        <w:noBreakHyphen/>
        <w:t>clearance</w:t>
      </w:r>
      <w:r>
        <w:rPr>
          <w:rFonts w:ascii="TimesNewRomanPSMT" w:hAnsi="TimesNewRomanPSMT" w:cs="TimesNewRomanPSMT"/>
          <w:szCs w:val="22"/>
          <w:lang w:bidi="th-TH"/>
        </w:rPr>
        <w:noBreakHyphen/>
        <w:t xml:space="preserve">e &lt; 30 ml/perc, valamint a dialízis alatt álló gyermekgyógyászati betegeknél nem vizsgálták, ezért a valzartán ezeknek a betegeknek nem javasolt. </w:t>
      </w:r>
      <w:r>
        <w:rPr>
          <w:bCs/>
          <w:szCs w:val="22"/>
        </w:rPr>
        <w:t xml:space="preserve">Nem szükséges a dózis módosítása azoknál a </w:t>
      </w:r>
      <w:r>
        <w:rPr>
          <w:rFonts w:ascii="TimesNewRomanPSMT" w:hAnsi="TimesNewRomanPSMT" w:cs="TimesNewRomanPSMT"/>
          <w:szCs w:val="22"/>
          <w:lang w:bidi="th-TH"/>
        </w:rPr>
        <w:t>gyermekgyógyászati</w:t>
      </w:r>
      <w:r>
        <w:rPr>
          <w:bCs/>
          <w:szCs w:val="22"/>
        </w:rPr>
        <w:t xml:space="preserve"> betegeknél, akik kreatinin</w:t>
      </w:r>
      <w:r>
        <w:rPr>
          <w:bCs/>
          <w:szCs w:val="22"/>
        </w:rPr>
        <w:noBreakHyphen/>
        <w:t>clearance</w:t>
      </w:r>
      <w:r>
        <w:rPr>
          <w:bCs/>
          <w:szCs w:val="22"/>
        </w:rPr>
        <w:noBreakHyphen/>
        <w:t xml:space="preserve">e </w:t>
      </w:r>
      <w:r>
        <w:rPr>
          <w:szCs w:val="22"/>
        </w:rPr>
        <w:t>&gt; 30 ml/perc</w:t>
      </w:r>
      <w:r>
        <w:rPr>
          <w:rFonts w:ascii="TimesNewRomanPSMT" w:hAnsi="TimesNewRomanPSMT" w:cs="TimesNewRomanPSMT"/>
          <w:szCs w:val="22"/>
          <w:lang w:bidi="th-TH"/>
        </w:rPr>
        <w:t>. A vesefunkciót és a szérum káliumszintet szorosan ellenőrizni kell (lásd 4.2 és 4.4 pont).</w:t>
      </w:r>
    </w:p>
    <w:p w14:paraId="7589D17E" w14:textId="77777777" w:rsidR="007963F8" w:rsidRDefault="007963F8">
      <w:pPr>
        <w:widowControl w:val="0"/>
        <w:rPr>
          <w:szCs w:val="22"/>
          <w:lang w:val="hu-HU" w:eastAsia="en-US"/>
        </w:rPr>
      </w:pPr>
    </w:p>
    <w:p w14:paraId="4336CB61" w14:textId="77777777" w:rsidR="007963F8" w:rsidRDefault="008714EA">
      <w:pPr>
        <w:keepNext/>
        <w:ind w:left="567" w:hanging="567"/>
        <w:rPr>
          <w:b/>
          <w:szCs w:val="22"/>
          <w:lang w:val="hu-HU"/>
        </w:rPr>
      </w:pPr>
      <w:r>
        <w:rPr>
          <w:b/>
          <w:szCs w:val="22"/>
          <w:lang w:val="hu-HU"/>
        </w:rPr>
        <w:t>5.3</w:t>
      </w:r>
      <w:r>
        <w:rPr>
          <w:b/>
          <w:szCs w:val="22"/>
          <w:lang w:val="hu-HU"/>
        </w:rPr>
        <w:tab/>
        <w:t xml:space="preserve">A </w:t>
      </w:r>
      <w:proofErr w:type="spellStart"/>
      <w:r>
        <w:rPr>
          <w:b/>
          <w:szCs w:val="22"/>
          <w:lang w:val="hu-HU"/>
        </w:rPr>
        <w:t>preklinikai</w:t>
      </w:r>
      <w:proofErr w:type="spellEnd"/>
      <w:r>
        <w:rPr>
          <w:b/>
          <w:szCs w:val="22"/>
          <w:lang w:val="hu-HU"/>
        </w:rPr>
        <w:t xml:space="preserve"> biztonságossági vizsgálatok eredményei</w:t>
      </w:r>
    </w:p>
    <w:p w14:paraId="282524C7" w14:textId="77777777" w:rsidR="007963F8" w:rsidRDefault="007963F8">
      <w:pPr>
        <w:keepNext/>
        <w:widowControl w:val="0"/>
        <w:rPr>
          <w:szCs w:val="22"/>
          <w:lang w:val="hu-HU" w:eastAsia="en-US"/>
        </w:rPr>
      </w:pPr>
    </w:p>
    <w:p w14:paraId="3400A648" w14:textId="77777777" w:rsidR="007963F8" w:rsidRDefault="008714EA">
      <w:pPr>
        <w:widowControl w:val="0"/>
        <w:rPr>
          <w:szCs w:val="22"/>
          <w:u w:val="single"/>
          <w:lang w:val="hu-HU" w:eastAsia="en-US"/>
        </w:rPr>
      </w:pPr>
      <w:proofErr w:type="spellStart"/>
      <w:r>
        <w:rPr>
          <w:szCs w:val="22"/>
          <w:u w:val="single"/>
          <w:lang w:val="hu-HU" w:eastAsia="en-US"/>
        </w:rPr>
        <w:t>Valzartán</w:t>
      </w:r>
      <w:proofErr w:type="spellEnd"/>
    </w:p>
    <w:p w14:paraId="17F7F6A5" w14:textId="77777777" w:rsidR="007963F8" w:rsidRDefault="007963F8">
      <w:pPr>
        <w:widowControl w:val="0"/>
        <w:rPr>
          <w:szCs w:val="22"/>
          <w:u w:val="single"/>
          <w:lang w:val="hu-HU" w:eastAsia="en-US"/>
        </w:rPr>
      </w:pPr>
    </w:p>
    <w:p w14:paraId="1EBDCD4B" w14:textId="77777777" w:rsidR="007963F8" w:rsidRDefault="008714EA">
      <w:pPr>
        <w:tabs>
          <w:tab w:val="left" w:pos="567"/>
        </w:tabs>
        <w:rPr>
          <w:szCs w:val="22"/>
        </w:rPr>
      </w:pPr>
      <w:r>
        <w:rPr>
          <w:szCs w:val="22"/>
        </w:rPr>
        <w:t>A hagyományos – farmakológiai biztonságossági, ismételt adagolású dózistoxicitási, genotoxicitási, karcinogenitási – vizsgálatokból származó nem klinikai jellegű adatok azt igazolták, hogy a készítmény nem jelent különleges veszélyt az emberre.</w:t>
      </w:r>
    </w:p>
    <w:p w14:paraId="7279764F" w14:textId="77777777" w:rsidR="007963F8" w:rsidRDefault="008714EA">
      <w:pPr>
        <w:tabs>
          <w:tab w:val="left" w:pos="567"/>
        </w:tabs>
        <w:rPr>
          <w:szCs w:val="22"/>
        </w:rPr>
      </w:pPr>
      <w:r>
        <w:rPr>
          <w:szCs w:val="22"/>
        </w:rPr>
        <w:t>Patkányban az anyai toxikus dózis (600 mg/ttkg/nap) a terhesség utolsó napjaiban és a szoptatás alatt adva csökkent túlélési arányt, kisebb testsúlygyarapodást és késleltetett fejlődést okozott az újszülöttekben (a fülkagyló és a hallójárat fejlődési zavara) (lásd 4.6 pont). A patkányban alkalmazott dózis (600 mg/ttkg/nap) megközelítőleg 18-szorosa a javasolt maximális humán dózisnak mg/m</w:t>
      </w:r>
      <w:r>
        <w:rPr>
          <w:szCs w:val="22"/>
          <w:vertAlign w:val="superscript"/>
        </w:rPr>
        <w:t>2</w:t>
      </w:r>
      <w:r>
        <w:rPr>
          <w:szCs w:val="22"/>
        </w:rPr>
        <w:t xml:space="preserve"> alapon számítva (a számításokat 320 mg/nap dózist és 60 kg-os beteget feltételezve végezték).</w:t>
      </w:r>
    </w:p>
    <w:p w14:paraId="38BC9A27" w14:textId="77777777" w:rsidR="007963F8" w:rsidRDefault="008714EA">
      <w:pPr>
        <w:tabs>
          <w:tab w:val="left" w:pos="567"/>
        </w:tabs>
        <w:rPr>
          <w:szCs w:val="22"/>
        </w:rPr>
      </w:pPr>
      <w:r>
        <w:rPr>
          <w:szCs w:val="22"/>
        </w:rPr>
        <w:t>A nem klinikai biztonságossági vizsgálatokban a nagy valzartán dózisok (200-600 mg/ttkg) patkányokban a vörösvértest-paraméterek (eritrociták, hemoglobin, hematokrit) csökkenését, illetve a vese hemodinamikájának (enyhén emelkedett plazma ureaszint, illetve renalis tubularis hyperplasia és basophilia a hímekben) változását okozták. A patkányban alkalmazott dózisok (200 mg/ttkg/nap és 600 mg/ttkg/nap) megközelítőleg 6- és 18-szorosa a javasolt maximális humán dózisnak mg/m</w:t>
      </w:r>
      <w:r>
        <w:rPr>
          <w:szCs w:val="22"/>
          <w:vertAlign w:val="superscript"/>
        </w:rPr>
        <w:t>2</w:t>
      </w:r>
      <w:r>
        <w:rPr>
          <w:szCs w:val="22"/>
        </w:rPr>
        <w:t xml:space="preserve"> alapon számítva (a számításokat 320 mg/nap dózist és 60 kg-os beteget feltételezve végezték).</w:t>
      </w:r>
    </w:p>
    <w:p w14:paraId="3672A1E9" w14:textId="77777777" w:rsidR="007963F8" w:rsidRDefault="008714EA">
      <w:pPr>
        <w:tabs>
          <w:tab w:val="left" w:pos="567"/>
        </w:tabs>
        <w:rPr>
          <w:szCs w:val="22"/>
        </w:rPr>
      </w:pPr>
      <w:r>
        <w:rPr>
          <w:szCs w:val="22"/>
        </w:rPr>
        <w:t>A selyemmajmokban hasonló dózisoknál a változások hasonlóak, de súlyosabbak, különösen a vese tekintetében, ahol a változások nephropathiához vezettek, amely emelkedett urea- és kreatininszinttel járt.</w:t>
      </w:r>
    </w:p>
    <w:p w14:paraId="66BA3604" w14:textId="77777777" w:rsidR="007963F8" w:rsidRDefault="008714EA">
      <w:pPr>
        <w:tabs>
          <w:tab w:val="left" w:pos="567"/>
        </w:tabs>
        <w:rPr>
          <w:szCs w:val="22"/>
        </w:rPr>
      </w:pPr>
      <w:r>
        <w:rPr>
          <w:szCs w:val="22"/>
        </w:rPr>
        <w:t>A renalis juxtaglomerularis sejtek hypertrophiáját észlelték mindkét fajnál. Valamennyi változást a valzartán farmakológiai hatásának tulajdonították, amely hosszabb ideig tartó hypotoniához vezet, különösen a selyemmajmokban. Az emberekben a terápiás dózisok esetében a renalis juxtaglomerularis sejtek hypertrophiájának nincs jelentősége.</w:t>
      </w:r>
    </w:p>
    <w:p w14:paraId="10B73782" w14:textId="77777777" w:rsidR="007963F8" w:rsidRDefault="007963F8">
      <w:pPr>
        <w:widowControl w:val="0"/>
        <w:rPr>
          <w:szCs w:val="22"/>
          <w:lang w:val="hu-HU" w:eastAsia="en-US"/>
        </w:rPr>
      </w:pPr>
    </w:p>
    <w:p w14:paraId="5FD939F6" w14:textId="77777777" w:rsidR="007963F8" w:rsidRDefault="008714EA">
      <w:pPr>
        <w:widowControl w:val="0"/>
        <w:rPr>
          <w:szCs w:val="22"/>
          <w:u w:val="single"/>
          <w:lang w:val="hu-HU" w:eastAsia="en-US"/>
        </w:rPr>
      </w:pPr>
      <w:r>
        <w:rPr>
          <w:szCs w:val="22"/>
          <w:u w:val="single"/>
          <w:lang w:val="hu-HU" w:eastAsia="en-US"/>
        </w:rPr>
        <w:t>Gyermekek és serdülők</w:t>
      </w:r>
    </w:p>
    <w:p w14:paraId="2B917400" w14:textId="77777777" w:rsidR="007963F8" w:rsidRDefault="008714EA">
      <w:pPr>
        <w:autoSpaceDE w:val="0"/>
        <w:autoSpaceDN w:val="0"/>
        <w:adjustRightInd w:val="0"/>
        <w:rPr>
          <w:szCs w:val="22"/>
          <w:lang w:bidi="th-TH"/>
        </w:rPr>
      </w:pPr>
      <w:r>
        <w:rPr>
          <w:szCs w:val="22"/>
          <w:lang w:bidi="th-TH"/>
        </w:rPr>
        <w:t>Újszülött/juvenilis patkányoknál (a születést követő 7. naptól a születést követő 70. napig) a valzartán alacsony dózisban történő mindennapos per os adagolása már 1</w:t>
      </w:r>
      <w:r>
        <w:rPr>
          <w:szCs w:val="22"/>
        </w:rPr>
        <w:t> </w:t>
      </w:r>
      <w:r>
        <w:rPr>
          <w:szCs w:val="22"/>
          <w:lang w:bidi="th-TH"/>
        </w:rPr>
        <w:t>mg/kg/nap</w:t>
      </w:r>
      <w:r>
        <w:rPr>
          <w:szCs w:val="22"/>
          <w:lang w:bidi="th-TH"/>
        </w:rPr>
        <w:noBreakHyphen/>
        <w:t>os adagnál maradandó, irreverzíbilis vesekárosodást idézett elő (ez szisztémás expozíció alapján számítva a maximális javasolt 4</w:t>
      </w:r>
      <w:r>
        <w:rPr>
          <w:szCs w:val="22"/>
        </w:rPr>
        <w:t> </w:t>
      </w:r>
      <w:r>
        <w:rPr>
          <w:szCs w:val="22"/>
          <w:lang w:bidi="th-TH"/>
        </w:rPr>
        <w:t>mg/kg/nap</w:t>
      </w:r>
      <w:r>
        <w:rPr>
          <w:szCs w:val="22"/>
          <w:lang w:bidi="th-TH"/>
        </w:rPr>
        <w:noBreakHyphen/>
        <w:t>os gyermekgyógyászati adag 10</w:t>
      </w:r>
      <w:r>
        <w:rPr>
          <w:szCs w:val="22"/>
          <w:lang w:bidi="th-TH"/>
        </w:rPr>
        <w:noBreakHyphen/>
        <w:t>35%</w:t>
      </w:r>
      <w:r>
        <w:rPr>
          <w:szCs w:val="22"/>
          <w:lang w:bidi="th-TH"/>
        </w:rPr>
        <w:noBreakHyphen/>
        <w:t>a). Ezek a fent említett hatások az angiotenzin-konvertáló enziminhibitorok és az 1</w:t>
      </w:r>
      <w:r>
        <w:rPr>
          <w:szCs w:val="22"/>
          <w:lang w:bidi="th-TH"/>
        </w:rPr>
        <w:noBreakHyphen/>
        <w:t>es</w:t>
      </w:r>
      <w:r>
        <w:rPr>
          <w:szCs w:val="22"/>
        </w:rPr>
        <w:t> </w:t>
      </w:r>
      <w:r>
        <w:rPr>
          <w:szCs w:val="22"/>
          <w:lang w:bidi="th-TH"/>
        </w:rPr>
        <w:t>típusú angiotenzin II-blokkolók várható, túlzott farmakológiai hatásait reprezentálják. Ilyen hatásokat akkor észleltek, ha patkányokat az életük első 13 napja alatt kezeltek.</w:t>
      </w:r>
    </w:p>
    <w:p w14:paraId="061BF17B" w14:textId="77777777" w:rsidR="007963F8" w:rsidRDefault="008714EA">
      <w:pPr>
        <w:autoSpaceDE w:val="0"/>
        <w:autoSpaceDN w:val="0"/>
        <w:adjustRightInd w:val="0"/>
        <w:rPr>
          <w:szCs w:val="22"/>
          <w:lang w:bidi="th-TH"/>
        </w:rPr>
      </w:pPr>
      <w:r>
        <w:rPr>
          <w:szCs w:val="22"/>
          <w:lang w:bidi="th-TH"/>
        </w:rPr>
        <w:lastRenderedPageBreak/>
        <w:t xml:space="preserve">Ez az időszak embereknél a 36. gesztációs hétnek felel meg, ami esetenként embernél a fogamzást követő 44. hétig is meghosszabbodhat. A juvenilis vizsgálatban résztvevő patkányoknak a 70. napig adagolták a valzartánt, és a renális maturációra gyakorolt hatásokat </w:t>
      </w:r>
      <w:r>
        <w:rPr>
          <w:szCs w:val="22"/>
        </w:rPr>
        <w:t>(postnatalis 4</w:t>
      </w:r>
      <w:r>
        <w:rPr>
          <w:szCs w:val="22"/>
        </w:rPr>
        <w:noBreakHyphen/>
        <w:t xml:space="preserve">6. hét) nem tudták kizárni. A funkcionális </w:t>
      </w:r>
      <w:r>
        <w:rPr>
          <w:szCs w:val="22"/>
          <w:lang w:bidi="th-TH"/>
        </w:rPr>
        <w:t xml:space="preserve">renális maturáció </w:t>
      </w:r>
      <w:r>
        <w:rPr>
          <w:szCs w:val="22"/>
        </w:rPr>
        <w:t>embereknél az első életévben zajló folyamat. Következésképpen ennek klinikai jelentősége az 1 éves kor alatti gyermekeknél nem zárható ki, miközben a preklinikai adatok az 1 évnél idősebb gyermekeknél nem jeleznek semmiféle biztonságossági problémát.</w:t>
      </w:r>
    </w:p>
    <w:p w14:paraId="790BA81D" w14:textId="77777777" w:rsidR="007963F8" w:rsidRDefault="007963F8">
      <w:pPr>
        <w:autoSpaceDE w:val="0"/>
        <w:autoSpaceDN w:val="0"/>
        <w:adjustRightInd w:val="0"/>
        <w:rPr>
          <w:szCs w:val="22"/>
          <w:lang w:val="hu-HU" w:bidi="th-TH"/>
        </w:rPr>
      </w:pPr>
    </w:p>
    <w:p w14:paraId="4F3D55B9" w14:textId="77777777" w:rsidR="007963F8" w:rsidRDefault="008714EA">
      <w:pPr>
        <w:widowControl w:val="0"/>
        <w:rPr>
          <w:szCs w:val="22"/>
          <w:u w:val="single"/>
          <w:lang w:val="hu-HU" w:eastAsia="en-US"/>
        </w:rPr>
      </w:pPr>
      <w:proofErr w:type="spellStart"/>
      <w:r>
        <w:rPr>
          <w:szCs w:val="22"/>
          <w:u w:val="single"/>
          <w:lang w:val="hu-HU" w:eastAsia="en-US"/>
        </w:rPr>
        <w:t>Rozuvasztatin</w:t>
      </w:r>
      <w:proofErr w:type="spellEnd"/>
    </w:p>
    <w:p w14:paraId="7F0E7757" w14:textId="77777777" w:rsidR="007963F8" w:rsidRDefault="007963F8">
      <w:pPr>
        <w:widowControl w:val="0"/>
        <w:rPr>
          <w:szCs w:val="22"/>
          <w:u w:val="single"/>
          <w:lang w:val="hu-HU" w:eastAsia="en-US"/>
        </w:rPr>
      </w:pPr>
    </w:p>
    <w:p w14:paraId="69053C57" w14:textId="77777777" w:rsidR="007963F8" w:rsidRDefault="008714EA">
      <w:r>
        <w:rPr>
          <w:szCs w:val="22"/>
        </w:rPr>
        <w:t xml:space="preserve">A hagyományos – farmakológiai biztonságossági, ismételt adagolású dózistoxicitási, genotoxicitási és karcinogenitási – preklinikai vizsgálatok azt igazolták, hogy a készítmény emberen való alkalmazásakor különös veszély nem várható. </w:t>
      </w:r>
      <w:r>
        <w:t>A hERG</w:t>
      </w:r>
      <w:r>
        <w:noBreakHyphen/>
        <w:t xml:space="preserve">re </w:t>
      </w:r>
      <w:r>
        <w:rPr>
          <w:lang w:eastAsia="en-US"/>
        </w:rPr>
        <w:t>(</w:t>
      </w:r>
      <w:r>
        <w:rPr>
          <w:rStyle w:val="Kiemelt"/>
          <w:i w:val="0"/>
          <w:iCs w:val="0"/>
          <w:lang w:eastAsia="en-US"/>
        </w:rPr>
        <w:t>human Ether</w:t>
      </w:r>
      <w:r>
        <w:rPr>
          <w:rStyle w:val="Kiemelt"/>
          <w:i w:val="0"/>
          <w:iCs w:val="0"/>
          <w:lang w:eastAsia="en-US"/>
        </w:rPr>
        <w:noBreakHyphen/>
        <w:t>à</w:t>
      </w:r>
      <w:r>
        <w:rPr>
          <w:rStyle w:val="Kiemelt"/>
          <w:i w:val="0"/>
          <w:iCs w:val="0"/>
          <w:lang w:eastAsia="en-US"/>
        </w:rPr>
        <w:noBreakHyphen/>
        <w:t>go</w:t>
      </w:r>
      <w:r>
        <w:rPr>
          <w:rStyle w:val="Kiemelt"/>
          <w:i w:val="0"/>
          <w:iCs w:val="0"/>
          <w:lang w:eastAsia="en-US"/>
        </w:rPr>
        <w:noBreakHyphen/>
        <w:t>go Related Gene) kifejtett hatást vizsgáló specifikus teszteket nem értékelték.</w:t>
      </w:r>
      <w:r>
        <w:t xml:space="preserve"> A következő mellékhatásokat klinikai vizsgálatokban nem tapasztalták, állatkísértekben viszont igen; a klinikai expozíciós szintekhez hasonló expozíciós szintek mellett: egerekben és patkányokban, ismételt adagolású dózistoxicitási vizsgálatokban, valószínűleg a rozuvasztatin farmakológiai hatásának tulajdonítható patológiás szöveti elváltozásokat a májban, kisebb mértékben kutyákban az epehólyag érintettségét figyelték meg, majmokban azonban hasonlót nem tapasztaltak. Továbbá nagyobb dózisok mellett, majmokban és kutyákban a herékre kifejtett toxikus hatást tapasztaltak. Patkányokban a reproduktív toxicitás egyértelműen megmutatkozott az egy alomban született kölykök csökkent számában, a kisebb születési súlyokban valamint az életképesség csökkenésében. Ezt a hatást az anyaállatra nézve toxikus dózisok mellett figyelték meg, amikor is a szisztémás expozíciók a terápiás expozíciós szintet többszörösen meghaladták.</w:t>
      </w:r>
    </w:p>
    <w:p w14:paraId="08E8B9A3" w14:textId="77777777" w:rsidR="007963F8" w:rsidRDefault="007963F8">
      <w:pPr>
        <w:widowControl w:val="0"/>
        <w:rPr>
          <w:szCs w:val="22"/>
          <w:lang w:val="hu-HU" w:eastAsia="en-US"/>
        </w:rPr>
      </w:pPr>
    </w:p>
    <w:p w14:paraId="6326687F" w14:textId="77777777" w:rsidR="007963F8" w:rsidRDefault="007963F8">
      <w:pPr>
        <w:widowControl w:val="0"/>
        <w:rPr>
          <w:szCs w:val="22"/>
          <w:lang w:val="hu-HU" w:eastAsia="en-US"/>
        </w:rPr>
      </w:pPr>
    </w:p>
    <w:p w14:paraId="5383B883" w14:textId="77777777" w:rsidR="007963F8" w:rsidRDefault="008714EA">
      <w:pPr>
        <w:ind w:left="567" w:hanging="567"/>
        <w:rPr>
          <w:b/>
          <w:szCs w:val="22"/>
          <w:lang w:val="hu-HU"/>
        </w:rPr>
      </w:pPr>
      <w:r>
        <w:rPr>
          <w:b/>
          <w:szCs w:val="22"/>
          <w:lang w:val="hu-HU"/>
        </w:rPr>
        <w:t>6.</w:t>
      </w:r>
      <w:r>
        <w:rPr>
          <w:b/>
          <w:szCs w:val="22"/>
          <w:lang w:val="hu-HU"/>
        </w:rPr>
        <w:tab/>
        <w:t>GYÓGYSZERÉSZETI JELLEMZŐK</w:t>
      </w:r>
    </w:p>
    <w:p w14:paraId="7F4A5466" w14:textId="77777777" w:rsidR="007963F8" w:rsidRDefault="007963F8">
      <w:pPr>
        <w:rPr>
          <w:szCs w:val="22"/>
          <w:lang w:val="hu-HU"/>
        </w:rPr>
      </w:pPr>
    </w:p>
    <w:p w14:paraId="6194D2F3" w14:textId="77777777" w:rsidR="007963F8" w:rsidRDefault="008714EA">
      <w:pPr>
        <w:ind w:left="567" w:hanging="567"/>
        <w:rPr>
          <w:b/>
          <w:szCs w:val="22"/>
          <w:lang w:val="hu-HU"/>
        </w:rPr>
      </w:pPr>
      <w:r>
        <w:rPr>
          <w:b/>
          <w:szCs w:val="22"/>
          <w:lang w:val="hu-HU"/>
        </w:rPr>
        <w:t>6.1</w:t>
      </w:r>
      <w:r>
        <w:rPr>
          <w:b/>
          <w:szCs w:val="22"/>
          <w:lang w:val="hu-HU"/>
        </w:rPr>
        <w:tab/>
        <w:t>Segédanyagok felsorolása</w:t>
      </w:r>
    </w:p>
    <w:p w14:paraId="256DA4E6" w14:textId="77777777" w:rsidR="007963F8" w:rsidRDefault="007963F8">
      <w:pPr>
        <w:rPr>
          <w:szCs w:val="22"/>
          <w:lang w:val="hu-HU"/>
        </w:rPr>
      </w:pPr>
    </w:p>
    <w:p w14:paraId="7A5BBF41" w14:textId="77777777" w:rsidR="007963F8" w:rsidRDefault="008714EA">
      <w:pPr>
        <w:rPr>
          <w:i/>
          <w:szCs w:val="22"/>
          <w:lang w:val="hu-HU"/>
        </w:rPr>
      </w:pPr>
      <w:r>
        <w:rPr>
          <w:i/>
          <w:szCs w:val="22"/>
          <w:lang w:val="hu-HU"/>
        </w:rPr>
        <w:t>Tablettamag:</w:t>
      </w:r>
    </w:p>
    <w:p w14:paraId="2CC50731" w14:textId="77777777" w:rsidR="007963F8" w:rsidRDefault="008714EA">
      <w:pPr>
        <w:widowControl w:val="0"/>
        <w:rPr>
          <w:szCs w:val="22"/>
          <w:lang w:val="hu-HU" w:eastAsia="en-US"/>
        </w:rPr>
      </w:pPr>
      <w:r>
        <w:rPr>
          <w:szCs w:val="22"/>
          <w:lang w:val="hu-HU" w:eastAsia="en-US"/>
        </w:rPr>
        <w:t>mikrokristályos cellulóz</w:t>
      </w:r>
    </w:p>
    <w:p w14:paraId="1DB1AFE8" w14:textId="77777777" w:rsidR="007963F8" w:rsidRDefault="008714EA">
      <w:pPr>
        <w:widowControl w:val="0"/>
        <w:rPr>
          <w:szCs w:val="22"/>
          <w:lang w:val="hu-HU" w:eastAsia="en-US"/>
        </w:rPr>
      </w:pPr>
      <w:proofErr w:type="spellStart"/>
      <w:r>
        <w:rPr>
          <w:szCs w:val="22"/>
          <w:lang w:val="hu-HU" w:eastAsia="en-US"/>
        </w:rPr>
        <w:t>laktóz-monohidrát</w:t>
      </w:r>
      <w:proofErr w:type="spellEnd"/>
    </w:p>
    <w:p w14:paraId="44B6073C" w14:textId="77777777" w:rsidR="007963F8" w:rsidRDefault="008714EA">
      <w:pPr>
        <w:widowControl w:val="0"/>
        <w:rPr>
          <w:szCs w:val="22"/>
          <w:lang w:val="hu-HU" w:eastAsia="en-US"/>
        </w:rPr>
      </w:pPr>
      <w:proofErr w:type="spellStart"/>
      <w:r>
        <w:rPr>
          <w:szCs w:val="22"/>
          <w:lang w:val="hu-HU" w:eastAsia="en-US"/>
        </w:rPr>
        <w:t>kroszkarmellóz</w:t>
      </w:r>
      <w:proofErr w:type="spellEnd"/>
      <w:r>
        <w:rPr>
          <w:szCs w:val="22"/>
          <w:lang w:val="hu-HU" w:eastAsia="en-US"/>
        </w:rPr>
        <w:t>-nátrium</w:t>
      </w:r>
    </w:p>
    <w:p w14:paraId="16406C3B" w14:textId="77777777" w:rsidR="007963F8" w:rsidRDefault="008714EA">
      <w:pPr>
        <w:tabs>
          <w:tab w:val="left" w:pos="567"/>
        </w:tabs>
        <w:rPr>
          <w:szCs w:val="22"/>
          <w:lang w:val="hu-HU"/>
        </w:rPr>
      </w:pPr>
      <w:r>
        <w:rPr>
          <w:szCs w:val="22"/>
          <w:lang w:val="hu-HU"/>
        </w:rPr>
        <w:t>vízmentes kolloid szilícium-dioxid</w:t>
      </w:r>
    </w:p>
    <w:p w14:paraId="4084C855" w14:textId="77777777" w:rsidR="007963F8" w:rsidRDefault="008714EA">
      <w:pPr>
        <w:ind w:left="567" w:hanging="567"/>
        <w:rPr>
          <w:b/>
          <w:szCs w:val="22"/>
          <w:lang w:val="hu-HU"/>
        </w:rPr>
      </w:pPr>
      <w:r>
        <w:rPr>
          <w:szCs w:val="22"/>
          <w:lang w:val="hu-HU"/>
        </w:rPr>
        <w:t>magnézium-</w:t>
      </w:r>
      <w:proofErr w:type="spellStart"/>
      <w:r>
        <w:rPr>
          <w:szCs w:val="22"/>
          <w:lang w:val="hu-HU"/>
        </w:rPr>
        <w:t>sztearát</w:t>
      </w:r>
      <w:proofErr w:type="spellEnd"/>
    </w:p>
    <w:p w14:paraId="410647DC" w14:textId="77777777" w:rsidR="007963F8" w:rsidRDefault="008714EA">
      <w:pPr>
        <w:widowControl w:val="0"/>
        <w:rPr>
          <w:szCs w:val="22"/>
          <w:lang w:val="hu-HU" w:eastAsia="en-US"/>
        </w:rPr>
      </w:pPr>
      <w:r>
        <w:rPr>
          <w:szCs w:val="22"/>
          <w:lang w:val="hu-HU" w:eastAsia="en-US"/>
        </w:rPr>
        <w:t>mannit</w:t>
      </w:r>
    </w:p>
    <w:p w14:paraId="28FF9ABD" w14:textId="77777777" w:rsidR="007963F8" w:rsidRDefault="008714EA">
      <w:pPr>
        <w:widowControl w:val="0"/>
        <w:rPr>
          <w:szCs w:val="22"/>
          <w:lang w:val="hu-HU" w:eastAsia="en-US"/>
        </w:rPr>
      </w:pPr>
      <w:proofErr w:type="spellStart"/>
      <w:r>
        <w:rPr>
          <w:szCs w:val="22"/>
          <w:lang w:val="hu-HU" w:eastAsia="en-US"/>
        </w:rPr>
        <w:t>povidon</w:t>
      </w:r>
      <w:proofErr w:type="spellEnd"/>
      <w:r>
        <w:rPr>
          <w:szCs w:val="22"/>
          <w:lang w:val="hu-HU" w:eastAsia="en-US"/>
        </w:rPr>
        <w:t xml:space="preserve"> K25</w:t>
      </w:r>
    </w:p>
    <w:p w14:paraId="70E01A00" w14:textId="77777777" w:rsidR="007963F8" w:rsidRDefault="008714EA">
      <w:pPr>
        <w:widowControl w:val="0"/>
        <w:rPr>
          <w:szCs w:val="22"/>
          <w:lang w:val="hu-HU" w:eastAsia="en-US"/>
        </w:rPr>
      </w:pPr>
      <w:r>
        <w:rPr>
          <w:szCs w:val="22"/>
          <w:lang w:val="hu-HU" w:eastAsia="en-US"/>
        </w:rPr>
        <w:t>nátrium-</w:t>
      </w:r>
      <w:proofErr w:type="spellStart"/>
      <w:r>
        <w:rPr>
          <w:szCs w:val="22"/>
          <w:lang w:val="hu-HU" w:eastAsia="en-US"/>
        </w:rPr>
        <w:t>laurilszulfát</w:t>
      </w:r>
      <w:proofErr w:type="spellEnd"/>
    </w:p>
    <w:p w14:paraId="60526DEE" w14:textId="77777777" w:rsidR="007963F8" w:rsidRDefault="008714EA">
      <w:pPr>
        <w:widowControl w:val="0"/>
        <w:rPr>
          <w:szCs w:val="22"/>
          <w:lang w:val="hu-HU" w:eastAsia="en-US"/>
        </w:rPr>
      </w:pPr>
      <w:r>
        <w:rPr>
          <w:szCs w:val="22"/>
          <w:lang w:val="hu-HU" w:eastAsia="en-US"/>
        </w:rPr>
        <w:t>sárga vas-oxid (E172)</w:t>
      </w:r>
    </w:p>
    <w:p w14:paraId="55502E15" w14:textId="77777777" w:rsidR="007963F8" w:rsidRDefault="007963F8">
      <w:pPr>
        <w:widowControl w:val="0"/>
        <w:rPr>
          <w:szCs w:val="22"/>
          <w:lang w:val="hu-HU" w:eastAsia="en-US"/>
        </w:rPr>
      </w:pPr>
    </w:p>
    <w:p w14:paraId="0004C7AE" w14:textId="77777777" w:rsidR="007963F8" w:rsidRDefault="008714EA">
      <w:pPr>
        <w:widowControl w:val="0"/>
        <w:rPr>
          <w:i/>
          <w:szCs w:val="22"/>
          <w:lang w:val="hu-HU" w:eastAsia="en-US"/>
        </w:rPr>
      </w:pPr>
      <w:r>
        <w:rPr>
          <w:i/>
          <w:szCs w:val="22"/>
          <w:lang w:val="hu-HU" w:eastAsia="en-US"/>
        </w:rPr>
        <w:t>Filmbevonat (10 mg/80 mg és 20 mg/80 mg filmtabletta)</w:t>
      </w:r>
    </w:p>
    <w:p w14:paraId="526D0ED7" w14:textId="77777777" w:rsidR="007963F8" w:rsidRDefault="008714EA">
      <w:pPr>
        <w:widowControl w:val="0"/>
        <w:rPr>
          <w:szCs w:val="22"/>
          <w:lang w:val="hu-HU" w:eastAsia="en-US"/>
        </w:rPr>
      </w:pPr>
      <w:proofErr w:type="spellStart"/>
      <w:r>
        <w:rPr>
          <w:szCs w:val="22"/>
          <w:lang w:val="hu-HU" w:eastAsia="en-US"/>
        </w:rPr>
        <w:t>poli</w:t>
      </w:r>
      <w:proofErr w:type="spellEnd"/>
      <w:r>
        <w:rPr>
          <w:szCs w:val="22"/>
          <w:lang w:val="hu-HU" w:eastAsia="en-US"/>
        </w:rPr>
        <w:t>(</w:t>
      </w:r>
      <w:proofErr w:type="spellStart"/>
      <w:r>
        <w:rPr>
          <w:szCs w:val="22"/>
          <w:lang w:val="hu-HU" w:eastAsia="en-US"/>
        </w:rPr>
        <w:t>vinil</w:t>
      </w:r>
      <w:proofErr w:type="spellEnd"/>
      <w:r>
        <w:rPr>
          <w:szCs w:val="22"/>
          <w:lang w:val="hu-HU" w:eastAsia="en-US"/>
        </w:rPr>
        <w:t>)alkohol</w:t>
      </w:r>
    </w:p>
    <w:p w14:paraId="3CDF2387" w14:textId="77777777" w:rsidR="007963F8" w:rsidRDefault="008714EA">
      <w:pPr>
        <w:widowControl w:val="0"/>
        <w:rPr>
          <w:szCs w:val="22"/>
          <w:lang w:val="hu-HU" w:eastAsia="en-US"/>
        </w:rPr>
      </w:pPr>
      <w:r>
        <w:rPr>
          <w:szCs w:val="22"/>
          <w:lang w:val="hu-HU" w:eastAsia="en-US"/>
        </w:rPr>
        <w:t>titán-dioxid (E171)</w:t>
      </w:r>
    </w:p>
    <w:p w14:paraId="5762B614" w14:textId="77777777" w:rsidR="007963F8" w:rsidRDefault="008714EA">
      <w:pPr>
        <w:widowControl w:val="0"/>
        <w:rPr>
          <w:szCs w:val="22"/>
          <w:lang w:val="hu-HU" w:eastAsia="en-US"/>
        </w:rPr>
      </w:pPr>
      <w:proofErr w:type="spellStart"/>
      <w:r>
        <w:rPr>
          <w:szCs w:val="22"/>
          <w:lang w:val="hu-HU" w:eastAsia="en-US"/>
        </w:rPr>
        <w:t>makrogol</w:t>
      </w:r>
      <w:proofErr w:type="spellEnd"/>
      <w:r>
        <w:rPr>
          <w:szCs w:val="22"/>
          <w:lang w:val="hu-HU" w:eastAsia="en-US"/>
        </w:rPr>
        <w:t xml:space="preserve"> 3350</w:t>
      </w:r>
    </w:p>
    <w:p w14:paraId="00EFF469" w14:textId="77777777" w:rsidR="007963F8" w:rsidRDefault="008714EA">
      <w:pPr>
        <w:widowControl w:val="0"/>
        <w:rPr>
          <w:szCs w:val="22"/>
          <w:lang w:val="hu-HU" w:eastAsia="en-US"/>
        </w:rPr>
      </w:pPr>
      <w:r>
        <w:rPr>
          <w:szCs w:val="22"/>
          <w:lang w:val="hu-HU" w:eastAsia="en-US"/>
        </w:rPr>
        <w:t>talkum</w:t>
      </w:r>
    </w:p>
    <w:p w14:paraId="10801D24" w14:textId="77777777" w:rsidR="007963F8" w:rsidRDefault="008714EA">
      <w:pPr>
        <w:widowControl w:val="0"/>
        <w:rPr>
          <w:szCs w:val="22"/>
          <w:lang w:val="hu-HU" w:eastAsia="en-US"/>
        </w:rPr>
      </w:pPr>
      <w:r>
        <w:rPr>
          <w:szCs w:val="22"/>
          <w:lang w:val="hu-HU" w:eastAsia="en-US"/>
        </w:rPr>
        <w:t>vörös vas-oxid (E172)</w:t>
      </w:r>
    </w:p>
    <w:p w14:paraId="1DEA9C03" w14:textId="77777777" w:rsidR="007963F8" w:rsidRDefault="007963F8">
      <w:pPr>
        <w:widowControl w:val="0"/>
        <w:rPr>
          <w:szCs w:val="22"/>
          <w:lang w:val="hu-HU" w:eastAsia="en-US"/>
        </w:rPr>
      </w:pPr>
    </w:p>
    <w:p w14:paraId="4C6FEB54" w14:textId="77777777" w:rsidR="007963F8" w:rsidRDefault="008714EA">
      <w:pPr>
        <w:widowControl w:val="0"/>
        <w:rPr>
          <w:i/>
          <w:szCs w:val="22"/>
          <w:lang w:val="hu-HU" w:eastAsia="en-US"/>
        </w:rPr>
      </w:pPr>
      <w:r>
        <w:rPr>
          <w:i/>
          <w:szCs w:val="22"/>
          <w:lang w:val="hu-HU" w:eastAsia="en-US"/>
        </w:rPr>
        <w:t>Filmbevonat (10 mg/160 mg filmtabletta)</w:t>
      </w:r>
    </w:p>
    <w:p w14:paraId="7CA3DB9A" w14:textId="77777777" w:rsidR="007963F8" w:rsidRDefault="008714EA">
      <w:pPr>
        <w:widowControl w:val="0"/>
        <w:rPr>
          <w:szCs w:val="22"/>
          <w:lang w:val="hu-HU" w:eastAsia="en-US"/>
        </w:rPr>
      </w:pPr>
      <w:proofErr w:type="spellStart"/>
      <w:r>
        <w:rPr>
          <w:szCs w:val="22"/>
          <w:lang w:val="hu-HU" w:eastAsia="en-US"/>
        </w:rPr>
        <w:t>poli</w:t>
      </w:r>
      <w:proofErr w:type="spellEnd"/>
      <w:r>
        <w:rPr>
          <w:szCs w:val="22"/>
          <w:lang w:val="hu-HU" w:eastAsia="en-US"/>
        </w:rPr>
        <w:t>(</w:t>
      </w:r>
      <w:proofErr w:type="spellStart"/>
      <w:r>
        <w:rPr>
          <w:szCs w:val="22"/>
          <w:lang w:val="hu-HU" w:eastAsia="en-US"/>
        </w:rPr>
        <w:t>vinil</w:t>
      </w:r>
      <w:proofErr w:type="spellEnd"/>
      <w:r>
        <w:rPr>
          <w:szCs w:val="22"/>
          <w:lang w:val="hu-HU" w:eastAsia="en-US"/>
        </w:rPr>
        <w:t>)alkohol</w:t>
      </w:r>
    </w:p>
    <w:p w14:paraId="352CA2A0" w14:textId="77777777" w:rsidR="007963F8" w:rsidRDefault="008714EA">
      <w:pPr>
        <w:widowControl w:val="0"/>
        <w:rPr>
          <w:szCs w:val="22"/>
          <w:lang w:val="hu-HU" w:eastAsia="en-US"/>
        </w:rPr>
      </w:pPr>
      <w:r>
        <w:rPr>
          <w:szCs w:val="22"/>
          <w:lang w:val="hu-HU" w:eastAsia="en-US"/>
        </w:rPr>
        <w:t>titán-dioxid (E171)</w:t>
      </w:r>
    </w:p>
    <w:p w14:paraId="0C679B63" w14:textId="77777777" w:rsidR="007963F8" w:rsidRDefault="008714EA">
      <w:pPr>
        <w:widowControl w:val="0"/>
        <w:rPr>
          <w:szCs w:val="22"/>
          <w:lang w:val="hu-HU" w:eastAsia="en-US"/>
        </w:rPr>
      </w:pPr>
      <w:proofErr w:type="spellStart"/>
      <w:r>
        <w:rPr>
          <w:szCs w:val="22"/>
          <w:lang w:val="hu-HU" w:eastAsia="en-US"/>
        </w:rPr>
        <w:t>makrogol</w:t>
      </w:r>
      <w:proofErr w:type="spellEnd"/>
      <w:r>
        <w:rPr>
          <w:szCs w:val="22"/>
          <w:lang w:val="hu-HU" w:eastAsia="en-US"/>
        </w:rPr>
        <w:t xml:space="preserve"> 3350</w:t>
      </w:r>
    </w:p>
    <w:p w14:paraId="7DC0CE79" w14:textId="77777777" w:rsidR="007963F8" w:rsidRDefault="008714EA">
      <w:pPr>
        <w:widowControl w:val="0"/>
        <w:rPr>
          <w:szCs w:val="22"/>
          <w:lang w:val="hu-HU" w:eastAsia="en-US"/>
        </w:rPr>
      </w:pPr>
      <w:r>
        <w:rPr>
          <w:szCs w:val="22"/>
          <w:lang w:val="hu-HU" w:eastAsia="en-US"/>
        </w:rPr>
        <w:t>talkum</w:t>
      </w:r>
    </w:p>
    <w:p w14:paraId="68BDE9EC" w14:textId="77777777" w:rsidR="007963F8" w:rsidRDefault="008714EA">
      <w:pPr>
        <w:widowControl w:val="0"/>
        <w:rPr>
          <w:szCs w:val="22"/>
          <w:lang w:val="hu-HU" w:eastAsia="en-US"/>
        </w:rPr>
      </w:pPr>
      <w:r>
        <w:rPr>
          <w:szCs w:val="22"/>
          <w:lang w:val="hu-HU" w:eastAsia="en-US"/>
        </w:rPr>
        <w:t>vörös vas-oxid (E172)</w:t>
      </w:r>
    </w:p>
    <w:p w14:paraId="58C3E736" w14:textId="77777777" w:rsidR="007963F8" w:rsidRDefault="008714EA">
      <w:pPr>
        <w:widowControl w:val="0"/>
        <w:rPr>
          <w:szCs w:val="22"/>
          <w:lang w:val="hu-HU" w:eastAsia="en-US"/>
        </w:rPr>
      </w:pPr>
      <w:r>
        <w:rPr>
          <w:szCs w:val="22"/>
          <w:lang w:val="hu-HU" w:eastAsia="en-US"/>
        </w:rPr>
        <w:t>sárga vas-oxid (E172)</w:t>
      </w:r>
    </w:p>
    <w:p w14:paraId="6E89F2B5" w14:textId="77777777" w:rsidR="007963F8" w:rsidRDefault="007963F8">
      <w:pPr>
        <w:widowControl w:val="0"/>
        <w:rPr>
          <w:szCs w:val="22"/>
          <w:lang w:val="hu-HU" w:eastAsia="en-US"/>
        </w:rPr>
      </w:pPr>
    </w:p>
    <w:p w14:paraId="3D30FFC4" w14:textId="77777777" w:rsidR="007963F8" w:rsidRDefault="008714EA" w:rsidP="005924D0">
      <w:pPr>
        <w:keepNext/>
        <w:widowControl w:val="0"/>
        <w:rPr>
          <w:i/>
          <w:szCs w:val="22"/>
          <w:lang w:val="hu-HU" w:eastAsia="en-US"/>
        </w:rPr>
      </w:pPr>
      <w:r>
        <w:rPr>
          <w:i/>
          <w:szCs w:val="22"/>
          <w:lang w:val="hu-HU" w:eastAsia="en-US"/>
        </w:rPr>
        <w:lastRenderedPageBreak/>
        <w:t>Filmbevonat (20 mg/160 mg filmtabletta)</w:t>
      </w:r>
    </w:p>
    <w:p w14:paraId="1BD0DF57" w14:textId="77777777" w:rsidR="007963F8" w:rsidRDefault="008714EA">
      <w:pPr>
        <w:widowControl w:val="0"/>
        <w:rPr>
          <w:szCs w:val="22"/>
          <w:lang w:val="hu-HU" w:eastAsia="en-US"/>
        </w:rPr>
      </w:pPr>
      <w:proofErr w:type="spellStart"/>
      <w:r>
        <w:rPr>
          <w:szCs w:val="22"/>
          <w:lang w:val="hu-HU" w:eastAsia="en-US"/>
        </w:rPr>
        <w:t>poli</w:t>
      </w:r>
      <w:proofErr w:type="spellEnd"/>
      <w:r>
        <w:rPr>
          <w:szCs w:val="22"/>
          <w:lang w:val="hu-HU" w:eastAsia="en-US"/>
        </w:rPr>
        <w:t>(</w:t>
      </w:r>
      <w:proofErr w:type="spellStart"/>
      <w:r>
        <w:rPr>
          <w:szCs w:val="22"/>
          <w:lang w:val="hu-HU" w:eastAsia="en-US"/>
        </w:rPr>
        <w:t>vinil</w:t>
      </w:r>
      <w:proofErr w:type="spellEnd"/>
      <w:r>
        <w:rPr>
          <w:szCs w:val="22"/>
          <w:lang w:val="hu-HU" w:eastAsia="en-US"/>
        </w:rPr>
        <w:t>)alkohol</w:t>
      </w:r>
    </w:p>
    <w:p w14:paraId="3714DDFA" w14:textId="77777777" w:rsidR="007963F8" w:rsidRDefault="008714EA">
      <w:pPr>
        <w:widowControl w:val="0"/>
        <w:rPr>
          <w:szCs w:val="22"/>
          <w:lang w:val="hu-HU" w:eastAsia="en-US"/>
        </w:rPr>
      </w:pPr>
      <w:r>
        <w:rPr>
          <w:szCs w:val="22"/>
          <w:lang w:val="hu-HU" w:eastAsia="en-US"/>
        </w:rPr>
        <w:t>titán-dioxid (E171)</w:t>
      </w:r>
    </w:p>
    <w:p w14:paraId="3694A3B3" w14:textId="77777777" w:rsidR="007963F8" w:rsidRDefault="008714EA">
      <w:pPr>
        <w:widowControl w:val="0"/>
        <w:rPr>
          <w:szCs w:val="22"/>
          <w:lang w:val="hu-HU" w:eastAsia="en-US"/>
        </w:rPr>
      </w:pPr>
      <w:proofErr w:type="spellStart"/>
      <w:r>
        <w:rPr>
          <w:szCs w:val="22"/>
          <w:lang w:val="hu-HU" w:eastAsia="en-US"/>
        </w:rPr>
        <w:t>makrogol</w:t>
      </w:r>
      <w:proofErr w:type="spellEnd"/>
      <w:r>
        <w:rPr>
          <w:szCs w:val="22"/>
          <w:lang w:val="hu-HU" w:eastAsia="en-US"/>
        </w:rPr>
        <w:t xml:space="preserve"> 3000</w:t>
      </w:r>
    </w:p>
    <w:p w14:paraId="7F58E8BC" w14:textId="77777777" w:rsidR="007963F8" w:rsidRDefault="008714EA">
      <w:pPr>
        <w:widowControl w:val="0"/>
        <w:rPr>
          <w:szCs w:val="22"/>
          <w:lang w:val="hu-HU" w:eastAsia="en-US"/>
        </w:rPr>
      </w:pPr>
      <w:r>
        <w:rPr>
          <w:szCs w:val="22"/>
          <w:lang w:val="hu-HU" w:eastAsia="en-US"/>
        </w:rPr>
        <w:t>talkum</w:t>
      </w:r>
    </w:p>
    <w:p w14:paraId="10E564EB" w14:textId="77777777" w:rsidR="007963F8" w:rsidRDefault="008714EA">
      <w:pPr>
        <w:widowControl w:val="0"/>
        <w:rPr>
          <w:szCs w:val="22"/>
          <w:lang w:val="hu-HU" w:eastAsia="en-US"/>
        </w:rPr>
      </w:pPr>
      <w:r>
        <w:rPr>
          <w:szCs w:val="22"/>
          <w:lang w:val="hu-HU" w:eastAsia="en-US"/>
        </w:rPr>
        <w:t>sárga vas-oxid (E172)</w:t>
      </w:r>
    </w:p>
    <w:p w14:paraId="4B5D3F25" w14:textId="77777777" w:rsidR="007963F8" w:rsidRDefault="007963F8">
      <w:pPr>
        <w:widowControl w:val="0"/>
        <w:rPr>
          <w:szCs w:val="22"/>
          <w:lang w:val="hu-HU" w:eastAsia="en-US"/>
        </w:rPr>
      </w:pPr>
    </w:p>
    <w:p w14:paraId="534C5BFC" w14:textId="77777777" w:rsidR="007963F8" w:rsidRDefault="008714EA">
      <w:pPr>
        <w:ind w:left="567" w:hanging="567"/>
        <w:rPr>
          <w:b/>
          <w:szCs w:val="22"/>
          <w:lang w:val="hu-HU"/>
        </w:rPr>
      </w:pPr>
      <w:r>
        <w:rPr>
          <w:b/>
          <w:szCs w:val="22"/>
          <w:lang w:val="hu-HU"/>
        </w:rPr>
        <w:t>6.2</w:t>
      </w:r>
      <w:r>
        <w:rPr>
          <w:b/>
          <w:szCs w:val="22"/>
          <w:lang w:val="hu-HU"/>
        </w:rPr>
        <w:tab/>
        <w:t>Inkompatibilitások</w:t>
      </w:r>
    </w:p>
    <w:p w14:paraId="3371C1D1" w14:textId="77777777" w:rsidR="007963F8" w:rsidRDefault="007963F8">
      <w:pPr>
        <w:rPr>
          <w:szCs w:val="22"/>
          <w:lang w:val="hu-HU"/>
        </w:rPr>
      </w:pPr>
    </w:p>
    <w:p w14:paraId="2E253EA7" w14:textId="77777777" w:rsidR="007963F8" w:rsidRDefault="008714EA">
      <w:pPr>
        <w:rPr>
          <w:szCs w:val="22"/>
          <w:lang w:val="hu-HU"/>
        </w:rPr>
      </w:pPr>
      <w:r>
        <w:rPr>
          <w:szCs w:val="22"/>
          <w:lang w:val="hu-HU"/>
        </w:rPr>
        <w:t>Nem értelmezhető.</w:t>
      </w:r>
    </w:p>
    <w:p w14:paraId="65E14A55" w14:textId="77777777" w:rsidR="007963F8" w:rsidRDefault="007963F8">
      <w:pPr>
        <w:rPr>
          <w:szCs w:val="22"/>
          <w:lang w:val="hu-HU"/>
        </w:rPr>
      </w:pPr>
    </w:p>
    <w:p w14:paraId="0EED8B87" w14:textId="77777777" w:rsidR="007963F8" w:rsidRDefault="008714EA">
      <w:pPr>
        <w:keepNext/>
        <w:ind w:left="567" w:hanging="567"/>
        <w:rPr>
          <w:b/>
          <w:szCs w:val="22"/>
          <w:lang w:val="hu-HU"/>
        </w:rPr>
      </w:pPr>
      <w:r>
        <w:rPr>
          <w:b/>
          <w:szCs w:val="22"/>
          <w:lang w:val="hu-HU"/>
        </w:rPr>
        <w:t>6.3</w:t>
      </w:r>
      <w:r>
        <w:rPr>
          <w:b/>
          <w:szCs w:val="22"/>
          <w:lang w:val="hu-HU"/>
        </w:rPr>
        <w:tab/>
        <w:t>Felhasználhatósági időtartam</w:t>
      </w:r>
    </w:p>
    <w:p w14:paraId="4A0E7C0E" w14:textId="77777777" w:rsidR="007963F8" w:rsidRDefault="007963F8">
      <w:pPr>
        <w:keepNext/>
        <w:widowControl w:val="0"/>
        <w:rPr>
          <w:szCs w:val="22"/>
          <w:lang w:val="hu-HU" w:eastAsia="en-US"/>
        </w:rPr>
      </w:pPr>
    </w:p>
    <w:p w14:paraId="28B9FFE7" w14:textId="77777777" w:rsidR="007963F8" w:rsidRDefault="008714EA">
      <w:pPr>
        <w:widowControl w:val="0"/>
        <w:rPr>
          <w:szCs w:val="22"/>
          <w:lang w:val="hu-HU" w:eastAsia="en-US"/>
        </w:rPr>
      </w:pPr>
      <w:r>
        <w:rPr>
          <w:szCs w:val="22"/>
          <w:lang w:val="hu-HU" w:eastAsia="en-US"/>
        </w:rPr>
        <w:t>3 év.</w:t>
      </w:r>
    </w:p>
    <w:p w14:paraId="029AFA18" w14:textId="77777777" w:rsidR="007963F8" w:rsidRDefault="007963F8">
      <w:pPr>
        <w:widowControl w:val="0"/>
        <w:rPr>
          <w:szCs w:val="22"/>
          <w:lang w:val="hu-HU" w:eastAsia="en-US"/>
        </w:rPr>
      </w:pPr>
    </w:p>
    <w:p w14:paraId="0E790E8A" w14:textId="77777777" w:rsidR="007963F8" w:rsidRDefault="008714EA">
      <w:pPr>
        <w:tabs>
          <w:tab w:val="left" w:pos="567"/>
        </w:tabs>
        <w:ind w:left="567" w:hanging="567"/>
        <w:rPr>
          <w:b/>
          <w:szCs w:val="22"/>
          <w:lang w:val="hu-HU"/>
        </w:rPr>
      </w:pPr>
      <w:r>
        <w:rPr>
          <w:b/>
          <w:szCs w:val="22"/>
          <w:lang w:val="hu-HU"/>
        </w:rPr>
        <w:t>6.4</w:t>
      </w:r>
      <w:r>
        <w:rPr>
          <w:b/>
          <w:szCs w:val="22"/>
          <w:lang w:val="hu-HU"/>
        </w:rPr>
        <w:tab/>
        <w:t>Különleges tárolási előírások</w:t>
      </w:r>
    </w:p>
    <w:p w14:paraId="552F70DE" w14:textId="77777777" w:rsidR="007963F8" w:rsidRDefault="007963F8">
      <w:pPr>
        <w:tabs>
          <w:tab w:val="left" w:pos="567"/>
        </w:tabs>
        <w:rPr>
          <w:szCs w:val="22"/>
          <w:lang w:val="hu-HU"/>
        </w:rPr>
      </w:pPr>
    </w:p>
    <w:p w14:paraId="1809CFFD" w14:textId="77777777" w:rsidR="007963F8" w:rsidRDefault="008714EA">
      <w:pPr>
        <w:tabs>
          <w:tab w:val="left" w:pos="567"/>
        </w:tabs>
        <w:rPr>
          <w:szCs w:val="22"/>
          <w:lang w:val="hu-HU"/>
        </w:rPr>
      </w:pPr>
      <w:r>
        <w:rPr>
          <w:szCs w:val="22"/>
          <w:lang w:val="hu-HU"/>
        </w:rPr>
        <w:t>A nedvességtől való védelem érdekében az eredeti csomagolásban tárolandó.</w:t>
      </w:r>
    </w:p>
    <w:p w14:paraId="4B7CE07F" w14:textId="77777777" w:rsidR="007963F8" w:rsidRDefault="007963F8">
      <w:pPr>
        <w:widowControl w:val="0"/>
        <w:rPr>
          <w:szCs w:val="22"/>
          <w:lang w:val="hu-HU" w:eastAsia="en-US"/>
        </w:rPr>
      </w:pPr>
    </w:p>
    <w:p w14:paraId="10BD3BD6" w14:textId="77777777" w:rsidR="007963F8" w:rsidRDefault="008714EA">
      <w:pPr>
        <w:ind w:left="567" w:hanging="567"/>
        <w:rPr>
          <w:b/>
          <w:szCs w:val="22"/>
          <w:lang w:val="hu-HU"/>
        </w:rPr>
      </w:pPr>
      <w:r>
        <w:rPr>
          <w:b/>
          <w:szCs w:val="22"/>
          <w:lang w:val="hu-HU"/>
        </w:rPr>
        <w:t>6.5</w:t>
      </w:r>
      <w:r>
        <w:rPr>
          <w:b/>
          <w:szCs w:val="22"/>
          <w:lang w:val="hu-HU"/>
        </w:rPr>
        <w:tab/>
        <w:t>Csomagolás típusa és kiszerelése</w:t>
      </w:r>
    </w:p>
    <w:p w14:paraId="46AD3019" w14:textId="77777777" w:rsidR="007963F8" w:rsidRDefault="007963F8">
      <w:pPr>
        <w:widowControl w:val="0"/>
        <w:rPr>
          <w:szCs w:val="22"/>
          <w:lang w:val="hu-HU" w:eastAsia="en-US"/>
        </w:rPr>
      </w:pPr>
    </w:p>
    <w:p w14:paraId="7D1B0120" w14:textId="77777777" w:rsidR="007963F8" w:rsidRDefault="008714EA">
      <w:pPr>
        <w:widowControl w:val="0"/>
        <w:rPr>
          <w:szCs w:val="22"/>
          <w:lang w:val="hu-HU" w:eastAsia="en-US"/>
        </w:rPr>
      </w:pPr>
      <w:r>
        <w:rPr>
          <w:szCs w:val="22"/>
          <w:lang w:val="hu-HU"/>
        </w:rPr>
        <w:t xml:space="preserve">10 db, 14 db, 20 db, 28 db, 30 db, 56 db, 60 db, 84 db, 90 db vagy 100 db filmtabletta </w:t>
      </w:r>
      <w:r>
        <w:rPr>
          <w:szCs w:val="22"/>
          <w:lang w:val="hu-HU" w:eastAsia="en-US"/>
        </w:rPr>
        <w:t>(OPA/</w:t>
      </w:r>
      <w:proofErr w:type="spellStart"/>
      <w:r>
        <w:rPr>
          <w:szCs w:val="22"/>
          <w:lang w:val="hu-HU" w:eastAsia="en-US"/>
        </w:rPr>
        <w:t>Al</w:t>
      </w:r>
      <w:proofErr w:type="spellEnd"/>
      <w:r>
        <w:rPr>
          <w:szCs w:val="22"/>
          <w:lang w:val="hu-HU" w:eastAsia="en-US"/>
        </w:rPr>
        <w:t>/PVC/</w:t>
      </w:r>
      <w:proofErr w:type="spellStart"/>
      <w:r>
        <w:rPr>
          <w:szCs w:val="22"/>
          <w:lang w:val="hu-HU" w:eastAsia="en-US"/>
        </w:rPr>
        <w:t>Al</w:t>
      </w:r>
      <w:proofErr w:type="spellEnd"/>
      <w:r>
        <w:rPr>
          <w:szCs w:val="22"/>
          <w:lang w:val="hu-HU" w:eastAsia="en-US"/>
        </w:rPr>
        <w:t>) buborékcsomagolásban és dobozban.</w:t>
      </w:r>
    </w:p>
    <w:p w14:paraId="100724DC" w14:textId="77777777" w:rsidR="007963F8" w:rsidRDefault="007963F8">
      <w:pPr>
        <w:widowControl w:val="0"/>
        <w:rPr>
          <w:szCs w:val="22"/>
          <w:lang w:val="hu-HU" w:eastAsia="en-US"/>
        </w:rPr>
      </w:pPr>
    </w:p>
    <w:p w14:paraId="7D1DC5B0" w14:textId="77777777" w:rsidR="007963F8" w:rsidRDefault="008714EA">
      <w:pPr>
        <w:rPr>
          <w:szCs w:val="22"/>
          <w:lang w:val="hu-HU"/>
        </w:rPr>
      </w:pPr>
      <w:r>
        <w:rPr>
          <w:szCs w:val="22"/>
          <w:lang w:val="hu-HU"/>
        </w:rPr>
        <w:t>Nem feltétlenül mindegyik kiszerelés kerül kereskedelmi forgalomba.</w:t>
      </w:r>
    </w:p>
    <w:p w14:paraId="7A35F2DC" w14:textId="77777777" w:rsidR="007963F8" w:rsidRDefault="007963F8">
      <w:pPr>
        <w:widowControl w:val="0"/>
        <w:rPr>
          <w:szCs w:val="22"/>
          <w:lang w:val="hu-HU" w:eastAsia="en-US"/>
        </w:rPr>
      </w:pPr>
    </w:p>
    <w:p w14:paraId="02B2E0EE" w14:textId="77777777" w:rsidR="007963F8" w:rsidRDefault="008714EA">
      <w:pPr>
        <w:tabs>
          <w:tab w:val="left" w:pos="567"/>
        </w:tabs>
        <w:autoSpaceDE w:val="0"/>
        <w:autoSpaceDN w:val="0"/>
        <w:adjustRightInd w:val="0"/>
        <w:ind w:left="567" w:hanging="567"/>
        <w:rPr>
          <w:b/>
          <w:szCs w:val="22"/>
          <w:lang w:val="hu-HU"/>
        </w:rPr>
      </w:pPr>
      <w:r>
        <w:rPr>
          <w:b/>
          <w:szCs w:val="22"/>
          <w:lang w:val="hu-HU"/>
        </w:rPr>
        <w:t>6.6</w:t>
      </w:r>
      <w:r>
        <w:rPr>
          <w:b/>
          <w:szCs w:val="22"/>
          <w:lang w:val="hu-HU"/>
        </w:rPr>
        <w:tab/>
        <w:t>A megsemmisítésre vonatkozó különleges óvintézkedések és egyéb, a készítmény kezelésével kapcsolatos információk</w:t>
      </w:r>
    </w:p>
    <w:p w14:paraId="236BB971" w14:textId="77777777" w:rsidR="007963F8" w:rsidRDefault="007963F8">
      <w:pPr>
        <w:tabs>
          <w:tab w:val="left" w:pos="567"/>
        </w:tabs>
        <w:ind w:left="567" w:hanging="567"/>
        <w:rPr>
          <w:b/>
          <w:szCs w:val="22"/>
          <w:lang w:val="hu-HU"/>
        </w:rPr>
      </w:pPr>
    </w:p>
    <w:p w14:paraId="76B5F99E" w14:textId="77777777" w:rsidR="007963F8" w:rsidRDefault="008714EA">
      <w:pPr>
        <w:tabs>
          <w:tab w:val="left" w:pos="567"/>
        </w:tabs>
        <w:rPr>
          <w:szCs w:val="22"/>
          <w:lang w:val="hu-HU"/>
        </w:rPr>
      </w:pPr>
      <w:r>
        <w:rPr>
          <w:szCs w:val="22"/>
          <w:lang w:val="hu-HU"/>
        </w:rPr>
        <w:t>Bármilyen fel nem használt gyógyszer, illetve hulladékanyag megsemmisítését a gyógyszerekre vonatkozó előírások szerint kell végrehajtani.</w:t>
      </w:r>
    </w:p>
    <w:p w14:paraId="3E3623E0" w14:textId="77777777" w:rsidR="007963F8" w:rsidRDefault="007963F8">
      <w:pPr>
        <w:widowControl w:val="0"/>
        <w:rPr>
          <w:szCs w:val="22"/>
          <w:lang w:val="hu-HU" w:eastAsia="en-US"/>
        </w:rPr>
      </w:pPr>
    </w:p>
    <w:p w14:paraId="3E0B1D6B" w14:textId="77777777" w:rsidR="007963F8" w:rsidRDefault="008714EA">
      <w:pPr>
        <w:pStyle w:val="Normal1"/>
        <w:rPr>
          <w:color w:val="auto"/>
          <w:sz w:val="22"/>
          <w:lang w:val="hu-HU"/>
        </w:rPr>
      </w:pPr>
      <w:r>
        <w:rPr>
          <w:b/>
          <w:color w:val="auto"/>
          <w:sz w:val="22"/>
          <w:lang w:val="hu-HU"/>
        </w:rPr>
        <w:t>Megjegyzés:</w:t>
      </w:r>
      <w:r>
        <w:rPr>
          <w:color w:val="auto"/>
          <w:sz w:val="22"/>
          <w:lang w:val="hu-HU"/>
        </w:rPr>
        <w:t xml:space="preserve"> </w:t>
      </w:r>
      <w:r>
        <w:rPr>
          <w:rFonts w:ascii="Wingdings" w:hAnsi="Wingdings"/>
          <w:color w:val="auto"/>
          <w:sz w:val="22"/>
          <w:lang w:val="hu-HU"/>
        </w:rPr>
        <w:t></w:t>
      </w:r>
      <w:r>
        <w:rPr>
          <w:color w:val="auto"/>
          <w:sz w:val="22"/>
          <w:lang w:val="hu-HU"/>
        </w:rPr>
        <w:t xml:space="preserve"> (egy keresztes)</w:t>
      </w:r>
    </w:p>
    <w:p w14:paraId="4B7471EE" w14:textId="77777777" w:rsidR="007963F8" w:rsidRDefault="008714EA">
      <w:pPr>
        <w:pStyle w:val="Normal1"/>
        <w:rPr>
          <w:b/>
          <w:color w:val="auto"/>
          <w:sz w:val="22"/>
          <w:u w:val="single"/>
          <w:lang w:val="hu-HU"/>
        </w:rPr>
      </w:pPr>
      <w:r>
        <w:rPr>
          <w:b/>
          <w:color w:val="auto"/>
          <w:sz w:val="22"/>
          <w:lang w:val="hu-HU"/>
        </w:rPr>
        <w:t>Osztályozás: II. csoport</w:t>
      </w:r>
    </w:p>
    <w:p w14:paraId="4D438C0E" w14:textId="77777777" w:rsidR="007963F8" w:rsidRDefault="008714EA">
      <w:pPr>
        <w:pStyle w:val="Normal1"/>
        <w:rPr>
          <w:color w:val="auto"/>
          <w:sz w:val="22"/>
          <w:lang w:val="hu-HU"/>
        </w:rPr>
      </w:pPr>
      <w:r>
        <w:rPr>
          <w:color w:val="auto"/>
          <w:sz w:val="22"/>
          <w:lang w:val="hu-HU"/>
        </w:rPr>
        <w:t>Kizárólag orvosi rendelvényhez kötött gyógyszer (V).</w:t>
      </w:r>
    </w:p>
    <w:p w14:paraId="3360D1B3" w14:textId="77777777" w:rsidR="007963F8" w:rsidRDefault="007963F8">
      <w:pPr>
        <w:widowControl w:val="0"/>
        <w:rPr>
          <w:szCs w:val="22"/>
          <w:lang w:val="hu-HU" w:eastAsia="en-US"/>
        </w:rPr>
      </w:pPr>
    </w:p>
    <w:p w14:paraId="245986FD" w14:textId="77777777" w:rsidR="007963F8" w:rsidRDefault="008714EA">
      <w:pPr>
        <w:keepNext/>
        <w:ind w:left="567" w:hanging="567"/>
        <w:outlineLvl w:val="0"/>
        <w:rPr>
          <w:b/>
          <w:bCs/>
          <w:szCs w:val="22"/>
          <w:lang w:val="hu-HU"/>
        </w:rPr>
      </w:pPr>
      <w:r>
        <w:rPr>
          <w:b/>
          <w:bCs/>
          <w:szCs w:val="22"/>
          <w:lang w:val="hu-HU"/>
        </w:rPr>
        <w:t>7.</w:t>
      </w:r>
      <w:r>
        <w:rPr>
          <w:b/>
          <w:bCs/>
          <w:szCs w:val="22"/>
          <w:lang w:val="hu-HU"/>
        </w:rPr>
        <w:tab/>
        <w:t>A FORGALOMBA HOZATALI ENGEDÉLY JOGOSULTJA</w:t>
      </w:r>
    </w:p>
    <w:p w14:paraId="199C4BEA" w14:textId="77777777" w:rsidR="007963F8" w:rsidRDefault="007963F8">
      <w:pPr>
        <w:keepNext/>
        <w:widowControl w:val="0"/>
        <w:rPr>
          <w:szCs w:val="22"/>
          <w:lang w:val="hu-HU" w:eastAsia="en-US"/>
        </w:rPr>
      </w:pPr>
    </w:p>
    <w:p w14:paraId="1C1905BC" w14:textId="77777777" w:rsidR="007963F8" w:rsidRDefault="008714EA">
      <w:pPr>
        <w:spacing w:line="260" w:lineRule="atLeast"/>
        <w:rPr>
          <w:noProof/>
        </w:rPr>
      </w:pPr>
      <w:r>
        <w:rPr>
          <w:noProof/>
        </w:rPr>
        <w:t xml:space="preserve">KRKA, d.d., Novo mesto, </w:t>
      </w:r>
      <w:r>
        <w:rPr>
          <w:snapToGrid w:val="0"/>
          <w:color w:val="000000"/>
          <w:szCs w:val="22"/>
        </w:rPr>
        <w:t>Šmarješka</w:t>
      </w:r>
      <w:r>
        <w:rPr>
          <w:noProof/>
        </w:rPr>
        <w:t xml:space="preserve"> cesta 6, 8501 Novo mesto, Szlovénia</w:t>
      </w:r>
    </w:p>
    <w:p w14:paraId="06FDB9D8" w14:textId="77777777" w:rsidR="007963F8" w:rsidRDefault="007963F8">
      <w:pPr>
        <w:widowControl w:val="0"/>
        <w:rPr>
          <w:szCs w:val="22"/>
          <w:lang w:val="hu-HU" w:eastAsia="en-US"/>
        </w:rPr>
      </w:pPr>
    </w:p>
    <w:p w14:paraId="4ECF3DF4" w14:textId="77777777" w:rsidR="007963F8" w:rsidRDefault="007963F8">
      <w:pPr>
        <w:widowControl w:val="0"/>
        <w:rPr>
          <w:szCs w:val="22"/>
          <w:lang w:val="hu-HU" w:eastAsia="en-US"/>
        </w:rPr>
      </w:pPr>
    </w:p>
    <w:p w14:paraId="7F88931A" w14:textId="77777777" w:rsidR="007963F8" w:rsidRDefault="008714EA">
      <w:pPr>
        <w:ind w:left="567" w:hanging="567"/>
        <w:outlineLvl w:val="0"/>
        <w:rPr>
          <w:b/>
          <w:bCs/>
          <w:szCs w:val="22"/>
          <w:lang w:val="hu-HU"/>
        </w:rPr>
      </w:pPr>
      <w:r>
        <w:rPr>
          <w:b/>
          <w:bCs/>
          <w:szCs w:val="22"/>
          <w:lang w:val="hu-HU"/>
        </w:rPr>
        <w:t>8.</w:t>
      </w:r>
      <w:r>
        <w:rPr>
          <w:b/>
          <w:bCs/>
          <w:szCs w:val="22"/>
          <w:lang w:val="hu-HU"/>
        </w:rPr>
        <w:tab/>
        <w:t>A FORGALOMBA HOZATALI ENGEDÉLY SZÁMA(I)</w:t>
      </w:r>
    </w:p>
    <w:p w14:paraId="35804801" w14:textId="77777777" w:rsidR="007963F8" w:rsidRDefault="007963F8">
      <w:pPr>
        <w:ind w:left="567" w:hanging="567"/>
        <w:outlineLvl w:val="0"/>
        <w:rPr>
          <w:b/>
          <w:bCs/>
          <w:szCs w:val="22"/>
          <w:lang w:val="hu-HU"/>
        </w:rPr>
      </w:pPr>
    </w:p>
    <w:p w14:paraId="15571613" w14:textId="77777777" w:rsidR="007963F8" w:rsidRDefault="008714EA">
      <w:pPr>
        <w:rPr>
          <w:b/>
          <w:szCs w:val="22"/>
          <w:lang w:val="hu-HU" w:eastAsia="en-US"/>
        </w:rPr>
      </w:pPr>
      <w:r>
        <w:rPr>
          <w:b/>
          <w:szCs w:val="22"/>
        </w:rPr>
        <w:t>Ravalsyo 10 mg/80 mg filmtabletta </w:t>
      </w:r>
    </w:p>
    <w:p w14:paraId="48F683DC" w14:textId="77777777" w:rsidR="007963F8" w:rsidRDefault="008714EA">
      <w:pPr>
        <w:tabs>
          <w:tab w:val="right" w:pos="2835"/>
        </w:tabs>
        <w:rPr>
          <w:szCs w:val="22"/>
        </w:rPr>
      </w:pPr>
      <w:r>
        <w:rPr>
          <w:szCs w:val="22"/>
        </w:rPr>
        <w:t>OGYI-T-23099/01</w:t>
      </w:r>
      <w:r>
        <w:rPr>
          <w:szCs w:val="22"/>
        </w:rPr>
        <w:tab/>
        <w:t>10×</w:t>
      </w:r>
    </w:p>
    <w:p w14:paraId="342D682A" w14:textId="77777777" w:rsidR="007963F8" w:rsidRDefault="008714EA">
      <w:pPr>
        <w:tabs>
          <w:tab w:val="right" w:pos="2835"/>
        </w:tabs>
        <w:rPr>
          <w:szCs w:val="22"/>
        </w:rPr>
      </w:pPr>
      <w:r>
        <w:rPr>
          <w:szCs w:val="22"/>
        </w:rPr>
        <w:t>OGYI-T-23099/02</w:t>
      </w:r>
      <w:r>
        <w:rPr>
          <w:szCs w:val="22"/>
        </w:rPr>
        <w:tab/>
        <w:t>14×</w:t>
      </w:r>
    </w:p>
    <w:p w14:paraId="4D01D38C" w14:textId="77777777" w:rsidR="007963F8" w:rsidRDefault="008714EA">
      <w:pPr>
        <w:tabs>
          <w:tab w:val="right" w:pos="2835"/>
        </w:tabs>
        <w:rPr>
          <w:szCs w:val="22"/>
        </w:rPr>
      </w:pPr>
      <w:r>
        <w:rPr>
          <w:szCs w:val="22"/>
        </w:rPr>
        <w:t>OGYI-T-23099/03</w:t>
      </w:r>
      <w:r>
        <w:rPr>
          <w:szCs w:val="22"/>
        </w:rPr>
        <w:tab/>
        <w:t>20×</w:t>
      </w:r>
    </w:p>
    <w:p w14:paraId="5A1D75DA" w14:textId="77777777" w:rsidR="007963F8" w:rsidRDefault="008714EA">
      <w:pPr>
        <w:tabs>
          <w:tab w:val="right" w:pos="2835"/>
        </w:tabs>
        <w:rPr>
          <w:szCs w:val="22"/>
        </w:rPr>
      </w:pPr>
      <w:r>
        <w:rPr>
          <w:szCs w:val="22"/>
        </w:rPr>
        <w:t>OGYI-T-23099/04</w:t>
      </w:r>
      <w:r>
        <w:rPr>
          <w:szCs w:val="22"/>
        </w:rPr>
        <w:tab/>
        <w:t>28×</w:t>
      </w:r>
    </w:p>
    <w:p w14:paraId="373F1DCA" w14:textId="77777777" w:rsidR="007963F8" w:rsidRDefault="008714EA">
      <w:pPr>
        <w:tabs>
          <w:tab w:val="right" w:pos="2835"/>
        </w:tabs>
        <w:rPr>
          <w:szCs w:val="22"/>
        </w:rPr>
      </w:pPr>
      <w:r>
        <w:rPr>
          <w:szCs w:val="22"/>
        </w:rPr>
        <w:t>OGYI-T-23099/05</w:t>
      </w:r>
      <w:r>
        <w:rPr>
          <w:szCs w:val="22"/>
        </w:rPr>
        <w:tab/>
        <w:t>30×</w:t>
      </w:r>
    </w:p>
    <w:p w14:paraId="0B668FF3" w14:textId="77777777" w:rsidR="007963F8" w:rsidRDefault="008714EA">
      <w:pPr>
        <w:tabs>
          <w:tab w:val="right" w:pos="2835"/>
        </w:tabs>
        <w:rPr>
          <w:szCs w:val="22"/>
        </w:rPr>
      </w:pPr>
      <w:r>
        <w:rPr>
          <w:szCs w:val="22"/>
        </w:rPr>
        <w:t>OGYI-T-23099/06</w:t>
      </w:r>
      <w:r>
        <w:rPr>
          <w:szCs w:val="22"/>
        </w:rPr>
        <w:tab/>
        <w:t>56×</w:t>
      </w:r>
    </w:p>
    <w:p w14:paraId="78AD0E47" w14:textId="77777777" w:rsidR="007963F8" w:rsidRDefault="008714EA">
      <w:pPr>
        <w:tabs>
          <w:tab w:val="right" w:pos="2835"/>
        </w:tabs>
        <w:rPr>
          <w:szCs w:val="22"/>
        </w:rPr>
      </w:pPr>
      <w:r>
        <w:rPr>
          <w:szCs w:val="22"/>
        </w:rPr>
        <w:t>OGYI-T-23099/07</w:t>
      </w:r>
      <w:r>
        <w:rPr>
          <w:szCs w:val="22"/>
        </w:rPr>
        <w:tab/>
        <w:t>60×</w:t>
      </w:r>
    </w:p>
    <w:p w14:paraId="2209B20E" w14:textId="77777777" w:rsidR="007963F8" w:rsidRDefault="008714EA">
      <w:pPr>
        <w:tabs>
          <w:tab w:val="right" w:pos="2835"/>
        </w:tabs>
        <w:rPr>
          <w:szCs w:val="22"/>
        </w:rPr>
      </w:pPr>
      <w:r>
        <w:rPr>
          <w:szCs w:val="22"/>
        </w:rPr>
        <w:t>OGYI-T-23099/08</w:t>
      </w:r>
      <w:r>
        <w:rPr>
          <w:szCs w:val="22"/>
        </w:rPr>
        <w:tab/>
        <w:t>84×</w:t>
      </w:r>
    </w:p>
    <w:p w14:paraId="69008B17" w14:textId="77777777" w:rsidR="007963F8" w:rsidRDefault="008714EA">
      <w:pPr>
        <w:tabs>
          <w:tab w:val="right" w:pos="2835"/>
        </w:tabs>
        <w:rPr>
          <w:szCs w:val="22"/>
        </w:rPr>
      </w:pPr>
      <w:r>
        <w:rPr>
          <w:szCs w:val="22"/>
        </w:rPr>
        <w:t>OGYI-T-23099/09</w:t>
      </w:r>
      <w:r>
        <w:rPr>
          <w:szCs w:val="22"/>
        </w:rPr>
        <w:tab/>
        <w:t>90×</w:t>
      </w:r>
    </w:p>
    <w:p w14:paraId="54E4E08C" w14:textId="77777777" w:rsidR="007963F8" w:rsidRDefault="008714EA">
      <w:pPr>
        <w:tabs>
          <w:tab w:val="right" w:pos="2835"/>
        </w:tabs>
        <w:rPr>
          <w:szCs w:val="22"/>
        </w:rPr>
      </w:pPr>
      <w:r>
        <w:rPr>
          <w:szCs w:val="22"/>
        </w:rPr>
        <w:t>OGYI-T-23099/10</w:t>
      </w:r>
      <w:r>
        <w:rPr>
          <w:szCs w:val="22"/>
        </w:rPr>
        <w:tab/>
        <w:t>100×</w:t>
      </w:r>
    </w:p>
    <w:p w14:paraId="6B8749FA" w14:textId="77777777" w:rsidR="007963F8" w:rsidRDefault="007963F8">
      <w:pPr>
        <w:rPr>
          <w:szCs w:val="22"/>
          <w:lang w:eastAsia="en-US"/>
        </w:rPr>
      </w:pPr>
    </w:p>
    <w:p w14:paraId="402DE3F9" w14:textId="77777777" w:rsidR="007963F8" w:rsidRDefault="008714EA" w:rsidP="005924D0">
      <w:pPr>
        <w:keepNext/>
        <w:rPr>
          <w:b/>
          <w:szCs w:val="22"/>
        </w:rPr>
      </w:pPr>
      <w:r>
        <w:rPr>
          <w:b/>
          <w:szCs w:val="22"/>
        </w:rPr>
        <w:lastRenderedPageBreak/>
        <w:t>Ravalsyo 20 mg/80 mg filmtabletta</w:t>
      </w:r>
    </w:p>
    <w:p w14:paraId="3B8F8D84" w14:textId="77777777" w:rsidR="007963F8" w:rsidRDefault="008714EA" w:rsidP="005924D0">
      <w:pPr>
        <w:keepNext/>
        <w:tabs>
          <w:tab w:val="right" w:pos="2835"/>
        </w:tabs>
        <w:rPr>
          <w:szCs w:val="22"/>
        </w:rPr>
      </w:pPr>
      <w:r>
        <w:rPr>
          <w:szCs w:val="22"/>
        </w:rPr>
        <w:t>OGYI-T-23099/11</w:t>
      </w:r>
      <w:r>
        <w:rPr>
          <w:szCs w:val="22"/>
        </w:rPr>
        <w:tab/>
        <w:t>10×</w:t>
      </w:r>
    </w:p>
    <w:p w14:paraId="0D34D46D" w14:textId="77777777" w:rsidR="007963F8" w:rsidRDefault="008714EA">
      <w:pPr>
        <w:tabs>
          <w:tab w:val="right" w:pos="2835"/>
        </w:tabs>
        <w:rPr>
          <w:szCs w:val="22"/>
        </w:rPr>
      </w:pPr>
      <w:r>
        <w:rPr>
          <w:szCs w:val="22"/>
        </w:rPr>
        <w:t>OGYI-T-23099/12</w:t>
      </w:r>
      <w:r>
        <w:rPr>
          <w:szCs w:val="22"/>
        </w:rPr>
        <w:tab/>
        <w:t>14×</w:t>
      </w:r>
    </w:p>
    <w:p w14:paraId="3EC61A69" w14:textId="77777777" w:rsidR="007963F8" w:rsidRDefault="008714EA">
      <w:pPr>
        <w:tabs>
          <w:tab w:val="right" w:pos="2835"/>
        </w:tabs>
        <w:rPr>
          <w:szCs w:val="22"/>
        </w:rPr>
      </w:pPr>
      <w:r>
        <w:rPr>
          <w:szCs w:val="22"/>
        </w:rPr>
        <w:t>OGYI-T-23099/13</w:t>
      </w:r>
      <w:r>
        <w:rPr>
          <w:szCs w:val="22"/>
        </w:rPr>
        <w:tab/>
        <w:t>20×</w:t>
      </w:r>
    </w:p>
    <w:p w14:paraId="50F00C8E" w14:textId="77777777" w:rsidR="007963F8" w:rsidRDefault="008714EA">
      <w:pPr>
        <w:tabs>
          <w:tab w:val="right" w:pos="2835"/>
        </w:tabs>
        <w:rPr>
          <w:szCs w:val="22"/>
        </w:rPr>
      </w:pPr>
      <w:r>
        <w:rPr>
          <w:szCs w:val="22"/>
        </w:rPr>
        <w:t>OGYI-T-23099/14</w:t>
      </w:r>
      <w:r>
        <w:rPr>
          <w:szCs w:val="22"/>
        </w:rPr>
        <w:tab/>
        <w:t>28×</w:t>
      </w:r>
    </w:p>
    <w:p w14:paraId="241E7855" w14:textId="77777777" w:rsidR="007963F8" w:rsidRDefault="008714EA">
      <w:pPr>
        <w:tabs>
          <w:tab w:val="right" w:pos="2835"/>
        </w:tabs>
        <w:rPr>
          <w:szCs w:val="22"/>
        </w:rPr>
      </w:pPr>
      <w:r>
        <w:rPr>
          <w:szCs w:val="22"/>
        </w:rPr>
        <w:t>OGYI-T-23099/15</w:t>
      </w:r>
      <w:r>
        <w:rPr>
          <w:szCs w:val="22"/>
        </w:rPr>
        <w:tab/>
        <w:t>30×</w:t>
      </w:r>
    </w:p>
    <w:p w14:paraId="3FFB1910" w14:textId="77777777" w:rsidR="007963F8" w:rsidRDefault="008714EA">
      <w:pPr>
        <w:tabs>
          <w:tab w:val="right" w:pos="2835"/>
        </w:tabs>
        <w:rPr>
          <w:szCs w:val="22"/>
        </w:rPr>
      </w:pPr>
      <w:r>
        <w:rPr>
          <w:szCs w:val="22"/>
        </w:rPr>
        <w:t>OGYI-T-23099/16</w:t>
      </w:r>
      <w:r>
        <w:rPr>
          <w:szCs w:val="22"/>
        </w:rPr>
        <w:tab/>
        <w:t>56×</w:t>
      </w:r>
    </w:p>
    <w:p w14:paraId="1EFD5FE5" w14:textId="77777777" w:rsidR="007963F8" w:rsidRDefault="008714EA">
      <w:pPr>
        <w:tabs>
          <w:tab w:val="right" w:pos="2835"/>
        </w:tabs>
        <w:rPr>
          <w:szCs w:val="22"/>
        </w:rPr>
      </w:pPr>
      <w:r>
        <w:rPr>
          <w:szCs w:val="22"/>
        </w:rPr>
        <w:t>OGYI-T-23099/17</w:t>
      </w:r>
      <w:r>
        <w:rPr>
          <w:szCs w:val="22"/>
        </w:rPr>
        <w:tab/>
        <w:t>60×</w:t>
      </w:r>
    </w:p>
    <w:p w14:paraId="795488F0" w14:textId="77777777" w:rsidR="007963F8" w:rsidRDefault="008714EA">
      <w:pPr>
        <w:tabs>
          <w:tab w:val="right" w:pos="2835"/>
        </w:tabs>
        <w:rPr>
          <w:szCs w:val="22"/>
        </w:rPr>
      </w:pPr>
      <w:r>
        <w:rPr>
          <w:szCs w:val="22"/>
        </w:rPr>
        <w:t>OGYI-T-23099/18</w:t>
      </w:r>
      <w:r>
        <w:rPr>
          <w:szCs w:val="22"/>
        </w:rPr>
        <w:tab/>
        <w:t>84×</w:t>
      </w:r>
    </w:p>
    <w:p w14:paraId="3B165A98" w14:textId="77777777" w:rsidR="007963F8" w:rsidRDefault="008714EA">
      <w:pPr>
        <w:tabs>
          <w:tab w:val="right" w:pos="2835"/>
        </w:tabs>
        <w:rPr>
          <w:szCs w:val="22"/>
        </w:rPr>
      </w:pPr>
      <w:r>
        <w:rPr>
          <w:szCs w:val="22"/>
        </w:rPr>
        <w:t>OGYI-T-23099/19</w:t>
      </w:r>
      <w:r>
        <w:rPr>
          <w:szCs w:val="22"/>
        </w:rPr>
        <w:tab/>
        <w:t>90×</w:t>
      </w:r>
    </w:p>
    <w:p w14:paraId="639E595A" w14:textId="77777777" w:rsidR="007963F8" w:rsidRDefault="008714EA">
      <w:pPr>
        <w:tabs>
          <w:tab w:val="right" w:pos="2835"/>
        </w:tabs>
        <w:rPr>
          <w:szCs w:val="22"/>
        </w:rPr>
      </w:pPr>
      <w:r>
        <w:rPr>
          <w:szCs w:val="22"/>
        </w:rPr>
        <w:t>OGYI-T-23099/20</w:t>
      </w:r>
      <w:r>
        <w:rPr>
          <w:szCs w:val="22"/>
        </w:rPr>
        <w:tab/>
        <w:t>100×</w:t>
      </w:r>
    </w:p>
    <w:p w14:paraId="4CD6AD42" w14:textId="77777777" w:rsidR="007963F8" w:rsidRDefault="007963F8">
      <w:pPr>
        <w:rPr>
          <w:szCs w:val="22"/>
        </w:rPr>
      </w:pPr>
    </w:p>
    <w:p w14:paraId="62C19577" w14:textId="77777777" w:rsidR="007963F8" w:rsidRDefault="008714EA">
      <w:pPr>
        <w:keepNext/>
        <w:rPr>
          <w:b/>
          <w:szCs w:val="22"/>
        </w:rPr>
      </w:pPr>
      <w:r>
        <w:rPr>
          <w:b/>
          <w:szCs w:val="22"/>
        </w:rPr>
        <w:t>Ravalsyo 10 mg/160 mg filmtabletta</w:t>
      </w:r>
    </w:p>
    <w:p w14:paraId="378FE3ED" w14:textId="77777777" w:rsidR="007963F8" w:rsidRDefault="008714EA">
      <w:pPr>
        <w:tabs>
          <w:tab w:val="right" w:pos="2835"/>
        </w:tabs>
        <w:rPr>
          <w:szCs w:val="22"/>
        </w:rPr>
      </w:pPr>
      <w:r>
        <w:rPr>
          <w:szCs w:val="22"/>
        </w:rPr>
        <w:t>OGYI-T-23099/21</w:t>
      </w:r>
      <w:r>
        <w:rPr>
          <w:szCs w:val="22"/>
        </w:rPr>
        <w:tab/>
        <w:t>10×</w:t>
      </w:r>
    </w:p>
    <w:p w14:paraId="2627D1F1" w14:textId="77777777" w:rsidR="007963F8" w:rsidRDefault="008714EA">
      <w:pPr>
        <w:tabs>
          <w:tab w:val="right" w:pos="2835"/>
        </w:tabs>
        <w:rPr>
          <w:szCs w:val="22"/>
        </w:rPr>
      </w:pPr>
      <w:r>
        <w:rPr>
          <w:szCs w:val="22"/>
        </w:rPr>
        <w:t>OGYI-T-23099/22</w:t>
      </w:r>
      <w:r>
        <w:rPr>
          <w:szCs w:val="22"/>
        </w:rPr>
        <w:tab/>
        <w:t>14×</w:t>
      </w:r>
    </w:p>
    <w:p w14:paraId="60ADD208" w14:textId="77777777" w:rsidR="007963F8" w:rsidRDefault="008714EA">
      <w:pPr>
        <w:tabs>
          <w:tab w:val="right" w:pos="2835"/>
        </w:tabs>
        <w:rPr>
          <w:szCs w:val="22"/>
        </w:rPr>
      </w:pPr>
      <w:r>
        <w:rPr>
          <w:szCs w:val="22"/>
        </w:rPr>
        <w:t>OGYI-T-23099/23</w:t>
      </w:r>
      <w:r>
        <w:rPr>
          <w:szCs w:val="22"/>
        </w:rPr>
        <w:tab/>
        <w:t>20×</w:t>
      </w:r>
    </w:p>
    <w:p w14:paraId="075F61B0" w14:textId="77777777" w:rsidR="007963F8" w:rsidRDefault="008714EA">
      <w:pPr>
        <w:tabs>
          <w:tab w:val="right" w:pos="2835"/>
        </w:tabs>
        <w:rPr>
          <w:szCs w:val="22"/>
        </w:rPr>
      </w:pPr>
      <w:r>
        <w:rPr>
          <w:szCs w:val="22"/>
        </w:rPr>
        <w:t>OGYI-T-23099/24</w:t>
      </w:r>
      <w:r>
        <w:rPr>
          <w:szCs w:val="22"/>
        </w:rPr>
        <w:tab/>
        <w:t>28×</w:t>
      </w:r>
    </w:p>
    <w:p w14:paraId="71335C2D" w14:textId="77777777" w:rsidR="007963F8" w:rsidRDefault="008714EA">
      <w:pPr>
        <w:tabs>
          <w:tab w:val="right" w:pos="2835"/>
        </w:tabs>
        <w:rPr>
          <w:szCs w:val="22"/>
        </w:rPr>
      </w:pPr>
      <w:r>
        <w:rPr>
          <w:szCs w:val="22"/>
        </w:rPr>
        <w:t>OGYI-T-23099/25</w:t>
      </w:r>
      <w:r>
        <w:rPr>
          <w:szCs w:val="22"/>
        </w:rPr>
        <w:tab/>
        <w:t>30×</w:t>
      </w:r>
    </w:p>
    <w:p w14:paraId="5A640FE0" w14:textId="77777777" w:rsidR="007963F8" w:rsidRDefault="008714EA">
      <w:pPr>
        <w:tabs>
          <w:tab w:val="right" w:pos="2835"/>
        </w:tabs>
        <w:rPr>
          <w:szCs w:val="22"/>
        </w:rPr>
      </w:pPr>
      <w:r>
        <w:rPr>
          <w:szCs w:val="22"/>
        </w:rPr>
        <w:t>OGYI-T-23099/26</w:t>
      </w:r>
      <w:r>
        <w:rPr>
          <w:szCs w:val="22"/>
        </w:rPr>
        <w:tab/>
        <w:t>56×</w:t>
      </w:r>
    </w:p>
    <w:p w14:paraId="4BC1E302" w14:textId="77777777" w:rsidR="007963F8" w:rsidRDefault="008714EA">
      <w:pPr>
        <w:tabs>
          <w:tab w:val="right" w:pos="2835"/>
        </w:tabs>
        <w:rPr>
          <w:szCs w:val="22"/>
        </w:rPr>
      </w:pPr>
      <w:r>
        <w:rPr>
          <w:szCs w:val="22"/>
        </w:rPr>
        <w:t>OGYI-T-23099/27</w:t>
      </w:r>
      <w:r>
        <w:rPr>
          <w:szCs w:val="22"/>
        </w:rPr>
        <w:tab/>
        <w:t>60×</w:t>
      </w:r>
    </w:p>
    <w:p w14:paraId="682EAD60" w14:textId="77777777" w:rsidR="007963F8" w:rsidRDefault="008714EA">
      <w:pPr>
        <w:tabs>
          <w:tab w:val="right" w:pos="2835"/>
        </w:tabs>
        <w:rPr>
          <w:szCs w:val="22"/>
        </w:rPr>
      </w:pPr>
      <w:r>
        <w:rPr>
          <w:szCs w:val="22"/>
        </w:rPr>
        <w:t>OGYI-T-23099/28</w:t>
      </w:r>
      <w:r>
        <w:rPr>
          <w:szCs w:val="22"/>
        </w:rPr>
        <w:tab/>
        <w:t>84×</w:t>
      </w:r>
    </w:p>
    <w:p w14:paraId="61BE1A0F" w14:textId="77777777" w:rsidR="007963F8" w:rsidRDefault="008714EA">
      <w:pPr>
        <w:tabs>
          <w:tab w:val="right" w:pos="2835"/>
        </w:tabs>
        <w:rPr>
          <w:szCs w:val="22"/>
        </w:rPr>
      </w:pPr>
      <w:r>
        <w:rPr>
          <w:szCs w:val="22"/>
        </w:rPr>
        <w:t>OGYI-T-23099/29</w:t>
      </w:r>
      <w:r>
        <w:rPr>
          <w:szCs w:val="22"/>
        </w:rPr>
        <w:tab/>
        <w:t>90×</w:t>
      </w:r>
    </w:p>
    <w:p w14:paraId="54FA97A7" w14:textId="77777777" w:rsidR="007963F8" w:rsidRDefault="008714EA">
      <w:pPr>
        <w:tabs>
          <w:tab w:val="right" w:pos="2835"/>
        </w:tabs>
        <w:rPr>
          <w:szCs w:val="22"/>
        </w:rPr>
      </w:pPr>
      <w:r>
        <w:rPr>
          <w:szCs w:val="22"/>
        </w:rPr>
        <w:t>OGYI-T-23099/30</w:t>
      </w:r>
      <w:r>
        <w:rPr>
          <w:szCs w:val="22"/>
        </w:rPr>
        <w:tab/>
        <w:t>100×</w:t>
      </w:r>
    </w:p>
    <w:p w14:paraId="2C98B238" w14:textId="77777777" w:rsidR="007963F8" w:rsidRDefault="007963F8">
      <w:pPr>
        <w:rPr>
          <w:szCs w:val="22"/>
        </w:rPr>
      </w:pPr>
    </w:p>
    <w:p w14:paraId="78F9CBEF" w14:textId="77777777" w:rsidR="007963F8" w:rsidRDefault="008714EA">
      <w:pPr>
        <w:keepNext/>
        <w:rPr>
          <w:b/>
          <w:szCs w:val="22"/>
        </w:rPr>
      </w:pPr>
      <w:r>
        <w:rPr>
          <w:b/>
          <w:szCs w:val="22"/>
        </w:rPr>
        <w:t>Ravalsyo 20 mg/160 mg filmtabletta </w:t>
      </w:r>
    </w:p>
    <w:p w14:paraId="22117581" w14:textId="77777777" w:rsidR="007963F8" w:rsidRDefault="008714EA">
      <w:pPr>
        <w:tabs>
          <w:tab w:val="right" w:pos="2835"/>
        </w:tabs>
        <w:rPr>
          <w:szCs w:val="22"/>
        </w:rPr>
      </w:pPr>
      <w:r>
        <w:rPr>
          <w:szCs w:val="22"/>
        </w:rPr>
        <w:t>OGYI-T-23099/31</w:t>
      </w:r>
      <w:r>
        <w:rPr>
          <w:szCs w:val="22"/>
        </w:rPr>
        <w:tab/>
        <w:t>10×</w:t>
      </w:r>
    </w:p>
    <w:p w14:paraId="12D59C13" w14:textId="77777777" w:rsidR="007963F8" w:rsidRDefault="008714EA">
      <w:pPr>
        <w:tabs>
          <w:tab w:val="right" w:pos="2835"/>
        </w:tabs>
        <w:rPr>
          <w:szCs w:val="22"/>
        </w:rPr>
      </w:pPr>
      <w:r>
        <w:rPr>
          <w:szCs w:val="22"/>
        </w:rPr>
        <w:t>OGYI-T-23099/32</w:t>
      </w:r>
      <w:r>
        <w:rPr>
          <w:szCs w:val="22"/>
        </w:rPr>
        <w:tab/>
        <w:t>14×</w:t>
      </w:r>
    </w:p>
    <w:p w14:paraId="27D13FF3" w14:textId="77777777" w:rsidR="007963F8" w:rsidRDefault="008714EA">
      <w:pPr>
        <w:tabs>
          <w:tab w:val="right" w:pos="2835"/>
        </w:tabs>
        <w:rPr>
          <w:szCs w:val="22"/>
        </w:rPr>
      </w:pPr>
      <w:r>
        <w:rPr>
          <w:szCs w:val="22"/>
        </w:rPr>
        <w:t>OGYI-T-23099/33</w:t>
      </w:r>
      <w:r>
        <w:rPr>
          <w:szCs w:val="22"/>
        </w:rPr>
        <w:tab/>
        <w:t>20×</w:t>
      </w:r>
    </w:p>
    <w:p w14:paraId="218F05DA" w14:textId="77777777" w:rsidR="007963F8" w:rsidRDefault="008714EA">
      <w:pPr>
        <w:tabs>
          <w:tab w:val="right" w:pos="2835"/>
        </w:tabs>
        <w:rPr>
          <w:szCs w:val="22"/>
        </w:rPr>
      </w:pPr>
      <w:r>
        <w:rPr>
          <w:szCs w:val="22"/>
        </w:rPr>
        <w:t>OGYI-T-23099/34</w:t>
      </w:r>
      <w:r>
        <w:rPr>
          <w:szCs w:val="22"/>
        </w:rPr>
        <w:tab/>
        <w:t>28×</w:t>
      </w:r>
    </w:p>
    <w:p w14:paraId="06E034FF" w14:textId="77777777" w:rsidR="007963F8" w:rsidRDefault="008714EA">
      <w:pPr>
        <w:tabs>
          <w:tab w:val="right" w:pos="2835"/>
        </w:tabs>
        <w:rPr>
          <w:szCs w:val="22"/>
        </w:rPr>
      </w:pPr>
      <w:r>
        <w:rPr>
          <w:szCs w:val="22"/>
        </w:rPr>
        <w:t>OGYI-T-23099/35</w:t>
      </w:r>
      <w:r>
        <w:rPr>
          <w:szCs w:val="22"/>
        </w:rPr>
        <w:tab/>
        <w:t>30×</w:t>
      </w:r>
    </w:p>
    <w:p w14:paraId="625DC1F9" w14:textId="77777777" w:rsidR="007963F8" w:rsidRDefault="008714EA">
      <w:pPr>
        <w:tabs>
          <w:tab w:val="right" w:pos="2835"/>
        </w:tabs>
        <w:rPr>
          <w:szCs w:val="22"/>
        </w:rPr>
      </w:pPr>
      <w:r>
        <w:rPr>
          <w:szCs w:val="22"/>
        </w:rPr>
        <w:t>OGYI-T-23099/36</w:t>
      </w:r>
      <w:r>
        <w:rPr>
          <w:szCs w:val="22"/>
        </w:rPr>
        <w:tab/>
        <w:t>56×</w:t>
      </w:r>
    </w:p>
    <w:p w14:paraId="41E75528" w14:textId="77777777" w:rsidR="007963F8" w:rsidRDefault="008714EA">
      <w:pPr>
        <w:tabs>
          <w:tab w:val="right" w:pos="2835"/>
        </w:tabs>
        <w:rPr>
          <w:szCs w:val="22"/>
        </w:rPr>
      </w:pPr>
      <w:r>
        <w:rPr>
          <w:szCs w:val="22"/>
        </w:rPr>
        <w:t>OGYI-T-23099/37</w:t>
      </w:r>
      <w:r>
        <w:rPr>
          <w:szCs w:val="22"/>
        </w:rPr>
        <w:tab/>
        <w:t>60×</w:t>
      </w:r>
    </w:p>
    <w:p w14:paraId="62BAC85B" w14:textId="77777777" w:rsidR="007963F8" w:rsidRDefault="008714EA">
      <w:pPr>
        <w:tabs>
          <w:tab w:val="right" w:pos="2835"/>
        </w:tabs>
        <w:rPr>
          <w:szCs w:val="22"/>
        </w:rPr>
      </w:pPr>
      <w:r>
        <w:rPr>
          <w:szCs w:val="22"/>
        </w:rPr>
        <w:t>OGYI-T-23099/38</w:t>
      </w:r>
      <w:r>
        <w:rPr>
          <w:szCs w:val="22"/>
        </w:rPr>
        <w:tab/>
        <w:t>84×</w:t>
      </w:r>
    </w:p>
    <w:p w14:paraId="32A52952" w14:textId="77777777" w:rsidR="007963F8" w:rsidRDefault="008714EA">
      <w:pPr>
        <w:tabs>
          <w:tab w:val="right" w:pos="2835"/>
        </w:tabs>
        <w:rPr>
          <w:szCs w:val="22"/>
        </w:rPr>
      </w:pPr>
      <w:r>
        <w:rPr>
          <w:szCs w:val="22"/>
        </w:rPr>
        <w:t>OGYI-T-23099/39</w:t>
      </w:r>
      <w:r>
        <w:rPr>
          <w:szCs w:val="22"/>
        </w:rPr>
        <w:tab/>
        <w:t>90×</w:t>
      </w:r>
    </w:p>
    <w:p w14:paraId="052EF59A" w14:textId="77777777" w:rsidR="007963F8" w:rsidRDefault="008714EA">
      <w:pPr>
        <w:tabs>
          <w:tab w:val="right" w:pos="2835"/>
        </w:tabs>
        <w:rPr>
          <w:szCs w:val="22"/>
        </w:rPr>
      </w:pPr>
      <w:r>
        <w:rPr>
          <w:szCs w:val="22"/>
        </w:rPr>
        <w:t>OGYI-T-23099/40</w:t>
      </w:r>
      <w:r>
        <w:rPr>
          <w:szCs w:val="22"/>
        </w:rPr>
        <w:tab/>
        <w:t>100×</w:t>
      </w:r>
    </w:p>
    <w:p w14:paraId="7590BB02" w14:textId="77777777" w:rsidR="007963F8" w:rsidRDefault="007963F8">
      <w:pPr>
        <w:tabs>
          <w:tab w:val="right" w:pos="2835"/>
        </w:tabs>
        <w:ind w:left="567" w:hanging="567"/>
        <w:outlineLvl w:val="0"/>
        <w:rPr>
          <w:b/>
          <w:bCs/>
          <w:szCs w:val="22"/>
          <w:lang w:val="hu-HU"/>
        </w:rPr>
      </w:pPr>
    </w:p>
    <w:p w14:paraId="4C63200E" w14:textId="77777777" w:rsidR="007963F8" w:rsidRDefault="007963F8">
      <w:pPr>
        <w:ind w:left="567" w:hanging="567"/>
        <w:outlineLvl w:val="0"/>
        <w:rPr>
          <w:b/>
          <w:bCs/>
          <w:szCs w:val="22"/>
          <w:lang w:val="hu-HU"/>
        </w:rPr>
      </w:pPr>
    </w:p>
    <w:p w14:paraId="11D19B52" w14:textId="77777777" w:rsidR="007963F8" w:rsidRDefault="008714EA">
      <w:pPr>
        <w:ind w:left="567" w:hanging="567"/>
        <w:outlineLvl w:val="0"/>
        <w:rPr>
          <w:b/>
          <w:bCs/>
          <w:szCs w:val="22"/>
          <w:lang w:val="hu-HU"/>
        </w:rPr>
      </w:pPr>
      <w:r>
        <w:rPr>
          <w:b/>
          <w:bCs/>
          <w:szCs w:val="22"/>
          <w:lang w:val="hu-HU"/>
        </w:rPr>
        <w:t>9.</w:t>
      </w:r>
      <w:r>
        <w:rPr>
          <w:b/>
          <w:bCs/>
          <w:szCs w:val="22"/>
          <w:lang w:val="hu-HU"/>
        </w:rPr>
        <w:tab/>
        <w:t>A FORGALOMBA HOZATALI ENGEDÉLY ELSŐ KIADÁSÁNAK / MEGÚJÍTÁSÁNAK DÁTUMA</w:t>
      </w:r>
    </w:p>
    <w:p w14:paraId="31405149" w14:textId="77777777" w:rsidR="007963F8" w:rsidRDefault="007963F8">
      <w:pPr>
        <w:widowControl w:val="0"/>
        <w:rPr>
          <w:szCs w:val="22"/>
          <w:lang w:val="hu-HU" w:eastAsia="en-US"/>
        </w:rPr>
      </w:pPr>
    </w:p>
    <w:p w14:paraId="0B7B35B7" w14:textId="77777777" w:rsidR="007963F8" w:rsidRDefault="008714EA">
      <w:pPr>
        <w:rPr>
          <w:szCs w:val="22"/>
        </w:rPr>
      </w:pPr>
      <w:r>
        <w:rPr>
          <w:szCs w:val="22"/>
        </w:rPr>
        <w:t>A forgalomba hozatali engedély első kiadásának dátuma: 2016. október 12.</w:t>
      </w:r>
    </w:p>
    <w:p w14:paraId="10C858F1" w14:textId="77777777" w:rsidR="007963F8" w:rsidRDefault="007963F8">
      <w:pPr>
        <w:rPr>
          <w:szCs w:val="22"/>
        </w:rPr>
      </w:pPr>
    </w:p>
    <w:p w14:paraId="7108D683" w14:textId="77777777" w:rsidR="007963F8" w:rsidRDefault="008714EA">
      <w:pPr>
        <w:rPr>
          <w:szCs w:val="22"/>
        </w:rPr>
      </w:pPr>
      <w:r>
        <w:rPr>
          <w:szCs w:val="22"/>
        </w:rPr>
        <w:t>A forgalomba hozatali engedély legutóbbi megújításának dátuma: 2021. december 22.</w:t>
      </w:r>
    </w:p>
    <w:p w14:paraId="7B1A4BEF" w14:textId="77777777" w:rsidR="007963F8" w:rsidRDefault="007963F8">
      <w:pPr>
        <w:widowControl w:val="0"/>
        <w:rPr>
          <w:szCs w:val="22"/>
          <w:lang w:val="hu-HU" w:eastAsia="en-US"/>
        </w:rPr>
      </w:pPr>
    </w:p>
    <w:p w14:paraId="3AE002D7" w14:textId="77777777" w:rsidR="007963F8" w:rsidRDefault="008714EA">
      <w:pPr>
        <w:ind w:left="567" w:hanging="567"/>
        <w:outlineLvl w:val="0"/>
        <w:rPr>
          <w:b/>
          <w:bCs/>
          <w:szCs w:val="22"/>
          <w:lang w:val="hu-HU"/>
        </w:rPr>
      </w:pPr>
      <w:r>
        <w:rPr>
          <w:b/>
          <w:bCs/>
          <w:szCs w:val="22"/>
          <w:lang w:val="hu-HU"/>
        </w:rPr>
        <w:t>10.</w:t>
      </w:r>
      <w:r>
        <w:rPr>
          <w:b/>
          <w:bCs/>
          <w:szCs w:val="22"/>
          <w:lang w:val="hu-HU"/>
        </w:rPr>
        <w:tab/>
        <w:t>A SZÖVEG ELLENŐRZÉSÉNEK DÁTUMA</w:t>
      </w:r>
    </w:p>
    <w:p w14:paraId="3ED9C50D" w14:textId="77777777" w:rsidR="007963F8" w:rsidRDefault="007963F8">
      <w:pPr>
        <w:widowControl w:val="0"/>
        <w:rPr>
          <w:szCs w:val="22"/>
          <w:lang w:val="hu-HU" w:eastAsia="en-US"/>
        </w:rPr>
      </w:pPr>
    </w:p>
    <w:p w14:paraId="4369607C" w14:textId="2977563A" w:rsidR="007963F8" w:rsidRDefault="005924D0">
      <w:pPr>
        <w:widowControl w:val="0"/>
        <w:tabs>
          <w:tab w:val="left" w:pos="567"/>
        </w:tabs>
        <w:rPr>
          <w:iCs/>
          <w:szCs w:val="22"/>
          <w:lang w:val="hu-HU" w:eastAsia="en-US"/>
        </w:rPr>
      </w:pPr>
      <w:r>
        <w:rPr>
          <w:szCs w:val="22"/>
        </w:rPr>
        <w:t>2026. január 14.</w:t>
      </w:r>
      <w:bookmarkStart w:id="1" w:name="_GoBack"/>
      <w:bookmarkEnd w:id="1"/>
    </w:p>
    <w:sectPr w:rsidR="007963F8">
      <w:headerReference w:type="default" r:id="rId9"/>
      <w:footerReference w:type="even" r:id="rId10"/>
      <w:footerReference w:type="first" r:id="rId11"/>
      <w:type w:val="continuous"/>
      <w:pgSz w:w="11907" w:h="16840" w:code="9"/>
      <w:pgMar w:top="1134" w:right="1418" w:bottom="1134" w:left="1418" w:header="737" w:footer="73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1DB38" w14:textId="77777777" w:rsidR="008714EA" w:rsidRDefault="008714EA">
      <w:r>
        <w:separator/>
      </w:r>
    </w:p>
  </w:endnote>
  <w:endnote w:type="continuationSeparator" w:id="0">
    <w:p w14:paraId="6E17F578" w14:textId="77777777" w:rsidR="008714EA" w:rsidRDefault="00871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charset w:val="02"/>
    <w:family w:val="auto"/>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dvTimes">
    <w:panose1 w:val="00000000000000000000"/>
    <w:charset w:val="EE"/>
    <w:family w:val="auto"/>
    <w:notTrueType/>
    <w:pitch w:val="default"/>
    <w:sig w:usb0="00000005" w:usb1="00000000" w:usb2="00000000" w:usb3="00000000" w:csb0="00000002" w:csb1="00000000"/>
  </w:font>
  <w:font w:name="HG Mincho Light J">
    <w:altName w:val="Times New Roman"/>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625F4" w14:textId="77777777" w:rsidR="008714EA" w:rsidRDefault="008714E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7D5AAEBE" w14:textId="77777777" w:rsidR="008714EA" w:rsidRDefault="008714EA">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BDD83" w14:textId="77777777" w:rsidR="005924D0" w:rsidRPr="005924D0" w:rsidRDefault="005924D0" w:rsidP="005924D0">
    <w:pPr>
      <w:pStyle w:val="llb"/>
      <w:rPr>
        <w:sz w:val="18"/>
        <w:szCs w:val="18"/>
      </w:rPr>
    </w:pPr>
    <w:r w:rsidRPr="005924D0">
      <w:rPr>
        <w:sz w:val="18"/>
        <w:szCs w:val="18"/>
      </w:rPr>
      <w:t>NNGYK/GYSZ/66980/2024</w:t>
    </w:r>
  </w:p>
  <w:p w14:paraId="280DCA5A" w14:textId="77777777" w:rsidR="005924D0" w:rsidRPr="005924D0" w:rsidRDefault="005924D0" w:rsidP="005924D0">
    <w:pPr>
      <w:pStyle w:val="llb"/>
      <w:rPr>
        <w:sz w:val="18"/>
        <w:szCs w:val="18"/>
      </w:rPr>
    </w:pPr>
    <w:r w:rsidRPr="005924D0">
      <w:rPr>
        <w:sz w:val="18"/>
        <w:szCs w:val="18"/>
      </w:rPr>
      <w:t>NNGYK/GYSZ/66982/2024</w:t>
    </w:r>
  </w:p>
  <w:p w14:paraId="3418976B" w14:textId="77777777" w:rsidR="005924D0" w:rsidRPr="005924D0" w:rsidRDefault="005924D0" w:rsidP="005924D0">
    <w:pPr>
      <w:pStyle w:val="llb"/>
      <w:rPr>
        <w:sz w:val="18"/>
        <w:szCs w:val="18"/>
      </w:rPr>
    </w:pPr>
    <w:r w:rsidRPr="005924D0">
      <w:rPr>
        <w:sz w:val="18"/>
        <w:szCs w:val="18"/>
      </w:rPr>
      <w:t>NNGYK/GYSZ/66984/2024</w:t>
    </w:r>
  </w:p>
  <w:p w14:paraId="3913C2EF" w14:textId="353F39F2" w:rsidR="008714EA" w:rsidRPr="008714EA" w:rsidRDefault="005924D0">
    <w:pPr>
      <w:pStyle w:val="llb"/>
      <w:rPr>
        <w:sz w:val="18"/>
        <w:szCs w:val="18"/>
        <w:lang w:val="hu-HU"/>
      </w:rPr>
    </w:pPr>
    <w:r w:rsidRPr="005924D0">
      <w:rPr>
        <w:sz w:val="18"/>
        <w:szCs w:val="18"/>
      </w:rPr>
      <w:t>NNGYK/GYSZ/66985/2024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C74AB" w14:textId="77777777" w:rsidR="008714EA" w:rsidRDefault="008714EA">
      <w:r>
        <w:separator/>
      </w:r>
    </w:p>
  </w:footnote>
  <w:footnote w:type="continuationSeparator" w:id="0">
    <w:p w14:paraId="0A7F70BB" w14:textId="77777777" w:rsidR="008714EA" w:rsidRDefault="00871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TableTag1"/>
  <w:bookmarkEnd w:id="2"/>
  <w:p w14:paraId="7811AA71" w14:textId="1903A790" w:rsidR="008714EA" w:rsidRDefault="008714EA">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D7BF2" w:rsidRPr="004D7BF2">
      <w:rPr>
        <w:noProof/>
        <w:sz w:val="18"/>
        <w:szCs w:val="18"/>
        <w:lang w:val="hu-HU"/>
      </w:rPr>
      <w:t>25</w:t>
    </w:r>
    <w:r>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00000002"/>
    <w:multiLevelType w:val="multilevel"/>
    <w:tmpl w:val="00000002"/>
    <w:name w:val="WW8Num2"/>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6"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7" w15:restartNumberingAfterBreak="0">
    <w:nsid w:val="126C6339"/>
    <w:multiLevelType w:val="multilevel"/>
    <w:tmpl w:val="0000000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2374441B"/>
    <w:multiLevelType w:val="hybridMultilevel"/>
    <w:tmpl w:val="226C092E"/>
    <w:lvl w:ilvl="0" w:tplc="0608BF5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A726463"/>
    <w:multiLevelType w:val="multilevel"/>
    <w:tmpl w:val="0000000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3F3801EB"/>
    <w:multiLevelType w:val="hybridMultilevel"/>
    <w:tmpl w:val="623AB176"/>
    <w:lvl w:ilvl="0" w:tplc="931073AE">
      <w:start w:val="1"/>
      <w:numFmt w:val="bullet"/>
      <w:lvlText w:val="-"/>
      <w:lvlJc w:val="left"/>
      <w:pPr>
        <w:tabs>
          <w:tab w:val="num" w:pos="357"/>
        </w:tabs>
        <w:ind w:left="357" w:hanging="357"/>
      </w:pPr>
      <w:rPr>
        <w:rFonts w:ascii="Times New Roman" w:hAnsi="Times New Roman" w:cs="Times New Roman" w:hint="default"/>
      </w:rPr>
    </w:lvl>
    <w:lvl w:ilvl="1" w:tplc="893EA568">
      <w:start w:val="1"/>
      <w:numFmt w:val="bullet"/>
      <w:lvlText w:val=""/>
      <w:lvlJc w:val="left"/>
      <w:pPr>
        <w:tabs>
          <w:tab w:val="num" w:pos="1193"/>
        </w:tabs>
        <w:ind w:left="1193" w:hanging="11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E14DCA"/>
    <w:multiLevelType w:val="hybridMultilevel"/>
    <w:tmpl w:val="27CC33D2"/>
    <w:lvl w:ilvl="0" w:tplc="D450914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0B45F4A"/>
    <w:multiLevelType w:val="hybridMultilevel"/>
    <w:tmpl w:val="D758ECE6"/>
    <w:lvl w:ilvl="0" w:tplc="330A4FBC">
      <w:start w:val="1"/>
      <w:numFmt w:val="bullet"/>
      <w:lvlText w:val="-"/>
      <w:lvlJc w:val="left"/>
      <w:pPr>
        <w:tabs>
          <w:tab w:val="num" w:pos="1440"/>
        </w:tabs>
        <w:ind w:left="144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56B515E3"/>
    <w:multiLevelType w:val="hybridMultilevel"/>
    <w:tmpl w:val="C494FE62"/>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58364B69"/>
    <w:multiLevelType w:val="hybridMultilevel"/>
    <w:tmpl w:val="7220AEF4"/>
    <w:lvl w:ilvl="0" w:tplc="330A4FBC">
      <w:start w:val="1"/>
      <w:numFmt w:val="bullet"/>
      <w:lvlText w:val="-"/>
      <w:lvlJc w:val="left"/>
      <w:pPr>
        <w:tabs>
          <w:tab w:val="num" w:pos="1800"/>
        </w:tabs>
        <w:ind w:left="1800" w:hanging="360"/>
      </w:pPr>
      <w:rPr>
        <w:rFonts w:ascii="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5" w15:restartNumberingAfterBreak="0">
    <w:nsid w:val="5EE9658B"/>
    <w:multiLevelType w:val="hybridMultilevel"/>
    <w:tmpl w:val="8CCAB8F0"/>
    <w:lvl w:ilvl="0" w:tplc="8FB22532">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C990990"/>
    <w:multiLevelType w:val="hybridMultilevel"/>
    <w:tmpl w:val="31E22874"/>
    <w:lvl w:ilvl="0" w:tplc="AAB6A956">
      <w:start w:val="1"/>
      <w:numFmt w:val="bullet"/>
      <w:lvlText w:val=""/>
      <w:lvlJc w:val="left"/>
      <w:pPr>
        <w:tabs>
          <w:tab w:val="num" w:pos="360"/>
        </w:tabs>
        <w:ind w:left="357" w:hanging="357"/>
      </w:pPr>
      <w:rPr>
        <w:rFonts w:ascii="Symbol" w:hAnsi="Symbol" w:cs="Times New Roman" w:hint="default"/>
      </w:r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0235098"/>
    <w:multiLevelType w:val="hybridMultilevel"/>
    <w:tmpl w:val="5A528F3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76F03192"/>
    <w:multiLevelType w:val="hybridMultilevel"/>
    <w:tmpl w:val="EAD4514A"/>
    <w:lvl w:ilvl="0" w:tplc="330A4FBC">
      <w:start w:val="1"/>
      <w:numFmt w:val="bullet"/>
      <w:lvlText w:val="-"/>
      <w:lvlJc w:val="left"/>
      <w:pPr>
        <w:tabs>
          <w:tab w:val="num" w:pos="1440"/>
        </w:tabs>
        <w:ind w:left="144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7ACB004F"/>
    <w:multiLevelType w:val="hybridMultilevel"/>
    <w:tmpl w:val="0DCE1842"/>
    <w:lvl w:ilvl="0" w:tplc="00000002">
      <w:start w:val="10"/>
      <w:numFmt w:val="bullet"/>
      <w:lvlText w:val="-"/>
      <w:lvlJc w:val="left"/>
      <w:pPr>
        <w:tabs>
          <w:tab w:val="num" w:pos="720"/>
        </w:tabs>
      </w:pPr>
      <w:rPr>
        <w:rFonts w:ascii="Times New Roman" w:hAnsi="Times New Roman"/>
        <w:b/>
        <w:i w:val="0"/>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287540"/>
    <w:multiLevelType w:val="multilevel"/>
    <w:tmpl w:val="B1BABC2C"/>
    <w:lvl w:ilvl="0">
      <w:start w:val="1"/>
      <w:numFmt w:val="bullet"/>
      <w:lvlText w:val="-"/>
      <w:lvlJc w:val="left"/>
      <w:pPr>
        <w:tabs>
          <w:tab w:val="num" w:pos="283"/>
        </w:tabs>
        <w:ind w:left="283" w:hanging="283"/>
      </w:pPr>
      <w:rPr>
        <w:rFonts w:ascii="Times New Roman" w:eastAsia="Times New Roman" w:hAnsi="Times New Roman" w:cs="Times New Roman" w:hint="default"/>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num w:numId="1">
    <w:abstractNumId w:val="13"/>
  </w:num>
  <w:num w:numId="2">
    <w:abstractNumId w:val="14"/>
  </w:num>
  <w:num w:numId="3">
    <w:abstractNumId w:val="12"/>
  </w:num>
  <w:num w:numId="4">
    <w:abstractNumId w:val="18"/>
  </w:num>
  <w:num w:numId="5">
    <w:abstractNumId w:val="15"/>
  </w:num>
  <w:num w:numId="6">
    <w:abstractNumId w:val="0"/>
  </w:num>
  <w:num w:numId="7">
    <w:abstractNumId w:val="6"/>
  </w:num>
  <w:num w:numId="8">
    <w:abstractNumId w:val="19"/>
  </w:num>
  <w:num w:numId="9">
    <w:abstractNumId w:val="8"/>
  </w:num>
  <w:num w:numId="10">
    <w:abstractNumId w:val="17"/>
  </w:num>
  <w:num w:numId="11">
    <w:abstractNumId w:val="3"/>
  </w:num>
  <w:num w:numId="12">
    <w:abstractNumId w:val="4"/>
  </w:num>
  <w:num w:numId="13">
    <w:abstractNumId w:val="2"/>
  </w:num>
  <w:num w:numId="14">
    <w:abstractNumId w:val="7"/>
  </w:num>
  <w:num w:numId="15">
    <w:abstractNumId w:val="9"/>
  </w:num>
  <w:num w:numId="16">
    <w:abstractNumId w:val="10"/>
  </w:num>
  <w:num w:numId="17">
    <w:abstractNumId w:val="16"/>
  </w:num>
  <w:num w:numId="18">
    <w:abstractNumId w:val="20"/>
  </w:num>
  <w:num w:numId="1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3F8"/>
    <w:rsid w:val="001907F4"/>
    <w:rsid w:val="00240901"/>
    <w:rsid w:val="004D7BF2"/>
    <w:rsid w:val="00511CD1"/>
    <w:rsid w:val="005924D0"/>
    <w:rsid w:val="00671CB3"/>
    <w:rsid w:val="0067550A"/>
    <w:rsid w:val="006C2669"/>
    <w:rsid w:val="006D3BAA"/>
    <w:rsid w:val="00764E95"/>
    <w:rsid w:val="00775E6F"/>
    <w:rsid w:val="00785904"/>
    <w:rsid w:val="007963F8"/>
    <w:rsid w:val="008714EA"/>
    <w:rsid w:val="00880171"/>
    <w:rsid w:val="00903A48"/>
    <w:rsid w:val="00C54B9C"/>
    <w:rsid w:val="00CF6623"/>
    <w:rsid w:val="00D055E2"/>
    <w:rsid w:val="00F9751E"/>
    <w:rsid w:val="00FC1ED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6ED15CD6"/>
  <w15:chartTrackingRefBased/>
  <w15:docId w15:val="{5C2E2C5A-0137-46DA-B19E-905621B7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2"/>
      <w:lang w:val="sl-SI" w:eastAsia="sl-SI"/>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rPr>
      <w:sz w:val="24"/>
      <w:lang w:val="x-none" w:eastAsia="x-none"/>
    </w:rPr>
  </w:style>
  <w:style w:type="paragraph" w:styleId="llb">
    <w:name w:val="footer"/>
    <w:basedOn w:val="Norml"/>
    <w:pPr>
      <w:tabs>
        <w:tab w:val="center" w:pos="4320"/>
        <w:tab w:val="right" w:pos="8640"/>
      </w:tabs>
    </w:p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pPr>
      <w:numPr>
        <w:ilvl w:val="12"/>
      </w:numPr>
      <w:tabs>
        <w:tab w:val="left" w:pos="8505"/>
      </w:tabs>
      <w:ind w:right="-2"/>
    </w:p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4"/>
      <w:szCs w:val="24"/>
      <w:lang w:val="sl-SI" w:eastAsia="sl-SI"/>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paragraph" w:customStyle="1" w:styleId="TitleB">
    <w:name w:val="Title B"/>
    <w:basedOn w:val="Norml"/>
    <w:qFormat/>
    <w:pPr>
      <w:widowControl w:val="0"/>
      <w:tabs>
        <w:tab w:val="left" w:pos="567"/>
      </w:tabs>
      <w:ind w:left="567" w:hanging="567"/>
    </w:pPr>
    <w:rPr>
      <w:b/>
      <w:bCs/>
      <w:noProof/>
      <w:szCs w:val="22"/>
      <w:lang w:val="en-US" w:eastAsia="en-US"/>
    </w:rPr>
  </w:style>
  <w:style w:type="paragraph" w:customStyle="1" w:styleId="TitleA">
    <w:name w:val="Title A"/>
    <w:basedOn w:val="Norml"/>
    <w:qFormat/>
    <w:pPr>
      <w:widowControl w:val="0"/>
      <w:jc w:val="center"/>
      <w:outlineLvl w:val="0"/>
    </w:pPr>
    <w:rPr>
      <w:b/>
      <w:noProof/>
      <w:szCs w:val="22"/>
      <w:lang w:val="en-GB" w:eastAsia="en-US"/>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sz w:val="16"/>
      <w:szCs w:val="16"/>
      <w:lang w:val="x-none" w:eastAsia="x-none"/>
    </w:rPr>
  </w:style>
  <w:style w:type="character" w:customStyle="1" w:styleId="BuborkszvegChar">
    <w:name w:val="Buborékszöveg Char"/>
    <w:link w:val="Buborkszveg"/>
    <w:rPr>
      <w:rFonts w:ascii="Tahoma" w:hAnsi="Tahoma" w:cs="Tahoma"/>
      <w:sz w:val="16"/>
      <w:szCs w:val="16"/>
    </w:rPr>
  </w:style>
  <w:style w:type="paragraph" w:styleId="Szvegtrzsbehzssal">
    <w:name w:val="Body Text Indent"/>
    <w:basedOn w:val="Norml"/>
    <w:link w:val="SzvegtrzsbehzssalChar"/>
    <w:pPr>
      <w:spacing w:after="120"/>
      <w:ind w:left="283"/>
    </w:pPr>
    <w:rPr>
      <w:sz w:val="24"/>
      <w:lang w:val="x-none" w:eastAsia="x-none"/>
    </w:rPr>
  </w:style>
  <w:style w:type="character" w:customStyle="1" w:styleId="SzvegtrzsbehzssalChar">
    <w:name w:val="Szövegtörzs behúzással Char"/>
    <w:link w:val="Szvegtrzsbehzssal"/>
    <w:rPr>
      <w:sz w:val="24"/>
    </w:rPr>
  </w:style>
  <w:style w:type="paragraph" w:styleId="Szvegtrzs3">
    <w:name w:val="Body Text 3"/>
    <w:basedOn w:val="Norml"/>
    <w:link w:val="Szvegtrzs3Char"/>
    <w:pPr>
      <w:spacing w:after="120"/>
    </w:pPr>
    <w:rPr>
      <w:sz w:val="16"/>
      <w:szCs w:val="16"/>
      <w:lang w:val="x-none" w:eastAsia="x-none"/>
    </w:rPr>
  </w:style>
  <w:style w:type="character" w:customStyle="1" w:styleId="Szvegtrzs3Char">
    <w:name w:val="Szövegtörzs 3 Char"/>
    <w:link w:val="Szvegtrzs3"/>
    <w:rPr>
      <w:sz w:val="16"/>
      <w:szCs w:val="16"/>
    </w:rPr>
  </w:style>
  <w:style w:type="paragraph" w:customStyle="1" w:styleId="ndringar">
    <w:name w:val="ändringar"/>
    <w:basedOn w:val="Norml"/>
    <w:pPr>
      <w:overflowPunct w:val="0"/>
      <w:autoSpaceDE w:val="0"/>
      <w:autoSpaceDN w:val="0"/>
      <w:adjustRightInd w:val="0"/>
      <w:textAlignment w:val="baseline"/>
    </w:pPr>
    <w:rPr>
      <w:rFonts w:ascii="Arial" w:hAnsi="Arial" w:cs="Arial"/>
      <w:color w:val="FF0000"/>
      <w:szCs w:val="24"/>
      <w:lang w:val="en-GB" w:eastAsia="en-US"/>
    </w:rPr>
  </w:style>
  <w:style w:type="paragraph" w:customStyle="1" w:styleId="A-TableText">
    <w:name w:val="A-Table Text"/>
    <w:pPr>
      <w:spacing w:before="60" w:after="60"/>
    </w:pPr>
    <w:rPr>
      <w:sz w:val="22"/>
      <w:szCs w:val="22"/>
      <w:lang w:val="en-GB" w:eastAsia="en-US"/>
    </w:rPr>
  </w:style>
  <w:style w:type="paragraph" w:customStyle="1" w:styleId="A-TableTitle">
    <w:name w:val="A-Table Title"/>
    <w:next w:val="Norml"/>
    <w:pPr>
      <w:keepNext/>
      <w:tabs>
        <w:tab w:val="left" w:pos="1800"/>
      </w:tabs>
      <w:spacing w:after="120" w:line="280" w:lineRule="atLeast"/>
      <w:ind w:left="1800" w:hanging="1800"/>
    </w:pPr>
    <w:rPr>
      <w:b/>
      <w:bCs/>
      <w:sz w:val="24"/>
      <w:szCs w:val="24"/>
      <w:lang w:val="en-GB" w:eastAsia="en-US"/>
    </w:rPr>
  </w:style>
  <w:style w:type="paragraph" w:customStyle="1" w:styleId="A-TableHeader">
    <w:name w:val="A-Table Header"/>
    <w:next w:val="A-TableText"/>
    <w:pPr>
      <w:keepNext/>
      <w:spacing w:before="60" w:after="60"/>
    </w:pPr>
    <w:rPr>
      <w:b/>
      <w:bCs/>
      <w:sz w:val="22"/>
      <w:szCs w:val="22"/>
      <w:lang w:val="en-GB" w:eastAsia="en-US"/>
    </w:rPr>
  </w:style>
  <w:style w:type="paragraph" w:styleId="NormlWeb">
    <w:name w:val="Normal (Web)"/>
    <w:basedOn w:val="Norml"/>
    <w:pPr>
      <w:spacing w:before="100" w:beforeAutospacing="1" w:after="69"/>
    </w:pPr>
    <w:rPr>
      <w:color w:val="000000"/>
      <w:szCs w:val="24"/>
      <w:lang w:val="en-US" w:eastAsia="en-US"/>
    </w:rPr>
  </w:style>
  <w:style w:type="paragraph" w:customStyle="1" w:styleId="Listlevel1">
    <w:name w:val="List level 1"/>
    <w:basedOn w:val="Norml"/>
    <w:pPr>
      <w:autoSpaceDE w:val="0"/>
      <w:autoSpaceDN w:val="0"/>
      <w:adjustRightInd w:val="0"/>
      <w:spacing w:before="40" w:after="20"/>
      <w:ind w:left="425" w:hanging="425"/>
    </w:pPr>
    <w:rPr>
      <w:rFonts w:eastAsia="Calibri" w:cs="AdvTimes"/>
      <w:noProof/>
      <w:szCs w:val="22"/>
      <w:lang w:val="en-US" w:eastAsia="en-US"/>
    </w:rPr>
  </w:style>
  <w:style w:type="paragraph" w:customStyle="1" w:styleId="Text">
    <w:name w:val="Text"/>
    <w:basedOn w:val="Norml"/>
    <w:link w:val="TextChar"/>
    <w:pPr>
      <w:autoSpaceDE w:val="0"/>
      <w:autoSpaceDN w:val="0"/>
      <w:adjustRightInd w:val="0"/>
      <w:spacing w:before="120"/>
      <w:jc w:val="both"/>
    </w:pPr>
    <w:rPr>
      <w:rFonts w:eastAsia="Calibri"/>
      <w:noProof/>
      <w:szCs w:val="22"/>
      <w:lang w:val="en-US" w:eastAsia="en-US"/>
    </w:rPr>
  </w:style>
  <w:style w:type="character" w:customStyle="1" w:styleId="TextChar">
    <w:name w:val="Text Char"/>
    <w:link w:val="Text"/>
    <w:rPr>
      <w:rFonts w:eastAsia="Calibri"/>
      <w:noProof/>
      <w:sz w:val="22"/>
      <w:szCs w:val="22"/>
      <w:lang w:val="en-US" w:eastAsia="en-US"/>
    </w:rPr>
  </w:style>
  <w:style w:type="character" w:customStyle="1" w:styleId="bold1">
    <w:name w:val="bold1"/>
    <w:rPr>
      <w:b/>
      <w:bCs/>
    </w:rPr>
  </w:style>
  <w:style w:type="paragraph" w:customStyle="1" w:styleId="paragraph1">
    <w:name w:val="paragraph1"/>
    <w:basedOn w:val="Norml"/>
    <w:rPr>
      <w:szCs w:val="24"/>
    </w:rPr>
  </w:style>
  <w:style w:type="paragraph" w:customStyle="1" w:styleId="basis">
    <w:name w:val="basis"/>
    <w:basedOn w:val="Norml"/>
    <w:pPr>
      <w:widowControl w:val="0"/>
      <w:tabs>
        <w:tab w:val="left" w:pos="-1440"/>
        <w:tab w:val="left" w:pos="-720"/>
      </w:tabs>
    </w:pPr>
    <w:rPr>
      <w:lang w:val="nl-NL" w:eastAsia="nl-NL"/>
    </w:rPr>
  </w:style>
  <w:style w:type="paragraph" w:customStyle="1" w:styleId="Normal1">
    <w:name w:val="Normal1"/>
    <w:basedOn w:val="Norml"/>
    <w:pPr>
      <w:widowControl w:val="0"/>
      <w:suppressAutoHyphens/>
    </w:pPr>
    <w:rPr>
      <w:rFonts w:eastAsia="HG Mincho Light J"/>
      <w:color w:val="000000"/>
      <w:sz w:val="20"/>
      <w:szCs w:val="24"/>
      <w:lang w:val="en-US"/>
    </w:rPr>
  </w:style>
  <w:style w:type="paragraph" w:styleId="Nincstrkz">
    <w:name w:val="No Spacing"/>
    <w:uiPriority w:val="1"/>
    <w:qFormat/>
    <w:rPr>
      <w:sz w:val="24"/>
      <w:szCs w:val="24"/>
    </w:rPr>
  </w:style>
  <w:style w:type="paragraph" w:customStyle="1" w:styleId="WW-Szvegtrzs2">
    <w:name w:val="WW-Szövegtörzs 2"/>
    <w:basedOn w:val="Norml"/>
    <w:pPr>
      <w:widowControl w:val="0"/>
      <w:suppressAutoHyphens/>
    </w:pPr>
    <w:rPr>
      <w:rFonts w:eastAsia="HG Mincho Light J"/>
      <w:color w:val="000000"/>
      <w:sz w:val="26"/>
      <w:szCs w:val="24"/>
      <w:lang w:val="hu-HU"/>
    </w:rPr>
  </w:style>
  <w:style w:type="character" w:customStyle="1" w:styleId="Kiemelt">
    <w:name w:val="Kiemelt"/>
    <w:rPr>
      <w:i/>
      <w:iCs/>
    </w:rPr>
  </w:style>
  <w:style w:type="character" w:styleId="Jegyzethivatkozs">
    <w:name w:val="annotation reference"/>
    <w:rPr>
      <w:sz w:val="16"/>
      <w:szCs w:val="16"/>
    </w:rPr>
  </w:style>
  <w:style w:type="paragraph" w:styleId="Jegyzetszveg">
    <w:name w:val="annotation text"/>
    <w:basedOn w:val="Norml"/>
    <w:link w:val="JegyzetszvegChar"/>
    <w:rPr>
      <w:sz w:val="20"/>
    </w:rPr>
  </w:style>
  <w:style w:type="character" w:customStyle="1" w:styleId="JegyzetszvegChar">
    <w:name w:val="Jegyzetszöveg Char"/>
    <w:link w:val="Jegyzetszveg"/>
    <w:rPr>
      <w:lang w:val="sl-SI" w:eastAsia="sl-SI"/>
    </w:rPr>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lang w:val="sl-SI" w:eastAsia="sl-SI"/>
    </w:rPr>
  </w:style>
  <w:style w:type="paragraph" w:customStyle="1" w:styleId="NoSpacing1">
    <w:name w:val="No Spacing1"/>
    <w:uiPriority w:val="1"/>
    <w:qFormat/>
    <w:rPr>
      <w:rFonts w:ascii="Calibri" w:eastAsia="Calibri" w:hAnsi="Calibri"/>
      <w:sz w:val="22"/>
      <w:szCs w:val="22"/>
      <w:lang w:val="sl-S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01663">
      <w:bodyDiv w:val="1"/>
      <w:marLeft w:val="0"/>
      <w:marRight w:val="0"/>
      <w:marTop w:val="0"/>
      <w:marBottom w:val="0"/>
      <w:divBdr>
        <w:top w:val="none" w:sz="0" w:space="0" w:color="auto"/>
        <w:left w:val="none" w:sz="0" w:space="0" w:color="auto"/>
        <w:bottom w:val="none" w:sz="0" w:space="0" w:color="auto"/>
        <w:right w:val="none" w:sz="0" w:space="0" w:color="auto"/>
      </w:divBdr>
      <w:divsChild>
        <w:div w:id="32779300">
          <w:marLeft w:val="0"/>
          <w:marRight w:val="0"/>
          <w:marTop w:val="0"/>
          <w:marBottom w:val="0"/>
          <w:divBdr>
            <w:top w:val="none" w:sz="0" w:space="0" w:color="auto"/>
            <w:left w:val="none" w:sz="0" w:space="0" w:color="auto"/>
            <w:bottom w:val="none" w:sz="0" w:space="0" w:color="auto"/>
            <w:right w:val="none" w:sz="0" w:space="0" w:color="auto"/>
          </w:divBdr>
        </w:div>
        <w:div w:id="599873188">
          <w:marLeft w:val="0"/>
          <w:marRight w:val="0"/>
          <w:marTop w:val="0"/>
          <w:marBottom w:val="0"/>
          <w:divBdr>
            <w:top w:val="none" w:sz="0" w:space="0" w:color="auto"/>
            <w:left w:val="none" w:sz="0" w:space="0" w:color="auto"/>
            <w:bottom w:val="none" w:sz="0" w:space="0" w:color="auto"/>
            <w:right w:val="none" w:sz="0" w:space="0" w:color="auto"/>
          </w:divBdr>
        </w:div>
        <w:div w:id="612634297">
          <w:marLeft w:val="0"/>
          <w:marRight w:val="0"/>
          <w:marTop w:val="0"/>
          <w:marBottom w:val="0"/>
          <w:divBdr>
            <w:top w:val="none" w:sz="0" w:space="0" w:color="auto"/>
            <w:left w:val="none" w:sz="0" w:space="0" w:color="auto"/>
            <w:bottom w:val="none" w:sz="0" w:space="0" w:color="auto"/>
            <w:right w:val="none" w:sz="0" w:space="0" w:color="auto"/>
          </w:divBdr>
        </w:div>
        <w:div w:id="946737488">
          <w:marLeft w:val="0"/>
          <w:marRight w:val="0"/>
          <w:marTop w:val="0"/>
          <w:marBottom w:val="0"/>
          <w:divBdr>
            <w:top w:val="none" w:sz="0" w:space="0" w:color="auto"/>
            <w:left w:val="none" w:sz="0" w:space="0" w:color="auto"/>
            <w:bottom w:val="none" w:sz="0" w:space="0" w:color="auto"/>
            <w:right w:val="none" w:sz="0" w:space="0" w:color="auto"/>
          </w:divBdr>
        </w:div>
        <w:div w:id="1152713618">
          <w:marLeft w:val="0"/>
          <w:marRight w:val="0"/>
          <w:marTop w:val="0"/>
          <w:marBottom w:val="0"/>
          <w:divBdr>
            <w:top w:val="none" w:sz="0" w:space="0" w:color="auto"/>
            <w:left w:val="none" w:sz="0" w:space="0" w:color="auto"/>
            <w:bottom w:val="none" w:sz="0" w:space="0" w:color="auto"/>
            <w:right w:val="none" w:sz="0" w:space="0" w:color="auto"/>
          </w:divBdr>
        </w:div>
        <w:div w:id="1257132996">
          <w:marLeft w:val="0"/>
          <w:marRight w:val="0"/>
          <w:marTop w:val="0"/>
          <w:marBottom w:val="0"/>
          <w:divBdr>
            <w:top w:val="none" w:sz="0" w:space="0" w:color="auto"/>
            <w:left w:val="none" w:sz="0" w:space="0" w:color="auto"/>
            <w:bottom w:val="none" w:sz="0" w:space="0" w:color="auto"/>
            <w:right w:val="none" w:sz="0" w:space="0" w:color="auto"/>
          </w:divBdr>
        </w:div>
        <w:div w:id="1586062712">
          <w:marLeft w:val="0"/>
          <w:marRight w:val="0"/>
          <w:marTop w:val="0"/>
          <w:marBottom w:val="0"/>
          <w:divBdr>
            <w:top w:val="none" w:sz="0" w:space="0" w:color="auto"/>
            <w:left w:val="none" w:sz="0" w:space="0" w:color="auto"/>
            <w:bottom w:val="none" w:sz="0" w:space="0" w:color="auto"/>
            <w:right w:val="none" w:sz="0" w:space="0" w:color="auto"/>
          </w:divBdr>
        </w:div>
        <w:div w:id="1600678959">
          <w:marLeft w:val="0"/>
          <w:marRight w:val="0"/>
          <w:marTop w:val="0"/>
          <w:marBottom w:val="0"/>
          <w:divBdr>
            <w:top w:val="none" w:sz="0" w:space="0" w:color="auto"/>
            <w:left w:val="none" w:sz="0" w:space="0" w:color="auto"/>
            <w:bottom w:val="none" w:sz="0" w:space="0" w:color="auto"/>
            <w:right w:val="none" w:sz="0" w:space="0" w:color="auto"/>
          </w:divBdr>
        </w:div>
        <w:div w:id="1768503167">
          <w:marLeft w:val="0"/>
          <w:marRight w:val="0"/>
          <w:marTop w:val="0"/>
          <w:marBottom w:val="0"/>
          <w:divBdr>
            <w:top w:val="none" w:sz="0" w:space="0" w:color="auto"/>
            <w:left w:val="none" w:sz="0" w:space="0" w:color="auto"/>
            <w:bottom w:val="none" w:sz="0" w:space="0" w:color="auto"/>
            <w:right w:val="none" w:sz="0" w:space="0" w:color="auto"/>
          </w:divBdr>
        </w:div>
        <w:div w:id="1870214052">
          <w:marLeft w:val="0"/>
          <w:marRight w:val="0"/>
          <w:marTop w:val="0"/>
          <w:marBottom w:val="0"/>
          <w:divBdr>
            <w:top w:val="none" w:sz="0" w:space="0" w:color="auto"/>
            <w:left w:val="none" w:sz="0" w:space="0" w:color="auto"/>
            <w:bottom w:val="none" w:sz="0" w:space="0" w:color="auto"/>
            <w:right w:val="none" w:sz="0" w:space="0" w:color="auto"/>
          </w:divBdr>
        </w:div>
        <w:div w:id="1941405388">
          <w:marLeft w:val="0"/>
          <w:marRight w:val="0"/>
          <w:marTop w:val="0"/>
          <w:marBottom w:val="0"/>
          <w:divBdr>
            <w:top w:val="none" w:sz="0" w:space="0" w:color="auto"/>
            <w:left w:val="none" w:sz="0" w:space="0" w:color="auto"/>
            <w:bottom w:val="none" w:sz="0" w:space="0" w:color="auto"/>
            <w:right w:val="none" w:sz="0" w:space="0" w:color="auto"/>
          </w:divBdr>
        </w:div>
      </w:divsChild>
    </w:div>
    <w:div w:id="89393802">
      <w:bodyDiv w:val="1"/>
      <w:marLeft w:val="0"/>
      <w:marRight w:val="0"/>
      <w:marTop w:val="0"/>
      <w:marBottom w:val="0"/>
      <w:divBdr>
        <w:top w:val="none" w:sz="0" w:space="0" w:color="auto"/>
        <w:left w:val="none" w:sz="0" w:space="0" w:color="auto"/>
        <w:bottom w:val="none" w:sz="0" w:space="0" w:color="auto"/>
        <w:right w:val="none" w:sz="0" w:space="0" w:color="auto"/>
      </w:divBdr>
    </w:div>
    <w:div w:id="112140126">
      <w:bodyDiv w:val="1"/>
      <w:marLeft w:val="0"/>
      <w:marRight w:val="0"/>
      <w:marTop w:val="0"/>
      <w:marBottom w:val="0"/>
      <w:divBdr>
        <w:top w:val="none" w:sz="0" w:space="0" w:color="auto"/>
        <w:left w:val="none" w:sz="0" w:space="0" w:color="auto"/>
        <w:bottom w:val="none" w:sz="0" w:space="0" w:color="auto"/>
        <w:right w:val="none" w:sz="0" w:space="0" w:color="auto"/>
      </w:divBdr>
    </w:div>
    <w:div w:id="193689087">
      <w:bodyDiv w:val="1"/>
      <w:marLeft w:val="0"/>
      <w:marRight w:val="0"/>
      <w:marTop w:val="0"/>
      <w:marBottom w:val="0"/>
      <w:divBdr>
        <w:top w:val="none" w:sz="0" w:space="0" w:color="auto"/>
        <w:left w:val="none" w:sz="0" w:space="0" w:color="auto"/>
        <w:bottom w:val="none" w:sz="0" w:space="0" w:color="auto"/>
        <w:right w:val="none" w:sz="0" w:space="0" w:color="auto"/>
      </w:divBdr>
      <w:divsChild>
        <w:div w:id="55856125">
          <w:marLeft w:val="0"/>
          <w:marRight w:val="0"/>
          <w:marTop w:val="0"/>
          <w:marBottom w:val="0"/>
          <w:divBdr>
            <w:top w:val="none" w:sz="0" w:space="0" w:color="auto"/>
            <w:left w:val="none" w:sz="0" w:space="0" w:color="auto"/>
            <w:bottom w:val="none" w:sz="0" w:space="0" w:color="auto"/>
            <w:right w:val="none" w:sz="0" w:space="0" w:color="auto"/>
          </w:divBdr>
        </w:div>
        <w:div w:id="687683358">
          <w:marLeft w:val="0"/>
          <w:marRight w:val="0"/>
          <w:marTop w:val="0"/>
          <w:marBottom w:val="0"/>
          <w:divBdr>
            <w:top w:val="none" w:sz="0" w:space="0" w:color="auto"/>
            <w:left w:val="none" w:sz="0" w:space="0" w:color="auto"/>
            <w:bottom w:val="none" w:sz="0" w:space="0" w:color="auto"/>
            <w:right w:val="none" w:sz="0" w:space="0" w:color="auto"/>
          </w:divBdr>
        </w:div>
        <w:div w:id="1252004518">
          <w:marLeft w:val="0"/>
          <w:marRight w:val="0"/>
          <w:marTop w:val="0"/>
          <w:marBottom w:val="0"/>
          <w:divBdr>
            <w:top w:val="none" w:sz="0" w:space="0" w:color="auto"/>
            <w:left w:val="none" w:sz="0" w:space="0" w:color="auto"/>
            <w:bottom w:val="none" w:sz="0" w:space="0" w:color="auto"/>
            <w:right w:val="none" w:sz="0" w:space="0" w:color="auto"/>
          </w:divBdr>
        </w:div>
        <w:div w:id="1863204458">
          <w:marLeft w:val="0"/>
          <w:marRight w:val="0"/>
          <w:marTop w:val="0"/>
          <w:marBottom w:val="0"/>
          <w:divBdr>
            <w:top w:val="none" w:sz="0" w:space="0" w:color="auto"/>
            <w:left w:val="none" w:sz="0" w:space="0" w:color="auto"/>
            <w:bottom w:val="none" w:sz="0" w:space="0" w:color="auto"/>
            <w:right w:val="none" w:sz="0" w:space="0" w:color="auto"/>
          </w:divBdr>
        </w:div>
        <w:div w:id="2071880892">
          <w:marLeft w:val="0"/>
          <w:marRight w:val="0"/>
          <w:marTop w:val="0"/>
          <w:marBottom w:val="0"/>
          <w:divBdr>
            <w:top w:val="none" w:sz="0" w:space="0" w:color="auto"/>
            <w:left w:val="none" w:sz="0" w:space="0" w:color="auto"/>
            <w:bottom w:val="none" w:sz="0" w:space="0" w:color="auto"/>
            <w:right w:val="none" w:sz="0" w:space="0" w:color="auto"/>
          </w:divBdr>
        </w:div>
      </w:divsChild>
    </w:div>
    <w:div w:id="240989296">
      <w:bodyDiv w:val="1"/>
      <w:marLeft w:val="0"/>
      <w:marRight w:val="0"/>
      <w:marTop w:val="0"/>
      <w:marBottom w:val="0"/>
      <w:divBdr>
        <w:top w:val="none" w:sz="0" w:space="0" w:color="auto"/>
        <w:left w:val="none" w:sz="0" w:space="0" w:color="auto"/>
        <w:bottom w:val="none" w:sz="0" w:space="0" w:color="auto"/>
        <w:right w:val="none" w:sz="0" w:space="0" w:color="auto"/>
      </w:divBdr>
      <w:divsChild>
        <w:div w:id="99879400">
          <w:marLeft w:val="0"/>
          <w:marRight w:val="0"/>
          <w:marTop w:val="0"/>
          <w:marBottom w:val="0"/>
          <w:divBdr>
            <w:top w:val="none" w:sz="0" w:space="0" w:color="auto"/>
            <w:left w:val="none" w:sz="0" w:space="0" w:color="auto"/>
            <w:bottom w:val="none" w:sz="0" w:space="0" w:color="auto"/>
            <w:right w:val="none" w:sz="0" w:space="0" w:color="auto"/>
          </w:divBdr>
        </w:div>
        <w:div w:id="105319778">
          <w:marLeft w:val="0"/>
          <w:marRight w:val="0"/>
          <w:marTop w:val="0"/>
          <w:marBottom w:val="0"/>
          <w:divBdr>
            <w:top w:val="none" w:sz="0" w:space="0" w:color="auto"/>
            <w:left w:val="none" w:sz="0" w:space="0" w:color="auto"/>
            <w:bottom w:val="none" w:sz="0" w:space="0" w:color="auto"/>
            <w:right w:val="none" w:sz="0" w:space="0" w:color="auto"/>
          </w:divBdr>
        </w:div>
        <w:div w:id="156312306">
          <w:marLeft w:val="0"/>
          <w:marRight w:val="0"/>
          <w:marTop w:val="0"/>
          <w:marBottom w:val="0"/>
          <w:divBdr>
            <w:top w:val="none" w:sz="0" w:space="0" w:color="auto"/>
            <w:left w:val="none" w:sz="0" w:space="0" w:color="auto"/>
            <w:bottom w:val="none" w:sz="0" w:space="0" w:color="auto"/>
            <w:right w:val="none" w:sz="0" w:space="0" w:color="auto"/>
          </w:divBdr>
        </w:div>
        <w:div w:id="160389220">
          <w:marLeft w:val="0"/>
          <w:marRight w:val="0"/>
          <w:marTop w:val="0"/>
          <w:marBottom w:val="0"/>
          <w:divBdr>
            <w:top w:val="none" w:sz="0" w:space="0" w:color="auto"/>
            <w:left w:val="none" w:sz="0" w:space="0" w:color="auto"/>
            <w:bottom w:val="none" w:sz="0" w:space="0" w:color="auto"/>
            <w:right w:val="none" w:sz="0" w:space="0" w:color="auto"/>
          </w:divBdr>
        </w:div>
        <w:div w:id="171532399">
          <w:marLeft w:val="0"/>
          <w:marRight w:val="0"/>
          <w:marTop w:val="0"/>
          <w:marBottom w:val="0"/>
          <w:divBdr>
            <w:top w:val="none" w:sz="0" w:space="0" w:color="auto"/>
            <w:left w:val="none" w:sz="0" w:space="0" w:color="auto"/>
            <w:bottom w:val="none" w:sz="0" w:space="0" w:color="auto"/>
            <w:right w:val="none" w:sz="0" w:space="0" w:color="auto"/>
          </w:divBdr>
        </w:div>
        <w:div w:id="192573717">
          <w:marLeft w:val="0"/>
          <w:marRight w:val="0"/>
          <w:marTop w:val="0"/>
          <w:marBottom w:val="0"/>
          <w:divBdr>
            <w:top w:val="none" w:sz="0" w:space="0" w:color="auto"/>
            <w:left w:val="none" w:sz="0" w:space="0" w:color="auto"/>
            <w:bottom w:val="none" w:sz="0" w:space="0" w:color="auto"/>
            <w:right w:val="none" w:sz="0" w:space="0" w:color="auto"/>
          </w:divBdr>
        </w:div>
        <w:div w:id="282932044">
          <w:marLeft w:val="0"/>
          <w:marRight w:val="0"/>
          <w:marTop w:val="0"/>
          <w:marBottom w:val="0"/>
          <w:divBdr>
            <w:top w:val="none" w:sz="0" w:space="0" w:color="auto"/>
            <w:left w:val="none" w:sz="0" w:space="0" w:color="auto"/>
            <w:bottom w:val="none" w:sz="0" w:space="0" w:color="auto"/>
            <w:right w:val="none" w:sz="0" w:space="0" w:color="auto"/>
          </w:divBdr>
        </w:div>
        <w:div w:id="303201605">
          <w:marLeft w:val="0"/>
          <w:marRight w:val="0"/>
          <w:marTop w:val="0"/>
          <w:marBottom w:val="0"/>
          <w:divBdr>
            <w:top w:val="none" w:sz="0" w:space="0" w:color="auto"/>
            <w:left w:val="none" w:sz="0" w:space="0" w:color="auto"/>
            <w:bottom w:val="none" w:sz="0" w:space="0" w:color="auto"/>
            <w:right w:val="none" w:sz="0" w:space="0" w:color="auto"/>
          </w:divBdr>
        </w:div>
        <w:div w:id="316884061">
          <w:marLeft w:val="0"/>
          <w:marRight w:val="0"/>
          <w:marTop w:val="0"/>
          <w:marBottom w:val="0"/>
          <w:divBdr>
            <w:top w:val="none" w:sz="0" w:space="0" w:color="auto"/>
            <w:left w:val="none" w:sz="0" w:space="0" w:color="auto"/>
            <w:bottom w:val="none" w:sz="0" w:space="0" w:color="auto"/>
            <w:right w:val="none" w:sz="0" w:space="0" w:color="auto"/>
          </w:divBdr>
        </w:div>
        <w:div w:id="356852081">
          <w:marLeft w:val="0"/>
          <w:marRight w:val="0"/>
          <w:marTop w:val="0"/>
          <w:marBottom w:val="0"/>
          <w:divBdr>
            <w:top w:val="none" w:sz="0" w:space="0" w:color="auto"/>
            <w:left w:val="none" w:sz="0" w:space="0" w:color="auto"/>
            <w:bottom w:val="none" w:sz="0" w:space="0" w:color="auto"/>
            <w:right w:val="none" w:sz="0" w:space="0" w:color="auto"/>
          </w:divBdr>
        </w:div>
        <w:div w:id="378474376">
          <w:marLeft w:val="0"/>
          <w:marRight w:val="0"/>
          <w:marTop w:val="0"/>
          <w:marBottom w:val="0"/>
          <w:divBdr>
            <w:top w:val="none" w:sz="0" w:space="0" w:color="auto"/>
            <w:left w:val="none" w:sz="0" w:space="0" w:color="auto"/>
            <w:bottom w:val="none" w:sz="0" w:space="0" w:color="auto"/>
            <w:right w:val="none" w:sz="0" w:space="0" w:color="auto"/>
          </w:divBdr>
        </w:div>
        <w:div w:id="407920041">
          <w:marLeft w:val="0"/>
          <w:marRight w:val="0"/>
          <w:marTop w:val="0"/>
          <w:marBottom w:val="0"/>
          <w:divBdr>
            <w:top w:val="none" w:sz="0" w:space="0" w:color="auto"/>
            <w:left w:val="none" w:sz="0" w:space="0" w:color="auto"/>
            <w:bottom w:val="none" w:sz="0" w:space="0" w:color="auto"/>
            <w:right w:val="none" w:sz="0" w:space="0" w:color="auto"/>
          </w:divBdr>
        </w:div>
        <w:div w:id="519323242">
          <w:marLeft w:val="0"/>
          <w:marRight w:val="0"/>
          <w:marTop w:val="0"/>
          <w:marBottom w:val="0"/>
          <w:divBdr>
            <w:top w:val="none" w:sz="0" w:space="0" w:color="auto"/>
            <w:left w:val="none" w:sz="0" w:space="0" w:color="auto"/>
            <w:bottom w:val="none" w:sz="0" w:space="0" w:color="auto"/>
            <w:right w:val="none" w:sz="0" w:space="0" w:color="auto"/>
          </w:divBdr>
        </w:div>
        <w:div w:id="593054984">
          <w:marLeft w:val="0"/>
          <w:marRight w:val="0"/>
          <w:marTop w:val="0"/>
          <w:marBottom w:val="0"/>
          <w:divBdr>
            <w:top w:val="none" w:sz="0" w:space="0" w:color="auto"/>
            <w:left w:val="none" w:sz="0" w:space="0" w:color="auto"/>
            <w:bottom w:val="none" w:sz="0" w:space="0" w:color="auto"/>
            <w:right w:val="none" w:sz="0" w:space="0" w:color="auto"/>
          </w:divBdr>
        </w:div>
        <w:div w:id="645354963">
          <w:marLeft w:val="0"/>
          <w:marRight w:val="0"/>
          <w:marTop w:val="0"/>
          <w:marBottom w:val="0"/>
          <w:divBdr>
            <w:top w:val="none" w:sz="0" w:space="0" w:color="auto"/>
            <w:left w:val="none" w:sz="0" w:space="0" w:color="auto"/>
            <w:bottom w:val="none" w:sz="0" w:space="0" w:color="auto"/>
            <w:right w:val="none" w:sz="0" w:space="0" w:color="auto"/>
          </w:divBdr>
        </w:div>
        <w:div w:id="797841527">
          <w:marLeft w:val="0"/>
          <w:marRight w:val="0"/>
          <w:marTop w:val="0"/>
          <w:marBottom w:val="0"/>
          <w:divBdr>
            <w:top w:val="none" w:sz="0" w:space="0" w:color="auto"/>
            <w:left w:val="none" w:sz="0" w:space="0" w:color="auto"/>
            <w:bottom w:val="none" w:sz="0" w:space="0" w:color="auto"/>
            <w:right w:val="none" w:sz="0" w:space="0" w:color="auto"/>
          </w:divBdr>
        </w:div>
        <w:div w:id="840655746">
          <w:marLeft w:val="0"/>
          <w:marRight w:val="0"/>
          <w:marTop w:val="0"/>
          <w:marBottom w:val="0"/>
          <w:divBdr>
            <w:top w:val="none" w:sz="0" w:space="0" w:color="auto"/>
            <w:left w:val="none" w:sz="0" w:space="0" w:color="auto"/>
            <w:bottom w:val="none" w:sz="0" w:space="0" w:color="auto"/>
            <w:right w:val="none" w:sz="0" w:space="0" w:color="auto"/>
          </w:divBdr>
        </w:div>
        <w:div w:id="850608037">
          <w:marLeft w:val="0"/>
          <w:marRight w:val="0"/>
          <w:marTop w:val="0"/>
          <w:marBottom w:val="0"/>
          <w:divBdr>
            <w:top w:val="none" w:sz="0" w:space="0" w:color="auto"/>
            <w:left w:val="none" w:sz="0" w:space="0" w:color="auto"/>
            <w:bottom w:val="none" w:sz="0" w:space="0" w:color="auto"/>
            <w:right w:val="none" w:sz="0" w:space="0" w:color="auto"/>
          </w:divBdr>
        </w:div>
        <w:div w:id="883104675">
          <w:marLeft w:val="0"/>
          <w:marRight w:val="0"/>
          <w:marTop w:val="0"/>
          <w:marBottom w:val="0"/>
          <w:divBdr>
            <w:top w:val="none" w:sz="0" w:space="0" w:color="auto"/>
            <w:left w:val="none" w:sz="0" w:space="0" w:color="auto"/>
            <w:bottom w:val="none" w:sz="0" w:space="0" w:color="auto"/>
            <w:right w:val="none" w:sz="0" w:space="0" w:color="auto"/>
          </w:divBdr>
        </w:div>
        <w:div w:id="902372324">
          <w:marLeft w:val="0"/>
          <w:marRight w:val="0"/>
          <w:marTop w:val="0"/>
          <w:marBottom w:val="0"/>
          <w:divBdr>
            <w:top w:val="none" w:sz="0" w:space="0" w:color="auto"/>
            <w:left w:val="none" w:sz="0" w:space="0" w:color="auto"/>
            <w:bottom w:val="none" w:sz="0" w:space="0" w:color="auto"/>
            <w:right w:val="none" w:sz="0" w:space="0" w:color="auto"/>
          </w:divBdr>
        </w:div>
        <w:div w:id="951785082">
          <w:marLeft w:val="0"/>
          <w:marRight w:val="0"/>
          <w:marTop w:val="0"/>
          <w:marBottom w:val="0"/>
          <w:divBdr>
            <w:top w:val="none" w:sz="0" w:space="0" w:color="auto"/>
            <w:left w:val="none" w:sz="0" w:space="0" w:color="auto"/>
            <w:bottom w:val="none" w:sz="0" w:space="0" w:color="auto"/>
            <w:right w:val="none" w:sz="0" w:space="0" w:color="auto"/>
          </w:divBdr>
        </w:div>
        <w:div w:id="1128277835">
          <w:marLeft w:val="0"/>
          <w:marRight w:val="0"/>
          <w:marTop w:val="0"/>
          <w:marBottom w:val="0"/>
          <w:divBdr>
            <w:top w:val="none" w:sz="0" w:space="0" w:color="auto"/>
            <w:left w:val="none" w:sz="0" w:space="0" w:color="auto"/>
            <w:bottom w:val="none" w:sz="0" w:space="0" w:color="auto"/>
            <w:right w:val="none" w:sz="0" w:space="0" w:color="auto"/>
          </w:divBdr>
        </w:div>
        <w:div w:id="1235774699">
          <w:marLeft w:val="0"/>
          <w:marRight w:val="0"/>
          <w:marTop w:val="0"/>
          <w:marBottom w:val="0"/>
          <w:divBdr>
            <w:top w:val="none" w:sz="0" w:space="0" w:color="auto"/>
            <w:left w:val="none" w:sz="0" w:space="0" w:color="auto"/>
            <w:bottom w:val="none" w:sz="0" w:space="0" w:color="auto"/>
            <w:right w:val="none" w:sz="0" w:space="0" w:color="auto"/>
          </w:divBdr>
        </w:div>
        <w:div w:id="1324775792">
          <w:marLeft w:val="0"/>
          <w:marRight w:val="0"/>
          <w:marTop w:val="0"/>
          <w:marBottom w:val="0"/>
          <w:divBdr>
            <w:top w:val="none" w:sz="0" w:space="0" w:color="auto"/>
            <w:left w:val="none" w:sz="0" w:space="0" w:color="auto"/>
            <w:bottom w:val="none" w:sz="0" w:space="0" w:color="auto"/>
            <w:right w:val="none" w:sz="0" w:space="0" w:color="auto"/>
          </w:divBdr>
        </w:div>
        <w:div w:id="1344165157">
          <w:marLeft w:val="0"/>
          <w:marRight w:val="0"/>
          <w:marTop w:val="0"/>
          <w:marBottom w:val="0"/>
          <w:divBdr>
            <w:top w:val="none" w:sz="0" w:space="0" w:color="auto"/>
            <w:left w:val="none" w:sz="0" w:space="0" w:color="auto"/>
            <w:bottom w:val="none" w:sz="0" w:space="0" w:color="auto"/>
            <w:right w:val="none" w:sz="0" w:space="0" w:color="auto"/>
          </w:divBdr>
        </w:div>
        <w:div w:id="1388801468">
          <w:marLeft w:val="0"/>
          <w:marRight w:val="0"/>
          <w:marTop w:val="0"/>
          <w:marBottom w:val="0"/>
          <w:divBdr>
            <w:top w:val="none" w:sz="0" w:space="0" w:color="auto"/>
            <w:left w:val="none" w:sz="0" w:space="0" w:color="auto"/>
            <w:bottom w:val="none" w:sz="0" w:space="0" w:color="auto"/>
            <w:right w:val="none" w:sz="0" w:space="0" w:color="auto"/>
          </w:divBdr>
        </w:div>
        <w:div w:id="1439449016">
          <w:marLeft w:val="0"/>
          <w:marRight w:val="0"/>
          <w:marTop w:val="0"/>
          <w:marBottom w:val="0"/>
          <w:divBdr>
            <w:top w:val="none" w:sz="0" w:space="0" w:color="auto"/>
            <w:left w:val="none" w:sz="0" w:space="0" w:color="auto"/>
            <w:bottom w:val="none" w:sz="0" w:space="0" w:color="auto"/>
            <w:right w:val="none" w:sz="0" w:space="0" w:color="auto"/>
          </w:divBdr>
        </w:div>
        <w:div w:id="1542478542">
          <w:marLeft w:val="0"/>
          <w:marRight w:val="0"/>
          <w:marTop w:val="0"/>
          <w:marBottom w:val="0"/>
          <w:divBdr>
            <w:top w:val="none" w:sz="0" w:space="0" w:color="auto"/>
            <w:left w:val="none" w:sz="0" w:space="0" w:color="auto"/>
            <w:bottom w:val="none" w:sz="0" w:space="0" w:color="auto"/>
            <w:right w:val="none" w:sz="0" w:space="0" w:color="auto"/>
          </w:divBdr>
        </w:div>
        <w:div w:id="1564217436">
          <w:marLeft w:val="0"/>
          <w:marRight w:val="0"/>
          <w:marTop w:val="0"/>
          <w:marBottom w:val="0"/>
          <w:divBdr>
            <w:top w:val="none" w:sz="0" w:space="0" w:color="auto"/>
            <w:left w:val="none" w:sz="0" w:space="0" w:color="auto"/>
            <w:bottom w:val="none" w:sz="0" w:space="0" w:color="auto"/>
            <w:right w:val="none" w:sz="0" w:space="0" w:color="auto"/>
          </w:divBdr>
        </w:div>
        <w:div w:id="1610166116">
          <w:marLeft w:val="0"/>
          <w:marRight w:val="0"/>
          <w:marTop w:val="0"/>
          <w:marBottom w:val="0"/>
          <w:divBdr>
            <w:top w:val="none" w:sz="0" w:space="0" w:color="auto"/>
            <w:left w:val="none" w:sz="0" w:space="0" w:color="auto"/>
            <w:bottom w:val="none" w:sz="0" w:space="0" w:color="auto"/>
            <w:right w:val="none" w:sz="0" w:space="0" w:color="auto"/>
          </w:divBdr>
        </w:div>
        <w:div w:id="1651131171">
          <w:marLeft w:val="0"/>
          <w:marRight w:val="0"/>
          <w:marTop w:val="0"/>
          <w:marBottom w:val="0"/>
          <w:divBdr>
            <w:top w:val="none" w:sz="0" w:space="0" w:color="auto"/>
            <w:left w:val="none" w:sz="0" w:space="0" w:color="auto"/>
            <w:bottom w:val="none" w:sz="0" w:space="0" w:color="auto"/>
            <w:right w:val="none" w:sz="0" w:space="0" w:color="auto"/>
          </w:divBdr>
        </w:div>
        <w:div w:id="1670794095">
          <w:marLeft w:val="0"/>
          <w:marRight w:val="0"/>
          <w:marTop w:val="0"/>
          <w:marBottom w:val="0"/>
          <w:divBdr>
            <w:top w:val="none" w:sz="0" w:space="0" w:color="auto"/>
            <w:left w:val="none" w:sz="0" w:space="0" w:color="auto"/>
            <w:bottom w:val="none" w:sz="0" w:space="0" w:color="auto"/>
            <w:right w:val="none" w:sz="0" w:space="0" w:color="auto"/>
          </w:divBdr>
        </w:div>
        <w:div w:id="1738283331">
          <w:marLeft w:val="0"/>
          <w:marRight w:val="0"/>
          <w:marTop w:val="0"/>
          <w:marBottom w:val="0"/>
          <w:divBdr>
            <w:top w:val="none" w:sz="0" w:space="0" w:color="auto"/>
            <w:left w:val="none" w:sz="0" w:space="0" w:color="auto"/>
            <w:bottom w:val="none" w:sz="0" w:space="0" w:color="auto"/>
            <w:right w:val="none" w:sz="0" w:space="0" w:color="auto"/>
          </w:divBdr>
        </w:div>
        <w:div w:id="1742096781">
          <w:marLeft w:val="0"/>
          <w:marRight w:val="0"/>
          <w:marTop w:val="0"/>
          <w:marBottom w:val="0"/>
          <w:divBdr>
            <w:top w:val="none" w:sz="0" w:space="0" w:color="auto"/>
            <w:left w:val="none" w:sz="0" w:space="0" w:color="auto"/>
            <w:bottom w:val="none" w:sz="0" w:space="0" w:color="auto"/>
            <w:right w:val="none" w:sz="0" w:space="0" w:color="auto"/>
          </w:divBdr>
        </w:div>
        <w:div w:id="1877887435">
          <w:marLeft w:val="0"/>
          <w:marRight w:val="0"/>
          <w:marTop w:val="0"/>
          <w:marBottom w:val="0"/>
          <w:divBdr>
            <w:top w:val="none" w:sz="0" w:space="0" w:color="auto"/>
            <w:left w:val="none" w:sz="0" w:space="0" w:color="auto"/>
            <w:bottom w:val="none" w:sz="0" w:space="0" w:color="auto"/>
            <w:right w:val="none" w:sz="0" w:space="0" w:color="auto"/>
          </w:divBdr>
        </w:div>
        <w:div w:id="1904827822">
          <w:marLeft w:val="0"/>
          <w:marRight w:val="0"/>
          <w:marTop w:val="0"/>
          <w:marBottom w:val="0"/>
          <w:divBdr>
            <w:top w:val="none" w:sz="0" w:space="0" w:color="auto"/>
            <w:left w:val="none" w:sz="0" w:space="0" w:color="auto"/>
            <w:bottom w:val="none" w:sz="0" w:space="0" w:color="auto"/>
            <w:right w:val="none" w:sz="0" w:space="0" w:color="auto"/>
          </w:divBdr>
        </w:div>
        <w:div w:id="1912156009">
          <w:marLeft w:val="0"/>
          <w:marRight w:val="0"/>
          <w:marTop w:val="0"/>
          <w:marBottom w:val="0"/>
          <w:divBdr>
            <w:top w:val="none" w:sz="0" w:space="0" w:color="auto"/>
            <w:left w:val="none" w:sz="0" w:space="0" w:color="auto"/>
            <w:bottom w:val="none" w:sz="0" w:space="0" w:color="auto"/>
            <w:right w:val="none" w:sz="0" w:space="0" w:color="auto"/>
          </w:divBdr>
        </w:div>
        <w:div w:id="1940748799">
          <w:marLeft w:val="0"/>
          <w:marRight w:val="0"/>
          <w:marTop w:val="0"/>
          <w:marBottom w:val="0"/>
          <w:divBdr>
            <w:top w:val="none" w:sz="0" w:space="0" w:color="auto"/>
            <w:left w:val="none" w:sz="0" w:space="0" w:color="auto"/>
            <w:bottom w:val="none" w:sz="0" w:space="0" w:color="auto"/>
            <w:right w:val="none" w:sz="0" w:space="0" w:color="auto"/>
          </w:divBdr>
        </w:div>
        <w:div w:id="1942448922">
          <w:marLeft w:val="0"/>
          <w:marRight w:val="0"/>
          <w:marTop w:val="0"/>
          <w:marBottom w:val="0"/>
          <w:divBdr>
            <w:top w:val="none" w:sz="0" w:space="0" w:color="auto"/>
            <w:left w:val="none" w:sz="0" w:space="0" w:color="auto"/>
            <w:bottom w:val="none" w:sz="0" w:space="0" w:color="auto"/>
            <w:right w:val="none" w:sz="0" w:space="0" w:color="auto"/>
          </w:divBdr>
        </w:div>
        <w:div w:id="1945579026">
          <w:marLeft w:val="0"/>
          <w:marRight w:val="0"/>
          <w:marTop w:val="0"/>
          <w:marBottom w:val="0"/>
          <w:divBdr>
            <w:top w:val="none" w:sz="0" w:space="0" w:color="auto"/>
            <w:left w:val="none" w:sz="0" w:space="0" w:color="auto"/>
            <w:bottom w:val="none" w:sz="0" w:space="0" w:color="auto"/>
            <w:right w:val="none" w:sz="0" w:space="0" w:color="auto"/>
          </w:divBdr>
        </w:div>
        <w:div w:id="1991400244">
          <w:marLeft w:val="0"/>
          <w:marRight w:val="0"/>
          <w:marTop w:val="0"/>
          <w:marBottom w:val="0"/>
          <w:divBdr>
            <w:top w:val="none" w:sz="0" w:space="0" w:color="auto"/>
            <w:left w:val="none" w:sz="0" w:space="0" w:color="auto"/>
            <w:bottom w:val="none" w:sz="0" w:space="0" w:color="auto"/>
            <w:right w:val="none" w:sz="0" w:space="0" w:color="auto"/>
          </w:divBdr>
        </w:div>
        <w:div w:id="2045405251">
          <w:marLeft w:val="0"/>
          <w:marRight w:val="0"/>
          <w:marTop w:val="0"/>
          <w:marBottom w:val="0"/>
          <w:divBdr>
            <w:top w:val="none" w:sz="0" w:space="0" w:color="auto"/>
            <w:left w:val="none" w:sz="0" w:space="0" w:color="auto"/>
            <w:bottom w:val="none" w:sz="0" w:space="0" w:color="auto"/>
            <w:right w:val="none" w:sz="0" w:space="0" w:color="auto"/>
          </w:divBdr>
        </w:div>
        <w:div w:id="2073037515">
          <w:marLeft w:val="0"/>
          <w:marRight w:val="0"/>
          <w:marTop w:val="0"/>
          <w:marBottom w:val="0"/>
          <w:divBdr>
            <w:top w:val="none" w:sz="0" w:space="0" w:color="auto"/>
            <w:left w:val="none" w:sz="0" w:space="0" w:color="auto"/>
            <w:bottom w:val="none" w:sz="0" w:space="0" w:color="auto"/>
            <w:right w:val="none" w:sz="0" w:space="0" w:color="auto"/>
          </w:divBdr>
        </w:div>
        <w:div w:id="2126382066">
          <w:marLeft w:val="0"/>
          <w:marRight w:val="0"/>
          <w:marTop w:val="0"/>
          <w:marBottom w:val="0"/>
          <w:divBdr>
            <w:top w:val="none" w:sz="0" w:space="0" w:color="auto"/>
            <w:left w:val="none" w:sz="0" w:space="0" w:color="auto"/>
            <w:bottom w:val="none" w:sz="0" w:space="0" w:color="auto"/>
            <w:right w:val="none" w:sz="0" w:space="0" w:color="auto"/>
          </w:divBdr>
        </w:div>
        <w:div w:id="2133547055">
          <w:marLeft w:val="0"/>
          <w:marRight w:val="0"/>
          <w:marTop w:val="0"/>
          <w:marBottom w:val="0"/>
          <w:divBdr>
            <w:top w:val="none" w:sz="0" w:space="0" w:color="auto"/>
            <w:left w:val="none" w:sz="0" w:space="0" w:color="auto"/>
            <w:bottom w:val="none" w:sz="0" w:space="0" w:color="auto"/>
            <w:right w:val="none" w:sz="0" w:space="0" w:color="auto"/>
          </w:divBdr>
        </w:div>
      </w:divsChild>
    </w:div>
    <w:div w:id="300186996">
      <w:bodyDiv w:val="1"/>
      <w:marLeft w:val="0"/>
      <w:marRight w:val="0"/>
      <w:marTop w:val="0"/>
      <w:marBottom w:val="0"/>
      <w:divBdr>
        <w:top w:val="none" w:sz="0" w:space="0" w:color="auto"/>
        <w:left w:val="none" w:sz="0" w:space="0" w:color="auto"/>
        <w:bottom w:val="none" w:sz="0" w:space="0" w:color="auto"/>
        <w:right w:val="none" w:sz="0" w:space="0" w:color="auto"/>
      </w:divBdr>
      <w:divsChild>
        <w:div w:id="922497856">
          <w:marLeft w:val="0"/>
          <w:marRight w:val="0"/>
          <w:marTop w:val="0"/>
          <w:marBottom w:val="0"/>
          <w:divBdr>
            <w:top w:val="none" w:sz="0" w:space="0" w:color="auto"/>
            <w:left w:val="none" w:sz="0" w:space="0" w:color="auto"/>
            <w:bottom w:val="none" w:sz="0" w:space="0" w:color="auto"/>
            <w:right w:val="none" w:sz="0" w:space="0" w:color="auto"/>
          </w:divBdr>
        </w:div>
        <w:div w:id="946497747">
          <w:marLeft w:val="0"/>
          <w:marRight w:val="0"/>
          <w:marTop w:val="0"/>
          <w:marBottom w:val="0"/>
          <w:divBdr>
            <w:top w:val="none" w:sz="0" w:space="0" w:color="auto"/>
            <w:left w:val="none" w:sz="0" w:space="0" w:color="auto"/>
            <w:bottom w:val="none" w:sz="0" w:space="0" w:color="auto"/>
            <w:right w:val="none" w:sz="0" w:space="0" w:color="auto"/>
          </w:divBdr>
        </w:div>
      </w:divsChild>
    </w:div>
    <w:div w:id="307322096">
      <w:bodyDiv w:val="1"/>
      <w:marLeft w:val="0"/>
      <w:marRight w:val="0"/>
      <w:marTop w:val="0"/>
      <w:marBottom w:val="0"/>
      <w:divBdr>
        <w:top w:val="none" w:sz="0" w:space="0" w:color="auto"/>
        <w:left w:val="none" w:sz="0" w:space="0" w:color="auto"/>
        <w:bottom w:val="none" w:sz="0" w:space="0" w:color="auto"/>
        <w:right w:val="none" w:sz="0" w:space="0" w:color="auto"/>
      </w:divBdr>
      <w:divsChild>
        <w:div w:id="265501370">
          <w:marLeft w:val="0"/>
          <w:marRight w:val="0"/>
          <w:marTop w:val="0"/>
          <w:marBottom w:val="0"/>
          <w:divBdr>
            <w:top w:val="none" w:sz="0" w:space="0" w:color="auto"/>
            <w:left w:val="none" w:sz="0" w:space="0" w:color="auto"/>
            <w:bottom w:val="none" w:sz="0" w:space="0" w:color="auto"/>
            <w:right w:val="none" w:sz="0" w:space="0" w:color="auto"/>
          </w:divBdr>
        </w:div>
        <w:div w:id="358970535">
          <w:marLeft w:val="0"/>
          <w:marRight w:val="0"/>
          <w:marTop w:val="0"/>
          <w:marBottom w:val="0"/>
          <w:divBdr>
            <w:top w:val="none" w:sz="0" w:space="0" w:color="auto"/>
            <w:left w:val="none" w:sz="0" w:space="0" w:color="auto"/>
            <w:bottom w:val="none" w:sz="0" w:space="0" w:color="auto"/>
            <w:right w:val="none" w:sz="0" w:space="0" w:color="auto"/>
          </w:divBdr>
        </w:div>
        <w:div w:id="645012101">
          <w:marLeft w:val="0"/>
          <w:marRight w:val="0"/>
          <w:marTop w:val="0"/>
          <w:marBottom w:val="0"/>
          <w:divBdr>
            <w:top w:val="none" w:sz="0" w:space="0" w:color="auto"/>
            <w:left w:val="none" w:sz="0" w:space="0" w:color="auto"/>
            <w:bottom w:val="none" w:sz="0" w:space="0" w:color="auto"/>
            <w:right w:val="none" w:sz="0" w:space="0" w:color="auto"/>
          </w:divBdr>
        </w:div>
        <w:div w:id="877665723">
          <w:marLeft w:val="0"/>
          <w:marRight w:val="0"/>
          <w:marTop w:val="0"/>
          <w:marBottom w:val="0"/>
          <w:divBdr>
            <w:top w:val="none" w:sz="0" w:space="0" w:color="auto"/>
            <w:left w:val="none" w:sz="0" w:space="0" w:color="auto"/>
            <w:bottom w:val="none" w:sz="0" w:space="0" w:color="auto"/>
            <w:right w:val="none" w:sz="0" w:space="0" w:color="auto"/>
          </w:divBdr>
        </w:div>
        <w:div w:id="1337344372">
          <w:marLeft w:val="0"/>
          <w:marRight w:val="0"/>
          <w:marTop w:val="0"/>
          <w:marBottom w:val="0"/>
          <w:divBdr>
            <w:top w:val="none" w:sz="0" w:space="0" w:color="auto"/>
            <w:left w:val="none" w:sz="0" w:space="0" w:color="auto"/>
            <w:bottom w:val="none" w:sz="0" w:space="0" w:color="auto"/>
            <w:right w:val="none" w:sz="0" w:space="0" w:color="auto"/>
          </w:divBdr>
        </w:div>
        <w:div w:id="2135564347">
          <w:marLeft w:val="0"/>
          <w:marRight w:val="0"/>
          <w:marTop w:val="0"/>
          <w:marBottom w:val="0"/>
          <w:divBdr>
            <w:top w:val="none" w:sz="0" w:space="0" w:color="auto"/>
            <w:left w:val="none" w:sz="0" w:space="0" w:color="auto"/>
            <w:bottom w:val="none" w:sz="0" w:space="0" w:color="auto"/>
            <w:right w:val="none" w:sz="0" w:space="0" w:color="auto"/>
          </w:divBdr>
        </w:div>
      </w:divsChild>
    </w:div>
    <w:div w:id="339280014">
      <w:bodyDiv w:val="1"/>
      <w:marLeft w:val="0"/>
      <w:marRight w:val="0"/>
      <w:marTop w:val="0"/>
      <w:marBottom w:val="0"/>
      <w:divBdr>
        <w:top w:val="none" w:sz="0" w:space="0" w:color="auto"/>
        <w:left w:val="none" w:sz="0" w:space="0" w:color="auto"/>
        <w:bottom w:val="none" w:sz="0" w:space="0" w:color="auto"/>
        <w:right w:val="none" w:sz="0" w:space="0" w:color="auto"/>
      </w:divBdr>
      <w:divsChild>
        <w:div w:id="875384119">
          <w:marLeft w:val="0"/>
          <w:marRight w:val="0"/>
          <w:marTop w:val="0"/>
          <w:marBottom w:val="0"/>
          <w:divBdr>
            <w:top w:val="none" w:sz="0" w:space="0" w:color="auto"/>
            <w:left w:val="none" w:sz="0" w:space="0" w:color="auto"/>
            <w:bottom w:val="none" w:sz="0" w:space="0" w:color="auto"/>
            <w:right w:val="none" w:sz="0" w:space="0" w:color="auto"/>
          </w:divBdr>
        </w:div>
        <w:div w:id="1661350766">
          <w:marLeft w:val="0"/>
          <w:marRight w:val="0"/>
          <w:marTop w:val="0"/>
          <w:marBottom w:val="0"/>
          <w:divBdr>
            <w:top w:val="none" w:sz="0" w:space="0" w:color="auto"/>
            <w:left w:val="none" w:sz="0" w:space="0" w:color="auto"/>
            <w:bottom w:val="none" w:sz="0" w:space="0" w:color="auto"/>
            <w:right w:val="none" w:sz="0" w:space="0" w:color="auto"/>
          </w:divBdr>
        </w:div>
      </w:divsChild>
    </w:div>
    <w:div w:id="352073938">
      <w:bodyDiv w:val="1"/>
      <w:marLeft w:val="0"/>
      <w:marRight w:val="0"/>
      <w:marTop w:val="0"/>
      <w:marBottom w:val="0"/>
      <w:divBdr>
        <w:top w:val="none" w:sz="0" w:space="0" w:color="auto"/>
        <w:left w:val="none" w:sz="0" w:space="0" w:color="auto"/>
        <w:bottom w:val="none" w:sz="0" w:space="0" w:color="auto"/>
        <w:right w:val="none" w:sz="0" w:space="0" w:color="auto"/>
      </w:divBdr>
      <w:divsChild>
        <w:div w:id="33043890">
          <w:marLeft w:val="0"/>
          <w:marRight w:val="0"/>
          <w:marTop w:val="0"/>
          <w:marBottom w:val="0"/>
          <w:divBdr>
            <w:top w:val="none" w:sz="0" w:space="0" w:color="auto"/>
            <w:left w:val="none" w:sz="0" w:space="0" w:color="auto"/>
            <w:bottom w:val="none" w:sz="0" w:space="0" w:color="auto"/>
            <w:right w:val="none" w:sz="0" w:space="0" w:color="auto"/>
          </w:divBdr>
        </w:div>
        <w:div w:id="1644963786">
          <w:marLeft w:val="0"/>
          <w:marRight w:val="0"/>
          <w:marTop w:val="0"/>
          <w:marBottom w:val="0"/>
          <w:divBdr>
            <w:top w:val="none" w:sz="0" w:space="0" w:color="auto"/>
            <w:left w:val="none" w:sz="0" w:space="0" w:color="auto"/>
            <w:bottom w:val="none" w:sz="0" w:space="0" w:color="auto"/>
            <w:right w:val="none" w:sz="0" w:space="0" w:color="auto"/>
          </w:divBdr>
        </w:div>
      </w:divsChild>
    </w:div>
    <w:div w:id="474565015">
      <w:bodyDiv w:val="1"/>
      <w:marLeft w:val="0"/>
      <w:marRight w:val="0"/>
      <w:marTop w:val="0"/>
      <w:marBottom w:val="0"/>
      <w:divBdr>
        <w:top w:val="none" w:sz="0" w:space="0" w:color="auto"/>
        <w:left w:val="none" w:sz="0" w:space="0" w:color="auto"/>
        <w:bottom w:val="none" w:sz="0" w:space="0" w:color="auto"/>
        <w:right w:val="none" w:sz="0" w:space="0" w:color="auto"/>
      </w:divBdr>
      <w:divsChild>
        <w:div w:id="138152347">
          <w:marLeft w:val="0"/>
          <w:marRight w:val="0"/>
          <w:marTop w:val="0"/>
          <w:marBottom w:val="0"/>
          <w:divBdr>
            <w:top w:val="none" w:sz="0" w:space="0" w:color="auto"/>
            <w:left w:val="none" w:sz="0" w:space="0" w:color="auto"/>
            <w:bottom w:val="none" w:sz="0" w:space="0" w:color="auto"/>
            <w:right w:val="none" w:sz="0" w:space="0" w:color="auto"/>
          </w:divBdr>
        </w:div>
        <w:div w:id="241455417">
          <w:marLeft w:val="0"/>
          <w:marRight w:val="0"/>
          <w:marTop w:val="0"/>
          <w:marBottom w:val="0"/>
          <w:divBdr>
            <w:top w:val="none" w:sz="0" w:space="0" w:color="auto"/>
            <w:left w:val="none" w:sz="0" w:space="0" w:color="auto"/>
            <w:bottom w:val="none" w:sz="0" w:space="0" w:color="auto"/>
            <w:right w:val="none" w:sz="0" w:space="0" w:color="auto"/>
          </w:divBdr>
        </w:div>
      </w:divsChild>
    </w:div>
    <w:div w:id="557470556">
      <w:bodyDiv w:val="1"/>
      <w:marLeft w:val="0"/>
      <w:marRight w:val="0"/>
      <w:marTop w:val="0"/>
      <w:marBottom w:val="0"/>
      <w:divBdr>
        <w:top w:val="none" w:sz="0" w:space="0" w:color="auto"/>
        <w:left w:val="none" w:sz="0" w:space="0" w:color="auto"/>
        <w:bottom w:val="none" w:sz="0" w:space="0" w:color="auto"/>
        <w:right w:val="none" w:sz="0" w:space="0" w:color="auto"/>
      </w:divBdr>
    </w:div>
    <w:div w:id="604072400">
      <w:bodyDiv w:val="1"/>
      <w:marLeft w:val="0"/>
      <w:marRight w:val="0"/>
      <w:marTop w:val="0"/>
      <w:marBottom w:val="0"/>
      <w:divBdr>
        <w:top w:val="none" w:sz="0" w:space="0" w:color="auto"/>
        <w:left w:val="none" w:sz="0" w:space="0" w:color="auto"/>
        <w:bottom w:val="none" w:sz="0" w:space="0" w:color="auto"/>
        <w:right w:val="none" w:sz="0" w:space="0" w:color="auto"/>
      </w:divBdr>
      <w:divsChild>
        <w:div w:id="989678922">
          <w:marLeft w:val="0"/>
          <w:marRight w:val="0"/>
          <w:marTop w:val="0"/>
          <w:marBottom w:val="0"/>
          <w:divBdr>
            <w:top w:val="none" w:sz="0" w:space="0" w:color="auto"/>
            <w:left w:val="none" w:sz="0" w:space="0" w:color="auto"/>
            <w:bottom w:val="none" w:sz="0" w:space="0" w:color="auto"/>
            <w:right w:val="none" w:sz="0" w:space="0" w:color="auto"/>
          </w:divBdr>
        </w:div>
        <w:div w:id="1661159017">
          <w:marLeft w:val="0"/>
          <w:marRight w:val="0"/>
          <w:marTop w:val="0"/>
          <w:marBottom w:val="0"/>
          <w:divBdr>
            <w:top w:val="none" w:sz="0" w:space="0" w:color="auto"/>
            <w:left w:val="none" w:sz="0" w:space="0" w:color="auto"/>
            <w:bottom w:val="none" w:sz="0" w:space="0" w:color="auto"/>
            <w:right w:val="none" w:sz="0" w:space="0" w:color="auto"/>
          </w:divBdr>
        </w:div>
      </w:divsChild>
    </w:div>
    <w:div w:id="614479059">
      <w:bodyDiv w:val="1"/>
      <w:marLeft w:val="0"/>
      <w:marRight w:val="0"/>
      <w:marTop w:val="0"/>
      <w:marBottom w:val="0"/>
      <w:divBdr>
        <w:top w:val="none" w:sz="0" w:space="0" w:color="auto"/>
        <w:left w:val="none" w:sz="0" w:space="0" w:color="auto"/>
        <w:bottom w:val="none" w:sz="0" w:space="0" w:color="auto"/>
        <w:right w:val="none" w:sz="0" w:space="0" w:color="auto"/>
      </w:divBdr>
      <w:divsChild>
        <w:div w:id="6836929">
          <w:marLeft w:val="0"/>
          <w:marRight w:val="0"/>
          <w:marTop w:val="0"/>
          <w:marBottom w:val="0"/>
          <w:divBdr>
            <w:top w:val="none" w:sz="0" w:space="0" w:color="auto"/>
            <w:left w:val="none" w:sz="0" w:space="0" w:color="auto"/>
            <w:bottom w:val="none" w:sz="0" w:space="0" w:color="auto"/>
            <w:right w:val="none" w:sz="0" w:space="0" w:color="auto"/>
          </w:divBdr>
        </w:div>
        <w:div w:id="26034190">
          <w:marLeft w:val="0"/>
          <w:marRight w:val="0"/>
          <w:marTop w:val="0"/>
          <w:marBottom w:val="0"/>
          <w:divBdr>
            <w:top w:val="none" w:sz="0" w:space="0" w:color="auto"/>
            <w:left w:val="none" w:sz="0" w:space="0" w:color="auto"/>
            <w:bottom w:val="none" w:sz="0" w:space="0" w:color="auto"/>
            <w:right w:val="none" w:sz="0" w:space="0" w:color="auto"/>
          </w:divBdr>
        </w:div>
        <w:div w:id="265386518">
          <w:marLeft w:val="0"/>
          <w:marRight w:val="0"/>
          <w:marTop w:val="0"/>
          <w:marBottom w:val="0"/>
          <w:divBdr>
            <w:top w:val="none" w:sz="0" w:space="0" w:color="auto"/>
            <w:left w:val="none" w:sz="0" w:space="0" w:color="auto"/>
            <w:bottom w:val="none" w:sz="0" w:space="0" w:color="auto"/>
            <w:right w:val="none" w:sz="0" w:space="0" w:color="auto"/>
          </w:divBdr>
        </w:div>
        <w:div w:id="298652306">
          <w:marLeft w:val="0"/>
          <w:marRight w:val="0"/>
          <w:marTop w:val="0"/>
          <w:marBottom w:val="0"/>
          <w:divBdr>
            <w:top w:val="none" w:sz="0" w:space="0" w:color="auto"/>
            <w:left w:val="none" w:sz="0" w:space="0" w:color="auto"/>
            <w:bottom w:val="none" w:sz="0" w:space="0" w:color="auto"/>
            <w:right w:val="none" w:sz="0" w:space="0" w:color="auto"/>
          </w:divBdr>
        </w:div>
        <w:div w:id="1170214433">
          <w:marLeft w:val="0"/>
          <w:marRight w:val="0"/>
          <w:marTop w:val="0"/>
          <w:marBottom w:val="0"/>
          <w:divBdr>
            <w:top w:val="none" w:sz="0" w:space="0" w:color="auto"/>
            <w:left w:val="none" w:sz="0" w:space="0" w:color="auto"/>
            <w:bottom w:val="none" w:sz="0" w:space="0" w:color="auto"/>
            <w:right w:val="none" w:sz="0" w:space="0" w:color="auto"/>
          </w:divBdr>
        </w:div>
        <w:div w:id="1185096322">
          <w:marLeft w:val="0"/>
          <w:marRight w:val="0"/>
          <w:marTop w:val="0"/>
          <w:marBottom w:val="0"/>
          <w:divBdr>
            <w:top w:val="none" w:sz="0" w:space="0" w:color="auto"/>
            <w:left w:val="none" w:sz="0" w:space="0" w:color="auto"/>
            <w:bottom w:val="none" w:sz="0" w:space="0" w:color="auto"/>
            <w:right w:val="none" w:sz="0" w:space="0" w:color="auto"/>
          </w:divBdr>
        </w:div>
        <w:div w:id="1477339861">
          <w:marLeft w:val="0"/>
          <w:marRight w:val="0"/>
          <w:marTop w:val="0"/>
          <w:marBottom w:val="0"/>
          <w:divBdr>
            <w:top w:val="none" w:sz="0" w:space="0" w:color="auto"/>
            <w:left w:val="none" w:sz="0" w:space="0" w:color="auto"/>
            <w:bottom w:val="none" w:sz="0" w:space="0" w:color="auto"/>
            <w:right w:val="none" w:sz="0" w:space="0" w:color="auto"/>
          </w:divBdr>
        </w:div>
        <w:div w:id="1762606015">
          <w:marLeft w:val="0"/>
          <w:marRight w:val="0"/>
          <w:marTop w:val="0"/>
          <w:marBottom w:val="0"/>
          <w:divBdr>
            <w:top w:val="none" w:sz="0" w:space="0" w:color="auto"/>
            <w:left w:val="none" w:sz="0" w:space="0" w:color="auto"/>
            <w:bottom w:val="none" w:sz="0" w:space="0" w:color="auto"/>
            <w:right w:val="none" w:sz="0" w:space="0" w:color="auto"/>
          </w:divBdr>
        </w:div>
        <w:div w:id="1877235581">
          <w:marLeft w:val="0"/>
          <w:marRight w:val="0"/>
          <w:marTop w:val="0"/>
          <w:marBottom w:val="0"/>
          <w:divBdr>
            <w:top w:val="none" w:sz="0" w:space="0" w:color="auto"/>
            <w:left w:val="none" w:sz="0" w:space="0" w:color="auto"/>
            <w:bottom w:val="none" w:sz="0" w:space="0" w:color="auto"/>
            <w:right w:val="none" w:sz="0" w:space="0" w:color="auto"/>
          </w:divBdr>
        </w:div>
        <w:div w:id="1944142529">
          <w:marLeft w:val="0"/>
          <w:marRight w:val="0"/>
          <w:marTop w:val="0"/>
          <w:marBottom w:val="0"/>
          <w:divBdr>
            <w:top w:val="none" w:sz="0" w:space="0" w:color="auto"/>
            <w:left w:val="none" w:sz="0" w:space="0" w:color="auto"/>
            <w:bottom w:val="none" w:sz="0" w:space="0" w:color="auto"/>
            <w:right w:val="none" w:sz="0" w:space="0" w:color="auto"/>
          </w:divBdr>
        </w:div>
        <w:div w:id="1946884336">
          <w:marLeft w:val="0"/>
          <w:marRight w:val="0"/>
          <w:marTop w:val="0"/>
          <w:marBottom w:val="0"/>
          <w:divBdr>
            <w:top w:val="none" w:sz="0" w:space="0" w:color="auto"/>
            <w:left w:val="none" w:sz="0" w:space="0" w:color="auto"/>
            <w:bottom w:val="none" w:sz="0" w:space="0" w:color="auto"/>
            <w:right w:val="none" w:sz="0" w:space="0" w:color="auto"/>
          </w:divBdr>
        </w:div>
      </w:divsChild>
    </w:div>
    <w:div w:id="617831498">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715660468">
      <w:bodyDiv w:val="1"/>
      <w:marLeft w:val="0"/>
      <w:marRight w:val="0"/>
      <w:marTop w:val="0"/>
      <w:marBottom w:val="0"/>
      <w:divBdr>
        <w:top w:val="none" w:sz="0" w:space="0" w:color="auto"/>
        <w:left w:val="none" w:sz="0" w:space="0" w:color="auto"/>
        <w:bottom w:val="none" w:sz="0" w:space="0" w:color="auto"/>
        <w:right w:val="none" w:sz="0" w:space="0" w:color="auto"/>
      </w:divBdr>
    </w:div>
    <w:div w:id="724724147">
      <w:bodyDiv w:val="1"/>
      <w:marLeft w:val="0"/>
      <w:marRight w:val="0"/>
      <w:marTop w:val="0"/>
      <w:marBottom w:val="0"/>
      <w:divBdr>
        <w:top w:val="none" w:sz="0" w:space="0" w:color="auto"/>
        <w:left w:val="none" w:sz="0" w:space="0" w:color="auto"/>
        <w:bottom w:val="none" w:sz="0" w:space="0" w:color="auto"/>
        <w:right w:val="none" w:sz="0" w:space="0" w:color="auto"/>
      </w:divBdr>
      <w:divsChild>
        <w:div w:id="419570361">
          <w:marLeft w:val="0"/>
          <w:marRight w:val="0"/>
          <w:marTop w:val="0"/>
          <w:marBottom w:val="0"/>
          <w:divBdr>
            <w:top w:val="none" w:sz="0" w:space="0" w:color="auto"/>
            <w:left w:val="none" w:sz="0" w:space="0" w:color="auto"/>
            <w:bottom w:val="none" w:sz="0" w:space="0" w:color="auto"/>
            <w:right w:val="none" w:sz="0" w:space="0" w:color="auto"/>
          </w:divBdr>
        </w:div>
        <w:div w:id="667102558">
          <w:marLeft w:val="0"/>
          <w:marRight w:val="0"/>
          <w:marTop w:val="0"/>
          <w:marBottom w:val="0"/>
          <w:divBdr>
            <w:top w:val="none" w:sz="0" w:space="0" w:color="auto"/>
            <w:left w:val="none" w:sz="0" w:space="0" w:color="auto"/>
            <w:bottom w:val="none" w:sz="0" w:space="0" w:color="auto"/>
            <w:right w:val="none" w:sz="0" w:space="0" w:color="auto"/>
          </w:divBdr>
        </w:div>
        <w:div w:id="749696752">
          <w:marLeft w:val="0"/>
          <w:marRight w:val="0"/>
          <w:marTop w:val="0"/>
          <w:marBottom w:val="0"/>
          <w:divBdr>
            <w:top w:val="none" w:sz="0" w:space="0" w:color="auto"/>
            <w:left w:val="none" w:sz="0" w:space="0" w:color="auto"/>
            <w:bottom w:val="none" w:sz="0" w:space="0" w:color="auto"/>
            <w:right w:val="none" w:sz="0" w:space="0" w:color="auto"/>
          </w:divBdr>
        </w:div>
        <w:div w:id="1879318254">
          <w:marLeft w:val="0"/>
          <w:marRight w:val="0"/>
          <w:marTop w:val="0"/>
          <w:marBottom w:val="0"/>
          <w:divBdr>
            <w:top w:val="none" w:sz="0" w:space="0" w:color="auto"/>
            <w:left w:val="none" w:sz="0" w:space="0" w:color="auto"/>
            <w:bottom w:val="none" w:sz="0" w:space="0" w:color="auto"/>
            <w:right w:val="none" w:sz="0" w:space="0" w:color="auto"/>
          </w:divBdr>
        </w:div>
        <w:div w:id="2062441443">
          <w:marLeft w:val="0"/>
          <w:marRight w:val="0"/>
          <w:marTop w:val="0"/>
          <w:marBottom w:val="0"/>
          <w:divBdr>
            <w:top w:val="none" w:sz="0" w:space="0" w:color="auto"/>
            <w:left w:val="none" w:sz="0" w:space="0" w:color="auto"/>
            <w:bottom w:val="none" w:sz="0" w:space="0" w:color="auto"/>
            <w:right w:val="none" w:sz="0" w:space="0" w:color="auto"/>
          </w:divBdr>
        </w:div>
        <w:div w:id="2067681750">
          <w:marLeft w:val="0"/>
          <w:marRight w:val="0"/>
          <w:marTop w:val="0"/>
          <w:marBottom w:val="0"/>
          <w:divBdr>
            <w:top w:val="none" w:sz="0" w:space="0" w:color="auto"/>
            <w:left w:val="none" w:sz="0" w:space="0" w:color="auto"/>
            <w:bottom w:val="none" w:sz="0" w:space="0" w:color="auto"/>
            <w:right w:val="none" w:sz="0" w:space="0" w:color="auto"/>
          </w:divBdr>
        </w:div>
        <w:div w:id="2128153844">
          <w:marLeft w:val="0"/>
          <w:marRight w:val="0"/>
          <w:marTop w:val="0"/>
          <w:marBottom w:val="0"/>
          <w:divBdr>
            <w:top w:val="none" w:sz="0" w:space="0" w:color="auto"/>
            <w:left w:val="none" w:sz="0" w:space="0" w:color="auto"/>
            <w:bottom w:val="none" w:sz="0" w:space="0" w:color="auto"/>
            <w:right w:val="none" w:sz="0" w:space="0" w:color="auto"/>
          </w:divBdr>
        </w:div>
      </w:divsChild>
    </w:div>
    <w:div w:id="747504705">
      <w:bodyDiv w:val="1"/>
      <w:marLeft w:val="0"/>
      <w:marRight w:val="0"/>
      <w:marTop w:val="0"/>
      <w:marBottom w:val="0"/>
      <w:divBdr>
        <w:top w:val="none" w:sz="0" w:space="0" w:color="auto"/>
        <w:left w:val="none" w:sz="0" w:space="0" w:color="auto"/>
        <w:bottom w:val="none" w:sz="0" w:space="0" w:color="auto"/>
        <w:right w:val="none" w:sz="0" w:space="0" w:color="auto"/>
      </w:divBdr>
    </w:div>
    <w:div w:id="760762878">
      <w:bodyDiv w:val="1"/>
      <w:marLeft w:val="0"/>
      <w:marRight w:val="0"/>
      <w:marTop w:val="0"/>
      <w:marBottom w:val="0"/>
      <w:divBdr>
        <w:top w:val="none" w:sz="0" w:space="0" w:color="auto"/>
        <w:left w:val="none" w:sz="0" w:space="0" w:color="auto"/>
        <w:bottom w:val="none" w:sz="0" w:space="0" w:color="auto"/>
        <w:right w:val="none" w:sz="0" w:space="0" w:color="auto"/>
      </w:divBdr>
      <w:divsChild>
        <w:div w:id="330639867">
          <w:marLeft w:val="0"/>
          <w:marRight w:val="0"/>
          <w:marTop w:val="0"/>
          <w:marBottom w:val="0"/>
          <w:divBdr>
            <w:top w:val="none" w:sz="0" w:space="0" w:color="auto"/>
            <w:left w:val="none" w:sz="0" w:space="0" w:color="auto"/>
            <w:bottom w:val="none" w:sz="0" w:space="0" w:color="auto"/>
            <w:right w:val="none" w:sz="0" w:space="0" w:color="auto"/>
          </w:divBdr>
        </w:div>
        <w:div w:id="470292486">
          <w:marLeft w:val="0"/>
          <w:marRight w:val="0"/>
          <w:marTop w:val="0"/>
          <w:marBottom w:val="0"/>
          <w:divBdr>
            <w:top w:val="none" w:sz="0" w:space="0" w:color="auto"/>
            <w:left w:val="none" w:sz="0" w:space="0" w:color="auto"/>
            <w:bottom w:val="none" w:sz="0" w:space="0" w:color="auto"/>
            <w:right w:val="none" w:sz="0" w:space="0" w:color="auto"/>
          </w:divBdr>
        </w:div>
        <w:div w:id="713503115">
          <w:marLeft w:val="0"/>
          <w:marRight w:val="0"/>
          <w:marTop w:val="0"/>
          <w:marBottom w:val="0"/>
          <w:divBdr>
            <w:top w:val="none" w:sz="0" w:space="0" w:color="auto"/>
            <w:left w:val="none" w:sz="0" w:space="0" w:color="auto"/>
            <w:bottom w:val="none" w:sz="0" w:space="0" w:color="auto"/>
            <w:right w:val="none" w:sz="0" w:space="0" w:color="auto"/>
          </w:divBdr>
        </w:div>
        <w:div w:id="767577772">
          <w:marLeft w:val="0"/>
          <w:marRight w:val="0"/>
          <w:marTop w:val="0"/>
          <w:marBottom w:val="0"/>
          <w:divBdr>
            <w:top w:val="none" w:sz="0" w:space="0" w:color="auto"/>
            <w:left w:val="none" w:sz="0" w:space="0" w:color="auto"/>
            <w:bottom w:val="none" w:sz="0" w:space="0" w:color="auto"/>
            <w:right w:val="none" w:sz="0" w:space="0" w:color="auto"/>
          </w:divBdr>
        </w:div>
        <w:div w:id="927924256">
          <w:marLeft w:val="0"/>
          <w:marRight w:val="0"/>
          <w:marTop w:val="0"/>
          <w:marBottom w:val="0"/>
          <w:divBdr>
            <w:top w:val="none" w:sz="0" w:space="0" w:color="auto"/>
            <w:left w:val="none" w:sz="0" w:space="0" w:color="auto"/>
            <w:bottom w:val="none" w:sz="0" w:space="0" w:color="auto"/>
            <w:right w:val="none" w:sz="0" w:space="0" w:color="auto"/>
          </w:divBdr>
        </w:div>
        <w:div w:id="1625311320">
          <w:marLeft w:val="0"/>
          <w:marRight w:val="0"/>
          <w:marTop w:val="0"/>
          <w:marBottom w:val="0"/>
          <w:divBdr>
            <w:top w:val="none" w:sz="0" w:space="0" w:color="auto"/>
            <w:left w:val="none" w:sz="0" w:space="0" w:color="auto"/>
            <w:bottom w:val="none" w:sz="0" w:space="0" w:color="auto"/>
            <w:right w:val="none" w:sz="0" w:space="0" w:color="auto"/>
          </w:divBdr>
        </w:div>
        <w:div w:id="1781757755">
          <w:marLeft w:val="0"/>
          <w:marRight w:val="0"/>
          <w:marTop w:val="0"/>
          <w:marBottom w:val="0"/>
          <w:divBdr>
            <w:top w:val="none" w:sz="0" w:space="0" w:color="auto"/>
            <w:left w:val="none" w:sz="0" w:space="0" w:color="auto"/>
            <w:bottom w:val="none" w:sz="0" w:space="0" w:color="auto"/>
            <w:right w:val="none" w:sz="0" w:space="0" w:color="auto"/>
          </w:divBdr>
        </w:div>
      </w:divsChild>
    </w:div>
    <w:div w:id="798568876">
      <w:bodyDiv w:val="1"/>
      <w:marLeft w:val="0"/>
      <w:marRight w:val="0"/>
      <w:marTop w:val="0"/>
      <w:marBottom w:val="0"/>
      <w:divBdr>
        <w:top w:val="none" w:sz="0" w:space="0" w:color="auto"/>
        <w:left w:val="none" w:sz="0" w:space="0" w:color="auto"/>
        <w:bottom w:val="none" w:sz="0" w:space="0" w:color="auto"/>
        <w:right w:val="none" w:sz="0" w:space="0" w:color="auto"/>
      </w:divBdr>
    </w:div>
    <w:div w:id="840512893">
      <w:bodyDiv w:val="1"/>
      <w:marLeft w:val="0"/>
      <w:marRight w:val="0"/>
      <w:marTop w:val="0"/>
      <w:marBottom w:val="0"/>
      <w:divBdr>
        <w:top w:val="none" w:sz="0" w:space="0" w:color="auto"/>
        <w:left w:val="none" w:sz="0" w:space="0" w:color="auto"/>
        <w:bottom w:val="none" w:sz="0" w:space="0" w:color="auto"/>
        <w:right w:val="none" w:sz="0" w:space="0" w:color="auto"/>
      </w:divBdr>
      <w:divsChild>
        <w:div w:id="640577030">
          <w:marLeft w:val="0"/>
          <w:marRight w:val="0"/>
          <w:marTop w:val="0"/>
          <w:marBottom w:val="0"/>
          <w:divBdr>
            <w:top w:val="none" w:sz="0" w:space="0" w:color="auto"/>
            <w:left w:val="none" w:sz="0" w:space="0" w:color="auto"/>
            <w:bottom w:val="none" w:sz="0" w:space="0" w:color="auto"/>
            <w:right w:val="none" w:sz="0" w:space="0" w:color="auto"/>
          </w:divBdr>
        </w:div>
        <w:div w:id="773088688">
          <w:marLeft w:val="0"/>
          <w:marRight w:val="0"/>
          <w:marTop w:val="0"/>
          <w:marBottom w:val="0"/>
          <w:divBdr>
            <w:top w:val="none" w:sz="0" w:space="0" w:color="auto"/>
            <w:left w:val="none" w:sz="0" w:space="0" w:color="auto"/>
            <w:bottom w:val="none" w:sz="0" w:space="0" w:color="auto"/>
            <w:right w:val="none" w:sz="0" w:space="0" w:color="auto"/>
          </w:divBdr>
        </w:div>
        <w:div w:id="903951682">
          <w:marLeft w:val="0"/>
          <w:marRight w:val="0"/>
          <w:marTop w:val="0"/>
          <w:marBottom w:val="0"/>
          <w:divBdr>
            <w:top w:val="none" w:sz="0" w:space="0" w:color="auto"/>
            <w:left w:val="none" w:sz="0" w:space="0" w:color="auto"/>
            <w:bottom w:val="none" w:sz="0" w:space="0" w:color="auto"/>
            <w:right w:val="none" w:sz="0" w:space="0" w:color="auto"/>
          </w:divBdr>
        </w:div>
        <w:div w:id="2083748059">
          <w:marLeft w:val="0"/>
          <w:marRight w:val="0"/>
          <w:marTop w:val="0"/>
          <w:marBottom w:val="0"/>
          <w:divBdr>
            <w:top w:val="none" w:sz="0" w:space="0" w:color="auto"/>
            <w:left w:val="none" w:sz="0" w:space="0" w:color="auto"/>
            <w:bottom w:val="none" w:sz="0" w:space="0" w:color="auto"/>
            <w:right w:val="none" w:sz="0" w:space="0" w:color="auto"/>
          </w:divBdr>
        </w:div>
        <w:div w:id="2134126500">
          <w:marLeft w:val="0"/>
          <w:marRight w:val="0"/>
          <w:marTop w:val="0"/>
          <w:marBottom w:val="0"/>
          <w:divBdr>
            <w:top w:val="none" w:sz="0" w:space="0" w:color="auto"/>
            <w:left w:val="none" w:sz="0" w:space="0" w:color="auto"/>
            <w:bottom w:val="none" w:sz="0" w:space="0" w:color="auto"/>
            <w:right w:val="none" w:sz="0" w:space="0" w:color="auto"/>
          </w:divBdr>
        </w:div>
      </w:divsChild>
    </w:div>
    <w:div w:id="899629695">
      <w:bodyDiv w:val="1"/>
      <w:marLeft w:val="0"/>
      <w:marRight w:val="0"/>
      <w:marTop w:val="0"/>
      <w:marBottom w:val="0"/>
      <w:divBdr>
        <w:top w:val="none" w:sz="0" w:space="0" w:color="auto"/>
        <w:left w:val="none" w:sz="0" w:space="0" w:color="auto"/>
        <w:bottom w:val="none" w:sz="0" w:space="0" w:color="auto"/>
        <w:right w:val="none" w:sz="0" w:space="0" w:color="auto"/>
      </w:divBdr>
      <w:divsChild>
        <w:div w:id="69280975">
          <w:marLeft w:val="0"/>
          <w:marRight w:val="0"/>
          <w:marTop w:val="0"/>
          <w:marBottom w:val="0"/>
          <w:divBdr>
            <w:top w:val="none" w:sz="0" w:space="0" w:color="auto"/>
            <w:left w:val="none" w:sz="0" w:space="0" w:color="auto"/>
            <w:bottom w:val="none" w:sz="0" w:space="0" w:color="auto"/>
            <w:right w:val="none" w:sz="0" w:space="0" w:color="auto"/>
          </w:divBdr>
        </w:div>
        <w:div w:id="289940117">
          <w:marLeft w:val="0"/>
          <w:marRight w:val="0"/>
          <w:marTop w:val="0"/>
          <w:marBottom w:val="0"/>
          <w:divBdr>
            <w:top w:val="none" w:sz="0" w:space="0" w:color="auto"/>
            <w:left w:val="none" w:sz="0" w:space="0" w:color="auto"/>
            <w:bottom w:val="none" w:sz="0" w:space="0" w:color="auto"/>
            <w:right w:val="none" w:sz="0" w:space="0" w:color="auto"/>
          </w:divBdr>
        </w:div>
        <w:div w:id="313220157">
          <w:marLeft w:val="0"/>
          <w:marRight w:val="0"/>
          <w:marTop w:val="0"/>
          <w:marBottom w:val="0"/>
          <w:divBdr>
            <w:top w:val="none" w:sz="0" w:space="0" w:color="auto"/>
            <w:left w:val="none" w:sz="0" w:space="0" w:color="auto"/>
            <w:bottom w:val="none" w:sz="0" w:space="0" w:color="auto"/>
            <w:right w:val="none" w:sz="0" w:space="0" w:color="auto"/>
          </w:divBdr>
        </w:div>
        <w:div w:id="1034379581">
          <w:marLeft w:val="0"/>
          <w:marRight w:val="0"/>
          <w:marTop w:val="0"/>
          <w:marBottom w:val="0"/>
          <w:divBdr>
            <w:top w:val="none" w:sz="0" w:space="0" w:color="auto"/>
            <w:left w:val="none" w:sz="0" w:space="0" w:color="auto"/>
            <w:bottom w:val="none" w:sz="0" w:space="0" w:color="auto"/>
            <w:right w:val="none" w:sz="0" w:space="0" w:color="auto"/>
          </w:divBdr>
        </w:div>
        <w:div w:id="1142114613">
          <w:marLeft w:val="0"/>
          <w:marRight w:val="0"/>
          <w:marTop w:val="0"/>
          <w:marBottom w:val="0"/>
          <w:divBdr>
            <w:top w:val="none" w:sz="0" w:space="0" w:color="auto"/>
            <w:left w:val="none" w:sz="0" w:space="0" w:color="auto"/>
            <w:bottom w:val="none" w:sz="0" w:space="0" w:color="auto"/>
            <w:right w:val="none" w:sz="0" w:space="0" w:color="auto"/>
          </w:divBdr>
        </w:div>
        <w:div w:id="1296833368">
          <w:marLeft w:val="0"/>
          <w:marRight w:val="0"/>
          <w:marTop w:val="0"/>
          <w:marBottom w:val="0"/>
          <w:divBdr>
            <w:top w:val="none" w:sz="0" w:space="0" w:color="auto"/>
            <w:left w:val="none" w:sz="0" w:space="0" w:color="auto"/>
            <w:bottom w:val="none" w:sz="0" w:space="0" w:color="auto"/>
            <w:right w:val="none" w:sz="0" w:space="0" w:color="auto"/>
          </w:divBdr>
        </w:div>
      </w:divsChild>
    </w:div>
    <w:div w:id="971210507">
      <w:bodyDiv w:val="1"/>
      <w:marLeft w:val="0"/>
      <w:marRight w:val="0"/>
      <w:marTop w:val="0"/>
      <w:marBottom w:val="0"/>
      <w:divBdr>
        <w:top w:val="none" w:sz="0" w:space="0" w:color="auto"/>
        <w:left w:val="none" w:sz="0" w:space="0" w:color="auto"/>
        <w:bottom w:val="none" w:sz="0" w:space="0" w:color="auto"/>
        <w:right w:val="none" w:sz="0" w:space="0" w:color="auto"/>
      </w:divBdr>
    </w:div>
    <w:div w:id="1007488348">
      <w:bodyDiv w:val="1"/>
      <w:marLeft w:val="0"/>
      <w:marRight w:val="0"/>
      <w:marTop w:val="0"/>
      <w:marBottom w:val="0"/>
      <w:divBdr>
        <w:top w:val="none" w:sz="0" w:space="0" w:color="auto"/>
        <w:left w:val="none" w:sz="0" w:space="0" w:color="auto"/>
        <w:bottom w:val="none" w:sz="0" w:space="0" w:color="auto"/>
        <w:right w:val="none" w:sz="0" w:space="0" w:color="auto"/>
      </w:divBdr>
    </w:div>
    <w:div w:id="1059481408">
      <w:bodyDiv w:val="1"/>
      <w:marLeft w:val="0"/>
      <w:marRight w:val="0"/>
      <w:marTop w:val="0"/>
      <w:marBottom w:val="0"/>
      <w:divBdr>
        <w:top w:val="none" w:sz="0" w:space="0" w:color="auto"/>
        <w:left w:val="none" w:sz="0" w:space="0" w:color="auto"/>
        <w:bottom w:val="none" w:sz="0" w:space="0" w:color="auto"/>
        <w:right w:val="none" w:sz="0" w:space="0" w:color="auto"/>
      </w:divBdr>
    </w:div>
    <w:div w:id="1142189779">
      <w:bodyDiv w:val="1"/>
      <w:marLeft w:val="0"/>
      <w:marRight w:val="0"/>
      <w:marTop w:val="0"/>
      <w:marBottom w:val="0"/>
      <w:divBdr>
        <w:top w:val="none" w:sz="0" w:space="0" w:color="auto"/>
        <w:left w:val="none" w:sz="0" w:space="0" w:color="auto"/>
        <w:bottom w:val="none" w:sz="0" w:space="0" w:color="auto"/>
        <w:right w:val="none" w:sz="0" w:space="0" w:color="auto"/>
      </w:divBdr>
      <w:divsChild>
        <w:div w:id="794716499">
          <w:marLeft w:val="0"/>
          <w:marRight w:val="0"/>
          <w:marTop w:val="0"/>
          <w:marBottom w:val="0"/>
          <w:divBdr>
            <w:top w:val="none" w:sz="0" w:space="0" w:color="auto"/>
            <w:left w:val="none" w:sz="0" w:space="0" w:color="auto"/>
            <w:bottom w:val="none" w:sz="0" w:space="0" w:color="auto"/>
            <w:right w:val="none" w:sz="0" w:space="0" w:color="auto"/>
          </w:divBdr>
        </w:div>
        <w:div w:id="1021931683">
          <w:marLeft w:val="0"/>
          <w:marRight w:val="0"/>
          <w:marTop w:val="0"/>
          <w:marBottom w:val="0"/>
          <w:divBdr>
            <w:top w:val="none" w:sz="0" w:space="0" w:color="auto"/>
            <w:left w:val="none" w:sz="0" w:space="0" w:color="auto"/>
            <w:bottom w:val="none" w:sz="0" w:space="0" w:color="auto"/>
            <w:right w:val="none" w:sz="0" w:space="0" w:color="auto"/>
          </w:divBdr>
        </w:div>
        <w:div w:id="1443303536">
          <w:marLeft w:val="0"/>
          <w:marRight w:val="0"/>
          <w:marTop w:val="0"/>
          <w:marBottom w:val="0"/>
          <w:divBdr>
            <w:top w:val="none" w:sz="0" w:space="0" w:color="auto"/>
            <w:left w:val="none" w:sz="0" w:space="0" w:color="auto"/>
            <w:bottom w:val="none" w:sz="0" w:space="0" w:color="auto"/>
            <w:right w:val="none" w:sz="0" w:space="0" w:color="auto"/>
          </w:divBdr>
        </w:div>
      </w:divsChild>
    </w:div>
    <w:div w:id="1170943509">
      <w:bodyDiv w:val="1"/>
      <w:marLeft w:val="0"/>
      <w:marRight w:val="0"/>
      <w:marTop w:val="0"/>
      <w:marBottom w:val="0"/>
      <w:divBdr>
        <w:top w:val="none" w:sz="0" w:space="0" w:color="auto"/>
        <w:left w:val="none" w:sz="0" w:space="0" w:color="auto"/>
        <w:bottom w:val="none" w:sz="0" w:space="0" w:color="auto"/>
        <w:right w:val="none" w:sz="0" w:space="0" w:color="auto"/>
      </w:divBdr>
      <w:divsChild>
        <w:div w:id="1164857275">
          <w:marLeft w:val="0"/>
          <w:marRight w:val="0"/>
          <w:marTop w:val="0"/>
          <w:marBottom w:val="0"/>
          <w:divBdr>
            <w:top w:val="none" w:sz="0" w:space="0" w:color="auto"/>
            <w:left w:val="none" w:sz="0" w:space="0" w:color="auto"/>
            <w:bottom w:val="none" w:sz="0" w:space="0" w:color="auto"/>
            <w:right w:val="none" w:sz="0" w:space="0" w:color="auto"/>
          </w:divBdr>
        </w:div>
        <w:div w:id="1338771615">
          <w:marLeft w:val="0"/>
          <w:marRight w:val="0"/>
          <w:marTop w:val="0"/>
          <w:marBottom w:val="0"/>
          <w:divBdr>
            <w:top w:val="none" w:sz="0" w:space="0" w:color="auto"/>
            <w:left w:val="none" w:sz="0" w:space="0" w:color="auto"/>
            <w:bottom w:val="none" w:sz="0" w:space="0" w:color="auto"/>
            <w:right w:val="none" w:sz="0" w:space="0" w:color="auto"/>
          </w:divBdr>
        </w:div>
      </w:divsChild>
    </w:div>
    <w:div w:id="1173641986">
      <w:bodyDiv w:val="1"/>
      <w:marLeft w:val="0"/>
      <w:marRight w:val="0"/>
      <w:marTop w:val="0"/>
      <w:marBottom w:val="0"/>
      <w:divBdr>
        <w:top w:val="none" w:sz="0" w:space="0" w:color="auto"/>
        <w:left w:val="none" w:sz="0" w:space="0" w:color="auto"/>
        <w:bottom w:val="none" w:sz="0" w:space="0" w:color="auto"/>
        <w:right w:val="none" w:sz="0" w:space="0" w:color="auto"/>
      </w:divBdr>
    </w:div>
    <w:div w:id="1317033303">
      <w:bodyDiv w:val="1"/>
      <w:marLeft w:val="0"/>
      <w:marRight w:val="0"/>
      <w:marTop w:val="0"/>
      <w:marBottom w:val="0"/>
      <w:divBdr>
        <w:top w:val="none" w:sz="0" w:space="0" w:color="auto"/>
        <w:left w:val="none" w:sz="0" w:space="0" w:color="auto"/>
        <w:bottom w:val="none" w:sz="0" w:space="0" w:color="auto"/>
        <w:right w:val="none" w:sz="0" w:space="0" w:color="auto"/>
      </w:divBdr>
    </w:div>
    <w:div w:id="1428963613">
      <w:bodyDiv w:val="1"/>
      <w:marLeft w:val="0"/>
      <w:marRight w:val="0"/>
      <w:marTop w:val="0"/>
      <w:marBottom w:val="0"/>
      <w:divBdr>
        <w:top w:val="none" w:sz="0" w:space="0" w:color="auto"/>
        <w:left w:val="none" w:sz="0" w:space="0" w:color="auto"/>
        <w:bottom w:val="none" w:sz="0" w:space="0" w:color="auto"/>
        <w:right w:val="none" w:sz="0" w:space="0" w:color="auto"/>
      </w:divBdr>
    </w:div>
    <w:div w:id="1483735215">
      <w:bodyDiv w:val="1"/>
      <w:marLeft w:val="0"/>
      <w:marRight w:val="0"/>
      <w:marTop w:val="0"/>
      <w:marBottom w:val="0"/>
      <w:divBdr>
        <w:top w:val="none" w:sz="0" w:space="0" w:color="auto"/>
        <w:left w:val="none" w:sz="0" w:space="0" w:color="auto"/>
        <w:bottom w:val="none" w:sz="0" w:space="0" w:color="auto"/>
        <w:right w:val="none" w:sz="0" w:space="0" w:color="auto"/>
      </w:divBdr>
    </w:div>
    <w:div w:id="1551303828">
      <w:bodyDiv w:val="1"/>
      <w:marLeft w:val="0"/>
      <w:marRight w:val="0"/>
      <w:marTop w:val="0"/>
      <w:marBottom w:val="0"/>
      <w:divBdr>
        <w:top w:val="none" w:sz="0" w:space="0" w:color="auto"/>
        <w:left w:val="none" w:sz="0" w:space="0" w:color="auto"/>
        <w:bottom w:val="none" w:sz="0" w:space="0" w:color="auto"/>
        <w:right w:val="none" w:sz="0" w:space="0" w:color="auto"/>
      </w:divBdr>
    </w:div>
    <w:div w:id="1565217428">
      <w:bodyDiv w:val="1"/>
      <w:marLeft w:val="0"/>
      <w:marRight w:val="0"/>
      <w:marTop w:val="0"/>
      <w:marBottom w:val="0"/>
      <w:divBdr>
        <w:top w:val="none" w:sz="0" w:space="0" w:color="auto"/>
        <w:left w:val="none" w:sz="0" w:space="0" w:color="auto"/>
        <w:bottom w:val="none" w:sz="0" w:space="0" w:color="auto"/>
        <w:right w:val="none" w:sz="0" w:space="0" w:color="auto"/>
      </w:divBdr>
    </w:div>
    <w:div w:id="1590887959">
      <w:bodyDiv w:val="1"/>
      <w:marLeft w:val="0"/>
      <w:marRight w:val="0"/>
      <w:marTop w:val="0"/>
      <w:marBottom w:val="0"/>
      <w:divBdr>
        <w:top w:val="none" w:sz="0" w:space="0" w:color="auto"/>
        <w:left w:val="none" w:sz="0" w:space="0" w:color="auto"/>
        <w:bottom w:val="none" w:sz="0" w:space="0" w:color="auto"/>
        <w:right w:val="none" w:sz="0" w:space="0" w:color="auto"/>
      </w:divBdr>
    </w:div>
    <w:div w:id="1596016376">
      <w:bodyDiv w:val="1"/>
      <w:marLeft w:val="0"/>
      <w:marRight w:val="0"/>
      <w:marTop w:val="0"/>
      <w:marBottom w:val="0"/>
      <w:divBdr>
        <w:top w:val="none" w:sz="0" w:space="0" w:color="auto"/>
        <w:left w:val="none" w:sz="0" w:space="0" w:color="auto"/>
        <w:bottom w:val="none" w:sz="0" w:space="0" w:color="auto"/>
        <w:right w:val="none" w:sz="0" w:space="0" w:color="auto"/>
      </w:divBdr>
      <w:divsChild>
        <w:div w:id="746345003">
          <w:marLeft w:val="0"/>
          <w:marRight w:val="0"/>
          <w:marTop w:val="0"/>
          <w:marBottom w:val="0"/>
          <w:divBdr>
            <w:top w:val="none" w:sz="0" w:space="0" w:color="auto"/>
            <w:left w:val="none" w:sz="0" w:space="0" w:color="auto"/>
            <w:bottom w:val="none" w:sz="0" w:space="0" w:color="auto"/>
            <w:right w:val="none" w:sz="0" w:space="0" w:color="auto"/>
          </w:divBdr>
        </w:div>
        <w:div w:id="814763725">
          <w:marLeft w:val="0"/>
          <w:marRight w:val="0"/>
          <w:marTop w:val="0"/>
          <w:marBottom w:val="0"/>
          <w:divBdr>
            <w:top w:val="none" w:sz="0" w:space="0" w:color="auto"/>
            <w:left w:val="none" w:sz="0" w:space="0" w:color="auto"/>
            <w:bottom w:val="none" w:sz="0" w:space="0" w:color="auto"/>
            <w:right w:val="none" w:sz="0" w:space="0" w:color="auto"/>
          </w:divBdr>
        </w:div>
      </w:divsChild>
    </w:div>
    <w:div w:id="1612977302">
      <w:bodyDiv w:val="1"/>
      <w:marLeft w:val="0"/>
      <w:marRight w:val="0"/>
      <w:marTop w:val="0"/>
      <w:marBottom w:val="0"/>
      <w:divBdr>
        <w:top w:val="none" w:sz="0" w:space="0" w:color="auto"/>
        <w:left w:val="none" w:sz="0" w:space="0" w:color="auto"/>
        <w:bottom w:val="none" w:sz="0" w:space="0" w:color="auto"/>
        <w:right w:val="none" w:sz="0" w:space="0" w:color="auto"/>
      </w:divBdr>
    </w:div>
    <w:div w:id="1621182577">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771000710">
      <w:bodyDiv w:val="1"/>
      <w:marLeft w:val="0"/>
      <w:marRight w:val="0"/>
      <w:marTop w:val="0"/>
      <w:marBottom w:val="0"/>
      <w:divBdr>
        <w:top w:val="none" w:sz="0" w:space="0" w:color="auto"/>
        <w:left w:val="none" w:sz="0" w:space="0" w:color="auto"/>
        <w:bottom w:val="none" w:sz="0" w:space="0" w:color="auto"/>
        <w:right w:val="none" w:sz="0" w:space="0" w:color="auto"/>
      </w:divBdr>
    </w:div>
    <w:div w:id="1838689391">
      <w:bodyDiv w:val="1"/>
      <w:marLeft w:val="0"/>
      <w:marRight w:val="0"/>
      <w:marTop w:val="0"/>
      <w:marBottom w:val="0"/>
      <w:divBdr>
        <w:top w:val="none" w:sz="0" w:space="0" w:color="auto"/>
        <w:left w:val="none" w:sz="0" w:space="0" w:color="auto"/>
        <w:bottom w:val="none" w:sz="0" w:space="0" w:color="auto"/>
        <w:right w:val="none" w:sz="0" w:space="0" w:color="auto"/>
      </w:divBdr>
    </w:div>
    <w:div w:id="1868978942">
      <w:bodyDiv w:val="1"/>
      <w:marLeft w:val="0"/>
      <w:marRight w:val="0"/>
      <w:marTop w:val="0"/>
      <w:marBottom w:val="0"/>
      <w:divBdr>
        <w:top w:val="none" w:sz="0" w:space="0" w:color="auto"/>
        <w:left w:val="none" w:sz="0" w:space="0" w:color="auto"/>
        <w:bottom w:val="none" w:sz="0" w:space="0" w:color="auto"/>
        <w:right w:val="none" w:sz="0" w:space="0" w:color="auto"/>
      </w:divBdr>
      <w:divsChild>
        <w:div w:id="187331078">
          <w:marLeft w:val="0"/>
          <w:marRight w:val="0"/>
          <w:marTop w:val="0"/>
          <w:marBottom w:val="0"/>
          <w:divBdr>
            <w:top w:val="none" w:sz="0" w:space="0" w:color="auto"/>
            <w:left w:val="none" w:sz="0" w:space="0" w:color="auto"/>
            <w:bottom w:val="none" w:sz="0" w:space="0" w:color="auto"/>
            <w:right w:val="none" w:sz="0" w:space="0" w:color="auto"/>
          </w:divBdr>
        </w:div>
        <w:div w:id="489441542">
          <w:marLeft w:val="0"/>
          <w:marRight w:val="0"/>
          <w:marTop w:val="0"/>
          <w:marBottom w:val="0"/>
          <w:divBdr>
            <w:top w:val="none" w:sz="0" w:space="0" w:color="auto"/>
            <w:left w:val="none" w:sz="0" w:space="0" w:color="auto"/>
            <w:bottom w:val="none" w:sz="0" w:space="0" w:color="auto"/>
            <w:right w:val="none" w:sz="0" w:space="0" w:color="auto"/>
          </w:divBdr>
        </w:div>
        <w:div w:id="792335005">
          <w:marLeft w:val="0"/>
          <w:marRight w:val="0"/>
          <w:marTop w:val="0"/>
          <w:marBottom w:val="0"/>
          <w:divBdr>
            <w:top w:val="none" w:sz="0" w:space="0" w:color="auto"/>
            <w:left w:val="none" w:sz="0" w:space="0" w:color="auto"/>
            <w:bottom w:val="none" w:sz="0" w:space="0" w:color="auto"/>
            <w:right w:val="none" w:sz="0" w:space="0" w:color="auto"/>
          </w:divBdr>
        </w:div>
      </w:divsChild>
    </w:div>
    <w:div w:id="1938364526">
      <w:bodyDiv w:val="1"/>
      <w:marLeft w:val="0"/>
      <w:marRight w:val="0"/>
      <w:marTop w:val="0"/>
      <w:marBottom w:val="0"/>
      <w:divBdr>
        <w:top w:val="none" w:sz="0" w:space="0" w:color="auto"/>
        <w:left w:val="none" w:sz="0" w:space="0" w:color="auto"/>
        <w:bottom w:val="none" w:sz="0" w:space="0" w:color="auto"/>
        <w:right w:val="none" w:sz="0" w:space="0" w:color="auto"/>
      </w:divBdr>
      <w:divsChild>
        <w:div w:id="735712177">
          <w:marLeft w:val="0"/>
          <w:marRight w:val="0"/>
          <w:marTop w:val="0"/>
          <w:marBottom w:val="0"/>
          <w:divBdr>
            <w:top w:val="none" w:sz="0" w:space="0" w:color="auto"/>
            <w:left w:val="none" w:sz="0" w:space="0" w:color="auto"/>
            <w:bottom w:val="none" w:sz="0" w:space="0" w:color="auto"/>
            <w:right w:val="none" w:sz="0" w:space="0" w:color="auto"/>
          </w:divBdr>
        </w:div>
        <w:div w:id="1930001561">
          <w:marLeft w:val="0"/>
          <w:marRight w:val="0"/>
          <w:marTop w:val="0"/>
          <w:marBottom w:val="0"/>
          <w:divBdr>
            <w:top w:val="none" w:sz="0" w:space="0" w:color="auto"/>
            <w:left w:val="none" w:sz="0" w:space="0" w:color="auto"/>
            <w:bottom w:val="none" w:sz="0" w:space="0" w:color="auto"/>
            <w:right w:val="none" w:sz="0" w:space="0" w:color="auto"/>
          </w:divBdr>
        </w:div>
      </w:divsChild>
    </w:div>
    <w:div w:id="1941059978">
      <w:bodyDiv w:val="1"/>
      <w:marLeft w:val="0"/>
      <w:marRight w:val="0"/>
      <w:marTop w:val="0"/>
      <w:marBottom w:val="0"/>
      <w:divBdr>
        <w:top w:val="none" w:sz="0" w:space="0" w:color="auto"/>
        <w:left w:val="none" w:sz="0" w:space="0" w:color="auto"/>
        <w:bottom w:val="none" w:sz="0" w:space="0" w:color="auto"/>
        <w:right w:val="none" w:sz="0" w:space="0" w:color="auto"/>
      </w:divBdr>
    </w:div>
    <w:div w:id="1960409054">
      <w:bodyDiv w:val="1"/>
      <w:marLeft w:val="0"/>
      <w:marRight w:val="0"/>
      <w:marTop w:val="0"/>
      <w:marBottom w:val="0"/>
      <w:divBdr>
        <w:top w:val="none" w:sz="0" w:space="0" w:color="auto"/>
        <w:left w:val="none" w:sz="0" w:space="0" w:color="auto"/>
        <w:bottom w:val="none" w:sz="0" w:space="0" w:color="auto"/>
        <w:right w:val="none" w:sz="0" w:space="0" w:color="auto"/>
      </w:divBdr>
    </w:div>
    <w:div w:id="2071997906">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 w:id="2114396575">
      <w:bodyDiv w:val="1"/>
      <w:marLeft w:val="0"/>
      <w:marRight w:val="0"/>
      <w:marTop w:val="0"/>
      <w:marBottom w:val="0"/>
      <w:divBdr>
        <w:top w:val="none" w:sz="0" w:space="0" w:color="auto"/>
        <w:left w:val="none" w:sz="0" w:space="0" w:color="auto"/>
        <w:bottom w:val="none" w:sz="0" w:space="0" w:color="auto"/>
        <w:right w:val="none" w:sz="0" w:space="0" w:color="auto"/>
      </w:divBdr>
      <w:divsChild>
        <w:div w:id="975718598">
          <w:marLeft w:val="0"/>
          <w:marRight w:val="0"/>
          <w:marTop w:val="0"/>
          <w:marBottom w:val="0"/>
          <w:divBdr>
            <w:top w:val="none" w:sz="0" w:space="0" w:color="auto"/>
            <w:left w:val="none" w:sz="0" w:space="0" w:color="auto"/>
            <w:bottom w:val="none" w:sz="0" w:space="0" w:color="auto"/>
            <w:right w:val="none" w:sz="0" w:space="0" w:color="auto"/>
          </w:divBdr>
        </w:div>
        <w:div w:id="1879783201">
          <w:marLeft w:val="0"/>
          <w:marRight w:val="0"/>
          <w:marTop w:val="0"/>
          <w:marBottom w:val="0"/>
          <w:divBdr>
            <w:top w:val="none" w:sz="0" w:space="0" w:color="auto"/>
            <w:left w:val="none" w:sz="0" w:space="0" w:color="auto"/>
            <w:bottom w:val="none" w:sz="0" w:space="0" w:color="auto"/>
            <w:right w:val="none" w:sz="0" w:space="0" w:color="auto"/>
          </w:divBdr>
        </w:div>
      </w:divsChild>
    </w:div>
    <w:div w:id="2143620869">
      <w:bodyDiv w:val="1"/>
      <w:marLeft w:val="0"/>
      <w:marRight w:val="0"/>
      <w:marTop w:val="0"/>
      <w:marBottom w:val="0"/>
      <w:divBdr>
        <w:top w:val="none" w:sz="0" w:space="0" w:color="auto"/>
        <w:left w:val="none" w:sz="0" w:space="0" w:color="auto"/>
        <w:bottom w:val="none" w:sz="0" w:space="0" w:color="auto"/>
        <w:right w:val="none" w:sz="0" w:space="0" w:color="auto"/>
      </w:divBdr>
      <w:divsChild>
        <w:div w:id="13701139">
          <w:marLeft w:val="0"/>
          <w:marRight w:val="0"/>
          <w:marTop w:val="0"/>
          <w:marBottom w:val="0"/>
          <w:divBdr>
            <w:top w:val="none" w:sz="0" w:space="0" w:color="auto"/>
            <w:left w:val="none" w:sz="0" w:space="0" w:color="auto"/>
            <w:bottom w:val="none" w:sz="0" w:space="0" w:color="auto"/>
            <w:right w:val="none" w:sz="0" w:space="0" w:color="auto"/>
          </w:divBdr>
        </w:div>
        <w:div w:id="74085230">
          <w:marLeft w:val="0"/>
          <w:marRight w:val="0"/>
          <w:marTop w:val="0"/>
          <w:marBottom w:val="0"/>
          <w:divBdr>
            <w:top w:val="none" w:sz="0" w:space="0" w:color="auto"/>
            <w:left w:val="none" w:sz="0" w:space="0" w:color="auto"/>
            <w:bottom w:val="none" w:sz="0" w:space="0" w:color="auto"/>
            <w:right w:val="none" w:sz="0" w:space="0" w:color="auto"/>
          </w:divBdr>
        </w:div>
        <w:div w:id="109979572">
          <w:marLeft w:val="0"/>
          <w:marRight w:val="0"/>
          <w:marTop w:val="0"/>
          <w:marBottom w:val="0"/>
          <w:divBdr>
            <w:top w:val="none" w:sz="0" w:space="0" w:color="auto"/>
            <w:left w:val="none" w:sz="0" w:space="0" w:color="auto"/>
            <w:bottom w:val="none" w:sz="0" w:space="0" w:color="auto"/>
            <w:right w:val="none" w:sz="0" w:space="0" w:color="auto"/>
          </w:divBdr>
        </w:div>
        <w:div w:id="138496286">
          <w:marLeft w:val="0"/>
          <w:marRight w:val="0"/>
          <w:marTop w:val="0"/>
          <w:marBottom w:val="0"/>
          <w:divBdr>
            <w:top w:val="none" w:sz="0" w:space="0" w:color="auto"/>
            <w:left w:val="none" w:sz="0" w:space="0" w:color="auto"/>
            <w:bottom w:val="none" w:sz="0" w:space="0" w:color="auto"/>
            <w:right w:val="none" w:sz="0" w:space="0" w:color="auto"/>
          </w:divBdr>
        </w:div>
        <w:div w:id="216822161">
          <w:marLeft w:val="0"/>
          <w:marRight w:val="0"/>
          <w:marTop w:val="0"/>
          <w:marBottom w:val="0"/>
          <w:divBdr>
            <w:top w:val="none" w:sz="0" w:space="0" w:color="auto"/>
            <w:left w:val="none" w:sz="0" w:space="0" w:color="auto"/>
            <w:bottom w:val="none" w:sz="0" w:space="0" w:color="auto"/>
            <w:right w:val="none" w:sz="0" w:space="0" w:color="auto"/>
          </w:divBdr>
        </w:div>
        <w:div w:id="305818585">
          <w:marLeft w:val="0"/>
          <w:marRight w:val="0"/>
          <w:marTop w:val="0"/>
          <w:marBottom w:val="0"/>
          <w:divBdr>
            <w:top w:val="none" w:sz="0" w:space="0" w:color="auto"/>
            <w:left w:val="none" w:sz="0" w:space="0" w:color="auto"/>
            <w:bottom w:val="none" w:sz="0" w:space="0" w:color="auto"/>
            <w:right w:val="none" w:sz="0" w:space="0" w:color="auto"/>
          </w:divBdr>
        </w:div>
        <w:div w:id="352271435">
          <w:marLeft w:val="0"/>
          <w:marRight w:val="0"/>
          <w:marTop w:val="0"/>
          <w:marBottom w:val="0"/>
          <w:divBdr>
            <w:top w:val="none" w:sz="0" w:space="0" w:color="auto"/>
            <w:left w:val="none" w:sz="0" w:space="0" w:color="auto"/>
            <w:bottom w:val="none" w:sz="0" w:space="0" w:color="auto"/>
            <w:right w:val="none" w:sz="0" w:space="0" w:color="auto"/>
          </w:divBdr>
        </w:div>
        <w:div w:id="403769686">
          <w:marLeft w:val="0"/>
          <w:marRight w:val="0"/>
          <w:marTop w:val="0"/>
          <w:marBottom w:val="0"/>
          <w:divBdr>
            <w:top w:val="none" w:sz="0" w:space="0" w:color="auto"/>
            <w:left w:val="none" w:sz="0" w:space="0" w:color="auto"/>
            <w:bottom w:val="none" w:sz="0" w:space="0" w:color="auto"/>
            <w:right w:val="none" w:sz="0" w:space="0" w:color="auto"/>
          </w:divBdr>
        </w:div>
        <w:div w:id="466778511">
          <w:marLeft w:val="0"/>
          <w:marRight w:val="0"/>
          <w:marTop w:val="0"/>
          <w:marBottom w:val="0"/>
          <w:divBdr>
            <w:top w:val="none" w:sz="0" w:space="0" w:color="auto"/>
            <w:left w:val="none" w:sz="0" w:space="0" w:color="auto"/>
            <w:bottom w:val="none" w:sz="0" w:space="0" w:color="auto"/>
            <w:right w:val="none" w:sz="0" w:space="0" w:color="auto"/>
          </w:divBdr>
        </w:div>
        <w:div w:id="602802846">
          <w:marLeft w:val="0"/>
          <w:marRight w:val="0"/>
          <w:marTop w:val="0"/>
          <w:marBottom w:val="0"/>
          <w:divBdr>
            <w:top w:val="none" w:sz="0" w:space="0" w:color="auto"/>
            <w:left w:val="none" w:sz="0" w:space="0" w:color="auto"/>
            <w:bottom w:val="none" w:sz="0" w:space="0" w:color="auto"/>
            <w:right w:val="none" w:sz="0" w:space="0" w:color="auto"/>
          </w:divBdr>
        </w:div>
        <w:div w:id="603614873">
          <w:marLeft w:val="0"/>
          <w:marRight w:val="0"/>
          <w:marTop w:val="0"/>
          <w:marBottom w:val="0"/>
          <w:divBdr>
            <w:top w:val="none" w:sz="0" w:space="0" w:color="auto"/>
            <w:left w:val="none" w:sz="0" w:space="0" w:color="auto"/>
            <w:bottom w:val="none" w:sz="0" w:space="0" w:color="auto"/>
            <w:right w:val="none" w:sz="0" w:space="0" w:color="auto"/>
          </w:divBdr>
        </w:div>
        <w:div w:id="645402697">
          <w:marLeft w:val="0"/>
          <w:marRight w:val="0"/>
          <w:marTop w:val="0"/>
          <w:marBottom w:val="0"/>
          <w:divBdr>
            <w:top w:val="none" w:sz="0" w:space="0" w:color="auto"/>
            <w:left w:val="none" w:sz="0" w:space="0" w:color="auto"/>
            <w:bottom w:val="none" w:sz="0" w:space="0" w:color="auto"/>
            <w:right w:val="none" w:sz="0" w:space="0" w:color="auto"/>
          </w:divBdr>
        </w:div>
        <w:div w:id="651643189">
          <w:marLeft w:val="0"/>
          <w:marRight w:val="0"/>
          <w:marTop w:val="0"/>
          <w:marBottom w:val="0"/>
          <w:divBdr>
            <w:top w:val="none" w:sz="0" w:space="0" w:color="auto"/>
            <w:left w:val="none" w:sz="0" w:space="0" w:color="auto"/>
            <w:bottom w:val="none" w:sz="0" w:space="0" w:color="auto"/>
            <w:right w:val="none" w:sz="0" w:space="0" w:color="auto"/>
          </w:divBdr>
        </w:div>
        <w:div w:id="726536290">
          <w:marLeft w:val="0"/>
          <w:marRight w:val="0"/>
          <w:marTop w:val="0"/>
          <w:marBottom w:val="0"/>
          <w:divBdr>
            <w:top w:val="none" w:sz="0" w:space="0" w:color="auto"/>
            <w:left w:val="none" w:sz="0" w:space="0" w:color="auto"/>
            <w:bottom w:val="none" w:sz="0" w:space="0" w:color="auto"/>
            <w:right w:val="none" w:sz="0" w:space="0" w:color="auto"/>
          </w:divBdr>
        </w:div>
        <w:div w:id="851262758">
          <w:marLeft w:val="0"/>
          <w:marRight w:val="0"/>
          <w:marTop w:val="0"/>
          <w:marBottom w:val="0"/>
          <w:divBdr>
            <w:top w:val="none" w:sz="0" w:space="0" w:color="auto"/>
            <w:left w:val="none" w:sz="0" w:space="0" w:color="auto"/>
            <w:bottom w:val="none" w:sz="0" w:space="0" w:color="auto"/>
            <w:right w:val="none" w:sz="0" w:space="0" w:color="auto"/>
          </w:divBdr>
        </w:div>
        <w:div w:id="856891610">
          <w:marLeft w:val="0"/>
          <w:marRight w:val="0"/>
          <w:marTop w:val="0"/>
          <w:marBottom w:val="0"/>
          <w:divBdr>
            <w:top w:val="none" w:sz="0" w:space="0" w:color="auto"/>
            <w:left w:val="none" w:sz="0" w:space="0" w:color="auto"/>
            <w:bottom w:val="none" w:sz="0" w:space="0" w:color="auto"/>
            <w:right w:val="none" w:sz="0" w:space="0" w:color="auto"/>
          </w:divBdr>
        </w:div>
        <w:div w:id="861941928">
          <w:marLeft w:val="0"/>
          <w:marRight w:val="0"/>
          <w:marTop w:val="0"/>
          <w:marBottom w:val="0"/>
          <w:divBdr>
            <w:top w:val="none" w:sz="0" w:space="0" w:color="auto"/>
            <w:left w:val="none" w:sz="0" w:space="0" w:color="auto"/>
            <w:bottom w:val="none" w:sz="0" w:space="0" w:color="auto"/>
            <w:right w:val="none" w:sz="0" w:space="0" w:color="auto"/>
          </w:divBdr>
        </w:div>
        <w:div w:id="960381962">
          <w:marLeft w:val="0"/>
          <w:marRight w:val="0"/>
          <w:marTop w:val="0"/>
          <w:marBottom w:val="0"/>
          <w:divBdr>
            <w:top w:val="none" w:sz="0" w:space="0" w:color="auto"/>
            <w:left w:val="none" w:sz="0" w:space="0" w:color="auto"/>
            <w:bottom w:val="none" w:sz="0" w:space="0" w:color="auto"/>
            <w:right w:val="none" w:sz="0" w:space="0" w:color="auto"/>
          </w:divBdr>
        </w:div>
        <w:div w:id="1018508561">
          <w:marLeft w:val="0"/>
          <w:marRight w:val="0"/>
          <w:marTop w:val="0"/>
          <w:marBottom w:val="0"/>
          <w:divBdr>
            <w:top w:val="none" w:sz="0" w:space="0" w:color="auto"/>
            <w:left w:val="none" w:sz="0" w:space="0" w:color="auto"/>
            <w:bottom w:val="none" w:sz="0" w:space="0" w:color="auto"/>
            <w:right w:val="none" w:sz="0" w:space="0" w:color="auto"/>
          </w:divBdr>
        </w:div>
        <w:div w:id="1034385225">
          <w:marLeft w:val="0"/>
          <w:marRight w:val="0"/>
          <w:marTop w:val="0"/>
          <w:marBottom w:val="0"/>
          <w:divBdr>
            <w:top w:val="none" w:sz="0" w:space="0" w:color="auto"/>
            <w:left w:val="none" w:sz="0" w:space="0" w:color="auto"/>
            <w:bottom w:val="none" w:sz="0" w:space="0" w:color="auto"/>
            <w:right w:val="none" w:sz="0" w:space="0" w:color="auto"/>
          </w:divBdr>
        </w:div>
        <w:div w:id="1036664697">
          <w:marLeft w:val="0"/>
          <w:marRight w:val="0"/>
          <w:marTop w:val="0"/>
          <w:marBottom w:val="0"/>
          <w:divBdr>
            <w:top w:val="none" w:sz="0" w:space="0" w:color="auto"/>
            <w:left w:val="none" w:sz="0" w:space="0" w:color="auto"/>
            <w:bottom w:val="none" w:sz="0" w:space="0" w:color="auto"/>
            <w:right w:val="none" w:sz="0" w:space="0" w:color="auto"/>
          </w:divBdr>
        </w:div>
        <w:div w:id="1045182507">
          <w:marLeft w:val="0"/>
          <w:marRight w:val="0"/>
          <w:marTop w:val="0"/>
          <w:marBottom w:val="0"/>
          <w:divBdr>
            <w:top w:val="none" w:sz="0" w:space="0" w:color="auto"/>
            <w:left w:val="none" w:sz="0" w:space="0" w:color="auto"/>
            <w:bottom w:val="none" w:sz="0" w:space="0" w:color="auto"/>
            <w:right w:val="none" w:sz="0" w:space="0" w:color="auto"/>
          </w:divBdr>
        </w:div>
        <w:div w:id="1134713924">
          <w:marLeft w:val="0"/>
          <w:marRight w:val="0"/>
          <w:marTop w:val="0"/>
          <w:marBottom w:val="0"/>
          <w:divBdr>
            <w:top w:val="none" w:sz="0" w:space="0" w:color="auto"/>
            <w:left w:val="none" w:sz="0" w:space="0" w:color="auto"/>
            <w:bottom w:val="none" w:sz="0" w:space="0" w:color="auto"/>
            <w:right w:val="none" w:sz="0" w:space="0" w:color="auto"/>
          </w:divBdr>
        </w:div>
        <w:div w:id="1185168056">
          <w:marLeft w:val="0"/>
          <w:marRight w:val="0"/>
          <w:marTop w:val="0"/>
          <w:marBottom w:val="0"/>
          <w:divBdr>
            <w:top w:val="none" w:sz="0" w:space="0" w:color="auto"/>
            <w:left w:val="none" w:sz="0" w:space="0" w:color="auto"/>
            <w:bottom w:val="none" w:sz="0" w:space="0" w:color="auto"/>
            <w:right w:val="none" w:sz="0" w:space="0" w:color="auto"/>
          </w:divBdr>
        </w:div>
        <w:div w:id="1201360943">
          <w:marLeft w:val="0"/>
          <w:marRight w:val="0"/>
          <w:marTop w:val="0"/>
          <w:marBottom w:val="0"/>
          <w:divBdr>
            <w:top w:val="none" w:sz="0" w:space="0" w:color="auto"/>
            <w:left w:val="none" w:sz="0" w:space="0" w:color="auto"/>
            <w:bottom w:val="none" w:sz="0" w:space="0" w:color="auto"/>
            <w:right w:val="none" w:sz="0" w:space="0" w:color="auto"/>
          </w:divBdr>
        </w:div>
        <w:div w:id="1245651949">
          <w:marLeft w:val="0"/>
          <w:marRight w:val="0"/>
          <w:marTop w:val="0"/>
          <w:marBottom w:val="0"/>
          <w:divBdr>
            <w:top w:val="none" w:sz="0" w:space="0" w:color="auto"/>
            <w:left w:val="none" w:sz="0" w:space="0" w:color="auto"/>
            <w:bottom w:val="none" w:sz="0" w:space="0" w:color="auto"/>
            <w:right w:val="none" w:sz="0" w:space="0" w:color="auto"/>
          </w:divBdr>
        </w:div>
        <w:div w:id="1331835108">
          <w:marLeft w:val="0"/>
          <w:marRight w:val="0"/>
          <w:marTop w:val="0"/>
          <w:marBottom w:val="0"/>
          <w:divBdr>
            <w:top w:val="none" w:sz="0" w:space="0" w:color="auto"/>
            <w:left w:val="none" w:sz="0" w:space="0" w:color="auto"/>
            <w:bottom w:val="none" w:sz="0" w:space="0" w:color="auto"/>
            <w:right w:val="none" w:sz="0" w:space="0" w:color="auto"/>
          </w:divBdr>
        </w:div>
        <w:div w:id="1411849203">
          <w:marLeft w:val="0"/>
          <w:marRight w:val="0"/>
          <w:marTop w:val="0"/>
          <w:marBottom w:val="0"/>
          <w:divBdr>
            <w:top w:val="none" w:sz="0" w:space="0" w:color="auto"/>
            <w:left w:val="none" w:sz="0" w:space="0" w:color="auto"/>
            <w:bottom w:val="none" w:sz="0" w:space="0" w:color="auto"/>
            <w:right w:val="none" w:sz="0" w:space="0" w:color="auto"/>
          </w:divBdr>
        </w:div>
        <w:div w:id="1431005945">
          <w:marLeft w:val="0"/>
          <w:marRight w:val="0"/>
          <w:marTop w:val="0"/>
          <w:marBottom w:val="0"/>
          <w:divBdr>
            <w:top w:val="none" w:sz="0" w:space="0" w:color="auto"/>
            <w:left w:val="none" w:sz="0" w:space="0" w:color="auto"/>
            <w:bottom w:val="none" w:sz="0" w:space="0" w:color="auto"/>
            <w:right w:val="none" w:sz="0" w:space="0" w:color="auto"/>
          </w:divBdr>
        </w:div>
        <w:div w:id="1486049722">
          <w:marLeft w:val="0"/>
          <w:marRight w:val="0"/>
          <w:marTop w:val="0"/>
          <w:marBottom w:val="0"/>
          <w:divBdr>
            <w:top w:val="none" w:sz="0" w:space="0" w:color="auto"/>
            <w:left w:val="none" w:sz="0" w:space="0" w:color="auto"/>
            <w:bottom w:val="none" w:sz="0" w:space="0" w:color="auto"/>
            <w:right w:val="none" w:sz="0" w:space="0" w:color="auto"/>
          </w:divBdr>
        </w:div>
        <w:div w:id="1526405578">
          <w:marLeft w:val="0"/>
          <w:marRight w:val="0"/>
          <w:marTop w:val="0"/>
          <w:marBottom w:val="0"/>
          <w:divBdr>
            <w:top w:val="none" w:sz="0" w:space="0" w:color="auto"/>
            <w:left w:val="none" w:sz="0" w:space="0" w:color="auto"/>
            <w:bottom w:val="none" w:sz="0" w:space="0" w:color="auto"/>
            <w:right w:val="none" w:sz="0" w:space="0" w:color="auto"/>
          </w:divBdr>
        </w:div>
        <w:div w:id="1533179973">
          <w:marLeft w:val="0"/>
          <w:marRight w:val="0"/>
          <w:marTop w:val="0"/>
          <w:marBottom w:val="0"/>
          <w:divBdr>
            <w:top w:val="none" w:sz="0" w:space="0" w:color="auto"/>
            <w:left w:val="none" w:sz="0" w:space="0" w:color="auto"/>
            <w:bottom w:val="none" w:sz="0" w:space="0" w:color="auto"/>
            <w:right w:val="none" w:sz="0" w:space="0" w:color="auto"/>
          </w:divBdr>
        </w:div>
        <w:div w:id="1560281091">
          <w:marLeft w:val="0"/>
          <w:marRight w:val="0"/>
          <w:marTop w:val="0"/>
          <w:marBottom w:val="0"/>
          <w:divBdr>
            <w:top w:val="none" w:sz="0" w:space="0" w:color="auto"/>
            <w:left w:val="none" w:sz="0" w:space="0" w:color="auto"/>
            <w:bottom w:val="none" w:sz="0" w:space="0" w:color="auto"/>
            <w:right w:val="none" w:sz="0" w:space="0" w:color="auto"/>
          </w:divBdr>
        </w:div>
        <w:div w:id="1594052652">
          <w:marLeft w:val="0"/>
          <w:marRight w:val="0"/>
          <w:marTop w:val="0"/>
          <w:marBottom w:val="0"/>
          <w:divBdr>
            <w:top w:val="none" w:sz="0" w:space="0" w:color="auto"/>
            <w:left w:val="none" w:sz="0" w:space="0" w:color="auto"/>
            <w:bottom w:val="none" w:sz="0" w:space="0" w:color="auto"/>
            <w:right w:val="none" w:sz="0" w:space="0" w:color="auto"/>
          </w:divBdr>
        </w:div>
        <w:div w:id="1598899924">
          <w:marLeft w:val="0"/>
          <w:marRight w:val="0"/>
          <w:marTop w:val="0"/>
          <w:marBottom w:val="0"/>
          <w:divBdr>
            <w:top w:val="none" w:sz="0" w:space="0" w:color="auto"/>
            <w:left w:val="none" w:sz="0" w:space="0" w:color="auto"/>
            <w:bottom w:val="none" w:sz="0" w:space="0" w:color="auto"/>
            <w:right w:val="none" w:sz="0" w:space="0" w:color="auto"/>
          </w:divBdr>
        </w:div>
        <w:div w:id="1673992620">
          <w:marLeft w:val="0"/>
          <w:marRight w:val="0"/>
          <w:marTop w:val="0"/>
          <w:marBottom w:val="0"/>
          <w:divBdr>
            <w:top w:val="none" w:sz="0" w:space="0" w:color="auto"/>
            <w:left w:val="none" w:sz="0" w:space="0" w:color="auto"/>
            <w:bottom w:val="none" w:sz="0" w:space="0" w:color="auto"/>
            <w:right w:val="none" w:sz="0" w:space="0" w:color="auto"/>
          </w:divBdr>
        </w:div>
        <w:div w:id="1675448641">
          <w:marLeft w:val="0"/>
          <w:marRight w:val="0"/>
          <w:marTop w:val="0"/>
          <w:marBottom w:val="0"/>
          <w:divBdr>
            <w:top w:val="none" w:sz="0" w:space="0" w:color="auto"/>
            <w:left w:val="none" w:sz="0" w:space="0" w:color="auto"/>
            <w:bottom w:val="none" w:sz="0" w:space="0" w:color="auto"/>
            <w:right w:val="none" w:sz="0" w:space="0" w:color="auto"/>
          </w:divBdr>
        </w:div>
        <w:div w:id="1723166868">
          <w:marLeft w:val="0"/>
          <w:marRight w:val="0"/>
          <w:marTop w:val="0"/>
          <w:marBottom w:val="0"/>
          <w:divBdr>
            <w:top w:val="none" w:sz="0" w:space="0" w:color="auto"/>
            <w:left w:val="none" w:sz="0" w:space="0" w:color="auto"/>
            <w:bottom w:val="none" w:sz="0" w:space="0" w:color="auto"/>
            <w:right w:val="none" w:sz="0" w:space="0" w:color="auto"/>
          </w:divBdr>
        </w:div>
        <w:div w:id="1815756933">
          <w:marLeft w:val="0"/>
          <w:marRight w:val="0"/>
          <w:marTop w:val="0"/>
          <w:marBottom w:val="0"/>
          <w:divBdr>
            <w:top w:val="none" w:sz="0" w:space="0" w:color="auto"/>
            <w:left w:val="none" w:sz="0" w:space="0" w:color="auto"/>
            <w:bottom w:val="none" w:sz="0" w:space="0" w:color="auto"/>
            <w:right w:val="none" w:sz="0" w:space="0" w:color="auto"/>
          </w:divBdr>
        </w:div>
        <w:div w:id="1827554667">
          <w:marLeft w:val="0"/>
          <w:marRight w:val="0"/>
          <w:marTop w:val="0"/>
          <w:marBottom w:val="0"/>
          <w:divBdr>
            <w:top w:val="none" w:sz="0" w:space="0" w:color="auto"/>
            <w:left w:val="none" w:sz="0" w:space="0" w:color="auto"/>
            <w:bottom w:val="none" w:sz="0" w:space="0" w:color="auto"/>
            <w:right w:val="none" w:sz="0" w:space="0" w:color="auto"/>
          </w:divBdr>
        </w:div>
        <w:div w:id="1830365565">
          <w:marLeft w:val="0"/>
          <w:marRight w:val="0"/>
          <w:marTop w:val="0"/>
          <w:marBottom w:val="0"/>
          <w:divBdr>
            <w:top w:val="none" w:sz="0" w:space="0" w:color="auto"/>
            <w:left w:val="none" w:sz="0" w:space="0" w:color="auto"/>
            <w:bottom w:val="none" w:sz="0" w:space="0" w:color="auto"/>
            <w:right w:val="none" w:sz="0" w:space="0" w:color="auto"/>
          </w:divBdr>
        </w:div>
        <w:div w:id="1870023575">
          <w:marLeft w:val="0"/>
          <w:marRight w:val="0"/>
          <w:marTop w:val="0"/>
          <w:marBottom w:val="0"/>
          <w:divBdr>
            <w:top w:val="none" w:sz="0" w:space="0" w:color="auto"/>
            <w:left w:val="none" w:sz="0" w:space="0" w:color="auto"/>
            <w:bottom w:val="none" w:sz="0" w:space="0" w:color="auto"/>
            <w:right w:val="none" w:sz="0" w:space="0" w:color="auto"/>
          </w:divBdr>
        </w:div>
        <w:div w:id="1912108751">
          <w:marLeft w:val="0"/>
          <w:marRight w:val="0"/>
          <w:marTop w:val="0"/>
          <w:marBottom w:val="0"/>
          <w:divBdr>
            <w:top w:val="none" w:sz="0" w:space="0" w:color="auto"/>
            <w:left w:val="none" w:sz="0" w:space="0" w:color="auto"/>
            <w:bottom w:val="none" w:sz="0" w:space="0" w:color="auto"/>
            <w:right w:val="none" w:sz="0" w:space="0" w:color="auto"/>
          </w:divBdr>
        </w:div>
        <w:div w:id="1914969057">
          <w:marLeft w:val="0"/>
          <w:marRight w:val="0"/>
          <w:marTop w:val="0"/>
          <w:marBottom w:val="0"/>
          <w:divBdr>
            <w:top w:val="none" w:sz="0" w:space="0" w:color="auto"/>
            <w:left w:val="none" w:sz="0" w:space="0" w:color="auto"/>
            <w:bottom w:val="none" w:sz="0" w:space="0" w:color="auto"/>
            <w:right w:val="none" w:sz="0" w:space="0" w:color="auto"/>
          </w:divBdr>
        </w:div>
        <w:div w:id="1946692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CAC5C-FEBA-4C32-AF33-A4873A5D4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9223</Words>
  <Characters>67808</Characters>
  <Application>Microsoft Office Word</Application>
  <DocSecurity>0</DocSecurity>
  <Lines>565</Lines>
  <Paragraphs>153</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PARTICULARS TO APPEAR ON &lt;THE OUTER PACKAGING&gt; &lt;AND&gt; &lt;THE IMMEDIATE PACKAGING&gt;</vt:lpstr>
      <vt:lpstr>PARTICULARS TO APPEAR ON &lt;THE OUTER PACKAGING&gt; &lt;AND&gt; &lt;THE IMMEDIATE PACKAGING&gt;</vt:lpstr>
      <vt:lpstr>PARTICULARS TO APPEAR ON &lt;THE OUTER PACKAGING&gt; &lt;AND&gt; &lt;THE IMMEDIATE PACKAGING&gt;</vt:lpstr>
    </vt:vector>
  </TitlesOfParts>
  <Company>Krka, d.d.</Company>
  <LinksUpToDate>false</LinksUpToDate>
  <CharactersWithSpaces>76878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cp:lastModifiedBy>HU_OGYEI_16.1.1</cp:lastModifiedBy>
  <cp:revision>3</cp:revision>
  <dcterms:created xsi:type="dcterms:W3CDTF">2026-01-14T11:21:00Z</dcterms:created>
  <dcterms:modified xsi:type="dcterms:W3CDTF">2026-01-14T11:21:00Z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PI_Text090548_2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