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C4" w:rsidRDefault="00B71784">
      <w:pPr>
        <w:ind w:left="567" w:hanging="567"/>
        <w:rPr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1.</w:t>
      </w:r>
      <w:r>
        <w:rPr>
          <w:b/>
          <w:bCs/>
          <w:color w:val="000000"/>
          <w:sz w:val="22"/>
          <w:szCs w:val="22"/>
        </w:rPr>
        <w:tab/>
        <w:t>A GYÓGYSZER NEVE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30 mg filmtabletta</w:t>
      </w: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60 mg filmtabletta</w:t>
      </w: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90 mg filmtabletta</w:t>
      </w: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120 mg filmtabletta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>
        <w:rPr>
          <w:b/>
          <w:bCs/>
          <w:color w:val="000000"/>
          <w:sz w:val="22"/>
          <w:szCs w:val="22"/>
        </w:rPr>
        <w:tab/>
        <w:t>MINŐSÉGI ÉS MENNYISÉGI ÖSSZETÉTEL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30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30 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60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60 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90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90 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120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120 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segédanyagok teljes listáját lásd a 6.1 pontban.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3.</w:t>
      </w:r>
      <w:r>
        <w:rPr>
          <w:b/>
          <w:bCs/>
          <w:color w:val="000000"/>
          <w:sz w:val="22"/>
          <w:szCs w:val="22"/>
        </w:rPr>
        <w:tab/>
        <w:t>GYÓGYSZERFORMA</w:t>
      </w:r>
    </w:p>
    <w:p w:rsidR="00FC5EC4" w:rsidRDefault="00FC5EC4">
      <w:pPr>
        <w:rPr>
          <w:bCs/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Filmtabletta (tabletta).</w:t>
      </w:r>
    </w:p>
    <w:p w:rsidR="00FC5EC4" w:rsidRDefault="00FC5EC4">
      <w:pPr>
        <w:rPr>
          <w:bCs/>
          <w:i/>
          <w:color w:val="000000"/>
          <w:sz w:val="22"/>
          <w:szCs w:val="22"/>
        </w:rPr>
      </w:pPr>
    </w:p>
    <w:p w:rsidR="00FC5EC4" w:rsidRDefault="00B71784">
      <w:pPr>
        <w:rPr>
          <w:bCs/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Roticox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30 mg filmtabletta</w:t>
      </w:r>
      <w:r>
        <w:rPr>
          <w:bCs/>
          <w:color w:val="000000"/>
          <w:sz w:val="22"/>
          <w:szCs w:val="22"/>
        </w:rPr>
        <w:t>: fehér vagy csaknem fehér, kerek (átmérő: 6 mm), mindkét oldalán enyhén domború, metszett élű filmtabletta.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Roticox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60 mg tabletta</w:t>
      </w:r>
      <w:r>
        <w:rPr>
          <w:b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enyhén barnássárga, kerek (átmérő: 8 mm), mindkét oldalán domború, metszett élű filmtabletta, egyik oldalán „60” </w:t>
      </w:r>
      <w:r>
        <w:rPr>
          <w:bCs/>
          <w:color w:val="000000"/>
          <w:sz w:val="22"/>
          <w:szCs w:val="22"/>
        </w:rPr>
        <w:t>mélynyomású jelzéssel ellátva</w:t>
      </w:r>
      <w:r>
        <w:rPr>
          <w:color w:val="000000"/>
          <w:sz w:val="22"/>
          <w:szCs w:val="22"/>
        </w:rPr>
        <w:t>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Roticox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90 mg tabletta</w:t>
      </w:r>
      <w:r>
        <w:rPr>
          <w:b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rózsaszínű, kerek (átmérő: 9 mm), mindkét oldalán domború, metszett élű filmtabletta, egyik oldalán „90” </w:t>
      </w:r>
      <w:r>
        <w:rPr>
          <w:bCs/>
          <w:color w:val="000000"/>
          <w:sz w:val="22"/>
          <w:szCs w:val="22"/>
        </w:rPr>
        <w:t>mélynyomású jelzéssel ellátva</w:t>
      </w:r>
      <w:r>
        <w:rPr>
          <w:color w:val="000000"/>
          <w:sz w:val="22"/>
          <w:szCs w:val="22"/>
        </w:rPr>
        <w:t>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Roticox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120 mg tabletta</w:t>
      </w:r>
      <w:r>
        <w:rPr>
          <w:b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barnásvörös, kerek (átmérő: 10 mm), mindkét oldalán enyhén domború, metszett élű filmtabletta, egyik oldalán bemetszéssel ellátva. A tablettán lévő bemetszés nem a tabletta széttörésére szolgál.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rFonts w:eastAsia="SimSun"/>
          <w:b/>
          <w:sz w:val="22"/>
          <w:szCs w:val="22"/>
          <w:lang w:eastAsia="zh-CN"/>
        </w:rPr>
      </w:pPr>
      <w:r>
        <w:rPr>
          <w:rFonts w:eastAsia="SimSun"/>
          <w:b/>
          <w:sz w:val="22"/>
          <w:szCs w:val="22"/>
          <w:lang w:eastAsia="zh-CN"/>
        </w:rPr>
        <w:t>4.</w:t>
      </w:r>
      <w:r>
        <w:rPr>
          <w:rFonts w:eastAsia="SimSun"/>
          <w:b/>
          <w:sz w:val="22"/>
          <w:szCs w:val="22"/>
          <w:lang w:eastAsia="zh-CN"/>
        </w:rPr>
        <w:tab/>
        <w:t>KLINIKAI JELLEMZŐK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4.1</w:t>
      </w:r>
      <w:r>
        <w:rPr>
          <w:b/>
          <w:snapToGrid/>
          <w:sz w:val="22"/>
          <w:szCs w:val="22"/>
        </w:rPr>
        <w:tab/>
        <w:t>Terápiás javallatok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(OA),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(RA) és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ankylopoetica</w:t>
      </w:r>
      <w:proofErr w:type="spellEnd"/>
      <w:r>
        <w:rPr>
          <w:color w:val="000000"/>
          <w:sz w:val="22"/>
          <w:szCs w:val="22"/>
        </w:rPr>
        <w:t xml:space="preserve"> tüneteinek, illetve az akut köszvényes </w:t>
      </w:r>
      <w:proofErr w:type="spellStart"/>
      <w:r>
        <w:rPr>
          <w:color w:val="000000"/>
          <w:sz w:val="22"/>
          <w:szCs w:val="22"/>
        </w:rPr>
        <w:t>arthritisszel</w:t>
      </w:r>
      <w:proofErr w:type="spellEnd"/>
      <w:r>
        <w:rPr>
          <w:color w:val="000000"/>
          <w:sz w:val="22"/>
          <w:szCs w:val="22"/>
        </w:rPr>
        <w:t xml:space="preserve"> járó fájdalom és a gyulladásos tünetek csökkentésére javallott felnőttek és 16 éves vagy idősebb serdülők részére.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fogászati beavatkozással összefüggő mérsékelten erős fájdalom rövidtávú kezelésére javallott felnőttek és 16 éves vagy idősebb serdülők részére.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gátló minden egyes beteg esetében a teljes körű kockázat mérlegelése alapján írható fel (lásd 4.3 és 4.4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4.2</w:t>
      </w:r>
      <w:r>
        <w:rPr>
          <w:b/>
          <w:snapToGrid/>
          <w:sz w:val="22"/>
          <w:szCs w:val="22"/>
        </w:rPr>
        <w:tab/>
        <w:t>Adagolás és alkalmazás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Adagolás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Mivel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kockázata a dózissal és az expozíció időtartamával fokozódhat, a lehető legrövidebb ideig, a legkisebb hatásos napi adagot kell alkalmazni. A tünetek enyhítésének szükségességét és a beteg kezelésre adott válaszát rendszeres időközönként ellenőrizni kell, különösen az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 esetében (lásd 4.3, 4.4, 4.8 és 5.1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Osteoarthritis</w:t>
      </w:r>
      <w:proofErr w:type="spellEnd"/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javasolt adag 30 mg naponta egyszer. Néhány betegnél a tünetek nem megfelelő enyhülése esetén, 60 mg naponta egyszer adva növelheti a </w:t>
      </w:r>
      <w:proofErr w:type="spellStart"/>
      <w:r>
        <w:rPr>
          <w:color w:val="000000"/>
          <w:sz w:val="22"/>
          <w:szCs w:val="22"/>
        </w:rPr>
        <w:t>hatásosságot</w:t>
      </w:r>
      <w:proofErr w:type="spellEnd"/>
      <w:r>
        <w:rPr>
          <w:color w:val="000000"/>
          <w:sz w:val="22"/>
          <w:szCs w:val="22"/>
        </w:rPr>
        <w:t>. További terápiás előny hiányában, más terápiás lehetőségeket kell fontolóra venni.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Rheumatoid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arthritis</w:t>
      </w:r>
      <w:proofErr w:type="spellEnd"/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javasolt adag 60 mg naponta egyszer. Néhány betegnél a tünetek nem megfelelő enyhülése esetén a naponta egyszer adott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emelt dózis adása növelheti a </w:t>
      </w:r>
      <w:proofErr w:type="spellStart"/>
      <w:r>
        <w:rPr>
          <w:color w:val="000000"/>
          <w:sz w:val="22"/>
          <w:szCs w:val="22"/>
        </w:rPr>
        <w:t>hatásosságot</w:t>
      </w:r>
      <w:proofErr w:type="spellEnd"/>
      <w:r>
        <w:rPr>
          <w:color w:val="000000"/>
          <w:sz w:val="22"/>
          <w:szCs w:val="22"/>
        </w:rPr>
        <w:t>. A beteg klinikai stabilizálása után indokolt lehet a naponta egyszer adott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adagra történő csökkentés. További terápiás előny hiányában, más terápiás lehetőségeket kell fontolóra venni.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Spondylitis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ankylopoetica</w:t>
      </w:r>
      <w:proofErr w:type="spellEnd"/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javasolt adag 60 mg naponta egyszer. Néhány betegnél a tünetek nem megfelelő enyhülése esetén a naponta egyszer adott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emelt dózis adása növelheti a </w:t>
      </w:r>
      <w:proofErr w:type="spellStart"/>
      <w:r>
        <w:rPr>
          <w:color w:val="000000"/>
          <w:sz w:val="22"/>
          <w:szCs w:val="22"/>
        </w:rPr>
        <w:t>hatásosságot</w:t>
      </w:r>
      <w:proofErr w:type="spellEnd"/>
      <w:r>
        <w:rPr>
          <w:color w:val="000000"/>
          <w:sz w:val="22"/>
          <w:szCs w:val="22"/>
        </w:rPr>
        <w:t>. A beteg klinikai stabilizálása után, indokolt lehet a naponta egyszer adott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adagra való csökkentetés. További terápiás előny hiányában, más terápiás lehetőségeket kell fontolóra venni.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Akut fájdalommal járó állapotok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Akut fájdalommal járó állapotok esetén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csak az akut tünetekkel járó időszak alatt alkalmazandó.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pStyle w:val="Cmsor6"/>
        <w:ind w:left="567"/>
        <w:rPr>
          <w:i/>
          <w:color w:val="000000"/>
          <w:szCs w:val="22"/>
          <w:u w:val="none"/>
        </w:rPr>
      </w:pPr>
      <w:r>
        <w:rPr>
          <w:i/>
          <w:color w:val="000000"/>
          <w:szCs w:val="22"/>
          <w:u w:val="none"/>
        </w:rPr>
        <w:t xml:space="preserve">Akut köszvényes </w:t>
      </w:r>
      <w:proofErr w:type="spellStart"/>
      <w:r>
        <w:rPr>
          <w:i/>
          <w:color w:val="000000"/>
          <w:szCs w:val="22"/>
          <w:u w:val="none"/>
        </w:rPr>
        <w:t>arthritis</w:t>
      </w:r>
      <w:proofErr w:type="spellEnd"/>
    </w:p>
    <w:p w:rsidR="00FC5EC4" w:rsidRDefault="00B71784">
      <w:pPr>
        <w:ind w:left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javasolt adag 120 mg naponta egyszer. Az akut köszvényes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kezelésére irányuló klinikai vizsgálatok során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8 napon át adták.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pStyle w:val="Cmsor6"/>
        <w:ind w:left="567"/>
        <w:rPr>
          <w:i/>
          <w:color w:val="000000"/>
          <w:szCs w:val="22"/>
          <w:u w:val="none"/>
        </w:rPr>
      </w:pPr>
      <w:r>
        <w:rPr>
          <w:i/>
          <w:color w:val="000000"/>
          <w:szCs w:val="22"/>
          <w:u w:val="none"/>
        </w:rPr>
        <w:t>Fogászati beavatkozást követő fájdalom</w:t>
      </w:r>
    </w:p>
    <w:p w:rsidR="00FC5EC4" w:rsidRDefault="00B71784">
      <w:pPr>
        <w:ind w:left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javasolt adag 90 mg naponta egyszer, legfeljebb 3 napig. Néhány betegnek a </w:t>
      </w: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mellett egyéb posztoperatív fájdalomcsillapításra is szüksége lehet a háromnapos kezelési időszak alatt.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egyes indikációk esetén ajánlottnál nagyobb dózisok vagy nem mutattak nagyobb hatékonyságot, vagy nem vizsgálták azokat. Ezért: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(OA) esetén a dózis nem haladhatja meg a napi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>.</w:t>
      </w: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(RA) és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ankylopoetica</w:t>
      </w:r>
      <w:proofErr w:type="spellEnd"/>
      <w:r>
        <w:rPr>
          <w:color w:val="000000"/>
          <w:sz w:val="22"/>
          <w:szCs w:val="22"/>
        </w:rPr>
        <w:t xml:space="preserve"> esetén a dózis nem haladhatja meg a napi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>.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Heveny köszvényes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esetén a dózis nem haladhatja meg a napi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>, a kezelés maximális időtartama 8 nap.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Fogászati beavatkozást követő heveny fájdalom esetén a dózis nem haladhatja meg a napi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>, a kezelés maximális időtartama 3 nap.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Különleges betegcsoportok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Idősek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adag módosítására nincs szükség időskorúaknál. Más betegekhez hasonlóan, az idős betegeknél is óvatossággal kell eljárni (lásd 4.4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keepNext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Májkárosodásban szenvedő betegek</w:t>
      </w:r>
    </w:p>
    <w:p w:rsidR="00FC5EC4" w:rsidRDefault="00B71784">
      <w:pPr>
        <w:keepNext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indikációtól függetlenül, enyhe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5</w:t>
      </w:r>
      <w:r>
        <w:rPr>
          <w:color w:val="000000"/>
          <w:sz w:val="22"/>
          <w:szCs w:val="22"/>
        </w:rPr>
        <w:noBreakHyphen/>
        <w:t>6) szenvedő betegek esetén a napi egyszeri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adagot nem szabad túllépni. Az indikációtól függetlenül, közepesen 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7–9) szenvedő betegeknél a </w:t>
      </w:r>
      <w:r>
        <w:rPr>
          <w:i/>
          <w:color w:val="000000"/>
          <w:sz w:val="22"/>
          <w:szCs w:val="22"/>
        </w:rPr>
        <w:t>napi egyszeri</w:t>
      </w:r>
      <w:r>
        <w:rPr>
          <w:color w:val="000000"/>
          <w:sz w:val="22"/>
          <w:szCs w:val="22"/>
        </w:rPr>
        <w:t xml:space="preserve"> 30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nem szabad túllépni.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rendelkezésre álló klinikai tapasztalat, főként a közepesen súlyos májkárosodásban szenvedő betegek esetében korlátozott, ezért elővigyázatosság javasolt. Súlyos májkárosodásra (</w:t>
      </w:r>
      <w:proofErr w:type="spellStart"/>
      <w:r>
        <w:rPr>
          <w:color w:val="000000"/>
          <w:sz w:val="22"/>
          <w:szCs w:val="22"/>
        </w:rPr>
        <w:t>Child</w:t>
      </w:r>
      <w:r>
        <w:rPr>
          <w:color w:val="000000"/>
          <w:sz w:val="22"/>
          <w:szCs w:val="22"/>
        </w:rPr>
        <w:noBreakHyphen/>
        <w:t>Pugh</w:t>
      </w:r>
      <w:proofErr w:type="spellEnd"/>
      <w:r>
        <w:rPr>
          <w:color w:val="000000"/>
          <w:sz w:val="22"/>
          <w:szCs w:val="22"/>
        </w:rPr>
        <w:t xml:space="preserve"> pontszám: ≥ 10) vonatkozó klinikai tapasztalatok nem állnak rendelkezésre, ezért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ilyen betegek esetében ellenjavallt (lásd 4.3, 4.4 és 5.2 pont).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Vesekárosodásban szenvedő betegek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adag módosítására nincs szükség azoknál a betegeknél, akiknél a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értéke </w:t>
      </w:r>
      <w:r>
        <w:rPr>
          <w:color w:val="000000"/>
          <w:sz w:val="22"/>
          <w:szCs w:val="22"/>
        </w:rPr>
        <w:sym w:font="Symbol" w:char="F0B3"/>
      </w:r>
      <w:r>
        <w:rPr>
          <w:color w:val="000000"/>
          <w:sz w:val="22"/>
          <w:szCs w:val="22"/>
        </w:rPr>
        <w:t> 30 ml/perc (lásd 5.2 pont). 30 ml/perc</w:t>
      </w:r>
      <w:r>
        <w:rPr>
          <w:color w:val="000000"/>
          <w:sz w:val="22"/>
          <w:szCs w:val="22"/>
        </w:rPr>
        <w:noBreakHyphen/>
        <w:t>es értéknél kisebb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esetén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ellenjavallt (lásd 4.3 és 4.4 pont).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Gyermekek és serdülők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ellenjavallt gyermekeknél és 16 évesnél fiatalabb serdülőknél (lásd 4.3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Az alkalmazás módja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Roticox</w:t>
      </w:r>
      <w:proofErr w:type="spellEnd"/>
      <w:r>
        <w:rPr>
          <w:color w:val="000000"/>
          <w:sz w:val="22"/>
          <w:szCs w:val="22"/>
        </w:rPr>
        <w:t xml:space="preserve"> szájon át alkalmazandó és bevehető étellel vagy étkezéstől függetlenül. A gyógyszer hatása gyorsabban jelentkezhet, ha a beteg a </w:t>
      </w:r>
      <w:proofErr w:type="spellStart"/>
      <w:r>
        <w:rPr>
          <w:color w:val="000000"/>
          <w:sz w:val="22"/>
          <w:szCs w:val="22"/>
        </w:rPr>
        <w:t>Roticox-ot</w:t>
      </w:r>
      <w:proofErr w:type="spellEnd"/>
      <w:r>
        <w:rPr>
          <w:color w:val="000000"/>
          <w:sz w:val="22"/>
          <w:szCs w:val="22"/>
        </w:rPr>
        <w:t xml:space="preserve"> nem étkezéskor veszi be. Ezt figyelembe kell venni azokban az esetekben, amikor a tünetek gyors enyhítésére van szükség.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4.3</w:t>
      </w:r>
      <w:r>
        <w:rPr>
          <w:b/>
          <w:snapToGrid/>
          <w:sz w:val="22"/>
          <w:szCs w:val="22"/>
        </w:rPr>
        <w:tab/>
        <w:t>Ellenjavallatok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készítmény hatóanyagával vagy a 6.1 pontban felsorolt bármely segédanyagával szembeni túlérzékenység.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Aktív, </w:t>
      </w:r>
      <w:proofErr w:type="spellStart"/>
      <w:r>
        <w:rPr>
          <w:color w:val="000000"/>
          <w:sz w:val="22"/>
          <w:szCs w:val="22"/>
        </w:rPr>
        <w:t>peptikus</w:t>
      </w:r>
      <w:proofErr w:type="spellEnd"/>
      <w:r>
        <w:rPr>
          <w:color w:val="000000"/>
          <w:sz w:val="22"/>
          <w:szCs w:val="22"/>
        </w:rPr>
        <w:t xml:space="preserve"> fekély vagy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(GI) vérzés.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Azoknál a betegeknél, akiknél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vagy NSAID készítmények, köztük COX</w:t>
      </w:r>
      <w:r>
        <w:rPr>
          <w:color w:val="000000"/>
          <w:sz w:val="22"/>
          <w:szCs w:val="22"/>
        </w:rPr>
        <w:noBreakHyphen/>
        <w:t>2 (ciklooxigenáz</w:t>
      </w:r>
      <w:r>
        <w:rPr>
          <w:color w:val="000000"/>
          <w:sz w:val="22"/>
          <w:szCs w:val="22"/>
        </w:rPr>
        <w:noBreakHyphen/>
        <w:t xml:space="preserve">2) gátlók szedését követően </w:t>
      </w:r>
      <w:proofErr w:type="spellStart"/>
      <w:r>
        <w:rPr>
          <w:color w:val="000000"/>
          <w:sz w:val="22"/>
          <w:szCs w:val="22"/>
        </w:rPr>
        <w:t>bronchospasmus</w:t>
      </w:r>
      <w:proofErr w:type="spellEnd"/>
      <w:r>
        <w:rPr>
          <w:color w:val="000000"/>
          <w:sz w:val="22"/>
          <w:szCs w:val="22"/>
        </w:rPr>
        <w:t xml:space="preserve">, akut </w:t>
      </w:r>
      <w:proofErr w:type="spellStart"/>
      <w:r>
        <w:rPr>
          <w:color w:val="000000"/>
          <w:sz w:val="22"/>
          <w:szCs w:val="22"/>
        </w:rPr>
        <w:t>rhinitis</w:t>
      </w:r>
      <w:proofErr w:type="spellEnd"/>
      <w:r>
        <w:rPr>
          <w:color w:val="000000"/>
          <w:sz w:val="22"/>
          <w:szCs w:val="22"/>
        </w:rPr>
        <w:t xml:space="preserve">, orrpolipok, </w:t>
      </w:r>
      <w:proofErr w:type="spellStart"/>
      <w:r>
        <w:rPr>
          <w:color w:val="000000"/>
          <w:sz w:val="22"/>
          <w:szCs w:val="22"/>
        </w:rPr>
        <w:t>angioneuroticus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urticaria</w:t>
      </w:r>
      <w:proofErr w:type="spellEnd"/>
      <w:r>
        <w:rPr>
          <w:color w:val="000000"/>
          <w:sz w:val="22"/>
          <w:szCs w:val="22"/>
        </w:rPr>
        <w:t>, illetve allergiás típusú reakciók jelentkeztek.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Terhesség és szoptatás (lásd 4.6 és 5.3 pont)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Súlyos májfunkciós zavar (szérum albumin &lt; 25 g/l vagy 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≥ 10).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&lt; 30 ml/perc alatti becsült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érték.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 évesnél fiatalabb gyermekek és serdülők.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Gyulladásos bélbetegség.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 (NYHA II</w:t>
      </w:r>
      <w:r>
        <w:rPr>
          <w:color w:val="000000"/>
          <w:sz w:val="22"/>
          <w:szCs w:val="22"/>
        </w:rPr>
        <w:noBreakHyphen/>
        <w:t>IV).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Hypertoniában</w:t>
      </w:r>
      <w:proofErr w:type="spellEnd"/>
      <w:r>
        <w:rPr>
          <w:color w:val="000000"/>
          <w:sz w:val="22"/>
          <w:szCs w:val="22"/>
        </w:rPr>
        <w:t xml:space="preserve"> szenvedő betegeknél, akiknek a vérnyomása tartósan 140/90 Hgmm fölé emelkedett és nincs megfelelően beállítva.</w:t>
      </w:r>
    </w:p>
    <w:p w:rsidR="00FC5EC4" w:rsidRDefault="00B71784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Ischaemiás</w:t>
      </w:r>
      <w:proofErr w:type="spellEnd"/>
      <w:r>
        <w:rPr>
          <w:color w:val="000000"/>
          <w:sz w:val="22"/>
          <w:szCs w:val="22"/>
        </w:rPr>
        <w:t xml:space="preserve"> szívbetegség, perifériás verőérbetegség és/vagy </w:t>
      </w:r>
      <w:proofErr w:type="spellStart"/>
      <w:r>
        <w:rPr>
          <w:color w:val="000000"/>
          <w:sz w:val="22"/>
          <w:szCs w:val="22"/>
        </w:rPr>
        <w:t>cerebrovascularis</w:t>
      </w:r>
      <w:proofErr w:type="spellEnd"/>
      <w:r>
        <w:rPr>
          <w:color w:val="000000"/>
          <w:sz w:val="22"/>
          <w:szCs w:val="22"/>
        </w:rPr>
        <w:t xml:space="preserve"> megbetegedés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manifeszt formái.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4.4</w:t>
      </w:r>
      <w:r>
        <w:rPr>
          <w:b/>
          <w:snapToGrid/>
          <w:sz w:val="22"/>
          <w:szCs w:val="22"/>
        </w:rPr>
        <w:tab/>
        <w:t>Különleges figyelmeztetések és az alkalmazással kapcsolatos óvintézkedések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Gastrointestinalis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betegeknél felső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 [perforációk, fekélyek vagy vérzések (PUV-ok)] alakultak ki, amelyek néhány esetben halálos kimenetelűek voltak.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Óvatossággal kell eljárni azon betegek kezelésekor, akiknél NSAID készítmények adása esetén legmagasabb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 kialakulásának kockázata: időskorúak, azon betegek, akik egyidejűleg más NSAID készítményeket vagy </w:t>
      </w:r>
      <w:proofErr w:type="spellStart"/>
      <w:r>
        <w:rPr>
          <w:color w:val="000000"/>
          <w:sz w:val="22"/>
          <w:szCs w:val="22"/>
        </w:rPr>
        <w:t>acetilszalicilsavat</w:t>
      </w:r>
      <w:proofErr w:type="spellEnd"/>
      <w:r>
        <w:rPr>
          <w:color w:val="000000"/>
          <w:sz w:val="22"/>
          <w:szCs w:val="22"/>
        </w:rPr>
        <w:t xml:space="preserve"> kapnak, vagy akiknek az anamnézisében már szerepel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betegség (pl. fekély és GI vérzés).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acetilszalicilsavval</w:t>
      </w:r>
      <w:proofErr w:type="spellEnd"/>
      <w:r>
        <w:rPr>
          <w:color w:val="000000"/>
          <w:sz w:val="22"/>
          <w:szCs w:val="22"/>
        </w:rPr>
        <w:t xml:space="preserve"> (akár kis dózisokban) való együttes adásakor tovább növekszik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mellékhatások kialakulásának kockázata (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 vagy más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szövődmények). A hosszú távú klinikai vizsgálatokban 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 +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kombináció és a nem-szteroid gyulladásgátló +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kombináció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biztonságossága között nem mutattak ki szignifikáns különbséget (lásd 5.1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Cardiovascularis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Klinikai vizsgálatokból arra lehet következtetni, hogy 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 gyógyszerek osztálya összefüggésbe hozható a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eseményekkel (különösen a </w:t>
      </w:r>
      <w:proofErr w:type="spellStart"/>
      <w:r>
        <w:rPr>
          <w:color w:val="000000"/>
          <w:sz w:val="22"/>
          <w:szCs w:val="22"/>
        </w:rPr>
        <w:t>myocardialis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infarctussal</w:t>
      </w:r>
      <w:proofErr w:type="spellEnd"/>
      <w:r>
        <w:rPr>
          <w:color w:val="000000"/>
          <w:sz w:val="22"/>
          <w:szCs w:val="22"/>
        </w:rPr>
        <w:t xml:space="preserve"> (MI) és a stroke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) a </w:t>
      </w:r>
      <w:proofErr w:type="spellStart"/>
      <w:r>
        <w:rPr>
          <w:color w:val="000000"/>
          <w:sz w:val="22"/>
          <w:szCs w:val="22"/>
        </w:rPr>
        <w:t>placebóhoz</w:t>
      </w:r>
      <w:proofErr w:type="spellEnd"/>
      <w:r>
        <w:rPr>
          <w:color w:val="000000"/>
          <w:sz w:val="22"/>
          <w:szCs w:val="22"/>
        </w:rPr>
        <w:t xml:space="preserve"> és néhány NSAID készítményhez viszonyítva. Mivel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kockázata a dózissal és az expozíció időtartamával fokozódhat, a lehető legrövidebb ideig, a lehető legkisebb hatékony napi adagot kell alkalmazni. A tünetek enyhítésének szükségességét és a beteg kezelésre adott válaszát rendszeres időközönként ellenőrizni kell, különösen az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 esetében (lásd 4.2, 4.3, 4.8 és 5.1 pontok).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Azokat a betegeket, akiknél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eseményekre hajlamosító jelentős kockázati tényezők (például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hyperlipidaemia</w:t>
      </w:r>
      <w:proofErr w:type="spellEnd"/>
      <w:r>
        <w:rPr>
          <w:color w:val="000000"/>
          <w:sz w:val="22"/>
          <w:szCs w:val="22"/>
        </w:rPr>
        <w:t xml:space="preserve">, diabetes mellitus, dohányzás) állnak fenn, csak alapos megfontolás után lehet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kezelni (lásd 5.1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gátlók nem rendelkeznek </w:t>
      </w:r>
      <w:proofErr w:type="spellStart"/>
      <w:r>
        <w:rPr>
          <w:color w:val="000000"/>
          <w:sz w:val="22"/>
          <w:szCs w:val="22"/>
        </w:rPr>
        <w:t>thrombocyta</w:t>
      </w:r>
      <w:proofErr w:type="spellEnd"/>
      <w:r>
        <w:rPr>
          <w:color w:val="000000"/>
          <w:sz w:val="22"/>
          <w:szCs w:val="22"/>
        </w:rPr>
        <w:t xml:space="preserve">-gátló hatással, így nem helyettesíthetik az </w:t>
      </w:r>
      <w:proofErr w:type="spellStart"/>
      <w:r>
        <w:rPr>
          <w:color w:val="000000"/>
          <w:sz w:val="22"/>
          <w:szCs w:val="22"/>
        </w:rPr>
        <w:t>acetilszalicilsavat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thromboemboliás</w:t>
      </w:r>
      <w:proofErr w:type="spellEnd"/>
      <w:r>
        <w:rPr>
          <w:color w:val="000000"/>
          <w:sz w:val="22"/>
          <w:szCs w:val="22"/>
        </w:rPr>
        <w:t xml:space="preserve"> megbetegedések profilaxisában. Ezért a </w:t>
      </w:r>
      <w:proofErr w:type="spellStart"/>
      <w:r>
        <w:rPr>
          <w:color w:val="000000"/>
          <w:sz w:val="22"/>
          <w:szCs w:val="22"/>
        </w:rPr>
        <w:t>thrombocyta</w:t>
      </w:r>
      <w:proofErr w:type="spellEnd"/>
      <w:r>
        <w:rPr>
          <w:color w:val="000000"/>
          <w:sz w:val="22"/>
          <w:szCs w:val="22"/>
        </w:rPr>
        <w:t>-gátló kezelést nem szabad leállítani (lásd 4.5 és 5.1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Renalis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prosztaglandinoknak</w:t>
      </w:r>
      <w:proofErr w:type="spellEnd"/>
      <w:r>
        <w:rPr>
          <w:color w:val="000000"/>
          <w:sz w:val="22"/>
          <w:szCs w:val="22"/>
        </w:rPr>
        <w:t xml:space="preserve"> kompenzáló szerepük lehet a vese perfúziójának fenntartásában. Ezért csökkent vese</w:t>
      </w:r>
      <w:r>
        <w:rPr>
          <w:color w:val="000000"/>
          <w:sz w:val="22"/>
          <w:szCs w:val="22"/>
        </w:rPr>
        <w:noBreakHyphen/>
        <w:t xml:space="preserve">perfúzió esetén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-adagolás csökkentheti a 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és másodlagosan a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véráramlást, csökkentve ezáltal a vesefunkciót. Ennek a veszélynek leginkább a már eleve jelentősen csökkent vesefunkciójú, dekompenzált szívelégtelenségben vagy </w:t>
      </w:r>
      <w:proofErr w:type="spellStart"/>
      <w:r>
        <w:rPr>
          <w:color w:val="000000"/>
          <w:sz w:val="22"/>
          <w:szCs w:val="22"/>
        </w:rPr>
        <w:t>cirrhosisban</w:t>
      </w:r>
      <w:proofErr w:type="spellEnd"/>
      <w:r>
        <w:rPr>
          <w:color w:val="000000"/>
          <w:sz w:val="22"/>
          <w:szCs w:val="22"/>
        </w:rPr>
        <w:t xml:space="preserve"> szenvedő betegek vannak kitéve. Ezeknél a betegeknél felmerül a vesefunkció ellenőrzésének szükségessége.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Folyadékretenció, </w:t>
      </w:r>
      <w:proofErr w:type="spellStart"/>
      <w:r>
        <w:rPr>
          <w:color w:val="000000"/>
          <w:sz w:val="22"/>
          <w:szCs w:val="22"/>
          <w:u w:val="single"/>
        </w:rPr>
        <w:t>oedema</w:t>
      </w:r>
      <w:proofErr w:type="spellEnd"/>
      <w:r>
        <w:rPr>
          <w:color w:val="000000"/>
          <w:sz w:val="22"/>
          <w:szCs w:val="22"/>
          <w:u w:val="single"/>
        </w:rPr>
        <w:t xml:space="preserve"> és </w:t>
      </w:r>
      <w:proofErr w:type="spellStart"/>
      <w:r>
        <w:rPr>
          <w:color w:val="000000"/>
          <w:sz w:val="22"/>
          <w:szCs w:val="22"/>
          <w:u w:val="single"/>
        </w:rPr>
        <w:t>hypertonia</w:t>
      </w:r>
      <w:proofErr w:type="spellEnd"/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prosztaglandinszintézis</w:t>
      </w:r>
      <w:proofErr w:type="spellEnd"/>
      <w:r>
        <w:rPr>
          <w:color w:val="000000"/>
          <w:sz w:val="22"/>
          <w:szCs w:val="22"/>
        </w:rPr>
        <w:t xml:space="preserve">-gátló egyéb gyógyszerekhez hasonlóan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betegeknél folyadékretenciót, </w:t>
      </w:r>
      <w:proofErr w:type="spellStart"/>
      <w:r>
        <w:rPr>
          <w:color w:val="000000"/>
          <w:sz w:val="22"/>
          <w:szCs w:val="22"/>
        </w:rPr>
        <w:t>oedemát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hypertoniát</w:t>
      </w:r>
      <w:proofErr w:type="spellEnd"/>
      <w:r>
        <w:rPr>
          <w:color w:val="000000"/>
          <w:sz w:val="22"/>
          <w:szCs w:val="22"/>
        </w:rPr>
        <w:t xml:space="preserve"> figyeltek meg. Mint minden nem-szteroid gyulladásgátló (NSAID) gyógyszer, így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is újonnan kialakuló vagy ismételten fellépő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járhat. Az </w:t>
      </w:r>
      <w:proofErr w:type="spellStart"/>
      <w:r>
        <w:rPr>
          <w:color w:val="000000"/>
          <w:sz w:val="22"/>
          <w:szCs w:val="22"/>
        </w:rPr>
        <w:t>etorikoxibra</w:t>
      </w:r>
      <w:proofErr w:type="spellEnd"/>
      <w:r>
        <w:rPr>
          <w:color w:val="000000"/>
          <w:sz w:val="22"/>
          <w:szCs w:val="22"/>
        </w:rPr>
        <w:t xml:space="preserve"> adott dózisfüggő válaszra vonatkozó információkat illetően lásd az 5.1 pontot. Fokozott óvatosság szükséges az anamnézisben szereplő szívelégtelenség, balkamra </w:t>
      </w:r>
      <w:proofErr w:type="spellStart"/>
      <w:r>
        <w:rPr>
          <w:color w:val="000000"/>
          <w:sz w:val="22"/>
          <w:szCs w:val="22"/>
        </w:rPr>
        <w:t>dysfunctio</w:t>
      </w:r>
      <w:proofErr w:type="spellEnd"/>
      <w:r>
        <w:rPr>
          <w:color w:val="000000"/>
          <w:sz w:val="22"/>
          <w:szCs w:val="22"/>
        </w:rPr>
        <w:t xml:space="preserve">, illetve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valamint bármilyen egyéb okból fennálló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 esetén. Ha a betegek említett kórképeinek rosszabbodására utaló klinikai jelek észlelhetők, megfelelő intézkedéseket kell tenni, beleértve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elhagyását is.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gyakoribb és súlyosabb </w:t>
      </w:r>
      <w:proofErr w:type="spellStart"/>
      <w:r>
        <w:rPr>
          <w:color w:val="000000"/>
          <w:sz w:val="22"/>
          <w:szCs w:val="22"/>
        </w:rPr>
        <w:t>hypertoniát</w:t>
      </w:r>
      <w:proofErr w:type="spellEnd"/>
      <w:r>
        <w:rPr>
          <w:color w:val="000000"/>
          <w:sz w:val="22"/>
          <w:szCs w:val="22"/>
        </w:rPr>
        <w:t xml:space="preserve"> okozhat, mint néhány egyéb NSAID készítmény és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gátló, különösen magas dózisokban alkalmazva. Ezért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 xml:space="preserve">kezelés megkezdése előtt a vérnyomást be kell állítani (lásd 4.3 pont) és különös figyelmet kell fordítani a vérnyomás ellenőrzésére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>-kezelés alatt. A vérnyomást a kezelés megkezdését követő két héten belül, majd ezt követően rendszeresen ellenőrizni kell. Ha a vérnyomás jelentősen megemelkedik, alternatív kezelés alkalmazását kell fontolóra venni.</w:t>
      </w:r>
    </w:p>
    <w:p w:rsidR="00FC5EC4" w:rsidRDefault="00FC5EC4">
      <w:pPr>
        <w:rPr>
          <w:i/>
          <w:iCs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Hepaticus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napi 30, 60 vagy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maximum egy éven át kezelt betegek bevonásával végzett klinikai vizsgálatokban a betegek körülbelül 1%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ánál</w:t>
      </w:r>
      <w:proofErr w:type="spellEnd"/>
      <w:r>
        <w:rPr>
          <w:color w:val="000000"/>
          <w:sz w:val="22"/>
          <w:szCs w:val="22"/>
        </w:rPr>
        <w:t xml:space="preserve"> jelentették az </w:t>
      </w:r>
      <w:proofErr w:type="spellStart"/>
      <w:r>
        <w:rPr>
          <w:color w:val="000000"/>
          <w:sz w:val="22"/>
          <w:szCs w:val="22"/>
        </w:rPr>
        <w:t>alanin-aminotranszferáz</w:t>
      </w:r>
      <w:proofErr w:type="spellEnd"/>
      <w:r>
        <w:rPr>
          <w:color w:val="000000"/>
          <w:sz w:val="22"/>
          <w:szCs w:val="22"/>
        </w:rPr>
        <w:t xml:space="preserve"> (ALAT/GPT) és/vagy az aszpartát-</w:t>
      </w:r>
      <w:proofErr w:type="spellStart"/>
      <w:r>
        <w:rPr>
          <w:color w:val="000000"/>
          <w:sz w:val="22"/>
          <w:szCs w:val="22"/>
        </w:rPr>
        <w:t>aminotranszferáz</w:t>
      </w:r>
      <w:proofErr w:type="spellEnd"/>
      <w:r>
        <w:rPr>
          <w:color w:val="000000"/>
          <w:sz w:val="22"/>
          <w:szCs w:val="22"/>
        </w:rPr>
        <w:t xml:space="preserve"> (ASAT/GOT) szint emelkedését (a felső normálérték kb. háromszorosára vagy több mint háromszorosára).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májbetegségre utaló tünetek és/vagy jelek, illetve kóros májfunkciós eredmény esetén a beteget megfigyelés alatt kell tartani. Májbetegségre utaló jelek esetén, illetve ha tartósan kóros májfunkciós eltérésekre (a felső normálérték háromszorosa) derül fény,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kezelést el kell hagyni.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Általános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Amennyiben a kezelés során a betegeknél bármelyik fent említett szervrendszer működése romlik, megfelelő intézkedéseket kell tenni, és megfontolandó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kezelés felfüggesztése.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esetén megfelelő orvosi ellenőrzésre van szükség idős, illetve vese</w:t>
      </w:r>
      <w:r>
        <w:rPr>
          <w:color w:val="000000"/>
          <w:sz w:val="22"/>
          <w:szCs w:val="22"/>
        </w:rPr>
        <w:noBreakHyphen/>
        <w:t>, máj</w:t>
      </w:r>
      <w:r>
        <w:rPr>
          <w:color w:val="000000"/>
          <w:sz w:val="22"/>
          <w:szCs w:val="22"/>
        </w:rPr>
        <w:noBreakHyphen/>
        <w:t xml:space="preserve"> vagy szívbetegségben szenvedő betegeknél.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Dehidrált betegeknél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-kezelést kellő körültekintéssel kell megkezdeni. Ajánlatos a betegek </w:t>
      </w:r>
      <w:proofErr w:type="spellStart"/>
      <w:r>
        <w:rPr>
          <w:color w:val="000000"/>
          <w:sz w:val="22"/>
          <w:szCs w:val="22"/>
        </w:rPr>
        <w:t>rehidrálása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megkezdése előtt.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forgalomba hozatalt követően végzett vizsgálatokban NSAID készítmények és néhány szelektív COX-2-gátló alkalmazásával összefüggésben súlyos, néhány esetben halálos kimenetelű bőrreakciókról (beleértve az </w:t>
      </w:r>
      <w:proofErr w:type="spellStart"/>
      <w:r>
        <w:rPr>
          <w:color w:val="000000"/>
          <w:sz w:val="22"/>
          <w:szCs w:val="22"/>
        </w:rPr>
        <w:t>exfoliativ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dermatitist</w:t>
      </w:r>
      <w:proofErr w:type="spellEnd"/>
      <w:r>
        <w:rPr>
          <w:color w:val="000000"/>
          <w:sz w:val="22"/>
          <w:szCs w:val="22"/>
        </w:rPr>
        <w:t xml:space="preserve">, a </w:t>
      </w:r>
      <w:proofErr w:type="spellStart"/>
      <w:r>
        <w:rPr>
          <w:color w:val="000000"/>
          <w:sz w:val="22"/>
          <w:szCs w:val="22"/>
        </w:rPr>
        <w:t>Stevens</w:t>
      </w:r>
      <w:proofErr w:type="spellEnd"/>
      <w:r>
        <w:rPr>
          <w:color w:val="000000"/>
          <w:sz w:val="22"/>
          <w:szCs w:val="22"/>
        </w:rPr>
        <w:t xml:space="preserve">–Johnson-szindrómát, és a </w:t>
      </w:r>
      <w:proofErr w:type="spellStart"/>
      <w:r>
        <w:rPr>
          <w:color w:val="000000"/>
          <w:sz w:val="22"/>
          <w:szCs w:val="22"/>
        </w:rPr>
        <w:t>toxicus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epidermalis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necrolysist</w:t>
      </w:r>
      <w:proofErr w:type="spellEnd"/>
      <w:r>
        <w:rPr>
          <w:color w:val="000000"/>
          <w:sz w:val="22"/>
          <w:szCs w:val="22"/>
        </w:rPr>
        <w:t xml:space="preserve">) számoltak be nagyon ritkán (lásd 4.8 pont). Úgy tűnik, hogy a betegek a terápia kezdeti szakaszán vannak leginkább kitéve ezen reakciók kockázatának, és az esetek nagy részében a reakció kezdete a kezelés első hónapjára tehető.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kapó betegeknél súlyos túlérzékenységi reakciókat (úgymint </w:t>
      </w:r>
      <w:proofErr w:type="spellStart"/>
      <w:r>
        <w:rPr>
          <w:color w:val="000000"/>
          <w:sz w:val="22"/>
          <w:szCs w:val="22"/>
        </w:rPr>
        <w:t>anafilaxia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angiooedema</w:t>
      </w:r>
      <w:proofErr w:type="spellEnd"/>
      <w:r>
        <w:rPr>
          <w:color w:val="000000"/>
          <w:sz w:val="22"/>
          <w:szCs w:val="22"/>
        </w:rPr>
        <w:t>) jelentettek (lásd 4.8 pont). Egyes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gátlókat összefüggésbe hozták a bőrreakciók megnövekedett kockázatával olyan betegek esetében, akiknél korábban bármilyen gyógyszerallergia előfordult.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kezelést abba kell hagyni bőrkiütés, nyálkahártya-elváltozások vagy a túlérzékenység bármely más jelének első megjelenésekor.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elfedheti a lázat és a gyulladás egyéb tüneteit.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warfarinnal</w:t>
      </w:r>
      <w:proofErr w:type="spellEnd"/>
      <w:r>
        <w:rPr>
          <w:color w:val="000000"/>
          <w:sz w:val="22"/>
          <w:szCs w:val="22"/>
        </w:rPr>
        <w:t xml:space="preserve"> vagy egyéb orális </w:t>
      </w:r>
      <w:proofErr w:type="spellStart"/>
      <w:r>
        <w:rPr>
          <w:color w:val="000000"/>
          <w:sz w:val="22"/>
          <w:szCs w:val="22"/>
        </w:rPr>
        <w:t>antikoagulánssal</w:t>
      </w:r>
      <w:proofErr w:type="spellEnd"/>
      <w:r>
        <w:rPr>
          <w:color w:val="000000"/>
          <w:sz w:val="22"/>
          <w:szCs w:val="22"/>
        </w:rPr>
        <w:t xml:space="preserve"> való </w:t>
      </w:r>
      <w:proofErr w:type="spellStart"/>
      <w:r>
        <w:rPr>
          <w:color w:val="000000"/>
          <w:sz w:val="22"/>
          <w:szCs w:val="22"/>
        </w:rPr>
        <w:t>együttadásakor</w:t>
      </w:r>
      <w:proofErr w:type="spellEnd"/>
      <w:r>
        <w:rPr>
          <w:color w:val="000000"/>
          <w:sz w:val="22"/>
          <w:szCs w:val="22"/>
        </w:rPr>
        <w:t xml:space="preserve"> óvatossággal kell eljárni (lásd 4.5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 – más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prosztaglandinszintézis</w:t>
      </w:r>
      <w:proofErr w:type="spellEnd"/>
      <w:r>
        <w:rPr>
          <w:color w:val="000000"/>
          <w:sz w:val="22"/>
          <w:szCs w:val="22"/>
        </w:rPr>
        <w:t>-gátló gyógyszerekhez hasonlóan – nem ajánlott olyan nőknél, akik teherbe kívánnak esni (lásd 4.6, 5.1 és 5.3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Nátrium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készítmény kevesebb mint 1 </w:t>
      </w:r>
      <w:proofErr w:type="spellStart"/>
      <w:r>
        <w:rPr>
          <w:color w:val="000000"/>
          <w:sz w:val="22"/>
          <w:szCs w:val="22"/>
        </w:rPr>
        <w:t>mmol</w:t>
      </w:r>
      <w:proofErr w:type="spellEnd"/>
      <w:r>
        <w:rPr>
          <w:color w:val="000000"/>
          <w:sz w:val="22"/>
          <w:szCs w:val="22"/>
        </w:rPr>
        <w:t xml:space="preserve"> (23 mg) nátriumot tartalmaz tablettánként, azaz gyakorlatilag „nátriummentes”.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4.5</w:t>
      </w:r>
      <w:r>
        <w:rPr>
          <w:b/>
          <w:snapToGrid/>
          <w:sz w:val="22"/>
          <w:szCs w:val="22"/>
        </w:rPr>
        <w:tab/>
        <w:t>Gyógyszerkölcsönhatások és egyéb interakciók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Farmakodinámiás</w:t>
      </w:r>
      <w:proofErr w:type="spellEnd"/>
      <w:r>
        <w:rPr>
          <w:color w:val="000000"/>
          <w:sz w:val="22"/>
          <w:szCs w:val="22"/>
          <w:u w:val="single"/>
        </w:rPr>
        <w:t xml:space="preserve"> interakciók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Orális </w:t>
      </w:r>
      <w:proofErr w:type="spellStart"/>
      <w:r>
        <w:rPr>
          <w:i/>
          <w:color w:val="000000"/>
          <w:sz w:val="22"/>
          <w:szCs w:val="22"/>
        </w:rPr>
        <w:t>antikoagulánsok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Jól beállított, tartósan </w:t>
      </w:r>
      <w:proofErr w:type="spellStart"/>
      <w:r>
        <w:rPr>
          <w:color w:val="000000"/>
          <w:sz w:val="22"/>
          <w:szCs w:val="22"/>
        </w:rPr>
        <w:t>warfarinnal</w:t>
      </w:r>
      <w:proofErr w:type="spellEnd"/>
      <w:r>
        <w:rPr>
          <w:color w:val="000000"/>
          <w:sz w:val="22"/>
          <w:szCs w:val="22"/>
        </w:rPr>
        <w:t xml:space="preserve"> kezelt betegeknél napi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 Nemzetközi Normalizált Arányszám (INR)-</w:t>
      </w:r>
      <w:proofErr w:type="spellStart"/>
      <w:r>
        <w:rPr>
          <w:color w:val="000000"/>
          <w:sz w:val="22"/>
          <w:szCs w:val="22"/>
        </w:rPr>
        <w:t>ben</w:t>
      </w:r>
      <w:proofErr w:type="spellEnd"/>
      <w:r>
        <w:rPr>
          <w:color w:val="000000"/>
          <w:sz w:val="22"/>
          <w:szCs w:val="22"/>
        </w:rPr>
        <w:t xml:space="preserve"> kifejezett </w:t>
      </w:r>
      <w:proofErr w:type="spellStart"/>
      <w:r>
        <w:rPr>
          <w:color w:val="000000"/>
          <w:sz w:val="22"/>
          <w:szCs w:val="22"/>
        </w:rPr>
        <w:t>protrombin</w:t>
      </w:r>
      <w:proofErr w:type="spellEnd"/>
      <w:r>
        <w:rPr>
          <w:color w:val="000000"/>
          <w:sz w:val="22"/>
          <w:szCs w:val="22"/>
        </w:rPr>
        <w:t xml:space="preserve"> idő körülbelül 13%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növekedését okozta. Ezért az orális </w:t>
      </w:r>
      <w:proofErr w:type="spellStart"/>
      <w:r>
        <w:rPr>
          <w:color w:val="000000"/>
          <w:sz w:val="22"/>
          <w:szCs w:val="22"/>
        </w:rPr>
        <w:t>antikoagulánsokat</w:t>
      </w:r>
      <w:proofErr w:type="spellEnd"/>
      <w:r>
        <w:rPr>
          <w:color w:val="000000"/>
          <w:sz w:val="22"/>
          <w:szCs w:val="22"/>
        </w:rPr>
        <w:t xml:space="preserve"> szedő betegeknél rendszeresen ellenőrizni kell az INR </w:t>
      </w:r>
      <w:proofErr w:type="spellStart"/>
      <w:r>
        <w:rPr>
          <w:color w:val="000000"/>
          <w:sz w:val="22"/>
          <w:szCs w:val="22"/>
        </w:rPr>
        <w:t>protrombinidő</w:t>
      </w:r>
      <w:proofErr w:type="spellEnd"/>
      <w:r>
        <w:rPr>
          <w:color w:val="000000"/>
          <w:sz w:val="22"/>
          <w:szCs w:val="22"/>
        </w:rPr>
        <w:t xml:space="preserve">-értékeket, főként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megkezdését vagy a dózis megváltoztatását követő néhány napon (lásd 4.4 pont).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Diuretikumok</w:t>
      </w:r>
      <w:proofErr w:type="spellEnd"/>
      <w:r>
        <w:rPr>
          <w:i/>
          <w:color w:val="000000"/>
          <w:sz w:val="22"/>
          <w:szCs w:val="22"/>
        </w:rPr>
        <w:t>, ACE</w:t>
      </w:r>
      <w:r>
        <w:rPr>
          <w:i/>
          <w:color w:val="000000"/>
          <w:sz w:val="22"/>
          <w:szCs w:val="22"/>
        </w:rPr>
        <w:noBreakHyphen/>
        <w:t xml:space="preserve">gátlók és </w:t>
      </w:r>
      <w:proofErr w:type="spellStart"/>
      <w:r>
        <w:rPr>
          <w:i/>
          <w:color w:val="000000"/>
          <w:sz w:val="22"/>
          <w:szCs w:val="22"/>
        </w:rPr>
        <w:t>angiotenzin</w:t>
      </w:r>
      <w:proofErr w:type="spellEnd"/>
      <w:r>
        <w:rPr>
          <w:i/>
          <w:color w:val="000000"/>
          <w:sz w:val="22"/>
          <w:szCs w:val="22"/>
        </w:rPr>
        <w:noBreakHyphen/>
        <w:t>II</w:t>
      </w:r>
      <w:r>
        <w:rPr>
          <w:i/>
          <w:color w:val="000000"/>
          <w:sz w:val="22"/>
          <w:szCs w:val="22"/>
        </w:rPr>
        <w:noBreakHyphen/>
      </w:r>
      <w:proofErr w:type="spellStart"/>
      <w:r>
        <w:rPr>
          <w:i/>
          <w:color w:val="000000"/>
          <w:sz w:val="22"/>
          <w:szCs w:val="22"/>
        </w:rPr>
        <w:t>antagonisták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NSAID csoportba tartozó szerek csökkenthetik a </w:t>
      </w:r>
      <w:proofErr w:type="spellStart"/>
      <w:r>
        <w:rPr>
          <w:color w:val="000000"/>
          <w:sz w:val="22"/>
          <w:szCs w:val="22"/>
        </w:rPr>
        <w:t>diuretikumok</w:t>
      </w:r>
      <w:proofErr w:type="spellEnd"/>
      <w:r>
        <w:rPr>
          <w:color w:val="000000"/>
          <w:sz w:val="22"/>
          <w:szCs w:val="22"/>
        </w:rPr>
        <w:t xml:space="preserve"> és az egyéb vérnyomáscsökkentő szerek hatását. Egyes csökkent vesefunkciójú betegeknél (pl. dehidrált betegek vagy csökkent vesefunkciójú idős betegek) az ACE</w:t>
      </w:r>
      <w:r>
        <w:rPr>
          <w:color w:val="000000"/>
          <w:sz w:val="22"/>
          <w:szCs w:val="22"/>
        </w:rPr>
        <w:noBreakHyphen/>
        <w:t xml:space="preserve">gátlók vagy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>
        <w:rPr>
          <w:color w:val="000000"/>
          <w:sz w:val="22"/>
          <w:szCs w:val="22"/>
        </w:rPr>
        <w:noBreakHyphen/>
        <w:t>II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antagonisták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noBreakHyphen/>
        <w:t xml:space="preserve">gátlók együttes adása tovább ronthatja a vesefunkciót és akut veseelégtelenséget is okozhat. Ez a hatás azonban általában reverzibilis. Ezeket a kölcsönhatásokat figyelembe kell venni azoknál a betegeknél, akik párhuzamosan szednek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ACE</w:t>
      </w:r>
      <w:r>
        <w:rPr>
          <w:color w:val="000000"/>
          <w:sz w:val="22"/>
          <w:szCs w:val="22"/>
        </w:rPr>
        <w:noBreakHyphen/>
        <w:t xml:space="preserve">gátlókat, vagy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>
        <w:rPr>
          <w:color w:val="000000"/>
          <w:sz w:val="22"/>
          <w:szCs w:val="22"/>
        </w:rPr>
        <w:noBreakHyphen/>
        <w:t>II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antagonistákat</w:t>
      </w:r>
      <w:proofErr w:type="spellEnd"/>
      <w:r>
        <w:rPr>
          <w:color w:val="000000"/>
          <w:sz w:val="22"/>
          <w:szCs w:val="22"/>
        </w:rPr>
        <w:t xml:space="preserve">. Következésképpen, a gyógyszerkombináció alkalmazásakor óvatossággal kell eljárni, különösen az időskorú betegek esetében. A betegeket megfelelően </w:t>
      </w:r>
      <w:proofErr w:type="spellStart"/>
      <w:r>
        <w:rPr>
          <w:color w:val="000000"/>
          <w:sz w:val="22"/>
          <w:szCs w:val="22"/>
        </w:rPr>
        <w:t>hidrálni</w:t>
      </w:r>
      <w:proofErr w:type="spellEnd"/>
      <w:r>
        <w:rPr>
          <w:color w:val="000000"/>
          <w:sz w:val="22"/>
          <w:szCs w:val="22"/>
        </w:rPr>
        <w:t xml:space="preserve"> kell, valamint fontolóra kell venni a vesefunkció ellenőrzését az együttes terápia megkezdésekor, majd azt követően rendszeres időközönként.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Acetilszalicilsav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Egy egészséges személyeken végzett vizsgálat során, a napi egyszeri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>, elérve az egyensúlyi, „</w:t>
      </w:r>
      <w:proofErr w:type="spellStart"/>
      <w:r>
        <w:rPr>
          <w:color w:val="000000"/>
          <w:sz w:val="22"/>
          <w:szCs w:val="22"/>
        </w:rPr>
        <w:t>steady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state</w:t>
      </w:r>
      <w:proofErr w:type="spellEnd"/>
      <w:r>
        <w:rPr>
          <w:color w:val="000000"/>
          <w:sz w:val="22"/>
          <w:szCs w:val="22"/>
        </w:rPr>
        <w:t xml:space="preserve">” állapotot, nem befolyásolta az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(napi egyszeri 81 mg) </w:t>
      </w:r>
      <w:proofErr w:type="spellStart"/>
      <w:r>
        <w:rPr>
          <w:color w:val="000000"/>
          <w:sz w:val="22"/>
          <w:szCs w:val="22"/>
        </w:rPr>
        <w:t>thrombocytaaggregáció</w:t>
      </w:r>
      <w:proofErr w:type="spellEnd"/>
      <w:r>
        <w:rPr>
          <w:color w:val="000000"/>
          <w:sz w:val="22"/>
          <w:szCs w:val="22"/>
        </w:rPr>
        <w:t xml:space="preserve">-gátló hatását.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párhuzamosan alkalmazható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profilaxis céljából (kis dózisban) adott </w:t>
      </w:r>
      <w:proofErr w:type="spellStart"/>
      <w:r>
        <w:rPr>
          <w:color w:val="000000"/>
          <w:sz w:val="22"/>
          <w:szCs w:val="22"/>
        </w:rPr>
        <w:t>acetilszalicilsavval</w:t>
      </w:r>
      <w:proofErr w:type="spellEnd"/>
      <w:r>
        <w:rPr>
          <w:color w:val="000000"/>
          <w:sz w:val="22"/>
          <w:szCs w:val="22"/>
        </w:rPr>
        <w:t xml:space="preserve">. A kis dózisú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és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együttes alkalmazása azonban növelheti a GI fekélyek és más szövődmények gyakoriságát az önmagában alkalmazott </w:t>
      </w:r>
      <w:proofErr w:type="spellStart"/>
      <w:r>
        <w:rPr>
          <w:color w:val="000000"/>
          <w:sz w:val="22"/>
          <w:szCs w:val="22"/>
        </w:rPr>
        <w:t>etorikoxibhoz</w:t>
      </w:r>
      <w:proofErr w:type="spellEnd"/>
      <w:r>
        <w:rPr>
          <w:color w:val="000000"/>
          <w:sz w:val="22"/>
          <w:szCs w:val="22"/>
        </w:rPr>
        <w:t xml:space="preserve"> viszonyítva.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profilaxis céljára használt dózisnál nagyobb mennyiségű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vagy más NSAID gyógyszer és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együttes adása nem javasolt (lásd 5.1 és 4.4 pont).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Ciklosporin</w:t>
      </w:r>
      <w:proofErr w:type="spellEnd"/>
      <w:r>
        <w:rPr>
          <w:i/>
          <w:color w:val="000000"/>
          <w:sz w:val="22"/>
          <w:szCs w:val="22"/>
        </w:rPr>
        <w:t xml:space="preserve"> és </w:t>
      </w:r>
      <w:proofErr w:type="spellStart"/>
      <w:r>
        <w:rPr>
          <w:i/>
          <w:color w:val="000000"/>
          <w:sz w:val="22"/>
          <w:szCs w:val="22"/>
        </w:rPr>
        <w:t>takrolimusz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Bár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 nem vizsgálták, bármilyen NSAID készítmény és a </w:t>
      </w:r>
      <w:proofErr w:type="spellStart"/>
      <w:r>
        <w:rPr>
          <w:color w:val="000000"/>
          <w:sz w:val="22"/>
          <w:szCs w:val="22"/>
        </w:rPr>
        <w:t>ciklosporin</w:t>
      </w:r>
      <w:proofErr w:type="spellEnd"/>
      <w:r>
        <w:rPr>
          <w:color w:val="000000"/>
          <w:sz w:val="22"/>
          <w:szCs w:val="22"/>
        </w:rPr>
        <w:t xml:space="preserve"> vagy a </w:t>
      </w:r>
      <w:proofErr w:type="spellStart"/>
      <w:r>
        <w:rPr>
          <w:color w:val="000000"/>
          <w:sz w:val="22"/>
          <w:szCs w:val="22"/>
        </w:rPr>
        <w:t>takrolimusz</w:t>
      </w:r>
      <w:proofErr w:type="spellEnd"/>
      <w:r>
        <w:rPr>
          <w:color w:val="000000"/>
          <w:sz w:val="22"/>
          <w:szCs w:val="22"/>
        </w:rPr>
        <w:t xml:space="preserve"> együttes adása fokozhatja a </w:t>
      </w:r>
      <w:proofErr w:type="spellStart"/>
      <w:r>
        <w:rPr>
          <w:color w:val="000000"/>
          <w:sz w:val="22"/>
          <w:szCs w:val="22"/>
        </w:rPr>
        <w:t>ciklosporin</w:t>
      </w:r>
      <w:proofErr w:type="spellEnd"/>
      <w:r>
        <w:rPr>
          <w:color w:val="000000"/>
          <w:sz w:val="22"/>
          <w:szCs w:val="22"/>
        </w:rPr>
        <w:t xml:space="preserve"> vagy a </w:t>
      </w:r>
      <w:proofErr w:type="spellStart"/>
      <w:r>
        <w:rPr>
          <w:color w:val="000000"/>
          <w:sz w:val="22"/>
          <w:szCs w:val="22"/>
        </w:rPr>
        <w:t>takrolimusz</w:t>
      </w:r>
      <w:proofErr w:type="spellEnd"/>
      <w:r>
        <w:rPr>
          <w:color w:val="000000"/>
          <w:sz w:val="22"/>
          <w:szCs w:val="22"/>
        </w:rPr>
        <w:t xml:space="preserve"> vesére gyakorolt toxikus hatásait.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ezen gyógyszerek bármelyikének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esetén a vesefunkciós paraméterek </w:t>
      </w:r>
      <w:proofErr w:type="spellStart"/>
      <w:r>
        <w:rPr>
          <w:color w:val="000000"/>
          <w:sz w:val="22"/>
          <w:szCs w:val="22"/>
        </w:rPr>
        <w:t>monitorozása</w:t>
      </w:r>
      <w:proofErr w:type="spellEnd"/>
      <w:r>
        <w:rPr>
          <w:color w:val="000000"/>
          <w:sz w:val="22"/>
          <w:szCs w:val="22"/>
        </w:rPr>
        <w:t xml:space="preserve"> szükséges.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Farmakokinetikai</w:t>
      </w:r>
      <w:proofErr w:type="spellEnd"/>
      <w:r>
        <w:rPr>
          <w:color w:val="000000"/>
          <w:sz w:val="22"/>
          <w:szCs w:val="22"/>
          <w:u w:val="single"/>
        </w:rPr>
        <w:t xml:space="preserve"> interakciók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más gyógyszerek </w:t>
      </w:r>
      <w:proofErr w:type="spellStart"/>
      <w:r>
        <w:rPr>
          <w:i/>
          <w:color w:val="000000"/>
          <w:sz w:val="22"/>
          <w:szCs w:val="22"/>
        </w:rPr>
        <w:t>farmakokinetikájára</w:t>
      </w:r>
      <w:proofErr w:type="spellEnd"/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Lítium: </w:t>
      </w:r>
      <w:r>
        <w:rPr>
          <w:color w:val="000000"/>
          <w:sz w:val="22"/>
          <w:szCs w:val="22"/>
        </w:rPr>
        <w:t xml:space="preserve">Az NSAID csoportba tartozó gyógyszerek csökkentik a lítium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kiválasztását és ezáltal emelik a lítium plazmakoncentrációját. Szükség esetén a lítium plazmakoncentrációját szorosan </w:t>
      </w:r>
      <w:proofErr w:type="spellStart"/>
      <w:r>
        <w:rPr>
          <w:color w:val="000000"/>
          <w:sz w:val="22"/>
          <w:szCs w:val="22"/>
        </w:rPr>
        <w:t>monitorozni</w:t>
      </w:r>
      <w:proofErr w:type="spellEnd"/>
      <w:r>
        <w:rPr>
          <w:color w:val="000000"/>
          <w:sz w:val="22"/>
          <w:szCs w:val="22"/>
        </w:rPr>
        <w:t xml:space="preserve"> kell és a lítium adagját megfelelően be kell állítani együttes alkalmazáskor, illetve a NSAID alkalmazásának abbahagyásakor.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Metotrexát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Két vizsgálatot végeztek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vonatkozóan </w:t>
      </w:r>
      <w:proofErr w:type="spellStart"/>
      <w:r>
        <w:rPr>
          <w:color w:val="000000"/>
          <w:sz w:val="22"/>
          <w:szCs w:val="22"/>
        </w:rPr>
        <w:t>metotrexáttal</w:t>
      </w:r>
      <w:proofErr w:type="spellEnd"/>
      <w:r>
        <w:rPr>
          <w:color w:val="000000"/>
          <w:sz w:val="22"/>
          <w:szCs w:val="22"/>
        </w:rPr>
        <w:t xml:space="preserve"> kezelt betegeken. A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betegek a heti egyszeri 7,5–20 mg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mellett, egy hétig napi egyszeri 60, 90, vagy 120 mg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kaptak. A 60 és 90 mg dózisban adott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befolyásolta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plazmakoncentrációját, illetve vese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noBreakHyphen/>
        <w:t xml:space="preserve">ét. A 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az egyik vizsgálatban nem befolyásolta a kezelést, a másikban azonban 28%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növelte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plazmakoncentrációját és 13%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annak vese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noBreakHyphen/>
        <w:t xml:space="preserve">ét. Ha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metotrexátot</w:t>
      </w:r>
      <w:proofErr w:type="spellEnd"/>
      <w:r>
        <w:rPr>
          <w:color w:val="000000"/>
          <w:sz w:val="22"/>
          <w:szCs w:val="22"/>
        </w:rPr>
        <w:t xml:space="preserve"> egyidejűleg alkalmaznak, javasolt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okozta toxikus tünetek megfelelő </w:t>
      </w:r>
      <w:proofErr w:type="spellStart"/>
      <w:r>
        <w:rPr>
          <w:color w:val="000000"/>
          <w:sz w:val="22"/>
          <w:szCs w:val="22"/>
        </w:rPr>
        <w:t>monitorozása</w:t>
      </w:r>
      <w:proofErr w:type="spellEnd"/>
      <w:r>
        <w:rPr>
          <w:color w:val="000000"/>
          <w:sz w:val="22"/>
          <w:szCs w:val="22"/>
        </w:rPr>
        <w:t>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Orális fogamzásgátlók: </w:t>
      </w:r>
      <w:r>
        <w:rPr>
          <w:color w:val="000000"/>
          <w:sz w:val="22"/>
          <w:szCs w:val="22"/>
        </w:rPr>
        <w:t xml:space="preserve">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valamint 35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etinil</w:t>
      </w:r>
      <w:r>
        <w:rPr>
          <w:color w:val="000000"/>
          <w:sz w:val="22"/>
          <w:szCs w:val="22"/>
        </w:rPr>
        <w:noBreakHyphen/>
        <w:t>ösztradiolt</w:t>
      </w:r>
      <w:proofErr w:type="spellEnd"/>
      <w:r>
        <w:rPr>
          <w:color w:val="000000"/>
          <w:sz w:val="22"/>
          <w:szCs w:val="22"/>
        </w:rPr>
        <w:t xml:space="preserve"> (EE) és 0,5</w:t>
      </w:r>
      <w:r>
        <w:rPr>
          <w:color w:val="000000"/>
          <w:sz w:val="22"/>
          <w:szCs w:val="22"/>
        </w:rPr>
        <w:noBreakHyphen/>
        <w:t xml:space="preserve">1 mg </w:t>
      </w:r>
      <w:proofErr w:type="spellStart"/>
      <w:r>
        <w:rPr>
          <w:color w:val="000000"/>
          <w:sz w:val="22"/>
          <w:szCs w:val="22"/>
        </w:rPr>
        <w:t>noretindront</w:t>
      </w:r>
      <w:proofErr w:type="spellEnd"/>
      <w:r>
        <w:rPr>
          <w:color w:val="000000"/>
          <w:sz w:val="22"/>
          <w:szCs w:val="22"/>
        </w:rPr>
        <w:t xml:space="preserve"> tartalmazó orális fogamzásgátló 21 napon át történő </w:t>
      </w:r>
      <w:proofErr w:type="spellStart"/>
      <w:r>
        <w:rPr>
          <w:color w:val="000000"/>
          <w:sz w:val="22"/>
          <w:szCs w:val="22"/>
        </w:rPr>
        <w:t>együttadásának</w:t>
      </w:r>
      <w:proofErr w:type="spellEnd"/>
      <w:r>
        <w:rPr>
          <w:color w:val="000000"/>
          <w:sz w:val="22"/>
          <w:szCs w:val="22"/>
        </w:rPr>
        <w:t xml:space="preserve"> hatására az EE egyensúlyi állapotban mért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 37%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nőtt. A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ugyanezen fogamzásgátló egyidejű vagy 12 órás időkülönbséggel történő együttes adásának hatására az EE egyensúlyi állapotban mért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 50</w:t>
      </w:r>
      <w:r>
        <w:rPr>
          <w:color w:val="000000"/>
          <w:sz w:val="22"/>
          <w:szCs w:val="22"/>
        </w:rPr>
        <w:noBreakHyphen/>
        <w:t>60%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nőtt. Az EE</w:t>
      </w:r>
      <w:r>
        <w:rPr>
          <w:color w:val="000000"/>
          <w:sz w:val="22"/>
          <w:szCs w:val="22"/>
        </w:rPr>
        <w:noBreakHyphen/>
        <w:t xml:space="preserve">koncentráció ilyen arányú növekedését figyelembe kell venni 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együtt alkalmazandó orális fogamzásgátló kiválasztásakor. Az EE</w:t>
      </w:r>
      <w:r>
        <w:rPr>
          <w:color w:val="000000"/>
          <w:sz w:val="22"/>
          <w:szCs w:val="22"/>
        </w:rPr>
        <w:noBreakHyphen/>
        <w:t xml:space="preserve">expozíció növekedése fokozhatja az orális fogamzásgátlók okozta mellékhatások előfordulását (pl. vénás </w:t>
      </w:r>
      <w:proofErr w:type="spellStart"/>
      <w:r>
        <w:rPr>
          <w:color w:val="000000"/>
          <w:sz w:val="22"/>
          <w:szCs w:val="22"/>
        </w:rPr>
        <w:t>thromboemboliás</w:t>
      </w:r>
      <w:proofErr w:type="spellEnd"/>
      <w:r>
        <w:rPr>
          <w:color w:val="000000"/>
          <w:sz w:val="22"/>
          <w:szCs w:val="22"/>
        </w:rPr>
        <w:t xml:space="preserve"> szövődmények fokozott kockázatú nők esetén).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Hormonpótló kezelés (HRT): </w:t>
      </w:r>
      <w:r>
        <w:rPr>
          <w:color w:val="000000"/>
          <w:sz w:val="22"/>
          <w:szCs w:val="22"/>
        </w:rPr>
        <w:t xml:space="preserve">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konjugált </w:t>
      </w:r>
      <w:proofErr w:type="spellStart"/>
      <w:r>
        <w:rPr>
          <w:color w:val="000000"/>
          <w:sz w:val="22"/>
          <w:szCs w:val="22"/>
        </w:rPr>
        <w:t>ösztrogéneket</w:t>
      </w:r>
      <w:proofErr w:type="spellEnd"/>
      <w:r>
        <w:rPr>
          <w:color w:val="000000"/>
          <w:sz w:val="22"/>
          <w:szCs w:val="22"/>
        </w:rPr>
        <w:t xml:space="preserve"> (0,625 mg PREMARIN™) tartalmazó hormonpótló kezelés, 28 napig tartó alkalmazásának hatására megnövekedett a nem-konjugált ösztrogén (41%), az </w:t>
      </w:r>
      <w:proofErr w:type="spellStart"/>
      <w:r>
        <w:rPr>
          <w:color w:val="000000"/>
          <w:sz w:val="22"/>
          <w:szCs w:val="22"/>
        </w:rPr>
        <w:t>ekvilin</w:t>
      </w:r>
      <w:proofErr w:type="spellEnd"/>
      <w:r>
        <w:rPr>
          <w:color w:val="000000"/>
          <w:sz w:val="22"/>
          <w:szCs w:val="22"/>
        </w:rPr>
        <w:t xml:space="preserve"> (76%) és a 17-</w:t>
      </w:r>
      <w:r>
        <w:rPr>
          <w:color w:val="000000"/>
          <w:sz w:val="22"/>
          <w:szCs w:val="22"/>
        </w:rPr>
        <w:sym w:font="Symbol" w:char="F062"/>
      </w:r>
      <w:r>
        <w:rPr>
          <w:color w:val="000000"/>
          <w:sz w:val="22"/>
          <w:szCs w:val="22"/>
        </w:rPr>
        <w:t>-</w:t>
      </w:r>
      <w:proofErr w:type="spellStart"/>
      <w:r>
        <w:rPr>
          <w:color w:val="000000"/>
          <w:sz w:val="22"/>
          <w:szCs w:val="22"/>
        </w:rPr>
        <w:t>ösztradiol</w:t>
      </w:r>
      <w:proofErr w:type="spellEnd"/>
      <w:r>
        <w:rPr>
          <w:color w:val="000000"/>
          <w:sz w:val="22"/>
          <w:szCs w:val="22"/>
        </w:rPr>
        <w:t xml:space="preserve"> (22%) egyensúlyi állapotban mért átlagos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javasolt krónikus dózisainak (30, 60 és 90 mg) hatásait még nem vizsgálták. A 120 mg-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 PREMARIN ezen ösztrogén összetevőinek expozíciójára (AUC</w:t>
      </w:r>
      <w:r>
        <w:rPr>
          <w:color w:val="000000"/>
          <w:sz w:val="22"/>
          <w:szCs w:val="22"/>
          <w:vertAlign w:val="subscript"/>
        </w:rPr>
        <w:t>0-24hr</w:t>
      </w:r>
      <w:r>
        <w:rPr>
          <w:color w:val="000000"/>
          <w:sz w:val="22"/>
          <w:szCs w:val="22"/>
        </w:rPr>
        <w:t xml:space="preserve">) kevesebb, mint fele akkora hatást fejtett ki, mint amit a PREMARIN önmagában, 0,625 mg-ról 1,25 mg-ra emelt dózisban való adásakor figyeltek meg. Ezen emelkedések klinikai jelentősége nem ismert, és a PREMARIN nagyobb dózisainak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való együttes alkalmazását nem vizsgálták. Az ösztrogén koncentráció ezen emelkedéseit figyelembe kell venni 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együttesen alkalmazandó, szelektív </w:t>
      </w:r>
      <w:proofErr w:type="spellStart"/>
      <w:r>
        <w:rPr>
          <w:color w:val="000000"/>
          <w:sz w:val="22"/>
          <w:szCs w:val="22"/>
        </w:rPr>
        <w:t>postmenopausalis</w:t>
      </w:r>
      <w:proofErr w:type="spellEnd"/>
      <w:r>
        <w:rPr>
          <w:color w:val="000000"/>
          <w:sz w:val="22"/>
          <w:szCs w:val="22"/>
        </w:rPr>
        <w:t xml:space="preserve"> hormonkezelés kiválasztásakor, mert a megnövekedett ösztrogén expozíció hatására fokozódhat a hormonpótló kezeléssel összefüggésben álló mellékhatások kockázata.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Prednizon</w:t>
      </w:r>
      <w:proofErr w:type="spellEnd"/>
      <w:r>
        <w:rPr>
          <w:i/>
          <w:color w:val="000000"/>
          <w:sz w:val="22"/>
          <w:szCs w:val="22"/>
        </w:rPr>
        <w:t>/</w:t>
      </w:r>
      <w:proofErr w:type="spellStart"/>
      <w:r>
        <w:rPr>
          <w:i/>
          <w:color w:val="000000"/>
          <w:sz w:val="22"/>
          <w:szCs w:val="22"/>
        </w:rPr>
        <w:t>prednizolon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>Gyógyszerkölcsönhatás</w:t>
      </w:r>
      <w:r>
        <w:rPr>
          <w:color w:val="000000"/>
          <w:sz w:val="22"/>
          <w:szCs w:val="22"/>
        </w:rPr>
        <w:noBreakHyphen/>
        <w:t xml:space="preserve">vizsgálatokban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gyakorolt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jelentős hatást a </w:t>
      </w:r>
      <w:proofErr w:type="spellStart"/>
      <w:r>
        <w:rPr>
          <w:color w:val="000000"/>
          <w:sz w:val="22"/>
          <w:szCs w:val="22"/>
        </w:rPr>
        <w:t>prednizon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prednizolon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farmakokinetikájára</w:t>
      </w:r>
      <w:proofErr w:type="spellEnd"/>
      <w:r>
        <w:rPr>
          <w:color w:val="000000"/>
          <w:sz w:val="22"/>
          <w:szCs w:val="22"/>
        </w:rPr>
        <w:t>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Digoxin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Egészséges önkénteseknek 10 napon át, naponta egyszer adott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befolyásolta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t xml:space="preserve"> egyensúlyi állapotára jellemző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értéket, illetve a vesén át történő kiürülését.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értéke (mintegy 33%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) emelkedett. A betegek többségénél az ilyen mértékű növekedés általában jelentéktelen,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noBreakHyphen/>
        <w:t xml:space="preserve">toxicitás szempontjából veszélyeztetett betegeknél azonban fokozott óvatossággal kell eljárni, ha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digoxint</w:t>
      </w:r>
      <w:proofErr w:type="spellEnd"/>
      <w:r>
        <w:rPr>
          <w:color w:val="000000"/>
          <w:sz w:val="22"/>
          <w:szCs w:val="22"/>
        </w:rPr>
        <w:t xml:space="preserve"> egyidejűleg alkalmazzák.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a </w:t>
      </w:r>
      <w:proofErr w:type="spellStart"/>
      <w:r>
        <w:rPr>
          <w:i/>
          <w:color w:val="000000"/>
          <w:sz w:val="22"/>
          <w:szCs w:val="22"/>
        </w:rPr>
        <w:t>szulfotranszferáz</w:t>
      </w:r>
      <w:proofErr w:type="spellEnd"/>
      <w:r>
        <w:rPr>
          <w:i/>
          <w:color w:val="000000"/>
          <w:sz w:val="22"/>
          <w:szCs w:val="22"/>
        </w:rPr>
        <w:t xml:space="preserve"> enzimek által </w:t>
      </w:r>
      <w:proofErr w:type="spellStart"/>
      <w:r>
        <w:rPr>
          <w:i/>
          <w:color w:val="000000"/>
          <w:sz w:val="22"/>
          <w:szCs w:val="22"/>
        </w:rPr>
        <w:t>metabolizálódó</w:t>
      </w:r>
      <w:proofErr w:type="spellEnd"/>
      <w:r>
        <w:rPr>
          <w:i/>
          <w:color w:val="000000"/>
          <w:sz w:val="22"/>
          <w:szCs w:val="22"/>
        </w:rPr>
        <w:t xml:space="preserve"> gyógyszerekre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gátolja az emberi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noBreakHyphen/>
        <w:t xml:space="preserve">aktivitást, különösen a SULT1E1 enzim aktivitását, és kimutatták, hogy növeli az </w:t>
      </w:r>
      <w:proofErr w:type="spellStart"/>
      <w:r>
        <w:rPr>
          <w:color w:val="000000"/>
          <w:sz w:val="22"/>
          <w:szCs w:val="22"/>
        </w:rPr>
        <w:t>etinil</w:t>
      </w:r>
      <w:r>
        <w:rPr>
          <w:color w:val="000000"/>
          <w:sz w:val="22"/>
          <w:szCs w:val="22"/>
        </w:rPr>
        <w:noBreakHyphen/>
        <w:t>ösztradiol</w:t>
      </w:r>
      <w:proofErr w:type="spellEnd"/>
      <w:r>
        <w:rPr>
          <w:color w:val="000000"/>
          <w:sz w:val="22"/>
          <w:szCs w:val="22"/>
        </w:rPr>
        <w:t xml:space="preserve"> szérumkoncentrációját. Bár a többféle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t xml:space="preserve"> enzim hatásaival kapcsolatos mai ismereteink még hiányosak, és sok gyógyszer esetében ezek klinikai következményeit jelenleg is vizsgálják, fokozott figyelmet kell fordítani azokra a betegekre, akiknél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egyéb, elsősorban az emberi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t xml:space="preserve"> enzimek által </w:t>
      </w:r>
      <w:proofErr w:type="spellStart"/>
      <w:r>
        <w:rPr>
          <w:color w:val="000000"/>
          <w:sz w:val="22"/>
          <w:szCs w:val="22"/>
        </w:rPr>
        <w:t>metabolizált</w:t>
      </w:r>
      <w:proofErr w:type="spellEnd"/>
      <w:r>
        <w:rPr>
          <w:color w:val="000000"/>
          <w:sz w:val="22"/>
          <w:szCs w:val="22"/>
        </w:rPr>
        <w:t xml:space="preserve"> gyógyszerekkel (például orális </w:t>
      </w:r>
      <w:proofErr w:type="spellStart"/>
      <w:r>
        <w:rPr>
          <w:color w:val="000000"/>
          <w:sz w:val="22"/>
          <w:szCs w:val="22"/>
        </w:rPr>
        <w:t>szalbutamol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minoxidil</w:t>
      </w:r>
      <w:proofErr w:type="spellEnd"/>
      <w:r>
        <w:rPr>
          <w:color w:val="000000"/>
          <w:sz w:val="22"/>
          <w:szCs w:val="22"/>
        </w:rPr>
        <w:t>) alkalmazzák egyidejűleg.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a CYP </w:t>
      </w:r>
      <w:proofErr w:type="spellStart"/>
      <w:r>
        <w:rPr>
          <w:i/>
          <w:color w:val="000000"/>
          <w:sz w:val="22"/>
          <w:szCs w:val="22"/>
        </w:rPr>
        <w:t>izoenzimek</w:t>
      </w:r>
      <w:proofErr w:type="spellEnd"/>
      <w:r>
        <w:rPr>
          <w:i/>
          <w:color w:val="000000"/>
          <w:sz w:val="22"/>
          <w:szCs w:val="22"/>
        </w:rPr>
        <w:t xml:space="preserve"> által </w:t>
      </w:r>
      <w:proofErr w:type="spellStart"/>
      <w:r>
        <w:rPr>
          <w:i/>
          <w:color w:val="000000"/>
          <w:sz w:val="22"/>
          <w:szCs w:val="22"/>
        </w:rPr>
        <w:t>metabolizálódó</w:t>
      </w:r>
      <w:proofErr w:type="spellEnd"/>
      <w:r>
        <w:rPr>
          <w:i/>
          <w:color w:val="000000"/>
          <w:sz w:val="22"/>
          <w:szCs w:val="22"/>
        </w:rPr>
        <w:t xml:space="preserve"> gyógyszerekre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In vitro </w:t>
      </w:r>
      <w:r>
        <w:rPr>
          <w:color w:val="000000"/>
          <w:sz w:val="22"/>
          <w:szCs w:val="22"/>
        </w:rPr>
        <w:t xml:space="preserve">vizsgálatok alapján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várhatóan nem gátolja a következő </w:t>
      </w:r>
      <w:proofErr w:type="spellStart"/>
      <w:r>
        <w:rPr>
          <w:color w:val="000000"/>
          <w:sz w:val="22"/>
          <w:szCs w:val="22"/>
        </w:rPr>
        <w:t>citokróm</w:t>
      </w:r>
      <w:proofErr w:type="spellEnd"/>
      <w:r>
        <w:rPr>
          <w:color w:val="000000"/>
          <w:sz w:val="22"/>
          <w:szCs w:val="22"/>
        </w:rPr>
        <w:t xml:space="preserve"> P450 (CYP) </w:t>
      </w:r>
      <w:proofErr w:type="spellStart"/>
      <w:r>
        <w:rPr>
          <w:color w:val="000000"/>
          <w:sz w:val="22"/>
          <w:szCs w:val="22"/>
        </w:rPr>
        <w:t>izoenzimeket</w:t>
      </w:r>
      <w:proofErr w:type="spellEnd"/>
      <w:r>
        <w:rPr>
          <w:color w:val="000000"/>
          <w:sz w:val="22"/>
          <w:szCs w:val="22"/>
        </w:rPr>
        <w:t>: 1A2, 2C9, 2C19, 2D6, 2E1, illetve 3A4. Egészséges személyek bevonásával végzett vizsgálat során a napi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dózisban adott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befolyásolja a májban levő CYP3A4 enzim aktivitását, amelyet az </w:t>
      </w:r>
      <w:proofErr w:type="spellStart"/>
      <w:r>
        <w:rPr>
          <w:color w:val="000000"/>
          <w:sz w:val="22"/>
          <w:szCs w:val="22"/>
        </w:rPr>
        <w:t>eritromicin</w:t>
      </w:r>
      <w:proofErr w:type="spellEnd"/>
      <w:r>
        <w:rPr>
          <w:color w:val="000000"/>
          <w:sz w:val="22"/>
          <w:szCs w:val="22"/>
        </w:rPr>
        <w:t xml:space="preserve"> kilégzési teszttel mértek.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Egyéb gyógyszerek hatása 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farmakokinetikájára</w:t>
      </w:r>
      <w:proofErr w:type="spellEnd"/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 xml:space="preserve">metabolizmus fő útvonala a CYP enzimek függvénye. Úgy tűnik, hogy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a CYP3A4 hozzájárul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metabolizmusához. </w:t>
      </w:r>
      <w:r>
        <w:rPr>
          <w:i/>
          <w:color w:val="000000"/>
          <w:sz w:val="22"/>
          <w:szCs w:val="22"/>
        </w:rPr>
        <w:t>In vitro</w:t>
      </w:r>
      <w:r>
        <w:rPr>
          <w:color w:val="000000"/>
          <w:sz w:val="22"/>
          <w:szCs w:val="22"/>
        </w:rPr>
        <w:t xml:space="preserve"> vizsgálatok azt mutatják, hogy a CYP2D6, CYP2C9, CYP1A2 és CYP2C19 szintén katalizálhatják a metabolizmus fő útvonalát, de a kvantitatív szerepüket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vizsgálatokban nem vizsgálták.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Ketokonazol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Egészséges önkénteseknek napi egyszer, 400 mg dózisban, 11 napon át adagolt </w:t>
      </w:r>
      <w:proofErr w:type="spellStart"/>
      <w:r>
        <w:rPr>
          <w:color w:val="000000"/>
          <w:sz w:val="22"/>
          <w:szCs w:val="22"/>
        </w:rPr>
        <w:t>ketokonazol</w:t>
      </w:r>
      <w:proofErr w:type="spellEnd"/>
      <w:r>
        <w:rPr>
          <w:color w:val="000000"/>
          <w:sz w:val="22"/>
          <w:szCs w:val="22"/>
        </w:rPr>
        <w:t xml:space="preserve"> (a CYP3A4 egyik hatékony gátlószere) klinikai szempontból nem befolyásolta jelentősen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egyszeri adagolásának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 xml:space="preserve"> (az AUC 43%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növekszik).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Vorikonazol</w:t>
      </w:r>
      <w:proofErr w:type="spellEnd"/>
      <w:r>
        <w:rPr>
          <w:i/>
          <w:color w:val="000000"/>
          <w:sz w:val="22"/>
          <w:szCs w:val="22"/>
        </w:rPr>
        <w:t xml:space="preserve"> és </w:t>
      </w:r>
      <w:proofErr w:type="spellStart"/>
      <w:r>
        <w:rPr>
          <w:i/>
          <w:color w:val="000000"/>
          <w:sz w:val="22"/>
          <w:szCs w:val="22"/>
        </w:rPr>
        <w:t>mikonazol</w:t>
      </w:r>
      <w:proofErr w:type="spellEnd"/>
      <w:r>
        <w:rPr>
          <w:color w:val="000000"/>
          <w:sz w:val="22"/>
          <w:szCs w:val="22"/>
        </w:rPr>
        <w:t xml:space="preserve">: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az erős CYP3A4 inhibitor </w:t>
      </w:r>
      <w:proofErr w:type="spellStart"/>
      <w:r>
        <w:rPr>
          <w:color w:val="000000"/>
          <w:sz w:val="22"/>
          <w:szCs w:val="22"/>
        </w:rPr>
        <w:t>vorikonazollal</w:t>
      </w:r>
      <w:proofErr w:type="spellEnd"/>
      <w:r>
        <w:rPr>
          <w:color w:val="000000"/>
          <w:sz w:val="22"/>
          <w:szCs w:val="22"/>
        </w:rPr>
        <w:t xml:space="preserve">, vagy </w:t>
      </w:r>
      <w:proofErr w:type="spellStart"/>
      <w:r>
        <w:rPr>
          <w:color w:val="000000"/>
          <w:sz w:val="22"/>
          <w:szCs w:val="22"/>
        </w:rPr>
        <w:t>mikonazol</w:t>
      </w:r>
      <w:proofErr w:type="spellEnd"/>
      <w:r>
        <w:rPr>
          <w:color w:val="000000"/>
          <w:sz w:val="22"/>
          <w:szCs w:val="22"/>
        </w:rPr>
        <w:t xml:space="preserve"> helyi szájgéllel, az </w:t>
      </w:r>
      <w:proofErr w:type="spellStart"/>
      <w:r>
        <w:rPr>
          <w:color w:val="000000"/>
          <w:sz w:val="22"/>
          <w:szCs w:val="22"/>
        </w:rPr>
        <w:t>etorikoxib</w:t>
      </w:r>
      <w:r>
        <w:rPr>
          <w:color w:val="000000"/>
          <w:sz w:val="22"/>
          <w:szCs w:val="22"/>
        </w:rPr>
        <w:noBreakHyphen/>
        <w:t>expozícó</w:t>
      </w:r>
      <w:proofErr w:type="spellEnd"/>
      <w:r>
        <w:rPr>
          <w:color w:val="000000"/>
          <w:sz w:val="22"/>
          <w:szCs w:val="22"/>
        </w:rPr>
        <w:t xml:space="preserve"> enyhe növekedését okozta, de a közzétett adatok alapján ez nem tekinthető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jelenősnek.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Rifampicin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rifampicinnel</w:t>
      </w:r>
      <w:proofErr w:type="spellEnd"/>
      <w:r>
        <w:rPr>
          <w:color w:val="000000"/>
          <w:sz w:val="22"/>
          <w:szCs w:val="22"/>
        </w:rPr>
        <w:t xml:space="preserve">, a CYP enzimek erős induktorával való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65%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plazmakoncentrációját. E gyógyszerkölcsönhatás a tünetek visszatérését eredményezheti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rifampicin</w:t>
      </w:r>
      <w:proofErr w:type="spellEnd"/>
      <w:r>
        <w:rPr>
          <w:color w:val="000000"/>
          <w:sz w:val="22"/>
          <w:szCs w:val="22"/>
        </w:rPr>
        <w:t xml:space="preserve"> együttes alkalmazásakor. Bár az előbbiek felvethetik az adag emelésének lehetőségét,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egyes javallatainál megadott adagoknál nagyobb dózisok </w:t>
      </w:r>
      <w:proofErr w:type="spellStart"/>
      <w:r>
        <w:rPr>
          <w:color w:val="000000"/>
          <w:sz w:val="22"/>
          <w:szCs w:val="22"/>
        </w:rPr>
        <w:t>rifampicinnel</w:t>
      </w:r>
      <w:proofErr w:type="spellEnd"/>
      <w:r>
        <w:rPr>
          <w:color w:val="000000"/>
          <w:sz w:val="22"/>
          <w:szCs w:val="22"/>
        </w:rPr>
        <w:t xml:space="preserve"> történő </w:t>
      </w:r>
      <w:proofErr w:type="spellStart"/>
      <w:r>
        <w:rPr>
          <w:color w:val="000000"/>
          <w:sz w:val="22"/>
          <w:szCs w:val="22"/>
        </w:rPr>
        <w:t>együttadását</w:t>
      </w:r>
      <w:proofErr w:type="spellEnd"/>
      <w:r>
        <w:rPr>
          <w:color w:val="000000"/>
          <w:sz w:val="22"/>
          <w:szCs w:val="22"/>
        </w:rPr>
        <w:t xml:space="preserve"> nem vizsgálták, ezért alkalmazásuk nem javasolt (lásd 4.2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Antacidok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antacidok</w:t>
      </w:r>
      <w:proofErr w:type="spellEnd"/>
      <w:r>
        <w:rPr>
          <w:color w:val="000000"/>
          <w:sz w:val="22"/>
          <w:szCs w:val="22"/>
        </w:rPr>
        <w:t xml:space="preserve"> nem befolyásolják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releváns mértékben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>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4.6</w:t>
      </w:r>
      <w:r>
        <w:rPr>
          <w:b/>
          <w:snapToGrid/>
          <w:sz w:val="22"/>
          <w:szCs w:val="22"/>
        </w:rPr>
        <w:tab/>
        <w:t>Termékenység, terhesség és szoptatás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Terhesség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terhes nőknél történő alkalmazását illetően nem állnak rendelkezésre klinikai adatok. Állatkísérletek során reproduktív toxicitást igazoltak (lásd 5.3 pont). Terhesség esetén a magzati kockázat potenciálja nem ismert.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 – a </w:t>
      </w:r>
      <w:proofErr w:type="spellStart"/>
      <w:r>
        <w:rPr>
          <w:color w:val="000000"/>
          <w:sz w:val="22"/>
          <w:szCs w:val="22"/>
        </w:rPr>
        <w:t>prosztaglandinszintézis</w:t>
      </w:r>
      <w:proofErr w:type="spellEnd"/>
      <w:r>
        <w:rPr>
          <w:color w:val="000000"/>
          <w:sz w:val="22"/>
          <w:szCs w:val="22"/>
        </w:rPr>
        <w:t xml:space="preserve">-gátló egyéb gyógyszerekhez hasonlóan – fájásrenyheséget és a </w:t>
      </w:r>
      <w:proofErr w:type="spellStart"/>
      <w:r>
        <w:rPr>
          <w:color w:val="000000"/>
          <w:sz w:val="22"/>
          <w:szCs w:val="22"/>
        </w:rPr>
        <w:t>ductus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arteriosus</w:t>
      </w:r>
      <w:proofErr w:type="spellEnd"/>
      <w:r>
        <w:rPr>
          <w:color w:val="000000"/>
          <w:sz w:val="22"/>
          <w:szCs w:val="22"/>
        </w:rPr>
        <w:t xml:space="preserve"> korai záródását okozhatja a terhesség utolsó trimeszterében.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ellenjavallt terhesség alatt (lásd 4.3 pont). Ha a beteg a kezelés során esik teherbe,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adását fel kell függeszteni.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Szoptatás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Nem ismert, hogy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kiválasztódik</w:t>
      </w:r>
      <w:proofErr w:type="spellEnd"/>
      <w:r>
        <w:rPr>
          <w:color w:val="000000"/>
          <w:sz w:val="22"/>
          <w:szCs w:val="22"/>
        </w:rPr>
        <w:t xml:space="preserve">-e a humán anyatejbe. Laktáló patkányokban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kiválasztódik</w:t>
      </w:r>
      <w:proofErr w:type="spellEnd"/>
      <w:r>
        <w:rPr>
          <w:color w:val="000000"/>
          <w:sz w:val="22"/>
          <w:szCs w:val="22"/>
        </w:rPr>
        <w:t xml:space="preserve"> a tejbe.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 nők nem szoptathatnak (lásd 4.3 és 5.3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Termékenység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 – éppúgy, mint bármely ismert COX</w:t>
      </w:r>
      <w:r>
        <w:rPr>
          <w:color w:val="000000"/>
          <w:sz w:val="22"/>
          <w:szCs w:val="22"/>
        </w:rPr>
        <w:noBreakHyphen/>
        <w:t>2 gátló gyógyszer adása – nem javasolt olyan nők esetében, akik teherbe kívánnak esni.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4.7</w:t>
      </w:r>
      <w:r>
        <w:rPr>
          <w:b/>
          <w:snapToGrid/>
          <w:sz w:val="22"/>
          <w:szCs w:val="22"/>
        </w:rPr>
        <w:tab/>
        <w:t>A készítmény hatásai a gépjárművezetéshez és a gépek kezeléséhez szükséges képességekre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szedése során szédülést, vertigo-t vagy aluszékonyságot tapasztaló betegeknek tartózkodniuk kell a gépjárművezetéstől és a gépek kezelésétől.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4.8</w:t>
      </w:r>
      <w:r>
        <w:rPr>
          <w:b/>
          <w:snapToGrid/>
          <w:sz w:val="22"/>
          <w:szCs w:val="22"/>
        </w:rPr>
        <w:tab/>
        <w:t>Nemkívánatos hatások, mellékhatások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 biztonságossági profil összefoglalása</w:t>
      </w:r>
    </w:p>
    <w:p w:rsidR="00FC5EC4" w:rsidRDefault="00FC5EC4">
      <w:pPr>
        <w:rPr>
          <w:color w:val="000000"/>
          <w:sz w:val="22"/>
          <w:szCs w:val="22"/>
          <w:u w:val="single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klinikai vizsgálatokban 7152 személynél, köztük 4614 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, krónikus derékfájásban vagy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ankylopoeticában</w:t>
      </w:r>
      <w:proofErr w:type="spellEnd"/>
      <w:r>
        <w:rPr>
          <w:color w:val="000000"/>
          <w:sz w:val="22"/>
          <w:szCs w:val="22"/>
        </w:rPr>
        <w:t xml:space="preserve"> szenvedő betegnél vizsgálták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biztonságosságát (kb. 600 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betegnél egy évig vagy tovább folytatták a kezelést).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klinikai vizsgálatokban a mellékhatásprofil hasonló volt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miatt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 évig vagy annál tovább kezelt betegeknél.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 klinikai vizsgálat során akut köszvényes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betegeket napi egyszeri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 nyolc napon át. E vizsgálatban a mellékhatásprofil általánosságban hasonló volt az </w:t>
      </w:r>
      <w:proofErr w:type="spellStart"/>
      <w:r>
        <w:rPr>
          <w:color w:val="000000"/>
          <w:sz w:val="22"/>
          <w:szCs w:val="22"/>
        </w:rPr>
        <w:t>osteoarthritisre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arthritisre</w:t>
      </w:r>
      <w:proofErr w:type="spellEnd"/>
      <w:r>
        <w:rPr>
          <w:color w:val="000000"/>
          <w:sz w:val="22"/>
          <w:szCs w:val="22"/>
        </w:rPr>
        <w:t>, illetve krónikus derék fájdalomra irányuló kombinált vizsgálatokban észlelthez.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pStyle w:val="NormlWeb1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cardiovascularis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biztonságossági kimenetelt vizsgáló program összesített adatai szerint három, aktív komparátor</w:t>
      </w:r>
      <w:r>
        <w:rPr>
          <w:rFonts w:ascii="Times New Roman" w:hAnsi="Times New Roman"/>
          <w:color w:val="000000"/>
          <w:sz w:val="22"/>
          <w:szCs w:val="22"/>
        </w:rPr>
        <w:noBreakHyphen/>
        <w:t>kontrollos vizsgálat során 17 412 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osteoarthritisben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vagy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rheumatoid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arthritisben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szenvedő beteget kezeltek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, átlagosan hozzávetőleg 18 hónapon keresztül. A program biztonságossági adatait az 5.1 pontban ismertetjük.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fogászati beavatkozást követő heveny fájdalmat elemző klinikai vizsgálatokban, melyekben 614, 90 mg vagy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 vett részt, a mellékhatásprofil általánosságban véve hasonló volt a kombinált,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noBreakHyphen/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noBreakHyphen/>
        <w:t xml:space="preserve"> és krónikus alsó gerinctáji fájdalom</w:t>
      </w:r>
      <w:r>
        <w:rPr>
          <w:color w:val="000000"/>
          <w:sz w:val="22"/>
          <w:szCs w:val="22"/>
        </w:rPr>
        <w:noBreakHyphen/>
        <w:t>vizsgálatokban jelentettekhez.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 mellékhatások táblázatos felsorolása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következő mellékhatásokról számoltak be a </w:t>
      </w:r>
      <w:proofErr w:type="spellStart"/>
      <w:r>
        <w:rPr>
          <w:color w:val="000000"/>
          <w:sz w:val="22"/>
          <w:szCs w:val="22"/>
        </w:rPr>
        <w:t>placebónál</w:t>
      </w:r>
      <w:proofErr w:type="spellEnd"/>
      <w:r>
        <w:rPr>
          <w:color w:val="000000"/>
          <w:sz w:val="22"/>
          <w:szCs w:val="22"/>
        </w:rPr>
        <w:t xml:space="preserve"> nagyobb előfordulási gyakorisággal olyan klinikai vizsgálatok során, amelyekben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, krónikus alsó gerinctáji fájdalomban vagy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ankylopoeticában</w:t>
      </w:r>
      <w:proofErr w:type="spellEnd"/>
      <w:r>
        <w:rPr>
          <w:color w:val="000000"/>
          <w:sz w:val="22"/>
          <w:szCs w:val="22"/>
        </w:rPr>
        <w:t xml:space="preserve"> szenvedő betegeket legfeljebb 12 héten át kezeltek 30 mg, 60 mg, illetve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>, legfeljebb az ajánlott adaggal; a MEDAL program vizsgálataiban legfeljebb három és fél éven át; a heveny fájdalmat elemző rövidtávú vizsgálatokban legfeljebb 7 napon át; illetve a forgalomba hozatalt követően (lásd 1. táblázat):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>1. táblázat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1"/>
        <w:gridCol w:w="4253"/>
        <w:gridCol w:w="1897"/>
      </w:tblGrid>
      <w:tr w:rsidR="00FC5EC4">
        <w:trPr>
          <w:cantSplit/>
          <w:tblHeader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keepNext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keepNext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Mellékhatások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keepNext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Gyakorisági kategória*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keepNext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Fertőző betegségek és parazitafertőzések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alveolaris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osteitis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keepNext/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gastroenteritis</w:t>
            </w:r>
            <w:proofErr w:type="spellEnd"/>
            <w:r>
              <w:rPr>
                <w:color w:val="000000"/>
                <w:sz w:val="22"/>
                <w:szCs w:val="22"/>
              </w:rPr>
              <w:t>, felső légúti fertőzések, húgyúti fertőzések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(főként </w:t>
            </w:r>
            <w:proofErr w:type="spellStart"/>
            <w:r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vérzéssel összefüggő) </w:t>
            </w:r>
            <w:proofErr w:type="spellStart"/>
            <w:r>
              <w:rPr>
                <w:color w:val="000000"/>
                <w:sz w:val="22"/>
                <w:szCs w:val="22"/>
              </w:rPr>
              <w:t>anaemia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leukopenia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thrombocytopenia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Immunrendszeri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túlérzékenység</w:t>
            </w:r>
            <w:r>
              <w:rPr>
                <w:iCs/>
                <w:sz w:val="22"/>
                <w:szCs w:val="22"/>
                <w:vertAlign w:val="superscript"/>
              </w:rPr>
              <w:t>‡ ß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angiooedema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anafilaxiás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anafilaktoid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reakciók, a sokkot beleértve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oedema</w:t>
            </w:r>
            <w:proofErr w:type="spellEnd"/>
            <w:r>
              <w:rPr>
                <w:color w:val="000000"/>
                <w:sz w:val="22"/>
                <w:szCs w:val="22"/>
              </w:rPr>
              <w:t>/folyadékretenció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megváltozott étvágy, testsúlygyarapodás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Pszichiátriai kórképek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szorongás, depresszió, csökkent szellemi képességek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hallucinációk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zavartság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nyugtalanság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Idegrendszeri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szédülés, fejfájás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ízérzés zavara,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insomnia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paraesthesia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hypaesthesia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somnolentia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Szembetegségek és szemészeti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homályos látás, </w:t>
            </w:r>
            <w:proofErr w:type="spellStart"/>
            <w:r>
              <w:rPr>
                <w:color w:val="000000"/>
                <w:sz w:val="22"/>
                <w:szCs w:val="22"/>
              </w:rPr>
              <w:t>conjunctivitis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tinnitus</w:t>
            </w:r>
            <w:proofErr w:type="spellEnd"/>
            <w:r>
              <w:rPr>
                <w:sz w:val="22"/>
                <w:szCs w:val="22"/>
              </w:rPr>
              <w:t xml:space="preserve"> (fülcsengés), vertigo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palpitatio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arrhythmia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pitvarfibrillatio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tachycardia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pangásos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szívelégtelenség, nem specifikus EKG</w:t>
            </w:r>
            <w:r>
              <w:rPr>
                <w:color w:val="000000"/>
                <w:sz w:val="22"/>
                <w:szCs w:val="22"/>
              </w:rPr>
              <w:noBreakHyphen/>
              <w:t xml:space="preserve">eltérések, angina </w:t>
            </w:r>
            <w:proofErr w:type="spellStart"/>
            <w:r>
              <w:rPr>
                <w:color w:val="000000"/>
                <w:sz w:val="22"/>
                <w:szCs w:val="22"/>
              </w:rPr>
              <w:t>pectoris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myocardialis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infarctus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§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Érbetegségek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hypertonia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kipirulás, </w:t>
            </w:r>
            <w:proofErr w:type="spellStart"/>
            <w:r>
              <w:rPr>
                <w:color w:val="000000"/>
                <w:sz w:val="22"/>
                <w:szCs w:val="22"/>
              </w:rPr>
              <w:t>cerebrovascularis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esemény</w:t>
            </w:r>
            <w:r>
              <w:rPr>
                <w:iCs/>
                <w:sz w:val="22"/>
                <w:szCs w:val="22"/>
                <w:vertAlign w:val="superscript"/>
              </w:rPr>
              <w:t>§</w:t>
            </w:r>
            <w:r>
              <w:rPr>
                <w:i/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tranziens </w:t>
            </w:r>
            <w:proofErr w:type="spellStart"/>
            <w:r>
              <w:rPr>
                <w:color w:val="000000"/>
                <w:sz w:val="22"/>
                <w:szCs w:val="22"/>
              </w:rPr>
              <w:t>ischaemiás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roham,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hypertoniás</w:t>
            </w:r>
            <w:proofErr w:type="spellEnd"/>
            <w:r>
              <w:rPr>
                <w:iCs/>
                <w:sz w:val="22"/>
                <w:szCs w:val="22"/>
              </w:rPr>
              <w:t xml:space="preserve"> krízis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vasculitis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Légzőrendszeri, mellkasi és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mediastinalis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bronchospasmus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i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köhögés, </w:t>
            </w:r>
            <w:proofErr w:type="spellStart"/>
            <w:r>
              <w:rPr>
                <w:color w:val="000000"/>
                <w:sz w:val="22"/>
                <w:szCs w:val="22"/>
              </w:rPr>
              <w:t>dyspnoe</w:t>
            </w:r>
            <w:proofErr w:type="spellEnd"/>
            <w:r>
              <w:rPr>
                <w:color w:val="000000"/>
                <w:sz w:val="22"/>
                <w:szCs w:val="22"/>
              </w:rPr>
              <w:t>, orrvérzés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Emésztőrendszeri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hasi fájdalom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székrekedés, </w:t>
            </w:r>
            <w:proofErr w:type="spellStart"/>
            <w:r>
              <w:rPr>
                <w:sz w:val="22"/>
                <w:szCs w:val="22"/>
              </w:rPr>
              <w:t>flatulentia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gastritis</w:t>
            </w:r>
            <w:proofErr w:type="spellEnd"/>
            <w:r>
              <w:rPr>
                <w:sz w:val="22"/>
                <w:szCs w:val="22"/>
              </w:rPr>
              <w:t xml:space="preserve">, gyomorégés/gyomorsav-reflux, </w:t>
            </w:r>
            <w:proofErr w:type="spellStart"/>
            <w:r>
              <w:rPr>
                <w:color w:val="000000"/>
                <w:sz w:val="22"/>
                <w:szCs w:val="22"/>
              </w:rPr>
              <w:t>diarrhoea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dyspepsia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epigastrialis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diszkomfort, </w:t>
            </w:r>
            <w:proofErr w:type="spellStart"/>
            <w:r>
              <w:rPr>
                <w:color w:val="000000"/>
                <w:sz w:val="22"/>
                <w:szCs w:val="22"/>
              </w:rPr>
              <w:t>nausea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hányás, </w:t>
            </w:r>
            <w:proofErr w:type="spellStart"/>
            <w:r>
              <w:rPr>
                <w:color w:val="000000"/>
                <w:sz w:val="22"/>
                <w:szCs w:val="22"/>
              </w:rPr>
              <w:t>oesophagitis</w:t>
            </w:r>
            <w:proofErr w:type="spellEnd"/>
            <w:r>
              <w:rPr>
                <w:color w:val="000000"/>
                <w:sz w:val="22"/>
                <w:szCs w:val="22"/>
              </w:rPr>
              <w:t>, szájnyálkahártya</w:t>
            </w:r>
            <w:r>
              <w:rPr>
                <w:color w:val="000000"/>
                <w:sz w:val="22"/>
                <w:szCs w:val="22"/>
              </w:rPr>
              <w:noBreakHyphen/>
              <w:t>fekélyek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hasi puffadás, </w:t>
            </w:r>
            <w:r>
              <w:rPr>
                <w:color w:val="000000"/>
                <w:sz w:val="22"/>
                <w:szCs w:val="22"/>
              </w:rPr>
              <w:t xml:space="preserve">a bélmozgások változásai, szájszárazság, </w:t>
            </w:r>
            <w:proofErr w:type="spellStart"/>
            <w:r>
              <w:rPr>
                <w:color w:val="000000"/>
                <w:sz w:val="22"/>
                <w:szCs w:val="22"/>
              </w:rPr>
              <w:t>gastroduodenalis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fekély, </w:t>
            </w:r>
            <w:proofErr w:type="spellStart"/>
            <w:r>
              <w:rPr>
                <w:color w:val="000000"/>
                <w:sz w:val="22"/>
                <w:szCs w:val="22"/>
              </w:rPr>
              <w:t>pepticus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fekélyek, köztük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perforáció és vérzés, </w:t>
            </w:r>
            <w:proofErr w:type="spellStart"/>
            <w:r>
              <w:rPr>
                <w:color w:val="000000"/>
                <w:sz w:val="22"/>
                <w:szCs w:val="22"/>
              </w:rPr>
              <w:t>irritábilis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bél szindróma, </w:t>
            </w:r>
            <w:proofErr w:type="spellStart"/>
            <w:r>
              <w:rPr>
                <w:iCs/>
                <w:sz w:val="22"/>
                <w:szCs w:val="22"/>
              </w:rPr>
              <w:t>pancreatitis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rFonts w:eastAsia="Arial Unicode MS"/>
                <w:b/>
                <w:i/>
                <w:snapToGrid/>
                <w:color w:val="000000"/>
                <w:sz w:val="22"/>
                <w:szCs w:val="22"/>
              </w:rPr>
              <w:t>Máj- és epebetegségek, illetve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rFonts w:eastAsia="Arial Unicode MS"/>
                <w:snapToGrid/>
                <w:color w:val="000000"/>
                <w:sz w:val="22"/>
                <w:szCs w:val="22"/>
              </w:rPr>
              <w:t>emelkedett ALAT (GPT), emelkedett ASAT (GOT)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hepatitis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májelégtelenség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>, sárgaság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  <w:r>
              <w:rPr>
                <w:sz w:val="22"/>
                <w:szCs w:val="22"/>
                <w:vertAlign w:val="superscript"/>
              </w:rPr>
              <w:t xml:space="preserve"> †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ecchymosis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facialis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oedema</w:t>
            </w:r>
            <w:proofErr w:type="spellEnd"/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pruritus</w:t>
            </w:r>
            <w:proofErr w:type="spellEnd"/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kiütés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erythema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urticaria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Stevens</w:t>
            </w:r>
            <w:proofErr w:type="spellEnd"/>
            <w:r>
              <w:rPr>
                <w:iCs/>
                <w:sz w:val="22"/>
                <w:szCs w:val="22"/>
              </w:rPr>
              <w:t>–Johnson-szindróma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toxicus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epidermalis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necrolysis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>, fix gyógyszerkiütés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  <w:r>
              <w:rPr>
                <w:sz w:val="22"/>
                <w:szCs w:val="22"/>
                <w:vertAlign w:val="superscript"/>
              </w:rPr>
              <w:t xml:space="preserve"> †</w:t>
            </w:r>
          </w:p>
        </w:tc>
      </w:tr>
      <w:tr w:rsidR="00FC5EC4">
        <w:trPr>
          <w:cantSplit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izomgörcs/</w:t>
            </w:r>
            <w:r>
              <w:rPr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color w:val="000000"/>
                <w:sz w:val="22"/>
                <w:szCs w:val="22"/>
              </w:rPr>
              <w:t>spazmus</w:t>
            </w:r>
            <w:proofErr w:type="spellEnd"/>
            <w:r>
              <w:rPr>
                <w:color w:val="000000"/>
                <w:sz w:val="22"/>
                <w:szCs w:val="22"/>
              </w:rPr>
              <w:t>, mozgásszervi fájdalom/merevség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Vese- és húgyúti betegségek és tünetek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proteinuria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emelkedett szérum</w:t>
            </w:r>
            <w:r>
              <w:rPr>
                <w:color w:val="000000"/>
                <w:sz w:val="22"/>
                <w:szCs w:val="22"/>
              </w:rPr>
              <w:noBreakHyphen/>
              <w:t>kreatinin szint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veseműködési zavarok/ veseelégtelenség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 (lásd 4.4 pont)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asthenia</w:t>
            </w:r>
            <w:proofErr w:type="spellEnd"/>
            <w:r>
              <w:rPr>
                <w:color w:val="000000"/>
                <w:sz w:val="22"/>
                <w:szCs w:val="22"/>
              </w:rPr>
              <w:t>/fáradtságérzés, influenzaszerű tünetek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mellkasi fájdalom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FC5EC4" w:rsidRDefault="00B71784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emelkedett vér karbamid</w:t>
            </w:r>
            <w:r>
              <w:rPr>
                <w:color w:val="000000"/>
                <w:sz w:val="22"/>
                <w:szCs w:val="22"/>
              </w:rPr>
              <w:noBreakHyphen/>
              <w:t>nitrogénszint, emelkedett kreatin</w:t>
            </w:r>
            <w:r>
              <w:rPr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color w:val="000000"/>
                <w:sz w:val="22"/>
                <w:szCs w:val="22"/>
              </w:rPr>
              <w:t>kinázszint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hyperkalaemia</w:t>
            </w:r>
            <w:proofErr w:type="spellEnd"/>
            <w:r>
              <w:rPr>
                <w:color w:val="000000"/>
                <w:sz w:val="22"/>
                <w:szCs w:val="22"/>
              </w:rPr>
              <w:t>, emelkedett húgysav szint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FC5EC4">
        <w:trPr>
          <w:cantSplit/>
        </w:trPr>
        <w:tc>
          <w:tcPr>
            <w:tcW w:w="1606" w:type="pct"/>
            <w:vMerge/>
            <w:shd w:val="clear" w:color="auto" w:fill="auto"/>
          </w:tcPr>
          <w:p w:rsidR="00FC5EC4" w:rsidRDefault="00FC5EC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FC5EC4" w:rsidRDefault="00B71784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csökkent vér nátriumszint</w:t>
            </w:r>
          </w:p>
        </w:tc>
        <w:tc>
          <w:tcPr>
            <w:tcW w:w="1047" w:type="pct"/>
            <w:shd w:val="clear" w:color="auto" w:fill="auto"/>
          </w:tcPr>
          <w:p w:rsidR="00FC5EC4" w:rsidRDefault="00B71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FC5EC4">
        <w:trPr>
          <w:cantSplit/>
        </w:trPr>
        <w:tc>
          <w:tcPr>
            <w:tcW w:w="5000" w:type="pct"/>
            <w:gridSpan w:val="3"/>
            <w:shd w:val="clear" w:color="auto" w:fill="auto"/>
          </w:tcPr>
          <w:p w:rsidR="00FC5EC4" w:rsidRDefault="00FC5EC4">
            <w:pPr>
              <w:rPr>
                <w:sz w:val="22"/>
                <w:szCs w:val="22"/>
              </w:rPr>
            </w:pPr>
          </w:p>
          <w:tbl>
            <w:tblPr>
              <w:tblW w:w="8640" w:type="dxa"/>
              <w:tblInd w:w="108" w:type="dxa"/>
              <w:tblLook w:val="01E0" w:firstRow="1" w:lastRow="1" w:firstColumn="1" w:lastColumn="1" w:noHBand="0" w:noVBand="0"/>
            </w:tblPr>
            <w:tblGrid>
              <w:gridCol w:w="8640"/>
            </w:tblGrid>
            <w:tr w:rsidR="00FC5EC4">
              <w:trPr>
                <w:trHeight w:val="288"/>
              </w:trPr>
              <w:tc>
                <w:tcPr>
                  <w:tcW w:w="8640" w:type="dxa"/>
                  <w:shd w:val="clear" w:color="auto" w:fill="auto"/>
                  <w:vAlign w:val="center"/>
                </w:tcPr>
                <w:p w:rsidR="00FC5EC4" w:rsidRDefault="00B71784">
                  <w:pPr>
                    <w:tabs>
                      <w:tab w:val="center" w:pos="4536"/>
                      <w:tab w:val="right" w:pos="8306"/>
                    </w:tabs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*Gyakorisági kategória: a mellékhatásokat a klinikai vizsgálatok adatbázisában jelentett </w:t>
                  </w:r>
                  <w:proofErr w:type="spellStart"/>
                  <w:r>
                    <w:rPr>
                      <w:sz w:val="22"/>
                      <w:szCs w:val="22"/>
                    </w:rPr>
                    <w:t>incidencia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alapján határozták meg: </w:t>
                  </w:r>
                  <w:r>
                    <w:rPr>
                      <w:color w:val="000000"/>
                      <w:sz w:val="22"/>
                      <w:szCs w:val="22"/>
                    </w:rPr>
                    <w:t>Nagyon gyakori (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sym w:font="Symbol" w:char="00B3"/>
                  </w:r>
                  <w:r>
                    <w:rPr>
                      <w:color w:val="000000"/>
                      <w:sz w:val="22"/>
                      <w:szCs w:val="22"/>
                    </w:rPr>
                    <w:t>1/10), Gyakori (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sym w:font="Symbol" w:char="00B3"/>
                  </w:r>
                  <w:r>
                    <w:rPr>
                      <w:color w:val="000000"/>
                      <w:sz w:val="22"/>
                      <w:szCs w:val="22"/>
                    </w:rPr>
                    <w:t>1/100 – &lt;1/10), Nem gyakori (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sym w:font="Symbol" w:char="00B3"/>
                  </w:r>
                  <w:r>
                    <w:rPr>
                      <w:color w:val="000000"/>
                      <w:sz w:val="22"/>
                      <w:szCs w:val="22"/>
                    </w:rPr>
                    <w:t>1/1000 – &lt;1/100), Ritka (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sym w:font="Symbol" w:char="00B3"/>
                  </w:r>
                  <w:r>
                    <w:rPr>
                      <w:color w:val="000000"/>
                      <w:sz w:val="22"/>
                      <w:szCs w:val="22"/>
                    </w:rPr>
                    <w:t>1/10 000 – &lt;1/1000), Nagyon ritka (&lt;1/10 000).</w:t>
                  </w:r>
                </w:p>
                <w:p w:rsidR="00FC5EC4" w:rsidRDefault="00FC5EC4">
                  <w:pPr>
                    <w:tabs>
                      <w:tab w:val="center" w:pos="4536"/>
                      <w:tab w:val="right" w:pos="8306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  <w:p w:rsidR="00FC5EC4" w:rsidRDefault="00B71784">
                  <w:pPr>
                    <w:tabs>
                      <w:tab w:val="center" w:pos="4536"/>
                      <w:tab w:val="right" w:pos="8306"/>
                    </w:tabs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  <w:vertAlign w:val="superscript"/>
                    </w:rPr>
                    <w:t>‡ </w:t>
                  </w:r>
                  <w:r>
                    <w:rPr>
                      <w:iCs/>
                      <w:sz w:val="22"/>
                      <w:szCs w:val="22"/>
                    </w:rPr>
                    <w:t>Ezt a mellékhatást a forgalomba hozatalt követő megfigyelések során azonosították. A jelentett gyakoriságot a klinikai vizsgálatokban indikáció és jóváhagyott adag szerint összesített adatokból, a legmagasabb megfigyelt gyakoriság alapján becsülték meg.</w:t>
                  </w:r>
                </w:p>
                <w:p w:rsidR="00FC5EC4" w:rsidRDefault="00FC5EC4">
                  <w:pPr>
                    <w:tabs>
                      <w:tab w:val="center" w:pos="4536"/>
                      <w:tab w:val="right" w:pos="8306"/>
                    </w:tabs>
                    <w:rPr>
                      <w:iCs/>
                      <w:sz w:val="22"/>
                      <w:szCs w:val="22"/>
                    </w:rPr>
                  </w:pPr>
                </w:p>
                <w:p w:rsidR="00FC5EC4" w:rsidRDefault="00B71784">
                  <w:pPr>
                    <w:tabs>
                      <w:tab w:val="center" w:pos="4536"/>
                      <w:tab w:val="right" w:pos="8306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vertAlign w:val="superscript"/>
                    </w:rPr>
                    <w:t>†</w:t>
                  </w:r>
                  <w:r>
                    <w:rPr>
                      <w:sz w:val="22"/>
                      <w:szCs w:val="22"/>
                    </w:rPr>
                    <w:t>A “Ritka” gyakorisági kategóriát az Alkalmazási előírásra vonatkozó útmutató (2. változat, 2009. szeptember) szerint határozták meg 0 eseményhez tartozó 95%</w:t>
                  </w:r>
                  <w:r>
                    <w:rPr>
                      <w:sz w:val="22"/>
                      <w:szCs w:val="22"/>
                    </w:rPr>
                    <w:noBreakHyphen/>
                  </w:r>
                  <w:proofErr w:type="spellStart"/>
                  <w:r>
                    <w:rPr>
                      <w:sz w:val="22"/>
                      <w:szCs w:val="22"/>
                    </w:rPr>
                    <w:t>os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konfidencia-intervallum becsült felső korlátja alapján, melyet az </w:t>
                  </w:r>
                  <w:proofErr w:type="spellStart"/>
                  <w:r>
                    <w:rPr>
                      <w:sz w:val="22"/>
                      <w:szCs w:val="22"/>
                    </w:rPr>
                    <w:t>etorikoxibbal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kezelt alanyok (n=15 470) Fázis III., dózis és indikáció szerint összesített adatainak elemzéséből kaptak.</w:t>
                  </w:r>
                </w:p>
                <w:p w:rsidR="00FC5EC4" w:rsidRDefault="00FC5EC4">
                  <w:pPr>
                    <w:rPr>
                      <w:iCs/>
                      <w:sz w:val="22"/>
                      <w:szCs w:val="22"/>
                      <w:vertAlign w:val="superscript"/>
                    </w:rPr>
                  </w:pPr>
                </w:p>
                <w:p w:rsidR="00FC5EC4" w:rsidRDefault="00B71784">
                  <w:pPr>
                    <w:rPr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  <w:vertAlign w:val="superscript"/>
                    </w:rPr>
                    <w:t xml:space="preserve">ß </w:t>
                  </w:r>
                  <w:r>
                    <w:rPr>
                      <w:iCs/>
                      <w:sz w:val="22"/>
                      <w:szCs w:val="22"/>
                    </w:rPr>
                    <w:t>A túlérzékenység fogalmába beletartozik az allergia, gyógyszerallergia, gyógyszerrel szembeni túlérzékenység, túlérzékenység, nem meghatározott túlérzékenység, túlérzékenységi reakció és nem specifikus allergia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FC5EC4" w:rsidRDefault="00FC5EC4">
                  <w:pPr>
                    <w:rPr>
                      <w:sz w:val="22"/>
                      <w:szCs w:val="22"/>
                    </w:rPr>
                  </w:pPr>
                </w:p>
                <w:p w:rsidR="00FC5EC4" w:rsidRDefault="00B71784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vertAlign w:val="superscript"/>
                    </w:rPr>
                    <w:t>§</w:t>
                  </w:r>
                  <w:r>
                    <w:rPr>
                      <w:sz w:val="22"/>
                      <w:szCs w:val="22"/>
                    </w:rPr>
                    <w:t>Hosszú távú placebo- és aktív kontrollos klinikai vizsgálatok elemzése alapján a szelektív COX</w:t>
                  </w:r>
                  <w:r>
                    <w:rPr>
                      <w:sz w:val="22"/>
                      <w:szCs w:val="22"/>
                    </w:rPr>
                    <w:noBreakHyphen/>
                    <w:t>2</w:t>
                  </w:r>
                  <w:r>
                    <w:rPr>
                      <w:sz w:val="22"/>
                      <w:szCs w:val="22"/>
                    </w:rPr>
                    <w:noBreakHyphen/>
                    <w:t xml:space="preserve">gátlókat összefüggésbe hozták a súlyos </w:t>
                  </w:r>
                  <w:proofErr w:type="spellStart"/>
                  <w:r>
                    <w:rPr>
                      <w:sz w:val="22"/>
                      <w:szCs w:val="22"/>
                    </w:rPr>
                    <w:t>thromboticus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artériás események megnövekedett kockázatával, beleértve a </w:t>
                  </w:r>
                  <w:proofErr w:type="spellStart"/>
                  <w:r>
                    <w:rPr>
                      <w:sz w:val="22"/>
                      <w:szCs w:val="22"/>
                    </w:rPr>
                    <w:t>myocardialis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infarctust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és stroke-</w:t>
                  </w:r>
                  <w:proofErr w:type="spellStart"/>
                  <w:r>
                    <w:rPr>
                      <w:sz w:val="22"/>
                      <w:szCs w:val="22"/>
                    </w:rPr>
                    <w:t>ot</w:t>
                  </w:r>
                  <w:proofErr w:type="spellEnd"/>
                  <w:r>
                    <w:rPr>
                      <w:sz w:val="22"/>
                      <w:szCs w:val="22"/>
                    </w:rPr>
                    <w:t>. A meglévő adatok alapján ezen események abszolút kockázatnövekedése nem valószínű, hogy meghaladja az évi 1%</w:t>
                  </w:r>
                  <w:r>
                    <w:rPr>
                      <w:sz w:val="22"/>
                      <w:szCs w:val="22"/>
                    </w:rPr>
                    <w:noBreakHyphen/>
                  </w:r>
                  <w:proofErr w:type="spellStart"/>
                  <w:r>
                    <w:rPr>
                      <w:sz w:val="22"/>
                      <w:szCs w:val="22"/>
                    </w:rPr>
                    <w:t>ot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(nem gyakori).</w:t>
                  </w:r>
                </w:p>
              </w:tc>
            </w:tr>
          </w:tbl>
          <w:p w:rsidR="00FC5EC4" w:rsidRDefault="00FC5EC4">
            <w:pPr>
              <w:pStyle w:val="lfej"/>
              <w:rPr>
                <w:i/>
                <w:sz w:val="22"/>
                <w:szCs w:val="22"/>
                <w:lang w:val="hu-HU"/>
              </w:rPr>
            </w:pPr>
          </w:p>
        </w:tc>
      </w:tr>
    </w:tbl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NSAID csoportba tartozó gyógyszerek használata kapcsán a következő súlyos mellékhatásokról számoltak be, amelyek nem zárhatók ki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használata esetén sem: vesetoxicitás, beleértve az </w:t>
      </w:r>
      <w:proofErr w:type="spellStart"/>
      <w:r>
        <w:rPr>
          <w:color w:val="000000"/>
          <w:sz w:val="22"/>
          <w:szCs w:val="22"/>
        </w:rPr>
        <w:t>interstitialis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nephritist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nephrosis</w:t>
      </w:r>
      <w:proofErr w:type="spellEnd"/>
      <w:r>
        <w:rPr>
          <w:color w:val="000000"/>
          <w:sz w:val="22"/>
          <w:szCs w:val="22"/>
        </w:rPr>
        <w:t xml:space="preserve"> szindrómát.</w:t>
      </w:r>
    </w:p>
    <w:p w:rsidR="00FC5EC4" w:rsidRDefault="00FC5EC4">
      <w:pPr>
        <w:rPr>
          <w:b/>
          <w:bCs/>
          <w:color w:val="000000"/>
          <w:sz w:val="22"/>
          <w:szCs w:val="22"/>
        </w:rPr>
      </w:pPr>
    </w:p>
    <w:p w:rsidR="00FC5EC4" w:rsidRDefault="00B7178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:rsidR="00FC5EC4" w:rsidRDefault="00B71784">
      <w:pPr>
        <w:rPr>
          <w:sz w:val="22"/>
          <w:szCs w:val="22"/>
        </w:rPr>
      </w:pPr>
      <w:r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FC5EC4" w:rsidRDefault="00B71784">
      <w:pPr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található elérhetőségek valamelyikén keresztül</w:t>
      </w:r>
      <w:r>
        <w:rPr>
          <w:sz w:val="22"/>
          <w:szCs w:val="22"/>
        </w:rPr>
        <w:t>.</w:t>
      </w:r>
    </w:p>
    <w:p w:rsidR="00FC5EC4" w:rsidRDefault="00FC5EC4">
      <w:pPr>
        <w:rPr>
          <w:b/>
          <w:bCs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4.9</w:t>
      </w:r>
      <w:r>
        <w:rPr>
          <w:b/>
          <w:snapToGrid/>
          <w:sz w:val="22"/>
          <w:szCs w:val="22"/>
        </w:rPr>
        <w:tab/>
        <w:t>Túladagolás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Tünetek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elvégzett klinikai vizsgálatokban nem alakult ki szignifikáns toxicitás egyszeri, maximum 500 mg, és 21 napon át tartó, ismételt dózisú, maximum 150 mg/nap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bevitele esetén. Érkeztek jelentések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akut túladagolásáról, de mellékhatásokat az esetek többségében nem jelentettek. A leggyakrabban megfigyelt mellékhatások illeszkedtek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biztonságossági profiljához (pl.: 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események, </w:t>
      </w:r>
      <w:proofErr w:type="spellStart"/>
      <w:r>
        <w:rPr>
          <w:color w:val="000000"/>
          <w:sz w:val="22"/>
          <w:szCs w:val="22"/>
        </w:rPr>
        <w:t>cardio</w:t>
      </w:r>
      <w:r>
        <w:rPr>
          <w:color w:val="000000"/>
          <w:sz w:val="22"/>
          <w:szCs w:val="22"/>
        </w:rPr>
        <w:noBreakHyphen/>
        <w:t>renalis</w:t>
      </w:r>
      <w:proofErr w:type="spellEnd"/>
      <w:r>
        <w:rPr>
          <w:color w:val="000000"/>
          <w:sz w:val="22"/>
          <w:szCs w:val="22"/>
        </w:rPr>
        <w:t xml:space="preserve"> események).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Kezelés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Túladagolás esetén célszerű a szokásos tüneti kezelés, azaz a fel nem szívódott szer eltávolítása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traktusból, a klinikai megfigyelés és szükség esetén egyéb tüneti terápia.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hemodialízissel</w:t>
      </w:r>
      <w:proofErr w:type="spellEnd"/>
      <w:r>
        <w:rPr>
          <w:color w:val="000000"/>
          <w:sz w:val="22"/>
          <w:szCs w:val="22"/>
        </w:rPr>
        <w:t xml:space="preserve"> nem </w:t>
      </w:r>
      <w:proofErr w:type="spellStart"/>
      <w:r>
        <w:rPr>
          <w:color w:val="000000"/>
          <w:sz w:val="22"/>
          <w:szCs w:val="22"/>
        </w:rPr>
        <w:t>dializálható</w:t>
      </w:r>
      <w:proofErr w:type="spellEnd"/>
      <w:r>
        <w:rPr>
          <w:color w:val="000000"/>
          <w:sz w:val="22"/>
          <w:szCs w:val="22"/>
        </w:rPr>
        <w:t xml:space="preserve">, és nem ismert, hogy </w:t>
      </w:r>
      <w:proofErr w:type="spellStart"/>
      <w:r>
        <w:rPr>
          <w:color w:val="000000"/>
          <w:sz w:val="22"/>
          <w:szCs w:val="22"/>
        </w:rPr>
        <w:t>peritonealis</w:t>
      </w:r>
      <w:proofErr w:type="spellEnd"/>
      <w:r>
        <w:rPr>
          <w:color w:val="000000"/>
          <w:sz w:val="22"/>
          <w:szCs w:val="22"/>
        </w:rPr>
        <w:t xml:space="preserve"> dialízissel eltávolítható</w:t>
      </w:r>
      <w:r>
        <w:rPr>
          <w:color w:val="000000"/>
          <w:sz w:val="22"/>
          <w:szCs w:val="22"/>
        </w:rPr>
        <w:noBreakHyphen/>
        <w:t>e.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5.</w:t>
      </w:r>
      <w:r>
        <w:rPr>
          <w:b/>
          <w:snapToGrid/>
          <w:sz w:val="22"/>
          <w:szCs w:val="22"/>
        </w:rPr>
        <w:tab/>
        <w:t>FARMAKOLÓGIAI TULAJDONSÁGOK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5.1</w:t>
      </w:r>
      <w:r>
        <w:rPr>
          <w:b/>
          <w:snapToGrid/>
          <w:sz w:val="22"/>
          <w:szCs w:val="22"/>
        </w:rPr>
        <w:tab/>
      </w:r>
      <w:proofErr w:type="spellStart"/>
      <w:r>
        <w:rPr>
          <w:b/>
          <w:snapToGrid/>
          <w:sz w:val="22"/>
          <w:szCs w:val="22"/>
        </w:rPr>
        <w:t>Farmakodinámiás</w:t>
      </w:r>
      <w:proofErr w:type="spellEnd"/>
      <w:r>
        <w:rPr>
          <w:b/>
          <w:snapToGrid/>
          <w:sz w:val="22"/>
          <w:szCs w:val="22"/>
        </w:rPr>
        <w:t xml:space="preserve"> tulajdonságok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Farmakoterápiás</w:t>
      </w:r>
      <w:proofErr w:type="spellEnd"/>
      <w:r>
        <w:rPr>
          <w:color w:val="000000"/>
          <w:sz w:val="22"/>
          <w:szCs w:val="22"/>
        </w:rPr>
        <w:t xml:space="preserve"> csoport: Nem-szteroid gyulladásgátló és reumaellenes szerek, </w:t>
      </w:r>
      <w:proofErr w:type="spellStart"/>
      <w:r>
        <w:rPr>
          <w:color w:val="000000"/>
          <w:sz w:val="22"/>
          <w:szCs w:val="22"/>
        </w:rPr>
        <w:t>koxibok</w:t>
      </w:r>
      <w:proofErr w:type="spellEnd"/>
      <w:r>
        <w:rPr>
          <w:color w:val="000000"/>
          <w:sz w:val="22"/>
          <w:szCs w:val="22"/>
        </w:rPr>
        <w:t>,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ATC kód: M01AH05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snapToGrid/>
          <w:sz w:val="22"/>
          <w:szCs w:val="22"/>
          <w:u w:val="single"/>
        </w:rPr>
      </w:pPr>
      <w:r>
        <w:rPr>
          <w:snapToGrid/>
          <w:sz w:val="22"/>
          <w:szCs w:val="22"/>
          <w:u w:val="single"/>
        </w:rPr>
        <w:t>Hatásmechanizmus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 orális, a klinikai dózistartományban szelektív ciklooxigenáz</w:t>
      </w:r>
      <w:r>
        <w:rPr>
          <w:color w:val="000000"/>
          <w:sz w:val="22"/>
          <w:szCs w:val="22"/>
        </w:rPr>
        <w:noBreakHyphen/>
        <w:t>2 (COX</w:t>
      </w:r>
      <w:r>
        <w:rPr>
          <w:color w:val="000000"/>
          <w:sz w:val="22"/>
          <w:szCs w:val="22"/>
        </w:rPr>
        <w:noBreakHyphen/>
        <w:t>2) gátló.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Klinikai farmakológiai vizsgálatokban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dózisfüggő gátlást gyakorolt a COX</w:t>
      </w:r>
      <w:r>
        <w:rPr>
          <w:color w:val="000000"/>
          <w:sz w:val="22"/>
          <w:szCs w:val="22"/>
        </w:rPr>
        <w:noBreakHyphen/>
        <w:t>2 enzimre, a COX</w:t>
      </w:r>
      <w:r>
        <w:rPr>
          <w:color w:val="000000"/>
          <w:sz w:val="22"/>
          <w:szCs w:val="22"/>
        </w:rPr>
        <w:noBreakHyphen/>
        <w:t>1 enzim gátlása nélkül, 150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napi dózisig.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gátolta a gyomorban zajló 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és nem befolyásolta a </w:t>
      </w:r>
      <w:proofErr w:type="spellStart"/>
      <w:r>
        <w:rPr>
          <w:color w:val="000000"/>
          <w:sz w:val="22"/>
          <w:szCs w:val="22"/>
        </w:rPr>
        <w:t>thrombocyta</w:t>
      </w:r>
      <w:proofErr w:type="spellEnd"/>
      <w:r>
        <w:rPr>
          <w:color w:val="000000"/>
          <w:sz w:val="22"/>
          <w:szCs w:val="22"/>
        </w:rPr>
        <w:t xml:space="preserve"> funkciót.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t xml:space="preserve"> felelős a </w:t>
      </w:r>
      <w:proofErr w:type="spellStart"/>
      <w:r>
        <w:rPr>
          <w:color w:val="000000"/>
          <w:sz w:val="22"/>
          <w:szCs w:val="22"/>
        </w:rPr>
        <w:t>prosztaglandinok</w:t>
      </w:r>
      <w:proofErr w:type="spellEnd"/>
      <w:r>
        <w:rPr>
          <w:color w:val="000000"/>
          <w:sz w:val="22"/>
          <w:szCs w:val="22"/>
        </w:rPr>
        <w:t xml:space="preserve"> termeléséért. Két </w:t>
      </w:r>
      <w:proofErr w:type="spellStart"/>
      <w:r>
        <w:rPr>
          <w:color w:val="000000"/>
          <w:sz w:val="22"/>
          <w:szCs w:val="22"/>
        </w:rPr>
        <w:t>izoenzimét</w:t>
      </w:r>
      <w:proofErr w:type="spellEnd"/>
      <w:r>
        <w:rPr>
          <w:color w:val="000000"/>
          <w:sz w:val="22"/>
          <w:szCs w:val="22"/>
        </w:rPr>
        <w:t>, a COX</w:t>
      </w:r>
      <w:r>
        <w:rPr>
          <w:color w:val="000000"/>
          <w:sz w:val="22"/>
          <w:szCs w:val="22"/>
        </w:rPr>
        <w:noBreakHyphen/>
        <w:t>1-et és a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t, azonosították. A COX</w:t>
      </w:r>
      <w:r>
        <w:rPr>
          <w:color w:val="000000"/>
          <w:sz w:val="22"/>
          <w:szCs w:val="22"/>
        </w:rPr>
        <w:noBreakHyphen/>
        <w:t xml:space="preserve">2 az enzim azon </w:t>
      </w:r>
      <w:proofErr w:type="spellStart"/>
      <w:r>
        <w:rPr>
          <w:color w:val="000000"/>
          <w:sz w:val="22"/>
          <w:szCs w:val="22"/>
        </w:rPr>
        <w:t>izoformja</w:t>
      </w:r>
      <w:proofErr w:type="spellEnd"/>
      <w:r>
        <w:rPr>
          <w:color w:val="000000"/>
          <w:sz w:val="22"/>
          <w:szCs w:val="22"/>
        </w:rPr>
        <w:t xml:space="preserve">, melyet gyulladáskeltő </w:t>
      </w:r>
      <w:proofErr w:type="spellStart"/>
      <w:r>
        <w:rPr>
          <w:color w:val="000000"/>
          <w:sz w:val="22"/>
          <w:szCs w:val="22"/>
        </w:rPr>
        <w:t>stimulusok</w:t>
      </w:r>
      <w:proofErr w:type="spellEnd"/>
      <w:r>
        <w:rPr>
          <w:color w:val="000000"/>
          <w:sz w:val="22"/>
          <w:szCs w:val="22"/>
        </w:rPr>
        <w:t xml:space="preserve"> indukálnak. Feltételezik, hogy a COX</w:t>
      </w:r>
      <w:r>
        <w:rPr>
          <w:color w:val="000000"/>
          <w:sz w:val="22"/>
          <w:szCs w:val="22"/>
        </w:rPr>
        <w:noBreakHyphen/>
        <w:t xml:space="preserve">2 felelős elsősorban a fájdalom, a gyulladás és a láz </w:t>
      </w:r>
      <w:proofErr w:type="spellStart"/>
      <w:r>
        <w:rPr>
          <w:color w:val="000000"/>
          <w:sz w:val="22"/>
          <w:szCs w:val="22"/>
        </w:rPr>
        <w:t>prosztanoid</w:t>
      </w:r>
      <w:proofErr w:type="spellEnd"/>
      <w:r>
        <w:rPr>
          <w:color w:val="000000"/>
          <w:sz w:val="22"/>
          <w:szCs w:val="22"/>
        </w:rPr>
        <w:t xml:space="preserve"> mediátorainak termeléséért. A COX</w:t>
      </w:r>
      <w:r>
        <w:rPr>
          <w:color w:val="000000"/>
          <w:sz w:val="22"/>
          <w:szCs w:val="22"/>
        </w:rPr>
        <w:noBreakHyphen/>
        <w:t xml:space="preserve">2 ezen felül szerepet játszik az ovulációban, az implantációban, a </w:t>
      </w:r>
      <w:proofErr w:type="spellStart"/>
      <w:r>
        <w:rPr>
          <w:color w:val="000000"/>
          <w:sz w:val="22"/>
          <w:szCs w:val="22"/>
        </w:rPr>
        <w:t>ductus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arteriosus</w:t>
      </w:r>
      <w:proofErr w:type="spellEnd"/>
      <w:r>
        <w:rPr>
          <w:color w:val="000000"/>
          <w:sz w:val="22"/>
          <w:szCs w:val="22"/>
        </w:rPr>
        <w:t xml:space="preserve"> záródásában, a vesefunkciók szabályozásában, valamint központi idegrendszeri funkciókban (láz kiváltása, fájdalomérzékelés, kognitív funkció). A fekélygyógyulásban is szerepet játszhat. A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t azonosították a gyomorfekélyek körüli szövetben az emberben, de a fekélygyógyulással való összefüggését még nem igazolták.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snapToGrid/>
          <w:sz w:val="22"/>
          <w:szCs w:val="22"/>
          <w:u w:val="single"/>
        </w:rPr>
      </w:pPr>
      <w:r>
        <w:rPr>
          <w:snapToGrid/>
          <w:sz w:val="22"/>
          <w:szCs w:val="22"/>
          <w:u w:val="single"/>
        </w:rPr>
        <w:t>Klinikai hatásosság és biztonságosság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rPr>
          <w:snapToGrid/>
          <w:sz w:val="22"/>
          <w:szCs w:val="22"/>
          <w:u w:val="single"/>
        </w:rPr>
      </w:pPr>
      <w:r>
        <w:rPr>
          <w:snapToGrid/>
          <w:sz w:val="22"/>
          <w:szCs w:val="22"/>
          <w:u w:val="single"/>
        </w:rPr>
        <w:t>Hatásosság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betegeknél a napi egyszer alkalmazott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szignifikáns mértékben enyhültek a betegek fájdalmai, és a betegség aktuális állapota is szignifikáns javulást mutatott. Ezeket a kedvező hatásokat már a kezelés második napján észlelték, és a hatás tartóssága elérte az 52 hetes időtartamot. A napi egyszer alkalmazott 30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, 12 hetet meghaladó kezelési időszak után (melynek során a fenti vizsgálatokhoz hasonló értékelési módszert használtak), bizonyítottan hatékonyabb volt a </w:t>
      </w:r>
      <w:proofErr w:type="spellStart"/>
      <w:r>
        <w:rPr>
          <w:color w:val="000000"/>
          <w:sz w:val="22"/>
          <w:szCs w:val="22"/>
        </w:rPr>
        <w:t>placebónál</w:t>
      </w:r>
      <w:proofErr w:type="spellEnd"/>
      <w:r>
        <w:rPr>
          <w:color w:val="000000"/>
          <w:sz w:val="22"/>
          <w:szCs w:val="22"/>
        </w:rPr>
        <w:t xml:space="preserve">. Egy különböző dózisokat alkalmazó vizsgálatban, a 6 hetet meghaladó kezelés során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mindhárom elsődleges végpont esetében szignifikánsan nagyobb javulást idézett elő a 30 mg </w:t>
      </w:r>
      <w:proofErr w:type="spellStart"/>
      <w:r>
        <w:rPr>
          <w:color w:val="000000"/>
          <w:sz w:val="22"/>
          <w:szCs w:val="22"/>
        </w:rPr>
        <w:t>etorikoxibnál</w:t>
      </w:r>
      <w:proofErr w:type="spellEnd"/>
      <w:r>
        <w:rPr>
          <w:color w:val="000000"/>
          <w:sz w:val="22"/>
          <w:szCs w:val="22"/>
        </w:rPr>
        <w:t xml:space="preserve">. A kéz </w:t>
      </w:r>
      <w:proofErr w:type="spellStart"/>
      <w:r>
        <w:rPr>
          <w:color w:val="000000"/>
          <w:sz w:val="22"/>
          <w:szCs w:val="22"/>
        </w:rPr>
        <w:t>osteoarthritisében</w:t>
      </w:r>
      <w:proofErr w:type="spellEnd"/>
      <w:r>
        <w:rPr>
          <w:color w:val="000000"/>
          <w:sz w:val="22"/>
          <w:szCs w:val="22"/>
        </w:rPr>
        <w:t xml:space="preserve"> nem vizsgálták a 30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dózist.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betegeknél a naponta egyszer alkalmazott 60 mg és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is szignifikáns mértékben enyhült a fájdalom, a gyulladás és javult a mobilitás. A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és a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dózisokat értékelő vizsgálatokban ezek a kedvező hatások a 12 hetes kezelés teljes ideje alatt megmaradtak. A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a 90 mg-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dózissal összehasonlító, értékelő vizsgálatban,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naponta egyszer adott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adagja és a naponta egyszer adott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adagja egyaránt hatásosabb volt, mint a placebo. A 90 mg-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 a </w:t>
      </w:r>
      <w:proofErr w:type="spellStart"/>
      <w:r>
        <w:rPr>
          <w:color w:val="000000"/>
          <w:sz w:val="22"/>
          <w:szCs w:val="22"/>
        </w:rPr>
        <w:t>Patient</w:t>
      </w:r>
      <w:proofErr w:type="spellEnd"/>
      <w:r>
        <w:rPr>
          <w:color w:val="000000"/>
          <w:sz w:val="22"/>
          <w:szCs w:val="22"/>
        </w:rPr>
        <w:t xml:space="preserve"> Global </w:t>
      </w:r>
      <w:proofErr w:type="spellStart"/>
      <w:r>
        <w:rPr>
          <w:color w:val="000000"/>
          <w:sz w:val="22"/>
          <w:szCs w:val="22"/>
        </w:rPr>
        <w:t>Assessment</w:t>
      </w:r>
      <w:proofErr w:type="spellEnd"/>
      <w:r>
        <w:rPr>
          <w:color w:val="000000"/>
          <w:sz w:val="22"/>
          <w:szCs w:val="22"/>
        </w:rPr>
        <w:t xml:space="preserve"> of </w:t>
      </w:r>
      <w:proofErr w:type="spellStart"/>
      <w:r>
        <w:rPr>
          <w:color w:val="000000"/>
          <w:sz w:val="22"/>
          <w:szCs w:val="22"/>
        </w:rPr>
        <w:t>Pain</w:t>
      </w:r>
      <w:proofErr w:type="spellEnd"/>
      <w:r>
        <w:rPr>
          <w:color w:val="000000"/>
          <w:sz w:val="22"/>
          <w:szCs w:val="22"/>
        </w:rPr>
        <w:t xml:space="preserve"> (a betegnek a fájdalomról alkotott általános véleménye) (0-100 mm vizuális analóg skála) szerint átlagosan </w:t>
      </w:r>
      <w:r>
        <w:rPr>
          <w:color w:val="000000"/>
          <w:sz w:val="22"/>
          <w:szCs w:val="22"/>
        </w:rPr>
        <w:noBreakHyphen/>
        <w:t xml:space="preserve"> 2,71 mm</w:t>
      </w:r>
      <w:r>
        <w:rPr>
          <w:color w:val="000000"/>
          <w:sz w:val="22"/>
          <w:szCs w:val="22"/>
        </w:rPr>
        <w:noBreakHyphen/>
        <w:t>es javulással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CI: -4,98 mm; -0,45 mm) felülmúlta a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 hatásosságát.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Akut köszvényes roham esetén a 8 napon át szedett, napi egyszeri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hasonló mértékben enyhítette a közepes, illetve súlyos ízületi fájdalmakat és gyulladást, mint a napi három alkalommal szedett, 50 mg </w:t>
      </w:r>
      <w:proofErr w:type="spellStart"/>
      <w:r>
        <w:rPr>
          <w:color w:val="000000"/>
          <w:sz w:val="22"/>
          <w:szCs w:val="22"/>
        </w:rPr>
        <w:t>indometacin</w:t>
      </w:r>
      <w:proofErr w:type="spellEnd"/>
      <w:r>
        <w:rPr>
          <w:color w:val="000000"/>
          <w:sz w:val="22"/>
          <w:szCs w:val="22"/>
        </w:rPr>
        <w:t>. A fájdalom enyhülése már a kezelés megkezdése után négy órával megfigyelhető volt.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ankylopoeticában</w:t>
      </w:r>
      <w:proofErr w:type="spellEnd"/>
      <w:r>
        <w:rPr>
          <w:color w:val="000000"/>
          <w:sz w:val="22"/>
          <w:szCs w:val="22"/>
        </w:rPr>
        <w:t xml:space="preserve"> szenvedő betegeknél a naponta egyszer adott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jelentős javulást eredményezett a gerincfájdalom, </w:t>
      </w:r>
      <w:r>
        <w:rPr>
          <w:color w:val="000000"/>
          <w:sz w:val="22"/>
          <w:szCs w:val="22"/>
        </w:rPr>
        <w:noBreakHyphen/>
        <w:t xml:space="preserve">gyulladás, </w:t>
      </w:r>
      <w:r>
        <w:rPr>
          <w:color w:val="000000"/>
          <w:sz w:val="22"/>
          <w:szCs w:val="22"/>
        </w:rPr>
        <w:noBreakHyphen/>
        <w:t xml:space="preserve">merevség és </w:t>
      </w:r>
      <w:r>
        <w:rPr>
          <w:color w:val="000000"/>
          <w:sz w:val="22"/>
          <w:szCs w:val="22"/>
        </w:rPr>
        <w:noBreakHyphen/>
        <w:t xml:space="preserve">funkció terén.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klinikai előnye a kezelés megkezdését követően már a terápia második napján észlelhető volt és az 52 hetes kezelési periódus során mindvégig megmaradt. Egy második, a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és a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összehasonlító, értékelő vizsgálatban a napi 60 mg és napi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hasonló </w:t>
      </w:r>
      <w:proofErr w:type="spellStart"/>
      <w:r>
        <w:rPr>
          <w:color w:val="000000"/>
          <w:sz w:val="22"/>
          <w:szCs w:val="22"/>
        </w:rPr>
        <w:t>hatásosságot</w:t>
      </w:r>
      <w:proofErr w:type="spellEnd"/>
      <w:r>
        <w:rPr>
          <w:color w:val="000000"/>
          <w:sz w:val="22"/>
          <w:szCs w:val="22"/>
        </w:rPr>
        <w:t xml:space="preserve"> mutatott, mint a napi 1000 mg </w:t>
      </w:r>
      <w:proofErr w:type="spellStart"/>
      <w:r>
        <w:rPr>
          <w:color w:val="000000"/>
          <w:sz w:val="22"/>
          <w:szCs w:val="22"/>
        </w:rPr>
        <w:t>naproxen</w:t>
      </w:r>
      <w:proofErr w:type="spellEnd"/>
      <w:r>
        <w:rPr>
          <w:color w:val="000000"/>
          <w:sz w:val="22"/>
          <w:szCs w:val="22"/>
        </w:rPr>
        <w:t>. A 6 héten keresztül naponta egyszeri 60 mg dózisra nem megfelelően reagálók közül a gerinc fájdalom intenzitásának mértéke (0</w:t>
      </w:r>
      <w:r>
        <w:rPr>
          <w:color w:val="000000"/>
          <w:sz w:val="22"/>
          <w:szCs w:val="22"/>
        </w:rPr>
        <w:noBreakHyphen/>
        <w:t>100 mm vizuális analóg skála) átlagosan -2,70 mm</w:t>
      </w:r>
      <w:r>
        <w:rPr>
          <w:color w:val="000000"/>
          <w:sz w:val="22"/>
          <w:szCs w:val="22"/>
        </w:rPr>
        <w:noBreakHyphen/>
        <w:t>el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CI: -4,88 mm; -0,52 mm) javult a 90 mg-ra felemelt dózist kapóknál a továbbra is naponta egyszer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kapókéhoz képest.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 fogászati beavatkozást követő fájdalmat elemző klinikai vizsgálatban naponta egyszer 90 mg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alkalmaztak legfeljebb három napig. A vizsgálat kezdetén közepes fájdalmat érzékelő betegek alcsoportjában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 600 mg </w:t>
      </w:r>
      <w:proofErr w:type="spellStart"/>
      <w:r>
        <w:rPr>
          <w:color w:val="000000"/>
          <w:sz w:val="22"/>
          <w:szCs w:val="22"/>
        </w:rPr>
        <w:t>ibuprofénéhez</w:t>
      </w:r>
      <w:proofErr w:type="spellEnd"/>
      <w:r>
        <w:rPr>
          <w:color w:val="000000"/>
          <w:sz w:val="22"/>
          <w:szCs w:val="22"/>
        </w:rPr>
        <w:t xml:space="preserve"> hasonló (16,11 szemben a 16,39</w:t>
      </w:r>
      <w:r>
        <w:rPr>
          <w:color w:val="000000"/>
          <w:sz w:val="22"/>
          <w:szCs w:val="22"/>
        </w:rPr>
        <w:noBreakHyphen/>
        <w:t xml:space="preserve">cel; p=0,722), a 600 mg/60 mg </w:t>
      </w:r>
      <w:proofErr w:type="spellStart"/>
      <w:r>
        <w:rPr>
          <w:color w:val="000000"/>
          <w:sz w:val="22"/>
          <w:szCs w:val="22"/>
        </w:rPr>
        <w:t>paracetamol</w:t>
      </w:r>
      <w:proofErr w:type="spellEnd"/>
      <w:r>
        <w:rPr>
          <w:color w:val="000000"/>
          <w:sz w:val="22"/>
          <w:szCs w:val="22"/>
        </w:rPr>
        <w:t>/kodeinnél (11,00; p</w:t>
      </w:r>
      <w:r>
        <w:rPr>
          <w:sz w:val="22"/>
          <w:szCs w:val="22"/>
        </w:rPr>
        <w:t xml:space="preserve">&lt;0,001) </w:t>
      </w:r>
      <w:r>
        <w:rPr>
          <w:color w:val="000000"/>
          <w:sz w:val="22"/>
          <w:szCs w:val="22"/>
        </w:rPr>
        <w:t xml:space="preserve">és a </w:t>
      </w:r>
      <w:proofErr w:type="spellStart"/>
      <w:r>
        <w:rPr>
          <w:color w:val="000000"/>
          <w:sz w:val="22"/>
          <w:szCs w:val="22"/>
        </w:rPr>
        <w:t>placebónál</w:t>
      </w:r>
      <w:proofErr w:type="spellEnd"/>
      <w:r>
        <w:rPr>
          <w:color w:val="000000"/>
          <w:sz w:val="22"/>
          <w:szCs w:val="22"/>
        </w:rPr>
        <w:t xml:space="preserve"> (6,84; p</w:t>
      </w:r>
      <w:r>
        <w:rPr>
          <w:sz w:val="22"/>
          <w:szCs w:val="22"/>
        </w:rPr>
        <w:t xml:space="preserve">&lt;0,001) </w:t>
      </w:r>
      <w:r>
        <w:rPr>
          <w:color w:val="000000"/>
          <w:sz w:val="22"/>
          <w:szCs w:val="22"/>
        </w:rPr>
        <w:t xml:space="preserve">pedig jobb fájdalomcsillapító hatást mutatott az első 6 órában mért teljes fájdalomcsillapítás (TOPAR6) skála alapján. Az adagolást követő első 24 órán belül kiegészítő kezelésre szoruló betegek aránya 40,8% volt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, 25,5% a minden 6. órában bevett 600 mg </w:t>
      </w:r>
      <w:proofErr w:type="spellStart"/>
      <w:r>
        <w:rPr>
          <w:color w:val="000000"/>
          <w:sz w:val="22"/>
          <w:szCs w:val="22"/>
        </w:rPr>
        <w:t>ibuprofén</w:t>
      </w:r>
      <w:proofErr w:type="spellEnd"/>
      <w:r>
        <w:rPr>
          <w:color w:val="000000"/>
          <w:sz w:val="22"/>
          <w:szCs w:val="22"/>
        </w:rPr>
        <w:t xml:space="preserve"> és 46,7% a minden 6. órában bevett 600 mg/60 mg </w:t>
      </w:r>
      <w:proofErr w:type="spellStart"/>
      <w:r>
        <w:rPr>
          <w:color w:val="000000"/>
          <w:sz w:val="22"/>
          <w:szCs w:val="22"/>
        </w:rPr>
        <w:t>paracetamol</w:t>
      </w:r>
      <w:proofErr w:type="spellEnd"/>
      <w:r>
        <w:rPr>
          <w:color w:val="000000"/>
          <w:sz w:val="22"/>
          <w:szCs w:val="22"/>
        </w:rPr>
        <w:t>/kodein esetében a placebo mellett megfigyelt 76,2%</w:t>
      </w:r>
      <w:r>
        <w:rPr>
          <w:color w:val="000000"/>
          <w:sz w:val="22"/>
          <w:szCs w:val="22"/>
        </w:rPr>
        <w:noBreakHyphen/>
        <w:t>hoz képest. Ebben a vizsgálatban a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hatáskezdetének (a fájdalom érzékelhető enyhülésének) átlagértéke a beadás utáni 28 perc volt.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Biztonságosság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Multinacionális </w:t>
      </w:r>
      <w:proofErr w:type="spellStart"/>
      <w:r>
        <w:rPr>
          <w:color w:val="000000"/>
          <w:sz w:val="22"/>
          <w:szCs w:val="22"/>
          <w:u w:val="single"/>
        </w:rPr>
        <w:t>etorikoxib</w:t>
      </w:r>
      <w:proofErr w:type="spellEnd"/>
      <w:r>
        <w:rPr>
          <w:color w:val="000000"/>
          <w:sz w:val="22"/>
          <w:szCs w:val="22"/>
          <w:u w:val="single"/>
        </w:rPr>
        <w:t xml:space="preserve"> és </w:t>
      </w:r>
      <w:proofErr w:type="spellStart"/>
      <w:r>
        <w:rPr>
          <w:color w:val="000000"/>
          <w:sz w:val="22"/>
          <w:szCs w:val="22"/>
          <w:u w:val="single"/>
        </w:rPr>
        <w:t>diklofenák</w:t>
      </w:r>
      <w:proofErr w:type="spellEnd"/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arthritis</w:t>
      </w:r>
      <w:proofErr w:type="spellEnd"/>
      <w:r>
        <w:rPr>
          <w:color w:val="000000"/>
          <w:sz w:val="22"/>
          <w:szCs w:val="22"/>
          <w:u w:val="single"/>
        </w:rPr>
        <w:t xml:space="preserve"> hosszútávú (MEDAL) vizsgálati program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egy </w:t>
      </w:r>
      <w:proofErr w:type="spellStart"/>
      <w:r>
        <w:rPr>
          <w:color w:val="000000"/>
          <w:sz w:val="22"/>
          <w:szCs w:val="22"/>
        </w:rPr>
        <w:t>prospektív</w:t>
      </w:r>
      <w:proofErr w:type="spellEnd"/>
      <w:r>
        <w:rPr>
          <w:color w:val="000000"/>
          <w:sz w:val="22"/>
          <w:szCs w:val="22"/>
        </w:rPr>
        <w:t xml:space="preserve"> felépítésű,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(CV) biztonságossági végkimenetelt vizsgáló program volt, melyben három </w:t>
      </w:r>
      <w:proofErr w:type="spellStart"/>
      <w:r>
        <w:rPr>
          <w:color w:val="000000"/>
          <w:sz w:val="22"/>
          <w:szCs w:val="22"/>
        </w:rPr>
        <w:t>randomizált</w:t>
      </w:r>
      <w:proofErr w:type="spellEnd"/>
      <w:r>
        <w:rPr>
          <w:color w:val="000000"/>
          <w:sz w:val="22"/>
          <w:szCs w:val="22"/>
        </w:rPr>
        <w:t>, kettős vak, aktív komparátor-kontrollos vizsgálat, a MEDAL, az EDGE II és az EDGE adatait összesítették.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</w:t>
      </w:r>
      <w:proofErr w:type="spellStart"/>
      <w:r>
        <w:rPr>
          <w:color w:val="000000"/>
          <w:sz w:val="22"/>
          <w:szCs w:val="22"/>
        </w:rPr>
        <w:t>végpontvezérelt</w:t>
      </w:r>
      <w:proofErr w:type="spellEnd"/>
      <w:r>
        <w:rPr>
          <w:color w:val="000000"/>
          <w:sz w:val="22"/>
          <w:szCs w:val="22"/>
        </w:rPr>
        <w:t xml:space="preserve">, a CV kimenetelt értékelő vizsgálat volt, melyben 17 804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(OA) és 5700 </w:t>
      </w:r>
      <w:proofErr w:type="spellStart"/>
      <w:r>
        <w:rPr>
          <w:color w:val="000000"/>
          <w:sz w:val="22"/>
          <w:szCs w:val="22"/>
        </w:rPr>
        <w:t>rheumathoid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(RA) szenvedő beteget kezeltek a napi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(OA), napi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(OA és RA) , illetve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>, átlagosan 20,3 hónapig (legfeljebb 42,3 hónapig, medián: 21,3 hónap). Ebben a vizsgálatban csak a súlyos mellékhatásokat és azokat a mellékhatásokat dokumentálták, melyek a kezelés abbahagyásához vezettek.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EDGE és EDGE II vizsgálatok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tolerálhatóságát</w:t>
      </w:r>
      <w:proofErr w:type="spellEnd"/>
      <w:r>
        <w:rPr>
          <w:color w:val="000000"/>
          <w:sz w:val="22"/>
          <w:szCs w:val="22"/>
        </w:rPr>
        <w:t xml:space="preserve"> hasonlították össze. Az EDGE vizsgálatban 7111,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beteget kezeltek napi egy adag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(az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kezelésére javasolt adag 1,5</w:t>
      </w:r>
      <w:r>
        <w:rPr>
          <w:color w:val="000000"/>
          <w:sz w:val="22"/>
          <w:szCs w:val="22"/>
        </w:rPr>
        <w:noBreakHyphen/>
        <w:t xml:space="preserve">szerese) vagy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 xml:space="preserve"> átlagosan 9,1 hónapig (legfeljebb 16,6 hónapig, medián: 11,4 hónap). Az EDGE II vizsgálatban 4086, </w:t>
      </w:r>
      <w:proofErr w:type="spellStart"/>
      <w:r>
        <w:rPr>
          <w:color w:val="000000"/>
          <w:sz w:val="22"/>
          <w:szCs w:val="22"/>
        </w:rPr>
        <w:t>rheumatiod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beteget kezeltek napi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vagy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 xml:space="preserve"> átlagosan 19,2 hónapig (legfeljebb 33,1 hónapig, medián: 24 hónap).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összetett MEDAL programban 34 701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beteget kezeltek átlagosan 17,9 hónapig (legfeljebb 42,3 hónapig, medián: 16,3 hónap), és hozzávetőleg 12 800 beteget kezeltek 24 hónapnál hosszabb ideig. A programba bevont betegek a vizsgálat kezdetekor sokféle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rizikófaktorral rendelkeztek. A közelmúltban </w:t>
      </w:r>
      <w:proofErr w:type="spellStart"/>
      <w:r>
        <w:rPr>
          <w:color w:val="000000"/>
          <w:sz w:val="22"/>
          <w:szCs w:val="22"/>
        </w:rPr>
        <w:t>myocardialis</w:t>
      </w:r>
      <w:proofErr w:type="spellEnd"/>
      <w:r>
        <w:rPr>
          <w:color w:val="000000"/>
          <w:sz w:val="22"/>
          <w:szCs w:val="22"/>
        </w:rPr>
        <w:t xml:space="preserve"> infarktuson, illetve a vizsgálatba való bevonást megelőző 6 hónapon belül coronaria artéria </w:t>
      </w:r>
      <w:proofErr w:type="spellStart"/>
      <w:r>
        <w:rPr>
          <w:color w:val="000000"/>
          <w:sz w:val="22"/>
          <w:szCs w:val="22"/>
        </w:rPr>
        <w:t>bypass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graft</w:t>
      </w:r>
      <w:proofErr w:type="spellEnd"/>
      <w:r>
        <w:rPr>
          <w:color w:val="000000"/>
          <w:sz w:val="22"/>
          <w:szCs w:val="22"/>
        </w:rPr>
        <w:t xml:space="preserve"> beavatkozáson vagy </w:t>
      </w:r>
      <w:proofErr w:type="spellStart"/>
      <w:r>
        <w:rPr>
          <w:color w:val="000000"/>
          <w:sz w:val="22"/>
          <w:szCs w:val="22"/>
        </w:rPr>
        <w:t>percutan</w:t>
      </w:r>
      <w:proofErr w:type="spellEnd"/>
      <w:r>
        <w:rPr>
          <w:color w:val="000000"/>
          <w:sz w:val="22"/>
          <w:szCs w:val="22"/>
        </w:rPr>
        <w:t xml:space="preserve"> coronaria intervención átesett betegeket kizárták a vizsgálatból. A vizsgálatban a </w:t>
      </w:r>
      <w:proofErr w:type="spellStart"/>
      <w:r>
        <w:rPr>
          <w:color w:val="000000"/>
          <w:sz w:val="22"/>
          <w:szCs w:val="22"/>
        </w:rPr>
        <w:t>gastroprotektív</w:t>
      </w:r>
      <w:proofErr w:type="spellEnd"/>
      <w:r>
        <w:rPr>
          <w:color w:val="000000"/>
          <w:sz w:val="22"/>
          <w:szCs w:val="22"/>
        </w:rPr>
        <w:t xml:space="preserve"> ágensek és az alacsony dózisú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használata engedélyezett volt.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Általános biztonságosság: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Nem volt szignifikáns különbség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között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 tekintetében. </w:t>
      </w: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nemkívánatos eseményeket gyakrabban figyeltek meg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esetében, mint a </w:t>
      </w:r>
      <w:proofErr w:type="spellStart"/>
      <w:r>
        <w:rPr>
          <w:color w:val="000000"/>
          <w:sz w:val="22"/>
          <w:szCs w:val="22"/>
        </w:rPr>
        <w:t>diklofenáknál</w:t>
      </w:r>
      <w:proofErr w:type="spellEnd"/>
      <w:r>
        <w:rPr>
          <w:color w:val="000000"/>
          <w:sz w:val="22"/>
          <w:szCs w:val="22"/>
        </w:rPr>
        <w:t xml:space="preserve"> és ez a hatás dózisfüggő volt (a specifikus eredményeket lásd lent).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mellékhatásokat gyakrabban figyeltek meg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mint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esetén. A nemkívánatos események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az EDGE és EDGE II vizsgálat során, valamint a súlyosnak ítélt nemkívánatos események vagy a vizsgálat megszakításához vezető nemkívánatos események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a MEDAL vizsgálat során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nagyobb volt, mint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biztonságossági adatok: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bizonyított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súlyos nemkívánatos események (beleértve a </w:t>
      </w:r>
      <w:proofErr w:type="spellStart"/>
      <w:r>
        <w:rPr>
          <w:color w:val="000000"/>
          <w:sz w:val="22"/>
          <w:szCs w:val="22"/>
        </w:rPr>
        <w:t>cardialis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cerebrovascularis</w:t>
      </w:r>
      <w:proofErr w:type="spellEnd"/>
      <w:r>
        <w:rPr>
          <w:color w:val="000000"/>
          <w:sz w:val="22"/>
          <w:szCs w:val="22"/>
        </w:rPr>
        <w:t xml:space="preserve"> és perifériás </w:t>
      </w:r>
      <w:proofErr w:type="spellStart"/>
      <w:r>
        <w:rPr>
          <w:color w:val="000000"/>
          <w:sz w:val="22"/>
          <w:szCs w:val="22"/>
        </w:rPr>
        <w:t>vascularis</w:t>
      </w:r>
      <w:proofErr w:type="spellEnd"/>
      <w:r>
        <w:rPr>
          <w:color w:val="000000"/>
          <w:sz w:val="22"/>
          <w:szCs w:val="22"/>
        </w:rPr>
        <w:t xml:space="preserve"> eseményeket) aránya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esetében hasonló volt és a lenti táblázat </w:t>
      </w:r>
      <w:proofErr w:type="spellStart"/>
      <w:r>
        <w:rPr>
          <w:color w:val="000000"/>
          <w:sz w:val="22"/>
          <w:szCs w:val="22"/>
        </w:rPr>
        <w:t>összegzi</w:t>
      </w:r>
      <w:proofErr w:type="spellEnd"/>
      <w:r>
        <w:rPr>
          <w:color w:val="000000"/>
          <w:sz w:val="22"/>
          <w:szCs w:val="22"/>
        </w:rPr>
        <w:t xml:space="preserve">. A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 arányát tekintve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között nem volt kimutatható különbség az elemzett alcsoportokban, melyekben a vizsgálatba történő belépéskor változatos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kockázati tényezőkkel rendelkező betegek szerepeltek. Külön értékelve a bizonyított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súlyos nemkívánatos események relatív kockázatát a 60 mg vagy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összehasonlítva a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>, az eredmények hasonlóak voltak.</w:t>
      </w:r>
    </w:p>
    <w:p w:rsidR="00FC5EC4" w:rsidRDefault="00FC5EC4">
      <w:pPr>
        <w:rPr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0"/>
        <w:gridCol w:w="1680"/>
        <w:gridCol w:w="12"/>
        <w:gridCol w:w="1758"/>
        <w:gridCol w:w="8"/>
        <w:gridCol w:w="2027"/>
        <w:gridCol w:w="8"/>
      </w:tblGrid>
      <w:tr w:rsidR="00FC5EC4">
        <w:trPr>
          <w:cantSplit/>
          <w:trHeight w:val="546"/>
          <w:tblHeader/>
          <w:jc w:val="center"/>
        </w:trPr>
        <w:tc>
          <w:tcPr>
            <w:tcW w:w="7701" w:type="dxa"/>
            <w:gridSpan w:val="7"/>
          </w:tcPr>
          <w:p w:rsidR="00FC5EC4" w:rsidRDefault="00B71784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2. táblázat: A bizonyítottan </w:t>
            </w: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thromboticus</w:t>
            </w:r>
            <w:proofErr w:type="spellEnd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 CV események aránya (a MEDAL program összegzése)</w:t>
            </w:r>
          </w:p>
        </w:tc>
      </w:tr>
      <w:tr w:rsidR="00FC5EC4">
        <w:trPr>
          <w:cantSplit/>
          <w:trHeight w:val="546"/>
          <w:tblHeader/>
          <w:jc w:val="center"/>
        </w:trPr>
        <w:tc>
          <w:tcPr>
            <w:tcW w:w="2208" w:type="dxa"/>
          </w:tcPr>
          <w:p w:rsidR="00FC5EC4" w:rsidRDefault="00FC5EC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Etorikoxib</w:t>
            </w:r>
            <w:proofErr w:type="spellEnd"/>
          </w:p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(N=16 819)</w:t>
            </w:r>
          </w:p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25 836 betegév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Diklofenák</w:t>
            </w:r>
            <w:proofErr w:type="spellEnd"/>
          </w:p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(N=16 483)</w:t>
            </w:r>
          </w:p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24 766 betegév</w:t>
            </w:r>
          </w:p>
        </w:tc>
        <w:tc>
          <w:tcPr>
            <w:tcW w:w="2035" w:type="dxa"/>
            <w:gridSpan w:val="2"/>
            <w:shd w:val="clear" w:color="auto" w:fill="auto"/>
          </w:tcPr>
          <w:p w:rsidR="00FC5EC4" w:rsidRDefault="00FC5EC4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</w:p>
          <w:p w:rsidR="00FC5EC4" w:rsidRDefault="00B71784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Kezelések közötti összehasonlítás</w:t>
            </w:r>
          </w:p>
        </w:tc>
      </w:tr>
      <w:tr w:rsidR="00FC5EC4">
        <w:trPr>
          <w:gridAfter w:val="1"/>
          <w:wAfter w:w="8" w:type="dxa"/>
          <w:cantSplit/>
          <w:trHeight w:val="111"/>
          <w:tblHeader/>
          <w:jc w:val="center"/>
        </w:trPr>
        <w:tc>
          <w:tcPr>
            <w:tcW w:w="2220" w:type="dxa"/>
          </w:tcPr>
          <w:p w:rsidR="00FC5EC4" w:rsidRDefault="00FC5EC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</w:tcPr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Arány</w:t>
            </w: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</w:p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(95%-</w:t>
            </w: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os</w:t>
            </w:r>
            <w:proofErr w:type="spellEnd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 CI)</w:t>
            </w:r>
          </w:p>
        </w:tc>
        <w:tc>
          <w:tcPr>
            <w:tcW w:w="1770" w:type="dxa"/>
            <w:gridSpan w:val="2"/>
          </w:tcPr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Arány</w:t>
            </w: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</w:p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(95%-</w:t>
            </w: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os</w:t>
            </w:r>
            <w:proofErr w:type="spellEnd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 CI)</w:t>
            </w:r>
          </w:p>
        </w:tc>
        <w:tc>
          <w:tcPr>
            <w:tcW w:w="2035" w:type="dxa"/>
            <w:gridSpan w:val="2"/>
            <w:shd w:val="clear" w:color="auto" w:fill="auto"/>
          </w:tcPr>
          <w:p w:rsidR="00FC5EC4" w:rsidRDefault="00B71784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Relatív kockázat</w:t>
            </w:r>
          </w:p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(95%-</w:t>
            </w: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os</w:t>
            </w:r>
            <w:proofErr w:type="spellEnd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 CI)</w:t>
            </w:r>
          </w:p>
        </w:tc>
      </w:tr>
      <w:tr w:rsidR="00FC5EC4">
        <w:trPr>
          <w:cantSplit/>
          <w:trHeight w:val="372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thromboticus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cardiovascularis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súlyos mellékhatások</w:t>
            </w:r>
          </w:p>
        </w:tc>
      </w:tr>
      <w:tr w:rsidR="00FC5EC4">
        <w:trPr>
          <w:cantSplit/>
          <w:trHeight w:val="372"/>
          <w:jc w:val="center"/>
        </w:trPr>
        <w:tc>
          <w:tcPr>
            <w:tcW w:w="2208" w:type="dxa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1,24 (1,11; 1,38)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1,30 (1,17; 1,45)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0,95 (0,81; 1,11)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1,25 (1,14; 1,36)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1,19 (1,08; 1,30)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1,05 (0,93; 1,19)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cardialis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0,71 (0,61; 0,82)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0,78 (0,68; 0,90)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0,90 (0,74; 1,10)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0,69 (0,61; 0,78)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0,70 (0,62; 0,79)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0,99 (0,84; 1,17)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cerebrovascularis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0,34 (0,28; 0,42)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0,32 (0,25; 0,40)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1,08 (0,80; 1,46)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0,33 (0,28; 0,39)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0,29 (0,24; 0,35)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1,12 (0,87; 1,44)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perifériás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vasculáris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0,20 (0,15; 0,27)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0,22 (0,17; 0,29)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0,92 (0,63; 1,35)</w:t>
            </w:r>
          </w:p>
        </w:tc>
      </w:tr>
      <w:tr w:rsidR="00FC5EC4">
        <w:trPr>
          <w:cantSplit/>
          <w:trHeight w:val="360"/>
          <w:jc w:val="center"/>
        </w:trPr>
        <w:tc>
          <w:tcPr>
            <w:tcW w:w="2208" w:type="dxa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0,24 (0,20; 0,30)</w:t>
            </w:r>
          </w:p>
        </w:tc>
        <w:tc>
          <w:tcPr>
            <w:tcW w:w="1766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0,23 (0,18; 0,28)</w:t>
            </w:r>
          </w:p>
        </w:tc>
        <w:tc>
          <w:tcPr>
            <w:tcW w:w="2035" w:type="dxa"/>
            <w:gridSpan w:val="2"/>
          </w:tcPr>
          <w:p w:rsidR="00FC5EC4" w:rsidRDefault="00B71784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1,08 (0,81; 1,44)</w:t>
            </w:r>
          </w:p>
        </w:tc>
      </w:tr>
      <w:tr w:rsidR="00FC5EC4">
        <w:trPr>
          <w:cantSplit/>
          <w:trHeight w:val="372"/>
          <w:jc w:val="center"/>
        </w:trPr>
        <w:tc>
          <w:tcPr>
            <w:tcW w:w="7701" w:type="dxa"/>
            <w:gridSpan w:val="7"/>
          </w:tcPr>
          <w:p w:rsidR="00FC5EC4" w:rsidRDefault="00B71784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  <w:r>
              <w:rPr>
                <w:rFonts w:eastAsia="MS Mincho"/>
                <w:color w:val="000000"/>
                <w:sz w:val="22"/>
                <w:szCs w:val="22"/>
              </w:rPr>
              <w:t>100 betegévre jutó események száma; CI=konfidencia intervallum</w:t>
            </w:r>
          </w:p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N=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Összbeteg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noBreakHyphen/>
              <w:t xml:space="preserve">szám, beleértve a per-protokoll populációt </w:t>
            </w:r>
          </w:p>
          <w:p w:rsidR="00FC5EC4" w:rsidRDefault="00FC5EC4">
            <w:pPr>
              <w:rPr>
                <w:rFonts w:eastAsia="MS Mincho"/>
                <w:color w:val="000000"/>
                <w:sz w:val="22"/>
                <w:szCs w:val="22"/>
              </w:rPr>
            </w:pPr>
          </w:p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szerint: minden esemény a vizsgálati terápia alatt vagy 14 napon belül a terápia abbahagyása után (kizárva: azon betegek, akik a vizsgálati gyógyszereik &lt; 75%</w:t>
            </w:r>
            <w:r>
              <w:rPr>
                <w:rFonts w:eastAsia="MS Mincho"/>
                <w:color w:val="000000"/>
                <w:sz w:val="22"/>
                <w:szCs w:val="22"/>
              </w:rPr>
              <w:noBreakHyphen/>
              <w:t>át vették be vagy nem vizsgálati NSAID szereket szedtek az idő &gt; 10%</w:t>
            </w:r>
            <w:r>
              <w:rPr>
                <w:rFonts w:eastAsia="MS Mincho"/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ában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>)</w:t>
            </w:r>
          </w:p>
          <w:p w:rsidR="00FC5EC4" w:rsidRDefault="00FC5EC4">
            <w:pPr>
              <w:rPr>
                <w:rFonts w:eastAsia="MS Mincho"/>
                <w:color w:val="000000"/>
                <w:sz w:val="22"/>
                <w:szCs w:val="22"/>
              </w:rPr>
            </w:pPr>
          </w:p>
          <w:p w:rsidR="00FC5EC4" w:rsidRDefault="00B71784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Eredeti besorolás szerint: minden bizonyított esemény a vizsgálat végéig (beleértve azon betegeket, akik esetleg a vizsgálaton kívüli beavatkozásoknak voltak kitéve a vizsgálati gyógyszer szedésének abbahagyása után).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Randomizált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betegek teljes száma, n=17 412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etorikoxibbal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kezelt és 17 289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diklofenákkal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kezelt.</w:t>
            </w:r>
          </w:p>
        </w:tc>
      </w:tr>
    </w:tbl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rFonts w:eastAsia="Arial Unicode MS"/>
          <w:snapToGrid/>
          <w:color w:val="000000"/>
          <w:sz w:val="22"/>
          <w:szCs w:val="22"/>
        </w:rPr>
        <w:t xml:space="preserve">A CV mortalitás és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össz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noBreakHyphen/>
        <w:t xml:space="preserve">mortalitás hasonló volt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diklofenák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kezelési csoportokban.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események: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MEDAL vizsgálat kezdetekor a bevont betegek mintegy 50%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ának</w:t>
      </w:r>
      <w:proofErr w:type="spellEnd"/>
      <w:r>
        <w:rPr>
          <w:color w:val="000000"/>
          <w:sz w:val="22"/>
          <w:szCs w:val="22"/>
        </w:rPr>
        <w:t xml:space="preserve"> anamnézisében szerepelt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. A </w:t>
      </w:r>
      <w:proofErr w:type="spellStart"/>
      <w:r>
        <w:rPr>
          <w:color w:val="000000"/>
          <w:sz w:val="22"/>
          <w:szCs w:val="22"/>
        </w:rPr>
        <w:t>hypertoniával</w:t>
      </w:r>
      <w:proofErr w:type="spellEnd"/>
      <w:r>
        <w:rPr>
          <w:color w:val="000000"/>
          <w:sz w:val="22"/>
          <w:szCs w:val="22"/>
        </w:rPr>
        <w:t xml:space="preserve"> összefüggő mellékhatások miatt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kapó betegek statisztikailag szignifikánsan nagyobb arányban hagyták abba a vizsgálatot, mint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kapó betegek. A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összefüggő mellékhatások (kezelés abbahagyása és súlyos mellékhatások)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hasonló volt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esetében, de magasabb volt a 90 mg </w:t>
      </w:r>
      <w:proofErr w:type="spellStart"/>
      <w:r>
        <w:rPr>
          <w:color w:val="000000"/>
          <w:sz w:val="22"/>
          <w:szCs w:val="22"/>
        </w:rPr>
        <w:t>etorikoxibnál</w:t>
      </w:r>
      <w:proofErr w:type="spellEnd"/>
      <w:r>
        <w:rPr>
          <w:color w:val="000000"/>
          <w:sz w:val="22"/>
          <w:szCs w:val="22"/>
        </w:rPr>
        <w:t xml:space="preserve">, mint a 150 mg </w:t>
      </w:r>
      <w:proofErr w:type="spellStart"/>
      <w:r>
        <w:rPr>
          <w:color w:val="000000"/>
          <w:sz w:val="22"/>
          <w:szCs w:val="22"/>
        </w:rPr>
        <w:t>diklofenáknál</w:t>
      </w:r>
      <w:proofErr w:type="spellEnd"/>
      <w:r>
        <w:rPr>
          <w:color w:val="000000"/>
          <w:sz w:val="22"/>
          <w:szCs w:val="22"/>
        </w:rPr>
        <w:t xml:space="preserve"> (statisztikailag szignifikáns a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a 150 mg </w:t>
      </w:r>
      <w:proofErr w:type="spellStart"/>
      <w:r>
        <w:rPr>
          <w:color w:val="000000"/>
          <w:sz w:val="22"/>
          <w:szCs w:val="22"/>
        </w:rPr>
        <w:t>etorikoxibhoz</w:t>
      </w:r>
      <w:proofErr w:type="spellEnd"/>
      <w:r>
        <w:rPr>
          <w:color w:val="000000"/>
          <w:sz w:val="22"/>
          <w:szCs w:val="22"/>
        </w:rPr>
        <w:t xml:space="preserve"> hasonlítva a MEDAL OA </w:t>
      </w:r>
      <w:proofErr w:type="spellStart"/>
      <w:r>
        <w:rPr>
          <w:color w:val="000000"/>
          <w:sz w:val="22"/>
          <w:szCs w:val="22"/>
        </w:rPr>
        <w:t>kohorszban</w:t>
      </w:r>
      <w:proofErr w:type="spellEnd"/>
      <w:r>
        <w:rPr>
          <w:color w:val="000000"/>
          <w:sz w:val="22"/>
          <w:szCs w:val="22"/>
        </w:rPr>
        <w:t xml:space="preserve">). A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összefüggő mellékhatások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(azon események, amelyek súlyosak voltak és a beteg kórházba került vagy sürgősségi ellátásra volt szükség) nem volt szignifikánsan magasabb, mint a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és ez a hatás dózisfüggő volt. A kezelés </w:t>
      </w:r>
      <w:proofErr w:type="spellStart"/>
      <w:r>
        <w:rPr>
          <w:color w:val="000000"/>
          <w:sz w:val="22"/>
          <w:szCs w:val="22"/>
        </w:rPr>
        <w:t>oedemával</w:t>
      </w:r>
      <w:proofErr w:type="spellEnd"/>
      <w:r>
        <w:rPr>
          <w:color w:val="000000"/>
          <w:sz w:val="22"/>
          <w:szCs w:val="22"/>
        </w:rPr>
        <w:t xml:space="preserve"> összefüggő mellékhatások miatti abbahagyásának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magasabb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mint a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és ez a hatás dózisfüggő volt (statisztikailag szignifikáns a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de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nem).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EDGE és az EDGE II </w:t>
      </w: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eredményei egybeestek a MEDAL vizsgálat eredményeivel.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(60 mg és 90 mg) végzett egyedi MEDAL program vizsgálatokban a terápia abbahagyásának abszolút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bármely kezelt csoportban maximum 2,6% volt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maximum 1,9% volt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 és maximum 1,1% volt </w:t>
      </w:r>
      <w:proofErr w:type="spellStart"/>
      <w:r>
        <w:rPr>
          <w:color w:val="000000"/>
          <w:sz w:val="22"/>
          <w:szCs w:val="22"/>
        </w:rPr>
        <w:t>congestiv</w:t>
      </w:r>
      <w:proofErr w:type="spellEnd"/>
      <w:r>
        <w:rPr>
          <w:color w:val="000000"/>
          <w:sz w:val="22"/>
          <w:szCs w:val="22"/>
        </w:rPr>
        <w:t xml:space="preserve"> szívelégtelenség miatt. A terápia abbahagyásának aránya magasabb volt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mint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tolerálhatósági eredményei: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 jelentősen kisebb volt a kezelés abbahagyásának aránya a </w:t>
      </w:r>
      <w:proofErr w:type="spellStart"/>
      <w:r>
        <w:rPr>
          <w:color w:val="000000"/>
          <w:sz w:val="22"/>
          <w:szCs w:val="22"/>
        </w:rPr>
        <w:t>diklofenákhoz</w:t>
      </w:r>
      <w:proofErr w:type="spellEnd"/>
      <w:r>
        <w:rPr>
          <w:color w:val="000000"/>
          <w:sz w:val="22"/>
          <w:szCs w:val="22"/>
        </w:rPr>
        <w:t xml:space="preserve"> viszonyítva, a klinikai mellékhatásokat (pl.: </w:t>
      </w:r>
      <w:proofErr w:type="spellStart"/>
      <w:r>
        <w:rPr>
          <w:color w:val="000000"/>
          <w:sz w:val="22"/>
          <w:szCs w:val="22"/>
        </w:rPr>
        <w:t>dyspepsia</w:t>
      </w:r>
      <w:proofErr w:type="spellEnd"/>
      <w:r>
        <w:rPr>
          <w:color w:val="000000"/>
          <w:sz w:val="22"/>
          <w:szCs w:val="22"/>
        </w:rPr>
        <w:t xml:space="preserve">, hasi fájdalom, fekély) tekintve a MEDAL program mindhárom vizsgálatában. A kezelés abbahagyásának arányai GI klinikai mellékhatások miatt a vizsgálat egészére vetített száz betegévre vonatkoztatva a következők: 3,23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4,96 a"/>
        </w:smartTagPr>
        <w:r>
          <w:rPr>
            <w:color w:val="000000"/>
            <w:sz w:val="22"/>
            <w:szCs w:val="22"/>
          </w:rPr>
          <w:t>4,96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 MEDAL vizsgálatban; 9,12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12,28 a"/>
        </w:smartTagPr>
        <w:r>
          <w:rPr>
            <w:color w:val="000000"/>
            <w:sz w:val="22"/>
            <w:szCs w:val="22"/>
          </w:rPr>
          <w:t>12,28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az EDGE vizsgálatban; valamint 3,71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4,81 a"/>
        </w:smartTagPr>
        <w:r>
          <w:rPr>
            <w:color w:val="000000"/>
            <w:sz w:val="22"/>
            <w:szCs w:val="22"/>
          </w:rPr>
          <w:t>4,81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az EDGE II vizsgálatban.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keepNext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biztonságossági eredményei:</w:t>
      </w:r>
    </w:p>
    <w:p w:rsidR="00FC5EC4" w:rsidRDefault="00B71784">
      <w:pPr>
        <w:keepNext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Általánosságban a felső GI mellékhatások a perforációk, fekélyek és vérzések voltak.</w:t>
      </w:r>
    </w:p>
    <w:p w:rsidR="00FC5EC4" w:rsidRDefault="00B71784">
      <w:pPr>
        <w:autoSpaceDE w:val="0"/>
        <w:autoSpaceDN w:val="0"/>
        <w:adjustRightInd w:val="0"/>
        <w:rPr>
          <w:snapToGrid/>
          <w:color w:val="000000"/>
          <w:sz w:val="22"/>
          <w:szCs w:val="22"/>
        </w:rPr>
      </w:pPr>
      <w:r>
        <w:rPr>
          <w:snapToGrid/>
          <w:color w:val="000000"/>
          <w:sz w:val="22"/>
          <w:szCs w:val="22"/>
        </w:rPr>
        <w:t xml:space="preserve">A felső GI események szövődményesnek minősített alcsoportjában perforációk, obstrukciók és szövődményes vérzés szerepeltek; míg a szövődménymentes felső GI események a szövődménymentes vérzések és szövődménymentes fekélyek. Szignifikánsan alacsonyabb volt a felső GI mellékhatások aránya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esetén, mint a </w:t>
      </w:r>
      <w:proofErr w:type="spellStart"/>
      <w:r>
        <w:rPr>
          <w:snapToGrid/>
          <w:color w:val="000000"/>
          <w:sz w:val="22"/>
          <w:szCs w:val="22"/>
        </w:rPr>
        <w:t>diklofenák</w:t>
      </w:r>
      <w:proofErr w:type="spellEnd"/>
      <w:r>
        <w:rPr>
          <w:snapToGrid/>
          <w:color w:val="000000"/>
          <w:sz w:val="22"/>
          <w:szCs w:val="22"/>
        </w:rPr>
        <w:t xml:space="preserve"> esetén. A szövődményes mellékhatások tekintetében nem volt szignifikáns különbség az </w:t>
      </w:r>
      <w:proofErr w:type="spellStart"/>
      <w:r>
        <w:rPr>
          <w:snapToGrid/>
          <w:color w:val="000000"/>
          <w:sz w:val="22"/>
          <w:szCs w:val="22"/>
        </w:rPr>
        <w:t>etorikoxibbal</w:t>
      </w:r>
      <w:proofErr w:type="spellEnd"/>
      <w:r>
        <w:rPr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snapToGrid/>
          <w:color w:val="000000"/>
          <w:sz w:val="22"/>
          <w:szCs w:val="22"/>
        </w:rPr>
        <w:t>diklofenákkal</w:t>
      </w:r>
      <w:proofErr w:type="spellEnd"/>
      <w:r>
        <w:rPr>
          <w:snapToGrid/>
          <w:color w:val="000000"/>
          <w:sz w:val="22"/>
          <w:szCs w:val="22"/>
        </w:rPr>
        <w:t xml:space="preserve"> kezeltek esetében. A felső GI vérzések alcsoportjában (szövődményes és szövődménymentes együttvéve) nem volt szignifikáns különbség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snapToGrid/>
          <w:color w:val="000000"/>
          <w:sz w:val="22"/>
          <w:szCs w:val="22"/>
        </w:rPr>
        <w:t>diklofenák</w:t>
      </w:r>
      <w:proofErr w:type="spellEnd"/>
      <w:r>
        <w:rPr>
          <w:snapToGrid/>
          <w:color w:val="000000"/>
          <w:sz w:val="22"/>
          <w:szCs w:val="22"/>
        </w:rPr>
        <w:t xml:space="preserve"> között.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felső GI előnye a </w:t>
      </w:r>
      <w:proofErr w:type="spellStart"/>
      <w:r>
        <w:rPr>
          <w:snapToGrid/>
          <w:color w:val="000000"/>
          <w:sz w:val="22"/>
          <w:szCs w:val="22"/>
        </w:rPr>
        <w:t>diklofenákkal</w:t>
      </w:r>
      <w:proofErr w:type="spellEnd"/>
      <w:r>
        <w:rPr>
          <w:snapToGrid/>
          <w:color w:val="000000"/>
          <w:sz w:val="22"/>
          <w:szCs w:val="22"/>
        </w:rPr>
        <w:t xml:space="preserve"> összehasonlítva nem volt statisztikailag szignifikáns azokban a betegekben, akik alacsony dózisú </w:t>
      </w:r>
      <w:proofErr w:type="spellStart"/>
      <w:r>
        <w:rPr>
          <w:snapToGrid/>
          <w:color w:val="000000"/>
          <w:sz w:val="22"/>
          <w:szCs w:val="22"/>
        </w:rPr>
        <w:t>acetilszalicilsavat</w:t>
      </w:r>
      <w:proofErr w:type="spellEnd"/>
      <w:r>
        <w:rPr>
          <w:snapToGrid/>
          <w:color w:val="000000"/>
          <w:sz w:val="22"/>
          <w:szCs w:val="22"/>
        </w:rPr>
        <w:t xml:space="preserve"> szedtek együtt a gyógyszerrel (hozzávetőleg a betegek 33%</w:t>
      </w:r>
      <w:r>
        <w:rPr>
          <w:snapToGrid/>
          <w:color w:val="000000"/>
          <w:sz w:val="22"/>
          <w:szCs w:val="22"/>
        </w:rPr>
        <w:noBreakHyphen/>
        <w:t>a).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bizonyított szövődményes és szövődménymentes felső GI klinikai mellékhatások (perforációk, fekélyek és vérzések (PUV</w:t>
      </w:r>
      <w:r>
        <w:rPr>
          <w:color w:val="000000"/>
          <w:sz w:val="22"/>
          <w:szCs w:val="22"/>
        </w:rPr>
        <w:noBreakHyphen/>
        <w:t>ok)) aránya száz betegévre vonatkoztatva 0,67 volt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 0,57, 0,77)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és 0,97 volt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 0,85, 1,10)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esetén, 0,69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 0,57, 0,83) kockázatot eredményezve.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Értékelésre került a bizonyított felső GI mellékhatások aránya az idős betegekben és a legnagyobb csökkenés a ≥ 75 éves betegeknél volt megfigyelhető [1,35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 0,94, 1,87)] mellékhatás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szemben a [2,78 (95%-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CI 2,14, 3,56)] mellékhatással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száz betegévre vonatkoztatva.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bizonyított alsó GI klinikai mellékhatások aránya (kicsi vagy nagy bélperforáció, obstrukció vagy vérzés (POV)) nem volt szignifikánsan eltérő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biztonságossági eredményei: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szedők esetében statisztikailag szignifikánsan alacsonyabb volt azon betegek aránya, akik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mellékhatások miatt hagyták abba a kezelést, mint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szedők esetén. Az összesített MEDAL Programban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 betegek 0,3%</w:t>
      </w:r>
      <w:r>
        <w:rPr>
          <w:color w:val="000000"/>
          <w:sz w:val="22"/>
          <w:szCs w:val="22"/>
        </w:rPr>
        <w:noBreakHyphen/>
        <w:t xml:space="preserve">a és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szedő betegek 2,7%</w:t>
      </w:r>
      <w:r>
        <w:rPr>
          <w:color w:val="000000"/>
          <w:sz w:val="22"/>
          <w:szCs w:val="22"/>
        </w:rPr>
        <w:noBreakHyphen/>
        <w:t xml:space="preserve">a hagyta abba a gyógyszerek szedését a májat érintő mellékhatások miatt. Száz betegévre vonatkoztatva az arány 0,22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, és </w:t>
      </w:r>
      <w:smartTag w:uri="urn:schemas-microsoft-com:office:smarttags" w:element="metricconverter">
        <w:smartTagPr>
          <w:attr w:name="ProductID" w:val="1,84 a"/>
        </w:smartTagPr>
        <w:r>
          <w:rPr>
            <w:color w:val="000000"/>
            <w:sz w:val="22"/>
            <w:szCs w:val="22"/>
          </w:rPr>
          <w:t>1,84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(p-érték &lt;0,001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összehasonlítása esetén). A legtöbb májjal kapcsolatos mellékhatás a MEDAL programban nem volt súlyos.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További </w:t>
      </w:r>
      <w:proofErr w:type="spellStart"/>
      <w:r>
        <w:rPr>
          <w:color w:val="000000"/>
          <w:sz w:val="22"/>
          <w:szCs w:val="22"/>
          <w:u w:val="single"/>
        </w:rPr>
        <w:t>thromboticus</w:t>
      </w:r>
      <w:proofErr w:type="spellEnd"/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cardiovascularis</w:t>
      </w:r>
      <w:proofErr w:type="spellEnd"/>
      <w:r>
        <w:rPr>
          <w:color w:val="000000"/>
          <w:sz w:val="22"/>
          <w:szCs w:val="22"/>
          <w:u w:val="single"/>
        </w:rPr>
        <w:t xml:space="preserve"> biztonságossági adatok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MEDAL programtól különböző klinikai vizsgálatok során 3100 beteget kezeltek naponta </w:t>
      </w:r>
      <w:r>
        <w:rPr>
          <w:rFonts w:ascii="Times New Roman" w:hAnsi="Times New Roman" w:hint="eastAsia"/>
          <w:color w:val="000000"/>
          <w:sz w:val="22"/>
          <w:szCs w:val="22"/>
        </w:rPr>
        <w:t>≥</w:t>
      </w:r>
      <w:r>
        <w:rPr>
          <w:rFonts w:ascii="Times New Roman" w:hAnsi="Times New Roman" w:hint="eastAsia"/>
          <w:color w:val="000000"/>
          <w:sz w:val="22"/>
          <w:szCs w:val="22"/>
        </w:rPr>
        <w:t> 60 mg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12 hétig, vagy ennél hosszabb ideig. Nem észleltek különbséget a bizonyítottan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thromboticus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cardiovascularis</w:t>
      </w:r>
      <w:proofErr w:type="spellEnd"/>
      <w:r>
        <w:rPr>
          <w:rFonts w:ascii="Times New Roman" w:hAnsi="Times New Roman" w:hint="eastAsia"/>
          <w:color w:val="000000"/>
          <w:sz w:val="22"/>
          <w:szCs w:val="22"/>
        </w:rPr>
        <w:t xml:space="preserve"> súlyos nemkívánatos események előfordulási gyakoriságában a </w:t>
      </w:r>
      <w:r>
        <w:rPr>
          <w:rFonts w:ascii="Times New Roman" w:hAnsi="Times New Roman" w:hint="eastAsia"/>
          <w:color w:val="000000"/>
          <w:sz w:val="22"/>
          <w:szCs w:val="22"/>
        </w:rPr>
        <w:t>≥</w:t>
      </w:r>
      <w:r>
        <w:rPr>
          <w:rFonts w:ascii="Times New Roman" w:hAnsi="Times New Roman" w:hint="eastAsia"/>
          <w:color w:val="000000"/>
          <w:sz w:val="22"/>
          <w:szCs w:val="22"/>
        </w:rPr>
        <w:t xml:space="preserve"> 60 mg dózisú </w:t>
      </w:r>
      <w:proofErr w:type="spellStart"/>
      <w:r>
        <w:rPr>
          <w:rFonts w:ascii="Times New Roman" w:hAnsi="Times New Roman" w:hint="eastAsia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 w:hint="eastAsia"/>
          <w:color w:val="000000"/>
          <w:sz w:val="22"/>
          <w:szCs w:val="22"/>
        </w:rPr>
        <w:t xml:space="preserve">, </w:t>
      </w:r>
      <w:proofErr w:type="spellStart"/>
      <w:r>
        <w:rPr>
          <w:rFonts w:ascii="Times New Roman" w:hAnsi="Times New Roman" w:hint="eastAsia"/>
          <w:color w:val="000000"/>
          <w:sz w:val="22"/>
          <w:szCs w:val="22"/>
        </w:rPr>
        <w:t>placebóval</w:t>
      </w:r>
      <w:proofErr w:type="spellEnd"/>
      <w:r>
        <w:rPr>
          <w:rFonts w:ascii="Times New Roman" w:hAnsi="Times New Roman" w:hint="eastAsia"/>
          <w:color w:val="000000"/>
          <w:sz w:val="22"/>
          <w:szCs w:val="22"/>
        </w:rPr>
        <w:t xml:space="preserve"> illetve a nem </w:t>
      </w:r>
      <w:proofErr w:type="spellStart"/>
      <w:r>
        <w:rPr>
          <w:rFonts w:ascii="Times New Roman" w:hAnsi="Times New Roman" w:hint="eastAsia"/>
          <w:color w:val="000000"/>
          <w:sz w:val="22"/>
          <w:szCs w:val="22"/>
        </w:rPr>
        <w:t>naprox</w:t>
      </w:r>
      <w:r>
        <w:rPr>
          <w:rFonts w:ascii="Times New Roman" w:hAnsi="Times New Roman"/>
          <w:color w:val="000000"/>
          <w:sz w:val="22"/>
          <w:szCs w:val="22"/>
        </w:rPr>
        <w:t>én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típusú NSAID szerrel kezelt betegek között. Az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kezelt csoportban azonban ezen események gyakrabban fordultak elő, mint a napi kétszer 500 mg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naproxént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szedő betegeknél. Egyes COX</w:t>
      </w:r>
      <w:r>
        <w:rPr>
          <w:rFonts w:ascii="Times New Roman" w:hAnsi="Times New Roman"/>
          <w:color w:val="000000"/>
          <w:sz w:val="22"/>
          <w:szCs w:val="22"/>
        </w:rPr>
        <w:noBreakHyphen/>
        <w:t>1 enzimet gátló NSAID</w:t>
      </w:r>
      <w:r>
        <w:rPr>
          <w:rFonts w:ascii="Times New Roman" w:hAnsi="Times New Roman"/>
          <w:color w:val="000000"/>
          <w:sz w:val="22"/>
          <w:szCs w:val="22"/>
        </w:rPr>
        <w:noBreakHyphen/>
        <w:t>ok és a COX</w:t>
      </w:r>
      <w:r>
        <w:rPr>
          <w:rFonts w:ascii="Times New Roman" w:hAnsi="Times New Roman"/>
          <w:color w:val="000000"/>
          <w:sz w:val="22"/>
          <w:szCs w:val="22"/>
        </w:rPr>
        <w:noBreakHyphen/>
        <w:t>2</w:t>
      </w:r>
      <w:r>
        <w:rPr>
          <w:rFonts w:ascii="Times New Roman" w:hAnsi="Times New Roman"/>
          <w:color w:val="000000"/>
          <w:sz w:val="22"/>
          <w:szCs w:val="22"/>
        </w:rPr>
        <w:noBreakHyphen/>
        <w:t xml:space="preserve">t szelektíven gátló szerek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thrombocytaaggregáció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noBreakHyphen/>
        <w:t xml:space="preserve">gátlásban mutatkozó különbségének klinikai jelentősége lehet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thromboemboliás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kockázatú betegeknél. A COX</w:t>
      </w:r>
      <w:r>
        <w:rPr>
          <w:rFonts w:ascii="Times New Roman" w:hAnsi="Times New Roman"/>
          <w:color w:val="000000"/>
          <w:sz w:val="22"/>
          <w:szCs w:val="22"/>
        </w:rPr>
        <w:noBreakHyphen/>
        <w:t xml:space="preserve">2-gátlók csökkentik a szisztémás (és így valószínűleg az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endotheliális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)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prosztaciklin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képződését anélkül, hogy befolyásolnák 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thromboxán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képződést. Ezen megfigyelések klinikai vonatkozását még nem sikerült megállapítani.</w:t>
      </w:r>
    </w:p>
    <w:p w:rsidR="00FC5EC4" w:rsidRDefault="00FC5EC4">
      <w:pPr>
        <w:pStyle w:val="NormlWeb1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További </w:t>
      </w:r>
      <w:proofErr w:type="spellStart"/>
      <w:r>
        <w:rPr>
          <w:color w:val="000000"/>
          <w:sz w:val="22"/>
          <w:szCs w:val="22"/>
          <w:u w:val="single"/>
        </w:rPr>
        <w:t>gastrointestinalis</w:t>
      </w:r>
      <w:proofErr w:type="spellEnd"/>
      <w:r>
        <w:rPr>
          <w:color w:val="000000"/>
          <w:sz w:val="22"/>
          <w:szCs w:val="22"/>
          <w:u w:val="single"/>
        </w:rPr>
        <w:t xml:space="preserve"> biztonságossági adatok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Két, 12 hetes, kettős vak, endoszkópos vizsgálatban a </w:t>
      </w:r>
      <w:proofErr w:type="spellStart"/>
      <w:r>
        <w:rPr>
          <w:color w:val="000000"/>
          <w:sz w:val="22"/>
          <w:szCs w:val="22"/>
        </w:rPr>
        <w:t>gastroduodenalis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ulceratio</w:t>
      </w:r>
      <w:proofErr w:type="spellEnd"/>
      <w:r>
        <w:rPr>
          <w:color w:val="000000"/>
          <w:sz w:val="22"/>
          <w:szCs w:val="22"/>
        </w:rPr>
        <w:t xml:space="preserve"> kumulatív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szignifikánsan alacsonyabb volt azoknál a betegeknél, akiket napi egyszeri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mint azoknál, akik vagy napi kétszeri 500 mg </w:t>
      </w:r>
      <w:proofErr w:type="spellStart"/>
      <w:r>
        <w:rPr>
          <w:color w:val="000000"/>
          <w:sz w:val="22"/>
          <w:szCs w:val="22"/>
        </w:rPr>
        <w:t>naproxén</w:t>
      </w:r>
      <w:proofErr w:type="spellEnd"/>
      <w:r>
        <w:rPr>
          <w:color w:val="000000"/>
          <w:sz w:val="22"/>
          <w:szCs w:val="22"/>
        </w:rPr>
        <w:t xml:space="preserve">- vagy napi háromszori 800 mg </w:t>
      </w:r>
      <w:proofErr w:type="spellStart"/>
      <w:r>
        <w:rPr>
          <w:color w:val="000000"/>
          <w:sz w:val="22"/>
          <w:szCs w:val="22"/>
        </w:rPr>
        <w:t>ibuprofén</w:t>
      </w:r>
      <w:proofErr w:type="spellEnd"/>
      <w:r>
        <w:rPr>
          <w:color w:val="000000"/>
          <w:sz w:val="22"/>
          <w:szCs w:val="22"/>
        </w:rPr>
        <w:t xml:space="preserve">-kezelést kaptak. A </w:t>
      </w:r>
      <w:proofErr w:type="spellStart"/>
      <w:r>
        <w:rPr>
          <w:color w:val="000000"/>
          <w:sz w:val="22"/>
          <w:szCs w:val="22"/>
        </w:rPr>
        <w:t>placebóhoz</w:t>
      </w:r>
      <w:proofErr w:type="spellEnd"/>
      <w:r>
        <w:rPr>
          <w:color w:val="000000"/>
          <w:sz w:val="22"/>
          <w:szCs w:val="22"/>
        </w:rPr>
        <w:t xml:space="preserve"> képest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nőtt az </w:t>
      </w:r>
      <w:proofErr w:type="spellStart"/>
      <w:r>
        <w:rPr>
          <w:color w:val="000000"/>
          <w:sz w:val="22"/>
          <w:szCs w:val="22"/>
        </w:rPr>
        <w:t>ulceratio</w:t>
      </w:r>
      <w:proofErr w:type="spellEnd"/>
      <w:r>
        <w:rPr>
          <w:color w:val="000000"/>
          <w:sz w:val="22"/>
          <w:szCs w:val="22"/>
        </w:rPr>
        <w:t xml:space="preserve"> előfordulási gyakorisága.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Vesefunkciós vizsgálat időseknél</w:t>
      </w:r>
    </w:p>
    <w:p w:rsidR="00FC5EC4" w:rsidRDefault="00B71784">
      <w:pPr>
        <w:rPr>
          <w:rFonts w:eastAsia="Arial Unicode MS"/>
          <w:snapToGrid/>
          <w:color w:val="000000"/>
          <w:sz w:val="22"/>
          <w:szCs w:val="22"/>
        </w:rPr>
      </w:pPr>
      <w:r>
        <w:rPr>
          <w:rFonts w:eastAsia="Arial Unicode MS"/>
          <w:snapToGrid/>
          <w:color w:val="000000"/>
          <w:sz w:val="22"/>
          <w:szCs w:val="22"/>
        </w:rPr>
        <w:t xml:space="preserve">Egy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randomizált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, kettős vak, placebokontrollos, párhuzamos csoportokon végzett vizsgálat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etorikoxibbal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(90 mg),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celekoxibbal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(napi kétszer adott 200 mg),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naproxennel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(napi kétszer adott 500 mg) és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placebóval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végzett 15 napos kezelésnek a nátrium vizelettel történő kiválasztódására, a vérnyomásra és egyéb vesefunkciós paraméterekre kifejtett hatását értékelte olyan 60</w:t>
      </w:r>
      <w:r>
        <w:rPr>
          <w:rFonts w:eastAsia="Arial Unicode MS"/>
          <w:snapToGrid/>
          <w:color w:val="000000"/>
          <w:sz w:val="22"/>
          <w:szCs w:val="22"/>
        </w:rPr>
        <w:noBreakHyphen/>
        <w:t>85 éves betegekben, akiket napi 200 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mEq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nátrium diétára állítottak. A kezelés kéthetes időtartama alatt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etorikoxibnak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celekoxibnak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naproxennek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hasonló hatása volt a nátrium vizelettel történő kiválasztódására. Az összes aktív komparátor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placebóhoz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képest emelkedést mutatott a szisztolés vérnyomás tekintetében; bár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a 14. napon statisztikailag jelentős emelkedést okozott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celekoxibhoz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naproxenhez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képest (a szisztolés vérnyomás átlagos emelkedése a kiindulási értékhez képest: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7,7 Hgmm,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2,4 Hgmm,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3,6 Hgmm).</w:t>
      </w:r>
    </w:p>
    <w:p w:rsidR="00FC5EC4" w:rsidRDefault="00FC5EC4">
      <w:pPr>
        <w:rPr>
          <w:rFonts w:eastAsia="Arial Unicode MS"/>
          <w:snapToGrid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rFonts w:eastAsia="SimSun"/>
          <w:b/>
          <w:sz w:val="22"/>
          <w:szCs w:val="22"/>
          <w:lang w:eastAsia="zh-CN"/>
        </w:rPr>
      </w:pPr>
      <w:r>
        <w:rPr>
          <w:rFonts w:eastAsia="SimSun"/>
          <w:b/>
          <w:sz w:val="22"/>
          <w:szCs w:val="22"/>
          <w:lang w:eastAsia="zh-CN"/>
        </w:rPr>
        <w:t>5.2</w:t>
      </w:r>
      <w:r>
        <w:rPr>
          <w:rFonts w:eastAsia="SimSun"/>
          <w:b/>
          <w:sz w:val="22"/>
          <w:szCs w:val="22"/>
          <w:lang w:eastAsia="zh-CN"/>
        </w:rPr>
        <w:tab/>
      </w:r>
      <w:proofErr w:type="spellStart"/>
      <w:r>
        <w:rPr>
          <w:rFonts w:eastAsia="SimSun"/>
          <w:b/>
          <w:sz w:val="22"/>
          <w:szCs w:val="22"/>
          <w:lang w:eastAsia="zh-CN"/>
        </w:rPr>
        <w:t>Farmakokinetikai</w:t>
      </w:r>
      <w:proofErr w:type="spellEnd"/>
      <w:r>
        <w:rPr>
          <w:rFonts w:eastAsia="SimSun"/>
          <w:b/>
          <w:sz w:val="22"/>
          <w:szCs w:val="22"/>
          <w:lang w:eastAsia="zh-CN"/>
        </w:rPr>
        <w:t xml:space="preserve"> tulajdonságok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right="-2"/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Felszívódás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szájon át adagolt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jól felszívódik. Az abszolút </w:t>
      </w:r>
      <w:proofErr w:type="spellStart"/>
      <w:r>
        <w:rPr>
          <w:color w:val="000000"/>
          <w:sz w:val="22"/>
          <w:szCs w:val="22"/>
        </w:rPr>
        <w:t>biohasznosulás</w:t>
      </w:r>
      <w:proofErr w:type="spellEnd"/>
      <w:r>
        <w:rPr>
          <w:color w:val="000000"/>
          <w:sz w:val="22"/>
          <w:szCs w:val="22"/>
        </w:rPr>
        <w:t xml:space="preserve"> körülbelül 100%. Napi egyszeri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adagolással elért egyensúlyi állapotban a plazma csúcskoncentráció (mértani közép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  <w:vertAlign w:val="subscript"/>
        </w:rPr>
        <w:t> </w:t>
      </w:r>
      <w:r>
        <w:rPr>
          <w:color w:val="000000"/>
          <w:sz w:val="22"/>
          <w:szCs w:val="22"/>
        </w:rPr>
        <w:t>= 3,6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>/ml) felnőttekben, éhgyomorra történő adagolást követően kb. 1 óra után alakul ki (</w:t>
      </w:r>
      <w:proofErr w:type="spellStart"/>
      <w:r>
        <w:rPr>
          <w:color w:val="000000"/>
          <w:sz w:val="22"/>
          <w:szCs w:val="22"/>
        </w:rPr>
        <w:t>T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>). A görbe alatti terület (AUC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>) mértani átlaga 37,8 </w:t>
      </w:r>
      <w:proofErr w:type="spellStart"/>
      <w:r>
        <w:rPr>
          <w:color w:val="000000"/>
          <w:sz w:val="22"/>
          <w:szCs w:val="22"/>
        </w:rPr>
        <w:t>mikrogramm•h</w:t>
      </w:r>
      <w:proofErr w:type="spellEnd"/>
      <w:r>
        <w:rPr>
          <w:color w:val="000000"/>
          <w:sz w:val="22"/>
          <w:szCs w:val="22"/>
        </w:rPr>
        <w:t xml:space="preserve">/ml volt.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az egész klinikai dózistartományban lineáris </w:t>
      </w:r>
      <w:proofErr w:type="spellStart"/>
      <w:r>
        <w:rPr>
          <w:color w:val="000000"/>
          <w:sz w:val="22"/>
          <w:szCs w:val="22"/>
        </w:rPr>
        <w:t>farmakokinetikát</w:t>
      </w:r>
      <w:proofErr w:type="spellEnd"/>
      <w:r>
        <w:rPr>
          <w:color w:val="000000"/>
          <w:sz w:val="22"/>
          <w:szCs w:val="22"/>
        </w:rPr>
        <w:t xml:space="preserve"> mutat.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táplálék jelenléte (magas </w:t>
      </w:r>
      <w:proofErr w:type="spellStart"/>
      <w:r>
        <w:rPr>
          <w:color w:val="000000"/>
          <w:sz w:val="22"/>
          <w:szCs w:val="22"/>
        </w:rPr>
        <w:t>zsírtartalmú</w:t>
      </w:r>
      <w:proofErr w:type="spellEnd"/>
      <w:r>
        <w:rPr>
          <w:color w:val="000000"/>
          <w:sz w:val="22"/>
          <w:szCs w:val="22"/>
        </w:rPr>
        <w:t xml:space="preserve"> ételek) nem befolyásolta a 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felszívódásának mértékét. A feszívódás sebességét viszont befolyásolta, aminek eredményeként a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36%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 és a </w:t>
      </w:r>
      <w:proofErr w:type="spellStart"/>
      <w:r>
        <w:rPr>
          <w:color w:val="000000"/>
          <w:sz w:val="22"/>
          <w:szCs w:val="22"/>
        </w:rPr>
        <w:t>T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2 órával emelkedett. Ezek az adatok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nem szignifikánsak. Klinikai vizsgálatokban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étkezésektől függetlenül adagolták.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right="-2"/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Eloszlás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0,05</w:t>
      </w:r>
      <w:r>
        <w:rPr>
          <w:color w:val="000000"/>
          <w:sz w:val="22"/>
          <w:szCs w:val="22"/>
        </w:rPr>
        <w:noBreakHyphen/>
        <w:t>5 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>/ml koncentráció tartományban kb. 92%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ban</w:t>
      </w:r>
      <w:proofErr w:type="spellEnd"/>
      <w:r>
        <w:rPr>
          <w:color w:val="000000"/>
          <w:sz w:val="22"/>
          <w:szCs w:val="22"/>
        </w:rPr>
        <w:t xml:space="preserve"> kötődik a humán plazmafehérjékhez. Egyensúlyi („</w:t>
      </w:r>
      <w:proofErr w:type="spellStart"/>
      <w:r>
        <w:rPr>
          <w:color w:val="000000"/>
          <w:sz w:val="22"/>
          <w:szCs w:val="22"/>
        </w:rPr>
        <w:t>steady</w:t>
      </w:r>
      <w:r>
        <w:rPr>
          <w:color w:val="000000"/>
          <w:sz w:val="22"/>
          <w:szCs w:val="22"/>
        </w:rPr>
        <w:noBreakHyphen/>
        <w:t>state</w:t>
      </w:r>
      <w:proofErr w:type="spellEnd"/>
      <w:r>
        <w:rPr>
          <w:color w:val="000000"/>
          <w:sz w:val="22"/>
          <w:szCs w:val="22"/>
        </w:rPr>
        <w:t>”) állapotban mért megoszlási térfogata (</w:t>
      </w:r>
      <w:proofErr w:type="spellStart"/>
      <w:r>
        <w:rPr>
          <w:color w:val="000000"/>
          <w:sz w:val="22"/>
          <w:szCs w:val="22"/>
        </w:rPr>
        <w:t>V</w:t>
      </w:r>
      <w:r>
        <w:rPr>
          <w:color w:val="000000"/>
          <w:sz w:val="22"/>
          <w:szCs w:val="22"/>
          <w:vertAlign w:val="subscript"/>
        </w:rPr>
        <w:t>dss</w:t>
      </w:r>
      <w:proofErr w:type="spellEnd"/>
      <w:r>
        <w:rPr>
          <w:color w:val="000000"/>
          <w:sz w:val="22"/>
          <w:szCs w:val="22"/>
        </w:rPr>
        <w:t>) emberben kb. 120 liter.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patkányban és nyúlban átjut a placentán, illetve patkányban a vér-agy gáton is.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right="-2"/>
        <w:rPr>
          <w:rFonts w:eastAsia="SimSun"/>
          <w:sz w:val="22"/>
          <w:szCs w:val="22"/>
          <w:u w:val="single"/>
          <w:lang w:eastAsia="zh-CN"/>
        </w:rPr>
      </w:pPr>
      <w:proofErr w:type="spellStart"/>
      <w:r>
        <w:rPr>
          <w:rFonts w:eastAsia="SimSun"/>
          <w:sz w:val="22"/>
          <w:szCs w:val="22"/>
          <w:u w:val="single"/>
          <w:lang w:eastAsia="zh-CN"/>
        </w:rPr>
        <w:t>Biotranszformáció</w:t>
      </w:r>
      <w:proofErr w:type="spellEnd"/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nagymértékben </w:t>
      </w:r>
      <w:proofErr w:type="spellStart"/>
      <w:r>
        <w:rPr>
          <w:color w:val="000000"/>
          <w:sz w:val="22"/>
          <w:szCs w:val="22"/>
        </w:rPr>
        <w:t>metabolizálódik</w:t>
      </w:r>
      <w:proofErr w:type="spellEnd"/>
      <w:r>
        <w:rPr>
          <w:color w:val="000000"/>
          <w:sz w:val="22"/>
          <w:szCs w:val="22"/>
        </w:rPr>
        <w:t>, így a vizeletben az eredeti molekula kevesebb, mint 1%</w:t>
      </w:r>
      <w:r>
        <w:rPr>
          <w:color w:val="000000"/>
          <w:sz w:val="22"/>
          <w:szCs w:val="22"/>
        </w:rPr>
        <w:noBreakHyphen/>
        <w:t>a található csak meg. A metabolizmus fő útja a 6’</w:t>
      </w:r>
      <w:r>
        <w:rPr>
          <w:color w:val="000000"/>
          <w:sz w:val="22"/>
          <w:szCs w:val="22"/>
        </w:rPr>
        <w:noBreakHyphen/>
        <w:t xml:space="preserve">hidroximetil származék képződése, amit a CYP enzimek katalizálnak. A CYP3A4 hozzájárul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i</w:t>
      </w:r>
      <w:r>
        <w:rPr>
          <w:i/>
          <w:color w:val="000000"/>
          <w:sz w:val="22"/>
          <w:szCs w:val="22"/>
        </w:rPr>
        <w:t>n vivo</w:t>
      </w:r>
      <w:r>
        <w:rPr>
          <w:color w:val="000000"/>
          <w:sz w:val="22"/>
          <w:szCs w:val="22"/>
        </w:rPr>
        <w:t xml:space="preserve"> metabolizmusához. </w:t>
      </w:r>
      <w:r>
        <w:rPr>
          <w:i/>
          <w:color w:val="000000"/>
          <w:sz w:val="22"/>
          <w:szCs w:val="22"/>
        </w:rPr>
        <w:t>In vitro</w:t>
      </w:r>
      <w:r>
        <w:rPr>
          <w:color w:val="000000"/>
          <w:sz w:val="22"/>
          <w:szCs w:val="22"/>
        </w:rPr>
        <w:t xml:space="preserve"> vizsgálatok kimutatták, hogy a CYP2D6, CYP2C9, CYP1A2 és CYP2C19 enzimek szintén katalizálhatják a fő metabolikus utat, de a mennyiségi szerepüket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nem vizsgálták.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emberi szervezetben öt bomlásterméket azonosítottak. A fő </w:t>
      </w:r>
      <w:proofErr w:type="spellStart"/>
      <w:r>
        <w:rPr>
          <w:color w:val="000000"/>
          <w:sz w:val="22"/>
          <w:szCs w:val="22"/>
        </w:rPr>
        <w:t>metabolit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6’</w:t>
      </w:r>
      <w:r>
        <w:rPr>
          <w:color w:val="000000"/>
          <w:sz w:val="22"/>
          <w:szCs w:val="22"/>
        </w:rPr>
        <w:noBreakHyphen/>
        <w:t>karboxilsav származéka, amely a 6’</w:t>
      </w:r>
      <w:r>
        <w:rPr>
          <w:color w:val="000000"/>
          <w:sz w:val="22"/>
          <w:szCs w:val="22"/>
        </w:rPr>
        <w:noBreakHyphen/>
        <w:t>hidroximetil származék további oxidációja révén keletkezik. Ezeknek a fő anyagcseretermékeknek vagy nincs mérhető hatásuk, vagy mint COX</w:t>
      </w:r>
      <w:r>
        <w:rPr>
          <w:color w:val="000000"/>
          <w:sz w:val="22"/>
          <w:szCs w:val="22"/>
        </w:rPr>
        <w:noBreakHyphen/>
        <w:t>2 gátlók csak kis mértékben hatásosak. Az említett anyagcseretermékek egyike sem gátolja a COX</w:t>
      </w:r>
      <w:r>
        <w:rPr>
          <w:color w:val="000000"/>
          <w:sz w:val="22"/>
          <w:szCs w:val="22"/>
        </w:rPr>
        <w:noBreakHyphen/>
        <w:t>1</w:t>
      </w:r>
      <w:r>
        <w:rPr>
          <w:color w:val="000000"/>
          <w:sz w:val="22"/>
          <w:szCs w:val="22"/>
        </w:rPr>
        <w:noBreakHyphen/>
        <w:t>et.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right="-2"/>
        <w:rPr>
          <w:rFonts w:eastAsia="SimSun"/>
          <w:sz w:val="22"/>
          <w:szCs w:val="22"/>
          <w:u w:val="single"/>
          <w:lang w:eastAsia="zh-CN"/>
        </w:rPr>
      </w:pPr>
      <w:r>
        <w:rPr>
          <w:rFonts w:eastAsia="SimSun"/>
          <w:sz w:val="22"/>
          <w:szCs w:val="22"/>
          <w:u w:val="single"/>
          <w:lang w:eastAsia="zh-CN"/>
        </w:rPr>
        <w:t>Elimináció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Radioaktívan jelzett, egyszeri, 25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egészséges személyeknek történő intravénás beadását követően a radioaktivitás 70%</w:t>
      </w:r>
      <w:r>
        <w:rPr>
          <w:color w:val="000000"/>
          <w:sz w:val="22"/>
          <w:szCs w:val="22"/>
        </w:rPr>
        <w:noBreakHyphen/>
        <w:t xml:space="preserve">a </w:t>
      </w:r>
      <w:proofErr w:type="spellStart"/>
      <w:r>
        <w:rPr>
          <w:color w:val="000000"/>
          <w:sz w:val="22"/>
          <w:szCs w:val="22"/>
        </w:rPr>
        <w:t>a</w:t>
      </w:r>
      <w:proofErr w:type="spellEnd"/>
      <w:r>
        <w:rPr>
          <w:color w:val="000000"/>
          <w:sz w:val="22"/>
          <w:szCs w:val="22"/>
        </w:rPr>
        <w:t xml:space="preserve"> vizeletben, 20%</w:t>
      </w:r>
      <w:r>
        <w:rPr>
          <w:color w:val="000000"/>
          <w:sz w:val="22"/>
          <w:szCs w:val="22"/>
        </w:rPr>
        <w:noBreakHyphen/>
        <w:t>a pedig a székletben jelent meg, főleg anyagcseretermékek formájában. A beadott dózis kevesebb, mint 2%</w:t>
      </w:r>
      <w:r>
        <w:rPr>
          <w:color w:val="000000"/>
          <w:sz w:val="22"/>
          <w:szCs w:val="22"/>
        </w:rPr>
        <w:noBreakHyphen/>
        <w:t>a volt visszanyerhető változatlan formában.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kiválasztása szinte teljes egészében a metabolizmust követően a vesén keresztül valósul meg. Napi egyszeri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 mellett az egyensúlyi koncentráció hét napon belül kialakul, kb. 2</w:t>
      </w:r>
      <w:r>
        <w:rPr>
          <w:color w:val="000000"/>
          <w:sz w:val="22"/>
          <w:szCs w:val="22"/>
        </w:rPr>
        <w:noBreakHyphen/>
        <w:t>es akkumulációs ráta mellett, amely kb. 22 órás akkumulációs felezési időnek felel meg. Egy 25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 intravénás beadása után a becsült plazma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kb. 50 ml/perc.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right="-2"/>
        <w:rPr>
          <w:rFonts w:eastAsia="SimSun"/>
          <w:i/>
          <w:sz w:val="22"/>
          <w:szCs w:val="22"/>
          <w:u w:val="single"/>
          <w:lang w:eastAsia="zh-CN"/>
        </w:rPr>
      </w:pPr>
      <w:r>
        <w:rPr>
          <w:rFonts w:eastAsia="SimSun"/>
          <w:i/>
          <w:sz w:val="22"/>
          <w:szCs w:val="22"/>
          <w:u w:val="single"/>
          <w:lang w:eastAsia="zh-CN"/>
        </w:rPr>
        <w:t>Különleges betegcsoportok</w:t>
      </w:r>
    </w:p>
    <w:p w:rsidR="00FC5EC4" w:rsidRDefault="00FC5EC4">
      <w:pPr>
        <w:tabs>
          <w:tab w:val="left" w:pos="567"/>
        </w:tabs>
        <w:ind w:right="-2"/>
        <w:rPr>
          <w:rFonts w:eastAsia="SimSun"/>
          <w:sz w:val="22"/>
          <w:szCs w:val="22"/>
          <w:u w:val="single"/>
          <w:lang w:eastAsia="zh-CN"/>
        </w:rPr>
      </w:pPr>
    </w:p>
    <w:p w:rsidR="00FC5EC4" w:rsidRDefault="00B71784">
      <w:pPr>
        <w:keepNext/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Idősek</w:t>
      </w:r>
      <w:r>
        <w:rPr>
          <w:color w:val="000000"/>
          <w:sz w:val="22"/>
          <w:szCs w:val="22"/>
        </w:rPr>
        <w:t>:</w:t>
      </w:r>
    </w:p>
    <w:p w:rsidR="00FC5EC4" w:rsidRDefault="00B71784">
      <w:pPr>
        <w:keepNext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idős (65 éves, vagy annál idősebb) személyekben hasonló, mint fiatalokban.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Nemi eltérések</w:t>
      </w:r>
      <w:r>
        <w:rPr>
          <w:color w:val="000000"/>
          <w:sz w:val="22"/>
          <w:szCs w:val="22"/>
        </w:rPr>
        <w:t>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férfiakban és nőkben hasonló </w:t>
      </w:r>
      <w:proofErr w:type="spellStart"/>
      <w:r>
        <w:rPr>
          <w:color w:val="000000"/>
          <w:sz w:val="22"/>
          <w:szCs w:val="22"/>
        </w:rPr>
        <w:t>farmakokinetikát</w:t>
      </w:r>
      <w:proofErr w:type="spellEnd"/>
      <w:r>
        <w:rPr>
          <w:color w:val="000000"/>
          <w:sz w:val="22"/>
          <w:szCs w:val="22"/>
        </w:rPr>
        <w:t xml:space="preserve"> mutat.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Májkárosodás</w:t>
      </w:r>
      <w:r>
        <w:rPr>
          <w:color w:val="000000"/>
          <w:sz w:val="22"/>
          <w:szCs w:val="22"/>
        </w:rPr>
        <w:t>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Enyhe májkárosodásban (</w:t>
      </w:r>
      <w:proofErr w:type="spellStart"/>
      <w:r>
        <w:rPr>
          <w:color w:val="000000"/>
          <w:sz w:val="22"/>
          <w:szCs w:val="22"/>
        </w:rPr>
        <w:t>Child</w:t>
      </w:r>
      <w:r>
        <w:rPr>
          <w:color w:val="000000"/>
          <w:sz w:val="22"/>
          <w:szCs w:val="22"/>
        </w:rPr>
        <w:noBreakHyphen/>
        <w:t>Pugh</w:t>
      </w:r>
      <w:proofErr w:type="spellEnd"/>
      <w:r>
        <w:rPr>
          <w:color w:val="000000"/>
          <w:sz w:val="22"/>
          <w:szCs w:val="22"/>
        </w:rPr>
        <w:t xml:space="preserve"> pontszám: 5–6) szenvedő betegeknél, akiket napi egyszeri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az átlagos AUC (görbe alatti terület) kb. 16%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nagyobb volt, mint az azonos dózissal kezelt egészséges személyeknél. Közepesen 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7–9) szenvedő betegeknél, akiket </w:t>
      </w:r>
      <w:r>
        <w:rPr>
          <w:b/>
          <w:i/>
          <w:color w:val="000000"/>
          <w:sz w:val="22"/>
          <w:szCs w:val="22"/>
        </w:rPr>
        <w:t>minden második nap</w:t>
      </w:r>
      <w:r>
        <w:rPr>
          <w:color w:val="000000"/>
          <w:sz w:val="22"/>
          <w:szCs w:val="22"/>
        </w:rPr>
        <w:t xml:space="preserve">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az átlagos AUC hasonló volt, mint a napi egyszeri 60 mg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kapott egészséges egyéneknél, a napi egyszeri 30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nem tanulmányozták ebben a populációban. 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≥ 10) szenvedő betegekre vonatkozóan nem állnak rendelkezésre klinikai vagy </w:t>
      </w:r>
      <w:proofErr w:type="spellStart"/>
      <w:r>
        <w:rPr>
          <w:color w:val="000000"/>
          <w:sz w:val="22"/>
          <w:szCs w:val="22"/>
        </w:rPr>
        <w:t>farmakokinetikai</w:t>
      </w:r>
      <w:proofErr w:type="spellEnd"/>
      <w:r>
        <w:rPr>
          <w:color w:val="000000"/>
          <w:sz w:val="22"/>
          <w:szCs w:val="22"/>
        </w:rPr>
        <w:t xml:space="preserve"> adatok. (Lásd 4.2 és 4.3 pont.)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Vesekárosodás</w:t>
      </w:r>
      <w:r>
        <w:rPr>
          <w:color w:val="000000"/>
          <w:sz w:val="22"/>
          <w:szCs w:val="22"/>
        </w:rPr>
        <w:t>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Közepesen súlyos, illetve súlyos vesekárosodásban szenvedő betegeknél és terminális stádiumú, </w:t>
      </w:r>
      <w:proofErr w:type="spellStart"/>
      <w:r>
        <w:rPr>
          <w:color w:val="000000"/>
          <w:sz w:val="22"/>
          <w:szCs w:val="22"/>
        </w:rPr>
        <w:t>hemodializált</w:t>
      </w:r>
      <w:proofErr w:type="spellEnd"/>
      <w:r>
        <w:rPr>
          <w:color w:val="000000"/>
          <w:sz w:val="22"/>
          <w:szCs w:val="22"/>
        </w:rPr>
        <w:t xml:space="preserve"> vesebetegeknél az egyszeri dózisban adott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nem tért el jelentősen az egészséges egyéneknél megfigyelt értékektől. A </w:t>
      </w:r>
      <w:proofErr w:type="spellStart"/>
      <w:r>
        <w:rPr>
          <w:color w:val="000000"/>
          <w:sz w:val="22"/>
          <w:szCs w:val="22"/>
        </w:rPr>
        <w:t>hemodialízis</w:t>
      </w:r>
      <w:proofErr w:type="spellEnd"/>
      <w:r>
        <w:rPr>
          <w:color w:val="000000"/>
          <w:sz w:val="22"/>
          <w:szCs w:val="22"/>
        </w:rPr>
        <w:t xml:space="preserve"> csak elhanyagolható mértékben járult hozzá az eliminációhoz (a dialízis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kb. 50 ml/perc volt). (Lásd 4.3 és 4.4 pont.)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Gyermekek és serdülők</w:t>
      </w:r>
      <w:r>
        <w:rPr>
          <w:color w:val="000000"/>
          <w:sz w:val="22"/>
          <w:szCs w:val="22"/>
        </w:rPr>
        <w:t>: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 xml:space="preserve"> gyermekeken (&lt; 12 éves) nem tanulmányozták.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 12 évesnél idősebb gyermekek és serdülők (12–17 évesek) bevonásával végzett </w:t>
      </w:r>
      <w:proofErr w:type="spellStart"/>
      <w:r>
        <w:rPr>
          <w:color w:val="000000"/>
          <w:sz w:val="22"/>
          <w:szCs w:val="22"/>
        </w:rPr>
        <w:t>farmakokinetikai</w:t>
      </w:r>
      <w:proofErr w:type="spellEnd"/>
      <w:r>
        <w:rPr>
          <w:color w:val="000000"/>
          <w:sz w:val="22"/>
          <w:szCs w:val="22"/>
        </w:rPr>
        <w:t xml:space="preserve"> vizsgálatban (n = 16) a napi egyszeri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40–60 kg testsúlyú, és a napi egyszeri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60 kg</w:t>
      </w:r>
      <w:r>
        <w:rPr>
          <w:color w:val="000000"/>
          <w:sz w:val="22"/>
          <w:szCs w:val="22"/>
        </w:rPr>
        <w:noBreakHyphen/>
        <w:t xml:space="preserve">nál nagyobb testsúlyú serdülőkben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hasonló volt, mint a napi egyszeri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felnőttekben.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biztonságosságát és hatékonyságát gyermekekben nem állapították meg (lásd 4.2 pont).</w:t>
      </w:r>
    </w:p>
    <w:p w:rsidR="00FC5EC4" w:rsidRDefault="00FC5EC4">
      <w:pPr>
        <w:rPr>
          <w:color w:val="000000"/>
          <w:sz w:val="22"/>
          <w:szCs w:val="22"/>
          <w:shd w:val="clear" w:color="auto" w:fill="FFFFFF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5.3</w:t>
      </w:r>
      <w:r>
        <w:rPr>
          <w:b/>
          <w:snapToGrid/>
          <w:sz w:val="22"/>
          <w:szCs w:val="22"/>
        </w:rPr>
        <w:tab/>
        <w:t xml:space="preserve">A </w:t>
      </w:r>
      <w:proofErr w:type="spellStart"/>
      <w:r>
        <w:rPr>
          <w:b/>
          <w:snapToGrid/>
          <w:sz w:val="22"/>
          <w:szCs w:val="22"/>
        </w:rPr>
        <w:t>preklinikai</w:t>
      </w:r>
      <w:proofErr w:type="spellEnd"/>
      <w:r>
        <w:rPr>
          <w:b/>
          <w:snapToGrid/>
          <w:sz w:val="22"/>
          <w:szCs w:val="22"/>
        </w:rPr>
        <w:t xml:space="preserve"> biztonságossági vizsgálatok eredményei</w:t>
      </w:r>
    </w:p>
    <w:p w:rsidR="00FC5EC4" w:rsidRDefault="00FC5EC4">
      <w:pPr>
        <w:rPr>
          <w:color w:val="000000"/>
          <w:sz w:val="22"/>
          <w:szCs w:val="22"/>
          <w:shd w:val="clear" w:color="auto" w:fill="FFFFFF"/>
        </w:rPr>
      </w:pPr>
    </w:p>
    <w:p w:rsidR="00FC5EC4" w:rsidRDefault="00B7178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Preklinikai</w:t>
      </w:r>
      <w:proofErr w:type="spellEnd"/>
      <w:r>
        <w:rPr>
          <w:color w:val="000000"/>
          <w:sz w:val="22"/>
          <w:szCs w:val="22"/>
        </w:rPr>
        <w:t xml:space="preserve"> vizsgálatokban kimutatták, hogy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</w:t>
      </w:r>
      <w:proofErr w:type="spellStart"/>
      <w:r>
        <w:rPr>
          <w:color w:val="000000"/>
          <w:sz w:val="22"/>
          <w:szCs w:val="22"/>
        </w:rPr>
        <w:t>genotoxikus</w:t>
      </w:r>
      <w:proofErr w:type="spellEnd"/>
      <w:r>
        <w:rPr>
          <w:color w:val="000000"/>
          <w:sz w:val="22"/>
          <w:szCs w:val="22"/>
        </w:rPr>
        <w:t xml:space="preserve">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egerekben nem volt karcinogén. A szisztémás expozíció szerinti napi humán dózis [90 mg] több mint kétszeresével, kb. két éven át naponta kezelt patkányok májsejtjeiben és a pajzsmirigy </w:t>
      </w:r>
      <w:proofErr w:type="spellStart"/>
      <w:r>
        <w:rPr>
          <w:color w:val="000000"/>
          <w:sz w:val="22"/>
          <w:szCs w:val="22"/>
        </w:rPr>
        <w:t>follicularis</w:t>
      </w:r>
      <w:proofErr w:type="spellEnd"/>
      <w:r>
        <w:rPr>
          <w:color w:val="000000"/>
          <w:sz w:val="22"/>
          <w:szCs w:val="22"/>
        </w:rPr>
        <w:t xml:space="preserve"> sejtjeiben </w:t>
      </w:r>
      <w:proofErr w:type="spellStart"/>
      <w:r>
        <w:rPr>
          <w:color w:val="000000"/>
          <w:sz w:val="22"/>
          <w:szCs w:val="22"/>
        </w:rPr>
        <w:t>adenomák</w:t>
      </w:r>
      <w:proofErr w:type="spellEnd"/>
      <w:r>
        <w:rPr>
          <w:color w:val="000000"/>
          <w:sz w:val="22"/>
          <w:szCs w:val="22"/>
        </w:rPr>
        <w:t xml:space="preserve"> alakultak ki. A patkányok májsejtjeiben és a pajzsmirigy </w:t>
      </w:r>
      <w:proofErr w:type="spellStart"/>
      <w:r>
        <w:rPr>
          <w:color w:val="000000"/>
          <w:sz w:val="22"/>
          <w:szCs w:val="22"/>
        </w:rPr>
        <w:t>follicularis</w:t>
      </w:r>
      <w:proofErr w:type="spellEnd"/>
      <w:r>
        <w:rPr>
          <w:color w:val="000000"/>
          <w:sz w:val="22"/>
          <w:szCs w:val="22"/>
        </w:rPr>
        <w:t xml:space="preserve"> sejtjeiben megfigyelt </w:t>
      </w:r>
      <w:proofErr w:type="spellStart"/>
      <w:r>
        <w:rPr>
          <w:color w:val="000000"/>
          <w:sz w:val="22"/>
          <w:szCs w:val="22"/>
        </w:rPr>
        <w:t>adenomák</w:t>
      </w:r>
      <w:proofErr w:type="spellEnd"/>
      <w:r>
        <w:rPr>
          <w:color w:val="000000"/>
          <w:sz w:val="22"/>
          <w:szCs w:val="22"/>
        </w:rPr>
        <w:t xml:space="preserve"> a CYP májenzimek indukciójának fajspecifikus következményei. Az emberi vizsgálatokban nem észlelték a máj CYP3A </w:t>
      </w:r>
      <w:proofErr w:type="spellStart"/>
      <w:r>
        <w:rPr>
          <w:color w:val="000000"/>
          <w:sz w:val="22"/>
          <w:szCs w:val="22"/>
        </w:rPr>
        <w:t>enzimeinek</w:t>
      </w:r>
      <w:proofErr w:type="spellEnd"/>
      <w:r>
        <w:rPr>
          <w:color w:val="000000"/>
          <w:sz w:val="22"/>
          <w:szCs w:val="22"/>
        </w:rPr>
        <w:t xml:space="preserve"> indukcióját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Patkányokban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toxicitása a dózis és az expozíciós idő növelésével fokozódott. Egy 14 hetes toxicitási vizsgálatban a humán terápiás dózisnál nagyobb dózisokban alkalmazott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fekélyeket okozott. Egy 53, illetve 106 hetes toxicitási vizsgálatban, a humán terápiás adagokhoz hasonló expozíció során is megfigyeltek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fekélyeket. Magas expozíció esetén kutyában vese</w:t>
      </w:r>
      <w:r>
        <w:rPr>
          <w:color w:val="000000"/>
          <w:sz w:val="22"/>
          <w:szCs w:val="22"/>
        </w:rPr>
        <w:noBreakHyphen/>
        <w:t xml:space="preserve"> és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rendellenességek mutatkoztak.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patkányokon végzett reprodukciós toxicitási vizsgálatok során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15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/nap dózisban alkalmazva nem volt </w:t>
      </w:r>
      <w:proofErr w:type="spellStart"/>
      <w:r>
        <w:rPr>
          <w:color w:val="000000"/>
          <w:sz w:val="22"/>
          <w:szCs w:val="22"/>
        </w:rPr>
        <w:t>teratogén</w:t>
      </w:r>
      <w:proofErr w:type="spellEnd"/>
      <w:r>
        <w:rPr>
          <w:color w:val="000000"/>
          <w:sz w:val="22"/>
          <w:szCs w:val="22"/>
        </w:rPr>
        <w:t xml:space="preserve"> hatású (ez az adag mintegy 1,5</w:t>
      </w:r>
      <w:r>
        <w:rPr>
          <w:color w:val="000000"/>
          <w:sz w:val="22"/>
          <w:szCs w:val="22"/>
        </w:rPr>
        <w:noBreakHyphen/>
        <w:t xml:space="preserve">szerese a napi humán dózisnak [90 mg], szisztémás expozíció alapján). Nyulaknál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elváltozások számának kezeléssel összefüggő emelkedése volt megfigyelhető a napi emberi klinikai dózis expozíció [90 mg] alatti expozícióknál. Mindazonáltal nem figyeltek meg a kezeléssel összefüggő külső vagy a vázrendszerben jelentkező magzati </w:t>
      </w:r>
      <w:proofErr w:type="spellStart"/>
      <w:r>
        <w:rPr>
          <w:color w:val="000000"/>
          <w:sz w:val="22"/>
          <w:szCs w:val="22"/>
        </w:rPr>
        <w:t>malformációkat</w:t>
      </w:r>
      <w:proofErr w:type="spellEnd"/>
      <w:r>
        <w:rPr>
          <w:color w:val="000000"/>
          <w:sz w:val="22"/>
          <w:szCs w:val="22"/>
        </w:rPr>
        <w:t>. Patkányoknál és nyulaknál megfigyelhető volt a posztimplantációs veszteség dózisfüggő növekedése az emberi expozíció 1,5</w:t>
      </w:r>
      <w:r>
        <w:rPr>
          <w:color w:val="000000"/>
          <w:sz w:val="22"/>
          <w:szCs w:val="22"/>
        </w:rPr>
        <w:noBreakHyphen/>
        <w:t>szeresét elérő, illetve azt meghaladó expozíciók esetén (lásd 4.3 és 4.6 pont).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Laktáló patkányok tejébe a plazmakoncentráció kb. kétszeresének megfelelő mennyiségű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választódik</w:t>
      </w:r>
      <w:proofErr w:type="spellEnd"/>
      <w:r>
        <w:rPr>
          <w:color w:val="000000"/>
          <w:sz w:val="22"/>
          <w:szCs w:val="22"/>
        </w:rPr>
        <w:t xml:space="preserve"> ki. A laktáció alatt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patkányok kölykeinek testtömege csökkent.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aps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</w:t>
      </w:r>
      <w:r>
        <w:rPr>
          <w:b/>
          <w:snapToGrid/>
          <w:sz w:val="22"/>
          <w:szCs w:val="22"/>
        </w:rPr>
        <w:tab/>
        <w:t xml:space="preserve">GYÓGYSZERÉSZETI </w:t>
      </w:r>
      <w:bookmarkStart w:id="1" w:name="itt"/>
      <w:bookmarkEnd w:id="1"/>
      <w:r>
        <w:rPr>
          <w:b/>
          <w:snapToGrid/>
          <w:sz w:val="22"/>
          <w:szCs w:val="22"/>
        </w:rPr>
        <w:t>JELLEMZŐK</w:t>
      </w:r>
    </w:p>
    <w:p w:rsidR="00FC5EC4" w:rsidRDefault="00FC5EC4">
      <w:pPr>
        <w:keepNext/>
        <w:ind w:left="567" w:hanging="567"/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6.1</w:t>
      </w:r>
      <w:r>
        <w:rPr>
          <w:b/>
          <w:snapToGrid/>
          <w:sz w:val="22"/>
          <w:szCs w:val="22"/>
        </w:rPr>
        <w:tab/>
        <w:t>Segédanyagok felsorolása</w:t>
      </w:r>
    </w:p>
    <w:p w:rsidR="00FC5EC4" w:rsidRDefault="00FC5EC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pStyle w:val="NormlWeb2"/>
        <w:spacing w:before="0" w:after="0"/>
        <w:rPr>
          <w:rFonts w:ascii="Times New Roman" w:hAnsi="Times New Roman"/>
          <w:i/>
          <w:color w:val="000000"/>
          <w:sz w:val="22"/>
          <w:szCs w:val="22"/>
        </w:rPr>
      </w:pPr>
      <w:r>
        <w:rPr>
          <w:rFonts w:ascii="Times New Roman" w:hAnsi="Times New Roman"/>
          <w:i/>
          <w:color w:val="000000"/>
          <w:sz w:val="22"/>
          <w:szCs w:val="22"/>
        </w:rPr>
        <w:t>Tabletta mag: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mikrokristályos cellulóz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kalcium-hidrogén-foszfát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kroszkarmellóz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-nátrium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nátrium-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sztearil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fumarát</w:t>
      </w:r>
      <w:proofErr w:type="spellEnd"/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vízmentes kolloid szilícium-dioxid</w:t>
      </w:r>
    </w:p>
    <w:p w:rsidR="00FC5EC4" w:rsidRDefault="00FC5EC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pStyle w:val="NormlWeb2"/>
        <w:spacing w:before="0" w:after="0"/>
        <w:rPr>
          <w:rFonts w:ascii="Times New Roman" w:hAnsi="Times New Roman"/>
          <w:i/>
          <w:color w:val="000000"/>
          <w:sz w:val="22"/>
          <w:szCs w:val="22"/>
        </w:rPr>
      </w:pPr>
      <w:r>
        <w:rPr>
          <w:rFonts w:ascii="Times New Roman" w:hAnsi="Times New Roman"/>
          <w:i/>
          <w:color w:val="000000"/>
          <w:sz w:val="22"/>
          <w:szCs w:val="22"/>
        </w:rPr>
        <w:t>Filmbevonat: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poli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(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vinil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-alkohol)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titán-dioxid (E171)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makrogol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3000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talkum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Roticox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60 mg filmtabletta sárga vas-oxidot (E172) is tartalmaz.</w:t>
      </w:r>
    </w:p>
    <w:p w:rsidR="00FC5EC4" w:rsidRDefault="00B71784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Roticox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90 mg filmtabletta és a Roticox120 mg filmtabletta vörös vas-oxidot (E172) is tartalmaz.</w:t>
      </w:r>
    </w:p>
    <w:p w:rsidR="00FC5EC4" w:rsidRDefault="00FC5EC4">
      <w:pPr>
        <w:rPr>
          <w:i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6.2</w:t>
      </w:r>
      <w:r>
        <w:rPr>
          <w:b/>
          <w:snapToGrid/>
          <w:sz w:val="22"/>
          <w:szCs w:val="22"/>
        </w:rPr>
        <w:tab/>
        <w:t>Inkompatibilitások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értelmezhető.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6.3</w:t>
      </w:r>
      <w:r>
        <w:rPr>
          <w:b/>
          <w:snapToGrid/>
          <w:sz w:val="22"/>
          <w:szCs w:val="22"/>
        </w:rPr>
        <w:tab/>
        <w:t>Felhasználhatósági időtartam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 év.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6.4</w:t>
      </w:r>
      <w:r>
        <w:rPr>
          <w:b/>
          <w:snapToGrid/>
          <w:sz w:val="22"/>
          <w:szCs w:val="22"/>
        </w:rPr>
        <w:tab/>
        <w:t>Különleges tárolási előírások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Ez a gyógyszer nem igényel különleges tárolást.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6.5</w:t>
      </w:r>
      <w:r>
        <w:rPr>
          <w:b/>
          <w:snapToGrid/>
          <w:sz w:val="22"/>
          <w:szCs w:val="22"/>
        </w:rPr>
        <w:tab/>
        <w:t>Csomagolás típusa és kiszerelése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bCs/>
          <w:i/>
          <w:color w:val="000000"/>
          <w:sz w:val="22"/>
          <w:szCs w:val="22"/>
        </w:rPr>
        <w:t>Roticox</w:t>
      </w:r>
      <w:proofErr w:type="spellEnd"/>
      <w:r>
        <w:rPr>
          <w:i/>
          <w:color w:val="000000"/>
          <w:sz w:val="22"/>
          <w:szCs w:val="22"/>
        </w:rPr>
        <w:t xml:space="preserve"> 30 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 db, 14 db, 28 db, 30 db, 56 db, 60 db, 84 db, 98 db vagy 100 db filmtabletta (OPA/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/PVC//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) buborékcsomagolásban, dobozban.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bCs/>
          <w:i/>
          <w:color w:val="000000"/>
          <w:sz w:val="22"/>
          <w:szCs w:val="22"/>
        </w:rPr>
        <w:t>Roticox</w:t>
      </w:r>
      <w:proofErr w:type="spellEnd"/>
      <w:r>
        <w:rPr>
          <w:i/>
          <w:color w:val="000000"/>
          <w:sz w:val="22"/>
          <w:szCs w:val="22"/>
        </w:rPr>
        <w:t xml:space="preserve"> 60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 db, 14 db, 20 db, 28 db, 30 db, 50 db, 56 db, 60 db, 84 db, 98 db vagy 100 db filmtabletta (OPA/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/PVC//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) buborékcsomagolásban, dobozban.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bCs/>
          <w:i/>
          <w:color w:val="000000"/>
          <w:sz w:val="22"/>
          <w:szCs w:val="22"/>
        </w:rPr>
        <w:t>Roticox</w:t>
      </w:r>
      <w:proofErr w:type="spellEnd"/>
      <w:r>
        <w:rPr>
          <w:i/>
          <w:color w:val="000000"/>
          <w:sz w:val="22"/>
          <w:szCs w:val="22"/>
        </w:rPr>
        <w:t xml:space="preserve"> 90 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 db, 7 db, 14 db, 20 db, 28 db, 30 db, 50 db, 56 db, 60 db, 84 db, 98 db vagy 100 db filmtabletta (OPA/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/PVC//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) buborékcsomagolásban, dobozban.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i/>
          <w:color w:val="000000"/>
          <w:sz w:val="22"/>
          <w:szCs w:val="22"/>
        </w:rPr>
      </w:pPr>
      <w:proofErr w:type="spellStart"/>
      <w:r>
        <w:rPr>
          <w:bCs/>
          <w:i/>
          <w:color w:val="000000"/>
          <w:sz w:val="22"/>
          <w:szCs w:val="22"/>
        </w:rPr>
        <w:t>Roticox</w:t>
      </w:r>
      <w:proofErr w:type="spellEnd"/>
      <w:r>
        <w:rPr>
          <w:i/>
          <w:color w:val="000000"/>
          <w:sz w:val="22"/>
          <w:szCs w:val="22"/>
        </w:rPr>
        <w:t xml:space="preserve"> 120 mg filmtabletta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 db,7 db, 14 db, 20 db, 28 db, 30 db, 50 db, 56 db, 60 db, 84 db, 98 db vagy 100 db filmtabletta (OPA/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/PVC//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) buborékcsomagolásban, dobozban.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feltétlenül mindegyik kiszerelés kerül kereskedelmi forgalomba.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keepNext/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6.6</w:t>
      </w:r>
      <w:r>
        <w:rPr>
          <w:b/>
          <w:snapToGrid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:rsidR="00FC5EC4" w:rsidRDefault="00FC5EC4">
      <w:pPr>
        <w:keepNext/>
        <w:rPr>
          <w:color w:val="000000"/>
          <w:sz w:val="22"/>
          <w:szCs w:val="22"/>
        </w:rPr>
      </w:pPr>
    </w:p>
    <w:p w:rsidR="00FC5EC4" w:rsidRDefault="00B71784">
      <w:pPr>
        <w:keepNext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Nincsenek különleges előírások.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bCs/>
          <w:color w:val="000000"/>
          <w:sz w:val="22"/>
          <w:szCs w:val="22"/>
        </w:rPr>
      </w:pPr>
      <w:r>
        <w:rPr>
          <w:snapToGrid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B71784">
      <w:pPr>
        <w:rPr>
          <w:b/>
          <w:snapToGrid/>
          <w:color w:val="000000"/>
          <w:sz w:val="22"/>
          <w:szCs w:val="22"/>
          <w:lang w:eastAsia="de-DE"/>
        </w:rPr>
      </w:pPr>
      <w:r>
        <w:rPr>
          <w:b/>
          <w:color w:val="000000"/>
          <w:sz w:val="22"/>
          <w:szCs w:val="22"/>
        </w:rPr>
        <w:t xml:space="preserve">Megjegyzés </w:t>
      </w:r>
      <w:r>
        <w:rPr>
          <w:color w:val="000000"/>
          <w:sz w:val="22"/>
          <w:szCs w:val="22"/>
        </w:rPr>
        <w:sym w:font="Wingdings" w:char="F058"/>
      </w:r>
      <w:r>
        <w:rPr>
          <w:color w:val="000000"/>
          <w:sz w:val="22"/>
          <w:szCs w:val="22"/>
        </w:rPr>
        <w:t xml:space="preserve"> (egy keresztes)</w:t>
      </w:r>
    </w:p>
    <w:p w:rsidR="00FC5EC4" w:rsidRDefault="00B71784">
      <w:pP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Osztályozás: II. csoport</w:t>
      </w: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Kizárólag orvosi rendelvényhez kötött gyógyszer (V).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7.</w:t>
      </w:r>
      <w:r>
        <w:rPr>
          <w:b/>
          <w:snapToGrid/>
          <w:sz w:val="22"/>
          <w:szCs w:val="22"/>
        </w:rPr>
        <w:tab/>
        <w:t>A FORGALOMBA HOZATALI ENGEDÉLY JOGOSULTJA</w:t>
      </w:r>
    </w:p>
    <w:p w:rsidR="00FC5EC4" w:rsidRDefault="00FC5EC4">
      <w:pPr>
        <w:rPr>
          <w:bCs/>
          <w:color w:val="000000"/>
          <w:sz w:val="22"/>
          <w:szCs w:val="22"/>
        </w:rPr>
      </w:pPr>
    </w:p>
    <w:p w:rsidR="00FC5EC4" w:rsidRDefault="00B71784">
      <w:pPr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KRKA, </w:t>
      </w:r>
      <w:proofErr w:type="spellStart"/>
      <w:r>
        <w:rPr>
          <w:bCs/>
          <w:color w:val="000000"/>
          <w:sz w:val="22"/>
          <w:szCs w:val="22"/>
        </w:rPr>
        <w:t>d.d</w:t>
      </w:r>
      <w:proofErr w:type="spellEnd"/>
      <w:r>
        <w:rPr>
          <w:bCs/>
          <w:color w:val="000000"/>
          <w:sz w:val="22"/>
          <w:szCs w:val="22"/>
        </w:rPr>
        <w:t xml:space="preserve">., Novo </w:t>
      </w:r>
      <w:proofErr w:type="spellStart"/>
      <w:r>
        <w:rPr>
          <w:bCs/>
          <w:color w:val="000000"/>
          <w:sz w:val="22"/>
          <w:szCs w:val="22"/>
        </w:rPr>
        <w:t>mesto</w:t>
      </w:r>
      <w:proofErr w:type="spellEnd"/>
      <w:r>
        <w:rPr>
          <w:bCs/>
          <w:color w:val="000000"/>
          <w:sz w:val="22"/>
          <w:szCs w:val="22"/>
        </w:rPr>
        <w:t xml:space="preserve">, </w:t>
      </w:r>
      <w:proofErr w:type="spellStart"/>
      <w:r>
        <w:rPr>
          <w:bCs/>
          <w:color w:val="000000"/>
          <w:sz w:val="22"/>
          <w:szCs w:val="22"/>
        </w:rPr>
        <w:t>Šmarješka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proofErr w:type="spellStart"/>
      <w:r>
        <w:rPr>
          <w:bCs/>
          <w:color w:val="000000"/>
          <w:sz w:val="22"/>
          <w:szCs w:val="22"/>
        </w:rPr>
        <w:t>cesta</w:t>
      </w:r>
      <w:proofErr w:type="spellEnd"/>
      <w:r>
        <w:rPr>
          <w:bCs/>
          <w:color w:val="000000"/>
          <w:sz w:val="22"/>
          <w:szCs w:val="22"/>
        </w:rPr>
        <w:t xml:space="preserve"> 6, 8501 Novo </w:t>
      </w:r>
      <w:proofErr w:type="spellStart"/>
      <w:r>
        <w:rPr>
          <w:bCs/>
          <w:color w:val="000000"/>
          <w:sz w:val="22"/>
          <w:szCs w:val="22"/>
        </w:rPr>
        <w:t>mesto</w:t>
      </w:r>
      <w:proofErr w:type="spellEnd"/>
      <w:r>
        <w:rPr>
          <w:bCs/>
          <w:color w:val="000000"/>
          <w:sz w:val="22"/>
          <w:szCs w:val="22"/>
        </w:rPr>
        <w:t>, Szlovénia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8.</w:t>
      </w:r>
      <w:r>
        <w:rPr>
          <w:b/>
          <w:snapToGrid/>
          <w:sz w:val="22"/>
          <w:szCs w:val="22"/>
        </w:rPr>
        <w:tab/>
        <w:t>A FORGALOMBA HOZATALI ENGEDÉLY SZÁMAI</w:t>
      </w:r>
    </w:p>
    <w:p w:rsidR="00FC5EC4" w:rsidRDefault="00FC5EC4">
      <w:pPr>
        <w:ind w:left="1985" w:hanging="1985"/>
        <w:rPr>
          <w:sz w:val="22"/>
          <w:szCs w:val="22"/>
        </w:rPr>
      </w:pPr>
    </w:p>
    <w:p w:rsidR="00FC5EC4" w:rsidRDefault="00B71784">
      <w:pPr>
        <w:pStyle w:val="NormlWeb"/>
        <w:spacing w:before="0" w:after="0"/>
        <w:rPr>
          <w:rFonts w:ascii="Times New Roman" w:hAnsi="Times New Roman"/>
          <w:color w:val="000000"/>
          <w:sz w:val="22"/>
          <w:szCs w:val="22"/>
          <w:u w:val="single"/>
        </w:rPr>
      </w:pP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>Roticox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 xml:space="preserve"> 30 mg filmtabletta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OGYI-T-23097/01              7 ×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OGYI-T-23097/02              14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OGYI-T-23097/03              28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OGYI-T-23097/04              30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OGYI-T-23097/05              56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OGYI-T-23097/06              60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OGYI-T-23097/07              84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OGYI-T-23097/08              98 ×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OGYI-T-23097/09            100 ×    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FC5EC4">
      <w:pPr>
        <w:pStyle w:val="NormlWeb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pStyle w:val="NormlWeb"/>
        <w:spacing w:before="0" w:after="0"/>
        <w:rPr>
          <w:rFonts w:ascii="Times New Roman" w:hAnsi="Times New Roman"/>
          <w:color w:val="000000"/>
          <w:sz w:val="22"/>
          <w:szCs w:val="22"/>
          <w:u w:val="single"/>
        </w:rPr>
      </w:pP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>Roticox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 xml:space="preserve"> 60 mg filmtabletta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OGYI-T-23097/10               7 × 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OGYI-T-23097/11               14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OGYI-T-23097/12               20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OGYI-T-23097/13               28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OGYI-T-23097/14               30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OGYI-T-23097/15               50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OGYI-T-23097/16               56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OGYI-T-23097/17               60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OGYI-T-23097/18               84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OGYI-T-23097/19               98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OGYI-T-23097/20               100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FC5EC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u w:val="single"/>
        </w:rPr>
      </w:pP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>Roticox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 xml:space="preserve"> 90 mg filmtabletta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OGYI-T-23097/21               5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OGYI-T-23097/22               7 ×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OGYI-T-23097/23               14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OGYI-T-23097/24               20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OGYI-T-23097/25               28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OGYI-T-23097/26               30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OGYI-T-23097/27               50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OGYI-T-23097/28               56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OGYI-T-23097/29               60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OGYI-T-23097/30               84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OGYI-T-23097/31               98 ×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OGYI-T-23097/32               100 ×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FC5EC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FC5EC4" w:rsidRDefault="00B71784">
      <w:pPr>
        <w:pStyle w:val="NormlWeb"/>
        <w:keepNext/>
        <w:spacing w:before="0" w:after="0"/>
        <w:jc w:val="both"/>
        <w:rPr>
          <w:rFonts w:ascii="Times New Roman" w:hAnsi="Times New Roman"/>
          <w:color w:val="000000"/>
          <w:sz w:val="22"/>
          <w:szCs w:val="22"/>
          <w:u w:val="single"/>
        </w:rPr>
      </w:pP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>Roticox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  <w:u w:val="single"/>
        </w:rPr>
        <w:t xml:space="preserve"> 120 mg filmtabletta</w:t>
      </w:r>
    </w:p>
    <w:p w:rsidR="00FC5EC4" w:rsidRDefault="00B71784">
      <w:pPr>
        <w:pStyle w:val="NormlWeb"/>
        <w:keepNext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OGYI-T-23097/33               5 ×  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OGYI-T-23097/34               7 ×  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OGYI-T-23097/35               14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OGYI-T-23097/36               20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OGYI-T-23097/37               28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OGYI-T-23097/38               30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OGYI-T-23097/39               56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OGYI-T-23097/40               60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OGYI-T-23097/41               84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OGYI-T-23097/42               98 ×  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Style w:val="Kiemels2"/>
          <w:rFonts w:ascii="Times New Roman" w:hAnsi="Times New Roman"/>
          <w:b w:val="0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OGYI-T-23097/43               100 ×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B71784">
      <w:pPr>
        <w:pStyle w:val="NormlWeb"/>
        <w:spacing w:before="0" w:after="0"/>
        <w:jc w:val="both"/>
        <w:rPr>
          <w:rStyle w:val="Kiemels2"/>
          <w:rFonts w:ascii="Times New Roman" w:hAnsi="Times New Roman"/>
          <w:b w:val="0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OGYI-T-23097/44               50 ×          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FC5EC4" w:rsidRDefault="00FC5EC4">
      <w:pPr>
        <w:ind w:left="1985" w:hanging="1985"/>
        <w:rPr>
          <w:sz w:val="22"/>
          <w:szCs w:val="22"/>
        </w:rPr>
      </w:pPr>
    </w:p>
    <w:p w:rsidR="00FC5EC4" w:rsidRDefault="00FC5EC4">
      <w:pPr>
        <w:ind w:left="1985" w:hanging="1985"/>
        <w:rPr>
          <w:sz w:val="22"/>
          <w:szCs w:val="22"/>
        </w:rPr>
      </w:pPr>
    </w:p>
    <w:p w:rsidR="00FC5EC4" w:rsidRDefault="00B71784">
      <w:pPr>
        <w:tabs>
          <w:tab w:val="left" w:pos="567"/>
        </w:tabs>
        <w:ind w:left="567" w:hanging="567"/>
        <w:outlineLvl w:val="0"/>
        <w:rPr>
          <w:b/>
          <w:snapToGrid/>
          <w:sz w:val="22"/>
          <w:szCs w:val="22"/>
        </w:rPr>
      </w:pPr>
      <w:r>
        <w:rPr>
          <w:b/>
          <w:snapToGrid/>
          <w:sz w:val="22"/>
          <w:szCs w:val="22"/>
        </w:rPr>
        <w:t>9.</w:t>
      </w:r>
      <w:r>
        <w:rPr>
          <w:b/>
          <w:snapToGrid/>
          <w:sz w:val="22"/>
          <w:szCs w:val="22"/>
        </w:rPr>
        <w:tab/>
        <w:t>A FORGALOMBA HOZATALI ENGEDÉLY ELSŐ KIADÁSÁNAK/ MEGÚJÍTÁSÁNAK DÁTUMA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forgalomba hozatali engedély első kiadásának dátuma: 2016.10.10.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forgalomba hozatali engedély legutóbbi megújításának dátuma: 2021.12.20.</w:t>
      </w: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FC5EC4">
      <w:pPr>
        <w:rPr>
          <w:color w:val="000000"/>
          <w:sz w:val="22"/>
          <w:szCs w:val="22"/>
        </w:rPr>
      </w:pPr>
    </w:p>
    <w:p w:rsidR="00FC5EC4" w:rsidRDefault="00B71784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10.</w:t>
      </w:r>
      <w:r>
        <w:rPr>
          <w:b/>
          <w:bCs/>
          <w:color w:val="000000"/>
          <w:sz w:val="22"/>
          <w:szCs w:val="22"/>
        </w:rPr>
        <w:tab/>
        <w:t>A SZÖVEG ELLENŐRZÉSÉNEK DÁTUMA</w:t>
      </w:r>
    </w:p>
    <w:p w:rsidR="00FC5EC4" w:rsidRDefault="00FC5EC4">
      <w:pPr>
        <w:ind w:left="567" w:hanging="567"/>
        <w:rPr>
          <w:bCs/>
          <w:color w:val="000000"/>
          <w:sz w:val="22"/>
          <w:szCs w:val="22"/>
        </w:rPr>
      </w:pPr>
    </w:p>
    <w:p w:rsidR="00FC5EC4" w:rsidRDefault="00B1488F">
      <w:pPr>
        <w:ind w:left="567" w:hanging="567"/>
        <w:rPr>
          <w:bCs/>
          <w:color w:val="000000"/>
          <w:sz w:val="22"/>
          <w:szCs w:val="22"/>
        </w:rPr>
      </w:pPr>
      <w:r w:rsidRPr="00B1488F">
        <w:rPr>
          <w:bCs/>
          <w:color w:val="000000"/>
          <w:sz w:val="22"/>
          <w:szCs w:val="22"/>
        </w:rPr>
        <w:t>2026. április 28.</w:t>
      </w:r>
    </w:p>
    <w:sectPr w:rsidR="00FC5E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  <w:numStart w:val="2"/>
      </w:footnotePr>
      <w:pgSz w:w="11907" w:h="16840" w:code="9"/>
      <w:pgMar w:top="1134" w:right="1418" w:bottom="1134" w:left="1418" w:header="737" w:footer="73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EC4" w:rsidRDefault="00B71784">
      <w:r>
        <w:separator/>
      </w:r>
    </w:p>
  </w:endnote>
  <w:endnote w:type="continuationSeparator" w:id="0">
    <w:p w:rsidR="00FC5EC4" w:rsidRDefault="00B7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C4" w:rsidRDefault="00B7178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C5EC4" w:rsidRDefault="00FC5EC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C4" w:rsidRDefault="00FC5EC4">
    <w:pPr>
      <w:pStyle w:val="llb"/>
      <w:ind w:right="357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8B5" w:rsidRPr="009F58B5" w:rsidRDefault="009F58B5" w:rsidP="009F58B5">
    <w:pPr>
      <w:pStyle w:val="llb"/>
      <w:rPr>
        <w:sz w:val="18"/>
        <w:szCs w:val="18"/>
        <w:lang w:val="hu-HU"/>
      </w:rPr>
    </w:pPr>
    <w:r w:rsidRPr="009F58B5">
      <w:rPr>
        <w:sz w:val="18"/>
        <w:szCs w:val="18"/>
        <w:lang w:val="hu-HU"/>
      </w:rPr>
      <w:t>NNGYK/ETGY/1956/2026</w:t>
    </w:r>
  </w:p>
  <w:p w:rsidR="009F58B5" w:rsidRPr="009F58B5" w:rsidRDefault="009F58B5" w:rsidP="009F58B5">
    <w:pPr>
      <w:pStyle w:val="llb"/>
      <w:rPr>
        <w:sz w:val="18"/>
        <w:szCs w:val="18"/>
        <w:lang w:val="hu-HU"/>
      </w:rPr>
    </w:pPr>
    <w:r w:rsidRPr="009F58B5">
      <w:rPr>
        <w:sz w:val="18"/>
        <w:szCs w:val="18"/>
        <w:lang w:val="hu-HU"/>
      </w:rPr>
      <w:t>NNGYK/ETGY/1958/2026</w:t>
    </w:r>
  </w:p>
  <w:p w:rsidR="009F58B5" w:rsidRPr="009F58B5" w:rsidRDefault="009F58B5" w:rsidP="009F58B5">
    <w:pPr>
      <w:pStyle w:val="llb"/>
      <w:rPr>
        <w:sz w:val="18"/>
        <w:szCs w:val="18"/>
        <w:lang w:val="hu-HU"/>
      </w:rPr>
    </w:pPr>
    <w:r w:rsidRPr="009F58B5">
      <w:rPr>
        <w:sz w:val="18"/>
        <w:szCs w:val="18"/>
        <w:lang w:val="hu-HU"/>
      </w:rPr>
      <w:t>NNGYK/ETGY/1960/2026</w:t>
    </w:r>
  </w:p>
  <w:p w:rsidR="00FC5EC4" w:rsidRDefault="009F58B5" w:rsidP="009F58B5">
    <w:pPr>
      <w:pStyle w:val="llb"/>
      <w:rPr>
        <w:sz w:val="18"/>
        <w:szCs w:val="18"/>
        <w:lang w:val="hu-HU"/>
      </w:rPr>
    </w:pPr>
    <w:r w:rsidRPr="009F58B5">
      <w:rPr>
        <w:sz w:val="18"/>
        <w:szCs w:val="18"/>
        <w:lang w:val="hu-HU"/>
      </w:rPr>
      <w:t>NNGYK/ETGY/1961/2026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EC4" w:rsidRDefault="00B71784">
      <w:r>
        <w:separator/>
      </w:r>
    </w:p>
  </w:footnote>
  <w:footnote w:type="continuationSeparator" w:id="0">
    <w:p w:rsidR="00FC5EC4" w:rsidRDefault="00B71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C4" w:rsidRDefault="00B7178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C5EC4" w:rsidRDefault="00FC5EC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C4" w:rsidRDefault="00B71784">
    <w:pPr>
      <w:pStyle w:val="lfej"/>
      <w:jc w:val="center"/>
      <w:rPr>
        <w:noProof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 w:rsidR="003F46E9">
      <w:rPr>
        <w:noProof/>
        <w:sz w:val="18"/>
        <w:szCs w:val="18"/>
      </w:rPr>
      <w:t>20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C4" w:rsidRDefault="00FC5EC4">
    <w:pPr>
      <w:tabs>
        <w:tab w:val="center" w:pos="1843"/>
        <w:tab w:val="left" w:pos="6663"/>
        <w:tab w:val="left" w:pos="7655"/>
      </w:tabs>
      <w:rPr>
        <w:iC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31A0"/>
    <w:multiLevelType w:val="hybridMultilevel"/>
    <w:tmpl w:val="03F65FB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462A0"/>
    <w:multiLevelType w:val="hybridMultilevel"/>
    <w:tmpl w:val="52725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102C"/>
    <w:multiLevelType w:val="hybridMultilevel"/>
    <w:tmpl w:val="51F6AB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C22BB"/>
    <w:multiLevelType w:val="hybridMultilevel"/>
    <w:tmpl w:val="F7A06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652C7"/>
    <w:multiLevelType w:val="hybridMultilevel"/>
    <w:tmpl w:val="C27489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07262"/>
    <w:multiLevelType w:val="hybridMultilevel"/>
    <w:tmpl w:val="60B6B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95B10"/>
    <w:multiLevelType w:val="hybridMultilevel"/>
    <w:tmpl w:val="56F8C33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23553"/>
  </w:hdrShapeDefaults>
  <w:footnotePr>
    <w:numFmt w:val="chicago"/>
    <w:numStart w:val="2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EC4"/>
    <w:rsid w:val="003F46E9"/>
    <w:rsid w:val="009F58B5"/>
    <w:rsid w:val="00B1488F"/>
    <w:rsid w:val="00B71784"/>
    <w:rsid w:val="00FC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3"/>
    <o:shapelayout v:ext="edit">
      <o:idmap v:ext="edit" data="1"/>
    </o:shapelayout>
  </w:shapeDefaults>
  <w:decimalSymbol w:val=","/>
  <w:listSeparator w:val=";"/>
  <w15:chartTrackingRefBased/>
  <w15:docId w15:val="{15709114-3E54-49E5-8AB4-1ABF7882D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napToGrid w:val="0"/>
      <w:lang w:val="hu-HU" w:eastAsia="en-US"/>
    </w:rPr>
  </w:style>
  <w:style w:type="paragraph" w:styleId="Cmsor1">
    <w:name w:val="heading 1"/>
    <w:basedOn w:val="Norml"/>
    <w:next w:val="Norml"/>
    <w:qFormat/>
    <w:pPr>
      <w:keepNext/>
      <w:spacing w:before="120"/>
      <w:jc w:val="both"/>
      <w:outlineLvl w:val="0"/>
    </w:pPr>
    <w:rPr>
      <w:i/>
      <w:iCs/>
      <w:snapToGrid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/>
      <w:jc w:val="both"/>
      <w:outlineLvl w:val="1"/>
    </w:pPr>
    <w:rPr>
      <w:i/>
      <w:sz w:val="22"/>
    </w:rPr>
  </w:style>
  <w:style w:type="paragraph" w:styleId="Cmsor3">
    <w:name w:val="heading 3"/>
    <w:basedOn w:val="Norml"/>
    <w:next w:val="Norml"/>
    <w:qFormat/>
    <w:pPr>
      <w:keepNext/>
      <w:spacing w:before="120"/>
      <w:jc w:val="both"/>
      <w:outlineLvl w:val="2"/>
    </w:pPr>
    <w:rPr>
      <w:i/>
      <w:sz w:val="22"/>
      <w:u w:val="single"/>
    </w:rPr>
  </w:style>
  <w:style w:type="paragraph" w:styleId="Cmsor4">
    <w:name w:val="heading 4"/>
    <w:basedOn w:val="Norml"/>
    <w:next w:val="Norml"/>
    <w:qFormat/>
    <w:pPr>
      <w:keepNext/>
      <w:spacing w:before="120"/>
      <w:jc w:val="both"/>
      <w:outlineLvl w:val="3"/>
    </w:pPr>
    <w:rPr>
      <w:b/>
      <w:i/>
      <w:sz w:val="22"/>
    </w:rPr>
  </w:style>
  <w:style w:type="paragraph" w:styleId="Cmsor5">
    <w:name w:val="heading 5"/>
    <w:basedOn w:val="Norml"/>
    <w:next w:val="Norml"/>
    <w:qFormat/>
    <w:pPr>
      <w:keepNext/>
      <w:tabs>
        <w:tab w:val="left" w:pos="567"/>
      </w:tabs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qFormat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pPr>
      <w:keepNext/>
      <w:outlineLvl w:val="6"/>
    </w:pPr>
    <w:rPr>
      <w:i/>
      <w:sz w:val="22"/>
      <w:u w:val="single"/>
    </w:rPr>
  </w:style>
  <w:style w:type="paragraph" w:styleId="Cmsor8">
    <w:name w:val="heading 8"/>
    <w:basedOn w:val="Norml"/>
    <w:next w:val="Norml"/>
    <w:qFormat/>
    <w:pPr>
      <w:keepNext/>
      <w:outlineLvl w:val="7"/>
    </w:pPr>
    <w:rPr>
      <w:i/>
      <w:i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  <w:rPr>
      <w:lang w:val="x-none"/>
    </w:r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val="x-none"/>
    </w:rPr>
  </w:style>
  <w:style w:type="character" w:styleId="Lbjegyzet-hivatkozs">
    <w:name w:val="footnote reference"/>
    <w:semiHidden/>
    <w:rPr>
      <w:vertAlign w:val="superscript"/>
    </w:rPr>
  </w:style>
  <w:style w:type="paragraph" w:styleId="Cm">
    <w:name w:val="Title"/>
    <w:basedOn w:val="Norml"/>
    <w:qFormat/>
    <w:pPr>
      <w:spacing w:before="120"/>
      <w:jc w:val="center"/>
    </w:pPr>
    <w:rPr>
      <w:b/>
      <w:bCs/>
      <w:snapToGrid/>
      <w:sz w:val="24"/>
      <w:szCs w:val="24"/>
    </w:rPr>
  </w:style>
  <w:style w:type="paragraph" w:styleId="Szvegtrzs">
    <w:name w:val="Body Text"/>
    <w:basedOn w:val="Norml"/>
    <w:pPr>
      <w:spacing w:before="120"/>
      <w:jc w:val="both"/>
    </w:pPr>
    <w:rPr>
      <w:sz w:val="24"/>
    </w:rPr>
  </w:style>
  <w:style w:type="paragraph" w:styleId="Lbjegyzetszveg">
    <w:name w:val="footnote text"/>
    <w:basedOn w:val="Norml"/>
    <w:semiHidden/>
  </w:style>
  <w:style w:type="paragraph" w:styleId="Szvegtrzs2">
    <w:name w:val="Body Text 2"/>
    <w:basedOn w:val="Norml"/>
    <w:pPr>
      <w:spacing w:before="120"/>
      <w:jc w:val="both"/>
    </w:pPr>
    <w:rPr>
      <w:sz w:val="22"/>
    </w:rPr>
  </w:style>
  <w:style w:type="paragraph" w:customStyle="1" w:styleId="Normal">
    <w:name w:val="Normal&lt;"/>
    <w:basedOn w:val="Norml"/>
    <w:pPr>
      <w:spacing w:before="240"/>
      <w:jc w:val="both"/>
    </w:pPr>
    <w:rPr>
      <w:snapToGrid/>
      <w:sz w:val="24"/>
    </w:rPr>
  </w:style>
  <w:style w:type="paragraph" w:styleId="Szvegtrzs3">
    <w:name w:val="Body Text 3"/>
    <w:basedOn w:val="Norml"/>
    <w:pPr>
      <w:spacing w:before="120"/>
      <w:jc w:val="both"/>
    </w:pPr>
    <w:rPr>
      <w:color w:val="FF0000"/>
      <w:sz w:val="22"/>
    </w:rPr>
  </w:style>
  <w:style w:type="paragraph" w:styleId="NormlWeb">
    <w:name w:val="Normal (Web)"/>
    <w:basedOn w:val="Norml"/>
    <w:uiPriority w:val="99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paragraph" w:customStyle="1" w:styleId="Body">
    <w:name w:val="Body"/>
    <w:basedOn w:val="Norml"/>
    <w:pPr>
      <w:ind w:firstLine="288"/>
      <w:jc w:val="both"/>
    </w:pPr>
    <w:rPr>
      <w:rFonts w:ascii="Arial" w:hAnsi="Arial"/>
      <w:snapToGrid/>
      <w:lang w:val="en-US"/>
    </w:rPr>
  </w:style>
  <w:style w:type="paragraph" w:styleId="Makrszvege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exact"/>
      <w:jc w:val="both"/>
    </w:pPr>
    <w:rPr>
      <w:rFonts w:ascii="Century Schoolbook" w:hAnsi="Century Schoolbook"/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table" w:styleId="Rcsostblzat">
    <w:name w:val="Table Grid"/>
    <w:basedOn w:val="Normltblzat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Web2">
    <w:name w:val="Normál (Web)2"/>
    <w:basedOn w:val="Norml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lang w:val="x-none"/>
    </w:rPr>
  </w:style>
  <w:style w:type="character" w:customStyle="1" w:styleId="JegyzetszvegChar">
    <w:name w:val="Jegyzetszöveg Char"/>
    <w:link w:val="Jegyzetszveg"/>
    <w:rPr>
      <w:snapToGrid w:val="0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snapToGrid w:val="0"/>
      <w:lang w:eastAsia="en-US"/>
    </w:rPr>
  </w:style>
  <w:style w:type="paragraph" w:customStyle="1" w:styleId="Vltozat1">
    <w:name w:val="Változat1"/>
    <w:hidden/>
    <w:uiPriority w:val="99"/>
    <w:semiHidden/>
    <w:rPr>
      <w:snapToGrid w:val="0"/>
      <w:lang w:val="hu-HU" w:eastAsia="en-US"/>
    </w:rPr>
  </w:style>
  <w:style w:type="character" w:customStyle="1" w:styleId="lfejChar">
    <w:name w:val="Élőfej Char"/>
    <w:link w:val="lfej"/>
    <w:uiPriority w:val="99"/>
    <w:rPr>
      <w:snapToGrid w:val="0"/>
      <w:lang w:eastAsia="en-US"/>
    </w:rPr>
  </w:style>
  <w:style w:type="character" w:customStyle="1" w:styleId="llbChar">
    <w:name w:val="Élőláb Char"/>
    <w:link w:val="llb"/>
    <w:uiPriority w:val="99"/>
    <w:rPr>
      <w:snapToGrid w:val="0"/>
      <w:lang w:eastAsia="en-US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Kiemels">
    <w:name w:val="Emphasis"/>
    <w:qFormat/>
    <w:rPr>
      <w:i/>
      <w:iCs/>
    </w:rPr>
  </w:style>
  <w:style w:type="character" w:styleId="Mrltotthiperhivatkozs">
    <w:name w:val="FollowedHyperlink"/>
    <w:rPr>
      <w:color w:val="800080"/>
      <w:u w:val="single"/>
    </w:rPr>
  </w:style>
  <w:style w:type="paragraph" w:styleId="Vltozat">
    <w:name w:val="Revision"/>
    <w:hidden/>
    <w:uiPriority w:val="99"/>
    <w:semiHidden/>
    <w:rPr>
      <w:snapToGrid w:val="0"/>
      <w:lang w:val="hu-HU" w:eastAsia="en-US"/>
    </w:rPr>
  </w:style>
  <w:style w:type="character" w:styleId="Kiemels2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>
  <element uid="9920fcc9-9f43-4d43-9e3e-b98a219cfd55" value=""/>
</sisl>
</file>

<file path=customXml/itemProps1.xml><?xml version="1.0" encoding="utf-8"?>
<ds:datastoreItem xmlns:ds="http://schemas.openxmlformats.org/officeDocument/2006/customXml" ds:itemID="{352997D2-A605-4276-933A-0BDE0294BA1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20</Pages>
  <Words>7516</Words>
  <Characters>54858</Characters>
  <Application>Microsoft Office Word</Application>
  <DocSecurity>0</DocSecurity>
  <Lines>457</Lines>
  <Paragraphs>124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ARCOXIA, INN-etoricoxib</vt:lpstr>
      <vt:lpstr>ARCOXIA, INN-etoricoxib</vt:lpstr>
      <vt:lpstr>ARCOXIA, INN-etoricoxib</vt:lpstr>
    </vt:vector>
  </TitlesOfParts>
  <Company>MSD</Company>
  <LinksUpToDate>false</LinksUpToDate>
  <CharactersWithSpaces>62250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ARCOXIA, INN-etoricoxib</dc:title>
  <dc:subject>Arcoxia SPC</dc:subject>
  <dc:creator>MSD</dc:creator>
  <cp:keywords>ARCOXIA, INN-etoricoxib</cp:keywords>
  <cp:lastModifiedBy>HU_OGYI_61_1</cp:lastModifiedBy>
  <cp:revision>9</cp:revision>
  <cp:lastPrinted>2008-11-26T08:34:00Z</cp:lastPrinted>
  <dcterms:created xsi:type="dcterms:W3CDTF">2025-10-27T09:24:00Z</dcterms:created>
  <dcterms:modified xsi:type="dcterms:W3CDTF">2026-06-12T08:26:00Z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/>
  </property>
  <property fmtid="{D5CDD505-2E9C-101B-9397-08002B2CF9AE}" pid="4" name="bjSaver">
    <vt:lpwstr/>
  </property>
  <property fmtid="{D5CDD505-2E9C-101B-9397-08002B2CF9AE}" pid="5" name="bjDocumentLabelXML">
    <vt:lpwstr/>
  </property>
  <property fmtid="{D5CDD505-2E9C-101B-9397-08002B2CF9AE}" pid="6" name="bjDocumentLabelXML-0">
    <vt:lpwstr/>
  </property>
  <property fmtid="{D5CDD505-2E9C-101B-9397-08002B2CF9AE}" pid="7" name="bjDocumentSecurityLabel">
    <vt:lpwstr/>
  </property>
</Properties>
</file>