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B29" w:rsidRDefault="00E55408">
      <w:pPr>
        <w:ind w:left="567" w:hanging="567"/>
        <w:rPr>
          <w:b/>
          <w:bCs/>
          <w:color w:val="000000"/>
          <w:sz w:val="22"/>
          <w:szCs w:val="22"/>
        </w:rPr>
      </w:pPr>
      <w:bookmarkStart w:id="0" w:name="_GoBack"/>
      <w:bookmarkEnd w:id="0"/>
      <w:r>
        <w:rPr>
          <w:b/>
          <w:bCs/>
          <w:color w:val="000000"/>
          <w:sz w:val="22"/>
          <w:szCs w:val="22"/>
        </w:rPr>
        <w:t>1.</w:t>
      </w:r>
      <w:r>
        <w:rPr>
          <w:b/>
          <w:bCs/>
          <w:color w:val="000000"/>
          <w:sz w:val="22"/>
          <w:szCs w:val="22"/>
        </w:rPr>
        <w:tab/>
        <w:t>A GYÓGYSZER NEVE</w:t>
      </w:r>
    </w:p>
    <w:p w:rsidR="00986B29" w:rsidRDefault="00986B29">
      <w:pPr>
        <w:rPr>
          <w:bCs/>
          <w:color w:val="000000"/>
          <w:sz w:val="22"/>
          <w:szCs w:val="22"/>
        </w:rPr>
      </w:pPr>
    </w:p>
    <w:p w:rsidR="00986B29" w:rsidRDefault="00E55408">
      <w:pPr>
        <w:rPr>
          <w:b/>
          <w:bCs/>
          <w:color w:val="000000"/>
          <w:sz w:val="22"/>
          <w:szCs w:val="22"/>
        </w:rPr>
      </w:pPr>
      <w:proofErr w:type="spellStart"/>
      <w:r>
        <w:rPr>
          <w:b/>
          <w:bCs/>
          <w:color w:val="000000"/>
          <w:sz w:val="22"/>
          <w:szCs w:val="22"/>
        </w:rPr>
        <w:t>Itoroxx</w:t>
      </w:r>
      <w:proofErr w:type="spellEnd"/>
      <w:r>
        <w:rPr>
          <w:b/>
          <w:bCs/>
          <w:color w:val="000000"/>
          <w:sz w:val="22"/>
          <w:szCs w:val="22"/>
        </w:rPr>
        <w:t xml:space="preserve"> 30 mg filmtabletta</w:t>
      </w:r>
    </w:p>
    <w:p w:rsidR="00986B29" w:rsidRDefault="00E55408">
      <w:pPr>
        <w:rPr>
          <w:b/>
          <w:bCs/>
          <w:color w:val="000000"/>
          <w:sz w:val="22"/>
          <w:szCs w:val="22"/>
        </w:rPr>
      </w:pPr>
      <w:proofErr w:type="spellStart"/>
      <w:r>
        <w:rPr>
          <w:b/>
          <w:bCs/>
          <w:color w:val="000000"/>
          <w:sz w:val="22"/>
          <w:szCs w:val="22"/>
        </w:rPr>
        <w:t>Itoroxx</w:t>
      </w:r>
      <w:proofErr w:type="spellEnd"/>
      <w:r>
        <w:rPr>
          <w:b/>
          <w:bCs/>
          <w:color w:val="000000"/>
          <w:sz w:val="22"/>
          <w:szCs w:val="22"/>
        </w:rPr>
        <w:t xml:space="preserve"> 60 mg filmtabletta</w:t>
      </w:r>
    </w:p>
    <w:p w:rsidR="00986B29" w:rsidRDefault="00986B29">
      <w:pPr>
        <w:rPr>
          <w:bCs/>
          <w:color w:val="000000"/>
          <w:sz w:val="22"/>
          <w:szCs w:val="22"/>
        </w:rPr>
      </w:pP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ind w:left="567" w:hanging="567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>
        <w:rPr>
          <w:b/>
          <w:bCs/>
          <w:color w:val="000000"/>
          <w:sz w:val="22"/>
          <w:szCs w:val="22"/>
        </w:rPr>
        <w:tab/>
        <w:t>MINŐSÉGI ÉS MENNYISÉGI ÖSSZETÉTEL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bCs/>
          <w:color w:val="000000"/>
          <w:sz w:val="22"/>
          <w:szCs w:val="22"/>
          <w:u w:val="single"/>
        </w:rPr>
      </w:pPr>
      <w:proofErr w:type="spellStart"/>
      <w:r>
        <w:rPr>
          <w:bCs/>
          <w:color w:val="000000"/>
          <w:sz w:val="22"/>
          <w:szCs w:val="22"/>
          <w:u w:val="single"/>
        </w:rPr>
        <w:t>Itoroxx</w:t>
      </w:r>
      <w:proofErr w:type="spellEnd"/>
      <w:r>
        <w:rPr>
          <w:bCs/>
          <w:color w:val="000000"/>
          <w:sz w:val="22"/>
          <w:szCs w:val="22"/>
          <w:u w:val="single"/>
        </w:rPr>
        <w:t xml:space="preserve"> 30 mg filmtabletta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30 mg </w:t>
      </w:r>
      <w:proofErr w:type="spellStart"/>
      <w:r>
        <w:rPr>
          <w:bCs/>
          <w:color w:val="000000"/>
          <w:sz w:val="22"/>
          <w:szCs w:val="22"/>
        </w:rPr>
        <w:t>etorikoxibot</w:t>
      </w:r>
      <w:proofErr w:type="spellEnd"/>
      <w:r>
        <w:rPr>
          <w:bCs/>
          <w:color w:val="000000"/>
          <w:sz w:val="22"/>
          <w:szCs w:val="22"/>
        </w:rPr>
        <w:t xml:space="preserve"> tartalmaz filmtablettánként.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bCs/>
          <w:color w:val="000000"/>
          <w:sz w:val="22"/>
          <w:szCs w:val="22"/>
          <w:u w:val="single"/>
        </w:rPr>
      </w:pPr>
      <w:proofErr w:type="spellStart"/>
      <w:r>
        <w:rPr>
          <w:bCs/>
          <w:color w:val="000000"/>
          <w:sz w:val="22"/>
          <w:szCs w:val="22"/>
          <w:u w:val="single"/>
        </w:rPr>
        <w:t>Itoroxx</w:t>
      </w:r>
      <w:proofErr w:type="spellEnd"/>
      <w:r>
        <w:rPr>
          <w:bCs/>
          <w:color w:val="000000"/>
          <w:sz w:val="22"/>
          <w:szCs w:val="22"/>
          <w:u w:val="single"/>
        </w:rPr>
        <w:t xml:space="preserve"> 60 mg filmtabletta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60 mg </w:t>
      </w:r>
      <w:proofErr w:type="spellStart"/>
      <w:r>
        <w:rPr>
          <w:bCs/>
          <w:color w:val="000000"/>
          <w:sz w:val="22"/>
          <w:szCs w:val="22"/>
        </w:rPr>
        <w:t>etorikoxibot</w:t>
      </w:r>
      <w:proofErr w:type="spellEnd"/>
      <w:r>
        <w:rPr>
          <w:bCs/>
          <w:color w:val="000000"/>
          <w:sz w:val="22"/>
          <w:szCs w:val="22"/>
        </w:rPr>
        <w:t xml:space="preserve"> tartalmaz filmtablettánként.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segédanyagok teljes listáját lásd a 6.1 pontban.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ind w:left="567" w:hanging="567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3.</w:t>
      </w:r>
      <w:r>
        <w:rPr>
          <w:b/>
          <w:bCs/>
          <w:color w:val="000000"/>
          <w:sz w:val="22"/>
          <w:szCs w:val="22"/>
        </w:rPr>
        <w:tab/>
        <w:t>GYÓGYSZERFORMA</w:t>
      </w:r>
    </w:p>
    <w:p w:rsidR="00986B29" w:rsidRDefault="00986B29">
      <w:pPr>
        <w:rPr>
          <w:bCs/>
          <w:i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Filmtabletta (tabletta).</w:t>
      </w:r>
    </w:p>
    <w:p w:rsidR="00986B29" w:rsidRDefault="00986B29">
      <w:pPr>
        <w:rPr>
          <w:bCs/>
          <w:i/>
          <w:color w:val="000000"/>
          <w:sz w:val="22"/>
          <w:szCs w:val="22"/>
        </w:rPr>
      </w:pPr>
    </w:p>
    <w:p w:rsidR="00986B29" w:rsidRDefault="00E55408">
      <w:pPr>
        <w:rPr>
          <w:bCs/>
          <w:color w:val="000000"/>
          <w:sz w:val="22"/>
          <w:szCs w:val="22"/>
          <w:u w:val="single"/>
        </w:rPr>
      </w:pPr>
      <w:proofErr w:type="spellStart"/>
      <w:r>
        <w:rPr>
          <w:bCs/>
          <w:color w:val="000000"/>
          <w:sz w:val="22"/>
          <w:szCs w:val="22"/>
          <w:u w:val="single"/>
        </w:rPr>
        <w:t>Itoroxx</w:t>
      </w:r>
      <w:proofErr w:type="spellEnd"/>
      <w:r>
        <w:rPr>
          <w:bCs/>
          <w:color w:val="000000"/>
          <w:sz w:val="22"/>
          <w:szCs w:val="22"/>
          <w:u w:val="single"/>
        </w:rPr>
        <w:t xml:space="preserve"> 30 mg filmtabletta</w:t>
      </w:r>
    </w:p>
    <w:p w:rsidR="00986B29" w:rsidRDefault="00E55408">
      <w:pPr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Fehér vagy csaknem fehér, kerek (átmérő: 6 mm), mindkét oldalán enyhén domború, metszett élű filmtabletta.</w:t>
      </w:r>
    </w:p>
    <w:p w:rsidR="00986B29" w:rsidRDefault="00986B29">
      <w:pPr>
        <w:rPr>
          <w:bCs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bCs/>
          <w:color w:val="000000"/>
          <w:sz w:val="22"/>
          <w:szCs w:val="22"/>
          <w:u w:val="single"/>
        </w:rPr>
        <w:t>Itoroxx</w:t>
      </w:r>
      <w:proofErr w:type="spellEnd"/>
      <w:r>
        <w:rPr>
          <w:bCs/>
          <w:color w:val="000000"/>
          <w:sz w:val="22"/>
          <w:szCs w:val="22"/>
          <w:u w:val="single"/>
        </w:rPr>
        <w:t xml:space="preserve"> 60 mg filmtabletta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Enyhén barnássárga, kerek (átmérő: 8 mm), mindkét oldalán domború, metszett élű filmtabletta, egyik oldalán „60” </w:t>
      </w:r>
      <w:r>
        <w:rPr>
          <w:bCs/>
          <w:color w:val="000000"/>
          <w:sz w:val="22"/>
          <w:szCs w:val="22"/>
        </w:rPr>
        <w:t>mélynyomású jelzéssel ellátva</w:t>
      </w:r>
      <w:r>
        <w:rPr>
          <w:color w:val="000000"/>
          <w:sz w:val="22"/>
          <w:szCs w:val="22"/>
        </w:rPr>
        <w:t>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rFonts w:eastAsia="SimSun"/>
          <w:b/>
          <w:sz w:val="22"/>
          <w:lang w:val="es-ES_tradnl" w:eastAsia="zh-CN"/>
        </w:rPr>
      </w:pPr>
      <w:r>
        <w:rPr>
          <w:rFonts w:eastAsia="SimSun"/>
          <w:b/>
          <w:sz w:val="22"/>
          <w:lang w:val="es-ES_tradnl" w:eastAsia="zh-CN"/>
        </w:rPr>
        <w:t>4.</w:t>
      </w:r>
      <w:r>
        <w:rPr>
          <w:rFonts w:eastAsia="SimSun"/>
          <w:b/>
          <w:sz w:val="22"/>
          <w:lang w:val="es-ES_tradnl" w:eastAsia="zh-CN"/>
        </w:rPr>
        <w:tab/>
        <w:t>KLINIKAI JELLEMZŐK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  <w:lang w:val="es-ES_tradnl"/>
        </w:rPr>
      </w:pPr>
      <w:r>
        <w:rPr>
          <w:b/>
          <w:noProof/>
          <w:snapToGrid/>
          <w:sz w:val="22"/>
          <w:szCs w:val="22"/>
          <w:lang w:val="es-ES_tradnl"/>
        </w:rPr>
        <w:t>4.1</w:t>
      </w:r>
      <w:r>
        <w:rPr>
          <w:b/>
          <w:noProof/>
          <w:snapToGrid/>
          <w:sz w:val="22"/>
          <w:szCs w:val="22"/>
          <w:lang w:val="es-ES_tradnl"/>
        </w:rPr>
        <w:tab/>
        <w:t>Terápiás javallatok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Itoroxx</w:t>
      </w:r>
      <w:proofErr w:type="spellEnd"/>
      <w:r>
        <w:rPr>
          <w:color w:val="000000"/>
          <w:sz w:val="22"/>
          <w:szCs w:val="22"/>
        </w:rPr>
        <w:t xml:space="preserve"> az </w:t>
      </w:r>
      <w:proofErr w:type="spellStart"/>
      <w:r>
        <w:rPr>
          <w:color w:val="000000"/>
          <w:sz w:val="22"/>
          <w:szCs w:val="22"/>
        </w:rPr>
        <w:t>osteoarthritis</w:t>
      </w:r>
      <w:proofErr w:type="spellEnd"/>
      <w:r>
        <w:rPr>
          <w:color w:val="000000"/>
          <w:sz w:val="22"/>
          <w:szCs w:val="22"/>
        </w:rPr>
        <w:t xml:space="preserve"> (OA) tüneteinek csökkentésére javallott felnőttek és 16 éves vagy idősebb serdülők részére.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>gátló minden egyes beteg esetében a teljes körű kockázat mérlegelése alapján írható fel (lásd 4.3 és 4.4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  <w:lang w:val="es-ES_tradnl"/>
        </w:rPr>
      </w:pPr>
      <w:r>
        <w:rPr>
          <w:b/>
          <w:noProof/>
          <w:snapToGrid/>
          <w:sz w:val="22"/>
          <w:szCs w:val="22"/>
          <w:lang w:val="es-ES_tradnl"/>
        </w:rPr>
        <w:t>4.2</w:t>
      </w:r>
      <w:r>
        <w:rPr>
          <w:b/>
          <w:noProof/>
          <w:snapToGrid/>
          <w:sz w:val="22"/>
          <w:szCs w:val="22"/>
          <w:lang w:val="es-ES_tradnl"/>
        </w:rPr>
        <w:tab/>
        <w:t>Adagolás és alkalmazás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Adagolás</w:t>
      </w:r>
    </w:p>
    <w:p w:rsidR="00986B29" w:rsidRDefault="00E5540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Mivel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kockázata a dózissal és az expozíció időtartamával fokozódhat, a lehető legrövidebb ideig, a legkisebb hatásos napi adagot kell alkalmazni. A tünetek enyhítésének szükségességét és a beteg kezelésre adott válaszát rendszeres időközönként ellenőrizni kell, különösen az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szenvedő betegek esetében (lásd 4.3, 4.4, 4.8 és 5.1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javasolt adag 30 mg naponta egyszer. Néhány betegnél a tünetek nem megfelelő enyhülése esetén, 60 mg naponta egyszer adva növelheti a </w:t>
      </w:r>
      <w:proofErr w:type="spellStart"/>
      <w:r>
        <w:rPr>
          <w:color w:val="000000"/>
          <w:sz w:val="22"/>
          <w:szCs w:val="22"/>
        </w:rPr>
        <w:t>hatásosságot</w:t>
      </w:r>
      <w:proofErr w:type="spellEnd"/>
      <w:r>
        <w:rPr>
          <w:color w:val="000000"/>
          <w:sz w:val="22"/>
          <w:szCs w:val="22"/>
        </w:rPr>
        <w:t>. További terápiás előny hiányában, más terápiás lehetőségeket kell fontolóra venni.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egyes indikációk esetén ajánlottnál nagyobb dózisok vagy nem mutattak nagyobb hatékonyságot, vagy nem vizsgálták azokat. Ezért </w:t>
      </w:r>
      <w:proofErr w:type="spellStart"/>
      <w:r>
        <w:rPr>
          <w:color w:val="000000"/>
          <w:sz w:val="22"/>
          <w:szCs w:val="22"/>
        </w:rPr>
        <w:t>osteoarthritis</w:t>
      </w:r>
      <w:proofErr w:type="spellEnd"/>
      <w:r>
        <w:rPr>
          <w:color w:val="000000"/>
          <w:sz w:val="22"/>
          <w:szCs w:val="22"/>
        </w:rPr>
        <w:t xml:space="preserve"> (OA) esetén a dózis nem haladhatja meg a napi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ot</w:t>
      </w:r>
      <w:proofErr w:type="spellEnd"/>
      <w:r>
        <w:rPr>
          <w:color w:val="000000"/>
          <w:sz w:val="22"/>
          <w:szCs w:val="22"/>
        </w:rPr>
        <w:t>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Különleges betegcsoportok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Idősek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Az adag módosítására nincs szükség időskorúaknál. Más betegekhez hasonlóan, az idős betegeknél is óvatossággal kell eljárni (lásd 4.4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Májkárosodásban szenvedő betegek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Az indikációtól függetlenül, enyhe májkárosodásban (</w:t>
      </w:r>
      <w:proofErr w:type="spellStart"/>
      <w:r>
        <w:rPr>
          <w:color w:val="000000"/>
          <w:sz w:val="22"/>
          <w:szCs w:val="22"/>
        </w:rPr>
        <w:t>Child-Pugh</w:t>
      </w:r>
      <w:proofErr w:type="spellEnd"/>
      <w:r>
        <w:rPr>
          <w:color w:val="000000"/>
          <w:sz w:val="22"/>
          <w:szCs w:val="22"/>
        </w:rPr>
        <w:t xml:space="preserve"> pontszám: 5</w:t>
      </w:r>
      <w:r>
        <w:rPr>
          <w:color w:val="000000"/>
          <w:sz w:val="22"/>
          <w:szCs w:val="22"/>
        </w:rPr>
        <w:noBreakHyphen/>
        <w:t>6) szenvedő betegek esetén a napi egyszeri 60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adagot nem szabad túllépni. Az indikációtól függetlenül, közepesen súlyos májkárosodásban (</w:t>
      </w:r>
      <w:proofErr w:type="spellStart"/>
      <w:r>
        <w:rPr>
          <w:color w:val="000000"/>
          <w:sz w:val="22"/>
          <w:szCs w:val="22"/>
        </w:rPr>
        <w:t>Child-Pugh</w:t>
      </w:r>
      <w:proofErr w:type="spellEnd"/>
      <w:r>
        <w:rPr>
          <w:color w:val="000000"/>
          <w:sz w:val="22"/>
          <w:szCs w:val="22"/>
        </w:rPr>
        <w:t xml:space="preserve"> pontszám: 7–9) szenvedő betegeknél a </w:t>
      </w:r>
      <w:r>
        <w:rPr>
          <w:i/>
          <w:color w:val="000000"/>
          <w:sz w:val="22"/>
          <w:szCs w:val="22"/>
        </w:rPr>
        <w:t>napi egyszeri</w:t>
      </w:r>
      <w:r>
        <w:rPr>
          <w:color w:val="000000"/>
          <w:sz w:val="22"/>
          <w:szCs w:val="22"/>
        </w:rPr>
        <w:t xml:space="preserve"> 30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dózist nem szabad túllépni.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rendelkezésre álló klinikai tapasztalat, főként a közepesen súlyos májkárosodásban szenvedő betegek esetében korlátozott, ezért elővigyázatosság javasolt. Súlyos májkárosodásra (</w:t>
      </w:r>
      <w:proofErr w:type="spellStart"/>
      <w:r>
        <w:rPr>
          <w:color w:val="000000"/>
          <w:sz w:val="22"/>
          <w:szCs w:val="22"/>
        </w:rPr>
        <w:t>Child</w:t>
      </w:r>
      <w:r>
        <w:rPr>
          <w:color w:val="000000"/>
          <w:sz w:val="22"/>
          <w:szCs w:val="22"/>
        </w:rPr>
        <w:noBreakHyphen/>
        <w:t>Pugh</w:t>
      </w:r>
      <w:proofErr w:type="spellEnd"/>
      <w:r>
        <w:rPr>
          <w:color w:val="000000"/>
          <w:sz w:val="22"/>
          <w:szCs w:val="22"/>
        </w:rPr>
        <w:t xml:space="preserve"> pontszám: ≥ 10) vonatkozó klinikai tapasztalatok nem állnak rendelkezésre, ezért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alkalmazása ilyen betegek esetében ellenjavallt (lásd 4.3, 4.4 és 5.2 pont).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Vesekárosodásban szenvedő betegek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Az adag módosítására nincs szükség azoknál a betegeknél, akiknél a kreatinin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t xml:space="preserve"> értéke </w:t>
      </w:r>
      <w:r>
        <w:rPr>
          <w:color w:val="000000"/>
          <w:sz w:val="22"/>
          <w:szCs w:val="22"/>
        </w:rPr>
        <w:sym w:font="Symbol" w:char="F0B3"/>
      </w:r>
      <w:r>
        <w:rPr>
          <w:color w:val="000000"/>
          <w:sz w:val="22"/>
          <w:szCs w:val="22"/>
        </w:rPr>
        <w:t> 30 ml/perc (lásd 5.2 pont). 30 ml/perc</w:t>
      </w:r>
      <w:r>
        <w:rPr>
          <w:color w:val="000000"/>
          <w:sz w:val="22"/>
          <w:szCs w:val="22"/>
        </w:rPr>
        <w:noBreakHyphen/>
        <w:t>es értéknél kisebb kreatinin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t xml:space="preserve"> esetén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alkalmazása ellenjavallt (lásd 4.3 és 4.4 pont).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Gyermekek és serdülők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alkalmazása ellenjavallt gyermekeknél és 16 évesnél fiatalabb serdülőknél (lásd 4.3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Az alkalmazás módja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Itoroxx</w:t>
      </w:r>
      <w:proofErr w:type="spellEnd"/>
      <w:r>
        <w:rPr>
          <w:color w:val="000000"/>
          <w:sz w:val="22"/>
          <w:szCs w:val="22"/>
        </w:rPr>
        <w:t xml:space="preserve"> szájon át alkalmazandó és bevehető étellel vagy étkezéstől függetlenül. A gyógyszer hatása gyorsabban jelentkezhet, ha a beteg az </w:t>
      </w:r>
      <w:proofErr w:type="spellStart"/>
      <w:r>
        <w:rPr>
          <w:color w:val="000000"/>
          <w:sz w:val="22"/>
          <w:szCs w:val="22"/>
        </w:rPr>
        <w:t>Itoroxx-ot</w:t>
      </w:r>
      <w:proofErr w:type="spellEnd"/>
      <w:r>
        <w:rPr>
          <w:color w:val="000000"/>
          <w:sz w:val="22"/>
          <w:szCs w:val="22"/>
        </w:rPr>
        <w:t xml:space="preserve"> nem étkezéskor veszi be. Ezt figyelembe kell venni azokban az esetekben, amikor a tünetek gyors enyhítésére van szükség.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  <w:lang w:val="es-ES_tradnl"/>
        </w:rPr>
      </w:pPr>
      <w:r>
        <w:rPr>
          <w:b/>
          <w:noProof/>
          <w:snapToGrid/>
          <w:sz w:val="22"/>
          <w:szCs w:val="22"/>
          <w:lang w:val="es-ES_tradnl"/>
        </w:rPr>
        <w:t>4.3</w:t>
      </w:r>
      <w:r>
        <w:rPr>
          <w:b/>
          <w:noProof/>
          <w:snapToGrid/>
          <w:sz w:val="22"/>
          <w:szCs w:val="22"/>
          <w:lang w:val="es-ES_tradnl"/>
        </w:rPr>
        <w:tab/>
        <w:t>Ellenjavallatok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készítmény hatóanyagával vagy a 6.1 pontban felsorolt bármely segédanyagával szembeni túlérzékenység.</w:t>
      </w:r>
    </w:p>
    <w:p w:rsidR="00986B29" w:rsidRDefault="00E55408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Aktív, </w:t>
      </w:r>
      <w:proofErr w:type="spellStart"/>
      <w:r>
        <w:rPr>
          <w:color w:val="000000"/>
          <w:sz w:val="22"/>
          <w:szCs w:val="22"/>
        </w:rPr>
        <w:t>peptikus</w:t>
      </w:r>
      <w:proofErr w:type="spellEnd"/>
      <w:r>
        <w:rPr>
          <w:color w:val="000000"/>
          <w:sz w:val="22"/>
          <w:szCs w:val="22"/>
        </w:rPr>
        <w:t xml:space="preserve"> fekély vagy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(GI) vérzés.</w:t>
      </w:r>
    </w:p>
    <w:p w:rsidR="00986B29" w:rsidRDefault="00E55408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Azoknál a betegeknél, akiknél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vagy NSAID készítmények, köztük COX</w:t>
      </w:r>
      <w:r>
        <w:rPr>
          <w:color w:val="000000"/>
          <w:sz w:val="22"/>
          <w:szCs w:val="22"/>
        </w:rPr>
        <w:noBreakHyphen/>
        <w:t>2 (ciklooxigenáz</w:t>
      </w:r>
      <w:r>
        <w:rPr>
          <w:color w:val="000000"/>
          <w:sz w:val="22"/>
          <w:szCs w:val="22"/>
        </w:rPr>
        <w:noBreakHyphen/>
        <w:t xml:space="preserve">2) gátlók szedését követően </w:t>
      </w:r>
      <w:proofErr w:type="spellStart"/>
      <w:r>
        <w:rPr>
          <w:color w:val="000000"/>
          <w:sz w:val="22"/>
          <w:szCs w:val="22"/>
        </w:rPr>
        <w:t>bronchospasmus</w:t>
      </w:r>
      <w:proofErr w:type="spellEnd"/>
      <w:r>
        <w:rPr>
          <w:color w:val="000000"/>
          <w:sz w:val="22"/>
          <w:szCs w:val="22"/>
        </w:rPr>
        <w:t xml:space="preserve">, akut </w:t>
      </w:r>
      <w:proofErr w:type="spellStart"/>
      <w:r>
        <w:rPr>
          <w:color w:val="000000"/>
          <w:sz w:val="22"/>
          <w:szCs w:val="22"/>
        </w:rPr>
        <w:t>rhinitis</w:t>
      </w:r>
      <w:proofErr w:type="spellEnd"/>
      <w:r>
        <w:rPr>
          <w:color w:val="000000"/>
          <w:sz w:val="22"/>
          <w:szCs w:val="22"/>
        </w:rPr>
        <w:t xml:space="preserve">, orrpolipok, </w:t>
      </w:r>
      <w:proofErr w:type="spellStart"/>
      <w:r>
        <w:rPr>
          <w:color w:val="000000"/>
          <w:sz w:val="22"/>
          <w:szCs w:val="22"/>
        </w:rPr>
        <w:t>angioneuroticus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oedema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urticaria</w:t>
      </w:r>
      <w:proofErr w:type="spellEnd"/>
      <w:r>
        <w:rPr>
          <w:color w:val="000000"/>
          <w:sz w:val="22"/>
          <w:szCs w:val="22"/>
        </w:rPr>
        <w:t>, illetve allergiás típusú reakciók jelentkeztek.</w:t>
      </w:r>
    </w:p>
    <w:p w:rsidR="00986B29" w:rsidRDefault="00E55408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Terhesség és szoptatás (lásd 4.6 és 5.3 pont)</w:t>
      </w:r>
    </w:p>
    <w:p w:rsidR="00986B29" w:rsidRDefault="00E55408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Súlyos májfunkciós zavar (szérum albumin &lt; 25 g/l vagy </w:t>
      </w:r>
      <w:proofErr w:type="spellStart"/>
      <w:r>
        <w:rPr>
          <w:color w:val="000000"/>
          <w:sz w:val="22"/>
          <w:szCs w:val="22"/>
        </w:rPr>
        <w:t>Child-Pugh</w:t>
      </w:r>
      <w:proofErr w:type="spellEnd"/>
      <w:r>
        <w:rPr>
          <w:color w:val="000000"/>
          <w:sz w:val="22"/>
          <w:szCs w:val="22"/>
        </w:rPr>
        <w:t xml:space="preserve"> pontszám: ≥ 10).</w:t>
      </w:r>
    </w:p>
    <w:p w:rsidR="00986B29" w:rsidRDefault="00E55408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&lt; 30 ml/perc alatti becsült kreatinin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t xml:space="preserve"> érték.</w:t>
      </w:r>
    </w:p>
    <w:p w:rsidR="00986B29" w:rsidRDefault="00E55408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 évesnél fiatalabb gyermekek és serdülők.</w:t>
      </w:r>
    </w:p>
    <w:p w:rsidR="00986B29" w:rsidRDefault="00E55408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Gyulladásos bélbetegség.</w:t>
      </w:r>
    </w:p>
    <w:p w:rsidR="00986B29" w:rsidRDefault="00E55408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Pangásos</w:t>
      </w:r>
      <w:proofErr w:type="spellEnd"/>
      <w:r>
        <w:rPr>
          <w:color w:val="000000"/>
          <w:sz w:val="22"/>
          <w:szCs w:val="22"/>
        </w:rPr>
        <w:t xml:space="preserve"> szívelégtelenség (NYHA II</w:t>
      </w:r>
      <w:r>
        <w:rPr>
          <w:color w:val="000000"/>
          <w:sz w:val="22"/>
          <w:szCs w:val="22"/>
        </w:rPr>
        <w:noBreakHyphen/>
        <w:t>IV).</w:t>
      </w:r>
    </w:p>
    <w:p w:rsidR="00986B29" w:rsidRDefault="00E55408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Hypertoniában</w:t>
      </w:r>
      <w:proofErr w:type="spellEnd"/>
      <w:r>
        <w:rPr>
          <w:color w:val="000000"/>
          <w:sz w:val="22"/>
          <w:szCs w:val="22"/>
        </w:rPr>
        <w:t xml:space="preserve"> szenvedő betegeknél, akiknek a vérnyomása tartósan 140/90 Hgmm fölé emelkedett és nincs megfelelően beállítva.</w:t>
      </w:r>
    </w:p>
    <w:p w:rsidR="00986B29" w:rsidRDefault="00E55408">
      <w:pPr>
        <w:numPr>
          <w:ilvl w:val="0"/>
          <w:numId w:val="6"/>
        </w:numPr>
        <w:ind w:left="567" w:hanging="567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Ischaemiás</w:t>
      </w:r>
      <w:proofErr w:type="spellEnd"/>
      <w:r>
        <w:rPr>
          <w:color w:val="000000"/>
          <w:sz w:val="22"/>
          <w:szCs w:val="22"/>
        </w:rPr>
        <w:t xml:space="preserve"> szívbetegség, perifériás verőérbetegség és/vagy </w:t>
      </w:r>
      <w:proofErr w:type="spellStart"/>
      <w:r>
        <w:rPr>
          <w:color w:val="000000"/>
          <w:sz w:val="22"/>
          <w:szCs w:val="22"/>
        </w:rPr>
        <w:t>cerebrovascularis</w:t>
      </w:r>
      <w:proofErr w:type="spellEnd"/>
      <w:r>
        <w:rPr>
          <w:color w:val="000000"/>
          <w:sz w:val="22"/>
          <w:szCs w:val="22"/>
        </w:rPr>
        <w:t xml:space="preserve"> megbetegedés </w:t>
      </w:r>
      <w:proofErr w:type="spellStart"/>
      <w:r>
        <w:rPr>
          <w:color w:val="000000"/>
          <w:sz w:val="22"/>
          <w:szCs w:val="22"/>
        </w:rPr>
        <w:t>klinikailag</w:t>
      </w:r>
      <w:proofErr w:type="spellEnd"/>
      <w:r>
        <w:rPr>
          <w:color w:val="000000"/>
          <w:sz w:val="22"/>
          <w:szCs w:val="22"/>
        </w:rPr>
        <w:t xml:space="preserve"> manifeszt formái.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4.4</w:t>
      </w:r>
      <w:r>
        <w:rPr>
          <w:b/>
          <w:noProof/>
          <w:snapToGrid/>
          <w:sz w:val="22"/>
          <w:szCs w:val="22"/>
        </w:rPr>
        <w:tab/>
        <w:t>Különleges figyelmeztetések és az alkalmazással kapcsolatos óvintézkedések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Gastrointestinalis</w:t>
      </w:r>
      <w:proofErr w:type="spellEnd"/>
      <w:r>
        <w:rPr>
          <w:color w:val="000000"/>
          <w:sz w:val="22"/>
          <w:szCs w:val="22"/>
          <w:u w:val="single"/>
        </w:rPr>
        <w:t xml:space="preserve"> hatások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betegeknél felső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szövődmények [perforációk, fekélyek vagy vérzések (PUV-ok)] alakultak ki, amelyek néhány esetben halálos kimenetelűek voltak.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Óvatossággal kell eljárni azon betegek kezelésekor, akiknél NSAID készítmények adása esetén legmagasabb a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szövődmények kialakulásának kockázata: időskorúak, azon betegek, </w:t>
      </w:r>
      <w:r>
        <w:rPr>
          <w:color w:val="000000"/>
          <w:sz w:val="22"/>
          <w:szCs w:val="22"/>
        </w:rPr>
        <w:lastRenderedPageBreak/>
        <w:t xml:space="preserve">akik egyidejűleg más NSAID készítményeket vagy </w:t>
      </w:r>
      <w:proofErr w:type="spellStart"/>
      <w:r>
        <w:rPr>
          <w:color w:val="000000"/>
          <w:sz w:val="22"/>
          <w:szCs w:val="22"/>
        </w:rPr>
        <w:t>acetilszalicilsavat</w:t>
      </w:r>
      <w:proofErr w:type="spellEnd"/>
      <w:r>
        <w:rPr>
          <w:color w:val="000000"/>
          <w:sz w:val="22"/>
          <w:szCs w:val="22"/>
        </w:rPr>
        <w:t xml:space="preserve"> kapnak, vagy akiknek az anamnézisében már szerepel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betegség (pl. fekély és GI vérzés).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acetilszalicilsavval</w:t>
      </w:r>
      <w:proofErr w:type="spellEnd"/>
      <w:r>
        <w:rPr>
          <w:color w:val="000000"/>
          <w:sz w:val="22"/>
          <w:szCs w:val="22"/>
        </w:rPr>
        <w:t xml:space="preserve"> (akár kis dózisokban) való együttes adásakor tovább növekszik a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mellékhatások kialakulásának kockázata (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fekélyek vagy más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szövődmények). A hosszú távú klinikai vizsgálatokban a 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 xml:space="preserve">gátló +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kombináció és a nem-szteroid gyulladásgátló +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kombináció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biztonságossága között nem mutattak ki szignifikáns különbséget (lásd 5.1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Cardiovascularis</w:t>
      </w:r>
      <w:proofErr w:type="spellEnd"/>
      <w:r>
        <w:rPr>
          <w:color w:val="000000"/>
          <w:sz w:val="22"/>
          <w:szCs w:val="22"/>
          <w:u w:val="single"/>
        </w:rPr>
        <w:t xml:space="preserve"> hatások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Klinikai vizsgálatokból arra lehet következtetni, hogy a 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 xml:space="preserve">gátló gyógyszerek osztálya összefüggésbe hozható a </w:t>
      </w:r>
      <w:proofErr w:type="spellStart"/>
      <w:r>
        <w:rPr>
          <w:color w:val="000000"/>
          <w:sz w:val="22"/>
          <w:szCs w:val="22"/>
        </w:rPr>
        <w:t>thromboticus</w:t>
      </w:r>
      <w:proofErr w:type="spellEnd"/>
      <w:r>
        <w:rPr>
          <w:color w:val="000000"/>
          <w:sz w:val="22"/>
          <w:szCs w:val="22"/>
        </w:rPr>
        <w:t xml:space="preserve"> eseményekkel (különösen a </w:t>
      </w:r>
      <w:proofErr w:type="spellStart"/>
      <w:r>
        <w:rPr>
          <w:color w:val="000000"/>
          <w:sz w:val="22"/>
          <w:szCs w:val="22"/>
        </w:rPr>
        <w:t>myocardialis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infarctussal</w:t>
      </w:r>
      <w:proofErr w:type="spellEnd"/>
      <w:r>
        <w:rPr>
          <w:color w:val="000000"/>
          <w:sz w:val="22"/>
          <w:szCs w:val="22"/>
        </w:rPr>
        <w:t xml:space="preserve"> (MI) és a stroke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) a </w:t>
      </w:r>
      <w:proofErr w:type="spellStart"/>
      <w:r>
        <w:rPr>
          <w:color w:val="000000"/>
          <w:sz w:val="22"/>
          <w:szCs w:val="22"/>
        </w:rPr>
        <w:t>placebóhoz</w:t>
      </w:r>
      <w:proofErr w:type="spellEnd"/>
      <w:r>
        <w:rPr>
          <w:color w:val="000000"/>
          <w:sz w:val="22"/>
          <w:szCs w:val="22"/>
        </w:rPr>
        <w:t xml:space="preserve"> és néhány NSAID készítményhez viszonyítva. Mivel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kockázata a dózissal és az expozíció időtartamával fokozódhat, a lehető legrövidebb ideig, a lehető legkisebb hatékony napi adagot kell alkalmazni. A tünetek enyhítésének szükségességét és a beteg kezelésre adott válaszát rendszeres időközönként ellenőrizni kell, különösen az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szenvedő betegek esetében (lásd 4.2, 4.3, 4.8 és 5.1 pontok).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Azokat a betegeket, akiknél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eseményekre hajlamosító jelentős kockázati tényezők (például </w:t>
      </w:r>
      <w:proofErr w:type="spellStart"/>
      <w:r>
        <w:rPr>
          <w:color w:val="000000"/>
          <w:sz w:val="22"/>
          <w:szCs w:val="22"/>
        </w:rPr>
        <w:t>hypertonia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hyperlipidaemia</w:t>
      </w:r>
      <w:proofErr w:type="spellEnd"/>
      <w:r>
        <w:rPr>
          <w:color w:val="000000"/>
          <w:sz w:val="22"/>
          <w:szCs w:val="22"/>
        </w:rPr>
        <w:t xml:space="preserve">, diabetes mellitus, dohányzás) állnak fenn, csak alapos megfontolás után lehet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kezelni (lásd 5.1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 xml:space="preserve">gátlók nem rendelkeznek </w:t>
      </w:r>
      <w:proofErr w:type="spellStart"/>
      <w:r>
        <w:rPr>
          <w:color w:val="000000"/>
          <w:sz w:val="22"/>
          <w:szCs w:val="22"/>
        </w:rPr>
        <w:t>thrombocytagátló</w:t>
      </w:r>
      <w:proofErr w:type="spellEnd"/>
      <w:r>
        <w:rPr>
          <w:color w:val="000000"/>
          <w:sz w:val="22"/>
          <w:szCs w:val="22"/>
        </w:rPr>
        <w:t xml:space="preserve"> hatással, így nem helyettesíthetik az </w:t>
      </w:r>
      <w:proofErr w:type="spellStart"/>
      <w:r>
        <w:rPr>
          <w:color w:val="000000"/>
          <w:sz w:val="22"/>
          <w:szCs w:val="22"/>
        </w:rPr>
        <w:t>acetilszalicilsavat</w:t>
      </w:r>
      <w:proofErr w:type="spellEnd"/>
      <w:r>
        <w:rPr>
          <w:color w:val="000000"/>
          <w:sz w:val="22"/>
          <w:szCs w:val="22"/>
        </w:rPr>
        <w:t xml:space="preserve">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thromboemboliás</w:t>
      </w:r>
      <w:proofErr w:type="spellEnd"/>
      <w:r>
        <w:rPr>
          <w:color w:val="000000"/>
          <w:sz w:val="22"/>
          <w:szCs w:val="22"/>
        </w:rPr>
        <w:t xml:space="preserve"> megbetegedések profilaxisában. Ezért a </w:t>
      </w:r>
      <w:proofErr w:type="spellStart"/>
      <w:r>
        <w:rPr>
          <w:color w:val="000000"/>
          <w:sz w:val="22"/>
          <w:szCs w:val="22"/>
        </w:rPr>
        <w:t>thrombocytagátló</w:t>
      </w:r>
      <w:proofErr w:type="spellEnd"/>
      <w:r>
        <w:rPr>
          <w:color w:val="000000"/>
          <w:sz w:val="22"/>
          <w:szCs w:val="22"/>
        </w:rPr>
        <w:t xml:space="preserve"> kezelést nem szabad leállítani (lásd 4.5 és 5.1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Renalis</w:t>
      </w:r>
      <w:proofErr w:type="spellEnd"/>
      <w:r>
        <w:rPr>
          <w:color w:val="000000"/>
          <w:sz w:val="22"/>
          <w:szCs w:val="22"/>
          <w:u w:val="single"/>
        </w:rPr>
        <w:t xml:space="preserve"> hatások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renalis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prosztaglandinoknak</w:t>
      </w:r>
      <w:proofErr w:type="spellEnd"/>
      <w:r>
        <w:rPr>
          <w:color w:val="000000"/>
          <w:sz w:val="22"/>
          <w:szCs w:val="22"/>
        </w:rPr>
        <w:t xml:space="preserve"> kompenzáló szerepük lehet a vese perfúziójának fenntartásában. Ezért csökkent vese</w:t>
      </w:r>
      <w:r>
        <w:rPr>
          <w:color w:val="000000"/>
          <w:sz w:val="22"/>
          <w:szCs w:val="22"/>
        </w:rPr>
        <w:noBreakHyphen/>
        <w:t xml:space="preserve">perfúzió esetén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-adagolás csökkentheti a </w:t>
      </w:r>
      <w:proofErr w:type="spellStart"/>
      <w:r>
        <w:rPr>
          <w:color w:val="000000"/>
          <w:sz w:val="22"/>
          <w:szCs w:val="22"/>
        </w:rPr>
        <w:t>prosztaglandin</w:t>
      </w:r>
      <w:proofErr w:type="spellEnd"/>
      <w:r>
        <w:rPr>
          <w:color w:val="000000"/>
          <w:sz w:val="22"/>
          <w:szCs w:val="22"/>
        </w:rPr>
        <w:t xml:space="preserve">-termelést és másodlagosan a </w:t>
      </w:r>
      <w:proofErr w:type="spellStart"/>
      <w:r>
        <w:rPr>
          <w:color w:val="000000"/>
          <w:sz w:val="22"/>
          <w:szCs w:val="22"/>
        </w:rPr>
        <w:t>renalis</w:t>
      </w:r>
      <w:proofErr w:type="spellEnd"/>
      <w:r>
        <w:rPr>
          <w:color w:val="000000"/>
          <w:sz w:val="22"/>
          <w:szCs w:val="22"/>
        </w:rPr>
        <w:t xml:space="preserve"> véráramlást, csökkentve ezáltal a vesefunkciót. Ennek a veszélynek leginkább a már eleve jelentősen csökkent vesefunkciójú, dekompenzált szívelégtelenségben vagy </w:t>
      </w:r>
      <w:proofErr w:type="spellStart"/>
      <w:r>
        <w:rPr>
          <w:color w:val="000000"/>
          <w:sz w:val="22"/>
          <w:szCs w:val="22"/>
        </w:rPr>
        <w:t>cirrhosisban</w:t>
      </w:r>
      <w:proofErr w:type="spellEnd"/>
      <w:r>
        <w:rPr>
          <w:color w:val="000000"/>
          <w:sz w:val="22"/>
          <w:szCs w:val="22"/>
        </w:rPr>
        <w:t xml:space="preserve"> szenvedő betegek vannak kitéve. Ezeknél a betegeknél felmerül a vesefunkció ellenőrzésének szükségessége.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Folyadékretenció, </w:t>
      </w:r>
      <w:proofErr w:type="spellStart"/>
      <w:r>
        <w:rPr>
          <w:color w:val="000000"/>
          <w:sz w:val="22"/>
          <w:szCs w:val="22"/>
          <w:u w:val="single"/>
        </w:rPr>
        <w:t>oedema</w:t>
      </w:r>
      <w:proofErr w:type="spellEnd"/>
      <w:r>
        <w:rPr>
          <w:color w:val="000000"/>
          <w:sz w:val="22"/>
          <w:szCs w:val="22"/>
          <w:u w:val="single"/>
        </w:rPr>
        <w:t xml:space="preserve"> és </w:t>
      </w:r>
      <w:proofErr w:type="spellStart"/>
      <w:r>
        <w:rPr>
          <w:color w:val="000000"/>
          <w:sz w:val="22"/>
          <w:szCs w:val="22"/>
          <w:u w:val="single"/>
        </w:rPr>
        <w:t>hypertonia</w:t>
      </w:r>
      <w:proofErr w:type="spellEnd"/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prosztaglandinszintézist</w:t>
      </w:r>
      <w:proofErr w:type="spellEnd"/>
      <w:r>
        <w:rPr>
          <w:color w:val="000000"/>
          <w:sz w:val="22"/>
          <w:szCs w:val="22"/>
        </w:rPr>
        <w:t xml:space="preserve"> gátló egyéb gyógyszerekhez hasonlóan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betegeknél folyadékretenciót, </w:t>
      </w:r>
      <w:proofErr w:type="spellStart"/>
      <w:r>
        <w:rPr>
          <w:color w:val="000000"/>
          <w:sz w:val="22"/>
          <w:szCs w:val="22"/>
        </w:rPr>
        <w:t>oedemát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hypertoniát</w:t>
      </w:r>
      <w:proofErr w:type="spellEnd"/>
      <w:r>
        <w:rPr>
          <w:color w:val="000000"/>
          <w:sz w:val="22"/>
          <w:szCs w:val="22"/>
        </w:rPr>
        <w:t xml:space="preserve"> figyeltek meg. Mint minden nem-szteroid gyulladásgátló (NSAID) gyógyszer, így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is újonnan kialakuló vagy ismételten fellépő </w:t>
      </w:r>
      <w:proofErr w:type="spellStart"/>
      <w:r>
        <w:rPr>
          <w:color w:val="000000"/>
          <w:sz w:val="22"/>
          <w:szCs w:val="22"/>
        </w:rPr>
        <w:t>pangásos</w:t>
      </w:r>
      <w:proofErr w:type="spellEnd"/>
      <w:r>
        <w:rPr>
          <w:color w:val="000000"/>
          <w:sz w:val="22"/>
          <w:szCs w:val="22"/>
        </w:rPr>
        <w:t xml:space="preserve"> szívelégtelenséggel járhat. Az </w:t>
      </w:r>
      <w:proofErr w:type="spellStart"/>
      <w:r>
        <w:rPr>
          <w:color w:val="000000"/>
          <w:sz w:val="22"/>
          <w:szCs w:val="22"/>
        </w:rPr>
        <w:t>etorikoxibra</w:t>
      </w:r>
      <w:proofErr w:type="spellEnd"/>
      <w:r>
        <w:rPr>
          <w:color w:val="000000"/>
          <w:sz w:val="22"/>
          <w:szCs w:val="22"/>
        </w:rPr>
        <w:t xml:space="preserve"> adott dózisfüggő válaszra vonatkozó információkat illetően lásd az 5.1 pontot. Fokozott óvatosság szükséges az anamnézisben szereplő szívelégtelenség, balkamra </w:t>
      </w:r>
      <w:proofErr w:type="spellStart"/>
      <w:r>
        <w:rPr>
          <w:color w:val="000000"/>
          <w:sz w:val="22"/>
          <w:szCs w:val="22"/>
        </w:rPr>
        <w:t>dysfunctio</w:t>
      </w:r>
      <w:proofErr w:type="spellEnd"/>
      <w:r>
        <w:rPr>
          <w:color w:val="000000"/>
          <w:sz w:val="22"/>
          <w:szCs w:val="22"/>
        </w:rPr>
        <w:t xml:space="preserve">, illetve </w:t>
      </w:r>
      <w:proofErr w:type="spellStart"/>
      <w:r>
        <w:rPr>
          <w:color w:val="000000"/>
          <w:sz w:val="22"/>
          <w:szCs w:val="22"/>
        </w:rPr>
        <w:t>hypertonia</w:t>
      </w:r>
      <w:proofErr w:type="spellEnd"/>
      <w:r>
        <w:rPr>
          <w:color w:val="000000"/>
          <w:sz w:val="22"/>
          <w:szCs w:val="22"/>
        </w:rPr>
        <w:t xml:space="preserve">, valamint bármilyen egyéb okból fennálló </w:t>
      </w:r>
      <w:proofErr w:type="spellStart"/>
      <w:r>
        <w:rPr>
          <w:color w:val="000000"/>
          <w:sz w:val="22"/>
          <w:szCs w:val="22"/>
        </w:rPr>
        <w:t>oedema</w:t>
      </w:r>
      <w:proofErr w:type="spellEnd"/>
      <w:r>
        <w:rPr>
          <w:color w:val="000000"/>
          <w:sz w:val="22"/>
          <w:szCs w:val="22"/>
        </w:rPr>
        <w:t xml:space="preserve"> esetén. Ha a betegek említett kórképeinek rosszabbodására utaló klinikai jelek észlelhetők, megfelelő intézkedéseket kell tenni, beleértve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elhagyását is.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gyakoribb és súlyosabb </w:t>
      </w:r>
      <w:proofErr w:type="spellStart"/>
      <w:r>
        <w:rPr>
          <w:color w:val="000000"/>
          <w:sz w:val="22"/>
          <w:szCs w:val="22"/>
        </w:rPr>
        <w:t>hypertoniát</w:t>
      </w:r>
      <w:proofErr w:type="spellEnd"/>
      <w:r>
        <w:rPr>
          <w:color w:val="000000"/>
          <w:sz w:val="22"/>
          <w:szCs w:val="22"/>
        </w:rPr>
        <w:t xml:space="preserve"> okozhat, mint néhány egyéb NSAID készítmény és 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 xml:space="preserve">gátló, különösen magas dózisokban alkalmazva. Ezért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 xml:space="preserve">kezelés megkezdése előtt a vérnyomást be kell állítani (lásd 4.3 pont) és különös figyelmet kell fordítani a vérnyomás ellenőrzésére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>-kezelés alatt. A vérnyomást a kezelés megkezdését követő két héten belül, majd ezt követően rendszeresen ellenőrizni kell. Ha a vérnyomás jelentősen megemelkedik, alternatív kezelés alkalmazását kell fontolóra venni.</w:t>
      </w:r>
    </w:p>
    <w:p w:rsidR="00986B29" w:rsidRDefault="00986B29">
      <w:pPr>
        <w:rPr>
          <w:i/>
          <w:iCs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Hepaticus</w:t>
      </w:r>
      <w:proofErr w:type="spellEnd"/>
      <w:r>
        <w:rPr>
          <w:color w:val="000000"/>
          <w:sz w:val="22"/>
          <w:szCs w:val="22"/>
          <w:u w:val="single"/>
        </w:rPr>
        <w:t xml:space="preserve"> hatások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napi 30, 60 vagy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maximum egy éven át kezelt betegek bevonásával végzett klinikai vizsgálatokban a betegek körülbelül 1%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ánál</w:t>
      </w:r>
      <w:proofErr w:type="spellEnd"/>
      <w:r>
        <w:rPr>
          <w:color w:val="000000"/>
          <w:sz w:val="22"/>
          <w:szCs w:val="22"/>
        </w:rPr>
        <w:t xml:space="preserve"> jelentették az </w:t>
      </w:r>
      <w:proofErr w:type="spellStart"/>
      <w:r>
        <w:rPr>
          <w:color w:val="000000"/>
          <w:sz w:val="22"/>
          <w:szCs w:val="22"/>
        </w:rPr>
        <w:t>alanin-aminotranszferáz</w:t>
      </w:r>
      <w:proofErr w:type="spellEnd"/>
      <w:r>
        <w:rPr>
          <w:color w:val="000000"/>
          <w:sz w:val="22"/>
          <w:szCs w:val="22"/>
        </w:rPr>
        <w:t xml:space="preserve"> (ALAT/GPT) és/vagy az aszpartát-</w:t>
      </w:r>
      <w:proofErr w:type="spellStart"/>
      <w:r>
        <w:rPr>
          <w:color w:val="000000"/>
          <w:sz w:val="22"/>
          <w:szCs w:val="22"/>
        </w:rPr>
        <w:t>aminotranszferáz</w:t>
      </w:r>
      <w:proofErr w:type="spellEnd"/>
      <w:r>
        <w:rPr>
          <w:color w:val="000000"/>
          <w:sz w:val="22"/>
          <w:szCs w:val="22"/>
        </w:rPr>
        <w:t xml:space="preserve"> (ASAT/GOT) szint emelkedését (a felső normálérték kb. háromszorosára vagy több mint háromszorosára).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májbetegségre utaló tünetek és/vagy jelek, illetve kóros májfunkciós eredmény esetén a beteget megfigyelés alatt kell tartani. Májbetegségre utaló jelek esetén, illetve ha tartósan kóros májfunkciós eltérésekre (a felső normálérték háromszorosa) derül fény,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>kezelést el kell hagyni.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Általános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Amennyiben a kezelés során a betegeknél bármelyik fent említett szervrendszer működése romlik, megfelelő intézkedéseket kell tenni, és megfontolandó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kezelés felfüggesztése.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>kezelés esetén megfelelő orvosi ellenőrzésre van szükség idős, illetve vese</w:t>
      </w:r>
      <w:r>
        <w:rPr>
          <w:color w:val="000000"/>
          <w:sz w:val="22"/>
          <w:szCs w:val="22"/>
        </w:rPr>
        <w:noBreakHyphen/>
        <w:t>, máj</w:t>
      </w:r>
      <w:r>
        <w:rPr>
          <w:color w:val="000000"/>
          <w:sz w:val="22"/>
          <w:szCs w:val="22"/>
        </w:rPr>
        <w:noBreakHyphen/>
        <w:t xml:space="preserve"> vagy szívbetegségben szenvedő betegeknél.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Dehidrált betegeknél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-kezelést kellő körültekintéssel kell megkezdeni. Ajánlatos a betegek </w:t>
      </w:r>
      <w:proofErr w:type="spellStart"/>
      <w:r>
        <w:rPr>
          <w:color w:val="000000"/>
          <w:sz w:val="22"/>
          <w:szCs w:val="22"/>
        </w:rPr>
        <w:t>rehidrálása</w:t>
      </w:r>
      <w:proofErr w:type="spellEnd"/>
      <w:r>
        <w:rPr>
          <w:color w:val="000000"/>
          <w:sz w:val="22"/>
          <w:szCs w:val="22"/>
        </w:rPr>
        <w:t xml:space="preserve">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>kezelés megkezdése előtt.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forgalomba hozatalt követően végzett vizsgálatokban NSAID készítmények és néhány szelektív COX-2-gátló alkalmazásával összefüggésben súlyos, néhány esetben halálos kimenetelű bőrreakciókról (beleértve az </w:t>
      </w:r>
      <w:proofErr w:type="spellStart"/>
      <w:r>
        <w:rPr>
          <w:color w:val="000000"/>
          <w:sz w:val="22"/>
          <w:szCs w:val="22"/>
        </w:rPr>
        <w:t>exfoliativ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dermatitist</w:t>
      </w:r>
      <w:proofErr w:type="spellEnd"/>
      <w:r>
        <w:rPr>
          <w:color w:val="000000"/>
          <w:sz w:val="22"/>
          <w:szCs w:val="22"/>
        </w:rPr>
        <w:t xml:space="preserve">, a </w:t>
      </w:r>
      <w:proofErr w:type="spellStart"/>
      <w:r>
        <w:rPr>
          <w:color w:val="000000"/>
          <w:sz w:val="22"/>
          <w:szCs w:val="22"/>
        </w:rPr>
        <w:t>Stevens</w:t>
      </w:r>
      <w:proofErr w:type="spellEnd"/>
      <w:r>
        <w:rPr>
          <w:color w:val="000000"/>
          <w:sz w:val="22"/>
          <w:szCs w:val="22"/>
        </w:rPr>
        <w:t xml:space="preserve">—Johnson-szindrómát, és a </w:t>
      </w:r>
      <w:proofErr w:type="spellStart"/>
      <w:r>
        <w:rPr>
          <w:color w:val="000000"/>
          <w:sz w:val="22"/>
          <w:szCs w:val="22"/>
        </w:rPr>
        <w:t>toxicus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epidermalis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necrolysist</w:t>
      </w:r>
      <w:proofErr w:type="spellEnd"/>
      <w:r>
        <w:rPr>
          <w:color w:val="000000"/>
          <w:sz w:val="22"/>
          <w:szCs w:val="22"/>
        </w:rPr>
        <w:t xml:space="preserve">) számoltak be nagyon ritkán (lásd 4.8 pont). Úgy tűnik, hogy a betegek a terápia kezdeti szakaszán vannak leginkább kitéve ezen reakciók kockázatának és az esetek nagy részében a reakció kezdete a kezelés első hónapjára tehető.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kapó betegeknél súlyos túlérzékenységi reakciókat (úgymint </w:t>
      </w:r>
      <w:proofErr w:type="spellStart"/>
      <w:r>
        <w:rPr>
          <w:color w:val="000000"/>
          <w:sz w:val="22"/>
          <w:szCs w:val="22"/>
        </w:rPr>
        <w:t>anafilaxia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angiooedema</w:t>
      </w:r>
      <w:proofErr w:type="spellEnd"/>
      <w:r>
        <w:rPr>
          <w:color w:val="000000"/>
          <w:sz w:val="22"/>
          <w:szCs w:val="22"/>
        </w:rPr>
        <w:t>) jelentettek (lásd 4.8 pont). Egyes szelektív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 xml:space="preserve">gátlókat összefüggésbe hozták a bőrreakciók megnövekedett kockázatával olyan betegek esetében, akiknél korábban bármilyen gyógyszerallergia előfordult.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>kezelést abba kell hagyni bőrkiütés, nyálkahártya-elváltozások vagy a túlérzékenység bármely más jelének első megjelenésekor.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elfedheti a lázat és a gyulladás egyéb tüneteit.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warfarinnal</w:t>
      </w:r>
      <w:proofErr w:type="spellEnd"/>
      <w:r>
        <w:rPr>
          <w:color w:val="000000"/>
          <w:sz w:val="22"/>
          <w:szCs w:val="22"/>
        </w:rPr>
        <w:t xml:space="preserve"> vagy egyéb orális </w:t>
      </w:r>
      <w:proofErr w:type="spellStart"/>
      <w:r>
        <w:rPr>
          <w:color w:val="000000"/>
          <w:sz w:val="22"/>
          <w:szCs w:val="22"/>
        </w:rPr>
        <w:t>antikoagulánssal</w:t>
      </w:r>
      <w:proofErr w:type="spellEnd"/>
      <w:r>
        <w:rPr>
          <w:color w:val="000000"/>
          <w:sz w:val="22"/>
          <w:szCs w:val="22"/>
        </w:rPr>
        <w:t xml:space="preserve"> való </w:t>
      </w:r>
      <w:proofErr w:type="spellStart"/>
      <w:r>
        <w:rPr>
          <w:color w:val="000000"/>
          <w:sz w:val="22"/>
          <w:szCs w:val="22"/>
        </w:rPr>
        <w:t>együttadásakor</w:t>
      </w:r>
      <w:proofErr w:type="spellEnd"/>
      <w:r>
        <w:rPr>
          <w:color w:val="000000"/>
          <w:sz w:val="22"/>
          <w:szCs w:val="22"/>
        </w:rPr>
        <w:t xml:space="preserve"> óvatossággal kell eljárni (lásd 4.5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alkalmazása – más </w:t>
      </w:r>
      <w:proofErr w:type="spellStart"/>
      <w:r>
        <w:rPr>
          <w:color w:val="000000"/>
          <w:sz w:val="22"/>
          <w:szCs w:val="22"/>
        </w:rPr>
        <w:t>ciklooxigenáz</w:t>
      </w:r>
      <w:proofErr w:type="spellEnd"/>
      <w:r>
        <w:rPr>
          <w:color w:val="000000"/>
          <w:sz w:val="22"/>
          <w:szCs w:val="22"/>
        </w:rPr>
        <w:t>/</w:t>
      </w:r>
      <w:proofErr w:type="spellStart"/>
      <w:r>
        <w:rPr>
          <w:color w:val="000000"/>
          <w:sz w:val="22"/>
          <w:szCs w:val="22"/>
        </w:rPr>
        <w:t>prosztaglandinszintézist</w:t>
      </w:r>
      <w:proofErr w:type="spellEnd"/>
      <w:r>
        <w:rPr>
          <w:color w:val="000000"/>
          <w:sz w:val="22"/>
          <w:szCs w:val="22"/>
        </w:rPr>
        <w:t xml:space="preserve"> gátló gyógyszerekhez hasonlóan – nem ajánlott olyan nőknél, akik teherbe kívánnak esni (lásd 4.6, 5.1 és 5.3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Nátriumtartalom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készítmény kevesebb mint 1 </w:t>
      </w:r>
      <w:proofErr w:type="spellStart"/>
      <w:r>
        <w:rPr>
          <w:color w:val="000000"/>
          <w:sz w:val="22"/>
          <w:szCs w:val="22"/>
        </w:rPr>
        <w:t>mmol</w:t>
      </w:r>
      <w:proofErr w:type="spellEnd"/>
      <w:r>
        <w:rPr>
          <w:color w:val="000000"/>
          <w:sz w:val="22"/>
          <w:szCs w:val="22"/>
        </w:rPr>
        <w:t xml:space="preserve"> (23 mg) nátriumot tartalmaz tablettánként, azaz gyakorlatilag „nátriummentes”.</w:t>
      </w:r>
    </w:p>
    <w:p w:rsidR="00986B29" w:rsidRDefault="00986B29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4.5</w:t>
      </w:r>
      <w:r>
        <w:rPr>
          <w:b/>
          <w:noProof/>
          <w:snapToGrid/>
          <w:sz w:val="22"/>
          <w:szCs w:val="22"/>
        </w:rPr>
        <w:tab/>
        <w:t>Gyógyszerkölcsönhatások és egyéb interakciók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Farmakodinámiás</w:t>
      </w:r>
      <w:proofErr w:type="spellEnd"/>
      <w:r>
        <w:rPr>
          <w:color w:val="000000"/>
          <w:sz w:val="22"/>
          <w:szCs w:val="22"/>
          <w:u w:val="single"/>
        </w:rPr>
        <w:t xml:space="preserve"> interakciók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Orális </w:t>
      </w:r>
      <w:proofErr w:type="spellStart"/>
      <w:r>
        <w:rPr>
          <w:i/>
          <w:color w:val="000000"/>
          <w:sz w:val="22"/>
          <w:szCs w:val="22"/>
        </w:rPr>
        <w:t>antikoagulánsok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Jól beállított, tartósan </w:t>
      </w:r>
      <w:proofErr w:type="spellStart"/>
      <w:r>
        <w:rPr>
          <w:color w:val="000000"/>
          <w:sz w:val="22"/>
          <w:szCs w:val="22"/>
        </w:rPr>
        <w:t>warfarinnal</w:t>
      </w:r>
      <w:proofErr w:type="spellEnd"/>
      <w:r>
        <w:rPr>
          <w:color w:val="000000"/>
          <w:sz w:val="22"/>
          <w:szCs w:val="22"/>
        </w:rPr>
        <w:t xml:space="preserve"> kezelt betegeknél napi 120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 Nemzetközi Normalizált Arányszám (INR)-</w:t>
      </w:r>
      <w:proofErr w:type="spellStart"/>
      <w:r>
        <w:rPr>
          <w:color w:val="000000"/>
          <w:sz w:val="22"/>
          <w:szCs w:val="22"/>
        </w:rPr>
        <w:t>ben</w:t>
      </w:r>
      <w:proofErr w:type="spellEnd"/>
      <w:r>
        <w:rPr>
          <w:color w:val="000000"/>
          <w:sz w:val="22"/>
          <w:szCs w:val="22"/>
        </w:rPr>
        <w:t xml:space="preserve"> kifejezett </w:t>
      </w:r>
      <w:proofErr w:type="spellStart"/>
      <w:r>
        <w:rPr>
          <w:color w:val="000000"/>
          <w:sz w:val="22"/>
          <w:szCs w:val="22"/>
        </w:rPr>
        <w:t>protrombin</w:t>
      </w:r>
      <w:proofErr w:type="spellEnd"/>
      <w:r>
        <w:rPr>
          <w:color w:val="000000"/>
          <w:sz w:val="22"/>
          <w:szCs w:val="22"/>
        </w:rPr>
        <w:t xml:space="preserve"> idő körülbelül 13%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növekedését okozta. Ezért az orális </w:t>
      </w:r>
      <w:proofErr w:type="spellStart"/>
      <w:r>
        <w:rPr>
          <w:color w:val="000000"/>
          <w:sz w:val="22"/>
          <w:szCs w:val="22"/>
        </w:rPr>
        <w:t>antikoagulánsokat</w:t>
      </w:r>
      <w:proofErr w:type="spellEnd"/>
      <w:r>
        <w:rPr>
          <w:color w:val="000000"/>
          <w:sz w:val="22"/>
          <w:szCs w:val="22"/>
        </w:rPr>
        <w:t xml:space="preserve"> szedő betegeknél rendszeresen ellenőrizni kell az INR </w:t>
      </w:r>
      <w:proofErr w:type="spellStart"/>
      <w:r>
        <w:rPr>
          <w:color w:val="000000"/>
          <w:sz w:val="22"/>
          <w:szCs w:val="22"/>
        </w:rPr>
        <w:t>protrombinidő</w:t>
      </w:r>
      <w:proofErr w:type="spellEnd"/>
      <w:r>
        <w:rPr>
          <w:color w:val="000000"/>
          <w:sz w:val="22"/>
          <w:szCs w:val="22"/>
        </w:rPr>
        <w:t xml:space="preserve">-értékeket, főként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>kezelés megkezdését vagy a dózis megváltoztatását követő néhány napon (lásd 4.4 pont).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Diuretikumok</w:t>
      </w:r>
      <w:proofErr w:type="spellEnd"/>
      <w:r>
        <w:rPr>
          <w:i/>
          <w:color w:val="000000"/>
          <w:sz w:val="22"/>
          <w:szCs w:val="22"/>
        </w:rPr>
        <w:t>, ACE</w:t>
      </w:r>
      <w:r>
        <w:rPr>
          <w:i/>
          <w:color w:val="000000"/>
          <w:sz w:val="22"/>
          <w:szCs w:val="22"/>
        </w:rPr>
        <w:noBreakHyphen/>
        <w:t xml:space="preserve">gátlók és </w:t>
      </w:r>
      <w:proofErr w:type="spellStart"/>
      <w:r>
        <w:rPr>
          <w:i/>
          <w:color w:val="000000"/>
          <w:sz w:val="22"/>
          <w:szCs w:val="22"/>
        </w:rPr>
        <w:t>angiotenzin</w:t>
      </w:r>
      <w:proofErr w:type="spellEnd"/>
      <w:r>
        <w:rPr>
          <w:i/>
          <w:color w:val="000000"/>
          <w:sz w:val="22"/>
          <w:szCs w:val="22"/>
        </w:rPr>
        <w:noBreakHyphen/>
        <w:t>II</w:t>
      </w:r>
      <w:r>
        <w:rPr>
          <w:i/>
          <w:color w:val="000000"/>
          <w:sz w:val="22"/>
          <w:szCs w:val="22"/>
        </w:rPr>
        <w:noBreakHyphen/>
      </w:r>
      <w:proofErr w:type="spellStart"/>
      <w:r>
        <w:rPr>
          <w:i/>
          <w:color w:val="000000"/>
          <w:sz w:val="22"/>
          <w:szCs w:val="22"/>
        </w:rPr>
        <w:t>antagonisták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Az NSAID csoportba tartozó szerek csökkenthetik a </w:t>
      </w:r>
      <w:proofErr w:type="spellStart"/>
      <w:r>
        <w:rPr>
          <w:color w:val="000000"/>
          <w:sz w:val="22"/>
          <w:szCs w:val="22"/>
        </w:rPr>
        <w:t>diuretikumok</w:t>
      </w:r>
      <w:proofErr w:type="spellEnd"/>
      <w:r>
        <w:rPr>
          <w:color w:val="000000"/>
          <w:sz w:val="22"/>
          <w:szCs w:val="22"/>
        </w:rPr>
        <w:t xml:space="preserve"> és az egyéb vérnyomáscsökkentő szerek hatását. Egyes csökkent vesefunkciójú betegeknél (pl. dehidrált betegek vagy csökkent vesefunkciójú idős betegek) az ACE</w:t>
      </w:r>
      <w:r>
        <w:rPr>
          <w:color w:val="000000"/>
          <w:sz w:val="22"/>
          <w:szCs w:val="22"/>
        </w:rPr>
        <w:noBreakHyphen/>
        <w:t xml:space="preserve">gátlók vagy </w:t>
      </w:r>
      <w:proofErr w:type="spellStart"/>
      <w:r>
        <w:rPr>
          <w:color w:val="000000"/>
          <w:sz w:val="22"/>
          <w:szCs w:val="22"/>
        </w:rPr>
        <w:t>angiotenzin</w:t>
      </w:r>
      <w:proofErr w:type="spellEnd"/>
      <w:r>
        <w:rPr>
          <w:color w:val="000000"/>
          <w:sz w:val="22"/>
          <w:szCs w:val="22"/>
        </w:rPr>
        <w:noBreakHyphen/>
        <w:t>II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antagonisták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ciklooxigenáz</w:t>
      </w:r>
      <w:proofErr w:type="spellEnd"/>
      <w:r>
        <w:rPr>
          <w:color w:val="000000"/>
          <w:sz w:val="22"/>
          <w:szCs w:val="22"/>
        </w:rPr>
        <w:noBreakHyphen/>
        <w:t xml:space="preserve">gátlók együttes adása tovább ronthatja a vesefunkciót és akut veseelégtelenséget is okozhat. Ez a hatás azonban általában reverzibilis. Ezeket a kölcsönhatásokat figyelembe kell venni azoknál a betegeknél, akik párhuzamosan szednek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és ACE</w:t>
      </w:r>
      <w:r>
        <w:rPr>
          <w:color w:val="000000"/>
          <w:sz w:val="22"/>
          <w:szCs w:val="22"/>
        </w:rPr>
        <w:noBreakHyphen/>
        <w:t xml:space="preserve">gátlókat, vagy </w:t>
      </w:r>
      <w:proofErr w:type="spellStart"/>
      <w:r>
        <w:rPr>
          <w:color w:val="000000"/>
          <w:sz w:val="22"/>
          <w:szCs w:val="22"/>
        </w:rPr>
        <w:t>angiotenzin</w:t>
      </w:r>
      <w:proofErr w:type="spellEnd"/>
      <w:r>
        <w:rPr>
          <w:color w:val="000000"/>
          <w:sz w:val="22"/>
          <w:szCs w:val="22"/>
        </w:rPr>
        <w:noBreakHyphen/>
        <w:t>II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antagonistákat</w:t>
      </w:r>
      <w:proofErr w:type="spellEnd"/>
      <w:r>
        <w:rPr>
          <w:color w:val="000000"/>
          <w:sz w:val="22"/>
          <w:szCs w:val="22"/>
        </w:rPr>
        <w:t xml:space="preserve">. Következésképpen, a gyógyszerkombináció alkalmazásakor óvatossággal kell eljárni, különösen az időskorú betegek esetében. A betegeket megfelelően </w:t>
      </w:r>
      <w:proofErr w:type="spellStart"/>
      <w:r>
        <w:rPr>
          <w:color w:val="000000"/>
          <w:sz w:val="22"/>
          <w:szCs w:val="22"/>
        </w:rPr>
        <w:t>hidrálni</w:t>
      </w:r>
      <w:proofErr w:type="spellEnd"/>
      <w:r>
        <w:rPr>
          <w:color w:val="000000"/>
          <w:sz w:val="22"/>
          <w:szCs w:val="22"/>
        </w:rPr>
        <w:t xml:space="preserve"> kell, valamint fontolóra kell venni a vesefunkció ellenőrzését az együttes terápia megkezdésekor, majd azt követően rendszeres időközönként.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Acetilszalicilsav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Egy egészséges személyeken végzett vizsgálat során, a napi egyszeri 120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>, elérve az egyensúlyi, „</w:t>
      </w:r>
      <w:proofErr w:type="spellStart"/>
      <w:r>
        <w:rPr>
          <w:color w:val="000000"/>
          <w:sz w:val="22"/>
          <w:szCs w:val="22"/>
        </w:rPr>
        <w:t>steady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state</w:t>
      </w:r>
      <w:proofErr w:type="spellEnd"/>
      <w:r>
        <w:rPr>
          <w:color w:val="000000"/>
          <w:sz w:val="22"/>
          <w:szCs w:val="22"/>
        </w:rPr>
        <w:t xml:space="preserve">” állapotot, nem befolyásolta az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(napi egyszeri 81 mg) </w:t>
      </w:r>
      <w:proofErr w:type="spellStart"/>
      <w:r>
        <w:rPr>
          <w:color w:val="000000"/>
          <w:sz w:val="22"/>
          <w:szCs w:val="22"/>
        </w:rPr>
        <w:t>thrombocytaaggregáció</w:t>
      </w:r>
      <w:proofErr w:type="spellEnd"/>
      <w:r>
        <w:rPr>
          <w:color w:val="000000"/>
          <w:sz w:val="22"/>
          <w:szCs w:val="22"/>
        </w:rPr>
        <w:t xml:space="preserve">-gátló hatását.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párhuzamosan alkalmazható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profilaxis céljából (kis dózisban) adott </w:t>
      </w:r>
      <w:proofErr w:type="spellStart"/>
      <w:r>
        <w:rPr>
          <w:color w:val="000000"/>
          <w:sz w:val="22"/>
          <w:szCs w:val="22"/>
        </w:rPr>
        <w:t>acetilszalicilsavval</w:t>
      </w:r>
      <w:proofErr w:type="spellEnd"/>
      <w:r>
        <w:rPr>
          <w:color w:val="000000"/>
          <w:sz w:val="22"/>
          <w:szCs w:val="22"/>
        </w:rPr>
        <w:t xml:space="preserve">. A kis dózisú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és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együttes alkalmazása azonban növelheti a GI fekélyek és más szövődmények gyakoriságát az önmagában alkalmazott </w:t>
      </w:r>
      <w:proofErr w:type="spellStart"/>
      <w:r>
        <w:rPr>
          <w:color w:val="000000"/>
          <w:sz w:val="22"/>
          <w:szCs w:val="22"/>
        </w:rPr>
        <w:t>etorikoxibhoz</w:t>
      </w:r>
      <w:proofErr w:type="spellEnd"/>
      <w:r>
        <w:rPr>
          <w:color w:val="000000"/>
          <w:sz w:val="22"/>
          <w:szCs w:val="22"/>
        </w:rPr>
        <w:t xml:space="preserve"> viszonyítva.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profilaxis céljára használt dózisnál nagyobb mennyiségű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vagy más NSAID gyógyszer és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együttes adása nem javasolt (lásd 5.1 és 4.4 pont).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Ciklosporin</w:t>
      </w:r>
      <w:proofErr w:type="spellEnd"/>
      <w:r>
        <w:rPr>
          <w:i/>
          <w:color w:val="000000"/>
          <w:sz w:val="22"/>
          <w:szCs w:val="22"/>
        </w:rPr>
        <w:t xml:space="preserve"> és </w:t>
      </w:r>
      <w:proofErr w:type="spellStart"/>
      <w:r>
        <w:rPr>
          <w:i/>
          <w:color w:val="000000"/>
          <w:sz w:val="22"/>
          <w:szCs w:val="22"/>
        </w:rPr>
        <w:t>takrolimusz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Bár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esetében nem vizsgálták, bármilyen NSAID készítmény és a </w:t>
      </w:r>
      <w:proofErr w:type="spellStart"/>
      <w:r>
        <w:rPr>
          <w:color w:val="000000"/>
          <w:sz w:val="22"/>
          <w:szCs w:val="22"/>
        </w:rPr>
        <w:t>ciklosporin</w:t>
      </w:r>
      <w:proofErr w:type="spellEnd"/>
      <w:r>
        <w:rPr>
          <w:color w:val="000000"/>
          <w:sz w:val="22"/>
          <w:szCs w:val="22"/>
        </w:rPr>
        <w:t xml:space="preserve"> vagy a </w:t>
      </w:r>
      <w:proofErr w:type="spellStart"/>
      <w:r>
        <w:rPr>
          <w:color w:val="000000"/>
          <w:sz w:val="22"/>
          <w:szCs w:val="22"/>
        </w:rPr>
        <w:t>takrolimusz</w:t>
      </w:r>
      <w:proofErr w:type="spellEnd"/>
      <w:r>
        <w:rPr>
          <w:color w:val="000000"/>
          <w:sz w:val="22"/>
          <w:szCs w:val="22"/>
        </w:rPr>
        <w:t xml:space="preserve"> együttes adása fokozhatja a </w:t>
      </w:r>
      <w:proofErr w:type="spellStart"/>
      <w:r>
        <w:rPr>
          <w:color w:val="000000"/>
          <w:sz w:val="22"/>
          <w:szCs w:val="22"/>
        </w:rPr>
        <w:t>ciklosporin</w:t>
      </w:r>
      <w:proofErr w:type="spellEnd"/>
      <w:r>
        <w:rPr>
          <w:color w:val="000000"/>
          <w:sz w:val="22"/>
          <w:szCs w:val="22"/>
        </w:rPr>
        <w:t xml:space="preserve"> vagy a </w:t>
      </w:r>
      <w:proofErr w:type="spellStart"/>
      <w:r>
        <w:rPr>
          <w:color w:val="000000"/>
          <w:sz w:val="22"/>
          <w:szCs w:val="22"/>
        </w:rPr>
        <w:t>takrolimusz</w:t>
      </w:r>
      <w:proofErr w:type="spellEnd"/>
      <w:r>
        <w:rPr>
          <w:color w:val="000000"/>
          <w:sz w:val="22"/>
          <w:szCs w:val="22"/>
        </w:rPr>
        <w:t xml:space="preserve"> vesére gyakorolt toxikus hatásait.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ezen gyógyszerek bármelyikének </w:t>
      </w:r>
      <w:proofErr w:type="spellStart"/>
      <w:r>
        <w:rPr>
          <w:color w:val="000000"/>
          <w:sz w:val="22"/>
          <w:szCs w:val="22"/>
        </w:rPr>
        <w:t>együttadása</w:t>
      </w:r>
      <w:proofErr w:type="spellEnd"/>
      <w:r>
        <w:rPr>
          <w:color w:val="000000"/>
          <w:sz w:val="22"/>
          <w:szCs w:val="22"/>
        </w:rPr>
        <w:t xml:space="preserve"> esetén a vesefunkciós paraméterek </w:t>
      </w:r>
      <w:proofErr w:type="spellStart"/>
      <w:r>
        <w:rPr>
          <w:color w:val="000000"/>
          <w:sz w:val="22"/>
          <w:szCs w:val="22"/>
        </w:rPr>
        <w:t>monitorozása</w:t>
      </w:r>
      <w:proofErr w:type="spellEnd"/>
      <w:r>
        <w:rPr>
          <w:color w:val="000000"/>
          <w:sz w:val="22"/>
          <w:szCs w:val="22"/>
        </w:rPr>
        <w:t xml:space="preserve"> szükséges.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proofErr w:type="spellStart"/>
      <w:r>
        <w:rPr>
          <w:color w:val="000000"/>
          <w:sz w:val="22"/>
          <w:szCs w:val="22"/>
          <w:u w:val="single"/>
        </w:rPr>
        <w:t>Farmakokinetikai</w:t>
      </w:r>
      <w:proofErr w:type="spellEnd"/>
      <w:r>
        <w:rPr>
          <w:color w:val="000000"/>
          <w:sz w:val="22"/>
          <w:szCs w:val="22"/>
          <w:u w:val="single"/>
        </w:rPr>
        <w:t xml:space="preserve"> interakciók</w:t>
      </w: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Az </w:t>
      </w:r>
      <w:proofErr w:type="spellStart"/>
      <w:r>
        <w:rPr>
          <w:i/>
          <w:color w:val="000000"/>
          <w:sz w:val="22"/>
          <w:szCs w:val="22"/>
        </w:rPr>
        <w:t>etorikoxib</w:t>
      </w:r>
      <w:proofErr w:type="spellEnd"/>
      <w:r>
        <w:rPr>
          <w:i/>
          <w:color w:val="000000"/>
          <w:sz w:val="22"/>
          <w:szCs w:val="22"/>
        </w:rPr>
        <w:t xml:space="preserve"> hatása más gyógyszerek </w:t>
      </w:r>
      <w:proofErr w:type="spellStart"/>
      <w:r>
        <w:rPr>
          <w:i/>
          <w:color w:val="000000"/>
          <w:sz w:val="22"/>
          <w:szCs w:val="22"/>
        </w:rPr>
        <w:t>farmakokinetikájára</w:t>
      </w:r>
      <w:proofErr w:type="spellEnd"/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Lítium: </w:t>
      </w:r>
      <w:r>
        <w:rPr>
          <w:color w:val="000000"/>
          <w:sz w:val="22"/>
          <w:szCs w:val="22"/>
        </w:rPr>
        <w:t xml:space="preserve">Az NSAID csoportba tartozó gyógyszerek csökkentik a lítium </w:t>
      </w:r>
      <w:proofErr w:type="spellStart"/>
      <w:r>
        <w:rPr>
          <w:color w:val="000000"/>
          <w:sz w:val="22"/>
          <w:szCs w:val="22"/>
        </w:rPr>
        <w:t>renalis</w:t>
      </w:r>
      <w:proofErr w:type="spellEnd"/>
      <w:r>
        <w:rPr>
          <w:color w:val="000000"/>
          <w:sz w:val="22"/>
          <w:szCs w:val="22"/>
        </w:rPr>
        <w:t xml:space="preserve"> kiválasztását és ezáltal emelik a lítium plazmakoncentrációját. Szükség esetén, a lítium plazmakoncentrációját szorosan </w:t>
      </w:r>
      <w:proofErr w:type="spellStart"/>
      <w:r>
        <w:rPr>
          <w:color w:val="000000"/>
          <w:sz w:val="22"/>
          <w:szCs w:val="22"/>
        </w:rPr>
        <w:t>monitorozni</w:t>
      </w:r>
      <w:proofErr w:type="spellEnd"/>
      <w:r>
        <w:rPr>
          <w:color w:val="000000"/>
          <w:sz w:val="22"/>
          <w:szCs w:val="22"/>
        </w:rPr>
        <w:t xml:space="preserve"> kell és a lítium adagját megfelelően be kell állítani együttes alkalmazáskor, illetve a NSAID alkalmazásának abbahagyásakor.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Metotrexát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Két vizsgálatot végeztek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hatására vonatkozóan </w:t>
      </w:r>
      <w:proofErr w:type="spellStart"/>
      <w:r>
        <w:rPr>
          <w:color w:val="000000"/>
          <w:sz w:val="22"/>
          <w:szCs w:val="22"/>
        </w:rPr>
        <w:t>metotrexáttal</w:t>
      </w:r>
      <w:proofErr w:type="spellEnd"/>
      <w:r>
        <w:rPr>
          <w:color w:val="000000"/>
          <w:sz w:val="22"/>
          <w:szCs w:val="22"/>
        </w:rPr>
        <w:t xml:space="preserve"> kezelt betegeken. A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szenvedő betegek a heti egyszeri 7,5–20 mg </w:t>
      </w:r>
      <w:proofErr w:type="spellStart"/>
      <w:r>
        <w:rPr>
          <w:color w:val="000000"/>
          <w:sz w:val="22"/>
          <w:szCs w:val="22"/>
        </w:rPr>
        <w:t>metotrexát</w:t>
      </w:r>
      <w:proofErr w:type="spellEnd"/>
      <w:r>
        <w:rPr>
          <w:color w:val="000000"/>
          <w:sz w:val="22"/>
          <w:szCs w:val="22"/>
        </w:rPr>
        <w:t xml:space="preserve"> mellett, egy hétig napi egyszeri 60, 90, vagy 120 mg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kaptak. A 60 és 90 mg dózisban adott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befolyásolta a </w:t>
      </w:r>
      <w:proofErr w:type="spellStart"/>
      <w:r>
        <w:rPr>
          <w:color w:val="000000"/>
          <w:sz w:val="22"/>
          <w:szCs w:val="22"/>
        </w:rPr>
        <w:t>metotrexát</w:t>
      </w:r>
      <w:proofErr w:type="spellEnd"/>
      <w:r>
        <w:rPr>
          <w:color w:val="000000"/>
          <w:sz w:val="22"/>
          <w:szCs w:val="22"/>
        </w:rPr>
        <w:t xml:space="preserve"> plazmakoncentrációját, illetve vese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noBreakHyphen/>
        <w:t xml:space="preserve">ét. A 120 mg dózisú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az egyik vizsgálatban nem befolyásolta a kezelést, a másikban azonban 28%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növelte a </w:t>
      </w:r>
      <w:proofErr w:type="spellStart"/>
      <w:r>
        <w:rPr>
          <w:color w:val="000000"/>
          <w:sz w:val="22"/>
          <w:szCs w:val="22"/>
        </w:rPr>
        <w:t>metotrexát</w:t>
      </w:r>
      <w:proofErr w:type="spellEnd"/>
      <w:r>
        <w:rPr>
          <w:color w:val="000000"/>
          <w:sz w:val="22"/>
          <w:szCs w:val="22"/>
        </w:rPr>
        <w:t xml:space="preserve"> plazmakoncentrációját és 13%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csökkentette annak vese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noBreakHyphen/>
        <w:t xml:space="preserve">ét. Ha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metotrexátot</w:t>
      </w:r>
      <w:proofErr w:type="spellEnd"/>
      <w:r>
        <w:rPr>
          <w:color w:val="000000"/>
          <w:sz w:val="22"/>
          <w:szCs w:val="22"/>
        </w:rPr>
        <w:t xml:space="preserve"> egyidejűleg alkalmaznak, javasolt a </w:t>
      </w:r>
      <w:proofErr w:type="spellStart"/>
      <w:r>
        <w:rPr>
          <w:color w:val="000000"/>
          <w:sz w:val="22"/>
          <w:szCs w:val="22"/>
        </w:rPr>
        <w:t>metotrexát</w:t>
      </w:r>
      <w:proofErr w:type="spellEnd"/>
      <w:r>
        <w:rPr>
          <w:color w:val="000000"/>
          <w:sz w:val="22"/>
          <w:szCs w:val="22"/>
        </w:rPr>
        <w:t xml:space="preserve"> okozta toxikus tünetek megfelelő </w:t>
      </w:r>
      <w:proofErr w:type="spellStart"/>
      <w:r>
        <w:rPr>
          <w:color w:val="000000"/>
          <w:sz w:val="22"/>
          <w:szCs w:val="22"/>
        </w:rPr>
        <w:t>monitorozása</w:t>
      </w:r>
      <w:proofErr w:type="spellEnd"/>
      <w:r>
        <w:rPr>
          <w:color w:val="000000"/>
          <w:sz w:val="22"/>
          <w:szCs w:val="22"/>
        </w:rPr>
        <w:t>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Orális fogamzásgátlók: </w:t>
      </w:r>
      <w:r>
        <w:rPr>
          <w:color w:val="000000"/>
          <w:sz w:val="22"/>
          <w:szCs w:val="22"/>
        </w:rPr>
        <w:t xml:space="preserve">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valamint 35 </w:t>
      </w:r>
      <w:proofErr w:type="spellStart"/>
      <w:r>
        <w:rPr>
          <w:color w:val="000000"/>
          <w:sz w:val="22"/>
          <w:szCs w:val="22"/>
        </w:rPr>
        <w:t>mikrogramm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etinil</w:t>
      </w:r>
      <w:r>
        <w:rPr>
          <w:color w:val="000000"/>
          <w:sz w:val="22"/>
          <w:szCs w:val="22"/>
        </w:rPr>
        <w:noBreakHyphen/>
        <w:t>ösztradiolt</w:t>
      </w:r>
      <w:proofErr w:type="spellEnd"/>
      <w:r>
        <w:rPr>
          <w:color w:val="000000"/>
          <w:sz w:val="22"/>
          <w:szCs w:val="22"/>
        </w:rPr>
        <w:t xml:space="preserve"> (EE) és 0,5</w:t>
      </w:r>
      <w:r>
        <w:rPr>
          <w:color w:val="000000"/>
          <w:sz w:val="22"/>
          <w:szCs w:val="22"/>
        </w:rPr>
        <w:noBreakHyphen/>
        <w:t xml:space="preserve">1 mg </w:t>
      </w:r>
      <w:proofErr w:type="spellStart"/>
      <w:r>
        <w:rPr>
          <w:color w:val="000000"/>
          <w:sz w:val="22"/>
          <w:szCs w:val="22"/>
        </w:rPr>
        <w:t>noretindront</w:t>
      </w:r>
      <w:proofErr w:type="spellEnd"/>
      <w:r>
        <w:rPr>
          <w:color w:val="000000"/>
          <w:sz w:val="22"/>
          <w:szCs w:val="22"/>
        </w:rPr>
        <w:t xml:space="preserve"> tartalmazó orális fogamzásgátló 21 napon át történő </w:t>
      </w:r>
      <w:proofErr w:type="spellStart"/>
      <w:r>
        <w:rPr>
          <w:color w:val="000000"/>
          <w:sz w:val="22"/>
          <w:szCs w:val="22"/>
        </w:rPr>
        <w:t>együttadásának</w:t>
      </w:r>
      <w:proofErr w:type="spellEnd"/>
      <w:r>
        <w:rPr>
          <w:color w:val="000000"/>
          <w:sz w:val="22"/>
          <w:szCs w:val="22"/>
        </w:rPr>
        <w:t xml:space="preserve"> hatására az EE egyensúlyi állapotban mért AUC</w:t>
      </w:r>
      <w:r>
        <w:rPr>
          <w:color w:val="000000"/>
          <w:sz w:val="22"/>
          <w:szCs w:val="22"/>
          <w:vertAlign w:val="subscript"/>
        </w:rPr>
        <w:t>0-24h</w:t>
      </w:r>
      <w:r>
        <w:rPr>
          <w:color w:val="000000"/>
          <w:sz w:val="22"/>
          <w:szCs w:val="22"/>
        </w:rPr>
        <w:t xml:space="preserve"> értéke 37%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nőtt. A 120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ugyanezen fogamzásgátló egyidejű vagy 12 órás időkülönbséggel történő együttes adásának hatására az EE egyensúlyi állapotban mért AUC</w:t>
      </w:r>
      <w:r>
        <w:rPr>
          <w:color w:val="000000"/>
          <w:sz w:val="22"/>
          <w:szCs w:val="22"/>
          <w:vertAlign w:val="subscript"/>
        </w:rPr>
        <w:t>0-24h</w:t>
      </w:r>
      <w:r>
        <w:rPr>
          <w:color w:val="000000"/>
          <w:sz w:val="22"/>
          <w:szCs w:val="22"/>
        </w:rPr>
        <w:t xml:space="preserve"> értéke 50</w:t>
      </w:r>
      <w:r>
        <w:rPr>
          <w:color w:val="000000"/>
          <w:sz w:val="22"/>
          <w:szCs w:val="22"/>
        </w:rPr>
        <w:noBreakHyphen/>
        <w:t>60%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nőtt. Az EE</w:t>
      </w:r>
      <w:r>
        <w:rPr>
          <w:color w:val="000000"/>
          <w:sz w:val="22"/>
          <w:szCs w:val="22"/>
        </w:rPr>
        <w:noBreakHyphen/>
        <w:t xml:space="preserve">koncentráció ilyen arányú növekedését figyelembe kell venni az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együtt alkalmazandó, orális fogamzásgátló kiválasztásakor. Az EE</w:t>
      </w:r>
      <w:r>
        <w:rPr>
          <w:color w:val="000000"/>
          <w:sz w:val="22"/>
          <w:szCs w:val="22"/>
        </w:rPr>
        <w:noBreakHyphen/>
        <w:t xml:space="preserve">expozíció növekedése fokozhatja az orális fogamzásgátlók okozta mellékhatások előfordulását (pl. vénás </w:t>
      </w:r>
      <w:proofErr w:type="spellStart"/>
      <w:r>
        <w:rPr>
          <w:color w:val="000000"/>
          <w:sz w:val="22"/>
          <w:szCs w:val="22"/>
        </w:rPr>
        <w:t>thromboemboliás</w:t>
      </w:r>
      <w:proofErr w:type="spellEnd"/>
      <w:r>
        <w:rPr>
          <w:color w:val="000000"/>
          <w:sz w:val="22"/>
          <w:szCs w:val="22"/>
        </w:rPr>
        <w:t xml:space="preserve"> szövődmények fokozott kockázatú nők esetén).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Hormonpótló kezelés (HRT): </w:t>
      </w:r>
      <w:r>
        <w:rPr>
          <w:color w:val="000000"/>
          <w:sz w:val="22"/>
          <w:szCs w:val="22"/>
        </w:rPr>
        <w:t xml:space="preserve">120 mg dózisú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konjugált </w:t>
      </w:r>
      <w:proofErr w:type="spellStart"/>
      <w:r>
        <w:rPr>
          <w:color w:val="000000"/>
          <w:sz w:val="22"/>
          <w:szCs w:val="22"/>
        </w:rPr>
        <w:t>ösztrogéneket</w:t>
      </w:r>
      <w:proofErr w:type="spellEnd"/>
      <w:r>
        <w:rPr>
          <w:color w:val="000000"/>
          <w:sz w:val="22"/>
          <w:szCs w:val="22"/>
        </w:rPr>
        <w:t xml:space="preserve"> (0,625 mg PREMARIN™) tartalmazó hormonpótló kezelés, 28 napig tartó alkalmazásának hatására megnövekedett a nem-konjugált ösztrogén (41%), az </w:t>
      </w:r>
      <w:proofErr w:type="spellStart"/>
      <w:r>
        <w:rPr>
          <w:color w:val="000000"/>
          <w:sz w:val="22"/>
          <w:szCs w:val="22"/>
        </w:rPr>
        <w:t>ekvilin</w:t>
      </w:r>
      <w:proofErr w:type="spellEnd"/>
      <w:r>
        <w:rPr>
          <w:color w:val="000000"/>
          <w:sz w:val="22"/>
          <w:szCs w:val="22"/>
        </w:rPr>
        <w:t xml:space="preserve"> (76%) és a 17-</w:t>
      </w:r>
      <w:r>
        <w:rPr>
          <w:color w:val="000000"/>
          <w:sz w:val="22"/>
          <w:szCs w:val="22"/>
        </w:rPr>
        <w:sym w:font="Symbol" w:char="F062"/>
      </w:r>
      <w:r>
        <w:rPr>
          <w:color w:val="000000"/>
          <w:sz w:val="22"/>
          <w:szCs w:val="22"/>
        </w:rPr>
        <w:t>-</w:t>
      </w:r>
      <w:proofErr w:type="spellStart"/>
      <w:r>
        <w:rPr>
          <w:color w:val="000000"/>
          <w:sz w:val="22"/>
          <w:szCs w:val="22"/>
        </w:rPr>
        <w:t>ösztradiol</w:t>
      </w:r>
      <w:proofErr w:type="spellEnd"/>
      <w:r>
        <w:rPr>
          <w:color w:val="000000"/>
          <w:sz w:val="22"/>
          <w:szCs w:val="22"/>
        </w:rPr>
        <w:t xml:space="preserve"> (22%) egyensúlyi állapotban mért átlagos AUC</w:t>
      </w:r>
      <w:r>
        <w:rPr>
          <w:color w:val="000000"/>
          <w:sz w:val="22"/>
          <w:szCs w:val="22"/>
          <w:vertAlign w:val="subscript"/>
        </w:rPr>
        <w:t>0-24h</w:t>
      </w:r>
      <w:r>
        <w:rPr>
          <w:color w:val="000000"/>
          <w:sz w:val="22"/>
          <w:szCs w:val="22"/>
        </w:rPr>
        <w:t xml:space="preserve"> értéke.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javasolt krónikus dózisainak (30, 60 és 90 mg) hatásait még nem vizsgálták. A 120 mg-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 PREMARIN ezen ösztrogén összetevőinek expozíciójára (AUC</w:t>
      </w:r>
      <w:r>
        <w:rPr>
          <w:color w:val="000000"/>
          <w:sz w:val="22"/>
          <w:szCs w:val="22"/>
          <w:vertAlign w:val="subscript"/>
        </w:rPr>
        <w:t>0-24hr</w:t>
      </w:r>
      <w:r>
        <w:rPr>
          <w:color w:val="000000"/>
          <w:sz w:val="22"/>
          <w:szCs w:val="22"/>
        </w:rPr>
        <w:t xml:space="preserve">) kevesebb, mint fele akkora hatást fejtett ki, mint amit a PREMARIN önmagában, 0,625 mg-ról 1,25 mg-ra emelt dózisban való adásakor figyeltek meg. Ezen emelkedések klinikai jelentősége nem ismert, és a PREMARIN nagyobb dózisainak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való együttes alkalmazását nem vizsgálták. Az ösztrogén koncentráció ezen emelkedéseit figyelembe kell venni az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együttesen alkalmazandó, szelektív </w:t>
      </w:r>
      <w:proofErr w:type="spellStart"/>
      <w:r>
        <w:rPr>
          <w:color w:val="000000"/>
          <w:sz w:val="22"/>
          <w:szCs w:val="22"/>
        </w:rPr>
        <w:t>postmenopausalis</w:t>
      </w:r>
      <w:proofErr w:type="spellEnd"/>
      <w:r>
        <w:rPr>
          <w:color w:val="000000"/>
          <w:sz w:val="22"/>
          <w:szCs w:val="22"/>
        </w:rPr>
        <w:t xml:space="preserve"> hormonkezelés kiválasztásakor, mert a megnövekedett ösztrogén expozíció hatására fokozódhat a hormonpótló kezeléssel összefüggésben álló mellékhatások kockázata.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Prednizon</w:t>
      </w:r>
      <w:proofErr w:type="spellEnd"/>
      <w:r>
        <w:rPr>
          <w:i/>
          <w:color w:val="000000"/>
          <w:sz w:val="22"/>
          <w:szCs w:val="22"/>
        </w:rPr>
        <w:t>/</w:t>
      </w:r>
      <w:proofErr w:type="spellStart"/>
      <w:r>
        <w:rPr>
          <w:i/>
          <w:color w:val="000000"/>
          <w:sz w:val="22"/>
          <w:szCs w:val="22"/>
        </w:rPr>
        <w:t>prednizolon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>Gyógyszerkölcsönhatás</w:t>
      </w:r>
      <w:r>
        <w:rPr>
          <w:color w:val="000000"/>
          <w:sz w:val="22"/>
          <w:szCs w:val="22"/>
        </w:rPr>
        <w:noBreakHyphen/>
        <w:t xml:space="preserve">vizsgálatokban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gyakorolt </w:t>
      </w:r>
      <w:proofErr w:type="spellStart"/>
      <w:r>
        <w:rPr>
          <w:color w:val="000000"/>
          <w:sz w:val="22"/>
          <w:szCs w:val="22"/>
        </w:rPr>
        <w:t>klinikailag</w:t>
      </w:r>
      <w:proofErr w:type="spellEnd"/>
      <w:r>
        <w:rPr>
          <w:color w:val="000000"/>
          <w:sz w:val="22"/>
          <w:szCs w:val="22"/>
        </w:rPr>
        <w:t xml:space="preserve"> jelentős hatást a </w:t>
      </w:r>
      <w:proofErr w:type="spellStart"/>
      <w:r>
        <w:rPr>
          <w:color w:val="000000"/>
          <w:sz w:val="22"/>
          <w:szCs w:val="22"/>
        </w:rPr>
        <w:t>prednizon</w:t>
      </w:r>
      <w:proofErr w:type="spellEnd"/>
      <w:r>
        <w:rPr>
          <w:color w:val="000000"/>
          <w:sz w:val="22"/>
          <w:szCs w:val="22"/>
        </w:rPr>
        <w:t>/</w:t>
      </w:r>
      <w:proofErr w:type="spellStart"/>
      <w:r>
        <w:rPr>
          <w:color w:val="000000"/>
          <w:sz w:val="22"/>
          <w:szCs w:val="22"/>
        </w:rPr>
        <w:t>prednizolon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farmakokinetikájára</w:t>
      </w:r>
      <w:proofErr w:type="spellEnd"/>
      <w:r>
        <w:rPr>
          <w:color w:val="000000"/>
          <w:sz w:val="22"/>
          <w:szCs w:val="22"/>
        </w:rPr>
        <w:t>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Digoxin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Egészséges önkénteseknek 10 napon át, naponta egyszer adott 120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befolyásolta a </w:t>
      </w:r>
      <w:proofErr w:type="spellStart"/>
      <w:r>
        <w:rPr>
          <w:color w:val="000000"/>
          <w:sz w:val="22"/>
          <w:szCs w:val="22"/>
        </w:rPr>
        <w:t>digoxin</w:t>
      </w:r>
      <w:proofErr w:type="spellEnd"/>
      <w:r>
        <w:rPr>
          <w:color w:val="000000"/>
          <w:sz w:val="22"/>
          <w:szCs w:val="22"/>
        </w:rPr>
        <w:t xml:space="preserve"> egyensúlyi állapotára jellemző AUC</w:t>
      </w:r>
      <w:r>
        <w:rPr>
          <w:color w:val="000000"/>
          <w:sz w:val="22"/>
          <w:szCs w:val="22"/>
          <w:vertAlign w:val="subscript"/>
        </w:rPr>
        <w:t>0-24h</w:t>
      </w:r>
      <w:r>
        <w:rPr>
          <w:color w:val="000000"/>
          <w:sz w:val="22"/>
          <w:szCs w:val="22"/>
        </w:rPr>
        <w:t xml:space="preserve"> értéket, illetve a vesén át történő kiürülését. A </w:t>
      </w:r>
      <w:proofErr w:type="spellStart"/>
      <w:r>
        <w:rPr>
          <w:color w:val="000000"/>
          <w:sz w:val="22"/>
          <w:szCs w:val="22"/>
        </w:rPr>
        <w:t>digoxin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</w:t>
      </w:r>
      <w:r>
        <w:rPr>
          <w:color w:val="000000"/>
          <w:sz w:val="22"/>
          <w:szCs w:val="22"/>
          <w:vertAlign w:val="subscript"/>
        </w:rPr>
        <w:t>max</w:t>
      </w:r>
      <w:proofErr w:type="spellEnd"/>
      <w:r>
        <w:rPr>
          <w:color w:val="000000"/>
          <w:sz w:val="22"/>
          <w:szCs w:val="22"/>
        </w:rPr>
        <w:t xml:space="preserve"> értéke (mintegy 33%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) emelkedett. A betegek többségénél az ilyen mértékű növekedés általában jelentéktelen, a </w:t>
      </w:r>
      <w:proofErr w:type="spellStart"/>
      <w:r>
        <w:rPr>
          <w:color w:val="000000"/>
          <w:sz w:val="22"/>
          <w:szCs w:val="22"/>
        </w:rPr>
        <w:t>digoxin</w:t>
      </w:r>
      <w:proofErr w:type="spellEnd"/>
      <w:r>
        <w:rPr>
          <w:color w:val="000000"/>
          <w:sz w:val="22"/>
          <w:szCs w:val="22"/>
        </w:rPr>
        <w:noBreakHyphen/>
        <w:t xml:space="preserve">toxicitás szempontjából veszélyeztetett betegeknél azonban fokozott óvatossággal kell eljárni, ha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digoxint</w:t>
      </w:r>
      <w:proofErr w:type="spellEnd"/>
      <w:r>
        <w:rPr>
          <w:color w:val="000000"/>
          <w:sz w:val="22"/>
          <w:szCs w:val="22"/>
        </w:rPr>
        <w:t xml:space="preserve"> egyidejűleg alkalmazzák.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Az </w:t>
      </w:r>
      <w:proofErr w:type="spellStart"/>
      <w:r>
        <w:rPr>
          <w:i/>
          <w:color w:val="000000"/>
          <w:sz w:val="22"/>
          <w:szCs w:val="22"/>
        </w:rPr>
        <w:t>etorikoxib</w:t>
      </w:r>
      <w:proofErr w:type="spellEnd"/>
      <w:r>
        <w:rPr>
          <w:i/>
          <w:color w:val="000000"/>
          <w:sz w:val="22"/>
          <w:szCs w:val="22"/>
        </w:rPr>
        <w:t xml:space="preserve"> hatása a </w:t>
      </w:r>
      <w:proofErr w:type="spellStart"/>
      <w:r>
        <w:rPr>
          <w:i/>
          <w:color w:val="000000"/>
          <w:sz w:val="22"/>
          <w:szCs w:val="22"/>
        </w:rPr>
        <w:t>szulfotranszferáz</w:t>
      </w:r>
      <w:proofErr w:type="spellEnd"/>
      <w:r>
        <w:rPr>
          <w:i/>
          <w:color w:val="000000"/>
          <w:sz w:val="22"/>
          <w:szCs w:val="22"/>
        </w:rPr>
        <w:t xml:space="preserve"> enzimek által </w:t>
      </w:r>
      <w:proofErr w:type="spellStart"/>
      <w:r>
        <w:rPr>
          <w:i/>
          <w:color w:val="000000"/>
          <w:sz w:val="22"/>
          <w:szCs w:val="22"/>
        </w:rPr>
        <w:t>metabolizálódó</w:t>
      </w:r>
      <w:proofErr w:type="spellEnd"/>
      <w:r>
        <w:rPr>
          <w:i/>
          <w:color w:val="000000"/>
          <w:sz w:val="22"/>
          <w:szCs w:val="22"/>
        </w:rPr>
        <w:t xml:space="preserve"> gyógyszerekre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gátolja az emberi </w:t>
      </w:r>
      <w:proofErr w:type="spellStart"/>
      <w:r>
        <w:rPr>
          <w:color w:val="000000"/>
          <w:sz w:val="22"/>
          <w:szCs w:val="22"/>
        </w:rPr>
        <w:t>szulfotranszferáz</w:t>
      </w:r>
      <w:proofErr w:type="spellEnd"/>
      <w:r>
        <w:rPr>
          <w:color w:val="000000"/>
          <w:sz w:val="22"/>
          <w:szCs w:val="22"/>
        </w:rPr>
        <w:noBreakHyphen/>
        <w:t xml:space="preserve">aktivitást, különösen a SULT1E1 enzim aktivitását, és kimutatták, hogy növeli az </w:t>
      </w:r>
      <w:proofErr w:type="spellStart"/>
      <w:r>
        <w:rPr>
          <w:color w:val="000000"/>
          <w:sz w:val="22"/>
          <w:szCs w:val="22"/>
        </w:rPr>
        <w:t>etinil</w:t>
      </w:r>
      <w:r>
        <w:rPr>
          <w:color w:val="000000"/>
          <w:sz w:val="22"/>
          <w:szCs w:val="22"/>
        </w:rPr>
        <w:noBreakHyphen/>
        <w:t>ösztradiol</w:t>
      </w:r>
      <w:proofErr w:type="spellEnd"/>
      <w:r>
        <w:rPr>
          <w:color w:val="000000"/>
          <w:sz w:val="22"/>
          <w:szCs w:val="22"/>
        </w:rPr>
        <w:t xml:space="preserve"> szérumkoncentrációját. Bár a többféle </w:t>
      </w:r>
      <w:proofErr w:type="spellStart"/>
      <w:r>
        <w:rPr>
          <w:color w:val="000000"/>
          <w:sz w:val="22"/>
          <w:szCs w:val="22"/>
        </w:rPr>
        <w:t>szulfotranszferáz</w:t>
      </w:r>
      <w:proofErr w:type="spellEnd"/>
      <w:r>
        <w:rPr>
          <w:color w:val="000000"/>
          <w:sz w:val="22"/>
          <w:szCs w:val="22"/>
        </w:rPr>
        <w:t xml:space="preserve"> enzim hatásaival kapcsolatos mai ismereteink még hiányosak, és sok gyógyszer esetében ezek klinikai következményeit jelenleg is vizsgálják, fokozott figyelmet kell fordítani azokra a betegekre, akiknél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egyéb, elsősorban az emberi </w:t>
      </w:r>
      <w:proofErr w:type="spellStart"/>
      <w:r>
        <w:rPr>
          <w:color w:val="000000"/>
          <w:sz w:val="22"/>
          <w:szCs w:val="22"/>
        </w:rPr>
        <w:t>szulfotranszferáz</w:t>
      </w:r>
      <w:proofErr w:type="spellEnd"/>
      <w:r>
        <w:rPr>
          <w:color w:val="000000"/>
          <w:sz w:val="22"/>
          <w:szCs w:val="22"/>
        </w:rPr>
        <w:t xml:space="preserve"> enzimek által </w:t>
      </w:r>
      <w:proofErr w:type="spellStart"/>
      <w:r>
        <w:rPr>
          <w:color w:val="000000"/>
          <w:sz w:val="22"/>
          <w:szCs w:val="22"/>
        </w:rPr>
        <w:t>metabolizált</w:t>
      </w:r>
      <w:proofErr w:type="spellEnd"/>
      <w:r>
        <w:rPr>
          <w:color w:val="000000"/>
          <w:sz w:val="22"/>
          <w:szCs w:val="22"/>
        </w:rPr>
        <w:t xml:space="preserve"> gyógyszerekkel (például orális </w:t>
      </w:r>
      <w:proofErr w:type="spellStart"/>
      <w:r>
        <w:rPr>
          <w:color w:val="000000"/>
          <w:sz w:val="22"/>
          <w:szCs w:val="22"/>
        </w:rPr>
        <w:t>szalbutamol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minoxidil</w:t>
      </w:r>
      <w:proofErr w:type="spellEnd"/>
      <w:r>
        <w:rPr>
          <w:color w:val="000000"/>
          <w:sz w:val="22"/>
          <w:szCs w:val="22"/>
        </w:rPr>
        <w:t>) alkalmazzák egyidejűleg.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Az </w:t>
      </w:r>
      <w:proofErr w:type="spellStart"/>
      <w:r>
        <w:rPr>
          <w:i/>
          <w:color w:val="000000"/>
          <w:sz w:val="22"/>
          <w:szCs w:val="22"/>
        </w:rPr>
        <w:t>etorikoxib</w:t>
      </w:r>
      <w:proofErr w:type="spellEnd"/>
      <w:r>
        <w:rPr>
          <w:i/>
          <w:color w:val="000000"/>
          <w:sz w:val="22"/>
          <w:szCs w:val="22"/>
        </w:rPr>
        <w:t xml:space="preserve"> hatása a CYP </w:t>
      </w:r>
      <w:proofErr w:type="spellStart"/>
      <w:r>
        <w:rPr>
          <w:i/>
          <w:color w:val="000000"/>
          <w:sz w:val="22"/>
          <w:szCs w:val="22"/>
        </w:rPr>
        <w:t>izoenzimek</w:t>
      </w:r>
      <w:proofErr w:type="spellEnd"/>
      <w:r>
        <w:rPr>
          <w:i/>
          <w:color w:val="000000"/>
          <w:sz w:val="22"/>
          <w:szCs w:val="22"/>
        </w:rPr>
        <w:t xml:space="preserve"> által </w:t>
      </w:r>
      <w:proofErr w:type="spellStart"/>
      <w:r>
        <w:rPr>
          <w:i/>
          <w:color w:val="000000"/>
          <w:sz w:val="22"/>
          <w:szCs w:val="22"/>
        </w:rPr>
        <w:t>metabolizálódó</w:t>
      </w:r>
      <w:proofErr w:type="spellEnd"/>
      <w:r>
        <w:rPr>
          <w:i/>
          <w:color w:val="000000"/>
          <w:sz w:val="22"/>
          <w:szCs w:val="22"/>
        </w:rPr>
        <w:t xml:space="preserve"> gyógyszerekre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In vitro </w:t>
      </w:r>
      <w:r>
        <w:rPr>
          <w:color w:val="000000"/>
          <w:sz w:val="22"/>
          <w:szCs w:val="22"/>
        </w:rPr>
        <w:t xml:space="preserve">vizsgálatok alapján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várhatóan nem gátolja a következő </w:t>
      </w:r>
      <w:proofErr w:type="spellStart"/>
      <w:r>
        <w:rPr>
          <w:color w:val="000000"/>
          <w:sz w:val="22"/>
          <w:szCs w:val="22"/>
        </w:rPr>
        <w:t>citokróm</w:t>
      </w:r>
      <w:proofErr w:type="spellEnd"/>
      <w:r>
        <w:rPr>
          <w:color w:val="000000"/>
          <w:sz w:val="22"/>
          <w:szCs w:val="22"/>
        </w:rPr>
        <w:t xml:space="preserve"> P450 (CYP) </w:t>
      </w:r>
      <w:proofErr w:type="spellStart"/>
      <w:r>
        <w:rPr>
          <w:color w:val="000000"/>
          <w:sz w:val="22"/>
          <w:szCs w:val="22"/>
        </w:rPr>
        <w:t>izoenzimeket</w:t>
      </w:r>
      <w:proofErr w:type="spellEnd"/>
      <w:r>
        <w:rPr>
          <w:color w:val="000000"/>
          <w:sz w:val="22"/>
          <w:szCs w:val="22"/>
        </w:rPr>
        <w:t>: 1A2, 2C9, 2C19, 2D6, 2E1, illetve 3A4. Egészséges személyek bevonásával végzett vizsgálat során a napi 120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dózisban adott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befolyásolja a májban levő CYP3A4 enzim aktivitását, amelyet az </w:t>
      </w:r>
      <w:proofErr w:type="spellStart"/>
      <w:r>
        <w:rPr>
          <w:color w:val="000000"/>
          <w:sz w:val="22"/>
          <w:szCs w:val="22"/>
        </w:rPr>
        <w:t>eritromicin</w:t>
      </w:r>
      <w:proofErr w:type="spellEnd"/>
      <w:r>
        <w:rPr>
          <w:color w:val="000000"/>
          <w:sz w:val="22"/>
          <w:szCs w:val="22"/>
        </w:rPr>
        <w:t xml:space="preserve"> kilégzési teszttel mértek.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Egyéb gyógyszerek hatása az </w:t>
      </w:r>
      <w:proofErr w:type="spellStart"/>
      <w:r>
        <w:rPr>
          <w:i/>
          <w:color w:val="000000"/>
          <w:sz w:val="22"/>
          <w:szCs w:val="22"/>
        </w:rPr>
        <w:t>etorikoxib</w:t>
      </w:r>
      <w:proofErr w:type="spellEnd"/>
      <w:r>
        <w:rPr>
          <w:i/>
          <w:color w:val="000000"/>
          <w:sz w:val="22"/>
          <w:szCs w:val="22"/>
        </w:rPr>
        <w:t xml:space="preserve"> </w:t>
      </w:r>
      <w:proofErr w:type="spellStart"/>
      <w:r>
        <w:rPr>
          <w:i/>
          <w:color w:val="000000"/>
          <w:sz w:val="22"/>
          <w:szCs w:val="22"/>
        </w:rPr>
        <w:t>farmakokinetikájára</w:t>
      </w:r>
      <w:proofErr w:type="spellEnd"/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noBreakHyphen/>
        <w:t xml:space="preserve">metabolizmus fő útvonala a CYP enzimek függvénye. Úgy tűnik, hogy </w:t>
      </w:r>
      <w:r>
        <w:rPr>
          <w:i/>
          <w:color w:val="000000"/>
          <w:sz w:val="22"/>
          <w:szCs w:val="22"/>
        </w:rPr>
        <w:t>in vivo</w:t>
      </w:r>
      <w:r>
        <w:rPr>
          <w:color w:val="000000"/>
          <w:sz w:val="22"/>
          <w:szCs w:val="22"/>
        </w:rPr>
        <w:t xml:space="preserve"> a CYP3A4 hozzájárul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metabolizmusához. </w:t>
      </w:r>
      <w:r>
        <w:rPr>
          <w:i/>
          <w:color w:val="000000"/>
          <w:sz w:val="22"/>
          <w:szCs w:val="22"/>
        </w:rPr>
        <w:t>In vitro</w:t>
      </w:r>
      <w:r>
        <w:rPr>
          <w:color w:val="000000"/>
          <w:sz w:val="22"/>
          <w:szCs w:val="22"/>
        </w:rPr>
        <w:t xml:space="preserve"> vizsgálatok azt mutatják, hogy a CYP2D6, CYP2C9, CYP1A2 és CYP2C19 szintén katalizálhatják a metabolizmus fő útvonalát, de a kvantitatív szerepüket </w:t>
      </w:r>
      <w:r>
        <w:rPr>
          <w:i/>
          <w:color w:val="000000"/>
          <w:sz w:val="22"/>
          <w:szCs w:val="22"/>
        </w:rPr>
        <w:t>in vivo</w:t>
      </w:r>
      <w:r>
        <w:rPr>
          <w:color w:val="000000"/>
          <w:sz w:val="22"/>
          <w:szCs w:val="22"/>
        </w:rPr>
        <w:t xml:space="preserve"> vizsgálatokban nem vizsgálták.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Ketokonazol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Egészséges önkénteseknek napi egyszer, 400 mg dózisban, 11 napon át adagolt </w:t>
      </w:r>
      <w:proofErr w:type="spellStart"/>
      <w:r>
        <w:rPr>
          <w:color w:val="000000"/>
          <w:sz w:val="22"/>
          <w:szCs w:val="22"/>
        </w:rPr>
        <w:t>ketokonazol</w:t>
      </w:r>
      <w:proofErr w:type="spellEnd"/>
      <w:r>
        <w:rPr>
          <w:color w:val="000000"/>
          <w:sz w:val="22"/>
          <w:szCs w:val="22"/>
        </w:rPr>
        <w:t xml:space="preserve"> (a CYP3A4 egyik hatékony gátlószere) klinikai szempontból nem befolyásolta jelentősen a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egyszeri adagolásának </w:t>
      </w:r>
      <w:proofErr w:type="spellStart"/>
      <w:r>
        <w:rPr>
          <w:color w:val="000000"/>
          <w:sz w:val="22"/>
          <w:szCs w:val="22"/>
        </w:rPr>
        <w:t>farmakokinetikáját</w:t>
      </w:r>
      <w:proofErr w:type="spellEnd"/>
      <w:r>
        <w:rPr>
          <w:color w:val="000000"/>
          <w:sz w:val="22"/>
          <w:szCs w:val="22"/>
        </w:rPr>
        <w:t xml:space="preserve"> (az AUC 43%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növekszik).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Vorikonazol</w:t>
      </w:r>
      <w:proofErr w:type="spellEnd"/>
      <w:r>
        <w:rPr>
          <w:i/>
          <w:color w:val="000000"/>
          <w:sz w:val="22"/>
          <w:szCs w:val="22"/>
        </w:rPr>
        <w:t xml:space="preserve"> és </w:t>
      </w:r>
      <w:proofErr w:type="spellStart"/>
      <w:r>
        <w:rPr>
          <w:i/>
          <w:color w:val="000000"/>
          <w:sz w:val="22"/>
          <w:szCs w:val="22"/>
        </w:rPr>
        <w:t>mikonazol</w:t>
      </w:r>
      <w:proofErr w:type="spellEnd"/>
      <w:r>
        <w:rPr>
          <w:color w:val="000000"/>
          <w:sz w:val="22"/>
          <w:szCs w:val="22"/>
        </w:rPr>
        <w:t xml:space="preserve">: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együttadása</w:t>
      </w:r>
      <w:proofErr w:type="spellEnd"/>
      <w:r>
        <w:rPr>
          <w:color w:val="000000"/>
          <w:sz w:val="22"/>
          <w:szCs w:val="22"/>
        </w:rPr>
        <w:t xml:space="preserve"> az erős CYP3A4 inhibitor </w:t>
      </w:r>
      <w:proofErr w:type="spellStart"/>
      <w:r>
        <w:rPr>
          <w:color w:val="000000"/>
          <w:sz w:val="22"/>
          <w:szCs w:val="22"/>
        </w:rPr>
        <w:t>vorikonazollal</w:t>
      </w:r>
      <w:proofErr w:type="spellEnd"/>
      <w:r>
        <w:rPr>
          <w:color w:val="000000"/>
          <w:sz w:val="22"/>
          <w:szCs w:val="22"/>
        </w:rPr>
        <w:t xml:space="preserve">, vagy </w:t>
      </w:r>
      <w:proofErr w:type="spellStart"/>
      <w:r>
        <w:rPr>
          <w:color w:val="000000"/>
          <w:sz w:val="22"/>
          <w:szCs w:val="22"/>
        </w:rPr>
        <w:t>mikonazol</w:t>
      </w:r>
      <w:proofErr w:type="spellEnd"/>
      <w:r>
        <w:rPr>
          <w:color w:val="000000"/>
          <w:sz w:val="22"/>
          <w:szCs w:val="22"/>
        </w:rPr>
        <w:t xml:space="preserve"> helyi szájgéllel, az </w:t>
      </w:r>
      <w:proofErr w:type="spellStart"/>
      <w:r>
        <w:rPr>
          <w:color w:val="000000"/>
          <w:sz w:val="22"/>
          <w:szCs w:val="22"/>
        </w:rPr>
        <w:t>etorikoxib</w:t>
      </w:r>
      <w:r>
        <w:rPr>
          <w:color w:val="000000"/>
          <w:sz w:val="22"/>
          <w:szCs w:val="22"/>
        </w:rPr>
        <w:noBreakHyphen/>
        <w:t>expozícó</w:t>
      </w:r>
      <w:proofErr w:type="spellEnd"/>
      <w:r>
        <w:rPr>
          <w:color w:val="000000"/>
          <w:sz w:val="22"/>
          <w:szCs w:val="22"/>
        </w:rPr>
        <w:t xml:space="preserve"> enyhe növekedését okozta, de a közzétett adatok alapján ez nem tekinthető </w:t>
      </w:r>
      <w:proofErr w:type="spellStart"/>
      <w:r>
        <w:rPr>
          <w:color w:val="000000"/>
          <w:sz w:val="22"/>
          <w:szCs w:val="22"/>
        </w:rPr>
        <w:t>klinikailag</w:t>
      </w:r>
      <w:proofErr w:type="spellEnd"/>
      <w:r>
        <w:rPr>
          <w:color w:val="000000"/>
          <w:sz w:val="22"/>
          <w:szCs w:val="22"/>
        </w:rPr>
        <w:t xml:space="preserve"> jelenősnek.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Rifampicin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rifampicinnel</w:t>
      </w:r>
      <w:proofErr w:type="spellEnd"/>
      <w:r>
        <w:rPr>
          <w:color w:val="000000"/>
          <w:sz w:val="22"/>
          <w:szCs w:val="22"/>
        </w:rPr>
        <w:t xml:space="preserve">, a CYP enzimek erős induktorával való </w:t>
      </w:r>
      <w:proofErr w:type="spellStart"/>
      <w:r>
        <w:rPr>
          <w:color w:val="000000"/>
          <w:sz w:val="22"/>
          <w:szCs w:val="22"/>
        </w:rPr>
        <w:t>együttadása</w:t>
      </w:r>
      <w:proofErr w:type="spellEnd"/>
      <w:r>
        <w:rPr>
          <w:color w:val="000000"/>
          <w:sz w:val="22"/>
          <w:szCs w:val="22"/>
        </w:rPr>
        <w:t xml:space="preserve"> 65%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csökkentette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plazmakoncentrációját. E gyógyszerkölcsönhatás a tünetek visszatérését eredményezheti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rifampicin</w:t>
      </w:r>
      <w:proofErr w:type="spellEnd"/>
      <w:r>
        <w:rPr>
          <w:color w:val="000000"/>
          <w:sz w:val="22"/>
          <w:szCs w:val="22"/>
        </w:rPr>
        <w:t xml:space="preserve"> együttes alkalmazásakor. Bár az előbbiek felvethetik az adag emelésének lehetőségét,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egyes javallatainál megadott adagoknál nagyobb dózisok </w:t>
      </w:r>
      <w:proofErr w:type="spellStart"/>
      <w:r>
        <w:rPr>
          <w:color w:val="000000"/>
          <w:sz w:val="22"/>
          <w:szCs w:val="22"/>
        </w:rPr>
        <w:t>rifampicinnel</w:t>
      </w:r>
      <w:proofErr w:type="spellEnd"/>
      <w:r>
        <w:rPr>
          <w:color w:val="000000"/>
          <w:sz w:val="22"/>
          <w:szCs w:val="22"/>
        </w:rPr>
        <w:t xml:space="preserve"> történő </w:t>
      </w:r>
      <w:proofErr w:type="spellStart"/>
      <w:r>
        <w:rPr>
          <w:color w:val="000000"/>
          <w:sz w:val="22"/>
          <w:szCs w:val="22"/>
        </w:rPr>
        <w:t>együttadását</w:t>
      </w:r>
      <w:proofErr w:type="spellEnd"/>
      <w:r>
        <w:rPr>
          <w:color w:val="000000"/>
          <w:sz w:val="22"/>
          <w:szCs w:val="22"/>
        </w:rPr>
        <w:t xml:space="preserve"> nem vizsgálták, ezért alkalmazásuk nem javasolt (lásd 4.2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i/>
          <w:color w:val="000000"/>
          <w:sz w:val="22"/>
          <w:szCs w:val="22"/>
        </w:rPr>
        <w:t>Antacidok</w:t>
      </w:r>
      <w:proofErr w:type="spellEnd"/>
      <w:r>
        <w:rPr>
          <w:i/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antacidok</w:t>
      </w:r>
      <w:proofErr w:type="spellEnd"/>
      <w:r>
        <w:rPr>
          <w:color w:val="000000"/>
          <w:sz w:val="22"/>
          <w:szCs w:val="22"/>
        </w:rPr>
        <w:t xml:space="preserve"> nem befolyásolják </w:t>
      </w:r>
      <w:proofErr w:type="spellStart"/>
      <w:r>
        <w:rPr>
          <w:color w:val="000000"/>
          <w:sz w:val="22"/>
          <w:szCs w:val="22"/>
        </w:rPr>
        <w:t>klinikailag</w:t>
      </w:r>
      <w:proofErr w:type="spellEnd"/>
      <w:r>
        <w:rPr>
          <w:color w:val="000000"/>
          <w:sz w:val="22"/>
          <w:szCs w:val="22"/>
        </w:rPr>
        <w:t xml:space="preserve"> releváns mértékben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farmakokinetikáját</w:t>
      </w:r>
      <w:proofErr w:type="spellEnd"/>
      <w:r>
        <w:rPr>
          <w:color w:val="000000"/>
          <w:sz w:val="22"/>
          <w:szCs w:val="22"/>
        </w:rPr>
        <w:t>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4.6</w:t>
      </w:r>
      <w:r>
        <w:rPr>
          <w:b/>
          <w:noProof/>
          <w:snapToGrid/>
          <w:sz w:val="22"/>
          <w:szCs w:val="22"/>
        </w:rPr>
        <w:tab/>
        <w:t>Termékenység, terhesség és szoptatás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rPr>
          <w:rFonts w:eastAsia="SimSun"/>
          <w:sz w:val="22"/>
          <w:u w:val="single"/>
          <w:lang w:eastAsia="zh-CN"/>
        </w:rPr>
      </w:pPr>
      <w:r>
        <w:rPr>
          <w:rFonts w:eastAsia="SimSun"/>
          <w:sz w:val="22"/>
          <w:u w:val="single"/>
          <w:lang w:eastAsia="zh-CN"/>
        </w:rPr>
        <w:t>Terhesség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terhes nőknél történő alkalmazását illetően nem állnak rendelkezésre klinikai adatok. Állatkísérletek során reproduktív toxicitást igazoltak (lásd 5.3 pont). Terhesség esetén a magzati kockázat potenciálja nem ismert.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 – a </w:t>
      </w:r>
      <w:proofErr w:type="spellStart"/>
      <w:r>
        <w:rPr>
          <w:color w:val="000000"/>
          <w:sz w:val="22"/>
          <w:szCs w:val="22"/>
        </w:rPr>
        <w:t>prosztaglandinszintézist</w:t>
      </w:r>
      <w:proofErr w:type="spellEnd"/>
      <w:r>
        <w:rPr>
          <w:color w:val="000000"/>
          <w:sz w:val="22"/>
          <w:szCs w:val="22"/>
        </w:rPr>
        <w:t xml:space="preserve"> gátló egyéb gyógyszerekhez hasonlóan – fájásrenyheséget és a </w:t>
      </w:r>
      <w:proofErr w:type="spellStart"/>
      <w:r>
        <w:rPr>
          <w:color w:val="000000"/>
          <w:sz w:val="22"/>
          <w:szCs w:val="22"/>
        </w:rPr>
        <w:t>ductus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arteriosus</w:t>
      </w:r>
      <w:proofErr w:type="spellEnd"/>
      <w:r>
        <w:rPr>
          <w:color w:val="000000"/>
          <w:sz w:val="22"/>
          <w:szCs w:val="22"/>
        </w:rPr>
        <w:t xml:space="preserve"> korai záródását okozhatja a terhesség utolsó trimeszterében.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ellenjavallt terhesség alatt (lásd 4.3 pont). Ha a beteg a kezelés során esik teherbe,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adását fel kell függeszteni.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rPr>
          <w:rFonts w:eastAsia="SimSun"/>
          <w:sz w:val="22"/>
          <w:u w:val="single"/>
          <w:lang w:eastAsia="zh-CN"/>
        </w:rPr>
      </w:pPr>
      <w:r>
        <w:rPr>
          <w:rFonts w:eastAsia="SimSun"/>
          <w:sz w:val="22"/>
          <w:u w:val="single"/>
          <w:lang w:eastAsia="zh-CN"/>
        </w:rPr>
        <w:t>Szoptatás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Nem ismert, hogy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kiválasztódik</w:t>
      </w:r>
      <w:proofErr w:type="spellEnd"/>
      <w:r>
        <w:rPr>
          <w:color w:val="000000"/>
          <w:sz w:val="22"/>
          <w:szCs w:val="22"/>
        </w:rPr>
        <w:t xml:space="preserve">-e a humán anyatejbe. Laktáló patkányokban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kiválasztódik</w:t>
      </w:r>
      <w:proofErr w:type="spellEnd"/>
      <w:r>
        <w:rPr>
          <w:color w:val="000000"/>
          <w:sz w:val="22"/>
          <w:szCs w:val="22"/>
        </w:rPr>
        <w:t xml:space="preserve"> a tejbe.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szedő nők nem szoptathatnak (lásd 4.3 és 5.3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rPr>
          <w:rFonts w:eastAsia="SimSun"/>
          <w:sz w:val="22"/>
          <w:u w:val="single"/>
          <w:lang w:eastAsia="zh-CN"/>
        </w:rPr>
      </w:pPr>
      <w:r>
        <w:rPr>
          <w:rFonts w:eastAsia="SimSun"/>
          <w:sz w:val="22"/>
          <w:u w:val="single"/>
          <w:lang w:eastAsia="zh-CN"/>
        </w:rPr>
        <w:t>Termékenység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alkalmazása – éppúgy, mint bármely ismert COX</w:t>
      </w:r>
      <w:r>
        <w:rPr>
          <w:color w:val="000000"/>
          <w:sz w:val="22"/>
          <w:szCs w:val="22"/>
        </w:rPr>
        <w:noBreakHyphen/>
        <w:t>2 gátló gyógyszer adása – nem javasolt olyan nők esetében, akik teherbe kívánnak esni.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4.7</w:t>
      </w:r>
      <w:r>
        <w:rPr>
          <w:b/>
          <w:noProof/>
          <w:snapToGrid/>
          <w:sz w:val="22"/>
          <w:szCs w:val="22"/>
        </w:rPr>
        <w:tab/>
        <w:t>A készítmény hatásai a gépjárművezetéshez és a gépek kezeléséhez szükséges képességekre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szedése során szédülést, vertigo-t vagy aluszékonyságot tapasztaló betegeknek tartózkodniuk kell a gépjárművezetéstől és a munkagépek kezelésétől.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4.8</w:t>
      </w:r>
      <w:r>
        <w:rPr>
          <w:b/>
          <w:noProof/>
          <w:snapToGrid/>
          <w:sz w:val="22"/>
          <w:szCs w:val="22"/>
        </w:rPr>
        <w:tab/>
        <w:t>Nemkívánatos hatások, mellékhatások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 biztonságossági profil összefoglalása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klinikai vizsgálatokban 7152 személynél, köztük 4614 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, krónikus derékfájásban vagy </w:t>
      </w:r>
      <w:proofErr w:type="spellStart"/>
      <w:r>
        <w:rPr>
          <w:color w:val="000000"/>
          <w:sz w:val="22"/>
          <w:szCs w:val="22"/>
        </w:rPr>
        <w:t>spondylitis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ankylopoeticában</w:t>
      </w:r>
      <w:proofErr w:type="spellEnd"/>
      <w:r>
        <w:rPr>
          <w:color w:val="000000"/>
          <w:sz w:val="22"/>
          <w:szCs w:val="22"/>
        </w:rPr>
        <w:t xml:space="preserve"> szenvedő betegnél vizsgálták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biztonságosságát (kb. 600 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vagy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szenvedő betegnél egy évig vagy tovább folytatták a kezelést).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klinikai vizsgálatokban a mellékhatásprofil hasonló volt </w:t>
      </w:r>
      <w:proofErr w:type="spellStart"/>
      <w:r>
        <w:rPr>
          <w:color w:val="000000"/>
          <w:sz w:val="22"/>
          <w:szCs w:val="22"/>
        </w:rPr>
        <w:t>osteoarthritis</w:t>
      </w:r>
      <w:proofErr w:type="spellEnd"/>
      <w:r>
        <w:rPr>
          <w:color w:val="000000"/>
          <w:sz w:val="22"/>
          <w:szCs w:val="22"/>
        </w:rPr>
        <w:t xml:space="preserve"> vagy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</w:t>
      </w:r>
      <w:proofErr w:type="spellEnd"/>
      <w:r>
        <w:rPr>
          <w:color w:val="000000"/>
          <w:sz w:val="22"/>
          <w:szCs w:val="22"/>
        </w:rPr>
        <w:t xml:space="preserve"> miatt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egy évig vagy annál tovább kezelt betegeknél.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Egy klinikai vizsgálat során akut köszvényes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szenvedő betegeket napi egyszeri 120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kezeltek nyolc napon át. E vizsgálatban a mellékhatásprofil általánosságban hasonló volt az </w:t>
      </w:r>
      <w:proofErr w:type="spellStart"/>
      <w:r>
        <w:rPr>
          <w:color w:val="000000"/>
          <w:sz w:val="22"/>
          <w:szCs w:val="22"/>
        </w:rPr>
        <w:t>osteoarthritisre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arthritisre</w:t>
      </w:r>
      <w:proofErr w:type="spellEnd"/>
      <w:r>
        <w:rPr>
          <w:color w:val="000000"/>
          <w:sz w:val="22"/>
          <w:szCs w:val="22"/>
        </w:rPr>
        <w:t>, illetve krónikus derék fájdalomra irányuló kombinált vizsgálatokban észlelthez.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pStyle w:val="NormlWeb1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cardiovascularis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biztonságossági kimenetelt vizsgáló program összesített adatai szerint három, aktív komparátor</w:t>
      </w:r>
      <w:r>
        <w:rPr>
          <w:rFonts w:ascii="Times New Roman" w:hAnsi="Times New Roman"/>
          <w:color w:val="000000"/>
          <w:sz w:val="22"/>
          <w:szCs w:val="22"/>
        </w:rPr>
        <w:noBreakHyphen/>
        <w:t>kontrollos vizsgálat során 17 412 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osteoarthritisben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vagy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rheumatoid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arthritisben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szenvedő beteget kezeltek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etorikoxibbal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>, átlagosan hozzávetőleg 18 hónapon keresztül. A program biztonságossági adatait az 5.1 pontban ismertetjük.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fogászati beavatkozást követő heveny fájdalmat elemző klinikai vizsgálatokban, melyekben 614, 90 mg vagy 120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beteg vett részt, a mellékhatásprofil általánosságban véve hasonló volt a kombinált, </w:t>
      </w:r>
      <w:proofErr w:type="spellStart"/>
      <w:r>
        <w:rPr>
          <w:color w:val="000000"/>
          <w:sz w:val="22"/>
          <w:szCs w:val="22"/>
        </w:rPr>
        <w:t>osteoarthritis</w:t>
      </w:r>
      <w:proofErr w:type="spellEnd"/>
      <w:r>
        <w:rPr>
          <w:color w:val="000000"/>
          <w:sz w:val="22"/>
          <w:szCs w:val="22"/>
        </w:rPr>
        <w:noBreakHyphen/>
        <w:t xml:space="preserve">,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</w:t>
      </w:r>
      <w:proofErr w:type="spellEnd"/>
      <w:r>
        <w:rPr>
          <w:color w:val="000000"/>
          <w:sz w:val="22"/>
          <w:szCs w:val="22"/>
        </w:rPr>
        <w:noBreakHyphen/>
        <w:t xml:space="preserve"> és krónikus alsó gerinctáji fájdalom</w:t>
      </w:r>
      <w:r>
        <w:rPr>
          <w:color w:val="000000"/>
          <w:sz w:val="22"/>
          <w:szCs w:val="22"/>
        </w:rPr>
        <w:noBreakHyphen/>
        <w:t>vizsgálatokban jelentettekhez.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 mellékhatások táblázatos felsorolása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következő mellékhatásokról számoltak be a </w:t>
      </w:r>
      <w:proofErr w:type="spellStart"/>
      <w:r>
        <w:rPr>
          <w:color w:val="000000"/>
          <w:sz w:val="22"/>
          <w:szCs w:val="22"/>
        </w:rPr>
        <w:t>placebónál</w:t>
      </w:r>
      <w:proofErr w:type="spellEnd"/>
      <w:r>
        <w:rPr>
          <w:color w:val="000000"/>
          <w:sz w:val="22"/>
          <w:szCs w:val="22"/>
        </w:rPr>
        <w:t xml:space="preserve"> nagyobb előfordulási gyakorisággal olyan klinikai vizsgálatok során, amelyekben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, krónikus alsó gerinctáji fájdalomban vagy </w:t>
      </w:r>
      <w:proofErr w:type="spellStart"/>
      <w:r>
        <w:rPr>
          <w:color w:val="000000"/>
          <w:sz w:val="22"/>
          <w:szCs w:val="22"/>
        </w:rPr>
        <w:t>spondylitis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ankylopoeticában</w:t>
      </w:r>
      <w:proofErr w:type="spellEnd"/>
      <w:r>
        <w:rPr>
          <w:color w:val="000000"/>
          <w:sz w:val="22"/>
          <w:szCs w:val="22"/>
        </w:rPr>
        <w:t xml:space="preserve"> szenvedő betegeket legfeljebb 12 héten át kezeltek 30 mg, 60 mg, illetve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>, legfeljebb az ajánlott adaggal; a MEDAL program vizsgálataiban legfeljebb három és fél éven át; a heveny fájdalmat elemző rövidtávú vizsgálatokban legfeljebb 7 napon át; illetve a forgalomba hozatalt követően (lásd 1. táblázat):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b/>
          <w:sz w:val="22"/>
          <w:szCs w:val="22"/>
        </w:rPr>
      </w:pPr>
      <w:r>
        <w:rPr>
          <w:b/>
          <w:sz w:val="22"/>
          <w:szCs w:val="22"/>
        </w:rPr>
        <w:t>1. táblázat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1"/>
        <w:gridCol w:w="4253"/>
        <w:gridCol w:w="1897"/>
      </w:tblGrid>
      <w:tr w:rsidR="00986B29">
        <w:trPr>
          <w:cantSplit/>
          <w:tblHeader/>
        </w:trPr>
        <w:tc>
          <w:tcPr>
            <w:tcW w:w="1606" w:type="pct"/>
            <w:shd w:val="clear" w:color="auto" w:fill="auto"/>
          </w:tcPr>
          <w:p w:rsidR="00986B29" w:rsidRDefault="00E554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Szervrendszer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Mellékhatások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Gyakorisági kategória*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Fertőző betegségek és parazitafertőzések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alveolaris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osteitis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gastroenteritis</w:t>
            </w:r>
            <w:proofErr w:type="spellEnd"/>
            <w:r>
              <w:rPr>
                <w:color w:val="000000"/>
                <w:sz w:val="22"/>
                <w:szCs w:val="22"/>
              </w:rPr>
              <w:t>, felső légúti fertőzések, húgyúti fertőzések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(főként </w:t>
            </w:r>
            <w:proofErr w:type="spellStart"/>
            <w:r>
              <w:rPr>
                <w:color w:val="000000"/>
                <w:sz w:val="22"/>
                <w:szCs w:val="22"/>
              </w:rPr>
              <w:t>gastrointestinalis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vérzéssel összefüggő) </w:t>
            </w:r>
            <w:proofErr w:type="spellStart"/>
            <w:r>
              <w:rPr>
                <w:color w:val="000000"/>
                <w:sz w:val="22"/>
                <w:szCs w:val="22"/>
              </w:rPr>
              <w:t>anaemia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leukopenia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thrombocytopenia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Immunrendszeri betegségek és tünetek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túlérzékenység</w:t>
            </w:r>
            <w:r>
              <w:rPr>
                <w:iCs/>
                <w:sz w:val="22"/>
                <w:szCs w:val="22"/>
                <w:vertAlign w:val="superscript"/>
              </w:rPr>
              <w:t>‡ ß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angiooedema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anafilaxiás</w:t>
            </w:r>
            <w:proofErr w:type="spell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anafilaktoid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reakciók, a sokkot beleértve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oedema</w:t>
            </w:r>
            <w:proofErr w:type="spellEnd"/>
            <w:r>
              <w:rPr>
                <w:color w:val="000000"/>
                <w:sz w:val="22"/>
                <w:szCs w:val="22"/>
              </w:rPr>
              <w:t>/folyadékretenció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tabs>
                <w:tab w:val="left" w:pos="972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megváltozott étvágy, testsúlygyarapodás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Pszichiátriai kórképek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szorongás, depresszió, csökkent szellemi képességek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hallucinációk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zavartság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nyugtalanság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Idegrendszeri betegségek és tünetek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szédülés, fejfájás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ízérzés zavara,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insomnia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paraesthesia</w:t>
            </w:r>
            <w:proofErr w:type="spell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hypaesthesia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somnolentia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Szembetegségek és szemészeti tünetek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homályos látás, </w:t>
            </w:r>
            <w:proofErr w:type="spellStart"/>
            <w:r>
              <w:rPr>
                <w:color w:val="000000"/>
                <w:sz w:val="22"/>
                <w:szCs w:val="22"/>
              </w:rPr>
              <w:t>conjunctivitis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tinnitus</w:t>
            </w:r>
            <w:proofErr w:type="spellEnd"/>
            <w:r>
              <w:rPr>
                <w:sz w:val="22"/>
                <w:szCs w:val="22"/>
              </w:rPr>
              <w:t xml:space="preserve"> (fülcsengés), vertigo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palpitatio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iCs/>
                <w:sz w:val="22"/>
                <w:szCs w:val="22"/>
              </w:rPr>
              <w:t>arrhythmia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pitvarfibrillatio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tachycardia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pangásos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szívelégtelenség, nem specifikus EKG</w:t>
            </w:r>
            <w:r>
              <w:rPr>
                <w:color w:val="000000"/>
                <w:sz w:val="22"/>
                <w:szCs w:val="22"/>
              </w:rPr>
              <w:noBreakHyphen/>
              <w:t xml:space="preserve">eltérések, angina </w:t>
            </w:r>
            <w:proofErr w:type="spellStart"/>
            <w:r>
              <w:rPr>
                <w:color w:val="000000"/>
                <w:sz w:val="22"/>
                <w:szCs w:val="22"/>
              </w:rPr>
              <w:t>pectoris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myocardialis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infarctus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§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Érbetegségek és tünetek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hypertonia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kipirulás, </w:t>
            </w:r>
            <w:proofErr w:type="spellStart"/>
            <w:r>
              <w:rPr>
                <w:color w:val="000000"/>
                <w:sz w:val="22"/>
                <w:szCs w:val="22"/>
              </w:rPr>
              <w:t>cerebrovascularis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esemény</w:t>
            </w:r>
            <w:r>
              <w:rPr>
                <w:iCs/>
                <w:sz w:val="22"/>
                <w:szCs w:val="22"/>
                <w:vertAlign w:val="superscript"/>
              </w:rPr>
              <w:t>§</w:t>
            </w:r>
            <w:r>
              <w:rPr>
                <w:i/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tranziens </w:t>
            </w:r>
            <w:proofErr w:type="spellStart"/>
            <w:r>
              <w:rPr>
                <w:color w:val="000000"/>
                <w:sz w:val="22"/>
                <w:szCs w:val="22"/>
              </w:rPr>
              <w:t>ischaemiás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roham,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hypertoniás</w:t>
            </w:r>
            <w:proofErr w:type="spellEnd"/>
            <w:r>
              <w:rPr>
                <w:iCs/>
                <w:sz w:val="22"/>
                <w:szCs w:val="22"/>
              </w:rPr>
              <w:t xml:space="preserve"> krízis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/>
                <w:sz w:val="22"/>
                <w:szCs w:val="22"/>
              </w:rPr>
              <w:t xml:space="preserve">, </w:t>
            </w:r>
            <w:proofErr w:type="spellStart"/>
            <w:r>
              <w:rPr>
                <w:iCs/>
                <w:sz w:val="22"/>
                <w:szCs w:val="22"/>
              </w:rPr>
              <w:t>vasculitis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 xml:space="preserve">Légzőrendszeri, mellkasi és </w:t>
            </w:r>
            <w:proofErr w:type="spellStart"/>
            <w:r>
              <w:rPr>
                <w:b/>
                <w:i/>
                <w:color w:val="000000"/>
                <w:sz w:val="22"/>
                <w:szCs w:val="22"/>
              </w:rPr>
              <w:t>mediastinalis</w:t>
            </w:r>
            <w:proofErr w:type="spellEnd"/>
            <w:r>
              <w:rPr>
                <w:b/>
                <w:i/>
                <w:color w:val="000000"/>
                <w:sz w:val="22"/>
                <w:szCs w:val="22"/>
              </w:rPr>
              <w:t xml:space="preserve"> betegségek és tünetek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bronchospasmus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i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köhögés, </w:t>
            </w:r>
            <w:proofErr w:type="spellStart"/>
            <w:r>
              <w:rPr>
                <w:color w:val="000000"/>
                <w:sz w:val="22"/>
                <w:szCs w:val="22"/>
              </w:rPr>
              <w:t>dyspnoe</w:t>
            </w:r>
            <w:proofErr w:type="spellEnd"/>
            <w:r>
              <w:rPr>
                <w:color w:val="000000"/>
                <w:sz w:val="22"/>
                <w:szCs w:val="22"/>
              </w:rPr>
              <w:t>, orrvérzés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Emésztőrendszeri betegségek és tünetek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hasi fájdalom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székrekedés, </w:t>
            </w:r>
            <w:proofErr w:type="spellStart"/>
            <w:r>
              <w:rPr>
                <w:sz w:val="22"/>
                <w:szCs w:val="22"/>
              </w:rPr>
              <w:t>flatulentia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gastritis</w:t>
            </w:r>
            <w:proofErr w:type="spellEnd"/>
            <w:r>
              <w:rPr>
                <w:sz w:val="22"/>
                <w:szCs w:val="22"/>
              </w:rPr>
              <w:t xml:space="preserve">, gyomorégés/gyomorsav-reflux, </w:t>
            </w:r>
            <w:proofErr w:type="spellStart"/>
            <w:r>
              <w:rPr>
                <w:color w:val="000000"/>
                <w:sz w:val="22"/>
                <w:szCs w:val="22"/>
              </w:rPr>
              <w:t>diarrhoea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dyspepsia</w:t>
            </w:r>
            <w:proofErr w:type="spell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epigastrialis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diszkomfort, </w:t>
            </w:r>
            <w:proofErr w:type="spellStart"/>
            <w:r>
              <w:rPr>
                <w:color w:val="000000"/>
                <w:sz w:val="22"/>
                <w:szCs w:val="22"/>
              </w:rPr>
              <w:t>nausea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hányás, </w:t>
            </w:r>
            <w:proofErr w:type="spellStart"/>
            <w:r>
              <w:rPr>
                <w:color w:val="000000"/>
                <w:sz w:val="22"/>
                <w:szCs w:val="22"/>
              </w:rPr>
              <w:t>oesophagitis</w:t>
            </w:r>
            <w:proofErr w:type="spellEnd"/>
            <w:r>
              <w:rPr>
                <w:color w:val="000000"/>
                <w:sz w:val="22"/>
                <w:szCs w:val="22"/>
              </w:rPr>
              <w:t>, szájnyálkahártya</w:t>
            </w:r>
            <w:r>
              <w:rPr>
                <w:color w:val="000000"/>
                <w:sz w:val="22"/>
                <w:szCs w:val="22"/>
              </w:rPr>
              <w:noBreakHyphen/>
              <w:t>fekélyek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hasi puffadás, </w:t>
            </w:r>
            <w:r>
              <w:rPr>
                <w:color w:val="000000"/>
                <w:sz w:val="22"/>
                <w:szCs w:val="22"/>
              </w:rPr>
              <w:t xml:space="preserve">a bélmozgások változásai, szájszárazság, </w:t>
            </w:r>
            <w:proofErr w:type="spellStart"/>
            <w:r>
              <w:rPr>
                <w:color w:val="000000"/>
                <w:sz w:val="22"/>
                <w:szCs w:val="22"/>
              </w:rPr>
              <w:t>gastroduodenalis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fekély, </w:t>
            </w:r>
            <w:proofErr w:type="spellStart"/>
            <w:r>
              <w:rPr>
                <w:color w:val="000000"/>
                <w:sz w:val="22"/>
                <w:szCs w:val="22"/>
              </w:rPr>
              <w:t>pepticus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fekélyek, köztük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gastrointestinalis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perforáció és vérzés, </w:t>
            </w:r>
            <w:proofErr w:type="spellStart"/>
            <w:r>
              <w:rPr>
                <w:color w:val="000000"/>
                <w:sz w:val="22"/>
                <w:szCs w:val="22"/>
              </w:rPr>
              <w:t>irritábilis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bél szindróma, </w:t>
            </w:r>
            <w:proofErr w:type="spellStart"/>
            <w:r>
              <w:rPr>
                <w:iCs/>
                <w:sz w:val="22"/>
                <w:szCs w:val="22"/>
              </w:rPr>
              <w:t>pancreatitis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rFonts w:eastAsia="Arial Unicode MS"/>
                <w:b/>
                <w:i/>
                <w:snapToGrid/>
                <w:color w:val="000000"/>
                <w:sz w:val="22"/>
                <w:szCs w:val="22"/>
              </w:rPr>
              <w:t>Máj- és epebetegségek, illetve tünetek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rFonts w:eastAsia="Arial Unicode MS"/>
                <w:snapToGrid/>
                <w:color w:val="000000"/>
                <w:sz w:val="22"/>
                <w:szCs w:val="22"/>
              </w:rPr>
              <w:t>emelkedett ALAT (GPT), emelkedett ASAT (GOT)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hepatitis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májelégtelenség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Cs/>
                <w:sz w:val="22"/>
                <w:szCs w:val="22"/>
              </w:rPr>
              <w:t>, sárgaság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  <w:r>
              <w:rPr>
                <w:sz w:val="22"/>
                <w:szCs w:val="22"/>
                <w:vertAlign w:val="superscript"/>
              </w:rPr>
              <w:t xml:space="preserve"> †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ecchymosis</w:t>
            </w:r>
            <w:proofErr w:type="spellEnd"/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facialis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oedema</w:t>
            </w:r>
            <w:proofErr w:type="spellEnd"/>
            <w:r>
              <w:rPr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pruritus</w:t>
            </w:r>
            <w:proofErr w:type="spellEnd"/>
            <w:r>
              <w:rPr>
                <w:i/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kiütés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iCs/>
                <w:sz w:val="22"/>
                <w:szCs w:val="22"/>
              </w:rPr>
              <w:t>erythema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Cs/>
                <w:sz w:val="22"/>
                <w:szCs w:val="22"/>
              </w:rPr>
              <w:t xml:space="preserve">, </w:t>
            </w:r>
            <w:proofErr w:type="spellStart"/>
            <w:r>
              <w:rPr>
                <w:iCs/>
                <w:sz w:val="22"/>
                <w:szCs w:val="22"/>
              </w:rPr>
              <w:t>urticaria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Stevens</w:t>
            </w:r>
            <w:proofErr w:type="spellEnd"/>
            <w:r>
              <w:rPr>
                <w:iCs/>
                <w:sz w:val="22"/>
                <w:szCs w:val="22"/>
              </w:rPr>
              <w:t>—Johnson-szindróma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Cs/>
                <w:sz w:val="22"/>
                <w:szCs w:val="22"/>
              </w:rPr>
              <w:t xml:space="preserve">, </w:t>
            </w:r>
            <w:proofErr w:type="spellStart"/>
            <w:r>
              <w:rPr>
                <w:iCs/>
                <w:sz w:val="22"/>
                <w:szCs w:val="22"/>
              </w:rPr>
              <w:t>toxicus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epidermalis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necrolysis</w:t>
            </w:r>
            <w:proofErr w:type="spellEnd"/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iCs/>
                <w:sz w:val="22"/>
                <w:szCs w:val="22"/>
              </w:rPr>
              <w:t>, fix gyógyszerkiütés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  <w:r>
              <w:rPr>
                <w:sz w:val="22"/>
                <w:szCs w:val="22"/>
                <w:vertAlign w:val="superscript"/>
              </w:rPr>
              <w:t xml:space="preserve"> †</w:t>
            </w:r>
          </w:p>
        </w:tc>
      </w:tr>
      <w:tr w:rsidR="00986B29">
        <w:trPr>
          <w:cantSplit/>
        </w:trPr>
        <w:tc>
          <w:tcPr>
            <w:tcW w:w="1606" w:type="pc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izomgörcs/</w:t>
            </w:r>
            <w:r>
              <w:rPr>
                <w:color w:val="000000"/>
                <w:sz w:val="22"/>
                <w:szCs w:val="22"/>
              </w:rPr>
              <w:noBreakHyphen/>
            </w:r>
            <w:proofErr w:type="spellStart"/>
            <w:r>
              <w:rPr>
                <w:color w:val="000000"/>
                <w:sz w:val="22"/>
                <w:szCs w:val="22"/>
              </w:rPr>
              <w:t>spazmus</w:t>
            </w:r>
            <w:proofErr w:type="spellEnd"/>
            <w:r>
              <w:rPr>
                <w:color w:val="000000"/>
                <w:sz w:val="22"/>
                <w:szCs w:val="22"/>
              </w:rPr>
              <w:t>, mozgásszervi fájdalom/merevség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Vese- és húgyúti betegségek és tünetek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proteinuria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emelkedett szérum</w:t>
            </w:r>
            <w:r>
              <w:rPr>
                <w:color w:val="000000"/>
                <w:sz w:val="22"/>
                <w:szCs w:val="22"/>
              </w:rPr>
              <w:noBreakHyphen/>
              <w:t>kreatinin szint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veseműködési zavarok/ veseelégtelenség</w:t>
            </w:r>
            <w:r>
              <w:rPr>
                <w:iCs/>
                <w:sz w:val="22"/>
                <w:szCs w:val="22"/>
                <w:vertAlign w:val="superscript"/>
              </w:rPr>
              <w:t>‡</w:t>
            </w:r>
            <w:r>
              <w:rPr>
                <w:color w:val="000000"/>
                <w:sz w:val="22"/>
                <w:szCs w:val="22"/>
              </w:rPr>
              <w:t xml:space="preserve"> (lásd 4.4 pont)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asthenia</w:t>
            </w:r>
            <w:proofErr w:type="spellEnd"/>
            <w:r>
              <w:rPr>
                <w:color w:val="000000"/>
                <w:sz w:val="22"/>
                <w:szCs w:val="22"/>
              </w:rPr>
              <w:t>/fáradtságérzés, influenzaszerű tünetek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tabs>
                <w:tab w:val="left" w:pos="9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mellkasi fájdalom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 w:val="restart"/>
            <w:shd w:val="clear" w:color="auto" w:fill="auto"/>
          </w:tcPr>
          <w:p w:rsidR="00986B29" w:rsidRDefault="00E55408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tabs>
                <w:tab w:val="left" w:pos="972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emelkedett vér karbamid</w:t>
            </w:r>
            <w:r>
              <w:rPr>
                <w:color w:val="000000"/>
                <w:sz w:val="22"/>
                <w:szCs w:val="22"/>
              </w:rPr>
              <w:noBreakHyphen/>
              <w:t>nitrogénszint, emelkedett kreatin</w:t>
            </w:r>
            <w:r>
              <w:rPr>
                <w:color w:val="000000"/>
                <w:sz w:val="22"/>
                <w:szCs w:val="22"/>
              </w:rPr>
              <w:noBreakHyphen/>
            </w:r>
            <w:proofErr w:type="spellStart"/>
            <w:r>
              <w:rPr>
                <w:color w:val="000000"/>
                <w:sz w:val="22"/>
                <w:szCs w:val="22"/>
              </w:rPr>
              <w:t>kinázszint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hyperkalaemia</w:t>
            </w:r>
            <w:proofErr w:type="spellEnd"/>
            <w:r>
              <w:rPr>
                <w:color w:val="000000"/>
                <w:sz w:val="22"/>
                <w:szCs w:val="22"/>
              </w:rPr>
              <w:t>, emelkedett húgysav szint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986B29">
        <w:trPr>
          <w:cantSplit/>
        </w:trPr>
        <w:tc>
          <w:tcPr>
            <w:tcW w:w="1606" w:type="pct"/>
            <w:vMerge/>
            <w:shd w:val="clear" w:color="auto" w:fill="auto"/>
          </w:tcPr>
          <w:p w:rsidR="00986B29" w:rsidRDefault="00986B29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47" w:type="pct"/>
            <w:shd w:val="clear" w:color="auto" w:fill="auto"/>
          </w:tcPr>
          <w:p w:rsidR="00986B29" w:rsidRDefault="00E55408">
            <w:pPr>
              <w:tabs>
                <w:tab w:val="left" w:pos="972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csökkent vér nátriumszint</w:t>
            </w:r>
          </w:p>
        </w:tc>
        <w:tc>
          <w:tcPr>
            <w:tcW w:w="1047" w:type="pct"/>
            <w:shd w:val="clear" w:color="auto" w:fill="auto"/>
          </w:tcPr>
          <w:p w:rsidR="00986B29" w:rsidRDefault="00E554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986B29">
        <w:trPr>
          <w:cantSplit/>
        </w:trPr>
        <w:tc>
          <w:tcPr>
            <w:tcW w:w="5000" w:type="pct"/>
            <w:gridSpan w:val="3"/>
            <w:shd w:val="clear" w:color="auto" w:fill="auto"/>
          </w:tcPr>
          <w:p w:rsidR="00986B29" w:rsidRDefault="00986B29"/>
          <w:tbl>
            <w:tblPr>
              <w:tblW w:w="8640" w:type="dxa"/>
              <w:tblInd w:w="108" w:type="dxa"/>
              <w:tblLook w:val="01E0" w:firstRow="1" w:lastRow="1" w:firstColumn="1" w:lastColumn="1" w:noHBand="0" w:noVBand="0"/>
            </w:tblPr>
            <w:tblGrid>
              <w:gridCol w:w="8640"/>
            </w:tblGrid>
            <w:tr w:rsidR="00986B29">
              <w:trPr>
                <w:trHeight w:val="288"/>
              </w:trPr>
              <w:tc>
                <w:tcPr>
                  <w:tcW w:w="8640" w:type="dxa"/>
                  <w:shd w:val="clear" w:color="auto" w:fill="auto"/>
                  <w:vAlign w:val="center"/>
                </w:tcPr>
                <w:p w:rsidR="00986B29" w:rsidRDefault="00E55408">
                  <w:pPr>
                    <w:tabs>
                      <w:tab w:val="center" w:pos="4536"/>
                      <w:tab w:val="right" w:pos="8306"/>
                    </w:tabs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t xml:space="preserve">*Gyakorisági kategória: a mellékhatásokat a klinikai vizsgálatok adatbázisában jelentett incidencia alapján határozták meg: </w:t>
                  </w:r>
                  <w:r>
                    <w:rPr>
                      <w:color w:val="000000"/>
                      <w:sz w:val="18"/>
                      <w:szCs w:val="18"/>
                    </w:rPr>
                    <w:t>Nagyon gyakori (</w:t>
                  </w:r>
                  <w:r>
                    <w:rPr>
                      <w:b/>
                      <w:color w:val="000000"/>
                      <w:sz w:val="18"/>
                      <w:szCs w:val="18"/>
                    </w:rPr>
                    <w:sym w:font="Symbol" w:char="00B3"/>
                  </w:r>
                  <w:r>
                    <w:rPr>
                      <w:color w:val="000000"/>
                      <w:sz w:val="18"/>
                      <w:szCs w:val="18"/>
                    </w:rPr>
                    <w:t>1/10), Gyakori (</w:t>
                  </w:r>
                  <w:r>
                    <w:rPr>
                      <w:b/>
                      <w:color w:val="000000"/>
                      <w:sz w:val="18"/>
                      <w:szCs w:val="18"/>
                    </w:rPr>
                    <w:sym w:font="Symbol" w:char="00B3"/>
                  </w:r>
                  <w:r>
                    <w:rPr>
                      <w:color w:val="000000"/>
                      <w:sz w:val="18"/>
                      <w:szCs w:val="18"/>
                    </w:rPr>
                    <w:t>1/100 – &lt;1/10), Nem gyakori (</w:t>
                  </w:r>
                  <w:r>
                    <w:rPr>
                      <w:b/>
                      <w:color w:val="000000"/>
                      <w:sz w:val="18"/>
                      <w:szCs w:val="18"/>
                    </w:rPr>
                    <w:sym w:font="Symbol" w:char="00B3"/>
                  </w:r>
                  <w:r>
                    <w:rPr>
                      <w:color w:val="000000"/>
                      <w:sz w:val="18"/>
                      <w:szCs w:val="18"/>
                    </w:rPr>
                    <w:t>1/1000 – &lt;1/100), Ritka (</w:t>
                  </w:r>
                  <w:r>
                    <w:rPr>
                      <w:b/>
                      <w:color w:val="000000"/>
                      <w:sz w:val="18"/>
                      <w:szCs w:val="18"/>
                    </w:rPr>
                    <w:sym w:font="Symbol" w:char="00B3"/>
                  </w:r>
                  <w:r>
                    <w:rPr>
                      <w:color w:val="000000"/>
                      <w:sz w:val="18"/>
                      <w:szCs w:val="18"/>
                    </w:rPr>
                    <w:t>1/10 000 – &lt;1/1000), Nagyon ritka (&lt;1/10 000).</w:t>
                  </w:r>
                </w:p>
                <w:p w:rsidR="00986B29" w:rsidRDefault="00986B29">
                  <w:pPr>
                    <w:tabs>
                      <w:tab w:val="center" w:pos="4536"/>
                      <w:tab w:val="right" w:pos="8306"/>
                    </w:tabs>
                    <w:rPr>
                      <w:color w:val="000000"/>
                      <w:sz w:val="18"/>
                      <w:szCs w:val="18"/>
                    </w:rPr>
                  </w:pPr>
                </w:p>
                <w:p w:rsidR="00986B29" w:rsidRDefault="00E55408">
                  <w:pPr>
                    <w:tabs>
                      <w:tab w:val="center" w:pos="4536"/>
                      <w:tab w:val="right" w:pos="8306"/>
                    </w:tabs>
                    <w:rPr>
                      <w:iCs/>
                      <w:sz w:val="18"/>
                      <w:szCs w:val="18"/>
                    </w:rPr>
                  </w:pPr>
                  <w:r>
                    <w:rPr>
                      <w:iCs/>
                      <w:sz w:val="18"/>
                      <w:szCs w:val="18"/>
                      <w:vertAlign w:val="superscript"/>
                    </w:rPr>
                    <w:t>‡ </w:t>
                  </w:r>
                  <w:r>
                    <w:rPr>
                      <w:iCs/>
                      <w:sz w:val="18"/>
                      <w:szCs w:val="18"/>
                    </w:rPr>
                    <w:t>Ezt a mellékhatást a forgalomba hozatalt követő megfigyelések során azonosították. A jelentett gyakoriságot a klinikai vizsgálatokban indikáció és jóváhagyott adag szerint összesített adatokból, a legmagasabb megfigyelt gyakoriság alapján becsülték meg.</w:t>
                  </w:r>
                </w:p>
                <w:p w:rsidR="00986B29" w:rsidRDefault="00986B29">
                  <w:pPr>
                    <w:tabs>
                      <w:tab w:val="center" w:pos="4536"/>
                      <w:tab w:val="right" w:pos="8306"/>
                    </w:tabs>
                    <w:rPr>
                      <w:iCs/>
                      <w:sz w:val="18"/>
                      <w:szCs w:val="18"/>
                    </w:rPr>
                  </w:pPr>
                </w:p>
                <w:p w:rsidR="00986B29" w:rsidRDefault="00E55408">
                  <w:pPr>
                    <w:tabs>
                      <w:tab w:val="center" w:pos="4536"/>
                      <w:tab w:val="right" w:pos="8306"/>
                    </w:tabs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vertAlign w:val="superscript"/>
                      <w:lang w:val="en-US"/>
                    </w:rPr>
                    <w:t>†</w:t>
                  </w:r>
                  <w:r>
                    <w:rPr>
                      <w:sz w:val="18"/>
                      <w:szCs w:val="18"/>
                      <w:lang w:val="en-US"/>
                    </w:rPr>
                    <w:t>A “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Ritka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”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gyakorisági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kategóriát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az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Alkalmazási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előírásra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vonatkozó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útmutató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(2.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változat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, 2009.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szeptember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)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szerint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határozták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meg 0 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eseményhez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tartozó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95%</w:t>
                  </w:r>
                  <w:r>
                    <w:rPr>
                      <w:sz w:val="18"/>
                      <w:szCs w:val="18"/>
                      <w:lang w:val="en-US"/>
                    </w:rPr>
                    <w:noBreakHyphen/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os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konfidencia-intervallum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becsült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felső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korlátja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alapján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melyet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az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etorikoxibbal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kezelt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alanyok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(n=15 470)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Fázis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III.,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dózis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és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indikáció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szerint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összesített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adatainak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elemzéséből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kaptak</w:t>
                  </w:r>
                  <w:proofErr w:type="spellEnd"/>
                  <w:r>
                    <w:rPr>
                      <w:sz w:val="18"/>
                      <w:szCs w:val="18"/>
                      <w:lang w:val="en-US"/>
                    </w:rPr>
                    <w:t>.</w:t>
                  </w:r>
                </w:p>
                <w:p w:rsidR="00986B29" w:rsidRDefault="00986B29">
                  <w:pPr>
                    <w:rPr>
                      <w:iCs/>
                      <w:noProof/>
                      <w:sz w:val="18"/>
                      <w:szCs w:val="18"/>
                      <w:vertAlign w:val="superscript"/>
                      <w:lang w:val="en-US"/>
                    </w:rPr>
                  </w:pPr>
                </w:p>
                <w:p w:rsidR="00986B29" w:rsidRDefault="00E55408">
                  <w:pPr>
                    <w:rPr>
                      <w:sz w:val="18"/>
                      <w:szCs w:val="18"/>
                    </w:rPr>
                  </w:pPr>
                  <w:r>
                    <w:rPr>
                      <w:iCs/>
                      <w:noProof/>
                      <w:sz w:val="18"/>
                      <w:szCs w:val="18"/>
                      <w:vertAlign w:val="superscript"/>
                      <w:lang w:val="en-US"/>
                    </w:rPr>
                    <w:t xml:space="preserve">ß </w:t>
                  </w:r>
                  <w:r>
                    <w:rPr>
                      <w:iCs/>
                      <w:noProof/>
                      <w:sz w:val="18"/>
                      <w:szCs w:val="18"/>
                      <w:lang w:val="en-US"/>
                    </w:rPr>
                    <w:t>A túlérzékenység fogalmába beletartozik az allergia, gyógyszerallergia, gyógyszerrel szembeni túlérzékenység, túlérzékenység, nem meghatározott túlérzékenység, túlérzékenységi reakció és nem specifikus allergia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  <w:p w:rsidR="00986B29" w:rsidRDefault="00986B29">
                  <w:pPr>
                    <w:rPr>
                      <w:sz w:val="18"/>
                      <w:szCs w:val="18"/>
                    </w:rPr>
                  </w:pPr>
                </w:p>
                <w:p w:rsidR="00986B29" w:rsidRDefault="00E55408">
                  <w:pPr>
                    <w:rPr>
                      <w:iCs/>
                      <w:noProof/>
                      <w:sz w:val="16"/>
                      <w:szCs w:val="16"/>
                    </w:rPr>
                  </w:pPr>
                  <w:r>
                    <w:rPr>
                      <w:noProof/>
                      <w:sz w:val="18"/>
                      <w:szCs w:val="18"/>
                      <w:vertAlign w:val="superscript"/>
                    </w:rPr>
                    <w:t>§</w:t>
                  </w:r>
                  <w:r>
                    <w:rPr>
                      <w:noProof/>
                      <w:sz w:val="18"/>
                      <w:szCs w:val="18"/>
                    </w:rPr>
                    <w:t>Hosszú távú placebo- és aktív kontrollos klinikai vizsgálatok elemzése alapján a szelektív COX</w:t>
                  </w:r>
                  <w:r>
                    <w:rPr>
                      <w:noProof/>
                      <w:sz w:val="18"/>
                      <w:szCs w:val="18"/>
                    </w:rPr>
                    <w:noBreakHyphen/>
                    <w:t>2</w:t>
                  </w:r>
                  <w:r>
                    <w:rPr>
                      <w:noProof/>
                      <w:sz w:val="18"/>
                      <w:szCs w:val="18"/>
                    </w:rPr>
                    <w:noBreakHyphen/>
                    <w:t>gátlókat összefüggésbe hozták a súlyos thromboticus artériás események megnövekedett kockázatával, beleértve a myocardialis infarctust és stroke-ot. A meglévő adatok alapján ezen események abszolút kockázatnövekedése nem valószínű, hogy meghaladja az évi 1%</w:t>
                  </w:r>
                  <w:r>
                    <w:rPr>
                      <w:noProof/>
                      <w:sz w:val="18"/>
                      <w:szCs w:val="18"/>
                    </w:rPr>
                    <w:noBreakHyphen/>
                    <w:t>ot (nem gyakori).</w:t>
                  </w:r>
                </w:p>
              </w:tc>
            </w:tr>
          </w:tbl>
          <w:p w:rsidR="00986B29" w:rsidRDefault="00986B29">
            <w:pPr>
              <w:pStyle w:val="lfej"/>
              <w:rPr>
                <w:i/>
                <w:sz w:val="22"/>
                <w:szCs w:val="22"/>
                <w:lang w:val="hu-HU"/>
              </w:rPr>
            </w:pPr>
          </w:p>
        </w:tc>
      </w:tr>
    </w:tbl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NSAID csoportba tartozó gyógyszerek használata kapcsán a következő súlyos mellékhatásokról számoltak be, amelyek nem zárhatók ki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használata esetén sem: vesetoxicitás, beleértve az </w:t>
      </w:r>
      <w:proofErr w:type="spellStart"/>
      <w:r>
        <w:rPr>
          <w:color w:val="000000"/>
          <w:sz w:val="22"/>
          <w:szCs w:val="22"/>
        </w:rPr>
        <w:t>interstitialis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nephritist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nephrosis</w:t>
      </w:r>
      <w:proofErr w:type="spellEnd"/>
      <w:r>
        <w:rPr>
          <w:color w:val="000000"/>
          <w:sz w:val="22"/>
          <w:szCs w:val="22"/>
        </w:rPr>
        <w:t xml:space="preserve"> szindrómát.</w:t>
      </w:r>
    </w:p>
    <w:p w:rsidR="00986B29" w:rsidRDefault="00986B29">
      <w:pPr>
        <w:rPr>
          <w:b/>
          <w:bCs/>
          <w:color w:val="000000"/>
          <w:sz w:val="22"/>
          <w:szCs w:val="22"/>
        </w:rPr>
      </w:pPr>
    </w:p>
    <w:p w:rsidR="00986B29" w:rsidRDefault="00E55408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Feltételezett mellékhatások bejelentése</w:t>
      </w:r>
    </w:p>
    <w:p w:rsidR="00986B29" w:rsidRDefault="00E55408">
      <w:pPr>
        <w:rPr>
          <w:sz w:val="22"/>
          <w:szCs w:val="22"/>
        </w:rPr>
      </w:pPr>
      <w:r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:rsidR="00986B29" w:rsidRDefault="00E55408">
      <w:pPr>
        <w:rPr>
          <w:b/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sz w:val="22"/>
            <w:szCs w:val="22"/>
            <w:highlight w:val="lightGray"/>
          </w:rPr>
          <w:t>V. függelékben</w:t>
        </w:r>
      </w:hyperlink>
      <w:r>
        <w:rPr>
          <w:sz w:val="22"/>
          <w:szCs w:val="22"/>
          <w:highlight w:val="lightGray"/>
        </w:rPr>
        <w:t xml:space="preserve"> található elérhetőségek valamelyikén keresztül</w:t>
      </w:r>
      <w:r>
        <w:rPr>
          <w:sz w:val="22"/>
          <w:szCs w:val="22"/>
        </w:rPr>
        <w:t>.</w:t>
      </w:r>
    </w:p>
    <w:p w:rsidR="00986B29" w:rsidRDefault="00986B29">
      <w:pPr>
        <w:rPr>
          <w:b/>
          <w:bCs/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4.9</w:t>
      </w:r>
      <w:r>
        <w:rPr>
          <w:b/>
          <w:noProof/>
          <w:snapToGrid/>
          <w:sz w:val="22"/>
          <w:szCs w:val="22"/>
        </w:rPr>
        <w:tab/>
        <w:t>Túladagolás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Tünetek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elvégzett klinikai vizsgálatokban nem alakult ki szignifikáns toxicitás egyszeri, maximum 500 mg, és 21 napon át tartó, ismételt dózisú, maximum 150 mg/nap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bevitele esetén. Érkeztek jelentések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akut túladagolásáról, de mellékhatásokat az esetek többségében nem jelentettek. A leggyakrabban megfigyelt mellékhatások illeszkedtek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biztonságossági profiljához (pl.: 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események, </w:t>
      </w:r>
      <w:proofErr w:type="spellStart"/>
      <w:r>
        <w:rPr>
          <w:color w:val="000000"/>
          <w:sz w:val="22"/>
          <w:szCs w:val="22"/>
        </w:rPr>
        <w:t>cardio</w:t>
      </w:r>
      <w:r>
        <w:rPr>
          <w:color w:val="000000"/>
          <w:sz w:val="22"/>
          <w:szCs w:val="22"/>
        </w:rPr>
        <w:noBreakHyphen/>
        <w:t>renalis</w:t>
      </w:r>
      <w:proofErr w:type="spellEnd"/>
      <w:r>
        <w:rPr>
          <w:color w:val="000000"/>
          <w:sz w:val="22"/>
          <w:szCs w:val="22"/>
        </w:rPr>
        <w:t xml:space="preserve"> események).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Kezelés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Túladagolás esetén célszerű a szokásos tüneti kezelés, azaz a fel nem szívódott szer eltávolítása a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traktusból, a klinikai megfigyelés és szükség esetén egyéb tüneti terápia.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hemodialízissel</w:t>
      </w:r>
      <w:proofErr w:type="spellEnd"/>
      <w:r>
        <w:rPr>
          <w:color w:val="000000"/>
          <w:sz w:val="22"/>
          <w:szCs w:val="22"/>
        </w:rPr>
        <w:t xml:space="preserve"> nem </w:t>
      </w:r>
      <w:proofErr w:type="spellStart"/>
      <w:r>
        <w:rPr>
          <w:color w:val="000000"/>
          <w:sz w:val="22"/>
          <w:szCs w:val="22"/>
        </w:rPr>
        <w:t>dializálható</w:t>
      </w:r>
      <w:proofErr w:type="spellEnd"/>
      <w:r>
        <w:rPr>
          <w:color w:val="000000"/>
          <w:sz w:val="22"/>
          <w:szCs w:val="22"/>
        </w:rPr>
        <w:t xml:space="preserve">, és nem ismert, hogy </w:t>
      </w:r>
      <w:proofErr w:type="spellStart"/>
      <w:r>
        <w:rPr>
          <w:color w:val="000000"/>
          <w:sz w:val="22"/>
          <w:szCs w:val="22"/>
        </w:rPr>
        <w:t>peritonealis</w:t>
      </w:r>
      <w:proofErr w:type="spellEnd"/>
      <w:r>
        <w:rPr>
          <w:color w:val="000000"/>
          <w:sz w:val="22"/>
          <w:szCs w:val="22"/>
        </w:rPr>
        <w:t xml:space="preserve"> dialízissel eltávolítható</w:t>
      </w:r>
      <w:r>
        <w:rPr>
          <w:color w:val="000000"/>
          <w:sz w:val="22"/>
          <w:szCs w:val="22"/>
        </w:rPr>
        <w:noBreakHyphen/>
        <w:t>e.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5.</w:t>
      </w:r>
      <w:r>
        <w:rPr>
          <w:b/>
          <w:noProof/>
          <w:snapToGrid/>
          <w:sz w:val="22"/>
          <w:szCs w:val="22"/>
        </w:rPr>
        <w:tab/>
        <w:t>FARMAKOLÓGIAI TULAJDONSÁGOK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5.1</w:t>
      </w:r>
      <w:r>
        <w:rPr>
          <w:b/>
          <w:noProof/>
          <w:snapToGrid/>
          <w:sz w:val="22"/>
          <w:szCs w:val="22"/>
        </w:rPr>
        <w:tab/>
        <w:t>Farmakodinámiás tulajdonságok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Farmakoterápiás</w:t>
      </w:r>
      <w:proofErr w:type="spellEnd"/>
      <w:r>
        <w:rPr>
          <w:color w:val="000000"/>
          <w:sz w:val="22"/>
          <w:szCs w:val="22"/>
        </w:rPr>
        <w:t xml:space="preserve"> csoport: Nem-</w:t>
      </w:r>
      <w:proofErr w:type="spellStart"/>
      <w:r>
        <w:rPr>
          <w:color w:val="000000"/>
          <w:sz w:val="22"/>
          <w:szCs w:val="22"/>
        </w:rPr>
        <w:t>zteroid</w:t>
      </w:r>
      <w:proofErr w:type="spellEnd"/>
      <w:r>
        <w:rPr>
          <w:color w:val="000000"/>
          <w:sz w:val="22"/>
          <w:szCs w:val="22"/>
        </w:rPr>
        <w:t xml:space="preserve"> gyulladásgátló és reumaellenes szerek, </w:t>
      </w:r>
      <w:proofErr w:type="spellStart"/>
      <w:r>
        <w:rPr>
          <w:color w:val="000000"/>
          <w:sz w:val="22"/>
          <w:szCs w:val="22"/>
        </w:rPr>
        <w:t>koxibok</w:t>
      </w:r>
      <w:proofErr w:type="spellEnd"/>
      <w:r>
        <w:rPr>
          <w:color w:val="000000"/>
          <w:sz w:val="22"/>
          <w:szCs w:val="22"/>
        </w:rPr>
        <w:t>,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ATC kód: M01AH05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rPr>
          <w:noProof/>
          <w:snapToGrid/>
          <w:sz w:val="22"/>
          <w:szCs w:val="22"/>
          <w:u w:val="single"/>
        </w:rPr>
      </w:pPr>
      <w:r>
        <w:rPr>
          <w:noProof/>
          <w:snapToGrid/>
          <w:sz w:val="22"/>
          <w:szCs w:val="22"/>
          <w:u w:val="single"/>
        </w:rPr>
        <w:t>Hatásmechanizmus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egy orális, a klinikai dózistartományban szelektív ciklooxigenáz</w:t>
      </w:r>
      <w:r>
        <w:rPr>
          <w:color w:val="000000"/>
          <w:sz w:val="22"/>
          <w:szCs w:val="22"/>
        </w:rPr>
        <w:noBreakHyphen/>
        <w:t>2 (COX</w:t>
      </w:r>
      <w:r>
        <w:rPr>
          <w:color w:val="000000"/>
          <w:sz w:val="22"/>
          <w:szCs w:val="22"/>
        </w:rPr>
        <w:noBreakHyphen/>
        <w:t>2) gátló.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Klinikai farmakológiai vizsgálatokban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dózisfüggő gátlást gyakorolt a COX</w:t>
      </w:r>
      <w:r>
        <w:rPr>
          <w:color w:val="000000"/>
          <w:sz w:val="22"/>
          <w:szCs w:val="22"/>
        </w:rPr>
        <w:noBreakHyphen/>
        <w:t>2 enzimre, a COX</w:t>
      </w:r>
      <w:r>
        <w:rPr>
          <w:color w:val="000000"/>
          <w:sz w:val="22"/>
          <w:szCs w:val="22"/>
        </w:rPr>
        <w:noBreakHyphen/>
        <w:t>1 enzim gátlása nélkül, 150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napi dózisig.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gátolta a gyomorban zajló </w:t>
      </w:r>
      <w:proofErr w:type="spellStart"/>
      <w:r>
        <w:rPr>
          <w:color w:val="000000"/>
          <w:sz w:val="22"/>
          <w:szCs w:val="22"/>
        </w:rPr>
        <w:t>prosztaglandinszintézist</w:t>
      </w:r>
      <w:proofErr w:type="spellEnd"/>
      <w:r>
        <w:rPr>
          <w:color w:val="000000"/>
          <w:sz w:val="22"/>
          <w:szCs w:val="22"/>
        </w:rPr>
        <w:t xml:space="preserve"> és nem befolyásolta a </w:t>
      </w:r>
      <w:proofErr w:type="spellStart"/>
      <w:r>
        <w:rPr>
          <w:color w:val="000000"/>
          <w:sz w:val="22"/>
          <w:szCs w:val="22"/>
        </w:rPr>
        <w:t>thrombocyta</w:t>
      </w:r>
      <w:proofErr w:type="spellEnd"/>
      <w:r>
        <w:rPr>
          <w:color w:val="000000"/>
          <w:sz w:val="22"/>
          <w:szCs w:val="22"/>
        </w:rPr>
        <w:t xml:space="preserve"> funkciót.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ciklooxigenáz</w:t>
      </w:r>
      <w:proofErr w:type="spellEnd"/>
      <w:r>
        <w:rPr>
          <w:color w:val="000000"/>
          <w:sz w:val="22"/>
          <w:szCs w:val="22"/>
        </w:rPr>
        <w:t xml:space="preserve"> felelős a </w:t>
      </w:r>
      <w:proofErr w:type="spellStart"/>
      <w:r>
        <w:rPr>
          <w:color w:val="000000"/>
          <w:sz w:val="22"/>
          <w:szCs w:val="22"/>
        </w:rPr>
        <w:t>prosztaglandinok</w:t>
      </w:r>
      <w:proofErr w:type="spellEnd"/>
      <w:r>
        <w:rPr>
          <w:color w:val="000000"/>
          <w:sz w:val="22"/>
          <w:szCs w:val="22"/>
        </w:rPr>
        <w:t xml:space="preserve"> termeléséért. Két </w:t>
      </w:r>
      <w:proofErr w:type="spellStart"/>
      <w:r>
        <w:rPr>
          <w:color w:val="000000"/>
          <w:sz w:val="22"/>
          <w:szCs w:val="22"/>
        </w:rPr>
        <w:t>izoenzimét</w:t>
      </w:r>
      <w:proofErr w:type="spellEnd"/>
      <w:r>
        <w:rPr>
          <w:color w:val="000000"/>
          <w:sz w:val="22"/>
          <w:szCs w:val="22"/>
        </w:rPr>
        <w:t>, a COX</w:t>
      </w:r>
      <w:r>
        <w:rPr>
          <w:color w:val="000000"/>
          <w:sz w:val="22"/>
          <w:szCs w:val="22"/>
        </w:rPr>
        <w:noBreakHyphen/>
        <w:t>1-et és a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>t, azonosították. A COX</w:t>
      </w:r>
      <w:r>
        <w:rPr>
          <w:color w:val="000000"/>
          <w:sz w:val="22"/>
          <w:szCs w:val="22"/>
        </w:rPr>
        <w:noBreakHyphen/>
        <w:t xml:space="preserve">2 az enzim azon </w:t>
      </w:r>
      <w:proofErr w:type="spellStart"/>
      <w:r>
        <w:rPr>
          <w:color w:val="000000"/>
          <w:sz w:val="22"/>
          <w:szCs w:val="22"/>
        </w:rPr>
        <w:t>izoformja</w:t>
      </w:r>
      <w:proofErr w:type="spellEnd"/>
      <w:r>
        <w:rPr>
          <w:color w:val="000000"/>
          <w:sz w:val="22"/>
          <w:szCs w:val="22"/>
        </w:rPr>
        <w:t xml:space="preserve">, melyet gyulladáskeltő </w:t>
      </w:r>
      <w:proofErr w:type="spellStart"/>
      <w:r>
        <w:rPr>
          <w:color w:val="000000"/>
          <w:sz w:val="22"/>
          <w:szCs w:val="22"/>
        </w:rPr>
        <w:t>stimulusok</w:t>
      </w:r>
      <w:proofErr w:type="spellEnd"/>
      <w:r>
        <w:rPr>
          <w:color w:val="000000"/>
          <w:sz w:val="22"/>
          <w:szCs w:val="22"/>
        </w:rPr>
        <w:t xml:space="preserve"> indukálnak. Feltételezik, hogy a COX</w:t>
      </w:r>
      <w:r>
        <w:rPr>
          <w:color w:val="000000"/>
          <w:sz w:val="22"/>
          <w:szCs w:val="22"/>
        </w:rPr>
        <w:noBreakHyphen/>
        <w:t xml:space="preserve">2 felelős elsősorban a fájdalom, a gyulladás és a láz </w:t>
      </w:r>
      <w:proofErr w:type="spellStart"/>
      <w:r>
        <w:rPr>
          <w:color w:val="000000"/>
          <w:sz w:val="22"/>
          <w:szCs w:val="22"/>
        </w:rPr>
        <w:t>prosztanoid</w:t>
      </w:r>
      <w:proofErr w:type="spellEnd"/>
      <w:r>
        <w:rPr>
          <w:color w:val="000000"/>
          <w:sz w:val="22"/>
          <w:szCs w:val="22"/>
        </w:rPr>
        <w:t xml:space="preserve"> mediátorainak termeléséért. A COX</w:t>
      </w:r>
      <w:r>
        <w:rPr>
          <w:color w:val="000000"/>
          <w:sz w:val="22"/>
          <w:szCs w:val="22"/>
        </w:rPr>
        <w:noBreakHyphen/>
        <w:t xml:space="preserve">2 ezen felül szerepet játszik az ovulációban, az implantációban, a </w:t>
      </w:r>
      <w:proofErr w:type="spellStart"/>
      <w:r>
        <w:rPr>
          <w:color w:val="000000"/>
          <w:sz w:val="22"/>
          <w:szCs w:val="22"/>
        </w:rPr>
        <w:t>ductus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arteriosus</w:t>
      </w:r>
      <w:proofErr w:type="spellEnd"/>
      <w:r>
        <w:rPr>
          <w:color w:val="000000"/>
          <w:sz w:val="22"/>
          <w:szCs w:val="22"/>
        </w:rPr>
        <w:t xml:space="preserve"> záródásában, a vesefunkciók szabályozásában, valamint központi idegrendszeri funkciókban (láz kiváltása, fájdalomérzékelés, kognitív funkció). A fekélygyógyulásban is szerepet játszhat. A COX</w:t>
      </w:r>
      <w:r>
        <w:rPr>
          <w:color w:val="000000"/>
          <w:sz w:val="22"/>
          <w:szCs w:val="22"/>
        </w:rPr>
        <w:noBreakHyphen/>
        <w:t>2</w:t>
      </w:r>
      <w:r>
        <w:rPr>
          <w:color w:val="000000"/>
          <w:sz w:val="22"/>
          <w:szCs w:val="22"/>
        </w:rPr>
        <w:noBreakHyphen/>
        <w:t>t azonosították a gyomorfekélyek körüli szövetben az emberben, de a fekélygyógyulással való összefüggését még nem igazolták.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rPr>
          <w:noProof/>
          <w:snapToGrid/>
          <w:sz w:val="22"/>
          <w:szCs w:val="22"/>
          <w:u w:val="single"/>
        </w:rPr>
      </w:pPr>
      <w:r>
        <w:rPr>
          <w:noProof/>
          <w:snapToGrid/>
          <w:sz w:val="22"/>
          <w:szCs w:val="22"/>
          <w:u w:val="single"/>
        </w:rPr>
        <w:t>Klinikai hatásosság és biztonságosság</w:t>
      </w:r>
    </w:p>
    <w:p w:rsidR="00986B29" w:rsidRDefault="00E55408">
      <w:pPr>
        <w:tabs>
          <w:tab w:val="left" w:pos="567"/>
        </w:tabs>
        <w:rPr>
          <w:noProof/>
          <w:snapToGrid/>
          <w:sz w:val="22"/>
          <w:szCs w:val="22"/>
          <w:u w:val="single"/>
        </w:rPr>
      </w:pPr>
      <w:r>
        <w:rPr>
          <w:noProof/>
          <w:snapToGrid/>
          <w:sz w:val="22"/>
          <w:szCs w:val="22"/>
          <w:u w:val="single"/>
        </w:rPr>
        <w:t>Hatásosság</w:t>
      </w: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szenvedő betegeknél a napi egyszer alkalmazott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hatására szignifikáns mértékben enyhültek a betegek fájdalmai, és a betegség aktuális állapota is szignifikáns javulást mutatott. Ezeket a kedvező hatásokat már a kezelés második napján észlelték, és a hatás tartóssága elérte az 52 hetes időtartamot. A napi egyszer alkalmazott 30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, 12 hetet meghaladó kezelési időszak után (melynek során a fenti vizsgálatokhoz hasonló értékelési módszert használtak), bizonyítottan hatékonyabb volt a </w:t>
      </w:r>
      <w:proofErr w:type="spellStart"/>
      <w:r>
        <w:rPr>
          <w:color w:val="000000"/>
          <w:sz w:val="22"/>
          <w:szCs w:val="22"/>
        </w:rPr>
        <w:t>placebónál</w:t>
      </w:r>
      <w:proofErr w:type="spellEnd"/>
      <w:r>
        <w:rPr>
          <w:color w:val="000000"/>
          <w:sz w:val="22"/>
          <w:szCs w:val="22"/>
        </w:rPr>
        <w:t xml:space="preserve">. Egy különböző dózisokat alkalmazó vizsgálatban, a 6 hetet meghaladó kezelés során a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mindhárom elsődleges végpont esetében szignifikánsan nagyobb javulást idézett elő a 30 mg </w:t>
      </w:r>
      <w:proofErr w:type="spellStart"/>
      <w:r>
        <w:rPr>
          <w:color w:val="000000"/>
          <w:sz w:val="22"/>
          <w:szCs w:val="22"/>
        </w:rPr>
        <w:t>etorikoxibnál</w:t>
      </w:r>
      <w:proofErr w:type="spellEnd"/>
      <w:r>
        <w:rPr>
          <w:color w:val="000000"/>
          <w:sz w:val="22"/>
          <w:szCs w:val="22"/>
        </w:rPr>
        <w:t xml:space="preserve">. A kéz </w:t>
      </w:r>
      <w:proofErr w:type="spellStart"/>
      <w:r>
        <w:rPr>
          <w:color w:val="000000"/>
          <w:sz w:val="22"/>
          <w:szCs w:val="22"/>
        </w:rPr>
        <w:t>osteoarthritisében</w:t>
      </w:r>
      <w:proofErr w:type="spellEnd"/>
      <w:r>
        <w:rPr>
          <w:color w:val="000000"/>
          <w:sz w:val="22"/>
          <w:szCs w:val="22"/>
        </w:rPr>
        <w:t xml:space="preserve"> nem vizsgálták a 30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dózist.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Egy fogászati beavatkozást követő fájdalmat elemző klinikai vizsgálatban a 90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hatáskezdetének (a fájdalom érzékelhető enyhülésének) átlagértéke a beadás utáni 28 perc volt.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Biztonságosság</w:t>
      </w: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Multinacionális </w:t>
      </w:r>
      <w:proofErr w:type="spellStart"/>
      <w:r>
        <w:rPr>
          <w:color w:val="000000"/>
          <w:sz w:val="22"/>
          <w:szCs w:val="22"/>
          <w:u w:val="single"/>
        </w:rPr>
        <w:t>etorikoxib</w:t>
      </w:r>
      <w:proofErr w:type="spellEnd"/>
      <w:r>
        <w:rPr>
          <w:color w:val="000000"/>
          <w:sz w:val="22"/>
          <w:szCs w:val="22"/>
          <w:u w:val="single"/>
        </w:rPr>
        <w:t xml:space="preserve"> és </w:t>
      </w:r>
      <w:proofErr w:type="spellStart"/>
      <w:r>
        <w:rPr>
          <w:color w:val="000000"/>
          <w:sz w:val="22"/>
          <w:szCs w:val="22"/>
          <w:u w:val="single"/>
        </w:rPr>
        <w:t>diklofenák</w:t>
      </w:r>
      <w:proofErr w:type="spellEnd"/>
      <w:r>
        <w:rPr>
          <w:color w:val="000000"/>
          <w:sz w:val="22"/>
          <w:szCs w:val="22"/>
          <w:u w:val="single"/>
        </w:rPr>
        <w:t xml:space="preserve"> </w:t>
      </w:r>
      <w:proofErr w:type="spellStart"/>
      <w:r>
        <w:rPr>
          <w:color w:val="000000"/>
          <w:sz w:val="22"/>
          <w:szCs w:val="22"/>
          <w:u w:val="single"/>
        </w:rPr>
        <w:t>arthritis</w:t>
      </w:r>
      <w:proofErr w:type="spellEnd"/>
      <w:r>
        <w:rPr>
          <w:color w:val="000000"/>
          <w:sz w:val="22"/>
          <w:szCs w:val="22"/>
          <w:u w:val="single"/>
        </w:rPr>
        <w:t xml:space="preserve"> hosszútávú (MEDAL) vizsgálati program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MEDAL Program egy </w:t>
      </w:r>
      <w:proofErr w:type="spellStart"/>
      <w:r>
        <w:rPr>
          <w:color w:val="000000"/>
          <w:sz w:val="22"/>
          <w:szCs w:val="22"/>
        </w:rPr>
        <w:t>prospektív</w:t>
      </w:r>
      <w:proofErr w:type="spellEnd"/>
      <w:r>
        <w:rPr>
          <w:color w:val="000000"/>
          <w:sz w:val="22"/>
          <w:szCs w:val="22"/>
        </w:rPr>
        <w:t xml:space="preserve"> felépítésű,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(CV) biztonságossági végkimenetelt vizsgáló program volt, melyben három </w:t>
      </w:r>
      <w:proofErr w:type="spellStart"/>
      <w:r>
        <w:rPr>
          <w:color w:val="000000"/>
          <w:sz w:val="22"/>
          <w:szCs w:val="22"/>
        </w:rPr>
        <w:t>randomizált</w:t>
      </w:r>
      <w:proofErr w:type="spellEnd"/>
      <w:r>
        <w:rPr>
          <w:color w:val="000000"/>
          <w:sz w:val="22"/>
          <w:szCs w:val="22"/>
        </w:rPr>
        <w:t>, kettős vak, aktív komparátor-kontrollos vizsgálat, a MEDAL, az EDGE II és az EDGE adatait összesítették.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MEDAL </w:t>
      </w:r>
      <w:proofErr w:type="spellStart"/>
      <w:r>
        <w:rPr>
          <w:color w:val="000000"/>
          <w:sz w:val="22"/>
          <w:szCs w:val="22"/>
        </w:rPr>
        <w:t>végpontvezérelt</w:t>
      </w:r>
      <w:proofErr w:type="spellEnd"/>
      <w:r>
        <w:rPr>
          <w:color w:val="000000"/>
          <w:sz w:val="22"/>
          <w:szCs w:val="22"/>
        </w:rPr>
        <w:t xml:space="preserve">, a CV kimenetelt értékelő vizsgálat volt, melyben 17 804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(OA) és 5700 </w:t>
      </w:r>
      <w:proofErr w:type="spellStart"/>
      <w:r>
        <w:rPr>
          <w:color w:val="000000"/>
          <w:sz w:val="22"/>
          <w:szCs w:val="22"/>
        </w:rPr>
        <w:t>rheumathoid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(RA) szenvedő beteget kezeltek a napi 60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(OA), napi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(OA és RA) , illetve napi 150 mg </w:t>
      </w:r>
      <w:proofErr w:type="spellStart"/>
      <w:r>
        <w:rPr>
          <w:color w:val="000000"/>
          <w:sz w:val="22"/>
          <w:szCs w:val="22"/>
        </w:rPr>
        <w:t>diklofenákkal</w:t>
      </w:r>
      <w:proofErr w:type="spellEnd"/>
      <w:r>
        <w:rPr>
          <w:color w:val="000000"/>
          <w:sz w:val="22"/>
          <w:szCs w:val="22"/>
        </w:rPr>
        <w:t>, átlagosan 20,3 hónapig (legfeljebb 42,3 hónapig, medián: 21,3 hónap). Ebben a vizsgálatban csak a súlyos mellékhatásokat és azokat a mellékhatásokat dokumentálták, melyek a kezelés abbahagyásához vezettek.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EDGE és EDGE II vizsgálatok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tolerálhatóságát</w:t>
      </w:r>
      <w:proofErr w:type="spellEnd"/>
      <w:r>
        <w:rPr>
          <w:color w:val="000000"/>
          <w:sz w:val="22"/>
          <w:szCs w:val="22"/>
        </w:rPr>
        <w:t xml:space="preserve"> hasonlították össze. Az EDGE vizsgálatban 7111,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szenvedő beteget kezeltek napi egy adag 90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(az </w:t>
      </w:r>
      <w:proofErr w:type="spellStart"/>
      <w:r>
        <w:rPr>
          <w:color w:val="000000"/>
          <w:sz w:val="22"/>
          <w:szCs w:val="22"/>
        </w:rPr>
        <w:t>osteoarthritis</w:t>
      </w:r>
      <w:proofErr w:type="spellEnd"/>
      <w:r>
        <w:rPr>
          <w:color w:val="000000"/>
          <w:sz w:val="22"/>
          <w:szCs w:val="22"/>
        </w:rPr>
        <w:t xml:space="preserve"> kezelésére javasolt adag 1,5</w:t>
      </w:r>
      <w:r>
        <w:rPr>
          <w:color w:val="000000"/>
          <w:sz w:val="22"/>
          <w:szCs w:val="22"/>
        </w:rPr>
        <w:noBreakHyphen/>
        <w:t xml:space="preserve">szerese) vagy napi 150 mg </w:t>
      </w:r>
      <w:proofErr w:type="spellStart"/>
      <w:r>
        <w:rPr>
          <w:color w:val="000000"/>
          <w:sz w:val="22"/>
          <w:szCs w:val="22"/>
        </w:rPr>
        <w:t>diklofenákkal</w:t>
      </w:r>
      <w:proofErr w:type="spellEnd"/>
      <w:r>
        <w:rPr>
          <w:color w:val="000000"/>
          <w:sz w:val="22"/>
          <w:szCs w:val="22"/>
        </w:rPr>
        <w:t xml:space="preserve"> átlagosan 9,1 hónapig (legfeljebb 16,6 hónapig, medián: 11,4 hónap). Az EDGE II vizsgálatban 4086, </w:t>
      </w:r>
      <w:proofErr w:type="spellStart"/>
      <w:r>
        <w:rPr>
          <w:color w:val="000000"/>
          <w:sz w:val="22"/>
          <w:szCs w:val="22"/>
        </w:rPr>
        <w:t>rheumatiod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szenvedő beteget kezeltek napi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vagy napi 150 mg </w:t>
      </w:r>
      <w:proofErr w:type="spellStart"/>
      <w:r>
        <w:rPr>
          <w:color w:val="000000"/>
          <w:sz w:val="22"/>
          <w:szCs w:val="22"/>
        </w:rPr>
        <w:t>diklofenákkal</w:t>
      </w:r>
      <w:proofErr w:type="spellEnd"/>
      <w:r>
        <w:rPr>
          <w:color w:val="000000"/>
          <w:sz w:val="22"/>
          <w:szCs w:val="22"/>
        </w:rPr>
        <w:t xml:space="preserve"> átlagosan 19,2 hónapig (legfeljebb 33,1 hónapig, medián: 24 hónap).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összetett MEDAL programban 34 701 </w:t>
      </w:r>
      <w:proofErr w:type="spellStart"/>
      <w:r>
        <w:rPr>
          <w:color w:val="000000"/>
          <w:sz w:val="22"/>
          <w:szCs w:val="22"/>
        </w:rPr>
        <w:t>osteoarthritisben</w:t>
      </w:r>
      <w:proofErr w:type="spellEnd"/>
      <w:r>
        <w:rPr>
          <w:color w:val="000000"/>
          <w:sz w:val="22"/>
          <w:szCs w:val="22"/>
        </w:rPr>
        <w:t xml:space="preserve"> vagy </w:t>
      </w:r>
      <w:proofErr w:type="spellStart"/>
      <w:r>
        <w:rPr>
          <w:color w:val="000000"/>
          <w:sz w:val="22"/>
          <w:szCs w:val="22"/>
        </w:rPr>
        <w:t>rheumatoid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arthritisben</w:t>
      </w:r>
      <w:proofErr w:type="spellEnd"/>
      <w:r>
        <w:rPr>
          <w:color w:val="000000"/>
          <w:sz w:val="22"/>
          <w:szCs w:val="22"/>
        </w:rPr>
        <w:t xml:space="preserve"> szenvedő beteget kezeltek átlagosan 17,9 hónapig (legfeljebb 42,3 hónapig, medián: 16,3 hónap), és hozzávetőleg 12 800 beteget kezeltek 24 hónapnál hosszabb ideig. A programba bevont betegek a vizsgálat kezdetekor sokféle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rizikófaktorral rendelkeztek. A közelmúltban </w:t>
      </w:r>
      <w:proofErr w:type="spellStart"/>
      <w:r>
        <w:rPr>
          <w:color w:val="000000"/>
          <w:sz w:val="22"/>
          <w:szCs w:val="22"/>
        </w:rPr>
        <w:t>myocardialis</w:t>
      </w:r>
      <w:proofErr w:type="spellEnd"/>
      <w:r>
        <w:rPr>
          <w:color w:val="000000"/>
          <w:sz w:val="22"/>
          <w:szCs w:val="22"/>
        </w:rPr>
        <w:t xml:space="preserve"> infarktuson, illetve a vizsgálatba való bevonást megelőző 6 hónapon belül coronaria artéria </w:t>
      </w:r>
      <w:proofErr w:type="spellStart"/>
      <w:r>
        <w:rPr>
          <w:color w:val="000000"/>
          <w:sz w:val="22"/>
          <w:szCs w:val="22"/>
        </w:rPr>
        <w:t>bypass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graft</w:t>
      </w:r>
      <w:proofErr w:type="spellEnd"/>
      <w:r>
        <w:rPr>
          <w:color w:val="000000"/>
          <w:sz w:val="22"/>
          <w:szCs w:val="22"/>
        </w:rPr>
        <w:t xml:space="preserve"> beavatkozáson vagy </w:t>
      </w:r>
      <w:proofErr w:type="spellStart"/>
      <w:r>
        <w:rPr>
          <w:color w:val="000000"/>
          <w:sz w:val="22"/>
          <w:szCs w:val="22"/>
        </w:rPr>
        <w:t>percutan</w:t>
      </w:r>
      <w:proofErr w:type="spellEnd"/>
      <w:r>
        <w:rPr>
          <w:color w:val="000000"/>
          <w:sz w:val="22"/>
          <w:szCs w:val="22"/>
        </w:rPr>
        <w:t xml:space="preserve"> coronaria intervención átesett betegeket kizárták a vizsgálatból. A vizsgálatban a </w:t>
      </w:r>
      <w:proofErr w:type="spellStart"/>
      <w:r>
        <w:rPr>
          <w:color w:val="000000"/>
          <w:sz w:val="22"/>
          <w:szCs w:val="22"/>
        </w:rPr>
        <w:t>gastroprotektív</w:t>
      </w:r>
      <w:proofErr w:type="spellEnd"/>
      <w:r>
        <w:rPr>
          <w:color w:val="000000"/>
          <w:sz w:val="22"/>
          <w:szCs w:val="22"/>
        </w:rPr>
        <w:t xml:space="preserve"> ágensek és az alacsony dózisú </w:t>
      </w:r>
      <w:proofErr w:type="spellStart"/>
      <w:r>
        <w:rPr>
          <w:color w:val="000000"/>
          <w:sz w:val="22"/>
          <w:szCs w:val="22"/>
        </w:rPr>
        <w:t>acetilszalicilsav</w:t>
      </w:r>
      <w:proofErr w:type="spellEnd"/>
      <w:r>
        <w:rPr>
          <w:color w:val="000000"/>
          <w:sz w:val="22"/>
          <w:szCs w:val="22"/>
        </w:rPr>
        <w:t xml:space="preserve"> használata engedélyezett volt.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Általános biztonságosság: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Nem volt szignifikáns különbség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között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thromboticus</w:t>
      </w:r>
      <w:proofErr w:type="spellEnd"/>
      <w:r>
        <w:rPr>
          <w:color w:val="000000"/>
          <w:sz w:val="22"/>
          <w:szCs w:val="22"/>
        </w:rPr>
        <w:t xml:space="preserve"> események tekintetében. </w:t>
      </w:r>
      <w:proofErr w:type="spellStart"/>
      <w:r>
        <w:rPr>
          <w:color w:val="000000"/>
          <w:sz w:val="22"/>
          <w:szCs w:val="22"/>
        </w:rPr>
        <w:t>Cardiorenalis</w:t>
      </w:r>
      <w:proofErr w:type="spellEnd"/>
      <w:r>
        <w:rPr>
          <w:color w:val="000000"/>
          <w:sz w:val="22"/>
          <w:szCs w:val="22"/>
        </w:rPr>
        <w:t xml:space="preserve"> nemkívánatos eseményeket gyakrabban figyeltek meg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esetében, mint a </w:t>
      </w:r>
      <w:proofErr w:type="spellStart"/>
      <w:r>
        <w:rPr>
          <w:color w:val="000000"/>
          <w:sz w:val="22"/>
          <w:szCs w:val="22"/>
        </w:rPr>
        <w:t>diklofenáknál</w:t>
      </w:r>
      <w:proofErr w:type="spellEnd"/>
      <w:r>
        <w:rPr>
          <w:color w:val="000000"/>
          <w:sz w:val="22"/>
          <w:szCs w:val="22"/>
        </w:rPr>
        <w:t xml:space="preserve"> és ez a hatás dózisfüggő volt (a specifikus eredményeket lásd lent).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hepaticus</w:t>
      </w:r>
      <w:proofErr w:type="spellEnd"/>
      <w:r>
        <w:rPr>
          <w:color w:val="000000"/>
          <w:sz w:val="22"/>
          <w:szCs w:val="22"/>
        </w:rPr>
        <w:t xml:space="preserve"> mellékhatásokat gyakrabban figyeltek meg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mint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esetén. A nemkívánatos események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az EDGE és EDGE II vizsgálat során, valamint a súlyosnak ítélt nemkívánatos események vagy a vizsgálat megszakításához vezető nemkívánatos események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a MEDAL vizsgálat során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 nagyobb volt, mint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biztonságossági adatok: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bizonyított </w:t>
      </w:r>
      <w:proofErr w:type="spellStart"/>
      <w:r>
        <w:rPr>
          <w:color w:val="000000"/>
          <w:sz w:val="22"/>
          <w:szCs w:val="22"/>
        </w:rPr>
        <w:t>thromboticus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súlyos nemkívánatos események (beleértve a </w:t>
      </w:r>
      <w:proofErr w:type="spellStart"/>
      <w:r>
        <w:rPr>
          <w:color w:val="000000"/>
          <w:sz w:val="22"/>
          <w:szCs w:val="22"/>
        </w:rPr>
        <w:t>cardialis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cerebrovascularis</w:t>
      </w:r>
      <w:proofErr w:type="spellEnd"/>
      <w:r>
        <w:rPr>
          <w:color w:val="000000"/>
          <w:sz w:val="22"/>
          <w:szCs w:val="22"/>
        </w:rPr>
        <w:t xml:space="preserve"> és perifériás </w:t>
      </w:r>
      <w:proofErr w:type="spellStart"/>
      <w:r>
        <w:rPr>
          <w:color w:val="000000"/>
          <w:sz w:val="22"/>
          <w:szCs w:val="22"/>
        </w:rPr>
        <w:t>vascularis</w:t>
      </w:r>
      <w:proofErr w:type="spellEnd"/>
      <w:r>
        <w:rPr>
          <w:color w:val="000000"/>
          <w:sz w:val="22"/>
          <w:szCs w:val="22"/>
        </w:rPr>
        <w:t xml:space="preserve"> eseményeket) aránya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esetében hasonló volt és a lenti táblázat </w:t>
      </w:r>
      <w:proofErr w:type="spellStart"/>
      <w:r>
        <w:rPr>
          <w:color w:val="000000"/>
          <w:sz w:val="22"/>
          <w:szCs w:val="22"/>
        </w:rPr>
        <w:t>összegzi</w:t>
      </w:r>
      <w:proofErr w:type="spellEnd"/>
      <w:r>
        <w:rPr>
          <w:color w:val="000000"/>
          <w:sz w:val="22"/>
          <w:szCs w:val="22"/>
        </w:rPr>
        <w:t xml:space="preserve">. A </w:t>
      </w:r>
      <w:proofErr w:type="spellStart"/>
      <w:r>
        <w:rPr>
          <w:color w:val="000000"/>
          <w:sz w:val="22"/>
          <w:szCs w:val="22"/>
        </w:rPr>
        <w:t>thromboticus</w:t>
      </w:r>
      <w:proofErr w:type="spellEnd"/>
      <w:r>
        <w:rPr>
          <w:color w:val="000000"/>
          <w:sz w:val="22"/>
          <w:szCs w:val="22"/>
        </w:rPr>
        <w:t xml:space="preserve"> események arányát tekintve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között nem volt kimutatható különbség az elemzett alcsoportokban, melyekben a vizsgálatba történő belépéskor változatos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kockázati tényezőkkel rendelkező betegek szerepeltek. Külön értékelve a bizonyított </w:t>
      </w:r>
      <w:proofErr w:type="spellStart"/>
      <w:r>
        <w:rPr>
          <w:color w:val="000000"/>
          <w:sz w:val="22"/>
          <w:szCs w:val="22"/>
        </w:rPr>
        <w:t>thromboticus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súlyos nemkívánatos események relatív kockázatát a 60 mg vagy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 összehasonlítva a 150 mg </w:t>
      </w:r>
      <w:proofErr w:type="spellStart"/>
      <w:r>
        <w:rPr>
          <w:color w:val="000000"/>
          <w:sz w:val="22"/>
          <w:szCs w:val="22"/>
        </w:rPr>
        <w:t>diklofenákkal</w:t>
      </w:r>
      <w:proofErr w:type="spellEnd"/>
      <w:r>
        <w:rPr>
          <w:color w:val="000000"/>
          <w:sz w:val="22"/>
          <w:szCs w:val="22"/>
        </w:rPr>
        <w:t>, az eredmények hasonlóak voltak.</w:t>
      </w:r>
    </w:p>
    <w:p w:rsidR="00986B29" w:rsidRDefault="00986B29">
      <w:pPr>
        <w:rPr>
          <w:color w:val="00000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0"/>
        <w:gridCol w:w="1680"/>
        <w:gridCol w:w="12"/>
        <w:gridCol w:w="1758"/>
        <w:gridCol w:w="8"/>
        <w:gridCol w:w="2027"/>
        <w:gridCol w:w="8"/>
      </w:tblGrid>
      <w:tr w:rsidR="00986B29">
        <w:trPr>
          <w:cantSplit/>
          <w:trHeight w:val="546"/>
          <w:tblHeader/>
          <w:jc w:val="center"/>
        </w:trPr>
        <w:tc>
          <w:tcPr>
            <w:tcW w:w="7701" w:type="dxa"/>
            <w:gridSpan w:val="7"/>
          </w:tcPr>
          <w:p w:rsidR="00986B29" w:rsidRDefault="00E55408">
            <w:pPr>
              <w:keepNext/>
              <w:keepLines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 xml:space="preserve">2. táblázat: A bizonyítottan </w:t>
            </w:r>
            <w:proofErr w:type="spellStart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thromboticus</w:t>
            </w:r>
            <w:proofErr w:type="spellEnd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 xml:space="preserve"> CV események aránya (a MEDAL program összegzése)</w:t>
            </w:r>
          </w:p>
        </w:tc>
      </w:tr>
      <w:tr w:rsidR="00986B29">
        <w:trPr>
          <w:cantSplit/>
          <w:trHeight w:val="546"/>
          <w:tblHeader/>
          <w:jc w:val="center"/>
        </w:trPr>
        <w:tc>
          <w:tcPr>
            <w:tcW w:w="2208" w:type="dxa"/>
          </w:tcPr>
          <w:p w:rsidR="00986B29" w:rsidRDefault="00986B29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</w:p>
        </w:tc>
        <w:tc>
          <w:tcPr>
            <w:tcW w:w="1692" w:type="dxa"/>
            <w:gridSpan w:val="2"/>
          </w:tcPr>
          <w:p w:rsidR="00986B29" w:rsidRDefault="00E55408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Etorikoxib</w:t>
            </w:r>
            <w:proofErr w:type="spellEnd"/>
          </w:p>
          <w:p w:rsidR="00986B29" w:rsidRDefault="00E55408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(N=16 819)</w:t>
            </w:r>
          </w:p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25 836 betegév</w:t>
            </w:r>
          </w:p>
        </w:tc>
        <w:tc>
          <w:tcPr>
            <w:tcW w:w="1766" w:type="dxa"/>
            <w:gridSpan w:val="2"/>
          </w:tcPr>
          <w:p w:rsidR="00986B29" w:rsidRDefault="00E55408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Diklofenák</w:t>
            </w:r>
            <w:proofErr w:type="spellEnd"/>
          </w:p>
          <w:p w:rsidR="00986B29" w:rsidRDefault="00E55408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(N=16 483)</w:t>
            </w:r>
          </w:p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24 766 betegév</w:t>
            </w:r>
          </w:p>
        </w:tc>
        <w:tc>
          <w:tcPr>
            <w:tcW w:w="2035" w:type="dxa"/>
            <w:gridSpan w:val="2"/>
            <w:shd w:val="clear" w:color="auto" w:fill="auto"/>
          </w:tcPr>
          <w:p w:rsidR="00986B29" w:rsidRDefault="00986B29">
            <w:pPr>
              <w:keepNext/>
              <w:keepLines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</w:p>
          <w:p w:rsidR="00986B29" w:rsidRDefault="00E55408">
            <w:pPr>
              <w:keepNext/>
              <w:keepLines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Kezelések közötti összehasonlítás</w:t>
            </w:r>
          </w:p>
        </w:tc>
      </w:tr>
      <w:tr w:rsidR="00986B29">
        <w:trPr>
          <w:gridAfter w:val="1"/>
          <w:wAfter w:w="8" w:type="dxa"/>
          <w:cantSplit/>
          <w:trHeight w:val="111"/>
          <w:tblHeader/>
          <w:jc w:val="center"/>
        </w:trPr>
        <w:tc>
          <w:tcPr>
            <w:tcW w:w="2220" w:type="dxa"/>
          </w:tcPr>
          <w:p w:rsidR="00986B29" w:rsidRDefault="00986B29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</w:tcPr>
          <w:p w:rsidR="00986B29" w:rsidRDefault="00E55408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Arány</w:t>
            </w:r>
            <w:r>
              <w:rPr>
                <w:rFonts w:eastAsia="MS Mincho"/>
                <w:b/>
                <w:bCs/>
                <w:color w:val="000000"/>
                <w:sz w:val="22"/>
                <w:szCs w:val="22"/>
                <w:vertAlign w:val="superscript"/>
              </w:rPr>
              <w:t>†</w:t>
            </w:r>
          </w:p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(95% CI)</w:t>
            </w:r>
          </w:p>
        </w:tc>
        <w:tc>
          <w:tcPr>
            <w:tcW w:w="1770" w:type="dxa"/>
            <w:gridSpan w:val="2"/>
          </w:tcPr>
          <w:p w:rsidR="00986B29" w:rsidRDefault="00E55408">
            <w:pPr>
              <w:keepNext/>
              <w:keepLines/>
              <w:widowControl w:val="0"/>
              <w:adjustRightInd w:val="0"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Arány</w:t>
            </w:r>
            <w:r>
              <w:rPr>
                <w:rFonts w:eastAsia="MS Mincho"/>
                <w:b/>
                <w:bCs/>
                <w:color w:val="000000"/>
                <w:sz w:val="22"/>
                <w:szCs w:val="22"/>
                <w:vertAlign w:val="superscript"/>
              </w:rPr>
              <w:t>†</w:t>
            </w:r>
          </w:p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(95% CI)</w:t>
            </w:r>
          </w:p>
        </w:tc>
        <w:tc>
          <w:tcPr>
            <w:tcW w:w="2035" w:type="dxa"/>
            <w:gridSpan w:val="2"/>
            <w:shd w:val="clear" w:color="auto" w:fill="auto"/>
          </w:tcPr>
          <w:p w:rsidR="00986B29" w:rsidRDefault="00E55408">
            <w:pPr>
              <w:keepNext/>
              <w:keepLines/>
              <w:rPr>
                <w:rFonts w:eastAsia="MS Mincho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Relatív kockázat</w:t>
            </w:r>
          </w:p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</w:rPr>
              <w:t>(95% CI)</w:t>
            </w:r>
          </w:p>
        </w:tc>
      </w:tr>
      <w:tr w:rsidR="00986B29">
        <w:trPr>
          <w:cantSplit/>
          <w:trHeight w:val="372"/>
          <w:jc w:val="center"/>
        </w:trPr>
        <w:tc>
          <w:tcPr>
            <w:tcW w:w="7701" w:type="dxa"/>
            <w:gridSpan w:val="7"/>
            <w:shd w:val="clear" w:color="auto" w:fill="F3F3F3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 xml:space="preserve">Bizonyított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thromboticus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cardiovascularis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súlyos mellékhatások</w:t>
            </w:r>
          </w:p>
        </w:tc>
      </w:tr>
      <w:tr w:rsidR="00986B29">
        <w:trPr>
          <w:cantSplit/>
          <w:trHeight w:val="372"/>
          <w:jc w:val="center"/>
        </w:trPr>
        <w:tc>
          <w:tcPr>
            <w:tcW w:w="2208" w:type="dxa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Protokoll szerint</w:t>
            </w:r>
          </w:p>
        </w:tc>
        <w:tc>
          <w:tcPr>
            <w:tcW w:w="1692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1,24 (1,11; 1,38)</w:t>
            </w:r>
          </w:p>
        </w:tc>
        <w:tc>
          <w:tcPr>
            <w:tcW w:w="1766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1,30 (1,17; 1,45)</w:t>
            </w:r>
          </w:p>
        </w:tc>
        <w:tc>
          <w:tcPr>
            <w:tcW w:w="2035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0,95 (0,81; 1,11)</w:t>
            </w:r>
          </w:p>
        </w:tc>
      </w:tr>
      <w:tr w:rsidR="00986B29">
        <w:trPr>
          <w:cantSplit/>
          <w:trHeight w:val="360"/>
          <w:jc w:val="center"/>
        </w:trPr>
        <w:tc>
          <w:tcPr>
            <w:tcW w:w="2208" w:type="dxa"/>
          </w:tcPr>
          <w:p w:rsidR="00986B29" w:rsidRDefault="00E55408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Eredeti besorolás szerint</w:t>
            </w:r>
          </w:p>
        </w:tc>
        <w:tc>
          <w:tcPr>
            <w:tcW w:w="1692" w:type="dxa"/>
            <w:gridSpan w:val="2"/>
          </w:tcPr>
          <w:p w:rsidR="00986B29" w:rsidRDefault="00E55408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1,25 (1,14; 1,36)</w:t>
            </w:r>
          </w:p>
        </w:tc>
        <w:tc>
          <w:tcPr>
            <w:tcW w:w="1766" w:type="dxa"/>
            <w:gridSpan w:val="2"/>
          </w:tcPr>
          <w:p w:rsidR="00986B29" w:rsidRDefault="00E55408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1,19 (1,08; 1,30)</w:t>
            </w:r>
          </w:p>
        </w:tc>
        <w:tc>
          <w:tcPr>
            <w:tcW w:w="2035" w:type="dxa"/>
            <w:gridSpan w:val="2"/>
          </w:tcPr>
          <w:p w:rsidR="00986B29" w:rsidRDefault="00E55408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1,05 (0,93; 1,19)</w:t>
            </w:r>
          </w:p>
        </w:tc>
      </w:tr>
      <w:tr w:rsidR="00986B29">
        <w:trPr>
          <w:cantSplit/>
          <w:trHeight w:val="360"/>
          <w:jc w:val="center"/>
        </w:trPr>
        <w:tc>
          <w:tcPr>
            <w:tcW w:w="7701" w:type="dxa"/>
            <w:gridSpan w:val="7"/>
            <w:shd w:val="clear" w:color="auto" w:fill="F3F3F3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 xml:space="preserve">Bizonyított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cardialis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események</w:t>
            </w:r>
          </w:p>
        </w:tc>
      </w:tr>
      <w:tr w:rsidR="00986B29">
        <w:trPr>
          <w:cantSplit/>
          <w:trHeight w:val="360"/>
          <w:jc w:val="center"/>
        </w:trPr>
        <w:tc>
          <w:tcPr>
            <w:tcW w:w="2208" w:type="dxa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Protokoll szerint</w:t>
            </w:r>
          </w:p>
        </w:tc>
        <w:tc>
          <w:tcPr>
            <w:tcW w:w="1692" w:type="dxa"/>
            <w:gridSpan w:val="2"/>
          </w:tcPr>
          <w:p w:rsidR="00986B29" w:rsidRDefault="00E55408">
            <w:pPr>
              <w:keepNext/>
              <w:keepLines/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0,71 (0,61; 0,82)</w:t>
            </w:r>
          </w:p>
        </w:tc>
        <w:tc>
          <w:tcPr>
            <w:tcW w:w="1766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0,78 (0,68; 0,90)</w:t>
            </w:r>
          </w:p>
        </w:tc>
        <w:tc>
          <w:tcPr>
            <w:tcW w:w="2035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0,90 (0,74; 1,10)</w:t>
            </w:r>
          </w:p>
        </w:tc>
      </w:tr>
      <w:tr w:rsidR="00986B29">
        <w:trPr>
          <w:cantSplit/>
          <w:trHeight w:val="360"/>
          <w:jc w:val="center"/>
        </w:trPr>
        <w:tc>
          <w:tcPr>
            <w:tcW w:w="2208" w:type="dxa"/>
          </w:tcPr>
          <w:p w:rsidR="00986B29" w:rsidRDefault="00E55408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Eredeti besorolás szerint</w:t>
            </w:r>
          </w:p>
        </w:tc>
        <w:tc>
          <w:tcPr>
            <w:tcW w:w="1692" w:type="dxa"/>
            <w:gridSpan w:val="2"/>
          </w:tcPr>
          <w:p w:rsidR="00986B29" w:rsidRDefault="00E55408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0,69 (0,61; 0,78)</w:t>
            </w:r>
          </w:p>
        </w:tc>
        <w:tc>
          <w:tcPr>
            <w:tcW w:w="1766" w:type="dxa"/>
            <w:gridSpan w:val="2"/>
          </w:tcPr>
          <w:p w:rsidR="00986B29" w:rsidRDefault="00E55408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0,70 (0,62; 0,79)</w:t>
            </w:r>
          </w:p>
        </w:tc>
        <w:tc>
          <w:tcPr>
            <w:tcW w:w="2035" w:type="dxa"/>
            <w:gridSpan w:val="2"/>
          </w:tcPr>
          <w:p w:rsidR="00986B29" w:rsidRDefault="00E55408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0,99 (0,84; 1,17)</w:t>
            </w:r>
          </w:p>
        </w:tc>
      </w:tr>
      <w:tr w:rsidR="00986B29">
        <w:trPr>
          <w:cantSplit/>
          <w:trHeight w:val="360"/>
          <w:jc w:val="center"/>
        </w:trPr>
        <w:tc>
          <w:tcPr>
            <w:tcW w:w="7701" w:type="dxa"/>
            <w:gridSpan w:val="7"/>
            <w:shd w:val="clear" w:color="auto" w:fill="F3F3F3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 xml:space="preserve">Bizonyított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cerebrovascularis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események</w:t>
            </w:r>
          </w:p>
        </w:tc>
      </w:tr>
      <w:tr w:rsidR="00986B29">
        <w:trPr>
          <w:cantSplit/>
          <w:trHeight w:val="360"/>
          <w:jc w:val="center"/>
        </w:trPr>
        <w:tc>
          <w:tcPr>
            <w:tcW w:w="2208" w:type="dxa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Protokoll szerint</w:t>
            </w:r>
          </w:p>
        </w:tc>
        <w:tc>
          <w:tcPr>
            <w:tcW w:w="1692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0,34 (0,28; 0,42)</w:t>
            </w:r>
          </w:p>
        </w:tc>
        <w:tc>
          <w:tcPr>
            <w:tcW w:w="1766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0,32 (0,25; 0,40)</w:t>
            </w:r>
          </w:p>
        </w:tc>
        <w:tc>
          <w:tcPr>
            <w:tcW w:w="2035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1,08 (0,80; 1,46)</w:t>
            </w:r>
          </w:p>
        </w:tc>
      </w:tr>
      <w:tr w:rsidR="00986B29">
        <w:trPr>
          <w:cantSplit/>
          <w:trHeight w:val="360"/>
          <w:jc w:val="center"/>
        </w:trPr>
        <w:tc>
          <w:tcPr>
            <w:tcW w:w="2208" w:type="dxa"/>
          </w:tcPr>
          <w:p w:rsidR="00986B29" w:rsidRDefault="00E55408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Eredeti besorolás szerint</w:t>
            </w:r>
          </w:p>
        </w:tc>
        <w:tc>
          <w:tcPr>
            <w:tcW w:w="1692" w:type="dxa"/>
            <w:gridSpan w:val="2"/>
          </w:tcPr>
          <w:p w:rsidR="00986B29" w:rsidRDefault="00E55408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0,33 (0,28; 0,39)</w:t>
            </w:r>
          </w:p>
        </w:tc>
        <w:tc>
          <w:tcPr>
            <w:tcW w:w="1766" w:type="dxa"/>
            <w:gridSpan w:val="2"/>
          </w:tcPr>
          <w:p w:rsidR="00986B29" w:rsidRDefault="00E55408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0,29 (0,24; 0,35)</w:t>
            </w:r>
          </w:p>
        </w:tc>
        <w:tc>
          <w:tcPr>
            <w:tcW w:w="2035" w:type="dxa"/>
            <w:gridSpan w:val="2"/>
          </w:tcPr>
          <w:p w:rsidR="00986B29" w:rsidRDefault="00E55408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1,12 (0,87; 1,44)</w:t>
            </w:r>
          </w:p>
        </w:tc>
      </w:tr>
      <w:tr w:rsidR="00986B29">
        <w:trPr>
          <w:cantSplit/>
          <w:trHeight w:val="360"/>
          <w:jc w:val="center"/>
        </w:trPr>
        <w:tc>
          <w:tcPr>
            <w:tcW w:w="7701" w:type="dxa"/>
            <w:gridSpan w:val="7"/>
            <w:shd w:val="clear" w:color="auto" w:fill="F3F3F3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 xml:space="preserve">Bizonyított perifériás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vasculáris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események</w:t>
            </w:r>
          </w:p>
        </w:tc>
      </w:tr>
      <w:tr w:rsidR="00986B29">
        <w:trPr>
          <w:cantSplit/>
          <w:trHeight w:val="360"/>
          <w:jc w:val="center"/>
        </w:trPr>
        <w:tc>
          <w:tcPr>
            <w:tcW w:w="2208" w:type="dxa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Protokoll szerint</w:t>
            </w:r>
          </w:p>
        </w:tc>
        <w:tc>
          <w:tcPr>
            <w:tcW w:w="1692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0,20 (0,15; 0,27)</w:t>
            </w:r>
          </w:p>
        </w:tc>
        <w:tc>
          <w:tcPr>
            <w:tcW w:w="1766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0,22 (0,17; 0,29)</w:t>
            </w:r>
          </w:p>
        </w:tc>
        <w:tc>
          <w:tcPr>
            <w:tcW w:w="2035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0,92 (0,63; 1,35)</w:t>
            </w:r>
          </w:p>
        </w:tc>
      </w:tr>
      <w:tr w:rsidR="00986B29">
        <w:trPr>
          <w:cantSplit/>
          <w:trHeight w:val="360"/>
          <w:jc w:val="center"/>
        </w:trPr>
        <w:tc>
          <w:tcPr>
            <w:tcW w:w="2208" w:type="dxa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Eredeti besorolás szerint</w:t>
            </w:r>
          </w:p>
        </w:tc>
        <w:tc>
          <w:tcPr>
            <w:tcW w:w="1692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0,24 (0,20; 0,30)</w:t>
            </w:r>
          </w:p>
        </w:tc>
        <w:tc>
          <w:tcPr>
            <w:tcW w:w="1766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0,23 (0,18; 0,28)</w:t>
            </w:r>
          </w:p>
        </w:tc>
        <w:tc>
          <w:tcPr>
            <w:tcW w:w="2035" w:type="dxa"/>
            <w:gridSpan w:val="2"/>
          </w:tcPr>
          <w:p w:rsidR="00986B29" w:rsidRDefault="00E55408">
            <w:pPr>
              <w:keepNext/>
              <w:keepLines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1,08 (0,81; 1,44)</w:t>
            </w:r>
          </w:p>
        </w:tc>
      </w:tr>
      <w:tr w:rsidR="00986B29">
        <w:trPr>
          <w:cantSplit/>
          <w:trHeight w:val="372"/>
          <w:jc w:val="center"/>
        </w:trPr>
        <w:tc>
          <w:tcPr>
            <w:tcW w:w="7701" w:type="dxa"/>
            <w:gridSpan w:val="7"/>
          </w:tcPr>
          <w:p w:rsidR="00986B29" w:rsidRDefault="00E55408">
            <w:pPr>
              <w:widowControl w:val="0"/>
              <w:adjustRightInd w:val="0"/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b/>
                <w:bCs/>
                <w:color w:val="000000"/>
                <w:sz w:val="22"/>
                <w:szCs w:val="22"/>
                <w:vertAlign w:val="superscript"/>
              </w:rPr>
              <w:t>†</w:t>
            </w:r>
            <w:r>
              <w:rPr>
                <w:rFonts w:eastAsia="MS Mincho"/>
                <w:color w:val="000000"/>
                <w:sz w:val="22"/>
                <w:szCs w:val="22"/>
              </w:rPr>
              <w:t>100 betegévre jutó események száma; CI=konfidencia intervallum</w:t>
            </w:r>
          </w:p>
          <w:p w:rsidR="00986B29" w:rsidRDefault="00E55408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N=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Összbeteg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noBreakHyphen/>
              <w:t xml:space="preserve">szám, beleértve a per-protokoll populációt </w:t>
            </w:r>
          </w:p>
          <w:p w:rsidR="00986B29" w:rsidRDefault="00986B29">
            <w:pPr>
              <w:rPr>
                <w:rFonts w:eastAsia="MS Mincho"/>
                <w:color w:val="000000"/>
                <w:sz w:val="22"/>
                <w:szCs w:val="22"/>
              </w:rPr>
            </w:pPr>
          </w:p>
          <w:p w:rsidR="00986B29" w:rsidRDefault="00E55408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>Protokoll szerint: minden esemény a vizsgálati terápia alatt vagy 14 napon belül a terápia abbahagyása után (kizárva: azon betegek, akik a vizsgálati gyógyszereik &lt; 75%</w:t>
            </w:r>
            <w:r>
              <w:rPr>
                <w:rFonts w:eastAsia="MS Mincho"/>
                <w:color w:val="000000"/>
                <w:sz w:val="22"/>
                <w:szCs w:val="22"/>
              </w:rPr>
              <w:noBreakHyphen/>
              <w:t>át vették be vagy nem vizsgálati NSAID szereket szedtek az idő &gt; 10%</w:t>
            </w:r>
            <w:r>
              <w:rPr>
                <w:rFonts w:eastAsia="MS Mincho"/>
                <w:color w:val="000000"/>
                <w:sz w:val="22"/>
                <w:szCs w:val="22"/>
              </w:rPr>
              <w:noBreakHyphen/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ában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>)</w:t>
            </w:r>
          </w:p>
          <w:p w:rsidR="00986B29" w:rsidRDefault="00986B29">
            <w:pPr>
              <w:rPr>
                <w:rFonts w:eastAsia="MS Mincho"/>
                <w:color w:val="000000"/>
                <w:sz w:val="22"/>
                <w:szCs w:val="22"/>
              </w:rPr>
            </w:pPr>
          </w:p>
          <w:p w:rsidR="00986B29" w:rsidRDefault="00E55408">
            <w:pPr>
              <w:rPr>
                <w:rFonts w:eastAsia="MS Mincho"/>
                <w:color w:val="000000"/>
                <w:sz w:val="22"/>
                <w:szCs w:val="22"/>
              </w:rPr>
            </w:pPr>
            <w:r>
              <w:rPr>
                <w:rFonts w:eastAsia="MS Mincho"/>
                <w:color w:val="000000"/>
                <w:sz w:val="22"/>
                <w:szCs w:val="22"/>
              </w:rPr>
              <w:t xml:space="preserve">Eredeti besorolás szerint: minden bizonyított esemény a vizsgálat végéig (beleértve azon betegeket, akik esetleg a vizsgálaton kívüli beavatkozásoknak voltak kitéve a vizsgálati gyógyszer szedésének abbahagyása után).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Randomizált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betegek teljes száma, n=17 412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etorikoxibbal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kezelt és 17 289 </w:t>
            </w:r>
            <w:proofErr w:type="spellStart"/>
            <w:r>
              <w:rPr>
                <w:rFonts w:eastAsia="MS Mincho"/>
                <w:color w:val="000000"/>
                <w:sz w:val="22"/>
                <w:szCs w:val="22"/>
              </w:rPr>
              <w:t>diklofenákkal</w:t>
            </w:r>
            <w:proofErr w:type="spellEnd"/>
            <w:r>
              <w:rPr>
                <w:rFonts w:eastAsia="MS Mincho"/>
                <w:color w:val="000000"/>
                <w:sz w:val="22"/>
                <w:szCs w:val="22"/>
              </w:rPr>
              <w:t xml:space="preserve"> kezelt.</w:t>
            </w:r>
          </w:p>
        </w:tc>
      </w:tr>
    </w:tbl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rFonts w:eastAsia="Arial Unicode MS"/>
          <w:snapToGrid/>
          <w:color w:val="000000"/>
          <w:sz w:val="22"/>
          <w:szCs w:val="22"/>
        </w:rPr>
        <w:t xml:space="preserve">A CV mortalitás és az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össz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noBreakHyphen/>
        <w:t xml:space="preserve">mortalitás hasonló volt az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etorikoxib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és a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diklofenák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kezelési csoportokban.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Cardiorenalis</w:t>
      </w:r>
      <w:proofErr w:type="spellEnd"/>
      <w:r>
        <w:rPr>
          <w:color w:val="000000"/>
          <w:sz w:val="22"/>
          <w:szCs w:val="22"/>
        </w:rPr>
        <w:t xml:space="preserve"> események: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MEDAL vizsgálat kezdetekor a bevont betegek mintegy 50%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ának</w:t>
      </w:r>
      <w:proofErr w:type="spellEnd"/>
      <w:r>
        <w:rPr>
          <w:color w:val="000000"/>
          <w:sz w:val="22"/>
          <w:szCs w:val="22"/>
        </w:rPr>
        <w:t xml:space="preserve"> anamnézisében szerepelt </w:t>
      </w:r>
      <w:proofErr w:type="spellStart"/>
      <w:r>
        <w:rPr>
          <w:color w:val="000000"/>
          <w:sz w:val="22"/>
          <w:szCs w:val="22"/>
        </w:rPr>
        <w:t>hypertonia</w:t>
      </w:r>
      <w:proofErr w:type="spellEnd"/>
      <w:r>
        <w:rPr>
          <w:color w:val="000000"/>
          <w:sz w:val="22"/>
          <w:szCs w:val="22"/>
        </w:rPr>
        <w:t xml:space="preserve">. A </w:t>
      </w:r>
      <w:proofErr w:type="spellStart"/>
      <w:r>
        <w:rPr>
          <w:color w:val="000000"/>
          <w:sz w:val="22"/>
          <w:szCs w:val="22"/>
        </w:rPr>
        <w:t>hypertoniával</w:t>
      </w:r>
      <w:proofErr w:type="spellEnd"/>
      <w:r>
        <w:rPr>
          <w:color w:val="000000"/>
          <w:sz w:val="22"/>
          <w:szCs w:val="22"/>
        </w:rPr>
        <w:t xml:space="preserve"> összefüggő mellékhatások miatt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kapó betegek statisztikailag szignifikánsan nagyobb arányban hagyták abba a vizsgálatot, mint a </w:t>
      </w:r>
      <w:proofErr w:type="spellStart"/>
      <w:r>
        <w:rPr>
          <w:color w:val="000000"/>
          <w:sz w:val="22"/>
          <w:szCs w:val="22"/>
        </w:rPr>
        <w:t>diklofenákot</w:t>
      </w:r>
      <w:proofErr w:type="spellEnd"/>
      <w:r>
        <w:rPr>
          <w:color w:val="000000"/>
          <w:sz w:val="22"/>
          <w:szCs w:val="22"/>
        </w:rPr>
        <w:t xml:space="preserve"> kapó betegek. A </w:t>
      </w:r>
      <w:proofErr w:type="spellStart"/>
      <w:r>
        <w:rPr>
          <w:color w:val="000000"/>
          <w:sz w:val="22"/>
          <w:szCs w:val="22"/>
        </w:rPr>
        <w:t>pangásos</w:t>
      </w:r>
      <w:proofErr w:type="spellEnd"/>
      <w:r>
        <w:rPr>
          <w:color w:val="000000"/>
          <w:sz w:val="22"/>
          <w:szCs w:val="22"/>
        </w:rPr>
        <w:t xml:space="preserve"> szívelégtelenséggel összefüggő mellékhatások (kezelés abbahagyása és súlyos mellékhatások)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hasonló volt a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150 mg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esetében, de magasabb volt a 90 mg </w:t>
      </w:r>
      <w:proofErr w:type="spellStart"/>
      <w:r>
        <w:rPr>
          <w:color w:val="000000"/>
          <w:sz w:val="22"/>
          <w:szCs w:val="22"/>
        </w:rPr>
        <w:t>etorikoxibnál</w:t>
      </w:r>
      <w:proofErr w:type="spellEnd"/>
      <w:r>
        <w:rPr>
          <w:color w:val="000000"/>
          <w:sz w:val="22"/>
          <w:szCs w:val="22"/>
        </w:rPr>
        <w:t xml:space="preserve">, mint a 150 mg </w:t>
      </w:r>
      <w:proofErr w:type="spellStart"/>
      <w:r>
        <w:rPr>
          <w:color w:val="000000"/>
          <w:sz w:val="22"/>
          <w:szCs w:val="22"/>
        </w:rPr>
        <w:t>diklofenáknál</w:t>
      </w:r>
      <w:proofErr w:type="spellEnd"/>
      <w:r>
        <w:rPr>
          <w:color w:val="000000"/>
          <w:sz w:val="22"/>
          <w:szCs w:val="22"/>
        </w:rPr>
        <w:t xml:space="preserve"> (statisztikailag szignifikáns a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 a 150 mg </w:t>
      </w:r>
      <w:proofErr w:type="spellStart"/>
      <w:r>
        <w:rPr>
          <w:color w:val="000000"/>
          <w:sz w:val="22"/>
          <w:szCs w:val="22"/>
        </w:rPr>
        <w:t>etorikoxibhoz</w:t>
      </w:r>
      <w:proofErr w:type="spellEnd"/>
      <w:r>
        <w:rPr>
          <w:color w:val="000000"/>
          <w:sz w:val="22"/>
          <w:szCs w:val="22"/>
        </w:rPr>
        <w:t xml:space="preserve"> hasonlítva a MEDAL OA </w:t>
      </w:r>
      <w:proofErr w:type="spellStart"/>
      <w:r>
        <w:rPr>
          <w:color w:val="000000"/>
          <w:sz w:val="22"/>
          <w:szCs w:val="22"/>
        </w:rPr>
        <w:t>kohorszban</w:t>
      </w:r>
      <w:proofErr w:type="spellEnd"/>
      <w:r>
        <w:rPr>
          <w:color w:val="000000"/>
          <w:sz w:val="22"/>
          <w:szCs w:val="22"/>
        </w:rPr>
        <w:t xml:space="preserve">). A </w:t>
      </w:r>
      <w:proofErr w:type="spellStart"/>
      <w:r>
        <w:rPr>
          <w:color w:val="000000"/>
          <w:sz w:val="22"/>
          <w:szCs w:val="22"/>
        </w:rPr>
        <w:t>pangásos</w:t>
      </w:r>
      <w:proofErr w:type="spellEnd"/>
      <w:r>
        <w:rPr>
          <w:color w:val="000000"/>
          <w:sz w:val="22"/>
          <w:szCs w:val="22"/>
        </w:rPr>
        <w:t xml:space="preserve"> szívelégtelenséggel összefüggő mellékhatások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(azon események, amelyek súlyosak voltak és a beteg kórházba került vagy sürgősségi ellátásra volt szükség) nem volt szignifikánsan magasabb, mint a 150 mg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és ez a hatás dózisfüggő volt. A kezelés </w:t>
      </w:r>
      <w:proofErr w:type="spellStart"/>
      <w:r>
        <w:rPr>
          <w:color w:val="000000"/>
          <w:sz w:val="22"/>
          <w:szCs w:val="22"/>
        </w:rPr>
        <w:t>oedemával</w:t>
      </w:r>
      <w:proofErr w:type="spellEnd"/>
      <w:r>
        <w:rPr>
          <w:color w:val="000000"/>
          <w:sz w:val="22"/>
          <w:szCs w:val="22"/>
        </w:rPr>
        <w:t xml:space="preserve"> összefüggő mellékhatások miatti abbahagyásának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magasabb volt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esetén, mint a 150 mg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és ez a hatás dózisfüggő volt (statisztikailag szignifikáns a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esetén, de a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 nem).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EDGE és az EDGE II </w:t>
      </w:r>
      <w:proofErr w:type="spellStart"/>
      <w:r>
        <w:rPr>
          <w:color w:val="000000"/>
          <w:sz w:val="22"/>
          <w:szCs w:val="22"/>
        </w:rPr>
        <w:t>cardiorenalis</w:t>
      </w:r>
      <w:proofErr w:type="spellEnd"/>
      <w:r>
        <w:rPr>
          <w:color w:val="000000"/>
          <w:sz w:val="22"/>
          <w:szCs w:val="22"/>
        </w:rPr>
        <w:t xml:space="preserve"> eredményei egybeestek a MEDAL vizsgálat eredményeivel.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(60 mg és 90 mg) végzett egyedi MEDAL program vizsgálatokban a terápia abbahagyásának abszolút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bármely kezelt csoportban maximum 2,6% volt </w:t>
      </w:r>
      <w:proofErr w:type="spellStart"/>
      <w:r>
        <w:rPr>
          <w:color w:val="000000"/>
          <w:sz w:val="22"/>
          <w:szCs w:val="22"/>
        </w:rPr>
        <w:t>hypertonia</w:t>
      </w:r>
      <w:proofErr w:type="spellEnd"/>
      <w:r>
        <w:rPr>
          <w:color w:val="000000"/>
          <w:sz w:val="22"/>
          <w:szCs w:val="22"/>
        </w:rPr>
        <w:t xml:space="preserve">, maximum 1,9% volt </w:t>
      </w:r>
      <w:proofErr w:type="spellStart"/>
      <w:r>
        <w:rPr>
          <w:color w:val="000000"/>
          <w:sz w:val="22"/>
          <w:szCs w:val="22"/>
        </w:rPr>
        <w:t>oedema</w:t>
      </w:r>
      <w:proofErr w:type="spellEnd"/>
      <w:r>
        <w:rPr>
          <w:color w:val="000000"/>
          <w:sz w:val="22"/>
          <w:szCs w:val="22"/>
        </w:rPr>
        <w:t xml:space="preserve"> és maximum 1,1% volt </w:t>
      </w:r>
      <w:proofErr w:type="spellStart"/>
      <w:r>
        <w:rPr>
          <w:color w:val="000000"/>
          <w:sz w:val="22"/>
          <w:szCs w:val="22"/>
        </w:rPr>
        <w:t>congestiv</w:t>
      </w:r>
      <w:proofErr w:type="spellEnd"/>
      <w:r>
        <w:rPr>
          <w:color w:val="000000"/>
          <w:sz w:val="22"/>
          <w:szCs w:val="22"/>
        </w:rPr>
        <w:t xml:space="preserve"> szívelégtelenség miatt. A terápia abbahagyásának aránya magasabb volt 90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esetén, mint 60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MEDAL program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tolerálhatósági eredményei: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esetében jelentősen kisebb volt a kezelés abbahagyásának aránya a </w:t>
      </w:r>
      <w:proofErr w:type="spellStart"/>
      <w:r>
        <w:rPr>
          <w:color w:val="000000"/>
          <w:sz w:val="22"/>
          <w:szCs w:val="22"/>
        </w:rPr>
        <w:t>diklofenákhoz</w:t>
      </w:r>
      <w:proofErr w:type="spellEnd"/>
      <w:r>
        <w:rPr>
          <w:color w:val="000000"/>
          <w:sz w:val="22"/>
          <w:szCs w:val="22"/>
        </w:rPr>
        <w:t xml:space="preserve"> viszonyítva, a klinikai mellékhatásokat (pl.: </w:t>
      </w:r>
      <w:proofErr w:type="spellStart"/>
      <w:r>
        <w:rPr>
          <w:color w:val="000000"/>
          <w:sz w:val="22"/>
          <w:szCs w:val="22"/>
        </w:rPr>
        <w:t>dyspepsia</w:t>
      </w:r>
      <w:proofErr w:type="spellEnd"/>
      <w:r>
        <w:rPr>
          <w:color w:val="000000"/>
          <w:sz w:val="22"/>
          <w:szCs w:val="22"/>
        </w:rPr>
        <w:t xml:space="preserve">, hasi fájdalom, fekély) tekintve a MEDAL program mindhárom vizsgálatában. A kezelés abbahagyásának arányai GI klinikai mellékhatások miatt a vizsgálat egészére vetített száz betegévre vonatkoztatva a következők: 3,23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</w:t>
      </w:r>
      <w:smartTag w:uri="urn:schemas-microsoft-com:office:smarttags" w:element="metricconverter">
        <w:smartTagPr>
          <w:attr w:name="ProductID" w:val="4,96 a"/>
        </w:smartTagPr>
        <w:r>
          <w:rPr>
            <w:color w:val="000000"/>
            <w:sz w:val="22"/>
            <w:szCs w:val="22"/>
          </w:rPr>
          <w:t>4,96 a</w:t>
        </w:r>
      </w:smartTag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a MEDAL vizsgálatban; 9,12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</w:t>
      </w:r>
      <w:smartTag w:uri="urn:schemas-microsoft-com:office:smarttags" w:element="metricconverter">
        <w:smartTagPr>
          <w:attr w:name="ProductID" w:val="12,28 a"/>
        </w:smartTagPr>
        <w:r>
          <w:rPr>
            <w:color w:val="000000"/>
            <w:sz w:val="22"/>
            <w:szCs w:val="22"/>
          </w:rPr>
          <w:t>12,28 a</w:t>
        </w:r>
      </w:smartTag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az EDGE vizsgálatban; valamint 3,71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</w:t>
      </w:r>
      <w:smartTag w:uri="urn:schemas-microsoft-com:office:smarttags" w:element="metricconverter">
        <w:smartTagPr>
          <w:attr w:name="ProductID" w:val="4,81 a"/>
        </w:smartTagPr>
        <w:r>
          <w:rPr>
            <w:color w:val="000000"/>
            <w:sz w:val="22"/>
            <w:szCs w:val="22"/>
          </w:rPr>
          <w:t>4,81 a</w:t>
        </w:r>
      </w:smartTag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az EDGE II vizsgálatban.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MEDAL Program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biztonságossági eredményei: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Általánosságban a felső GI mellékhatások a perforációk, fekélyek és vérzések voltak.</w:t>
      </w:r>
    </w:p>
    <w:p w:rsidR="00986B29" w:rsidRDefault="00E55408">
      <w:pPr>
        <w:autoSpaceDE w:val="0"/>
        <w:autoSpaceDN w:val="0"/>
        <w:adjustRightInd w:val="0"/>
        <w:rPr>
          <w:snapToGrid/>
          <w:color w:val="000000"/>
          <w:sz w:val="22"/>
          <w:szCs w:val="22"/>
        </w:rPr>
      </w:pPr>
      <w:r>
        <w:rPr>
          <w:snapToGrid/>
          <w:color w:val="000000"/>
          <w:sz w:val="22"/>
          <w:szCs w:val="22"/>
        </w:rPr>
        <w:t xml:space="preserve">A felső GI események szövődményesnek minősített alcsoportjában perforációk, obstrukciók és szövődményes vérzés szerepeltek; míg a szövődménymentes felső GI események a szövődménymentes vérzések és szövődménymentes fekélyek. Szignifikánsan alacsonyabb volt a felső GI mellékhatások aránya az </w:t>
      </w:r>
      <w:proofErr w:type="spellStart"/>
      <w:r>
        <w:rPr>
          <w:snapToGrid/>
          <w:color w:val="000000"/>
          <w:sz w:val="22"/>
          <w:szCs w:val="22"/>
        </w:rPr>
        <w:t>etorikoxib</w:t>
      </w:r>
      <w:proofErr w:type="spellEnd"/>
      <w:r>
        <w:rPr>
          <w:snapToGrid/>
          <w:color w:val="000000"/>
          <w:sz w:val="22"/>
          <w:szCs w:val="22"/>
        </w:rPr>
        <w:t xml:space="preserve"> esetén, mint a </w:t>
      </w:r>
      <w:proofErr w:type="spellStart"/>
      <w:r>
        <w:rPr>
          <w:snapToGrid/>
          <w:color w:val="000000"/>
          <w:sz w:val="22"/>
          <w:szCs w:val="22"/>
        </w:rPr>
        <w:t>diklofenák</w:t>
      </w:r>
      <w:proofErr w:type="spellEnd"/>
      <w:r>
        <w:rPr>
          <w:snapToGrid/>
          <w:color w:val="000000"/>
          <w:sz w:val="22"/>
          <w:szCs w:val="22"/>
        </w:rPr>
        <w:t xml:space="preserve"> esetén. A szövődményes mellékhatások tekintetében nem volt szignifikáns különbség az </w:t>
      </w:r>
      <w:proofErr w:type="spellStart"/>
      <w:r>
        <w:rPr>
          <w:snapToGrid/>
          <w:color w:val="000000"/>
          <w:sz w:val="22"/>
          <w:szCs w:val="22"/>
        </w:rPr>
        <w:t>etorikoxibbal</w:t>
      </w:r>
      <w:proofErr w:type="spellEnd"/>
      <w:r>
        <w:rPr>
          <w:snapToGrid/>
          <w:color w:val="000000"/>
          <w:sz w:val="22"/>
          <w:szCs w:val="22"/>
        </w:rPr>
        <w:t xml:space="preserve"> és a </w:t>
      </w:r>
      <w:proofErr w:type="spellStart"/>
      <w:r>
        <w:rPr>
          <w:snapToGrid/>
          <w:color w:val="000000"/>
          <w:sz w:val="22"/>
          <w:szCs w:val="22"/>
        </w:rPr>
        <w:t>diklofenákkal</w:t>
      </w:r>
      <w:proofErr w:type="spellEnd"/>
      <w:r>
        <w:rPr>
          <w:snapToGrid/>
          <w:color w:val="000000"/>
          <w:sz w:val="22"/>
          <w:szCs w:val="22"/>
        </w:rPr>
        <w:t xml:space="preserve"> kezeltek esetében. A felső GI vérzések alcsoportjában (szövődményes és szövődménymentes együttvéve) nem volt szignifikáns különbség az </w:t>
      </w:r>
      <w:proofErr w:type="spellStart"/>
      <w:r>
        <w:rPr>
          <w:snapToGrid/>
          <w:color w:val="000000"/>
          <w:sz w:val="22"/>
          <w:szCs w:val="22"/>
        </w:rPr>
        <w:t>etorikoxib</w:t>
      </w:r>
      <w:proofErr w:type="spellEnd"/>
      <w:r>
        <w:rPr>
          <w:snapToGrid/>
          <w:color w:val="000000"/>
          <w:sz w:val="22"/>
          <w:szCs w:val="22"/>
        </w:rPr>
        <w:t xml:space="preserve"> és a </w:t>
      </w:r>
      <w:proofErr w:type="spellStart"/>
      <w:r>
        <w:rPr>
          <w:snapToGrid/>
          <w:color w:val="000000"/>
          <w:sz w:val="22"/>
          <w:szCs w:val="22"/>
        </w:rPr>
        <w:t>diklofenák</w:t>
      </w:r>
      <w:proofErr w:type="spellEnd"/>
      <w:r>
        <w:rPr>
          <w:snapToGrid/>
          <w:color w:val="000000"/>
          <w:sz w:val="22"/>
          <w:szCs w:val="22"/>
        </w:rPr>
        <w:t xml:space="preserve"> között. Az </w:t>
      </w:r>
      <w:proofErr w:type="spellStart"/>
      <w:r>
        <w:rPr>
          <w:snapToGrid/>
          <w:color w:val="000000"/>
          <w:sz w:val="22"/>
          <w:szCs w:val="22"/>
        </w:rPr>
        <w:t>etorikoxib</w:t>
      </w:r>
      <w:proofErr w:type="spellEnd"/>
      <w:r>
        <w:rPr>
          <w:snapToGrid/>
          <w:color w:val="000000"/>
          <w:sz w:val="22"/>
          <w:szCs w:val="22"/>
        </w:rPr>
        <w:t xml:space="preserve"> felső GI előnye a </w:t>
      </w:r>
      <w:proofErr w:type="spellStart"/>
      <w:r>
        <w:rPr>
          <w:snapToGrid/>
          <w:color w:val="000000"/>
          <w:sz w:val="22"/>
          <w:szCs w:val="22"/>
        </w:rPr>
        <w:t>diklofenákkal</w:t>
      </w:r>
      <w:proofErr w:type="spellEnd"/>
      <w:r>
        <w:rPr>
          <w:snapToGrid/>
          <w:color w:val="000000"/>
          <w:sz w:val="22"/>
          <w:szCs w:val="22"/>
        </w:rPr>
        <w:t xml:space="preserve"> összehasonlítva nem volt statisztikailag szignifikáns azokban a betegekben, akik alacsony dózisú </w:t>
      </w:r>
      <w:proofErr w:type="spellStart"/>
      <w:r>
        <w:rPr>
          <w:snapToGrid/>
          <w:color w:val="000000"/>
          <w:sz w:val="22"/>
          <w:szCs w:val="22"/>
        </w:rPr>
        <w:t>acetilszalicilsavat</w:t>
      </w:r>
      <w:proofErr w:type="spellEnd"/>
      <w:r>
        <w:rPr>
          <w:snapToGrid/>
          <w:color w:val="000000"/>
          <w:sz w:val="22"/>
          <w:szCs w:val="22"/>
        </w:rPr>
        <w:t xml:space="preserve"> szedtek együtt a gyógyszerrel (hozzávetőleg a betegek 33%</w:t>
      </w:r>
      <w:r>
        <w:rPr>
          <w:snapToGrid/>
          <w:color w:val="000000"/>
          <w:sz w:val="22"/>
          <w:szCs w:val="22"/>
        </w:rPr>
        <w:noBreakHyphen/>
        <w:t>a).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bizonyított szövődményes és szövődménymentes felső GI klinikai mellékhatások (perforációk, fekélyek és vérzések (PUV</w:t>
      </w:r>
      <w:r>
        <w:rPr>
          <w:color w:val="000000"/>
          <w:sz w:val="22"/>
          <w:szCs w:val="22"/>
        </w:rPr>
        <w:noBreakHyphen/>
        <w:t xml:space="preserve">ok)) aránya száz betegévre vonatkoztatva 0,67 volt (95% CI 0,57, 0,77)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 és 0,97 volt (95% CI 0,85, 1,10)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esetén, 0,69 (95% CI 0,57, 0,83) kockázatot eredményezve.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Értékelésre került a bizonyított felső GI mellékhatások aránya az idős betegekben és a legnagyobb csökkenés a ≥ 75 éves betegeknél volt megfigyelhető [1,35 (95% CI 0,94, 1,87)] mellékhatás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esetén, szemben a [2,78 (95% CI 2,14, 3,56)] mellékhatással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száz betegévre vonatkoztatva.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bizonyított alsó GI klinikai mellékhatások aránya (kicsi vagy nagy bélperforáció, obstrukció vagy vérzés (POV)) nem volt szignifikánsan eltérő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MEDAL Program </w:t>
      </w:r>
      <w:proofErr w:type="spellStart"/>
      <w:r>
        <w:rPr>
          <w:color w:val="000000"/>
          <w:sz w:val="22"/>
          <w:szCs w:val="22"/>
        </w:rPr>
        <w:t>hepaticus</w:t>
      </w:r>
      <w:proofErr w:type="spellEnd"/>
      <w:r>
        <w:rPr>
          <w:color w:val="000000"/>
          <w:sz w:val="22"/>
          <w:szCs w:val="22"/>
        </w:rPr>
        <w:t xml:space="preserve"> biztonságossági eredményei: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szedők esetében statisztikailag szignifikánsan alacsonyabb volt azon betegek aránya, akik </w:t>
      </w:r>
      <w:proofErr w:type="spellStart"/>
      <w:r>
        <w:rPr>
          <w:color w:val="000000"/>
          <w:sz w:val="22"/>
          <w:szCs w:val="22"/>
        </w:rPr>
        <w:t>hepaticus</w:t>
      </w:r>
      <w:proofErr w:type="spellEnd"/>
      <w:r>
        <w:rPr>
          <w:color w:val="000000"/>
          <w:sz w:val="22"/>
          <w:szCs w:val="22"/>
        </w:rPr>
        <w:t xml:space="preserve"> mellékhatások miatt hagyták abba a kezelést, mint a </w:t>
      </w:r>
      <w:proofErr w:type="spellStart"/>
      <w:r>
        <w:rPr>
          <w:color w:val="000000"/>
          <w:sz w:val="22"/>
          <w:szCs w:val="22"/>
        </w:rPr>
        <w:t>diklofenákot</w:t>
      </w:r>
      <w:proofErr w:type="spellEnd"/>
      <w:r>
        <w:rPr>
          <w:color w:val="000000"/>
          <w:sz w:val="22"/>
          <w:szCs w:val="22"/>
        </w:rPr>
        <w:t xml:space="preserve"> szedők esetén. Az összesített MEDAL Programban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szedő betegek 0,3%</w:t>
      </w:r>
      <w:r>
        <w:rPr>
          <w:color w:val="000000"/>
          <w:sz w:val="22"/>
          <w:szCs w:val="22"/>
        </w:rPr>
        <w:noBreakHyphen/>
        <w:t xml:space="preserve">a és a </w:t>
      </w:r>
      <w:proofErr w:type="spellStart"/>
      <w:r>
        <w:rPr>
          <w:color w:val="000000"/>
          <w:sz w:val="22"/>
          <w:szCs w:val="22"/>
        </w:rPr>
        <w:t>diklofenákot</w:t>
      </w:r>
      <w:proofErr w:type="spellEnd"/>
      <w:r>
        <w:rPr>
          <w:color w:val="000000"/>
          <w:sz w:val="22"/>
          <w:szCs w:val="22"/>
        </w:rPr>
        <w:t xml:space="preserve"> szedő betegek 2,7%</w:t>
      </w:r>
      <w:r>
        <w:rPr>
          <w:color w:val="000000"/>
          <w:sz w:val="22"/>
          <w:szCs w:val="22"/>
        </w:rPr>
        <w:noBreakHyphen/>
        <w:t xml:space="preserve">a hagyta abba a gyógyszerek szedését a májat érintő mellékhatások miatt. Száz betegévre vonatkoztatva az arány 0,22 volt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, és </w:t>
      </w:r>
      <w:smartTag w:uri="urn:schemas-microsoft-com:office:smarttags" w:element="metricconverter">
        <w:smartTagPr>
          <w:attr w:name="ProductID" w:val="1,84 a"/>
        </w:smartTagPr>
        <w:r>
          <w:rPr>
            <w:color w:val="000000"/>
            <w:sz w:val="22"/>
            <w:szCs w:val="22"/>
          </w:rPr>
          <w:t>1,84 a</w:t>
        </w:r>
      </w:smartTag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esetén (p-érték &lt;0,001 volt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diklofenák</w:t>
      </w:r>
      <w:proofErr w:type="spellEnd"/>
      <w:r>
        <w:rPr>
          <w:color w:val="000000"/>
          <w:sz w:val="22"/>
          <w:szCs w:val="22"/>
        </w:rPr>
        <w:t xml:space="preserve"> összehasonlítása esetén). A legtöbb májjal kapcsolatos mellékhatás a MEDAL programban nem volt súlyos.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További </w:t>
      </w:r>
      <w:proofErr w:type="spellStart"/>
      <w:r>
        <w:rPr>
          <w:color w:val="000000"/>
          <w:sz w:val="22"/>
          <w:szCs w:val="22"/>
          <w:u w:val="single"/>
        </w:rPr>
        <w:t>thromboticus</w:t>
      </w:r>
      <w:proofErr w:type="spellEnd"/>
      <w:r>
        <w:rPr>
          <w:color w:val="000000"/>
          <w:sz w:val="22"/>
          <w:szCs w:val="22"/>
          <w:u w:val="single"/>
        </w:rPr>
        <w:t xml:space="preserve"> </w:t>
      </w:r>
      <w:proofErr w:type="spellStart"/>
      <w:r>
        <w:rPr>
          <w:color w:val="000000"/>
          <w:sz w:val="22"/>
          <w:szCs w:val="22"/>
          <w:u w:val="single"/>
        </w:rPr>
        <w:t>cardiovascularis</w:t>
      </w:r>
      <w:proofErr w:type="spellEnd"/>
      <w:r>
        <w:rPr>
          <w:color w:val="000000"/>
          <w:sz w:val="22"/>
          <w:szCs w:val="22"/>
          <w:u w:val="single"/>
        </w:rPr>
        <w:t xml:space="preserve"> biztonságossági adatok</w:t>
      </w:r>
    </w:p>
    <w:p w:rsidR="00986B29" w:rsidRDefault="00E55408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 MEDAL programtól különböző klinikai vizsgálatok során 3100 beteget kezeltek naponta ≥ 60 mg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etorikoxibbal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12 hétig, vagy ennél hosszabb ideig. Nem észleltek különbséget a bizonyítottan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thromboticus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cardiovascularis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súlyos nemkívánatos események előfordulási gyakoriságában a ≥ 60 mg dózisú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etorikoxibbal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placebóval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illetve a nem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naproxén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típusú NSAID szerrel kezelt betegek között. Az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etorikoxibbal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kezelt csoportban azonban ezen események gyakrabban fordultak elő, mint a napi kétszer 500 mg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naproxént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szedő betegeknél. Egyes COX</w:t>
      </w:r>
      <w:r>
        <w:rPr>
          <w:rFonts w:ascii="Times New Roman" w:hAnsi="Times New Roman"/>
          <w:color w:val="000000"/>
          <w:sz w:val="22"/>
          <w:szCs w:val="22"/>
        </w:rPr>
        <w:noBreakHyphen/>
        <w:t>1 enzimet gátló NSAID</w:t>
      </w:r>
      <w:r>
        <w:rPr>
          <w:rFonts w:ascii="Times New Roman" w:hAnsi="Times New Roman"/>
          <w:color w:val="000000"/>
          <w:sz w:val="22"/>
          <w:szCs w:val="22"/>
        </w:rPr>
        <w:noBreakHyphen/>
        <w:t>ok és a COX</w:t>
      </w:r>
      <w:r>
        <w:rPr>
          <w:rFonts w:ascii="Times New Roman" w:hAnsi="Times New Roman"/>
          <w:color w:val="000000"/>
          <w:sz w:val="22"/>
          <w:szCs w:val="22"/>
        </w:rPr>
        <w:noBreakHyphen/>
        <w:t>2</w:t>
      </w:r>
      <w:r>
        <w:rPr>
          <w:rFonts w:ascii="Times New Roman" w:hAnsi="Times New Roman"/>
          <w:color w:val="000000"/>
          <w:sz w:val="22"/>
          <w:szCs w:val="22"/>
        </w:rPr>
        <w:noBreakHyphen/>
        <w:t xml:space="preserve">t szelektíven gátló szerek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thrombocytaaggregáció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noBreakHyphen/>
        <w:t xml:space="preserve">gátlásban mutatkozó különbségének klinikai jelentősége lehet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thromboemboliás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kockázatú betegeknél. A COX</w:t>
      </w:r>
      <w:r>
        <w:rPr>
          <w:rFonts w:ascii="Times New Roman" w:hAnsi="Times New Roman"/>
          <w:color w:val="000000"/>
          <w:sz w:val="22"/>
          <w:szCs w:val="22"/>
        </w:rPr>
        <w:noBreakHyphen/>
        <w:t xml:space="preserve">2-gátlók csökkentik a szisztémás (és így valószínűleg az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endotheliális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)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prosztaciklin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képződését anélkül, hogy befolyásolnák a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thromboxán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képződést. Ezen megfigyelések klinikai vonatkozását még nem sikerült megállapítani.</w:t>
      </w:r>
    </w:p>
    <w:p w:rsidR="00986B29" w:rsidRDefault="00986B29">
      <w:pPr>
        <w:pStyle w:val="NormlWeb1"/>
        <w:spacing w:before="0" w:after="0"/>
        <w:rPr>
          <w:rFonts w:ascii="Times New Roman" w:hAnsi="Times New Roman"/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További </w:t>
      </w:r>
      <w:proofErr w:type="spellStart"/>
      <w:r>
        <w:rPr>
          <w:color w:val="000000"/>
          <w:sz w:val="22"/>
          <w:szCs w:val="22"/>
          <w:u w:val="single"/>
        </w:rPr>
        <w:t>gastrointestinalis</w:t>
      </w:r>
      <w:proofErr w:type="spellEnd"/>
      <w:r>
        <w:rPr>
          <w:color w:val="000000"/>
          <w:sz w:val="22"/>
          <w:szCs w:val="22"/>
          <w:u w:val="single"/>
        </w:rPr>
        <w:t xml:space="preserve"> biztonságossági adatok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Két, 12 hetes, kettős vak, endoszkópos vizsgálatban a </w:t>
      </w:r>
      <w:proofErr w:type="spellStart"/>
      <w:r>
        <w:rPr>
          <w:color w:val="000000"/>
          <w:sz w:val="22"/>
          <w:szCs w:val="22"/>
        </w:rPr>
        <w:t>gastroduodenalis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ulceratio</w:t>
      </w:r>
      <w:proofErr w:type="spellEnd"/>
      <w:r>
        <w:rPr>
          <w:color w:val="000000"/>
          <w:sz w:val="22"/>
          <w:szCs w:val="22"/>
        </w:rPr>
        <w:t xml:space="preserve"> kumulatív </w:t>
      </w:r>
      <w:proofErr w:type="spellStart"/>
      <w:r>
        <w:rPr>
          <w:color w:val="000000"/>
          <w:sz w:val="22"/>
          <w:szCs w:val="22"/>
        </w:rPr>
        <w:t>incidenciája</w:t>
      </w:r>
      <w:proofErr w:type="spellEnd"/>
      <w:r>
        <w:rPr>
          <w:color w:val="000000"/>
          <w:sz w:val="22"/>
          <w:szCs w:val="22"/>
        </w:rPr>
        <w:t xml:space="preserve"> szignifikánsan alacsonyabb volt azoknál a betegeknél, akiket napi egyszeri 120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kezeltek, mint azoknál, akik vagy napi kétszeri 500 mg </w:t>
      </w:r>
      <w:proofErr w:type="spellStart"/>
      <w:r>
        <w:rPr>
          <w:color w:val="000000"/>
          <w:sz w:val="22"/>
          <w:szCs w:val="22"/>
        </w:rPr>
        <w:t>naproxén</w:t>
      </w:r>
      <w:proofErr w:type="spellEnd"/>
      <w:r>
        <w:rPr>
          <w:color w:val="000000"/>
          <w:sz w:val="22"/>
          <w:szCs w:val="22"/>
        </w:rPr>
        <w:t xml:space="preserve">- vagy napi háromszori 800 mg </w:t>
      </w:r>
      <w:proofErr w:type="spellStart"/>
      <w:r>
        <w:rPr>
          <w:color w:val="000000"/>
          <w:sz w:val="22"/>
          <w:szCs w:val="22"/>
        </w:rPr>
        <w:t>ibuprofén</w:t>
      </w:r>
      <w:proofErr w:type="spellEnd"/>
      <w:r>
        <w:rPr>
          <w:color w:val="000000"/>
          <w:sz w:val="22"/>
          <w:szCs w:val="22"/>
        </w:rPr>
        <w:t xml:space="preserve">-kezelést kaptak. A </w:t>
      </w:r>
      <w:proofErr w:type="spellStart"/>
      <w:r>
        <w:rPr>
          <w:color w:val="000000"/>
          <w:sz w:val="22"/>
          <w:szCs w:val="22"/>
        </w:rPr>
        <w:t>placebóhoz</w:t>
      </w:r>
      <w:proofErr w:type="spellEnd"/>
      <w:r>
        <w:rPr>
          <w:color w:val="000000"/>
          <w:sz w:val="22"/>
          <w:szCs w:val="22"/>
        </w:rPr>
        <w:t xml:space="preserve"> képest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hatására nőtt az </w:t>
      </w:r>
      <w:proofErr w:type="spellStart"/>
      <w:r>
        <w:rPr>
          <w:color w:val="000000"/>
          <w:sz w:val="22"/>
          <w:szCs w:val="22"/>
        </w:rPr>
        <w:t>ulceratio</w:t>
      </w:r>
      <w:proofErr w:type="spellEnd"/>
      <w:r>
        <w:rPr>
          <w:color w:val="000000"/>
          <w:sz w:val="22"/>
          <w:szCs w:val="22"/>
        </w:rPr>
        <w:t xml:space="preserve"> előfordulási gyakorisága.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Vesefunkciós vizsgálat idősekben</w:t>
      </w:r>
    </w:p>
    <w:p w:rsidR="00986B29" w:rsidRDefault="00E55408">
      <w:pPr>
        <w:rPr>
          <w:rFonts w:eastAsia="Arial Unicode MS"/>
          <w:snapToGrid/>
          <w:color w:val="000000"/>
          <w:sz w:val="22"/>
          <w:szCs w:val="22"/>
        </w:rPr>
      </w:pPr>
      <w:r>
        <w:rPr>
          <w:rFonts w:eastAsia="Arial Unicode MS"/>
          <w:snapToGrid/>
          <w:color w:val="000000"/>
          <w:sz w:val="22"/>
          <w:szCs w:val="22"/>
        </w:rPr>
        <w:t xml:space="preserve">Egy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randomizált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, kettős vak, placebokontrollos, párhuzamos csoportokon végzett vizsgálat az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etorikoxibbal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(90 mg),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celekoxibbal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(napi kétszer adott 200 mg),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naproxennel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(napi kétszer adott 500 mg) és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placebóval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végzett 15 napos kezelésnek a nátrium vizelettel történő kiválasztódására, a vérnyomásra és egyéb vesefunkciós paraméterekre kifejtett hatását értékelte olyan 60</w:t>
      </w:r>
      <w:r>
        <w:rPr>
          <w:rFonts w:eastAsia="Arial Unicode MS"/>
          <w:snapToGrid/>
          <w:color w:val="000000"/>
          <w:sz w:val="22"/>
          <w:szCs w:val="22"/>
        </w:rPr>
        <w:noBreakHyphen/>
        <w:t>85 éves betegekben, akiket napi 200 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mEq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nátrium diétára állítottak. A kezelés kéthetes időtartama alatt az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etorikoxibnak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,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celekoxibnak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és a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naproxennek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hasonló hatása volt a nátrium vizelettel történő kiválasztódására. Az összes aktív komparátor a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placebóhoz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képest emelkedést mutatott a szisztolés vérnyomás tekintetében; bár az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etorikoxib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a 14. napon statisztikailag jelentős emelkedést okozott a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celekoxibhoz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és a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naproxenhez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képest (a szisztolés vérnyomás átlagos emelkedése a kiindulási értékhez képest: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etorikoxib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7,7 Hgmm,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celekoxib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2,4 Hgmm, </w:t>
      </w:r>
      <w:proofErr w:type="spellStart"/>
      <w:r>
        <w:rPr>
          <w:rFonts w:eastAsia="Arial Unicode MS"/>
          <w:snapToGrid/>
          <w:color w:val="000000"/>
          <w:sz w:val="22"/>
          <w:szCs w:val="22"/>
        </w:rPr>
        <w:t>naproxen</w:t>
      </w:r>
      <w:proofErr w:type="spellEnd"/>
      <w:r>
        <w:rPr>
          <w:rFonts w:eastAsia="Arial Unicode MS"/>
          <w:snapToGrid/>
          <w:color w:val="000000"/>
          <w:sz w:val="22"/>
          <w:szCs w:val="22"/>
        </w:rPr>
        <w:t xml:space="preserve"> 3,6 Hgmm).</w:t>
      </w:r>
    </w:p>
    <w:p w:rsidR="00986B29" w:rsidRDefault="00986B29">
      <w:pPr>
        <w:rPr>
          <w:rFonts w:eastAsia="Arial Unicode MS"/>
          <w:snapToGrid/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rFonts w:eastAsia="SimSun"/>
          <w:b/>
          <w:sz w:val="22"/>
          <w:lang w:eastAsia="zh-CN"/>
        </w:rPr>
      </w:pPr>
      <w:r>
        <w:rPr>
          <w:rFonts w:eastAsia="SimSun"/>
          <w:b/>
          <w:sz w:val="22"/>
          <w:lang w:eastAsia="zh-CN"/>
        </w:rPr>
        <w:t>5.2</w:t>
      </w:r>
      <w:r>
        <w:rPr>
          <w:rFonts w:eastAsia="SimSun"/>
          <w:b/>
          <w:sz w:val="22"/>
          <w:lang w:eastAsia="zh-CN"/>
        </w:rPr>
        <w:tab/>
      </w:r>
      <w:proofErr w:type="spellStart"/>
      <w:r>
        <w:rPr>
          <w:rFonts w:eastAsia="SimSun"/>
          <w:b/>
          <w:sz w:val="22"/>
          <w:lang w:eastAsia="zh-CN"/>
        </w:rPr>
        <w:t>Farmakokinetikai</w:t>
      </w:r>
      <w:proofErr w:type="spellEnd"/>
      <w:r>
        <w:rPr>
          <w:rFonts w:eastAsia="SimSun"/>
          <w:b/>
          <w:sz w:val="22"/>
          <w:lang w:eastAsia="zh-CN"/>
        </w:rPr>
        <w:t xml:space="preserve"> tulajdonságok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right="-2"/>
        <w:rPr>
          <w:rFonts w:eastAsia="SimSun"/>
          <w:noProof/>
          <w:sz w:val="22"/>
          <w:szCs w:val="24"/>
          <w:u w:val="single"/>
          <w:lang w:eastAsia="zh-CN"/>
        </w:rPr>
      </w:pPr>
      <w:r>
        <w:rPr>
          <w:rFonts w:eastAsia="SimSun"/>
          <w:noProof/>
          <w:sz w:val="22"/>
          <w:szCs w:val="24"/>
          <w:u w:val="single"/>
          <w:lang w:eastAsia="zh-CN"/>
        </w:rPr>
        <w:t>Felszívódás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szájon át adagolt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jól felszívódik. Az abszolút </w:t>
      </w:r>
      <w:proofErr w:type="spellStart"/>
      <w:r>
        <w:rPr>
          <w:color w:val="000000"/>
          <w:sz w:val="22"/>
          <w:szCs w:val="22"/>
        </w:rPr>
        <w:t>biohasznosulás</w:t>
      </w:r>
      <w:proofErr w:type="spellEnd"/>
      <w:r>
        <w:rPr>
          <w:color w:val="000000"/>
          <w:sz w:val="22"/>
          <w:szCs w:val="22"/>
        </w:rPr>
        <w:t xml:space="preserve"> körülbelül 100%. Napi egyszeri 120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adagolással elért egyensúlyi állapotban a plazma csúcskoncentráció (mértani közép </w:t>
      </w:r>
      <w:proofErr w:type="spellStart"/>
      <w:r>
        <w:rPr>
          <w:color w:val="000000"/>
          <w:sz w:val="22"/>
          <w:szCs w:val="22"/>
        </w:rPr>
        <w:t>C</w:t>
      </w:r>
      <w:r>
        <w:rPr>
          <w:color w:val="000000"/>
          <w:sz w:val="22"/>
          <w:szCs w:val="22"/>
          <w:vertAlign w:val="subscript"/>
        </w:rPr>
        <w:t>max</w:t>
      </w:r>
      <w:proofErr w:type="spellEnd"/>
      <w:r>
        <w:rPr>
          <w:color w:val="000000"/>
          <w:sz w:val="22"/>
          <w:szCs w:val="22"/>
          <w:vertAlign w:val="subscript"/>
        </w:rPr>
        <w:t> </w:t>
      </w:r>
      <w:r>
        <w:rPr>
          <w:color w:val="000000"/>
          <w:sz w:val="22"/>
          <w:szCs w:val="22"/>
        </w:rPr>
        <w:t>= 3,6 </w:t>
      </w:r>
      <w:proofErr w:type="spellStart"/>
      <w:r>
        <w:rPr>
          <w:color w:val="000000"/>
          <w:sz w:val="22"/>
          <w:szCs w:val="22"/>
        </w:rPr>
        <w:t>mikrogramm</w:t>
      </w:r>
      <w:proofErr w:type="spellEnd"/>
      <w:r>
        <w:rPr>
          <w:color w:val="000000"/>
          <w:sz w:val="22"/>
          <w:szCs w:val="22"/>
        </w:rPr>
        <w:t>/ml) felnőttekben, éhgyomorra történő adagolást követően kb. 1 óra után alakul ki (</w:t>
      </w:r>
      <w:proofErr w:type="spellStart"/>
      <w:r>
        <w:rPr>
          <w:color w:val="000000"/>
          <w:sz w:val="22"/>
          <w:szCs w:val="22"/>
        </w:rPr>
        <w:t>T</w:t>
      </w:r>
      <w:r>
        <w:rPr>
          <w:color w:val="000000"/>
          <w:sz w:val="22"/>
          <w:szCs w:val="22"/>
          <w:vertAlign w:val="subscript"/>
        </w:rPr>
        <w:t>max</w:t>
      </w:r>
      <w:proofErr w:type="spellEnd"/>
      <w:r>
        <w:rPr>
          <w:color w:val="000000"/>
          <w:sz w:val="22"/>
          <w:szCs w:val="22"/>
        </w:rPr>
        <w:t>). A görbe alatti terület (AUC</w:t>
      </w:r>
      <w:r>
        <w:rPr>
          <w:color w:val="000000"/>
          <w:sz w:val="22"/>
          <w:szCs w:val="22"/>
          <w:vertAlign w:val="subscript"/>
        </w:rPr>
        <w:t>0-24h</w:t>
      </w:r>
      <w:r>
        <w:rPr>
          <w:color w:val="000000"/>
          <w:sz w:val="22"/>
          <w:szCs w:val="22"/>
        </w:rPr>
        <w:t>) mértani átlaga 37,8 </w:t>
      </w:r>
      <w:proofErr w:type="spellStart"/>
      <w:r>
        <w:rPr>
          <w:color w:val="000000"/>
          <w:sz w:val="22"/>
          <w:szCs w:val="22"/>
        </w:rPr>
        <w:t>mikrogramm•h</w:t>
      </w:r>
      <w:proofErr w:type="spellEnd"/>
      <w:r>
        <w:rPr>
          <w:color w:val="000000"/>
          <w:sz w:val="22"/>
          <w:szCs w:val="22"/>
        </w:rPr>
        <w:t xml:space="preserve">/ml volt.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az egész klinikai dózistartományban lineáris </w:t>
      </w:r>
      <w:proofErr w:type="spellStart"/>
      <w:r>
        <w:rPr>
          <w:color w:val="000000"/>
          <w:sz w:val="22"/>
          <w:szCs w:val="22"/>
        </w:rPr>
        <w:t>farmakokinetikát</w:t>
      </w:r>
      <w:proofErr w:type="spellEnd"/>
      <w:r>
        <w:rPr>
          <w:color w:val="000000"/>
          <w:sz w:val="22"/>
          <w:szCs w:val="22"/>
        </w:rPr>
        <w:t xml:space="preserve"> mutat.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táplálék jelenléte (magas </w:t>
      </w:r>
      <w:proofErr w:type="spellStart"/>
      <w:r>
        <w:rPr>
          <w:color w:val="000000"/>
          <w:sz w:val="22"/>
          <w:szCs w:val="22"/>
        </w:rPr>
        <w:t>zsírtartalmú</w:t>
      </w:r>
      <w:proofErr w:type="spellEnd"/>
      <w:r>
        <w:rPr>
          <w:color w:val="000000"/>
          <w:sz w:val="22"/>
          <w:szCs w:val="22"/>
        </w:rPr>
        <w:t xml:space="preserve"> ételek) nem befolyásolta a 120 mg dózisú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felszívódásának mértékét. A feszívódás sebességét viszont befolyásolta, aminek eredményeként a </w:t>
      </w:r>
      <w:proofErr w:type="spellStart"/>
      <w:r>
        <w:rPr>
          <w:color w:val="000000"/>
          <w:sz w:val="22"/>
          <w:szCs w:val="22"/>
        </w:rPr>
        <w:t>C</w:t>
      </w:r>
      <w:r>
        <w:rPr>
          <w:color w:val="000000"/>
          <w:sz w:val="22"/>
          <w:szCs w:val="22"/>
          <w:vertAlign w:val="subscript"/>
        </w:rPr>
        <w:t>max</w:t>
      </w:r>
      <w:proofErr w:type="spellEnd"/>
      <w:r>
        <w:rPr>
          <w:color w:val="000000"/>
          <w:sz w:val="22"/>
          <w:szCs w:val="22"/>
        </w:rPr>
        <w:t xml:space="preserve"> 36%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csökkent és a </w:t>
      </w:r>
      <w:proofErr w:type="spellStart"/>
      <w:r>
        <w:rPr>
          <w:color w:val="000000"/>
          <w:sz w:val="22"/>
          <w:szCs w:val="22"/>
        </w:rPr>
        <w:t>T</w:t>
      </w:r>
      <w:r>
        <w:rPr>
          <w:color w:val="000000"/>
          <w:sz w:val="22"/>
          <w:szCs w:val="22"/>
          <w:vertAlign w:val="subscript"/>
        </w:rPr>
        <w:t>max</w:t>
      </w:r>
      <w:proofErr w:type="spellEnd"/>
      <w:r>
        <w:rPr>
          <w:color w:val="000000"/>
          <w:sz w:val="22"/>
          <w:szCs w:val="22"/>
        </w:rPr>
        <w:t xml:space="preserve"> 2 órával emelkedett. Ezek az adatok </w:t>
      </w:r>
      <w:proofErr w:type="spellStart"/>
      <w:r>
        <w:rPr>
          <w:color w:val="000000"/>
          <w:sz w:val="22"/>
          <w:szCs w:val="22"/>
        </w:rPr>
        <w:t>klinikailag</w:t>
      </w:r>
      <w:proofErr w:type="spellEnd"/>
      <w:r>
        <w:rPr>
          <w:color w:val="000000"/>
          <w:sz w:val="22"/>
          <w:szCs w:val="22"/>
        </w:rPr>
        <w:t xml:space="preserve"> nem szignifikánsak. Klinikai vizsgálatokban az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étkezésektől függetlenül adagolták.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right="-2"/>
        <w:rPr>
          <w:rFonts w:eastAsia="SimSun"/>
          <w:noProof/>
          <w:sz w:val="22"/>
          <w:szCs w:val="24"/>
          <w:u w:val="single"/>
          <w:lang w:eastAsia="zh-CN"/>
        </w:rPr>
      </w:pPr>
      <w:r>
        <w:rPr>
          <w:rFonts w:eastAsia="SimSun"/>
          <w:noProof/>
          <w:sz w:val="22"/>
          <w:szCs w:val="24"/>
          <w:u w:val="single"/>
          <w:lang w:eastAsia="zh-CN"/>
        </w:rPr>
        <w:t>Eloszlás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0,05</w:t>
      </w:r>
      <w:r>
        <w:rPr>
          <w:color w:val="000000"/>
          <w:sz w:val="22"/>
          <w:szCs w:val="22"/>
        </w:rPr>
        <w:noBreakHyphen/>
        <w:t>5 </w:t>
      </w:r>
      <w:proofErr w:type="spellStart"/>
      <w:r>
        <w:rPr>
          <w:color w:val="000000"/>
          <w:sz w:val="22"/>
          <w:szCs w:val="22"/>
        </w:rPr>
        <w:t>mikrogramm</w:t>
      </w:r>
      <w:proofErr w:type="spellEnd"/>
      <w:r>
        <w:rPr>
          <w:color w:val="000000"/>
          <w:sz w:val="22"/>
          <w:szCs w:val="22"/>
        </w:rPr>
        <w:t>/ml koncentráció tartományban kb. 92%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ban</w:t>
      </w:r>
      <w:proofErr w:type="spellEnd"/>
      <w:r>
        <w:rPr>
          <w:color w:val="000000"/>
          <w:sz w:val="22"/>
          <w:szCs w:val="22"/>
        </w:rPr>
        <w:t xml:space="preserve"> kötődik a humán plazmafehérjékhez. Egyensúlyi („</w:t>
      </w:r>
      <w:proofErr w:type="spellStart"/>
      <w:r>
        <w:rPr>
          <w:color w:val="000000"/>
          <w:sz w:val="22"/>
          <w:szCs w:val="22"/>
        </w:rPr>
        <w:t>steady</w:t>
      </w:r>
      <w:r>
        <w:rPr>
          <w:color w:val="000000"/>
          <w:sz w:val="22"/>
          <w:szCs w:val="22"/>
        </w:rPr>
        <w:noBreakHyphen/>
        <w:t>state</w:t>
      </w:r>
      <w:proofErr w:type="spellEnd"/>
      <w:r>
        <w:rPr>
          <w:color w:val="000000"/>
          <w:sz w:val="22"/>
          <w:szCs w:val="22"/>
        </w:rPr>
        <w:t>”) állapotban mért megoszlási térfogata (</w:t>
      </w:r>
      <w:proofErr w:type="spellStart"/>
      <w:r>
        <w:rPr>
          <w:color w:val="000000"/>
          <w:sz w:val="22"/>
          <w:szCs w:val="22"/>
        </w:rPr>
        <w:t>V</w:t>
      </w:r>
      <w:r>
        <w:rPr>
          <w:color w:val="000000"/>
          <w:sz w:val="22"/>
          <w:szCs w:val="22"/>
          <w:vertAlign w:val="subscript"/>
        </w:rPr>
        <w:t>dss</w:t>
      </w:r>
      <w:proofErr w:type="spellEnd"/>
      <w:r>
        <w:rPr>
          <w:color w:val="000000"/>
          <w:sz w:val="22"/>
          <w:szCs w:val="22"/>
        </w:rPr>
        <w:t>) emberben kb. 120 liter.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patkányban és nyúlban átjut a placentán, illetve patkányban a vér-agy gáton is.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right="-2"/>
        <w:rPr>
          <w:rFonts w:eastAsia="SimSun"/>
          <w:noProof/>
          <w:sz w:val="22"/>
          <w:szCs w:val="24"/>
          <w:u w:val="single"/>
          <w:lang w:eastAsia="zh-CN"/>
        </w:rPr>
      </w:pPr>
      <w:r>
        <w:rPr>
          <w:rFonts w:eastAsia="SimSun"/>
          <w:noProof/>
          <w:sz w:val="22"/>
          <w:szCs w:val="24"/>
          <w:u w:val="single"/>
          <w:lang w:eastAsia="zh-CN"/>
        </w:rPr>
        <w:t>Biotranszformáció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nagymértékben </w:t>
      </w:r>
      <w:proofErr w:type="spellStart"/>
      <w:r>
        <w:rPr>
          <w:color w:val="000000"/>
          <w:sz w:val="22"/>
          <w:szCs w:val="22"/>
        </w:rPr>
        <w:t>metabolizálódik</w:t>
      </w:r>
      <w:proofErr w:type="spellEnd"/>
      <w:r>
        <w:rPr>
          <w:color w:val="000000"/>
          <w:sz w:val="22"/>
          <w:szCs w:val="22"/>
        </w:rPr>
        <w:t>, így a vizeletben az eredeti molekula kevesebb, mint 1%</w:t>
      </w:r>
      <w:r>
        <w:rPr>
          <w:color w:val="000000"/>
          <w:sz w:val="22"/>
          <w:szCs w:val="22"/>
        </w:rPr>
        <w:noBreakHyphen/>
        <w:t>a található csak meg. A metabolizmus fő útja a 6’</w:t>
      </w:r>
      <w:r>
        <w:rPr>
          <w:color w:val="000000"/>
          <w:sz w:val="22"/>
          <w:szCs w:val="22"/>
        </w:rPr>
        <w:noBreakHyphen/>
        <w:t xml:space="preserve">hidroximetil származék képződése, amit a CYP enzimek katalizálnak. A CYP3A4 hozzájárul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i</w:t>
      </w:r>
      <w:r>
        <w:rPr>
          <w:i/>
          <w:color w:val="000000"/>
          <w:sz w:val="22"/>
          <w:szCs w:val="22"/>
        </w:rPr>
        <w:t>n vivo</w:t>
      </w:r>
      <w:r>
        <w:rPr>
          <w:color w:val="000000"/>
          <w:sz w:val="22"/>
          <w:szCs w:val="22"/>
        </w:rPr>
        <w:t xml:space="preserve"> metabolizmusához. </w:t>
      </w:r>
      <w:r>
        <w:rPr>
          <w:i/>
          <w:color w:val="000000"/>
          <w:sz w:val="22"/>
          <w:szCs w:val="22"/>
        </w:rPr>
        <w:t>In vitro</w:t>
      </w:r>
      <w:r>
        <w:rPr>
          <w:color w:val="000000"/>
          <w:sz w:val="22"/>
          <w:szCs w:val="22"/>
        </w:rPr>
        <w:t xml:space="preserve"> vizsgálatok kimutatták, hogy a CYP2D6, CYP2C9, CYP1A2 és CYP2C19 enzimek szintén katalizálhatják a fő metabolikus utat, de a mennyiségi szerepüket </w:t>
      </w:r>
      <w:r>
        <w:rPr>
          <w:i/>
          <w:color w:val="000000"/>
          <w:sz w:val="22"/>
          <w:szCs w:val="22"/>
        </w:rPr>
        <w:t>in vivo</w:t>
      </w:r>
      <w:r>
        <w:rPr>
          <w:color w:val="000000"/>
          <w:sz w:val="22"/>
          <w:szCs w:val="22"/>
        </w:rPr>
        <w:t xml:space="preserve"> nem vizsgálták.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emberi szervezetben öt bomlásterméket azonosítottak. A fő </w:t>
      </w:r>
      <w:proofErr w:type="spellStart"/>
      <w:r>
        <w:rPr>
          <w:color w:val="000000"/>
          <w:sz w:val="22"/>
          <w:szCs w:val="22"/>
        </w:rPr>
        <w:t>metabolit</w:t>
      </w:r>
      <w:proofErr w:type="spellEnd"/>
      <w:r>
        <w:rPr>
          <w:color w:val="000000"/>
          <w:sz w:val="22"/>
          <w:szCs w:val="22"/>
        </w:rPr>
        <w:t xml:space="preserve">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6’</w:t>
      </w:r>
      <w:r>
        <w:rPr>
          <w:color w:val="000000"/>
          <w:sz w:val="22"/>
          <w:szCs w:val="22"/>
        </w:rPr>
        <w:noBreakHyphen/>
        <w:t>karboxilsav származéka, amely a 6’</w:t>
      </w:r>
      <w:r>
        <w:rPr>
          <w:color w:val="000000"/>
          <w:sz w:val="22"/>
          <w:szCs w:val="22"/>
        </w:rPr>
        <w:noBreakHyphen/>
        <w:t>hidroximetil származék további oxidációja révén keletkezik. Ezeknek a fő anyagcseretermékeknek vagy nincs mérhető hatásuk, vagy mint COX</w:t>
      </w:r>
      <w:r>
        <w:rPr>
          <w:color w:val="000000"/>
          <w:sz w:val="22"/>
          <w:szCs w:val="22"/>
        </w:rPr>
        <w:noBreakHyphen/>
        <w:t>2 gátlók csak kis mértékben hatásosak. Az említett anyagcseretermékek egyike sem gátolja a COX</w:t>
      </w:r>
      <w:r>
        <w:rPr>
          <w:color w:val="000000"/>
          <w:sz w:val="22"/>
          <w:szCs w:val="22"/>
        </w:rPr>
        <w:noBreakHyphen/>
        <w:t>1</w:t>
      </w:r>
      <w:r>
        <w:rPr>
          <w:color w:val="000000"/>
          <w:sz w:val="22"/>
          <w:szCs w:val="22"/>
        </w:rPr>
        <w:noBreakHyphen/>
        <w:t>et.</w:t>
      </w: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right="-2"/>
        <w:rPr>
          <w:rFonts w:eastAsia="SimSun"/>
          <w:noProof/>
          <w:sz w:val="22"/>
          <w:szCs w:val="24"/>
          <w:u w:val="single"/>
          <w:lang w:eastAsia="zh-CN"/>
        </w:rPr>
      </w:pPr>
      <w:r>
        <w:rPr>
          <w:rFonts w:eastAsia="SimSun"/>
          <w:noProof/>
          <w:sz w:val="22"/>
          <w:szCs w:val="24"/>
          <w:u w:val="single"/>
          <w:lang w:eastAsia="zh-CN"/>
        </w:rPr>
        <w:t>Elimináció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Radioaktívan jelzett, egyszeri, 25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dózisú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egészséges személyeknek történő intravénás beadását követően a radioaktivitás 70%</w:t>
      </w:r>
      <w:r>
        <w:rPr>
          <w:color w:val="000000"/>
          <w:sz w:val="22"/>
          <w:szCs w:val="22"/>
        </w:rPr>
        <w:noBreakHyphen/>
        <w:t xml:space="preserve">a </w:t>
      </w:r>
      <w:proofErr w:type="spellStart"/>
      <w:r>
        <w:rPr>
          <w:color w:val="000000"/>
          <w:sz w:val="22"/>
          <w:szCs w:val="22"/>
        </w:rPr>
        <w:t>a</w:t>
      </w:r>
      <w:proofErr w:type="spellEnd"/>
      <w:r>
        <w:rPr>
          <w:color w:val="000000"/>
          <w:sz w:val="22"/>
          <w:szCs w:val="22"/>
        </w:rPr>
        <w:t xml:space="preserve"> vizeletben, 20%</w:t>
      </w:r>
      <w:r>
        <w:rPr>
          <w:color w:val="000000"/>
          <w:sz w:val="22"/>
          <w:szCs w:val="22"/>
        </w:rPr>
        <w:noBreakHyphen/>
        <w:t>a pedig a székletben jelent meg, főleg anyagcseretermékek formájában. A beadott dózis kevesebb, mint 2%</w:t>
      </w:r>
      <w:r>
        <w:rPr>
          <w:color w:val="000000"/>
          <w:sz w:val="22"/>
          <w:szCs w:val="22"/>
        </w:rPr>
        <w:noBreakHyphen/>
        <w:t>a volt visszanyerhető változatlan formában.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kiválasztása szinte teljes egészében a metabolizmust követően a vesén keresztül valósul meg. Napi egyszeri 120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 mellett az egyensúlyi koncentráció hét napon belül kialakul, kb. 2</w:t>
      </w:r>
      <w:r>
        <w:rPr>
          <w:color w:val="000000"/>
          <w:sz w:val="22"/>
          <w:szCs w:val="22"/>
        </w:rPr>
        <w:noBreakHyphen/>
        <w:t>es akkumulációs ráta mellett, amely kb. 22 órás akkumulációs felezési időnek felel meg. Egy 25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adag intravénás beadása után a becsült plazma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t xml:space="preserve"> kb. 50 ml/perc.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right="-2"/>
        <w:rPr>
          <w:rFonts w:eastAsia="SimSun"/>
          <w:i/>
          <w:noProof/>
          <w:sz w:val="22"/>
          <w:szCs w:val="24"/>
          <w:u w:val="single"/>
          <w:lang w:eastAsia="zh-CN"/>
        </w:rPr>
      </w:pPr>
      <w:r>
        <w:rPr>
          <w:rFonts w:eastAsia="SimSun"/>
          <w:i/>
          <w:noProof/>
          <w:sz w:val="22"/>
          <w:szCs w:val="24"/>
          <w:u w:val="single"/>
          <w:lang w:eastAsia="zh-CN"/>
        </w:rPr>
        <w:t>Különleges betegcsoportok</w:t>
      </w:r>
    </w:p>
    <w:p w:rsidR="00986B29" w:rsidRDefault="00986B29">
      <w:pPr>
        <w:tabs>
          <w:tab w:val="left" w:pos="567"/>
        </w:tabs>
        <w:ind w:right="-2"/>
        <w:rPr>
          <w:rFonts w:eastAsia="SimSun"/>
          <w:noProof/>
          <w:sz w:val="22"/>
          <w:szCs w:val="24"/>
          <w:u w:val="single"/>
          <w:lang w:eastAsia="zh-CN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Idősek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farmakokinetikája</w:t>
      </w:r>
      <w:proofErr w:type="spellEnd"/>
      <w:r>
        <w:rPr>
          <w:color w:val="000000"/>
          <w:sz w:val="22"/>
          <w:szCs w:val="22"/>
        </w:rPr>
        <w:t xml:space="preserve"> idős (65 éves, vagy annál idősebb) személyekben hasonló, mint fiatalokban.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Nemi eltérések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férfiakban és nőkben hasonló </w:t>
      </w:r>
      <w:proofErr w:type="spellStart"/>
      <w:r>
        <w:rPr>
          <w:color w:val="000000"/>
          <w:sz w:val="22"/>
          <w:szCs w:val="22"/>
        </w:rPr>
        <w:t>farmakokinetikát</w:t>
      </w:r>
      <w:proofErr w:type="spellEnd"/>
      <w:r>
        <w:rPr>
          <w:color w:val="000000"/>
          <w:sz w:val="22"/>
          <w:szCs w:val="22"/>
        </w:rPr>
        <w:t xml:space="preserve"> mutat.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Májkárosodás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Enyhe májkárosodásban (</w:t>
      </w:r>
      <w:proofErr w:type="spellStart"/>
      <w:r>
        <w:rPr>
          <w:color w:val="000000"/>
          <w:sz w:val="22"/>
          <w:szCs w:val="22"/>
        </w:rPr>
        <w:t>Child</w:t>
      </w:r>
      <w:r>
        <w:rPr>
          <w:color w:val="000000"/>
          <w:sz w:val="22"/>
          <w:szCs w:val="22"/>
        </w:rPr>
        <w:noBreakHyphen/>
        <w:t>Pugh</w:t>
      </w:r>
      <w:proofErr w:type="spellEnd"/>
      <w:r>
        <w:rPr>
          <w:color w:val="000000"/>
          <w:sz w:val="22"/>
          <w:szCs w:val="22"/>
        </w:rPr>
        <w:t xml:space="preserve"> pontszám: 5–6) szenvedő betegeknél, akiket napi egyszeri 60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kezeltek, az átlagos AUC (görbe alatti terület) kb. 16%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nagyobb volt, mint az azonos dózissal kezelt egészséges személyeknél. Középsúlyos májkárosodásban (</w:t>
      </w:r>
      <w:proofErr w:type="spellStart"/>
      <w:r>
        <w:rPr>
          <w:color w:val="000000"/>
          <w:sz w:val="22"/>
          <w:szCs w:val="22"/>
        </w:rPr>
        <w:t>Child-Pugh</w:t>
      </w:r>
      <w:proofErr w:type="spellEnd"/>
      <w:r>
        <w:rPr>
          <w:color w:val="000000"/>
          <w:sz w:val="22"/>
          <w:szCs w:val="22"/>
        </w:rPr>
        <w:t xml:space="preserve"> pontszám: 7–9) szenvedő betegeknél, akiket </w:t>
      </w:r>
      <w:r>
        <w:rPr>
          <w:b/>
          <w:i/>
          <w:color w:val="000000"/>
          <w:sz w:val="22"/>
          <w:szCs w:val="22"/>
        </w:rPr>
        <w:t>minden második nap</w:t>
      </w:r>
      <w:r>
        <w:rPr>
          <w:color w:val="000000"/>
          <w:sz w:val="22"/>
          <w:szCs w:val="22"/>
        </w:rPr>
        <w:t xml:space="preserve"> 60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kezeltek, az átlagos AUC hasonló volt, mint a napi egyszeri 60 mg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kapott egészséges egyéneknél, a napi egyszeri 30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etorikoxibot</w:t>
      </w:r>
      <w:proofErr w:type="spellEnd"/>
      <w:r>
        <w:rPr>
          <w:color w:val="000000"/>
          <w:sz w:val="22"/>
          <w:szCs w:val="22"/>
        </w:rPr>
        <w:t xml:space="preserve"> nem tanulmányozták ebben a populációban. Súlyos májkárosodásban (</w:t>
      </w:r>
      <w:proofErr w:type="spellStart"/>
      <w:r>
        <w:rPr>
          <w:color w:val="000000"/>
          <w:sz w:val="22"/>
          <w:szCs w:val="22"/>
        </w:rPr>
        <w:t>Child-Pugh</w:t>
      </w:r>
      <w:proofErr w:type="spellEnd"/>
      <w:r>
        <w:rPr>
          <w:color w:val="000000"/>
          <w:sz w:val="22"/>
          <w:szCs w:val="22"/>
        </w:rPr>
        <w:t xml:space="preserve"> pontszám: ≥ 10) szenvedő betegekre vonatkozóan nem állnak rendelkezésre klinikai vagy </w:t>
      </w:r>
      <w:proofErr w:type="spellStart"/>
      <w:r>
        <w:rPr>
          <w:color w:val="000000"/>
          <w:sz w:val="22"/>
          <w:szCs w:val="22"/>
        </w:rPr>
        <w:t>farmakokinetikai</w:t>
      </w:r>
      <w:proofErr w:type="spellEnd"/>
      <w:r>
        <w:rPr>
          <w:color w:val="000000"/>
          <w:sz w:val="22"/>
          <w:szCs w:val="22"/>
        </w:rPr>
        <w:t xml:space="preserve"> adatok. (Lásd 4.2 és 4.3 pont.)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Vesekárosodás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Közepesen súlyos, illetve súlyos vesekárosodásban szenvedő betegeknél és terminális stádiumú, </w:t>
      </w:r>
      <w:proofErr w:type="spellStart"/>
      <w:r>
        <w:rPr>
          <w:color w:val="000000"/>
          <w:sz w:val="22"/>
          <w:szCs w:val="22"/>
        </w:rPr>
        <w:t>hemodializált</w:t>
      </w:r>
      <w:proofErr w:type="spellEnd"/>
      <w:r>
        <w:rPr>
          <w:color w:val="000000"/>
          <w:sz w:val="22"/>
          <w:szCs w:val="22"/>
        </w:rPr>
        <w:t xml:space="preserve"> vesebetegeknél az egyszeri dózisban adott 120 mg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farmakokinetikája</w:t>
      </w:r>
      <w:proofErr w:type="spellEnd"/>
      <w:r>
        <w:rPr>
          <w:color w:val="000000"/>
          <w:sz w:val="22"/>
          <w:szCs w:val="22"/>
        </w:rPr>
        <w:t xml:space="preserve"> nem tért el jelentősen az egészséges egyéneknél megfigyelt értékektől. A </w:t>
      </w:r>
      <w:proofErr w:type="spellStart"/>
      <w:r>
        <w:rPr>
          <w:color w:val="000000"/>
          <w:sz w:val="22"/>
          <w:szCs w:val="22"/>
        </w:rPr>
        <w:t>hemodialízis</w:t>
      </w:r>
      <w:proofErr w:type="spellEnd"/>
      <w:r>
        <w:rPr>
          <w:color w:val="000000"/>
          <w:sz w:val="22"/>
          <w:szCs w:val="22"/>
        </w:rPr>
        <w:t xml:space="preserve"> csak elhanyagolható mértékben járult hozzá az eliminációhoz (a dialízis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clearance</w:t>
      </w:r>
      <w:proofErr w:type="spellEnd"/>
      <w:r>
        <w:rPr>
          <w:color w:val="000000"/>
          <w:sz w:val="22"/>
          <w:szCs w:val="22"/>
        </w:rPr>
        <w:t xml:space="preserve"> kb. 50 ml/perc volt). (Lásd 4.3 és 4.4 pont.)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Gyermekek és serdülők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farmakokinetikáját</w:t>
      </w:r>
      <w:proofErr w:type="spellEnd"/>
      <w:r>
        <w:rPr>
          <w:color w:val="000000"/>
          <w:sz w:val="22"/>
          <w:szCs w:val="22"/>
        </w:rPr>
        <w:t xml:space="preserve"> gyermekeken (&lt; 12 éves) nem tanulmányozták.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Egy 12 évesnél idősebb gyermekek és serdülők (12–17 évesek) bevonásával végzett </w:t>
      </w:r>
      <w:proofErr w:type="spellStart"/>
      <w:r>
        <w:rPr>
          <w:color w:val="000000"/>
          <w:sz w:val="22"/>
          <w:szCs w:val="22"/>
        </w:rPr>
        <w:t>farmakokinetikai</w:t>
      </w:r>
      <w:proofErr w:type="spellEnd"/>
      <w:r>
        <w:rPr>
          <w:color w:val="000000"/>
          <w:sz w:val="22"/>
          <w:szCs w:val="22"/>
        </w:rPr>
        <w:t xml:space="preserve"> vizsgálatban (n = 16) a napi egyszeri 60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40–60 kg testsúlyú, és a napi egyszeri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60 kg</w:t>
      </w:r>
      <w:r>
        <w:rPr>
          <w:color w:val="000000"/>
          <w:sz w:val="22"/>
          <w:szCs w:val="22"/>
        </w:rPr>
        <w:noBreakHyphen/>
        <w:t xml:space="preserve">nál nagyobb testsúlyú serdülőkben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farmakokinetikája</w:t>
      </w:r>
      <w:proofErr w:type="spellEnd"/>
      <w:r>
        <w:rPr>
          <w:color w:val="000000"/>
          <w:sz w:val="22"/>
          <w:szCs w:val="22"/>
        </w:rPr>
        <w:t xml:space="preserve"> hasonló volt, mint a napi egyszeri 90 mg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felnőttekben.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biztonságosságát és hatékonyságát gyermekekben nem állapították meg (lásd 4.2 pont).</w:t>
      </w:r>
    </w:p>
    <w:p w:rsidR="00986B29" w:rsidRDefault="00986B29">
      <w:pPr>
        <w:rPr>
          <w:color w:val="000000"/>
          <w:sz w:val="22"/>
          <w:szCs w:val="22"/>
          <w:shd w:val="clear" w:color="auto" w:fill="FFFFFF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5.3</w:t>
      </w:r>
      <w:r>
        <w:rPr>
          <w:b/>
          <w:noProof/>
          <w:snapToGrid/>
          <w:sz w:val="22"/>
          <w:szCs w:val="22"/>
        </w:rPr>
        <w:tab/>
        <w:t>A preklinikai biztonságossági vizsgálatok eredményei</w:t>
      </w:r>
    </w:p>
    <w:p w:rsidR="00986B29" w:rsidRDefault="00986B29">
      <w:pPr>
        <w:rPr>
          <w:color w:val="000000"/>
          <w:sz w:val="22"/>
          <w:szCs w:val="22"/>
          <w:shd w:val="clear" w:color="auto" w:fill="FFFFFF"/>
        </w:rPr>
      </w:pPr>
    </w:p>
    <w:p w:rsidR="00986B29" w:rsidRDefault="00E55408">
      <w:pPr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Preklinikai</w:t>
      </w:r>
      <w:proofErr w:type="spellEnd"/>
      <w:r>
        <w:rPr>
          <w:color w:val="000000"/>
          <w:sz w:val="22"/>
          <w:szCs w:val="22"/>
        </w:rPr>
        <w:t xml:space="preserve"> vizsgálatokban kimutatták, hogy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nem </w:t>
      </w:r>
      <w:proofErr w:type="spellStart"/>
      <w:r>
        <w:rPr>
          <w:color w:val="000000"/>
          <w:sz w:val="22"/>
          <w:szCs w:val="22"/>
        </w:rPr>
        <w:t>genotoxikus</w:t>
      </w:r>
      <w:proofErr w:type="spellEnd"/>
      <w:r>
        <w:rPr>
          <w:color w:val="000000"/>
          <w:sz w:val="22"/>
          <w:szCs w:val="22"/>
        </w:rPr>
        <w:t xml:space="preserve">.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egerekben nem volt karcinogén. A szisztémás expozíció szerinti napi humán dózis [90 mg] több mint kétszeresével, kb. két éven át naponta kezelt patkányok májsejtjeiben és a pajzsmirigy </w:t>
      </w:r>
      <w:proofErr w:type="spellStart"/>
      <w:r>
        <w:rPr>
          <w:color w:val="000000"/>
          <w:sz w:val="22"/>
          <w:szCs w:val="22"/>
        </w:rPr>
        <w:t>follicularis</w:t>
      </w:r>
      <w:proofErr w:type="spellEnd"/>
      <w:r>
        <w:rPr>
          <w:color w:val="000000"/>
          <w:sz w:val="22"/>
          <w:szCs w:val="22"/>
        </w:rPr>
        <w:t xml:space="preserve"> sejtjeiben </w:t>
      </w:r>
      <w:proofErr w:type="spellStart"/>
      <w:r>
        <w:rPr>
          <w:color w:val="000000"/>
          <w:sz w:val="22"/>
          <w:szCs w:val="22"/>
        </w:rPr>
        <w:t>adenomák</w:t>
      </w:r>
      <w:proofErr w:type="spellEnd"/>
      <w:r>
        <w:rPr>
          <w:color w:val="000000"/>
          <w:sz w:val="22"/>
          <w:szCs w:val="22"/>
        </w:rPr>
        <w:t xml:space="preserve"> alakultak ki. A patkányok májsejtjeiben és a pajzsmirigy </w:t>
      </w:r>
      <w:proofErr w:type="spellStart"/>
      <w:r>
        <w:rPr>
          <w:color w:val="000000"/>
          <w:sz w:val="22"/>
          <w:szCs w:val="22"/>
        </w:rPr>
        <w:t>follicularis</w:t>
      </w:r>
      <w:proofErr w:type="spellEnd"/>
      <w:r>
        <w:rPr>
          <w:color w:val="000000"/>
          <w:sz w:val="22"/>
          <w:szCs w:val="22"/>
        </w:rPr>
        <w:t xml:space="preserve"> sejtjeiben megfigyelt </w:t>
      </w:r>
      <w:proofErr w:type="spellStart"/>
      <w:r>
        <w:rPr>
          <w:color w:val="000000"/>
          <w:sz w:val="22"/>
          <w:szCs w:val="22"/>
        </w:rPr>
        <w:t>adenomák</w:t>
      </w:r>
      <w:proofErr w:type="spellEnd"/>
      <w:r>
        <w:rPr>
          <w:color w:val="000000"/>
          <w:sz w:val="22"/>
          <w:szCs w:val="22"/>
        </w:rPr>
        <w:t xml:space="preserve"> a CYP májenzimek indukciójának fajspecifikus következményei. Az emberi vizsgálatokban nem észlelték a máj CYP3A </w:t>
      </w:r>
      <w:proofErr w:type="spellStart"/>
      <w:r>
        <w:rPr>
          <w:color w:val="000000"/>
          <w:sz w:val="22"/>
          <w:szCs w:val="22"/>
        </w:rPr>
        <w:t>enzimeinek</w:t>
      </w:r>
      <w:proofErr w:type="spellEnd"/>
      <w:r>
        <w:rPr>
          <w:color w:val="000000"/>
          <w:sz w:val="22"/>
          <w:szCs w:val="22"/>
        </w:rPr>
        <w:t xml:space="preserve"> indukcióját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hatására.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Patkányokban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toxicitása a dózis és az expozíciós idő növelésével fokozódott. Egy 14 hetes toxicitási vizsgálatban a humán terápiás dózisnál nagyobb dózisokban alkalmazott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fekélyeket okozott. Egy 53, illetve 106 hetes toxicitási vizsgálatban, a humán terápiás adagokhoz hasonló expozíció során is megfigyeltek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fekélyeket. Magas expozíció esetén kutyában vese</w:t>
      </w:r>
      <w:r>
        <w:rPr>
          <w:color w:val="000000"/>
          <w:sz w:val="22"/>
          <w:szCs w:val="22"/>
        </w:rPr>
        <w:noBreakHyphen/>
        <w:t xml:space="preserve"> és </w:t>
      </w:r>
      <w:proofErr w:type="spellStart"/>
      <w:r>
        <w:rPr>
          <w:color w:val="000000"/>
          <w:sz w:val="22"/>
          <w:szCs w:val="22"/>
        </w:rPr>
        <w:t>gastrointestinalis</w:t>
      </w:r>
      <w:proofErr w:type="spellEnd"/>
      <w:r>
        <w:rPr>
          <w:color w:val="000000"/>
          <w:sz w:val="22"/>
          <w:szCs w:val="22"/>
        </w:rPr>
        <w:t xml:space="preserve"> rendellenességek mutatkoztak.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patkányokon végzett reprodukciós toxicitási vizsgálatok során az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15 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 xml:space="preserve">/nap dózisban alkalmazva nem volt </w:t>
      </w:r>
      <w:proofErr w:type="spellStart"/>
      <w:r>
        <w:rPr>
          <w:color w:val="000000"/>
          <w:sz w:val="22"/>
          <w:szCs w:val="22"/>
        </w:rPr>
        <w:t>teratogén</w:t>
      </w:r>
      <w:proofErr w:type="spellEnd"/>
      <w:r>
        <w:rPr>
          <w:color w:val="000000"/>
          <w:sz w:val="22"/>
          <w:szCs w:val="22"/>
        </w:rPr>
        <w:t xml:space="preserve"> hatású (ez az adag mintegy 1,5</w:t>
      </w:r>
      <w:r>
        <w:rPr>
          <w:color w:val="000000"/>
          <w:sz w:val="22"/>
          <w:szCs w:val="22"/>
        </w:rPr>
        <w:noBreakHyphen/>
        <w:t xml:space="preserve">szerese a napi humán dózisnak [90 mg], szisztémás expozíció alapján). Nyulaknál a </w:t>
      </w:r>
      <w:proofErr w:type="spellStart"/>
      <w:r>
        <w:rPr>
          <w:color w:val="000000"/>
          <w:sz w:val="22"/>
          <w:szCs w:val="22"/>
        </w:rPr>
        <w:t>cardiovascularis</w:t>
      </w:r>
      <w:proofErr w:type="spellEnd"/>
      <w:r>
        <w:rPr>
          <w:color w:val="000000"/>
          <w:sz w:val="22"/>
          <w:szCs w:val="22"/>
        </w:rPr>
        <w:t xml:space="preserve"> elváltozások számának kezeléssel összefüggő emelkedése volt megfigyelhető a napi emberi klinikai dózis expozíció [90 mg] alatti expozícióknál. Mindazonáltal nem figyeltek meg a kezeléssel összefüggő külső vagy a vázrendszerben jelentkező magzati </w:t>
      </w:r>
      <w:proofErr w:type="spellStart"/>
      <w:r>
        <w:rPr>
          <w:color w:val="000000"/>
          <w:sz w:val="22"/>
          <w:szCs w:val="22"/>
        </w:rPr>
        <w:t>malformációkat</w:t>
      </w:r>
      <w:proofErr w:type="spellEnd"/>
      <w:r>
        <w:rPr>
          <w:color w:val="000000"/>
          <w:sz w:val="22"/>
          <w:szCs w:val="22"/>
        </w:rPr>
        <w:t>. Patkányoknál és nyulaknál megfigyelhető volt a posztimplantációs veszteség dózisfüggő növekedése az emberi expozíció 1,5</w:t>
      </w:r>
      <w:r>
        <w:rPr>
          <w:color w:val="000000"/>
          <w:sz w:val="22"/>
          <w:szCs w:val="22"/>
        </w:rPr>
        <w:noBreakHyphen/>
        <w:t>szeresét elérő, illetve azt meghaladó expozíciók esetén (lásd 4.3 és 4.6 pont).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Laktáló patkányok tejébe a plazmakoncentráció kb. kétszeresének megfelelő mennyiségű </w:t>
      </w:r>
      <w:proofErr w:type="spellStart"/>
      <w:r>
        <w:rPr>
          <w:color w:val="000000"/>
          <w:sz w:val="22"/>
          <w:szCs w:val="22"/>
        </w:rPr>
        <w:t>etorikoxib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választódik</w:t>
      </w:r>
      <w:proofErr w:type="spellEnd"/>
      <w:r>
        <w:rPr>
          <w:color w:val="000000"/>
          <w:sz w:val="22"/>
          <w:szCs w:val="22"/>
        </w:rPr>
        <w:t xml:space="preserve"> ki. A laktáció alatt </w:t>
      </w:r>
      <w:proofErr w:type="spellStart"/>
      <w:r>
        <w:rPr>
          <w:color w:val="000000"/>
          <w:sz w:val="22"/>
          <w:szCs w:val="22"/>
        </w:rPr>
        <w:t>etorikoxibbal</w:t>
      </w:r>
      <w:proofErr w:type="spellEnd"/>
      <w:r>
        <w:rPr>
          <w:color w:val="000000"/>
          <w:sz w:val="22"/>
          <w:szCs w:val="22"/>
        </w:rPr>
        <w:t xml:space="preserve"> kezelt patkányok kölykeinek testtömege csökkent.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986B29">
      <w:pPr>
        <w:rPr>
          <w:caps/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6.</w:t>
      </w:r>
      <w:r>
        <w:rPr>
          <w:b/>
          <w:noProof/>
          <w:snapToGrid/>
          <w:sz w:val="22"/>
          <w:szCs w:val="22"/>
        </w:rPr>
        <w:tab/>
        <w:t xml:space="preserve">GYÓGYSZERÉSZETI </w:t>
      </w:r>
      <w:bookmarkStart w:id="1" w:name="itt"/>
      <w:bookmarkEnd w:id="1"/>
      <w:r>
        <w:rPr>
          <w:b/>
          <w:noProof/>
          <w:snapToGrid/>
          <w:sz w:val="22"/>
          <w:szCs w:val="22"/>
        </w:rPr>
        <w:t>jellemzők</w:t>
      </w:r>
    </w:p>
    <w:p w:rsidR="00986B29" w:rsidRDefault="00986B29">
      <w:pPr>
        <w:keepNext/>
        <w:ind w:left="567" w:hanging="567"/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6.1</w:t>
      </w:r>
      <w:r>
        <w:rPr>
          <w:b/>
          <w:noProof/>
          <w:snapToGrid/>
          <w:sz w:val="22"/>
          <w:szCs w:val="22"/>
        </w:rPr>
        <w:tab/>
        <w:t>Segédanyagok felsorolása</w:t>
      </w:r>
    </w:p>
    <w:p w:rsidR="00986B29" w:rsidRDefault="00986B29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</w:p>
    <w:p w:rsidR="00986B29" w:rsidRDefault="00E55408">
      <w:pPr>
        <w:pStyle w:val="NormlWeb2"/>
        <w:spacing w:before="0" w:after="0"/>
        <w:rPr>
          <w:rFonts w:ascii="Times New Roman" w:hAnsi="Times New Roman"/>
          <w:i/>
          <w:color w:val="000000"/>
          <w:sz w:val="22"/>
          <w:szCs w:val="22"/>
        </w:rPr>
      </w:pPr>
      <w:r>
        <w:rPr>
          <w:rFonts w:ascii="Times New Roman" w:hAnsi="Times New Roman"/>
          <w:i/>
          <w:color w:val="000000"/>
          <w:sz w:val="22"/>
          <w:szCs w:val="22"/>
        </w:rPr>
        <w:t>Tabletta mag:</w:t>
      </w:r>
    </w:p>
    <w:p w:rsidR="00986B29" w:rsidRDefault="00E55408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mikrokristályos cellulóz</w:t>
      </w:r>
    </w:p>
    <w:p w:rsidR="00986B29" w:rsidRDefault="00E55408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kalcium-hidrogén-foszfát</w:t>
      </w:r>
    </w:p>
    <w:p w:rsidR="00986B29" w:rsidRDefault="00E55408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proofErr w:type="spellStart"/>
      <w:r>
        <w:rPr>
          <w:rFonts w:ascii="Times New Roman" w:hAnsi="Times New Roman"/>
          <w:color w:val="000000"/>
          <w:sz w:val="22"/>
          <w:szCs w:val="22"/>
        </w:rPr>
        <w:t>kroszkarmellóz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>-nátrium</w:t>
      </w:r>
    </w:p>
    <w:p w:rsidR="00986B29" w:rsidRDefault="00E55408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nátrium-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sztearil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>-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fumarát</w:t>
      </w:r>
      <w:proofErr w:type="spellEnd"/>
    </w:p>
    <w:p w:rsidR="00986B29" w:rsidRDefault="00E55408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vízmentes kolloid szilícium-dioxid</w:t>
      </w:r>
    </w:p>
    <w:p w:rsidR="00986B29" w:rsidRDefault="00986B29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</w:p>
    <w:p w:rsidR="00986B29" w:rsidRDefault="00E55408">
      <w:pPr>
        <w:pStyle w:val="NormlWeb2"/>
        <w:spacing w:before="0" w:after="0"/>
        <w:rPr>
          <w:rFonts w:ascii="Times New Roman" w:hAnsi="Times New Roman"/>
          <w:i/>
          <w:color w:val="000000"/>
          <w:sz w:val="22"/>
          <w:szCs w:val="22"/>
        </w:rPr>
      </w:pPr>
      <w:r>
        <w:rPr>
          <w:rFonts w:ascii="Times New Roman" w:hAnsi="Times New Roman"/>
          <w:i/>
          <w:color w:val="000000"/>
          <w:sz w:val="22"/>
          <w:szCs w:val="22"/>
        </w:rPr>
        <w:t>Filmbevonat:</w:t>
      </w:r>
    </w:p>
    <w:p w:rsidR="00986B29" w:rsidRDefault="00E55408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proofErr w:type="spellStart"/>
      <w:r>
        <w:rPr>
          <w:rFonts w:ascii="Times New Roman" w:hAnsi="Times New Roman"/>
          <w:color w:val="000000"/>
          <w:sz w:val="22"/>
          <w:szCs w:val="22"/>
        </w:rPr>
        <w:t>poli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>(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vinil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>-alkohol)</w:t>
      </w:r>
    </w:p>
    <w:p w:rsidR="00986B29" w:rsidRDefault="00E55408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titán-dioxid (E171)</w:t>
      </w:r>
    </w:p>
    <w:p w:rsidR="00986B29" w:rsidRDefault="00E55408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proofErr w:type="spellStart"/>
      <w:r>
        <w:rPr>
          <w:rFonts w:ascii="Times New Roman" w:hAnsi="Times New Roman"/>
          <w:color w:val="000000"/>
          <w:sz w:val="22"/>
          <w:szCs w:val="22"/>
        </w:rPr>
        <w:t>makrogol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3000</w:t>
      </w:r>
    </w:p>
    <w:p w:rsidR="00986B29" w:rsidRDefault="00E55408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talkum</w:t>
      </w:r>
    </w:p>
    <w:p w:rsidR="00986B29" w:rsidRDefault="00E55408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Az </w:t>
      </w:r>
      <w:proofErr w:type="spellStart"/>
      <w:r>
        <w:rPr>
          <w:rFonts w:ascii="Times New Roman" w:hAnsi="Times New Roman"/>
          <w:color w:val="000000"/>
          <w:sz w:val="22"/>
          <w:szCs w:val="22"/>
          <w:u w:val="single"/>
        </w:rPr>
        <w:t>Itoroxx</w:t>
      </w:r>
      <w:proofErr w:type="spellEnd"/>
      <w:r>
        <w:rPr>
          <w:rFonts w:ascii="Times New Roman" w:hAnsi="Times New Roman"/>
          <w:color w:val="000000"/>
          <w:sz w:val="22"/>
          <w:szCs w:val="22"/>
          <w:u w:val="single"/>
        </w:rPr>
        <w:t xml:space="preserve"> 60 mg filmtabletta</w:t>
      </w:r>
      <w:r>
        <w:rPr>
          <w:rFonts w:ascii="Times New Roman" w:hAnsi="Times New Roman"/>
          <w:color w:val="000000"/>
          <w:sz w:val="22"/>
          <w:szCs w:val="22"/>
        </w:rPr>
        <w:t xml:space="preserve"> sárga vas-oxidot (E172) is tartalmaz.</w:t>
      </w:r>
    </w:p>
    <w:p w:rsidR="00986B29" w:rsidRDefault="00986B29">
      <w:pPr>
        <w:pStyle w:val="NormlWeb2"/>
        <w:spacing w:before="0" w:after="0"/>
        <w:rPr>
          <w:rFonts w:ascii="Times New Roman" w:hAnsi="Times New Roman"/>
          <w:color w:val="000000"/>
          <w:sz w:val="22"/>
          <w:szCs w:val="22"/>
        </w:rPr>
      </w:pPr>
    </w:p>
    <w:p w:rsidR="00986B29" w:rsidRDefault="00986B29">
      <w:pPr>
        <w:rPr>
          <w:i/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6.2</w:t>
      </w:r>
      <w:r>
        <w:rPr>
          <w:b/>
          <w:noProof/>
          <w:snapToGrid/>
          <w:sz w:val="22"/>
          <w:szCs w:val="22"/>
        </w:rPr>
        <w:tab/>
        <w:t>Inkompatibilitások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Nem értelmezhető.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6.3</w:t>
      </w:r>
      <w:r>
        <w:rPr>
          <w:b/>
          <w:noProof/>
          <w:snapToGrid/>
          <w:sz w:val="22"/>
          <w:szCs w:val="22"/>
        </w:rPr>
        <w:tab/>
        <w:t>Felhasználhatósági időtartam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 év.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6.4</w:t>
      </w:r>
      <w:r>
        <w:rPr>
          <w:b/>
          <w:noProof/>
          <w:snapToGrid/>
          <w:sz w:val="22"/>
          <w:szCs w:val="22"/>
        </w:rPr>
        <w:tab/>
        <w:t>Különleges tárolási előírások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Ez a gyógyszer nem igényel különleges tárolást.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</w:rPr>
      </w:pPr>
      <w:r>
        <w:rPr>
          <w:b/>
          <w:noProof/>
          <w:snapToGrid/>
          <w:sz w:val="22"/>
          <w:szCs w:val="22"/>
        </w:rPr>
        <w:t>6.5</w:t>
      </w:r>
      <w:r>
        <w:rPr>
          <w:b/>
          <w:noProof/>
          <w:snapToGrid/>
          <w:sz w:val="22"/>
          <w:szCs w:val="22"/>
        </w:rPr>
        <w:tab/>
        <w:t>Csomagolás típusa és kiszerelése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 db, 14 db, 20 db, 28 db, 30 db, 50 db, 56 db, 60 db, 84 db, 98 db vagy 100 db filmtabletta (OPA/</w:t>
      </w:r>
      <w:proofErr w:type="spellStart"/>
      <w:r>
        <w:rPr>
          <w:color w:val="000000"/>
          <w:sz w:val="22"/>
          <w:szCs w:val="22"/>
        </w:rPr>
        <w:t>Al</w:t>
      </w:r>
      <w:proofErr w:type="spellEnd"/>
      <w:r>
        <w:rPr>
          <w:color w:val="000000"/>
          <w:sz w:val="22"/>
          <w:szCs w:val="22"/>
        </w:rPr>
        <w:t>/PVC//</w:t>
      </w:r>
      <w:proofErr w:type="spellStart"/>
      <w:r>
        <w:rPr>
          <w:color w:val="000000"/>
          <w:sz w:val="22"/>
          <w:szCs w:val="22"/>
        </w:rPr>
        <w:t>Al</w:t>
      </w:r>
      <w:proofErr w:type="spellEnd"/>
      <w:r>
        <w:rPr>
          <w:color w:val="000000"/>
          <w:sz w:val="22"/>
          <w:szCs w:val="22"/>
        </w:rPr>
        <w:t>) buborékcsomagolásban, dobozban.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Nem feltétlenül mindegyik kiszerelés kerül kereskedelmi forgalomba.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  <w:lang w:val="en-GB"/>
        </w:rPr>
      </w:pPr>
      <w:r>
        <w:rPr>
          <w:b/>
          <w:noProof/>
          <w:snapToGrid/>
          <w:sz w:val="22"/>
          <w:szCs w:val="22"/>
          <w:lang w:val="en-GB"/>
        </w:rPr>
        <w:t>6.6</w:t>
      </w:r>
      <w:r>
        <w:rPr>
          <w:b/>
          <w:noProof/>
          <w:snapToGrid/>
          <w:sz w:val="22"/>
          <w:szCs w:val="22"/>
          <w:lang w:val="en-GB"/>
        </w:rPr>
        <w:tab/>
        <w:t>A megsemmisítésre vonatkozó különleges óvintézkedések és egyéb, a készítmény kezelésével kapcsolatos információk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Nincsenek különleges előírások.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bCs/>
          <w:color w:val="000000"/>
          <w:sz w:val="22"/>
          <w:szCs w:val="22"/>
        </w:rPr>
      </w:pPr>
      <w:r>
        <w:rPr>
          <w:snapToGrid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:rsidR="00986B29" w:rsidRDefault="00986B29">
      <w:pPr>
        <w:rPr>
          <w:bCs/>
          <w:color w:val="000000"/>
          <w:sz w:val="22"/>
          <w:szCs w:val="22"/>
        </w:rPr>
      </w:pPr>
    </w:p>
    <w:p w:rsidR="00986B29" w:rsidRDefault="00E55408">
      <w:pPr>
        <w:rPr>
          <w:b/>
          <w:snapToGrid/>
          <w:color w:val="000000"/>
          <w:sz w:val="22"/>
          <w:szCs w:val="22"/>
          <w:lang w:eastAsia="de-DE"/>
        </w:rPr>
      </w:pPr>
      <w:r>
        <w:rPr>
          <w:b/>
          <w:color w:val="000000"/>
          <w:sz w:val="22"/>
          <w:szCs w:val="22"/>
        </w:rPr>
        <w:t xml:space="preserve">Megjegyzés </w:t>
      </w:r>
      <w:r>
        <w:rPr>
          <w:color w:val="000000"/>
          <w:sz w:val="22"/>
          <w:szCs w:val="22"/>
        </w:rPr>
        <w:sym w:font="Wingdings" w:char="F058"/>
      </w:r>
      <w:r>
        <w:rPr>
          <w:color w:val="000000"/>
          <w:sz w:val="22"/>
          <w:szCs w:val="22"/>
        </w:rPr>
        <w:t xml:space="preserve"> (egy keresztes)</w:t>
      </w:r>
    </w:p>
    <w:p w:rsidR="00986B29" w:rsidRDefault="00E55408">
      <w:pP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Osztályozás: II. csoport</w:t>
      </w: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Kizárólag orvosi rendelvényhez kötött gyógyszer (V).</w:t>
      </w:r>
    </w:p>
    <w:p w:rsidR="00986B29" w:rsidRDefault="00986B29">
      <w:pPr>
        <w:rPr>
          <w:bCs/>
          <w:color w:val="000000"/>
          <w:sz w:val="22"/>
          <w:szCs w:val="22"/>
        </w:rPr>
      </w:pPr>
    </w:p>
    <w:p w:rsidR="00986B29" w:rsidRDefault="00986B29">
      <w:pPr>
        <w:rPr>
          <w:bCs/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  <w:lang w:val="en-GB"/>
        </w:rPr>
      </w:pPr>
      <w:r>
        <w:rPr>
          <w:b/>
          <w:noProof/>
          <w:snapToGrid/>
          <w:sz w:val="22"/>
          <w:szCs w:val="22"/>
          <w:lang w:val="en-GB"/>
        </w:rPr>
        <w:t>7.</w:t>
      </w:r>
      <w:r>
        <w:rPr>
          <w:b/>
          <w:noProof/>
          <w:snapToGrid/>
          <w:sz w:val="22"/>
          <w:szCs w:val="22"/>
          <w:lang w:val="en-GB"/>
        </w:rPr>
        <w:tab/>
        <w:t>A FORGALOMBA HOZATALI ENGEDÉLY JOGOSULTJA</w:t>
      </w:r>
    </w:p>
    <w:p w:rsidR="00986B29" w:rsidRDefault="00986B29">
      <w:pPr>
        <w:rPr>
          <w:bCs/>
          <w:color w:val="000000"/>
          <w:sz w:val="22"/>
          <w:szCs w:val="22"/>
        </w:rPr>
      </w:pPr>
    </w:p>
    <w:p w:rsidR="00986B29" w:rsidRDefault="00E55408">
      <w:pPr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KRKA, </w:t>
      </w:r>
      <w:proofErr w:type="spellStart"/>
      <w:r>
        <w:rPr>
          <w:bCs/>
          <w:color w:val="000000"/>
          <w:sz w:val="22"/>
          <w:szCs w:val="22"/>
        </w:rPr>
        <w:t>d.d</w:t>
      </w:r>
      <w:proofErr w:type="spellEnd"/>
      <w:r>
        <w:rPr>
          <w:bCs/>
          <w:color w:val="000000"/>
          <w:sz w:val="22"/>
          <w:szCs w:val="22"/>
        </w:rPr>
        <w:t xml:space="preserve">., Novo </w:t>
      </w:r>
      <w:proofErr w:type="spellStart"/>
      <w:r>
        <w:rPr>
          <w:bCs/>
          <w:color w:val="000000"/>
          <w:sz w:val="22"/>
          <w:szCs w:val="22"/>
        </w:rPr>
        <w:t>mesto</w:t>
      </w:r>
      <w:proofErr w:type="spellEnd"/>
      <w:r>
        <w:rPr>
          <w:bCs/>
          <w:color w:val="000000"/>
          <w:sz w:val="22"/>
          <w:szCs w:val="22"/>
        </w:rPr>
        <w:t xml:space="preserve">, </w:t>
      </w:r>
      <w:proofErr w:type="spellStart"/>
      <w:r>
        <w:rPr>
          <w:bCs/>
          <w:color w:val="000000"/>
          <w:sz w:val="22"/>
          <w:szCs w:val="22"/>
        </w:rPr>
        <w:t>Šmarješka</w:t>
      </w:r>
      <w:proofErr w:type="spellEnd"/>
      <w:r>
        <w:rPr>
          <w:bCs/>
          <w:color w:val="000000"/>
          <w:sz w:val="22"/>
          <w:szCs w:val="22"/>
        </w:rPr>
        <w:t xml:space="preserve"> </w:t>
      </w:r>
      <w:proofErr w:type="spellStart"/>
      <w:r>
        <w:rPr>
          <w:bCs/>
          <w:color w:val="000000"/>
          <w:sz w:val="22"/>
          <w:szCs w:val="22"/>
        </w:rPr>
        <w:t>cesta</w:t>
      </w:r>
      <w:proofErr w:type="spellEnd"/>
      <w:r>
        <w:rPr>
          <w:bCs/>
          <w:color w:val="000000"/>
          <w:sz w:val="22"/>
          <w:szCs w:val="22"/>
        </w:rPr>
        <w:t xml:space="preserve"> 6, 8501 Novo </w:t>
      </w:r>
      <w:proofErr w:type="spellStart"/>
      <w:r>
        <w:rPr>
          <w:bCs/>
          <w:color w:val="000000"/>
          <w:sz w:val="22"/>
          <w:szCs w:val="22"/>
        </w:rPr>
        <w:t>mesto</w:t>
      </w:r>
      <w:proofErr w:type="spellEnd"/>
      <w:r>
        <w:rPr>
          <w:bCs/>
          <w:color w:val="000000"/>
          <w:sz w:val="22"/>
          <w:szCs w:val="22"/>
        </w:rPr>
        <w:t>, Szlovénia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  <w:lang w:val="en-GB"/>
        </w:rPr>
      </w:pPr>
      <w:r>
        <w:rPr>
          <w:b/>
          <w:noProof/>
          <w:snapToGrid/>
          <w:sz w:val="22"/>
          <w:szCs w:val="22"/>
          <w:lang w:val="en-GB"/>
        </w:rPr>
        <w:t>8.</w:t>
      </w:r>
      <w:r>
        <w:rPr>
          <w:b/>
          <w:noProof/>
          <w:snapToGrid/>
          <w:sz w:val="22"/>
          <w:szCs w:val="22"/>
          <w:lang w:val="en-GB"/>
        </w:rPr>
        <w:tab/>
        <w:t>A FORGALOMBA HOZATALI ENGEDÉLY SZÁMAI</w:t>
      </w:r>
    </w:p>
    <w:p w:rsidR="00986B29" w:rsidRDefault="00986B29">
      <w:pPr>
        <w:ind w:left="1985" w:hanging="1985"/>
        <w:rPr>
          <w:sz w:val="22"/>
          <w:szCs w:val="22"/>
        </w:rPr>
      </w:pPr>
    </w:p>
    <w:p w:rsidR="00986B29" w:rsidRDefault="00E55408">
      <w:pPr>
        <w:rPr>
          <w:bCs/>
          <w:color w:val="000000"/>
          <w:sz w:val="22"/>
          <w:szCs w:val="22"/>
          <w:u w:val="single"/>
        </w:rPr>
      </w:pPr>
      <w:proofErr w:type="spellStart"/>
      <w:r>
        <w:rPr>
          <w:bCs/>
          <w:color w:val="000000"/>
          <w:sz w:val="22"/>
          <w:szCs w:val="22"/>
          <w:u w:val="single"/>
        </w:rPr>
        <w:t>Itoroxx</w:t>
      </w:r>
      <w:proofErr w:type="spellEnd"/>
      <w:r>
        <w:rPr>
          <w:bCs/>
          <w:color w:val="000000"/>
          <w:sz w:val="22"/>
          <w:szCs w:val="22"/>
          <w:u w:val="single"/>
        </w:rPr>
        <w:t xml:space="preserve"> 30 mg filmtabletta</w:t>
      </w:r>
    </w:p>
    <w:p w:rsidR="00986B29" w:rsidRDefault="00E55408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  <w:lang w:eastAsia="hu-HU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OGYI-T-23101/01               7x             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986B29" w:rsidRDefault="00E55408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OGYI-T-23101/02               14x           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986B29" w:rsidRDefault="00E55408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OGYI-T-23101/03               20x           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986B29" w:rsidRDefault="00E55408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OGYI-T-23101/04               28x           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986B29" w:rsidRDefault="00E55408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OGYI-T-23101/05               30x           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986B29" w:rsidRDefault="00986B29">
      <w:pPr>
        <w:rPr>
          <w:bCs/>
          <w:color w:val="000000"/>
          <w:sz w:val="22"/>
          <w:szCs w:val="22"/>
          <w:u w:val="single"/>
        </w:rPr>
      </w:pPr>
    </w:p>
    <w:p w:rsidR="00986B29" w:rsidRDefault="00E55408">
      <w:pPr>
        <w:rPr>
          <w:bCs/>
          <w:color w:val="000000"/>
          <w:sz w:val="22"/>
          <w:szCs w:val="22"/>
          <w:u w:val="single"/>
        </w:rPr>
      </w:pPr>
      <w:proofErr w:type="spellStart"/>
      <w:r>
        <w:rPr>
          <w:bCs/>
          <w:color w:val="000000"/>
          <w:sz w:val="22"/>
          <w:szCs w:val="22"/>
          <w:u w:val="single"/>
        </w:rPr>
        <w:t>Itoroxx</w:t>
      </w:r>
      <w:proofErr w:type="spellEnd"/>
      <w:r>
        <w:rPr>
          <w:bCs/>
          <w:color w:val="000000"/>
          <w:sz w:val="22"/>
          <w:szCs w:val="22"/>
          <w:u w:val="single"/>
        </w:rPr>
        <w:t xml:space="preserve"> 60 mg filmtabletta</w:t>
      </w:r>
    </w:p>
    <w:p w:rsidR="00986B29" w:rsidRDefault="00E55408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  <w:lang w:eastAsia="hu-HU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OGYI-T-23101/06               7x             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986B29" w:rsidRDefault="00E55408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OGYI-T-23101/07               14x           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986B29" w:rsidRDefault="00E55408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OGYI-T-23101/08               20x           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986B29" w:rsidRDefault="00E55408">
      <w:pPr>
        <w:pStyle w:val="NormlWeb"/>
        <w:spacing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OGYI-T-23101/09               28x                      OPA/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rFonts w:ascii="Times New Roman" w:hAnsi="Times New Roman"/>
          <w:b w:val="0"/>
          <w:color w:val="000000"/>
          <w:sz w:val="22"/>
          <w:szCs w:val="22"/>
        </w:rPr>
        <w:t xml:space="preserve"> buborékcsomagolás</w:t>
      </w:r>
    </w:p>
    <w:p w:rsidR="00986B29" w:rsidRDefault="00E55408">
      <w:pPr>
        <w:ind w:left="1985" w:hanging="1985"/>
        <w:rPr>
          <w:sz w:val="22"/>
          <w:szCs w:val="22"/>
        </w:rPr>
      </w:pPr>
      <w:r>
        <w:rPr>
          <w:rStyle w:val="Kiemels2"/>
          <w:b w:val="0"/>
          <w:color w:val="000000"/>
          <w:sz w:val="22"/>
          <w:szCs w:val="22"/>
        </w:rPr>
        <w:t>OGYI-T-23101/10               30x                      OPA/</w:t>
      </w:r>
      <w:proofErr w:type="spellStart"/>
      <w:r>
        <w:rPr>
          <w:rStyle w:val="Kiemels2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b w:val="0"/>
          <w:color w:val="000000"/>
          <w:sz w:val="22"/>
          <w:szCs w:val="22"/>
        </w:rPr>
        <w:t>/PVC//</w:t>
      </w:r>
      <w:proofErr w:type="spellStart"/>
      <w:r>
        <w:rPr>
          <w:rStyle w:val="Kiemels2"/>
          <w:b w:val="0"/>
          <w:color w:val="000000"/>
          <w:sz w:val="22"/>
          <w:szCs w:val="22"/>
        </w:rPr>
        <w:t>Al</w:t>
      </w:r>
      <w:proofErr w:type="spellEnd"/>
      <w:r>
        <w:rPr>
          <w:rStyle w:val="Kiemels2"/>
          <w:b w:val="0"/>
          <w:color w:val="000000"/>
          <w:sz w:val="22"/>
          <w:szCs w:val="22"/>
        </w:rPr>
        <w:t xml:space="preserve"> buborékcsomagolás</w:t>
      </w:r>
    </w:p>
    <w:p w:rsidR="00986B29" w:rsidRDefault="00986B29">
      <w:pPr>
        <w:ind w:left="1985" w:hanging="1985"/>
        <w:rPr>
          <w:sz w:val="22"/>
          <w:szCs w:val="22"/>
        </w:rPr>
      </w:pPr>
    </w:p>
    <w:p w:rsidR="00986B29" w:rsidRDefault="00986B29">
      <w:pPr>
        <w:ind w:left="1985" w:hanging="1985"/>
        <w:rPr>
          <w:sz w:val="22"/>
          <w:szCs w:val="22"/>
        </w:rPr>
      </w:pPr>
    </w:p>
    <w:p w:rsidR="00986B29" w:rsidRDefault="00E55408">
      <w:pPr>
        <w:tabs>
          <w:tab w:val="left" w:pos="567"/>
        </w:tabs>
        <w:ind w:left="567" w:hanging="567"/>
        <w:outlineLvl w:val="0"/>
        <w:rPr>
          <w:b/>
          <w:noProof/>
          <w:snapToGrid/>
          <w:sz w:val="22"/>
          <w:szCs w:val="22"/>
          <w:lang w:val="en-GB"/>
        </w:rPr>
      </w:pPr>
      <w:r>
        <w:rPr>
          <w:b/>
          <w:noProof/>
          <w:snapToGrid/>
          <w:sz w:val="22"/>
          <w:szCs w:val="22"/>
          <w:lang w:val="en-GB"/>
        </w:rPr>
        <w:t>9.</w:t>
      </w:r>
      <w:r>
        <w:rPr>
          <w:b/>
          <w:noProof/>
          <w:snapToGrid/>
          <w:sz w:val="22"/>
          <w:szCs w:val="22"/>
          <w:lang w:val="en-GB"/>
        </w:rPr>
        <w:tab/>
        <w:t>A FORGALOMBA HOZATALI ENGEDÉLY ELSŐ KIADÁSÁNAK/ MEGÚJÍTÁSÁNAK DÁTUMA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forgalomba hozatali engedély első kiadásának dátuma: 2016. október 19.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forgalomba hozatali engedély legutóbbi megújításának dátuma: 2021.december 02.</w:t>
      </w: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986B29">
      <w:pPr>
        <w:rPr>
          <w:color w:val="000000"/>
          <w:sz w:val="22"/>
          <w:szCs w:val="22"/>
        </w:rPr>
      </w:pPr>
    </w:p>
    <w:p w:rsidR="00986B29" w:rsidRDefault="00E55408">
      <w:pPr>
        <w:ind w:left="567" w:hanging="567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10.</w:t>
      </w:r>
      <w:r>
        <w:rPr>
          <w:b/>
          <w:bCs/>
          <w:color w:val="000000"/>
          <w:sz w:val="22"/>
          <w:szCs w:val="22"/>
        </w:rPr>
        <w:tab/>
        <w:t>A SZÖVEG ELLENŐRZÉSÉNEK DÁTUMA</w:t>
      </w:r>
    </w:p>
    <w:p w:rsidR="00986B29" w:rsidRDefault="00986B29">
      <w:pPr>
        <w:ind w:left="567" w:hanging="567"/>
        <w:rPr>
          <w:bCs/>
          <w:color w:val="000000"/>
          <w:sz w:val="22"/>
          <w:szCs w:val="22"/>
        </w:rPr>
      </w:pPr>
    </w:p>
    <w:p w:rsidR="00986B29" w:rsidRDefault="00E55408">
      <w:pPr>
        <w:ind w:left="567" w:hanging="567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2026. április 28.</w:t>
      </w:r>
    </w:p>
    <w:sectPr w:rsidR="00986B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  <w:numStart w:val="2"/>
      </w:footnotePr>
      <w:pgSz w:w="11907" w:h="16840" w:code="9"/>
      <w:pgMar w:top="1134" w:right="1418" w:bottom="1134" w:left="1418" w:header="737" w:footer="73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B29" w:rsidRDefault="00E55408">
      <w:r>
        <w:separator/>
      </w:r>
    </w:p>
  </w:endnote>
  <w:endnote w:type="continuationSeparator" w:id="0">
    <w:p w:rsidR="00986B29" w:rsidRDefault="00E55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B29" w:rsidRDefault="00E55408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986B29" w:rsidRDefault="00986B29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B29" w:rsidRDefault="00986B29">
    <w:pPr>
      <w:pStyle w:val="llb"/>
      <w:ind w:right="357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B60" w:rsidRPr="00322B60" w:rsidRDefault="00322B60" w:rsidP="00322B60">
    <w:pPr>
      <w:pStyle w:val="llb"/>
      <w:rPr>
        <w:sz w:val="18"/>
        <w:szCs w:val="18"/>
        <w:lang w:val="hu-HU"/>
      </w:rPr>
    </w:pPr>
    <w:r w:rsidRPr="00322B60">
      <w:rPr>
        <w:sz w:val="18"/>
        <w:szCs w:val="18"/>
        <w:lang w:val="hu-HU"/>
      </w:rPr>
      <w:t>NNGYK/ETGY/1969/2026</w:t>
    </w:r>
  </w:p>
  <w:p w:rsidR="00986B29" w:rsidRDefault="00322B60">
    <w:pPr>
      <w:pStyle w:val="llb"/>
      <w:rPr>
        <w:sz w:val="18"/>
        <w:szCs w:val="18"/>
        <w:lang w:val="hu-HU"/>
      </w:rPr>
    </w:pPr>
    <w:r w:rsidRPr="00322B60">
      <w:rPr>
        <w:sz w:val="18"/>
        <w:szCs w:val="18"/>
        <w:lang w:val="hu-HU"/>
      </w:rPr>
      <w:t>NNGYK/ETGY/1971/2026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B29" w:rsidRDefault="00E55408">
      <w:r>
        <w:separator/>
      </w:r>
    </w:p>
  </w:footnote>
  <w:footnote w:type="continuationSeparator" w:id="0">
    <w:p w:rsidR="00986B29" w:rsidRDefault="00E55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B29" w:rsidRDefault="00E5540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986B29" w:rsidRDefault="00986B2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B29" w:rsidRDefault="00E55408">
    <w:pPr>
      <w:pStyle w:val="lfej"/>
      <w:jc w:val="center"/>
      <w:rPr>
        <w:noProof/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 \* MERGEFORMAT </w:instrText>
    </w:r>
    <w:r>
      <w:rPr>
        <w:sz w:val="18"/>
        <w:szCs w:val="18"/>
      </w:rPr>
      <w:fldChar w:fldCharType="separate"/>
    </w:r>
    <w:r w:rsidR="001A725C">
      <w:rPr>
        <w:noProof/>
        <w:sz w:val="18"/>
        <w:szCs w:val="18"/>
      </w:rPr>
      <w:t>16</w:t>
    </w:r>
    <w:r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B29" w:rsidRDefault="00986B29">
    <w:pPr>
      <w:tabs>
        <w:tab w:val="center" w:pos="1843"/>
        <w:tab w:val="left" w:pos="6663"/>
        <w:tab w:val="left" w:pos="7655"/>
      </w:tabs>
      <w:jc w:val="right"/>
      <w:rPr>
        <w:iCs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231A0"/>
    <w:multiLevelType w:val="hybridMultilevel"/>
    <w:tmpl w:val="03F65FB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462A0"/>
    <w:multiLevelType w:val="hybridMultilevel"/>
    <w:tmpl w:val="527258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9102C"/>
    <w:multiLevelType w:val="hybridMultilevel"/>
    <w:tmpl w:val="51F6AB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C22BB"/>
    <w:multiLevelType w:val="hybridMultilevel"/>
    <w:tmpl w:val="F7A06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652C7"/>
    <w:multiLevelType w:val="hybridMultilevel"/>
    <w:tmpl w:val="C27489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07262"/>
    <w:multiLevelType w:val="hybridMultilevel"/>
    <w:tmpl w:val="60B6B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95B10"/>
    <w:multiLevelType w:val="hybridMultilevel"/>
    <w:tmpl w:val="56F8C330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rawingGridHorizontalSpacing w:val="100"/>
  <w:displayHorizontalDrawingGridEvery w:val="0"/>
  <w:displayVerticalDrawingGridEvery w:val="0"/>
  <w:characterSpacingControl w:val="doNotCompress"/>
  <w:hdrShapeDefaults>
    <o:shapedefaults v:ext="edit" spidmax="11265"/>
  </w:hdrShapeDefaults>
  <w:footnotePr>
    <w:numFmt w:val="chicago"/>
    <w:numStart w:val="2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B29"/>
    <w:rsid w:val="001A725C"/>
    <w:rsid w:val="00322B60"/>
    <w:rsid w:val="00986B29"/>
    <w:rsid w:val="00E5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A2D89D3E-E8FB-4125-B2E2-7E3FDABB6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napToGrid w:val="0"/>
      <w:lang w:eastAsia="en-US"/>
    </w:rPr>
  </w:style>
  <w:style w:type="paragraph" w:styleId="Cmsor1">
    <w:name w:val="heading 1"/>
    <w:basedOn w:val="Norml"/>
    <w:next w:val="Norml"/>
    <w:qFormat/>
    <w:pPr>
      <w:keepNext/>
      <w:spacing w:before="120"/>
      <w:jc w:val="both"/>
      <w:outlineLvl w:val="0"/>
    </w:pPr>
    <w:rPr>
      <w:i/>
      <w:iCs/>
      <w:snapToGrid/>
      <w:sz w:val="24"/>
      <w:szCs w:val="24"/>
    </w:rPr>
  </w:style>
  <w:style w:type="paragraph" w:styleId="Cmsor2">
    <w:name w:val="heading 2"/>
    <w:basedOn w:val="Norml"/>
    <w:next w:val="Norml"/>
    <w:qFormat/>
    <w:pPr>
      <w:keepNext/>
      <w:spacing w:before="120"/>
      <w:jc w:val="both"/>
      <w:outlineLvl w:val="1"/>
    </w:pPr>
    <w:rPr>
      <w:i/>
      <w:sz w:val="22"/>
    </w:rPr>
  </w:style>
  <w:style w:type="paragraph" w:styleId="Cmsor3">
    <w:name w:val="heading 3"/>
    <w:basedOn w:val="Norml"/>
    <w:next w:val="Norml"/>
    <w:qFormat/>
    <w:pPr>
      <w:keepNext/>
      <w:spacing w:before="120"/>
      <w:jc w:val="both"/>
      <w:outlineLvl w:val="2"/>
    </w:pPr>
    <w:rPr>
      <w:i/>
      <w:sz w:val="22"/>
      <w:u w:val="single"/>
    </w:rPr>
  </w:style>
  <w:style w:type="paragraph" w:styleId="Cmsor4">
    <w:name w:val="heading 4"/>
    <w:basedOn w:val="Norml"/>
    <w:next w:val="Norml"/>
    <w:qFormat/>
    <w:pPr>
      <w:keepNext/>
      <w:spacing w:before="120"/>
      <w:jc w:val="both"/>
      <w:outlineLvl w:val="3"/>
    </w:pPr>
    <w:rPr>
      <w:b/>
      <w:i/>
      <w:sz w:val="22"/>
    </w:rPr>
  </w:style>
  <w:style w:type="paragraph" w:styleId="Cmsor5">
    <w:name w:val="heading 5"/>
    <w:basedOn w:val="Norml"/>
    <w:next w:val="Norml"/>
    <w:qFormat/>
    <w:pPr>
      <w:keepNext/>
      <w:tabs>
        <w:tab w:val="left" w:pos="567"/>
      </w:tabs>
      <w:outlineLvl w:val="4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qFormat/>
    <w:pPr>
      <w:keepNext/>
      <w:outlineLvl w:val="5"/>
    </w:pPr>
    <w:rPr>
      <w:sz w:val="22"/>
      <w:u w:val="single"/>
    </w:rPr>
  </w:style>
  <w:style w:type="paragraph" w:styleId="Cmsor7">
    <w:name w:val="heading 7"/>
    <w:basedOn w:val="Norml"/>
    <w:next w:val="Norml"/>
    <w:qFormat/>
    <w:pPr>
      <w:keepNext/>
      <w:outlineLvl w:val="6"/>
    </w:pPr>
    <w:rPr>
      <w:i/>
      <w:sz w:val="22"/>
      <w:u w:val="single"/>
    </w:rPr>
  </w:style>
  <w:style w:type="paragraph" w:styleId="Cmsor8">
    <w:name w:val="heading 8"/>
    <w:basedOn w:val="Norml"/>
    <w:next w:val="Norml"/>
    <w:qFormat/>
    <w:pPr>
      <w:keepNext/>
      <w:outlineLvl w:val="7"/>
    </w:pPr>
    <w:rPr>
      <w:i/>
      <w:i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</w:pPr>
    <w:rPr>
      <w:lang w:val="x-none"/>
    </w:rPr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lang w:val="x-none"/>
    </w:rPr>
  </w:style>
  <w:style w:type="character" w:styleId="Lbjegyzet-hivatkozs">
    <w:name w:val="footnote reference"/>
    <w:semiHidden/>
    <w:rPr>
      <w:vertAlign w:val="superscript"/>
    </w:rPr>
  </w:style>
  <w:style w:type="paragraph" w:styleId="Cm">
    <w:name w:val="Title"/>
    <w:basedOn w:val="Norml"/>
    <w:qFormat/>
    <w:pPr>
      <w:spacing w:before="120"/>
      <w:jc w:val="center"/>
    </w:pPr>
    <w:rPr>
      <w:b/>
      <w:bCs/>
      <w:snapToGrid/>
      <w:sz w:val="24"/>
      <w:szCs w:val="24"/>
    </w:rPr>
  </w:style>
  <w:style w:type="paragraph" w:styleId="Szvegtrzs">
    <w:name w:val="Body Text"/>
    <w:basedOn w:val="Norml"/>
    <w:pPr>
      <w:spacing w:before="120"/>
      <w:jc w:val="both"/>
    </w:pPr>
    <w:rPr>
      <w:sz w:val="24"/>
    </w:rPr>
  </w:style>
  <w:style w:type="paragraph" w:styleId="Lbjegyzetszveg">
    <w:name w:val="footnote text"/>
    <w:basedOn w:val="Norml"/>
    <w:semiHidden/>
  </w:style>
  <w:style w:type="paragraph" w:styleId="Szvegtrzs2">
    <w:name w:val="Body Text 2"/>
    <w:basedOn w:val="Norml"/>
    <w:pPr>
      <w:spacing w:before="120"/>
      <w:jc w:val="both"/>
    </w:pPr>
    <w:rPr>
      <w:sz w:val="22"/>
    </w:rPr>
  </w:style>
  <w:style w:type="paragraph" w:customStyle="1" w:styleId="Normal">
    <w:name w:val="Normal&lt;"/>
    <w:basedOn w:val="Norml"/>
    <w:pPr>
      <w:spacing w:before="240"/>
      <w:jc w:val="both"/>
    </w:pPr>
    <w:rPr>
      <w:snapToGrid/>
      <w:sz w:val="24"/>
    </w:rPr>
  </w:style>
  <w:style w:type="paragraph" w:styleId="Szvegtrzs3">
    <w:name w:val="Body Text 3"/>
    <w:basedOn w:val="Norml"/>
    <w:pPr>
      <w:spacing w:before="120"/>
      <w:jc w:val="both"/>
    </w:pPr>
    <w:rPr>
      <w:color w:val="FF0000"/>
      <w:sz w:val="22"/>
    </w:rPr>
  </w:style>
  <w:style w:type="paragraph" w:styleId="NormlWeb">
    <w:name w:val="Normal (Web)"/>
    <w:basedOn w:val="Norml"/>
    <w:uiPriority w:val="99"/>
    <w:pPr>
      <w:spacing w:before="100" w:after="119"/>
    </w:pPr>
    <w:rPr>
      <w:rFonts w:ascii="Arial Unicode MS" w:eastAsia="Arial Unicode MS" w:hAnsi="Arial Unicode MS"/>
      <w:snapToGrid/>
      <w:sz w:val="24"/>
    </w:rPr>
  </w:style>
  <w:style w:type="paragraph" w:customStyle="1" w:styleId="Body">
    <w:name w:val="Body"/>
    <w:basedOn w:val="Norml"/>
    <w:pPr>
      <w:ind w:firstLine="288"/>
      <w:jc w:val="both"/>
    </w:pPr>
    <w:rPr>
      <w:rFonts w:ascii="Arial" w:hAnsi="Arial"/>
      <w:snapToGrid/>
      <w:lang w:val="en-US"/>
    </w:rPr>
  </w:style>
  <w:style w:type="paragraph" w:styleId="Makrszvege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40" w:lineRule="exact"/>
      <w:jc w:val="both"/>
    </w:pPr>
    <w:rPr>
      <w:rFonts w:ascii="Century Schoolbook" w:hAnsi="Century Schoolbook"/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NormlWeb1">
    <w:name w:val="Normál (Web)1"/>
    <w:basedOn w:val="Norml"/>
    <w:pPr>
      <w:spacing w:before="100" w:after="119"/>
    </w:pPr>
    <w:rPr>
      <w:rFonts w:ascii="Arial Unicode MS" w:eastAsia="Arial Unicode MS" w:hAnsi="Arial Unicode MS"/>
      <w:snapToGrid/>
      <w:sz w:val="24"/>
    </w:rPr>
  </w:style>
  <w:style w:type="table" w:styleId="Rcsostblzat">
    <w:name w:val="Table Grid"/>
    <w:basedOn w:val="Normltblzat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Web2">
    <w:name w:val="Normál (Web)2"/>
    <w:basedOn w:val="Norml"/>
    <w:pPr>
      <w:spacing w:before="100" w:after="119"/>
    </w:pPr>
    <w:rPr>
      <w:rFonts w:ascii="Arial Unicode MS" w:eastAsia="Arial Unicode MS" w:hAnsi="Arial Unicode MS"/>
      <w:snapToGrid/>
      <w:sz w:val="24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lang w:val="x-none"/>
    </w:rPr>
  </w:style>
  <w:style w:type="character" w:customStyle="1" w:styleId="JegyzetszvegChar">
    <w:name w:val="Jegyzetszöveg Char"/>
    <w:link w:val="Jegyzetszveg"/>
    <w:rPr>
      <w:snapToGrid w:val="0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</w:rPr>
  </w:style>
  <w:style w:type="character" w:customStyle="1" w:styleId="MegjegyzstrgyaChar">
    <w:name w:val="Megjegyzés tárgya Char"/>
    <w:link w:val="Megjegyzstrgya"/>
    <w:rPr>
      <w:b/>
      <w:bCs/>
      <w:snapToGrid w:val="0"/>
      <w:lang w:eastAsia="en-US"/>
    </w:rPr>
  </w:style>
  <w:style w:type="paragraph" w:customStyle="1" w:styleId="Vltozat1">
    <w:name w:val="Változat1"/>
    <w:hidden/>
    <w:uiPriority w:val="99"/>
    <w:semiHidden/>
    <w:rPr>
      <w:snapToGrid w:val="0"/>
      <w:lang w:eastAsia="en-US"/>
    </w:rPr>
  </w:style>
  <w:style w:type="character" w:customStyle="1" w:styleId="lfejChar">
    <w:name w:val="Élőfej Char"/>
    <w:link w:val="lfej"/>
    <w:uiPriority w:val="99"/>
    <w:rPr>
      <w:snapToGrid w:val="0"/>
      <w:lang w:eastAsia="en-US"/>
    </w:rPr>
  </w:style>
  <w:style w:type="character" w:customStyle="1" w:styleId="llbChar">
    <w:name w:val="Élőláb Char"/>
    <w:link w:val="llb"/>
    <w:uiPriority w:val="99"/>
    <w:rPr>
      <w:snapToGrid w:val="0"/>
      <w:lang w:eastAsia="en-US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styleId="Kiemels">
    <w:name w:val="Emphasis"/>
    <w:qFormat/>
    <w:rPr>
      <w:i/>
      <w:iCs/>
    </w:rPr>
  </w:style>
  <w:style w:type="character" w:styleId="Mrltotthiperhivatkozs">
    <w:name w:val="FollowedHyperlink"/>
    <w:rPr>
      <w:color w:val="800080"/>
      <w:u w:val="single"/>
    </w:rPr>
  </w:style>
  <w:style w:type="paragraph" w:styleId="Vltozat">
    <w:name w:val="Revision"/>
    <w:hidden/>
    <w:uiPriority w:val="99"/>
    <w:semiHidden/>
    <w:rPr>
      <w:snapToGrid w:val="0"/>
      <w:lang w:eastAsia="en-US"/>
    </w:rPr>
  </w:style>
  <w:style w:type="character" w:styleId="Kiemels2">
    <w:name w:val="Strong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a10f9ac0-5937-4b4f-b459-96aedd9ed2c5">
  <element uid="9920fcc9-9f43-4d43-9e3e-b98a219cfd55" value=""/>
</sisl>
</file>

<file path=customXml/itemProps1.xml><?xml version="1.0" encoding="utf-8"?>
<ds:datastoreItem xmlns:ds="http://schemas.openxmlformats.org/officeDocument/2006/customXml" ds:itemID="{352997D2-A605-4276-933A-0BDE0294BA1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17</Pages>
  <Words>6471</Words>
  <Characters>47373</Characters>
  <Application>Microsoft Office Word</Application>
  <DocSecurity>0</DocSecurity>
  <Lines>394</Lines>
  <Paragraphs>107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ARCOXIA, INN-etoricoxib</vt:lpstr>
      <vt:lpstr>ARCOXIA, INN-etoricoxib</vt:lpstr>
    </vt:vector>
  </TitlesOfParts>
  <Company>MSD</Company>
  <LinksUpToDate>false</LinksUpToDate>
  <CharactersWithSpaces>53737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ARCOXIA, INN-etoricoxib</dc:title>
  <dc:subject>Arcoxia SPC</dc:subject>
  <dc:creator>MSD</dc:creator>
  <cp:keywords>ARCOXIA, INN-etoricoxib</cp:keywords>
  <cp:lastModifiedBy>HU_OGYI_61_1</cp:lastModifiedBy>
  <cp:revision>8</cp:revision>
  <cp:lastPrinted>2008-11-26T08:34:00Z</cp:lastPrinted>
  <dcterms:created xsi:type="dcterms:W3CDTF">2025-10-27T09:31:00Z</dcterms:created>
  <dcterms:modified xsi:type="dcterms:W3CDTF">2026-06-12T08:28:00Z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ocIndexRef">
    <vt:lpwstr/>
  </property>
  <property fmtid="{D5CDD505-2E9C-101B-9397-08002B2CF9AE}" pid="4" name="bjSaver">
    <vt:lpwstr/>
  </property>
  <property fmtid="{D5CDD505-2E9C-101B-9397-08002B2CF9AE}" pid="5" name="bjDocumentLabelXML">
    <vt:lpwstr/>
  </property>
  <property fmtid="{D5CDD505-2E9C-101B-9397-08002B2CF9AE}" pid="6" name="bjDocumentLabelXML-0">
    <vt:lpwstr/>
  </property>
  <property fmtid="{D5CDD505-2E9C-101B-9397-08002B2CF9AE}" pid="7" name="bjDocumentSecurityLabel">
    <vt:lpwstr/>
  </property>
</Properties>
</file>